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95A8C2">
      <w:pPr>
        <w:pStyle w:val="17"/>
        <w:kinsoku w:val="0"/>
        <w:overflowPunct w:val="0"/>
        <w:autoSpaceDE w:val="0"/>
        <w:autoSpaceDN w:val="0"/>
        <w:adjustRightInd w:val="0"/>
        <w:jc w:val="center"/>
        <w:rPr>
          <w:rFonts w:ascii="宋体" w:hAnsi="Times New Roman" w:eastAsia="宋体" w:cs="宋体"/>
          <w:b/>
          <w:bCs/>
          <w:kern w:val="0"/>
          <w:sz w:val="48"/>
          <w:szCs w:val="48"/>
        </w:rPr>
      </w:pPr>
    </w:p>
    <w:p w14:paraId="7278217F">
      <w:pPr>
        <w:pStyle w:val="17"/>
        <w:kinsoku w:val="0"/>
        <w:overflowPunct w:val="0"/>
        <w:autoSpaceDE w:val="0"/>
        <w:autoSpaceDN w:val="0"/>
        <w:adjustRightInd w:val="0"/>
        <w:jc w:val="center"/>
        <w:rPr>
          <w:rFonts w:ascii="宋体" w:hAnsi="Times New Roman" w:eastAsia="宋体" w:cs="宋体"/>
          <w:b/>
          <w:bCs/>
          <w:kern w:val="0"/>
          <w:sz w:val="48"/>
          <w:szCs w:val="48"/>
        </w:rPr>
      </w:pPr>
    </w:p>
    <w:p w14:paraId="62B3595B">
      <w:pPr>
        <w:pStyle w:val="17"/>
        <w:kinsoku w:val="0"/>
        <w:overflowPunct w:val="0"/>
        <w:autoSpaceDE w:val="0"/>
        <w:autoSpaceDN w:val="0"/>
        <w:adjustRightInd w:val="0"/>
        <w:jc w:val="center"/>
        <w:rPr>
          <w:rFonts w:ascii="宋体" w:hAnsi="Times New Roman" w:eastAsia="宋体" w:cs="宋体"/>
          <w:b/>
          <w:bCs/>
          <w:kern w:val="0"/>
          <w:sz w:val="44"/>
          <w:szCs w:val="44"/>
        </w:rPr>
      </w:pPr>
      <w:r>
        <w:rPr>
          <w:rFonts w:hint="eastAsia" w:ascii="宋体" w:hAnsi="Times New Roman" w:eastAsia="宋体" w:cs="宋体"/>
          <w:b/>
          <w:bCs/>
          <w:kern w:val="0"/>
          <w:sz w:val="48"/>
          <w:szCs w:val="48"/>
        </w:rPr>
        <w:t>南京机电职业技术学院电梯维保服务项目</w:t>
      </w:r>
    </w:p>
    <w:p w14:paraId="1577E71B">
      <w:pPr>
        <w:pStyle w:val="17"/>
        <w:kinsoku w:val="0"/>
        <w:overflowPunct w:val="0"/>
        <w:autoSpaceDE w:val="0"/>
        <w:autoSpaceDN w:val="0"/>
        <w:adjustRightInd w:val="0"/>
        <w:spacing w:before="1160" w:beforeLines="400" w:after="1160" w:afterLines="400"/>
        <w:jc w:val="center"/>
        <w:rPr>
          <w:rFonts w:ascii="宋体" w:hAnsi="Times New Roman" w:eastAsia="宋体" w:cs="宋体"/>
          <w:b/>
          <w:bCs/>
          <w:kern w:val="0"/>
          <w:sz w:val="48"/>
          <w:szCs w:val="48"/>
        </w:rPr>
      </w:pPr>
      <w:r>
        <w:rPr>
          <w:rFonts w:hint="eastAsia" w:ascii="宋体" w:hAnsi="Times New Roman" w:eastAsia="宋体" w:cs="宋体"/>
          <w:b/>
          <w:bCs/>
          <w:kern w:val="0"/>
          <w:sz w:val="48"/>
          <w:szCs w:val="48"/>
        </w:rPr>
        <w:t>竞争性磋商文件</w:t>
      </w:r>
    </w:p>
    <w:p w14:paraId="33E9B1A1">
      <w:pPr>
        <w:pStyle w:val="174"/>
        <w:spacing w:before="1160" w:beforeLines="400" w:after="1160" w:afterLines="400" w:line="240" w:lineRule="auto"/>
        <w:ind w:firstLine="0"/>
        <w:jc w:val="center"/>
        <w:rPr>
          <w:rFonts w:hint="eastAsia" w:ascii="Times New Roman" w:hAnsi="Times New Roman" w:eastAsia="宋体"/>
          <w:b/>
          <w:sz w:val="36"/>
          <w:szCs w:val="36"/>
          <w:lang w:eastAsia="zh-CN"/>
        </w:rPr>
      </w:pPr>
      <w:r>
        <w:rPr>
          <w:rFonts w:ascii="Times New Roman" w:hAnsi="Times New Roman"/>
          <w:b/>
          <w:sz w:val="36"/>
          <w:szCs w:val="36"/>
        </w:rPr>
        <w:t>项目编号：</w:t>
      </w:r>
      <w:r>
        <w:rPr>
          <w:rFonts w:hint="eastAsia" w:ascii="Times New Roman" w:hAnsi="Times New Roman"/>
          <w:bCs/>
          <w:sz w:val="36"/>
          <w:szCs w:val="36"/>
        </w:rPr>
        <w:t>NIMT-CS-202500</w:t>
      </w:r>
      <w:r>
        <w:rPr>
          <w:rFonts w:hint="eastAsia" w:ascii="Times New Roman" w:hAnsi="Times New Roman"/>
          <w:bCs/>
          <w:sz w:val="36"/>
          <w:szCs w:val="36"/>
          <w:lang w:val="en-US" w:eastAsia="zh-CN"/>
        </w:rPr>
        <w:t>7</w:t>
      </w:r>
    </w:p>
    <w:p w14:paraId="27503785">
      <w:pPr>
        <w:pStyle w:val="174"/>
        <w:spacing w:before="0" w:after="0"/>
        <w:ind w:firstLine="0"/>
        <w:rPr>
          <w:rFonts w:hint="eastAsia" w:ascii="宋体" w:hAnsi="宋体"/>
        </w:rPr>
      </w:pPr>
    </w:p>
    <w:p w14:paraId="4B6EAE7A">
      <w:pPr>
        <w:pStyle w:val="174"/>
        <w:spacing w:before="0" w:after="0"/>
        <w:ind w:firstLine="0"/>
        <w:rPr>
          <w:rFonts w:hint="eastAsia" w:ascii="宋体" w:hAnsi="宋体"/>
        </w:rPr>
      </w:pPr>
    </w:p>
    <w:p w14:paraId="70284AE5">
      <w:pPr>
        <w:pStyle w:val="174"/>
        <w:spacing w:before="0" w:after="0"/>
        <w:ind w:firstLine="0"/>
        <w:jc w:val="center"/>
        <w:rPr>
          <w:rFonts w:ascii="Times New Roman" w:hAnsi="Times New Roman"/>
          <w:b/>
          <w:sz w:val="30"/>
          <w:szCs w:val="30"/>
        </w:rPr>
      </w:pPr>
      <w:r>
        <w:rPr>
          <w:rFonts w:hint="eastAsia" w:ascii="Times New Roman" w:hAnsi="Times New Roman"/>
          <w:b/>
          <w:sz w:val="30"/>
          <w:szCs w:val="30"/>
        </w:rPr>
        <w:t>采购</w:t>
      </w:r>
      <w:r>
        <w:rPr>
          <w:rFonts w:ascii="Times New Roman" w:hAnsi="Times New Roman"/>
          <w:b/>
          <w:sz w:val="30"/>
          <w:szCs w:val="30"/>
        </w:rPr>
        <w:t>人：</w:t>
      </w:r>
      <w:r>
        <w:rPr>
          <w:rFonts w:hint="eastAsia" w:ascii="Times New Roman" w:hAnsi="Times New Roman"/>
          <w:b/>
          <w:sz w:val="30"/>
          <w:szCs w:val="30"/>
        </w:rPr>
        <w:t>南京机电职业技术学院</w:t>
      </w:r>
    </w:p>
    <w:p w14:paraId="54CE2575">
      <w:pPr>
        <w:pStyle w:val="174"/>
        <w:spacing w:before="0" w:after="0"/>
        <w:ind w:firstLine="0"/>
        <w:jc w:val="center"/>
        <w:rPr>
          <w:rFonts w:ascii="Times New Roman" w:hAnsi="Times New Roman"/>
          <w:b/>
          <w:sz w:val="30"/>
          <w:szCs w:val="30"/>
        </w:rPr>
      </w:pPr>
      <w:r>
        <w:rPr>
          <w:rFonts w:hint="eastAsia" w:ascii="Times New Roman" w:hAnsi="Times New Roman"/>
          <w:b/>
          <w:sz w:val="30"/>
          <w:szCs w:val="30"/>
        </w:rPr>
        <w:t>采购</w:t>
      </w:r>
      <w:r>
        <w:rPr>
          <w:rFonts w:ascii="Times New Roman" w:hAnsi="Times New Roman"/>
          <w:b/>
          <w:sz w:val="30"/>
          <w:szCs w:val="30"/>
        </w:rPr>
        <w:t>代理机构：中通服咨询设计研究院有限公司</w:t>
      </w:r>
    </w:p>
    <w:p w14:paraId="037FD37F">
      <w:pPr>
        <w:pStyle w:val="174"/>
        <w:spacing w:before="0" w:after="0" w:line="240" w:lineRule="auto"/>
        <w:ind w:firstLine="0"/>
        <w:jc w:val="center"/>
        <w:rPr>
          <w:rFonts w:ascii="Times New Roman" w:hAnsi="Times New Roman"/>
          <w:b/>
          <w:sz w:val="30"/>
          <w:szCs w:val="30"/>
        </w:rPr>
      </w:pPr>
      <w:r>
        <w:rPr>
          <w:rFonts w:hint="eastAsia" w:ascii="Times New Roman" w:hAnsi="Times New Roman"/>
          <w:b/>
          <w:sz w:val="30"/>
          <w:szCs w:val="30"/>
        </w:rPr>
        <w:t>2</w:t>
      </w:r>
      <w:r>
        <w:rPr>
          <w:rFonts w:ascii="Times New Roman" w:hAnsi="Times New Roman"/>
          <w:b/>
          <w:sz w:val="30"/>
          <w:szCs w:val="30"/>
        </w:rPr>
        <w:t>02</w:t>
      </w:r>
      <w:r>
        <w:rPr>
          <w:rFonts w:hint="eastAsia" w:ascii="Times New Roman" w:hAnsi="Times New Roman"/>
          <w:b/>
          <w:sz w:val="30"/>
          <w:szCs w:val="30"/>
        </w:rPr>
        <w:t>5年</w:t>
      </w:r>
      <w:r>
        <w:rPr>
          <w:rFonts w:hint="eastAsia" w:ascii="Times New Roman" w:hAnsi="Times New Roman"/>
          <w:b/>
          <w:sz w:val="30"/>
          <w:szCs w:val="30"/>
          <w:lang w:val="en-US" w:eastAsia="zh-CN"/>
        </w:rPr>
        <w:t>11</w:t>
      </w:r>
      <w:r>
        <w:rPr>
          <w:rFonts w:hint="eastAsia" w:ascii="Times New Roman" w:hAnsi="Times New Roman"/>
          <w:b/>
          <w:sz w:val="30"/>
          <w:szCs w:val="30"/>
        </w:rPr>
        <w:t>月</w:t>
      </w:r>
    </w:p>
    <w:p w14:paraId="59E16861">
      <w:pPr>
        <w:pStyle w:val="174"/>
        <w:spacing w:before="0" w:after="0"/>
        <w:ind w:firstLine="0"/>
        <w:jc w:val="center"/>
        <w:rPr>
          <w:rFonts w:ascii="Times New Roman" w:hAnsi="Times New Roman"/>
          <w:b/>
          <w:sz w:val="30"/>
          <w:szCs w:val="30"/>
        </w:rPr>
        <w:sectPr>
          <w:headerReference r:id="rId4" w:type="first"/>
          <w:headerReference r:id="rId3" w:type="default"/>
          <w:footerReference r:id="rId5" w:type="default"/>
          <w:footerReference r:id="rId6" w:type="even"/>
          <w:pgSz w:w="11906" w:h="16838"/>
          <w:pgMar w:top="1418" w:right="1588" w:bottom="1418" w:left="1365" w:header="851" w:footer="907" w:gutter="0"/>
          <w:pgNumType w:fmt="decimalFullWidth" w:start="0"/>
          <w:cols w:space="720" w:num="1"/>
          <w:titlePg/>
          <w:docGrid w:type="lines" w:linePitch="290" w:charSpace="0"/>
        </w:sectPr>
      </w:pPr>
    </w:p>
    <w:p w14:paraId="376E48C0">
      <w:pPr>
        <w:pStyle w:val="176"/>
        <w:jc w:val="center"/>
        <w:rPr>
          <w:rFonts w:hint="eastAsia" w:ascii="宋体" w:hAnsi="宋体" w:eastAsia="宋体"/>
          <w:b/>
          <w:bCs/>
          <w:color w:val="auto"/>
          <w:sz w:val="44"/>
          <w:szCs w:val="44"/>
        </w:rPr>
      </w:pPr>
      <w:bookmarkStart w:id="0" w:name="_Toc120614210"/>
      <w:bookmarkStart w:id="1" w:name="_Toc16938516"/>
      <w:bookmarkStart w:id="2" w:name="_Toc523127445"/>
      <w:bookmarkStart w:id="3" w:name="_Toc479757206"/>
      <w:bookmarkStart w:id="4" w:name="_Toc20823272"/>
      <w:bookmarkStart w:id="5" w:name="_Toc513029200"/>
      <w:r>
        <w:rPr>
          <w:rFonts w:ascii="宋体" w:hAnsi="宋体" w:eastAsia="宋体"/>
          <w:b/>
          <w:bCs/>
          <w:color w:val="auto"/>
          <w:sz w:val="44"/>
          <w:szCs w:val="44"/>
          <w:lang w:val="zh-CN"/>
        </w:rPr>
        <w:t>目</w:t>
      </w:r>
      <w:r>
        <w:rPr>
          <w:rFonts w:hint="eastAsia" w:ascii="宋体" w:hAnsi="宋体" w:eastAsia="宋体"/>
          <w:b/>
          <w:bCs/>
          <w:color w:val="auto"/>
          <w:sz w:val="44"/>
          <w:szCs w:val="44"/>
          <w:lang w:val="zh-CN"/>
        </w:rPr>
        <w:t xml:space="preserve"> </w:t>
      </w:r>
      <w:r>
        <w:rPr>
          <w:rFonts w:ascii="宋体" w:hAnsi="宋体" w:eastAsia="宋体"/>
          <w:b/>
          <w:bCs/>
          <w:color w:val="auto"/>
          <w:sz w:val="44"/>
          <w:szCs w:val="44"/>
          <w:lang w:val="zh-CN"/>
        </w:rPr>
        <w:t>录</w:t>
      </w:r>
    </w:p>
    <w:p w14:paraId="1CE9BCBA">
      <w:pPr>
        <w:pStyle w:val="28"/>
        <w:tabs>
          <w:tab w:val="right" w:leader="dot" w:pos="8931"/>
          <w:tab w:val="clear" w:pos="8296"/>
        </w:tabs>
        <w:rPr>
          <w:rFonts w:hint="eastAsia" w:ascii="等线" w:hAnsi="等线" w:eastAsia="等线"/>
          <w:sz w:val="21"/>
          <w:szCs w:val="22"/>
        </w:rPr>
      </w:pPr>
      <w:r>
        <w:fldChar w:fldCharType="begin"/>
      </w:r>
      <w:r>
        <w:instrText xml:space="preserve"> TOC \o "1-3" \h \z \u </w:instrText>
      </w:r>
      <w:r>
        <w:fldChar w:fldCharType="separate"/>
      </w:r>
      <w:r>
        <w:fldChar w:fldCharType="begin"/>
      </w:r>
      <w:r>
        <w:instrText xml:space="preserve"> HYPERLINK \l "_Toc24962234" </w:instrText>
      </w:r>
      <w:r>
        <w:fldChar w:fldCharType="separate"/>
      </w:r>
      <w:r>
        <w:rPr>
          <w:rStyle w:val="46"/>
          <w:rFonts w:ascii="宋体" w:hAnsi="宋体" w:eastAsia="宋体"/>
          <w:b/>
          <w:bCs/>
        </w:rPr>
        <w:t>第一章 竞争性磋商公告</w:t>
      </w:r>
      <w:r>
        <w:tab/>
      </w:r>
      <w:r>
        <w:fldChar w:fldCharType="begin"/>
      </w:r>
      <w:r>
        <w:instrText xml:space="preserve"> PAGEREF _Toc24962234 \h </w:instrText>
      </w:r>
      <w:r>
        <w:fldChar w:fldCharType="separate"/>
      </w:r>
      <w:r>
        <w:t>31</w:t>
      </w:r>
      <w:r>
        <w:fldChar w:fldCharType="end"/>
      </w:r>
      <w:r>
        <w:fldChar w:fldCharType="end"/>
      </w:r>
    </w:p>
    <w:p w14:paraId="4DF9F047">
      <w:pPr>
        <w:pStyle w:val="28"/>
        <w:tabs>
          <w:tab w:val="right" w:leader="dot" w:pos="8931"/>
          <w:tab w:val="clear" w:pos="8296"/>
        </w:tabs>
        <w:rPr>
          <w:rFonts w:hint="eastAsia" w:ascii="等线" w:hAnsi="等线" w:eastAsia="等线"/>
          <w:sz w:val="21"/>
          <w:szCs w:val="22"/>
        </w:rPr>
      </w:pPr>
      <w:r>
        <w:fldChar w:fldCharType="begin"/>
      </w:r>
      <w:r>
        <w:instrText xml:space="preserve"> HYPERLINK \l "_Toc24962235" </w:instrText>
      </w:r>
      <w:r>
        <w:fldChar w:fldCharType="separate"/>
      </w:r>
      <w:r>
        <w:rPr>
          <w:rStyle w:val="46"/>
          <w:rFonts w:ascii="宋体" w:hAnsi="宋体" w:eastAsia="宋体"/>
          <w:b/>
          <w:bCs/>
        </w:rPr>
        <w:t>第二章 竞争性磋商须知</w:t>
      </w:r>
      <w:r>
        <w:tab/>
      </w:r>
      <w:r>
        <w:fldChar w:fldCharType="begin"/>
      </w:r>
      <w:r>
        <w:instrText xml:space="preserve"> PAGEREF _Toc24962235 \h </w:instrText>
      </w:r>
      <w:r>
        <w:fldChar w:fldCharType="separate"/>
      </w:r>
      <w:r>
        <w:t>34</w:t>
      </w:r>
      <w:r>
        <w:fldChar w:fldCharType="end"/>
      </w:r>
      <w:r>
        <w:fldChar w:fldCharType="end"/>
      </w:r>
    </w:p>
    <w:p w14:paraId="0883C34A">
      <w:pPr>
        <w:pStyle w:val="28"/>
        <w:tabs>
          <w:tab w:val="right" w:leader="dot" w:pos="8931"/>
          <w:tab w:val="clear" w:pos="8296"/>
        </w:tabs>
        <w:rPr>
          <w:rFonts w:hint="eastAsia" w:ascii="等线" w:hAnsi="等线" w:eastAsia="等线"/>
          <w:sz w:val="21"/>
          <w:szCs w:val="22"/>
        </w:rPr>
      </w:pPr>
      <w:r>
        <w:fldChar w:fldCharType="begin"/>
      </w:r>
      <w:r>
        <w:instrText xml:space="preserve"> HYPERLINK \l "_Toc24962236" </w:instrText>
      </w:r>
      <w:r>
        <w:fldChar w:fldCharType="separate"/>
      </w:r>
      <w:r>
        <w:rPr>
          <w:rStyle w:val="46"/>
          <w:rFonts w:ascii="宋体" w:hAnsi="宋体" w:eastAsia="宋体"/>
          <w:b/>
          <w:bCs/>
        </w:rPr>
        <w:t>第三章 评标标准</w:t>
      </w:r>
      <w:r>
        <w:tab/>
      </w:r>
      <w:r>
        <w:fldChar w:fldCharType="begin"/>
      </w:r>
      <w:r>
        <w:instrText xml:space="preserve"> PAGEREF _Toc24962236 \h </w:instrText>
      </w:r>
      <w:r>
        <w:fldChar w:fldCharType="separate"/>
      </w:r>
      <w:r>
        <w:t>42</w:t>
      </w:r>
      <w:r>
        <w:fldChar w:fldCharType="end"/>
      </w:r>
      <w:r>
        <w:fldChar w:fldCharType="end"/>
      </w:r>
    </w:p>
    <w:p w14:paraId="41E7AC26">
      <w:pPr>
        <w:pStyle w:val="28"/>
        <w:tabs>
          <w:tab w:val="right" w:leader="dot" w:pos="8931"/>
          <w:tab w:val="clear" w:pos="8296"/>
        </w:tabs>
        <w:rPr>
          <w:rFonts w:hint="eastAsia" w:ascii="等线" w:hAnsi="等线" w:eastAsia="等线"/>
          <w:sz w:val="21"/>
          <w:szCs w:val="22"/>
        </w:rPr>
      </w:pPr>
      <w:r>
        <w:fldChar w:fldCharType="begin"/>
      </w:r>
      <w:r>
        <w:instrText xml:space="preserve"> HYPERLINK \l "_Toc24962237" </w:instrText>
      </w:r>
      <w:r>
        <w:fldChar w:fldCharType="separate"/>
      </w:r>
      <w:r>
        <w:rPr>
          <w:rStyle w:val="46"/>
          <w:rFonts w:ascii="宋体" w:hAnsi="宋体" w:eastAsia="宋体"/>
          <w:b/>
          <w:bCs/>
        </w:rPr>
        <w:t>第四章 技术规范</w:t>
      </w:r>
      <w:r>
        <w:tab/>
      </w:r>
      <w:r>
        <w:fldChar w:fldCharType="begin"/>
      </w:r>
      <w:r>
        <w:instrText xml:space="preserve"> PAGEREF _Toc24962237 \h </w:instrText>
      </w:r>
      <w:r>
        <w:fldChar w:fldCharType="separate"/>
      </w:r>
      <w:r>
        <w:t>45</w:t>
      </w:r>
      <w:r>
        <w:fldChar w:fldCharType="end"/>
      </w:r>
      <w:r>
        <w:fldChar w:fldCharType="end"/>
      </w:r>
    </w:p>
    <w:p w14:paraId="6FC40578">
      <w:pPr>
        <w:pStyle w:val="28"/>
        <w:tabs>
          <w:tab w:val="right" w:leader="dot" w:pos="8931"/>
          <w:tab w:val="clear" w:pos="8296"/>
        </w:tabs>
        <w:rPr>
          <w:rFonts w:hint="eastAsia" w:ascii="等线" w:hAnsi="等线" w:eastAsia="等线"/>
          <w:sz w:val="21"/>
          <w:szCs w:val="22"/>
        </w:rPr>
      </w:pPr>
      <w:r>
        <w:fldChar w:fldCharType="begin"/>
      </w:r>
      <w:r>
        <w:instrText xml:space="preserve"> HYPERLINK \l "_Toc24962238" </w:instrText>
      </w:r>
      <w:r>
        <w:fldChar w:fldCharType="separate"/>
      </w:r>
      <w:r>
        <w:rPr>
          <w:rStyle w:val="46"/>
          <w:rFonts w:ascii="宋体" w:hAnsi="宋体" w:eastAsia="宋体"/>
          <w:b/>
          <w:bCs/>
        </w:rPr>
        <w:t>第五章 合同主要条款</w:t>
      </w:r>
      <w:r>
        <w:tab/>
      </w:r>
      <w:r>
        <w:fldChar w:fldCharType="begin"/>
      </w:r>
      <w:r>
        <w:instrText xml:space="preserve"> PAGEREF _Toc24962238 \h </w:instrText>
      </w:r>
      <w:r>
        <w:fldChar w:fldCharType="separate"/>
      </w:r>
      <w:r>
        <w:t>45</w:t>
      </w:r>
      <w:r>
        <w:fldChar w:fldCharType="end"/>
      </w:r>
      <w:r>
        <w:fldChar w:fldCharType="end"/>
      </w:r>
    </w:p>
    <w:p w14:paraId="4E12BA5D">
      <w:pPr>
        <w:pStyle w:val="28"/>
        <w:tabs>
          <w:tab w:val="right" w:leader="dot" w:pos="8931"/>
          <w:tab w:val="clear" w:pos="8296"/>
        </w:tabs>
        <w:rPr>
          <w:rFonts w:hint="eastAsia" w:ascii="等线" w:hAnsi="等线"/>
          <w:sz w:val="21"/>
          <w:szCs w:val="22"/>
        </w:rPr>
      </w:pPr>
      <w:r>
        <w:fldChar w:fldCharType="begin"/>
      </w:r>
      <w:r>
        <w:instrText xml:space="preserve"> HYPERLINK \l "_Toc24962239" </w:instrText>
      </w:r>
      <w:r>
        <w:fldChar w:fldCharType="separate"/>
      </w:r>
      <w:r>
        <w:rPr>
          <w:rStyle w:val="46"/>
          <w:rFonts w:ascii="宋体" w:hAnsi="宋体" w:eastAsia="宋体"/>
          <w:b/>
          <w:bCs/>
        </w:rPr>
        <w:t>第六章 竞争性磋商响应文件格式</w:t>
      </w:r>
      <w:bookmarkStart w:id="6" w:name="_Hlt33003441"/>
      <w:bookmarkStart w:id="7" w:name="_Hlt33003440"/>
      <w:r>
        <w:tab/>
      </w:r>
      <w:bookmarkEnd w:id="6"/>
      <w:bookmarkEnd w:id="7"/>
      <w:r>
        <w:rPr>
          <w:rFonts w:hint="eastAsia"/>
        </w:rPr>
        <w:t>2</w:t>
      </w:r>
      <w:r>
        <w:rPr>
          <w:rFonts w:hint="eastAsia"/>
        </w:rPr>
        <w:fldChar w:fldCharType="end"/>
      </w:r>
      <w:r>
        <w:rPr>
          <w:rFonts w:hint="eastAsia"/>
        </w:rPr>
        <w:t>2</w:t>
      </w:r>
    </w:p>
    <w:p w14:paraId="3F845FAC">
      <w:pPr>
        <w:rPr>
          <w:rFonts w:hint="eastAsia" w:ascii="黑体" w:hAnsi="黑体" w:eastAsia="黑体"/>
          <w:sz w:val="36"/>
          <w:szCs w:val="36"/>
        </w:rPr>
        <w:sectPr>
          <w:headerReference r:id="rId7" w:type="first"/>
          <w:footerReference r:id="rId8" w:type="first"/>
          <w:pgSz w:w="11906" w:h="16838"/>
          <w:pgMar w:top="1418" w:right="1588" w:bottom="1418" w:left="1365" w:header="851" w:footer="907" w:gutter="0"/>
          <w:pgNumType w:fmt="decimalFullWidth" w:start="0"/>
          <w:cols w:space="720" w:num="1"/>
          <w:titlePg/>
          <w:docGrid w:type="lines" w:linePitch="290" w:charSpace="0"/>
        </w:sectPr>
      </w:pPr>
      <w:r>
        <w:rPr>
          <w:b/>
          <w:bCs/>
          <w:lang w:val="zh-CN"/>
        </w:rPr>
        <w:fldChar w:fldCharType="end"/>
      </w:r>
    </w:p>
    <w:p w14:paraId="545713D0">
      <w:pPr>
        <w:pStyle w:val="2"/>
        <w:spacing w:before="240" w:beforeLines="100" w:after="240" w:afterLines="100" w:line="400" w:lineRule="exact"/>
        <w:rPr>
          <w:rFonts w:hint="eastAsia" w:ascii="宋体" w:hAnsi="宋体" w:eastAsia="宋体"/>
          <w:b/>
          <w:bCs/>
          <w:sz w:val="32"/>
          <w:szCs w:val="32"/>
        </w:rPr>
      </w:pPr>
      <w:bookmarkStart w:id="8" w:name="_Toc24962234"/>
      <w:r>
        <w:rPr>
          <w:rFonts w:hint="eastAsia" w:ascii="宋体" w:hAnsi="宋体" w:eastAsia="宋体"/>
          <w:b/>
          <w:bCs/>
          <w:sz w:val="32"/>
          <w:szCs w:val="32"/>
        </w:rPr>
        <w:t xml:space="preserve">第一章 </w:t>
      </w:r>
      <w:bookmarkEnd w:id="0"/>
      <w:r>
        <w:rPr>
          <w:rFonts w:hint="eastAsia" w:ascii="宋体" w:hAnsi="宋体" w:eastAsia="宋体"/>
          <w:b/>
          <w:bCs/>
          <w:sz w:val="32"/>
          <w:szCs w:val="32"/>
        </w:rPr>
        <w:t>竞争性磋商公告</w:t>
      </w:r>
      <w:bookmarkEnd w:id="8"/>
      <w:bookmarkStart w:id="9" w:name="_Toc120614211"/>
    </w:p>
    <w:p w14:paraId="2B9FF399">
      <w:pPr>
        <w:pBdr>
          <w:top w:val="single" w:color="auto" w:sz="4" w:space="1"/>
          <w:left w:val="single" w:color="auto" w:sz="4" w:space="4"/>
          <w:bottom w:val="single" w:color="auto" w:sz="4" w:space="1"/>
          <w:right w:val="single" w:color="auto" w:sz="4" w:space="4"/>
        </w:pBdr>
        <w:spacing w:line="400" w:lineRule="exact"/>
        <w:ind w:firstLine="480" w:firstLineChars="200"/>
        <w:rPr>
          <w:rFonts w:hint="eastAsia" w:ascii="宋体" w:hAnsi="宋体"/>
          <w:sz w:val="24"/>
          <w:szCs w:val="24"/>
        </w:rPr>
      </w:pPr>
      <w:r>
        <w:rPr>
          <w:rFonts w:hint="eastAsia" w:ascii="宋体" w:hAnsi="宋体"/>
          <w:sz w:val="24"/>
          <w:szCs w:val="24"/>
        </w:rPr>
        <w:t>项目概况</w:t>
      </w:r>
    </w:p>
    <w:p w14:paraId="3250F0AD">
      <w:pPr>
        <w:pBdr>
          <w:top w:val="single" w:color="auto" w:sz="4" w:space="1"/>
          <w:left w:val="single" w:color="auto" w:sz="4" w:space="4"/>
          <w:bottom w:val="single" w:color="auto" w:sz="4" w:space="1"/>
          <w:right w:val="single" w:color="auto" w:sz="4" w:space="4"/>
        </w:pBdr>
        <w:spacing w:line="400" w:lineRule="exact"/>
        <w:ind w:firstLine="482" w:firstLineChars="200"/>
        <w:rPr>
          <w:rFonts w:hint="eastAsia" w:ascii="仿宋" w:hAnsi="仿宋" w:eastAsia="仿宋"/>
          <w:b/>
          <w:bCs/>
          <w:iCs/>
          <w:sz w:val="28"/>
          <w:szCs w:val="28"/>
          <w:u w:val="single"/>
        </w:rPr>
      </w:pPr>
      <w:r>
        <w:rPr>
          <w:rFonts w:hint="eastAsia" w:ascii="宋体" w:hAnsi="宋体"/>
          <w:b/>
          <w:bCs/>
          <w:iCs/>
          <w:sz w:val="24"/>
          <w:szCs w:val="24"/>
          <w:u w:val="single"/>
        </w:rPr>
        <w:t>南京机电职业技术学院电梯维保服务</w:t>
      </w:r>
      <w:r>
        <w:rPr>
          <w:rFonts w:hint="eastAsia" w:ascii="宋体" w:hAnsi="宋体"/>
          <w:sz w:val="24"/>
          <w:szCs w:val="24"/>
        </w:rPr>
        <w:t>采购项目的潜在供应商应在</w:t>
      </w:r>
      <w:r>
        <w:rPr>
          <w:rFonts w:hint="eastAsia" w:ascii="宋体" w:hAnsi="宋体"/>
          <w:b/>
          <w:bCs/>
          <w:iCs/>
          <w:sz w:val="24"/>
          <w:szCs w:val="24"/>
          <w:u w:val="single"/>
        </w:rPr>
        <w:t>中通服咨询设计研究院有限公司</w:t>
      </w:r>
      <w:r>
        <w:rPr>
          <w:rFonts w:hint="eastAsia" w:ascii="宋体" w:hAnsi="宋体"/>
          <w:sz w:val="24"/>
          <w:szCs w:val="24"/>
        </w:rPr>
        <w:t>获取采购文件，并于</w:t>
      </w:r>
      <w:r>
        <w:rPr>
          <w:rFonts w:hint="eastAsia" w:ascii="宋体" w:hAnsi="宋体"/>
          <w:b/>
          <w:bCs/>
          <w:sz w:val="24"/>
          <w:szCs w:val="24"/>
          <w:u w:val="single"/>
        </w:rPr>
        <w:t>2025年</w:t>
      </w:r>
      <w:r>
        <w:rPr>
          <w:rFonts w:hint="eastAsia" w:ascii="宋体" w:hAnsi="宋体"/>
          <w:b/>
          <w:bCs/>
          <w:sz w:val="24"/>
          <w:szCs w:val="24"/>
          <w:u w:val="single"/>
          <w:lang w:val="en-US" w:eastAsia="zh-CN"/>
        </w:rPr>
        <w:t>12</w:t>
      </w:r>
      <w:r>
        <w:rPr>
          <w:rFonts w:hint="eastAsia" w:ascii="宋体" w:hAnsi="宋体"/>
          <w:b/>
          <w:bCs/>
          <w:sz w:val="24"/>
          <w:szCs w:val="24"/>
          <w:u w:val="single"/>
        </w:rPr>
        <w:t>月</w:t>
      </w:r>
      <w:r>
        <w:rPr>
          <w:rFonts w:hint="eastAsia" w:ascii="宋体" w:hAnsi="宋体"/>
          <w:b/>
          <w:bCs/>
          <w:sz w:val="24"/>
          <w:szCs w:val="24"/>
          <w:u w:val="single"/>
          <w:lang w:val="en-US" w:eastAsia="zh-CN"/>
        </w:rPr>
        <w:t>5</w:t>
      </w:r>
      <w:r>
        <w:rPr>
          <w:rFonts w:hint="eastAsia" w:ascii="宋体" w:hAnsi="宋体"/>
          <w:b/>
          <w:bCs/>
          <w:sz w:val="24"/>
          <w:szCs w:val="24"/>
          <w:u w:val="single"/>
        </w:rPr>
        <w:t>日上午</w:t>
      </w:r>
      <w:r>
        <w:rPr>
          <w:rFonts w:hint="eastAsia" w:ascii="宋体" w:hAnsi="宋体"/>
          <w:b/>
          <w:bCs/>
          <w:sz w:val="24"/>
          <w:szCs w:val="24"/>
          <w:u w:val="single"/>
          <w:lang w:val="en-US" w:eastAsia="zh-CN"/>
        </w:rPr>
        <w:t>9</w:t>
      </w:r>
      <w:r>
        <w:rPr>
          <w:rFonts w:hint="eastAsia" w:ascii="宋体" w:hAnsi="宋体"/>
          <w:b/>
          <w:bCs/>
          <w:sz w:val="24"/>
          <w:szCs w:val="24"/>
          <w:u w:val="single"/>
        </w:rPr>
        <w:t>点</w:t>
      </w:r>
      <w:r>
        <w:rPr>
          <w:rFonts w:hint="eastAsia" w:ascii="宋体" w:hAnsi="宋体"/>
          <w:b/>
          <w:bCs/>
          <w:sz w:val="24"/>
          <w:szCs w:val="24"/>
          <w:u w:val="single"/>
          <w:lang w:val="en-US" w:eastAsia="zh-CN"/>
        </w:rPr>
        <w:t>30</w:t>
      </w:r>
      <w:r>
        <w:rPr>
          <w:rFonts w:hint="eastAsia" w:ascii="宋体" w:hAnsi="宋体"/>
          <w:b/>
          <w:bCs/>
          <w:sz w:val="24"/>
          <w:szCs w:val="24"/>
          <w:u w:val="single"/>
        </w:rPr>
        <w:t>分</w:t>
      </w:r>
      <w:r>
        <w:rPr>
          <w:rFonts w:hint="eastAsia" w:ascii="宋体" w:hAnsi="宋体"/>
          <w:bCs/>
          <w:sz w:val="24"/>
          <w:szCs w:val="24"/>
        </w:rPr>
        <w:t>（北京时间）前提交响应</w:t>
      </w:r>
      <w:r>
        <w:rPr>
          <w:rFonts w:ascii="宋体" w:hAnsi="宋体"/>
          <w:bCs/>
          <w:sz w:val="24"/>
          <w:szCs w:val="24"/>
        </w:rPr>
        <w:t>文件</w:t>
      </w:r>
      <w:r>
        <w:rPr>
          <w:rFonts w:hint="eastAsia" w:ascii="宋体" w:hAnsi="宋体"/>
          <w:sz w:val="24"/>
          <w:szCs w:val="24"/>
        </w:rPr>
        <w:t>。</w:t>
      </w:r>
    </w:p>
    <w:p w14:paraId="662DEA3F">
      <w:pPr>
        <w:spacing w:line="400" w:lineRule="exact"/>
        <w:ind w:firstLine="482" w:firstLineChars="200"/>
        <w:rPr>
          <w:rFonts w:hint="eastAsia" w:ascii="宋体" w:hAnsi="宋体" w:cs="宋体"/>
          <w:sz w:val="24"/>
          <w:szCs w:val="24"/>
        </w:rPr>
      </w:pPr>
      <w:bookmarkStart w:id="10" w:name="_Toc35393798"/>
      <w:bookmarkStart w:id="11" w:name="_Toc35393629"/>
      <w:bookmarkStart w:id="12" w:name="_Toc28359089"/>
      <w:bookmarkStart w:id="13" w:name="_Toc28359012"/>
      <w:r>
        <w:rPr>
          <w:rFonts w:hint="eastAsia" w:ascii="宋体" w:hAnsi="宋体" w:cs="宋体"/>
          <w:b/>
          <w:bCs/>
          <w:sz w:val="24"/>
          <w:szCs w:val="24"/>
        </w:rPr>
        <w:t>一、项目基本情况</w:t>
      </w:r>
      <w:bookmarkEnd w:id="10"/>
      <w:bookmarkEnd w:id="11"/>
      <w:bookmarkEnd w:id="12"/>
      <w:bookmarkEnd w:id="13"/>
    </w:p>
    <w:p w14:paraId="0A806515">
      <w:pPr>
        <w:spacing w:line="400" w:lineRule="exact"/>
        <w:ind w:firstLine="482" w:firstLineChars="200"/>
        <w:rPr>
          <w:rFonts w:hint="eastAsia" w:ascii="宋体" w:hAnsi="宋体" w:eastAsia="宋体" w:cs="宋体"/>
          <w:sz w:val="24"/>
          <w:szCs w:val="24"/>
          <w:lang w:val="en-US" w:eastAsia="zh-CN"/>
        </w:rPr>
      </w:pPr>
      <w:r>
        <w:rPr>
          <w:rFonts w:hint="eastAsia" w:ascii="宋体" w:hAnsi="宋体" w:cs="宋体"/>
          <w:b/>
          <w:bCs/>
          <w:sz w:val="24"/>
          <w:szCs w:val="24"/>
        </w:rPr>
        <w:t>项目编号</w:t>
      </w:r>
      <w:r>
        <w:rPr>
          <w:rFonts w:hint="eastAsia" w:ascii="宋体" w:hAnsi="宋体" w:cs="宋体"/>
          <w:sz w:val="24"/>
          <w:szCs w:val="24"/>
        </w:rPr>
        <w:t>：NIMT-CS-202500</w:t>
      </w:r>
      <w:r>
        <w:rPr>
          <w:rFonts w:hint="eastAsia" w:ascii="宋体" w:hAnsi="宋体" w:cs="宋体"/>
          <w:sz w:val="24"/>
          <w:szCs w:val="24"/>
          <w:lang w:val="en-US" w:eastAsia="zh-CN"/>
        </w:rPr>
        <w:t>7</w:t>
      </w:r>
    </w:p>
    <w:p w14:paraId="7AB28335">
      <w:pPr>
        <w:spacing w:line="400" w:lineRule="exact"/>
        <w:ind w:firstLine="482" w:firstLineChars="200"/>
        <w:rPr>
          <w:rFonts w:hint="eastAsia" w:ascii="宋体" w:hAnsi="宋体" w:cs="宋体"/>
          <w:sz w:val="24"/>
          <w:szCs w:val="24"/>
        </w:rPr>
      </w:pPr>
      <w:r>
        <w:rPr>
          <w:rFonts w:hint="eastAsia" w:ascii="宋体" w:hAnsi="宋体" w:cs="宋体"/>
          <w:b/>
          <w:bCs/>
          <w:sz w:val="24"/>
          <w:szCs w:val="24"/>
        </w:rPr>
        <w:t>项目名称：</w:t>
      </w:r>
      <w:r>
        <w:rPr>
          <w:rFonts w:hint="eastAsia" w:ascii="宋体" w:hAnsi="宋体" w:cs="宋体"/>
          <w:sz w:val="24"/>
          <w:szCs w:val="24"/>
        </w:rPr>
        <w:t>南京机电职业技术学院电梯维保服务项目</w:t>
      </w:r>
    </w:p>
    <w:p w14:paraId="2D608B61">
      <w:pPr>
        <w:spacing w:line="400" w:lineRule="exact"/>
        <w:ind w:firstLine="482" w:firstLineChars="200"/>
        <w:rPr>
          <w:rFonts w:hint="eastAsia" w:ascii="宋体" w:hAnsi="宋体" w:cs="宋体"/>
          <w:sz w:val="24"/>
          <w:szCs w:val="24"/>
        </w:rPr>
      </w:pPr>
      <w:r>
        <w:rPr>
          <w:rFonts w:hint="eastAsia" w:ascii="宋体" w:hAnsi="宋体" w:cs="宋体"/>
          <w:b/>
          <w:bCs/>
          <w:sz w:val="24"/>
          <w:szCs w:val="24"/>
        </w:rPr>
        <w:t>采购方式：竞争性磋商</w:t>
      </w:r>
    </w:p>
    <w:p w14:paraId="6BCFDD48">
      <w:pPr>
        <w:spacing w:line="400" w:lineRule="exact"/>
        <w:ind w:firstLine="482" w:firstLineChars="200"/>
        <w:rPr>
          <w:rFonts w:hint="eastAsia" w:ascii="宋体" w:hAnsi="宋体" w:cs="宋体"/>
          <w:sz w:val="24"/>
          <w:szCs w:val="24"/>
        </w:rPr>
      </w:pPr>
      <w:r>
        <w:rPr>
          <w:rFonts w:hint="eastAsia" w:ascii="宋体" w:hAnsi="宋体" w:cs="宋体"/>
          <w:b/>
          <w:bCs/>
          <w:sz w:val="24"/>
          <w:szCs w:val="24"/>
        </w:rPr>
        <w:t>预算金额：</w:t>
      </w:r>
      <w:r>
        <w:rPr>
          <w:rFonts w:hint="eastAsia" w:ascii="宋体" w:hAnsi="宋体" w:cs="宋体"/>
          <w:sz w:val="24"/>
          <w:szCs w:val="24"/>
          <w:lang w:val="en-US" w:eastAsia="zh-CN"/>
        </w:rPr>
        <w:t>23万元人民币/年</w:t>
      </w:r>
      <w:r>
        <w:rPr>
          <w:rFonts w:hint="eastAsia" w:ascii="宋体" w:hAnsi="宋体" w:cs="宋体"/>
          <w:sz w:val="24"/>
          <w:szCs w:val="24"/>
        </w:rPr>
        <w:t>。</w:t>
      </w:r>
    </w:p>
    <w:p w14:paraId="2068F337">
      <w:pPr>
        <w:spacing w:line="400" w:lineRule="exact"/>
        <w:ind w:firstLine="482" w:firstLineChars="200"/>
        <w:rPr>
          <w:rFonts w:hint="eastAsia" w:ascii="宋体" w:hAnsi="宋体" w:cs="宋体"/>
          <w:sz w:val="24"/>
          <w:szCs w:val="24"/>
        </w:rPr>
      </w:pPr>
      <w:r>
        <w:rPr>
          <w:rFonts w:hint="eastAsia" w:ascii="宋体" w:hAnsi="宋体" w:cs="宋体"/>
          <w:b/>
          <w:bCs/>
          <w:sz w:val="24"/>
          <w:szCs w:val="24"/>
        </w:rPr>
        <w:t>最高限价</w:t>
      </w:r>
      <w:r>
        <w:rPr>
          <w:rFonts w:hint="eastAsia" w:ascii="宋体" w:hAnsi="宋体" w:cs="宋体"/>
          <w:sz w:val="24"/>
          <w:szCs w:val="24"/>
        </w:rPr>
        <w:t>：</w:t>
      </w:r>
      <w:r>
        <w:rPr>
          <w:rFonts w:hint="eastAsia" w:ascii="宋体" w:hAnsi="宋体" w:cs="宋体"/>
          <w:sz w:val="24"/>
          <w:szCs w:val="24"/>
          <w:lang w:val="en-US" w:eastAsia="zh-CN"/>
        </w:rPr>
        <w:t>23万元人民币/年，超过限价将被否决</w:t>
      </w:r>
      <w:r>
        <w:rPr>
          <w:rFonts w:hint="eastAsia" w:ascii="宋体" w:hAnsi="宋体" w:cs="宋体"/>
          <w:sz w:val="24"/>
          <w:szCs w:val="24"/>
        </w:rPr>
        <w:t>。</w:t>
      </w:r>
    </w:p>
    <w:p w14:paraId="754759B9">
      <w:pPr>
        <w:spacing w:line="400" w:lineRule="exact"/>
        <w:ind w:firstLine="482" w:firstLineChars="200"/>
        <w:rPr>
          <w:rFonts w:hint="eastAsia" w:ascii="宋体" w:hAnsi="宋体" w:cs="宋体"/>
          <w:b/>
          <w:bCs/>
          <w:sz w:val="24"/>
          <w:szCs w:val="24"/>
        </w:rPr>
      </w:pPr>
      <w:r>
        <w:rPr>
          <w:rFonts w:hint="eastAsia" w:ascii="宋体" w:hAnsi="宋体" w:cs="宋体"/>
          <w:b/>
          <w:bCs/>
          <w:sz w:val="24"/>
          <w:szCs w:val="24"/>
        </w:rPr>
        <w:t>采购需求：</w:t>
      </w:r>
    </w:p>
    <w:p w14:paraId="4D49F8C1">
      <w:pPr>
        <w:pStyle w:val="48"/>
        <w:spacing w:line="400" w:lineRule="exact"/>
        <w:ind w:firstLine="480"/>
        <w:rPr>
          <w:rFonts w:hint="eastAsia" w:hAnsi="宋体" w:cs="宋体"/>
          <w:szCs w:val="24"/>
          <w:lang w:bidi="ar"/>
        </w:rPr>
      </w:pPr>
      <w:r>
        <w:rPr>
          <w:rFonts w:hint="eastAsia" w:hAnsi="宋体" w:cs="宋体"/>
          <w:szCs w:val="24"/>
          <w:lang w:bidi="ar"/>
        </w:rPr>
        <w:t>高淳校区23台电梯维保服务，服务期3年。</w:t>
      </w:r>
    </w:p>
    <w:tbl>
      <w:tblPr>
        <w:tblStyle w:val="39"/>
        <w:tblW w:w="4997" w:type="pct"/>
        <w:tblInd w:w="0" w:type="dxa"/>
        <w:tblLayout w:type="autofit"/>
        <w:tblCellMar>
          <w:top w:w="0" w:type="dxa"/>
          <w:left w:w="108" w:type="dxa"/>
          <w:bottom w:w="0" w:type="dxa"/>
          <w:right w:w="108" w:type="dxa"/>
        </w:tblCellMar>
      </w:tblPr>
      <w:tblGrid>
        <w:gridCol w:w="691"/>
        <w:gridCol w:w="2292"/>
        <w:gridCol w:w="1649"/>
        <w:gridCol w:w="1275"/>
        <w:gridCol w:w="746"/>
        <w:gridCol w:w="954"/>
        <w:gridCol w:w="971"/>
      </w:tblGrid>
      <w:tr w14:paraId="456491CA">
        <w:trPr>
          <w:trHeight w:val="450" w:hRule="atLeast"/>
        </w:trPr>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9AC30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序号</w:t>
            </w:r>
          </w:p>
        </w:tc>
        <w:tc>
          <w:tcPr>
            <w:tcW w:w="1336" w:type="pct"/>
            <w:tcBorders>
              <w:top w:val="single" w:color="000000" w:sz="4" w:space="0"/>
              <w:left w:val="single" w:color="000000" w:sz="4" w:space="0"/>
              <w:bottom w:val="single" w:color="000000" w:sz="4" w:space="0"/>
              <w:right w:val="single" w:color="000000" w:sz="4" w:space="0"/>
            </w:tcBorders>
            <w:vAlign w:val="center"/>
          </w:tcPr>
          <w:p w14:paraId="6F3A1AF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品牌（制造单位）</w:t>
            </w:r>
          </w:p>
        </w:tc>
        <w:tc>
          <w:tcPr>
            <w:tcW w:w="961" w:type="pct"/>
            <w:tcBorders>
              <w:top w:val="single" w:color="000000" w:sz="4" w:space="0"/>
              <w:left w:val="single" w:color="000000" w:sz="4" w:space="0"/>
              <w:bottom w:val="single" w:color="000000" w:sz="4" w:space="0"/>
              <w:right w:val="single" w:color="000000" w:sz="4" w:space="0"/>
            </w:tcBorders>
            <w:vAlign w:val="center"/>
          </w:tcPr>
          <w:p w14:paraId="232A8EE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梯型</w:t>
            </w:r>
          </w:p>
        </w:tc>
        <w:tc>
          <w:tcPr>
            <w:tcW w:w="743" w:type="pct"/>
            <w:tcBorders>
              <w:top w:val="single" w:color="000000" w:sz="4" w:space="0"/>
              <w:left w:val="single" w:color="000000" w:sz="4" w:space="0"/>
              <w:bottom w:val="single" w:color="000000" w:sz="4" w:space="0"/>
              <w:right w:val="single" w:color="000000" w:sz="4" w:space="0"/>
            </w:tcBorders>
            <w:vAlign w:val="center"/>
          </w:tcPr>
          <w:p w14:paraId="32B97E9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电梯型号</w:t>
            </w:r>
          </w:p>
        </w:tc>
        <w:tc>
          <w:tcPr>
            <w:tcW w:w="435" w:type="pct"/>
            <w:tcBorders>
              <w:top w:val="single" w:color="000000" w:sz="4" w:space="0"/>
              <w:left w:val="single" w:color="000000" w:sz="4" w:space="0"/>
              <w:bottom w:val="single" w:color="000000" w:sz="4" w:space="0"/>
              <w:right w:val="single" w:color="000000" w:sz="4" w:space="0"/>
            </w:tcBorders>
            <w:vAlign w:val="center"/>
          </w:tcPr>
          <w:p w14:paraId="113A9A6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层/站/门</w:t>
            </w:r>
          </w:p>
        </w:tc>
        <w:tc>
          <w:tcPr>
            <w:tcW w:w="556" w:type="pct"/>
            <w:tcBorders>
              <w:top w:val="single" w:color="000000" w:sz="4" w:space="0"/>
              <w:left w:val="single" w:color="000000" w:sz="4" w:space="0"/>
              <w:bottom w:val="single" w:color="000000" w:sz="4" w:space="0"/>
              <w:right w:val="single" w:color="000000" w:sz="4" w:space="0"/>
            </w:tcBorders>
            <w:vAlign w:val="center"/>
          </w:tcPr>
          <w:p w14:paraId="1041838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载重量(kg)</w:t>
            </w:r>
          </w:p>
        </w:tc>
        <w:tc>
          <w:tcPr>
            <w:tcW w:w="564" w:type="pct"/>
            <w:tcBorders>
              <w:top w:val="single" w:color="000000" w:sz="4" w:space="0"/>
              <w:left w:val="single" w:color="000000" w:sz="4" w:space="0"/>
              <w:bottom w:val="single" w:color="000000" w:sz="4" w:space="0"/>
              <w:right w:val="single" w:color="000000" w:sz="4" w:space="0"/>
            </w:tcBorders>
            <w:vAlign w:val="center"/>
          </w:tcPr>
          <w:p w14:paraId="3C5FE1C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速度（m/s）</w:t>
            </w:r>
          </w:p>
        </w:tc>
      </w:tr>
      <w:tr w14:paraId="4B6CBBD9">
        <w:tblPrEx>
          <w:tblCellMar>
            <w:top w:w="0" w:type="dxa"/>
            <w:left w:w="108" w:type="dxa"/>
            <w:bottom w:w="0" w:type="dxa"/>
            <w:right w:w="108" w:type="dxa"/>
          </w:tblCellMar>
        </w:tblPrEx>
        <w:trPr>
          <w:trHeight w:val="450" w:hRule="atLeast"/>
        </w:trPr>
        <w:tc>
          <w:tcPr>
            <w:tcW w:w="403" w:type="pct"/>
            <w:tcBorders>
              <w:top w:val="single" w:color="000000" w:sz="4" w:space="0"/>
              <w:left w:val="single" w:color="000000" w:sz="4" w:space="0"/>
              <w:bottom w:val="single" w:color="000000" w:sz="4" w:space="0"/>
              <w:right w:val="single" w:color="000000" w:sz="4" w:space="0"/>
            </w:tcBorders>
            <w:vAlign w:val="center"/>
          </w:tcPr>
          <w:p w14:paraId="3E39C2B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1</w:t>
            </w:r>
          </w:p>
        </w:tc>
        <w:tc>
          <w:tcPr>
            <w:tcW w:w="1336" w:type="pct"/>
            <w:tcBorders>
              <w:top w:val="single" w:color="000000" w:sz="4" w:space="0"/>
              <w:left w:val="single" w:color="000000" w:sz="4" w:space="0"/>
              <w:bottom w:val="single" w:color="000000" w:sz="4" w:space="0"/>
              <w:right w:val="single" w:color="000000" w:sz="4" w:space="0"/>
            </w:tcBorders>
            <w:vAlign w:val="center"/>
          </w:tcPr>
          <w:p w14:paraId="48EF68C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日立电梯（中国）有限公司</w:t>
            </w:r>
          </w:p>
        </w:tc>
        <w:tc>
          <w:tcPr>
            <w:tcW w:w="961" w:type="pct"/>
            <w:tcBorders>
              <w:top w:val="single" w:color="000000" w:sz="4" w:space="0"/>
              <w:left w:val="single" w:color="000000" w:sz="4" w:space="0"/>
              <w:bottom w:val="single" w:color="000000" w:sz="4" w:space="0"/>
              <w:right w:val="single" w:color="000000" w:sz="4" w:space="0"/>
            </w:tcBorders>
            <w:vAlign w:val="center"/>
          </w:tcPr>
          <w:p w14:paraId="2394728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曳引驱动（无机房）乘客电梯</w:t>
            </w:r>
          </w:p>
        </w:tc>
        <w:tc>
          <w:tcPr>
            <w:tcW w:w="743" w:type="pct"/>
            <w:tcBorders>
              <w:top w:val="single" w:color="000000" w:sz="4" w:space="0"/>
              <w:left w:val="single" w:color="000000" w:sz="4" w:space="0"/>
              <w:bottom w:val="single" w:color="000000" w:sz="4" w:space="0"/>
              <w:right w:val="single" w:color="000000" w:sz="4" w:space="0"/>
            </w:tcBorders>
            <w:vAlign w:val="center"/>
          </w:tcPr>
          <w:p w14:paraId="10F9F6F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LGE</w:t>
            </w:r>
          </w:p>
        </w:tc>
        <w:tc>
          <w:tcPr>
            <w:tcW w:w="435" w:type="pct"/>
            <w:tcBorders>
              <w:top w:val="single" w:color="000000" w:sz="4" w:space="0"/>
              <w:left w:val="single" w:color="000000" w:sz="4" w:space="0"/>
              <w:bottom w:val="single" w:color="000000" w:sz="4" w:space="0"/>
              <w:right w:val="single" w:color="000000" w:sz="4" w:space="0"/>
            </w:tcBorders>
            <w:vAlign w:val="center"/>
          </w:tcPr>
          <w:p w14:paraId="6084205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9/9/9</w:t>
            </w:r>
          </w:p>
        </w:tc>
        <w:tc>
          <w:tcPr>
            <w:tcW w:w="556" w:type="pct"/>
            <w:tcBorders>
              <w:top w:val="single" w:color="000000" w:sz="4" w:space="0"/>
              <w:left w:val="single" w:color="000000" w:sz="4" w:space="0"/>
              <w:bottom w:val="single" w:color="000000" w:sz="4" w:space="0"/>
              <w:right w:val="single" w:color="000000" w:sz="4" w:space="0"/>
            </w:tcBorders>
            <w:vAlign w:val="center"/>
          </w:tcPr>
          <w:p w14:paraId="47DAB0A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1000kg</w:t>
            </w:r>
          </w:p>
        </w:tc>
        <w:tc>
          <w:tcPr>
            <w:tcW w:w="564" w:type="pct"/>
            <w:tcBorders>
              <w:top w:val="single" w:color="000000" w:sz="4" w:space="0"/>
              <w:left w:val="single" w:color="000000" w:sz="4" w:space="0"/>
              <w:bottom w:val="single" w:color="000000" w:sz="4" w:space="0"/>
              <w:right w:val="single" w:color="000000" w:sz="4" w:space="0"/>
            </w:tcBorders>
            <w:vAlign w:val="center"/>
          </w:tcPr>
          <w:p w14:paraId="2BB7F63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1.0m/s</w:t>
            </w:r>
          </w:p>
        </w:tc>
      </w:tr>
      <w:tr w14:paraId="68A11748">
        <w:tblPrEx>
          <w:tblCellMar>
            <w:top w:w="0" w:type="dxa"/>
            <w:left w:w="108" w:type="dxa"/>
            <w:bottom w:w="0" w:type="dxa"/>
            <w:right w:w="108" w:type="dxa"/>
          </w:tblCellMar>
        </w:tblPrEx>
        <w:trPr>
          <w:trHeight w:val="450" w:hRule="atLeast"/>
        </w:trPr>
        <w:tc>
          <w:tcPr>
            <w:tcW w:w="403" w:type="pct"/>
            <w:tcBorders>
              <w:top w:val="single" w:color="000000" w:sz="4" w:space="0"/>
              <w:left w:val="single" w:color="000000" w:sz="4" w:space="0"/>
              <w:bottom w:val="single" w:color="000000" w:sz="4" w:space="0"/>
              <w:right w:val="single" w:color="000000" w:sz="4" w:space="0"/>
            </w:tcBorders>
            <w:vAlign w:val="center"/>
          </w:tcPr>
          <w:p w14:paraId="256F4BF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2</w:t>
            </w:r>
          </w:p>
        </w:tc>
        <w:tc>
          <w:tcPr>
            <w:tcW w:w="1336" w:type="pct"/>
            <w:tcBorders>
              <w:top w:val="single" w:color="000000" w:sz="4" w:space="0"/>
              <w:left w:val="single" w:color="000000" w:sz="4" w:space="0"/>
              <w:bottom w:val="single" w:color="000000" w:sz="4" w:space="0"/>
              <w:right w:val="single" w:color="000000" w:sz="4" w:space="0"/>
            </w:tcBorders>
            <w:vAlign w:val="center"/>
          </w:tcPr>
          <w:p w14:paraId="39C1742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日立电梯（中国）有限公司</w:t>
            </w:r>
          </w:p>
        </w:tc>
        <w:tc>
          <w:tcPr>
            <w:tcW w:w="961" w:type="pct"/>
            <w:tcBorders>
              <w:top w:val="single" w:color="000000" w:sz="4" w:space="0"/>
              <w:left w:val="single" w:color="000000" w:sz="4" w:space="0"/>
              <w:bottom w:val="single" w:color="000000" w:sz="4" w:space="0"/>
              <w:right w:val="single" w:color="000000" w:sz="4" w:space="0"/>
            </w:tcBorders>
            <w:vAlign w:val="center"/>
          </w:tcPr>
          <w:p w14:paraId="4D91016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曳引驱动（无机房）乘客电梯</w:t>
            </w:r>
          </w:p>
        </w:tc>
        <w:tc>
          <w:tcPr>
            <w:tcW w:w="743" w:type="pct"/>
            <w:tcBorders>
              <w:top w:val="single" w:color="000000" w:sz="4" w:space="0"/>
              <w:left w:val="single" w:color="000000" w:sz="4" w:space="0"/>
              <w:bottom w:val="single" w:color="000000" w:sz="4" w:space="0"/>
              <w:right w:val="single" w:color="000000" w:sz="4" w:space="0"/>
            </w:tcBorders>
            <w:vAlign w:val="center"/>
          </w:tcPr>
          <w:p w14:paraId="4EF0EB4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LGE</w:t>
            </w:r>
          </w:p>
        </w:tc>
        <w:tc>
          <w:tcPr>
            <w:tcW w:w="435" w:type="pct"/>
            <w:tcBorders>
              <w:top w:val="single" w:color="000000" w:sz="4" w:space="0"/>
              <w:left w:val="single" w:color="000000" w:sz="4" w:space="0"/>
              <w:bottom w:val="single" w:color="000000" w:sz="4" w:space="0"/>
              <w:right w:val="single" w:color="000000" w:sz="4" w:space="0"/>
            </w:tcBorders>
            <w:vAlign w:val="center"/>
          </w:tcPr>
          <w:p w14:paraId="0B7F92A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9/9/9</w:t>
            </w:r>
          </w:p>
        </w:tc>
        <w:tc>
          <w:tcPr>
            <w:tcW w:w="556" w:type="pct"/>
            <w:tcBorders>
              <w:top w:val="single" w:color="000000" w:sz="4" w:space="0"/>
              <w:left w:val="single" w:color="000000" w:sz="4" w:space="0"/>
              <w:bottom w:val="single" w:color="000000" w:sz="4" w:space="0"/>
              <w:right w:val="single" w:color="000000" w:sz="4" w:space="0"/>
            </w:tcBorders>
            <w:vAlign w:val="center"/>
          </w:tcPr>
          <w:p w14:paraId="38292A6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1000kg</w:t>
            </w:r>
          </w:p>
        </w:tc>
        <w:tc>
          <w:tcPr>
            <w:tcW w:w="564" w:type="pct"/>
            <w:tcBorders>
              <w:top w:val="single" w:color="000000" w:sz="4" w:space="0"/>
              <w:left w:val="single" w:color="000000" w:sz="4" w:space="0"/>
              <w:bottom w:val="single" w:color="000000" w:sz="4" w:space="0"/>
              <w:right w:val="single" w:color="000000" w:sz="4" w:space="0"/>
            </w:tcBorders>
            <w:vAlign w:val="center"/>
          </w:tcPr>
          <w:p w14:paraId="1E4C1A7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1.0m/s</w:t>
            </w:r>
          </w:p>
        </w:tc>
      </w:tr>
      <w:tr w14:paraId="3C566C69">
        <w:tblPrEx>
          <w:tblCellMar>
            <w:top w:w="0" w:type="dxa"/>
            <w:left w:w="108" w:type="dxa"/>
            <w:bottom w:w="0" w:type="dxa"/>
            <w:right w:w="108" w:type="dxa"/>
          </w:tblCellMar>
        </w:tblPrEx>
        <w:trPr>
          <w:trHeight w:val="450" w:hRule="atLeast"/>
        </w:trPr>
        <w:tc>
          <w:tcPr>
            <w:tcW w:w="403" w:type="pct"/>
            <w:tcBorders>
              <w:top w:val="single" w:color="000000" w:sz="4" w:space="0"/>
              <w:left w:val="single" w:color="000000" w:sz="4" w:space="0"/>
              <w:bottom w:val="single" w:color="000000" w:sz="4" w:space="0"/>
              <w:right w:val="single" w:color="000000" w:sz="4" w:space="0"/>
            </w:tcBorders>
            <w:vAlign w:val="center"/>
          </w:tcPr>
          <w:p w14:paraId="0707184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3</w:t>
            </w:r>
          </w:p>
        </w:tc>
        <w:tc>
          <w:tcPr>
            <w:tcW w:w="1336" w:type="pct"/>
            <w:tcBorders>
              <w:top w:val="single" w:color="000000" w:sz="4" w:space="0"/>
              <w:left w:val="single" w:color="000000" w:sz="4" w:space="0"/>
              <w:bottom w:val="single" w:color="000000" w:sz="4" w:space="0"/>
              <w:right w:val="single" w:color="000000" w:sz="4" w:space="0"/>
            </w:tcBorders>
            <w:vAlign w:val="center"/>
          </w:tcPr>
          <w:p w14:paraId="363A02B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日立电梯（中国）有限公司</w:t>
            </w:r>
          </w:p>
        </w:tc>
        <w:tc>
          <w:tcPr>
            <w:tcW w:w="961" w:type="pct"/>
            <w:tcBorders>
              <w:top w:val="single" w:color="000000" w:sz="4" w:space="0"/>
              <w:left w:val="single" w:color="000000" w:sz="4" w:space="0"/>
              <w:bottom w:val="single" w:color="000000" w:sz="4" w:space="0"/>
              <w:right w:val="single" w:color="000000" w:sz="4" w:space="0"/>
            </w:tcBorders>
            <w:vAlign w:val="center"/>
          </w:tcPr>
          <w:p w14:paraId="6A876B3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曳引驱动（无机房）载货电梯</w:t>
            </w:r>
          </w:p>
        </w:tc>
        <w:tc>
          <w:tcPr>
            <w:tcW w:w="743" w:type="pct"/>
            <w:tcBorders>
              <w:top w:val="single" w:color="000000" w:sz="4" w:space="0"/>
              <w:left w:val="single" w:color="000000" w:sz="4" w:space="0"/>
              <w:bottom w:val="single" w:color="000000" w:sz="4" w:space="0"/>
              <w:right w:val="single" w:color="000000" w:sz="4" w:space="0"/>
            </w:tcBorders>
            <w:vAlign w:val="center"/>
          </w:tcPr>
          <w:p w14:paraId="682A02E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LF-MRL</w:t>
            </w:r>
          </w:p>
        </w:tc>
        <w:tc>
          <w:tcPr>
            <w:tcW w:w="435" w:type="pct"/>
            <w:tcBorders>
              <w:top w:val="single" w:color="000000" w:sz="4" w:space="0"/>
              <w:left w:val="single" w:color="000000" w:sz="4" w:space="0"/>
              <w:bottom w:val="single" w:color="000000" w:sz="4" w:space="0"/>
              <w:right w:val="single" w:color="000000" w:sz="4" w:space="0"/>
            </w:tcBorders>
            <w:vAlign w:val="center"/>
          </w:tcPr>
          <w:p w14:paraId="2EBE993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4/4/4</w:t>
            </w:r>
          </w:p>
        </w:tc>
        <w:tc>
          <w:tcPr>
            <w:tcW w:w="556" w:type="pct"/>
            <w:tcBorders>
              <w:top w:val="single" w:color="000000" w:sz="4" w:space="0"/>
              <w:left w:val="single" w:color="000000" w:sz="4" w:space="0"/>
              <w:bottom w:val="single" w:color="000000" w:sz="4" w:space="0"/>
              <w:right w:val="single" w:color="000000" w:sz="4" w:space="0"/>
            </w:tcBorders>
            <w:vAlign w:val="center"/>
          </w:tcPr>
          <w:p w14:paraId="61095E8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3000kg</w:t>
            </w:r>
          </w:p>
        </w:tc>
        <w:tc>
          <w:tcPr>
            <w:tcW w:w="564" w:type="pct"/>
            <w:tcBorders>
              <w:top w:val="single" w:color="000000" w:sz="4" w:space="0"/>
              <w:left w:val="single" w:color="000000" w:sz="4" w:space="0"/>
              <w:bottom w:val="single" w:color="000000" w:sz="4" w:space="0"/>
              <w:right w:val="single" w:color="000000" w:sz="4" w:space="0"/>
            </w:tcBorders>
            <w:vAlign w:val="center"/>
          </w:tcPr>
          <w:p w14:paraId="3F7D133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0.5m/s</w:t>
            </w:r>
          </w:p>
        </w:tc>
      </w:tr>
      <w:tr w14:paraId="64F3E446">
        <w:tblPrEx>
          <w:tblCellMar>
            <w:top w:w="0" w:type="dxa"/>
            <w:left w:w="108" w:type="dxa"/>
            <w:bottom w:w="0" w:type="dxa"/>
            <w:right w:w="108" w:type="dxa"/>
          </w:tblCellMar>
        </w:tblPrEx>
        <w:trPr>
          <w:trHeight w:val="450" w:hRule="atLeast"/>
        </w:trPr>
        <w:tc>
          <w:tcPr>
            <w:tcW w:w="403" w:type="pct"/>
            <w:tcBorders>
              <w:top w:val="single" w:color="000000" w:sz="4" w:space="0"/>
              <w:left w:val="single" w:color="000000" w:sz="4" w:space="0"/>
              <w:bottom w:val="single" w:color="000000" w:sz="4" w:space="0"/>
              <w:right w:val="single" w:color="000000" w:sz="4" w:space="0"/>
            </w:tcBorders>
            <w:vAlign w:val="center"/>
          </w:tcPr>
          <w:p w14:paraId="5A89CCA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4</w:t>
            </w:r>
          </w:p>
        </w:tc>
        <w:tc>
          <w:tcPr>
            <w:tcW w:w="1336" w:type="pct"/>
            <w:tcBorders>
              <w:top w:val="single" w:color="000000" w:sz="4" w:space="0"/>
              <w:left w:val="single" w:color="000000" w:sz="4" w:space="0"/>
              <w:bottom w:val="single" w:color="000000" w:sz="4" w:space="0"/>
              <w:right w:val="single" w:color="000000" w:sz="4" w:space="0"/>
            </w:tcBorders>
            <w:vAlign w:val="center"/>
          </w:tcPr>
          <w:p w14:paraId="737D6B6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日立电梯（中国）有限公司</w:t>
            </w:r>
          </w:p>
        </w:tc>
        <w:tc>
          <w:tcPr>
            <w:tcW w:w="961" w:type="pct"/>
            <w:tcBorders>
              <w:top w:val="single" w:color="000000" w:sz="4" w:space="0"/>
              <w:left w:val="single" w:color="000000" w:sz="4" w:space="0"/>
              <w:bottom w:val="single" w:color="000000" w:sz="4" w:space="0"/>
              <w:right w:val="single" w:color="000000" w:sz="4" w:space="0"/>
            </w:tcBorders>
            <w:vAlign w:val="center"/>
          </w:tcPr>
          <w:p w14:paraId="2D8E197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曳引驱动（无机房）乘客电梯</w:t>
            </w:r>
          </w:p>
        </w:tc>
        <w:tc>
          <w:tcPr>
            <w:tcW w:w="743" w:type="pct"/>
            <w:tcBorders>
              <w:top w:val="single" w:color="000000" w:sz="4" w:space="0"/>
              <w:left w:val="single" w:color="000000" w:sz="4" w:space="0"/>
              <w:bottom w:val="single" w:color="000000" w:sz="4" w:space="0"/>
              <w:right w:val="single" w:color="000000" w:sz="4" w:space="0"/>
            </w:tcBorders>
            <w:vAlign w:val="center"/>
          </w:tcPr>
          <w:p w14:paraId="3F74F74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LGE</w:t>
            </w:r>
          </w:p>
        </w:tc>
        <w:tc>
          <w:tcPr>
            <w:tcW w:w="435" w:type="pct"/>
            <w:tcBorders>
              <w:top w:val="single" w:color="000000" w:sz="4" w:space="0"/>
              <w:left w:val="single" w:color="000000" w:sz="4" w:space="0"/>
              <w:bottom w:val="single" w:color="000000" w:sz="4" w:space="0"/>
              <w:right w:val="single" w:color="000000" w:sz="4" w:space="0"/>
            </w:tcBorders>
            <w:vAlign w:val="center"/>
          </w:tcPr>
          <w:p w14:paraId="053F25F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7/7/7</w:t>
            </w:r>
          </w:p>
        </w:tc>
        <w:tc>
          <w:tcPr>
            <w:tcW w:w="556" w:type="pct"/>
            <w:tcBorders>
              <w:top w:val="single" w:color="000000" w:sz="4" w:space="0"/>
              <w:left w:val="single" w:color="000000" w:sz="4" w:space="0"/>
              <w:bottom w:val="single" w:color="000000" w:sz="4" w:space="0"/>
              <w:right w:val="single" w:color="000000" w:sz="4" w:space="0"/>
            </w:tcBorders>
            <w:vAlign w:val="center"/>
          </w:tcPr>
          <w:p w14:paraId="62A0B0B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1000kg</w:t>
            </w:r>
          </w:p>
        </w:tc>
        <w:tc>
          <w:tcPr>
            <w:tcW w:w="564" w:type="pct"/>
            <w:tcBorders>
              <w:top w:val="single" w:color="000000" w:sz="4" w:space="0"/>
              <w:left w:val="single" w:color="000000" w:sz="4" w:space="0"/>
              <w:bottom w:val="single" w:color="000000" w:sz="4" w:space="0"/>
              <w:right w:val="single" w:color="000000" w:sz="4" w:space="0"/>
            </w:tcBorders>
            <w:vAlign w:val="center"/>
          </w:tcPr>
          <w:p w14:paraId="49A89F4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1.0m/s</w:t>
            </w:r>
          </w:p>
        </w:tc>
      </w:tr>
      <w:tr w14:paraId="60CFD3AB">
        <w:tblPrEx>
          <w:tblCellMar>
            <w:top w:w="0" w:type="dxa"/>
            <w:left w:w="108" w:type="dxa"/>
            <w:bottom w:w="0" w:type="dxa"/>
            <w:right w:w="108" w:type="dxa"/>
          </w:tblCellMar>
        </w:tblPrEx>
        <w:trPr>
          <w:trHeight w:val="450" w:hRule="atLeast"/>
        </w:trPr>
        <w:tc>
          <w:tcPr>
            <w:tcW w:w="403" w:type="pct"/>
            <w:tcBorders>
              <w:top w:val="single" w:color="000000" w:sz="4" w:space="0"/>
              <w:left w:val="single" w:color="000000" w:sz="4" w:space="0"/>
              <w:bottom w:val="single" w:color="000000" w:sz="4" w:space="0"/>
              <w:right w:val="single" w:color="000000" w:sz="4" w:space="0"/>
            </w:tcBorders>
            <w:vAlign w:val="center"/>
          </w:tcPr>
          <w:p w14:paraId="7B893E1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5</w:t>
            </w:r>
          </w:p>
        </w:tc>
        <w:tc>
          <w:tcPr>
            <w:tcW w:w="1336" w:type="pct"/>
            <w:tcBorders>
              <w:top w:val="single" w:color="000000" w:sz="4" w:space="0"/>
              <w:left w:val="single" w:color="000000" w:sz="4" w:space="0"/>
              <w:bottom w:val="single" w:color="000000" w:sz="4" w:space="0"/>
              <w:right w:val="single" w:color="000000" w:sz="4" w:space="0"/>
            </w:tcBorders>
            <w:vAlign w:val="center"/>
          </w:tcPr>
          <w:p w14:paraId="5B1F474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日立电梯（中国）有限公司</w:t>
            </w:r>
          </w:p>
        </w:tc>
        <w:tc>
          <w:tcPr>
            <w:tcW w:w="961" w:type="pct"/>
            <w:tcBorders>
              <w:top w:val="single" w:color="000000" w:sz="4" w:space="0"/>
              <w:left w:val="single" w:color="000000" w:sz="4" w:space="0"/>
              <w:bottom w:val="single" w:color="000000" w:sz="4" w:space="0"/>
              <w:right w:val="single" w:color="000000" w:sz="4" w:space="0"/>
            </w:tcBorders>
            <w:vAlign w:val="center"/>
          </w:tcPr>
          <w:p w14:paraId="59FE49A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曳引驱动（无机房）载货电梯</w:t>
            </w:r>
          </w:p>
        </w:tc>
        <w:tc>
          <w:tcPr>
            <w:tcW w:w="743" w:type="pct"/>
            <w:tcBorders>
              <w:top w:val="single" w:color="000000" w:sz="4" w:space="0"/>
              <w:left w:val="single" w:color="000000" w:sz="4" w:space="0"/>
              <w:bottom w:val="single" w:color="000000" w:sz="4" w:space="0"/>
              <w:right w:val="single" w:color="000000" w:sz="4" w:space="0"/>
            </w:tcBorders>
            <w:vAlign w:val="center"/>
          </w:tcPr>
          <w:p w14:paraId="0B5D7EB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LF-MRL</w:t>
            </w:r>
          </w:p>
        </w:tc>
        <w:tc>
          <w:tcPr>
            <w:tcW w:w="435" w:type="pct"/>
            <w:tcBorders>
              <w:top w:val="single" w:color="000000" w:sz="4" w:space="0"/>
              <w:left w:val="single" w:color="000000" w:sz="4" w:space="0"/>
              <w:bottom w:val="single" w:color="000000" w:sz="4" w:space="0"/>
              <w:right w:val="single" w:color="000000" w:sz="4" w:space="0"/>
            </w:tcBorders>
            <w:vAlign w:val="center"/>
          </w:tcPr>
          <w:p w14:paraId="1CD2F88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4/4/4</w:t>
            </w:r>
          </w:p>
        </w:tc>
        <w:tc>
          <w:tcPr>
            <w:tcW w:w="556" w:type="pct"/>
            <w:tcBorders>
              <w:top w:val="single" w:color="000000" w:sz="4" w:space="0"/>
              <w:left w:val="single" w:color="000000" w:sz="4" w:space="0"/>
              <w:bottom w:val="single" w:color="000000" w:sz="4" w:space="0"/>
              <w:right w:val="single" w:color="000000" w:sz="4" w:space="0"/>
            </w:tcBorders>
            <w:vAlign w:val="center"/>
          </w:tcPr>
          <w:p w14:paraId="6495999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3000kg</w:t>
            </w:r>
          </w:p>
        </w:tc>
        <w:tc>
          <w:tcPr>
            <w:tcW w:w="564" w:type="pct"/>
            <w:tcBorders>
              <w:top w:val="single" w:color="000000" w:sz="4" w:space="0"/>
              <w:left w:val="single" w:color="000000" w:sz="4" w:space="0"/>
              <w:bottom w:val="single" w:color="000000" w:sz="4" w:space="0"/>
              <w:right w:val="single" w:color="000000" w:sz="4" w:space="0"/>
            </w:tcBorders>
            <w:vAlign w:val="center"/>
          </w:tcPr>
          <w:p w14:paraId="5A32901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0.5m/s</w:t>
            </w:r>
          </w:p>
        </w:tc>
      </w:tr>
      <w:tr w14:paraId="1BA6B572">
        <w:tblPrEx>
          <w:tblCellMar>
            <w:top w:w="0" w:type="dxa"/>
            <w:left w:w="108" w:type="dxa"/>
            <w:bottom w:w="0" w:type="dxa"/>
            <w:right w:w="108" w:type="dxa"/>
          </w:tblCellMar>
        </w:tblPrEx>
        <w:trPr>
          <w:trHeight w:val="450" w:hRule="atLeast"/>
        </w:trPr>
        <w:tc>
          <w:tcPr>
            <w:tcW w:w="403" w:type="pct"/>
            <w:tcBorders>
              <w:top w:val="single" w:color="000000" w:sz="4" w:space="0"/>
              <w:left w:val="single" w:color="000000" w:sz="4" w:space="0"/>
              <w:bottom w:val="single" w:color="000000" w:sz="4" w:space="0"/>
              <w:right w:val="single" w:color="000000" w:sz="4" w:space="0"/>
            </w:tcBorders>
            <w:vAlign w:val="center"/>
          </w:tcPr>
          <w:p w14:paraId="1FF8423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6</w:t>
            </w:r>
          </w:p>
        </w:tc>
        <w:tc>
          <w:tcPr>
            <w:tcW w:w="1336" w:type="pct"/>
            <w:tcBorders>
              <w:top w:val="single" w:color="000000" w:sz="4" w:space="0"/>
              <w:left w:val="single" w:color="000000" w:sz="4" w:space="0"/>
              <w:bottom w:val="single" w:color="000000" w:sz="4" w:space="0"/>
              <w:right w:val="single" w:color="000000" w:sz="4" w:space="0"/>
            </w:tcBorders>
            <w:vAlign w:val="center"/>
          </w:tcPr>
          <w:p w14:paraId="1211959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日立电梯（中国）有限公司</w:t>
            </w:r>
          </w:p>
        </w:tc>
        <w:tc>
          <w:tcPr>
            <w:tcW w:w="961" w:type="pct"/>
            <w:tcBorders>
              <w:top w:val="single" w:color="000000" w:sz="4" w:space="0"/>
              <w:left w:val="single" w:color="000000" w:sz="4" w:space="0"/>
              <w:bottom w:val="single" w:color="000000" w:sz="4" w:space="0"/>
              <w:right w:val="single" w:color="000000" w:sz="4" w:space="0"/>
            </w:tcBorders>
            <w:vAlign w:val="center"/>
          </w:tcPr>
          <w:p w14:paraId="47A5B37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曳引驱动（无机房）乘客电梯</w:t>
            </w:r>
          </w:p>
        </w:tc>
        <w:tc>
          <w:tcPr>
            <w:tcW w:w="743" w:type="pct"/>
            <w:tcBorders>
              <w:top w:val="single" w:color="000000" w:sz="4" w:space="0"/>
              <w:left w:val="single" w:color="000000" w:sz="4" w:space="0"/>
              <w:bottom w:val="single" w:color="000000" w:sz="4" w:space="0"/>
              <w:right w:val="single" w:color="000000" w:sz="4" w:space="0"/>
            </w:tcBorders>
            <w:vAlign w:val="center"/>
          </w:tcPr>
          <w:p w14:paraId="3AE32A6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LGE</w:t>
            </w:r>
          </w:p>
        </w:tc>
        <w:tc>
          <w:tcPr>
            <w:tcW w:w="435" w:type="pct"/>
            <w:tcBorders>
              <w:top w:val="single" w:color="000000" w:sz="4" w:space="0"/>
              <w:left w:val="single" w:color="000000" w:sz="4" w:space="0"/>
              <w:bottom w:val="single" w:color="000000" w:sz="4" w:space="0"/>
              <w:right w:val="single" w:color="000000" w:sz="4" w:space="0"/>
            </w:tcBorders>
            <w:vAlign w:val="center"/>
          </w:tcPr>
          <w:p w14:paraId="37DFB95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7/7/7</w:t>
            </w:r>
          </w:p>
        </w:tc>
        <w:tc>
          <w:tcPr>
            <w:tcW w:w="556" w:type="pct"/>
            <w:tcBorders>
              <w:top w:val="single" w:color="000000" w:sz="4" w:space="0"/>
              <w:left w:val="single" w:color="000000" w:sz="4" w:space="0"/>
              <w:bottom w:val="single" w:color="000000" w:sz="4" w:space="0"/>
              <w:right w:val="single" w:color="000000" w:sz="4" w:space="0"/>
            </w:tcBorders>
            <w:vAlign w:val="center"/>
          </w:tcPr>
          <w:p w14:paraId="1CD72B3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1000kg</w:t>
            </w:r>
          </w:p>
        </w:tc>
        <w:tc>
          <w:tcPr>
            <w:tcW w:w="564" w:type="pct"/>
            <w:tcBorders>
              <w:top w:val="single" w:color="000000" w:sz="4" w:space="0"/>
              <w:left w:val="single" w:color="000000" w:sz="4" w:space="0"/>
              <w:bottom w:val="single" w:color="000000" w:sz="4" w:space="0"/>
              <w:right w:val="single" w:color="000000" w:sz="4" w:space="0"/>
            </w:tcBorders>
            <w:vAlign w:val="center"/>
          </w:tcPr>
          <w:p w14:paraId="05A164D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1.0m/s</w:t>
            </w:r>
          </w:p>
        </w:tc>
      </w:tr>
      <w:tr w14:paraId="6FE138EE">
        <w:tblPrEx>
          <w:tblCellMar>
            <w:top w:w="0" w:type="dxa"/>
            <w:left w:w="108" w:type="dxa"/>
            <w:bottom w:w="0" w:type="dxa"/>
            <w:right w:w="108" w:type="dxa"/>
          </w:tblCellMar>
        </w:tblPrEx>
        <w:trPr>
          <w:trHeight w:val="450" w:hRule="atLeast"/>
        </w:trPr>
        <w:tc>
          <w:tcPr>
            <w:tcW w:w="403" w:type="pct"/>
            <w:tcBorders>
              <w:top w:val="single" w:color="000000" w:sz="4" w:space="0"/>
              <w:left w:val="single" w:color="000000" w:sz="4" w:space="0"/>
              <w:bottom w:val="single" w:color="000000" w:sz="4" w:space="0"/>
              <w:right w:val="single" w:color="000000" w:sz="4" w:space="0"/>
            </w:tcBorders>
            <w:vAlign w:val="center"/>
          </w:tcPr>
          <w:p w14:paraId="658B9D5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7</w:t>
            </w:r>
          </w:p>
        </w:tc>
        <w:tc>
          <w:tcPr>
            <w:tcW w:w="1336" w:type="pct"/>
            <w:tcBorders>
              <w:top w:val="single" w:color="000000" w:sz="4" w:space="0"/>
              <w:left w:val="single" w:color="000000" w:sz="4" w:space="0"/>
              <w:bottom w:val="single" w:color="000000" w:sz="4" w:space="0"/>
              <w:right w:val="single" w:color="000000" w:sz="4" w:space="0"/>
            </w:tcBorders>
            <w:vAlign w:val="center"/>
          </w:tcPr>
          <w:p w14:paraId="38211FE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日立电梯（中国）有限公司</w:t>
            </w:r>
          </w:p>
        </w:tc>
        <w:tc>
          <w:tcPr>
            <w:tcW w:w="961" w:type="pct"/>
            <w:tcBorders>
              <w:top w:val="single" w:color="000000" w:sz="4" w:space="0"/>
              <w:left w:val="single" w:color="000000" w:sz="4" w:space="0"/>
              <w:bottom w:val="single" w:color="000000" w:sz="4" w:space="0"/>
              <w:right w:val="single" w:color="000000" w:sz="4" w:space="0"/>
            </w:tcBorders>
            <w:vAlign w:val="center"/>
          </w:tcPr>
          <w:p w14:paraId="69D0B07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曳引驱动（无机房）载货电梯</w:t>
            </w:r>
          </w:p>
        </w:tc>
        <w:tc>
          <w:tcPr>
            <w:tcW w:w="743" w:type="pct"/>
            <w:tcBorders>
              <w:top w:val="single" w:color="000000" w:sz="4" w:space="0"/>
              <w:left w:val="single" w:color="000000" w:sz="4" w:space="0"/>
              <w:bottom w:val="single" w:color="000000" w:sz="4" w:space="0"/>
              <w:right w:val="single" w:color="000000" w:sz="4" w:space="0"/>
            </w:tcBorders>
            <w:vAlign w:val="center"/>
          </w:tcPr>
          <w:p w14:paraId="060E81C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LF-MRL</w:t>
            </w:r>
          </w:p>
        </w:tc>
        <w:tc>
          <w:tcPr>
            <w:tcW w:w="435" w:type="pct"/>
            <w:tcBorders>
              <w:top w:val="single" w:color="000000" w:sz="4" w:space="0"/>
              <w:left w:val="single" w:color="000000" w:sz="4" w:space="0"/>
              <w:bottom w:val="single" w:color="000000" w:sz="4" w:space="0"/>
              <w:right w:val="single" w:color="000000" w:sz="4" w:space="0"/>
            </w:tcBorders>
            <w:vAlign w:val="center"/>
          </w:tcPr>
          <w:p w14:paraId="759559C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2/2/2</w:t>
            </w:r>
          </w:p>
        </w:tc>
        <w:tc>
          <w:tcPr>
            <w:tcW w:w="556" w:type="pct"/>
            <w:tcBorders>
              <w:top w:val="single" w:color="000000" w:sz="4" w:space="0"/>
              <w:left w:val="single" w:color="000000" w:sz="4" w:space="0"/>
              <w:bottom w:val="single" w:color="000000" w:sz="4" w:space="0"/>
              <w:right w:val="single" w:color="000000" w:sz="4" w:space="0"/>
            </w:tcBorders>
            <w:vAlign w:val="center"/>
          </w:tcPr>
          <w:p w14:paraId="7DA200C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3000kg</w:t>
            </w:r>
          </w:p>
        </w:tc>
        <w:tc>
          <w:tcPr>
            <w:tcW w:w="564" w:type="pct"/>
            <w:tcBorders>
              <w:top w:val="single" w:color="000000" w:sz="4" w:space="0"/>
              <w:left w:val="single" w:color="000000" w:sz="4" w:space="0"/>
              <w:bottom w:val="single" w:color="000000" w:sz="4" w:space="0"/>
              <w:right w:val="single" w:color="000000" w:sz="4" w:space="0"/>
            </w:tcBorders>
            <w:vAlign w:val="center"/>
          </w:tcPr>
          <w:p w14:paraId="4B03E7D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0.5m/s</w:t>
            </w:r>
          </w:p>
        </w:tc>
      </w:tr>
      <w:tr w14:paraId="379929AE">
        <w:tblPrEx>
          <w:tblCellMar>
            <w:top w:w="0" w:type="dxa"/>
            <w:left w:w="108" w:type="dxa"/>
            <w:bottom w:w="0" w:type="dxa"/>
            <w:right w:w="108" w:type="dxa"/>
          </w:tblCellMar>
        </w:tblPrEx>
        <w:trPr>
          <w:trHeight w:val="450" w:hRule="atLeast"/>
        </w:trPr>
        <w:tc>
          <w:tcPr>
            <w:tcW w:w="403" w:type="pct"/>
            <w:tcBorders>
              <w:top w:val="single" w:color="000000" w:sz="4" w:space="0"/>
              <w:left w:val="single" w:color="000000" w:sz="4" w:space="0"/>
              <w:bottom w:val="single" w:color="000000" w:sz="4" w:space="0"/>
              <w:right w:val="single" w:color="000000" w:sz="4" w:space="0"/>
            </w:tcBorders>
            <w:vAlign w:val="center"/>
          </w:tcPr>
          <w:p w14:paraId="2E51F3E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8</w:t>
            </w:r>
          </w:p>
        </w:tc>
        <w:tc>
          <w:tcPr>
            <w:tcW w:w="1336" w:type="pct"/>
            <w:tcBorders>
              <w:top w:val="single" w:color="000000" w:sz="4" w:space="0"/>
              <w:left w:val="single" w:color="000000" w:sz="4" w:space="0"/>
              <w:bottom w:val="single" w:color="000000" w:sz="4" w:space="0"/>
              <w:right w:val="single" w:color="000000" w:sz="4" w:space="0"/>
            </w:tcBorders>
            <w:vAlign w:val="center"/>
          </w:tcPr>
          <w:p w14:paraId="1906BF0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日立电梯（中国）有限公司</w:t>
            </w:r>
          </w:p>
        </w:tc>
        <w:tc>
          <w:tcPr>
            <w:tcW w:w="961" w:type="pct"/>
            <w:tcBorders>
              <w:top w:val="single" w:color="000000" w:sz="4" w:space="0"/>
              <w:left w:val="single" w:color="000000" w:sz="4" w:space="0"/>
              <w:bottom w:val="single" w:color="000000" w:sz="4" w:space="0"/>
              <w:right w:val="single" w:color="000000" w:sz="4" w:space="0"/>
            </w:tcBorders>
            <w:vAlign w:val="center"/>
          </w:tcPr>
          <w:p w14:paraId="32DC69A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曳引驱动（无机房）乘客电梯</w:t>
            </w:r>
          </w:p>
        </w:tc>
        <w:tc>
          <w:tcPr>
            <w:tcW w:w="743" w:type="pct"/>
            <w:tcBorders>
              <w:top w:val="single" w:color="000000" w:sz="4" w:space="0"/>
              <w:left w:val="single" w:color="000000" w:sz="4" w:space="0"/>
              <w:bottom w:val="single" w:color="000000" w:sz="4" w:space="0"/>
              <w:right w:val="single" w:color="000000" w:sz="4" w:space="0"/>
            </w:tcBorders>
            <w:vAlign w:val="center"/>
          </w:tcPr>
          <w:p w14:paraId="4CCD34C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LGE</w:t>
            </w:r>
          </w:p>
        </w:tc>
        <w:tc>
          <w:tcPr>
            <w:tcW w:w="435" w:type="pct"/>
            <w:tcBorders>
              <w:top w:val="single" w:color="000000" w:sz="4" w:space="0"/>
              <w:left w:val="single" w:color="000000" w:sz="4" w:space="0"/>
              <w:bottom w:val="single" w:color="000000" w:sz="4" w:space="0"/>
              <w:right w:val="single" w:color="000000" w:sz="4" w:space="0"/>
            </w:tcBorders>
            <w:vAlign w:val="center"/>
          </w:tcPr>
          <w:p w14:paraId="776DC63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7/7/7</w:t>
            </w:r>
          </w:p>
        </w:tc>
        <w:tc>
          <w:tcPr>
            <w:tcW w:w="556" w:type="pct"/>
            <w:tcBorders>
              <w:top w:val="single" w:color="000000" w:sz="4" w:space="0"/>
              <w:left w:val="single" w:color="000000" w:sz="4" w:space="0"/>
              <w:bottom w:val="single" w:color="000000" w:sz="4" w:space="0"/>
              <w:right w:val="single" w:color="000000" w:sz="4" w:space="0"/>
            </w:tcBorders>
            <w:vAlign w:val="center"/>
          </w:tcPr>
          <w:p w14:paraId="4959768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1000kg</w:t>
            </w:r>
          </w:p>
        </w:tc>
        <w:tc>
          <w:tcPr>
            <w:tcW w:w="564" w:type="pct"/>
            <w:tcBorders>
              <w:top w:val="single" w:color="000000" w:sz="4" w:space="0"/>
              <w:left w:val="single" w:color="000000" w:sz="4" w:space="0"/>
              <w:bottom w:val="single" w:color="000000" w:sz="4" w:space="0"/>
              <w:right w:val="single" w:color="000000" w:sz="4" w:space="0"/>
            </w:tcBorders>
            <w:vAlign w:val="center"/>
          </w:tcPr>
          <w:p w14:paraId="0826125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1.0m/s</w:t>
            </w:r>
          </w:p>
        </w:tc>
      </w:tr>
      <w:tr w14:paraId="5BB9AD1B">
        <w:tblPrEx>
          <w:tblCellMar>
            <w:top w:w="0" w:type="dxa"/>
            <w:left w:w="108" w:type="dxa"/>
            <w:bottom w:w="0" w:type="dxa"/>
            <w:right w:w="108" w:type="dxa"/>
          </w:tblCellMar>
        </w:tblPrEx>
        <w:trPr>
          <w:trHeight w:val="450" w:hRule="atLeast"/>
        </w:trPr>
        <w:tc>
          <w:tcPr>
            <w:tcW w:w="403" w:type="pct"/>
            <w:tcBorders>
              <w:top w:val="single" w:color="000000" w:sz="4" w:space="0"/>
              <w:left w:val="single" w:color="000000" w:sz="4" w:space="0"/>
              <w:bottom w:val="single" w:color="000000" w:sz="4" w:space="0"/>
              <w:right w:val="single" w:color="000000" w:sz="4" w:space="0"/>
            </w:tcBorders>
            <w:vAlign w:val="center"/>
          </w:tcPr>
          <w:p w14:paraId="09E0CEE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9</w:t>
            </w:r>
          </w:p>
        </w:tc>
        <w:tc>
          <w:tcPr>
            <w:tcW w:w="1336" w:type="pct"/>
            <w:tcBorders>
              <w:top w:val="single" w:color="000000" w:sz="4" w:space="0"/>
              <w:left w:val="single" w:color="000000" w:sz="4" w:space="0"/>
              <w:bottom w:val="single" w:color="000000" w:sz="4" w:space="0"/>
              <w:right w:val="single" w:color="000000" w:sz="4" w:space="0"/>
            </w:tcBorders>
            <w:vAlign w:val="center"/>
          </w:tcPr>
          <w:p w14:paraId="106E53D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日立电梯（中国）有限公司</w:t>
            </w:r>
          </w:p>
        </w:tc>
        <w:tc>
          <w:tcPr>
            <w:tcW w:w="961" w:type="pct"/>
            <w:tcBorders>
              <w:top w:val="single" w:color="000000" w:sz="4" w:space="0"/>
              <w:left w:val="single" w:color="000000" w:sz="4" w:space="0"/>
              <w:bottom w:val="single" w:color="000000" w:sz="4" w:space="0"/>
              <w:right w:val="single" w:color="000000" w:sz="4" w:space="0"/>
            </w:tcBorders>
            <w:vAlign w:val="center"/>
          </w:tcPr>
          <w:p w14:paraId="7392B2A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曳引驱动（无机房）乘客电梯</w:t>
            </w:r>
          </w:p>
        </w:tc>
        <w:tc>
          <w:tcPr>
            <w:tcW w:w="743" w:type="pct"/>
            <w:tcBorders>
              <w:top w:val="single" w:color="000000" w:sz="4" w:space="0"/>
              <w:left w:val="single" w:color="000000" w:sz="4" w:space="0"/>
              <w:bottom w:val="single" w:color="000000" w:sz="4" w:space="0"/>
              <w:right w:val="single" w:color="000000" w:sz="4" w:space="0"/>
            </w:tcBorders>
            <w:vAlign w:val="center"/>
          </w:tcPr>
          <w:p w14:paraId="5DDD555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LGE</w:t>
            </w:r>
          </w:p>
        </w:tc>
        <w:tc>
          <w:tcPr>
            <w:tcW w:w="435" w:type="pct"/>
            <w:tcBorders>
              <w:top w:val="single" w:color="000000" w:sz="4" w:space="0"/>
              <w:left w:val="single" w:color="000000" w:sz="4" w:space="0"/>
              <w:bottom w:val="single" w:color="000000" w:sz="4" w:space="0"/>
              <w:right w:val="single" w:color="000000" w:sz="4" w:space="0"/>
            </w:tcBorders>
            <w:vAlign w:val="center"/>
          </w:tcPr>
          <w:p w14:paraId="0F1FB0F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7/7/7</w:t>
            </w:r>
          </w:p>
        </w:tc>
        <w:tc>
          <w:tcPr>
            <w:tcW w:w="556" w:type="pct"/>
            <w:tcBorders>
              <w:top w:val="single" w:color="000000" w:sz="4" w:space="0"/>
              <w:left w:val="single" w:color="000000" w:sz="4" w:space="0"/>
              <w:bottom w:val="single" w:color="000000" w:sz="4" w:space="0"/>
              <w:right w:val="single" w:color="000000" w:sz="4" w:space="0"/>
            </w:tcBorders>
            <w:vAlign w:val="center"/>
          </w:tcPr>
          <w:p w14:paraId="4DD4BCB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1000kg</w:t>
            </w:r>
          </w:p>
        </w:tc>
        <w:tc>
          <w:tcPr>
            <w:tcW w:w="564" w:type="pct"/>
            <w:tcBorders>
              <w:top w:val="single" w:color="000000" w:sz="4" w:space="0"/>
              <w:left w:val="single" w:color="000000" w:sz="4" w:space="0"/>
              <w:bottom w:val="single" w:color="000000" w:sz="4" w:space="0"/>
              <w:right w:val="single" w:color="000000" w:sz="4" w:space="0"/>
            </w:tcBorders>
            <w:vAlign w:val="center"/>
          </w:tcPr>
          <w:p w14:paraId="755868C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1.0m/s</w:t>
            </w:r>
          </w:p>
        </w:tc>
      </w:tr>
      <w:tr w14:paraId="51687D26">
        <w:tblPrEx>
          <w:tblCellMar>
            <w:top w:w="0" w:type="dxa"/>
            <w:left w:w="108" w:type="dxa"/>
            <w:bottom w:w="0" w:type="dxa"/>
            <w:right w:w="108" w:type="dxa"/>
          </w:tblCellMar>
        </w:tblPrEx>
        <w:trPr>
          <w:trHeight w:val="450" w:hRule="atLeast"/>
        </w:trPr>
        <w:tc>
          <w:tcPr>
            <w:tcW w:w="403" w:type="pct"/>
            <w:tcBorders>
              <w:top w:val="single" w:color="000000" w:sz="4" w:space="0"/>
              <w:left w:val="single" w:color="000000" w:sz="4" w:space="0"/>
              <w:bottom w:val="single" w:color="000000" w:sz="4" w:space="0"/>
              <w:right w:val="single" w:color="000000" w:sz="4" w:space="0"/>
            </w:tcBorders>
            <w:vAlign w:val="center"/>
          </w:tcPr>
          <w:p w14:paraId="7D32D1D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10</w:t>
            </w:r>
          </w:p>
        </w:tc>
        <w:tc>
          <w:tcPr>
            <w:tcW w:w="1336" w:type="pct"/>
            <w:tcBorders>
              <w:top w:val="single" w:color="000000" w:sz="4" w:space="0"/>
              <w:left w:val="single" w:color="000000" w:sz="4" w:space="0"/>
              <w:bottom w:val="single" w:color="000000" w:sz="4" w:space="0"/>
              <w:right w:val="single" w:color="000000" w:sz="4" w:space="0"/>
            </w:tcBorders>
            <w:vAlign w:val="center"/>
          </w:tcPr>
          <w:p w14:paraId="21A896D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日立电梯（中国）有限公司</w:t>
            </w:r>
          </w:p>
        </w:tc>
        <w:tc>
          <w:tcPr>
            <w:tcW w:w="961" w:type="pct"/>
            <w:tcBorders>
              <w:top w:val="single" w:color="000000" w:sz="4" w:space="0"/>
              <w:left w:val="single" w:color="000000" w:sz="4" w:space="0"/>
              <w:bottom w:val="single" w:color="000000" w:sz="4" w:space="0"/>
              <w:right w:val="single" w:color="000000" w:sz="4" w:space="0"/>
            </w:tcBorders>
            <w:vAlign w:val="center"/>
          </w:tcPr>
          <w:p w14:paraId="5BB0AF5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曳引驱动（无机房）乘客电梯</w:t>
            </w:r>
          </w:p>
        </w:tc>
        <w:tc>
          <w:tcPr>
            <w:tcW w:w="743" w:type="pct"/>
            <w:tcBorders>
              <w:top w:val="single" w:color="000000" w:sz="4" w:space="0"/>
              <w:left w:val="single" w:color="000000" w:sz="4" w:space="0"/>
              <w:bottom w:val="single" w:color="000000" w:sz="4" w:space="0"/>
              <w:right w:val="single" w:color="000000" w:sz="4" w:space="0"/>
            </w:tcBorders>
            <w:vAlign w:val="center"/>
          </w:tcPr>
          <w:p w14:paraId="2444987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LGE</w:t>
            </w:r>
          </w:p>
        </w:tc>
        <w:tc>
          <w:tcPr>
            <w:tcW w:w="435" w:type="pct"/>
            <w:tcBorders>
              <w:top w:val="single" w:color="000000" w:sz="4" w:space="0"/>
              <w:left w:val="single" w:color="000000" w:sz="4" w:space="0"/>
              <w:bottom w:val="single" w:color="000000" w:sz="4" w:space="0"/>
              <w:right w:val="single" w:color="000000" w:sz="4" w:space="0"/>
            </w:tcBorders>
            <w:vAlign w:val="center"/>
          </w:tcPr>
          <w:p w14:paraId="769AF07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7/7/7</w:t>
            </w:r>
          </w:p>
        </w:tc>
        <w:tc>
          <w:tcPr>
            <w:tcW w:w="556" w:type="pct"/>
            <w:tcBorders>
              <w:top w:val="single" w:color="000000" w:sz="4" w:space="0"/>
              <w:left w:val="single" w:color="000000" w:sz="4" w:space="0"/>
              <w:bottom w:val="single" w:color="000000" w:sz="4" w:space="0"/>
              <w:right w:val="single" w:color="000000" w:sz="4" w:space="0"/>
            </w:tcBorders>
            <w:vAlign w:val="center"/>
          </w:tcPr>
          <w:p w14:paraId="3107E52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1000kg</w:t>
            </w:r>
          </w:p>
        </w:tc>
        <w:tc>
          <w:tcPr>
            <w:tcW w:w="564" w:type="pct"/>
            <w:tcBorders>
              <w:top w:val="single" w:color="000000" w:sz="4" w:space="0"/>
              <w:left w:val="single" w:color="000000" w:sz="4" w:space="0"/>
              <w:bottom w:val="single" w:color="000000" w:sz="4" w:space="0"/>
              <w:right w:val="single" w:color="000000" w:sz="4" w:space="0"/>
            </w:tcBorders>
            <w:vAlign w:val="center"/>
          </w:tcPr>
          <w:p w14:paraId="16EE5CB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1.0m/s</w:t>
            </w:r>
          </w:p>
        </w:tc>
      </w:tr>
      <w:tr w14:paraId="298B08B8">
        <w:tblPrEx>
          <w:tblCellMar>
            <w:top w:w="0" w:type="dxa"/>
            <w:left w:w="108" w:type="dxa"/>
            <w:bottom w:w="0" w:type="dxa"/>
            <w:right w:w="108" w:type="dxa"/>
          </w:tblCellMar>
        </w:tblPrEx>
        <w:trPr>
          <w:trHeight w:val="450" w:hRule="atLeast"/>
        </w:trPr>
        <w:tc>
          <w:tcPr>
            <w:tcW w:w="403" w:type="pct"/>
            <w:tcBorders>
              <w:top w:val="single" w:color="000000" w:sz="4" w:space="0"/>
              <w:left w:val="single" w:color="000000" w:sz="4" w:space="0"/>
              <w:bottom w:val="single" w:color="000000" w:sz="4" w:space="0"/>
              <w:right w:val="single" w:color="000000" w:sz="4" w:space="0"/>
            </w:tcBorders>
            <w:vAlign w:val="center"/>
          </w:tcPr>
          <w:p w14:paraId="3096076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11</w:t>
            </w:r>
          </w:p>
        </w:tc>
        <w:tc>
          <w:tcPr>
            <w:tcW w:w="1336" w:type="pct"/>
            <w:tcBorders>
              <w:top w:val="single" w:color="000000" w:sz="4" w:space="0"/>
              <w:left w:val="single" w:color="000000" w:sz="4" w:space="0"/>
              <w:bottom w:val="single" w:color="000000" w:sz="4" w:space="0"/>
              <w:right w:val="single" w:color="000000" w:sz="4" w:space="0"/>
            </w:tcBorders>
            <w:vAlign w:val="center"/>
          </w:tcPr>
          <w:p w14:paraId="06A5CF4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日立电梯（中国）有限公司</w:t>
            </w:r>
          </w:p>
        </w:tc>
        <w:tc>
          <w:tcPr>
            <w:tcW w:w="961" w:type="pct"/>
            <w:tcBorders>
              <w:top w:val="single" w:color="000000" w:sz="4" w:space="0"/>
              <w:left w:val="single" w:color="000000" w:sz="4" w:space="0"/>
              <w:bottom w:val="single" w:color="000000" w:sz="4" w:space="0"/>
              <w:right w:val="single" w:color="000000" w:sz="4" w:space="0"/>
            </w:tcBorders>
            <w:vAlign w:val="center"/>
          </w:tcPr>
          <w:p w14:paraId="220DDC1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曳引驱动（无机房）乘客电梯</w:t>
            </w:r>
          </w:p>
        </w:tc>
        <w:tc>
          <w:tcPr>
            <w:tcW w:w="743" w:type="pct"/>
            <w:tcBorders>
              <w:top w:val="single" w:color="000000" w:sz="4" w:space="0"/>
              <w:left w:val="single" w:color="000000" w:sz="4" w:space="0"/>
              <w:bottom w:val="single" w:color="000000" w:sz="4" w:space="0"/>
              <w:right w:val="single" w:color="000000" w:sz="4" w:space="0"/>
            </w:tcBorders>
            <w:vAlign w:val="center"/>
          </w:tcPr>
          <w:p w14:paraId="08C13D8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LGE</w:t>
            </w:r>
          </w:p>
        </w:tc>
        <w:tc>
          <w:tcPr>
            <w:tcW w:w="435" w:type="pct"/>
            <w:tcBorders>
              <w:top w:val="single" w:color="000000" w:sz="4" w:space="0"/>
              <w:left w:val="single" w:color="000000" w:sz="4" w:space="0"/>
              <w:bottom w:val="single" w:color="000000" w:sz="4" w:space="0"/>
              <w:right w:val="single" w:color="000000" w:sz="4" w:space="0"/>
            </w:tcBorders>
            <w:vAlign w:val="center"/>
          </w:tcPr>
          <w:p w14:paraId="7861BEA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7/7/7</w:t>
            </w:r>
          </w:p>
        </w:tc>
        <w:tc>
          <w:tcPr>
            <w:tcW w:w="556" w:type="pct"/>
            <w:tcBorders>
              <w:top w:val="single" w:color="000000" w:sz="4" w:space="0"/>
              <w:left w:val="single" w:color="000000" w:sz="4" w:space="0"/>
              <w:bottom w:val="single" w:color="000000" w:sz="4" w:space="0"/>
              <w:right w:val="single" w:color="000000" w:sz="4" w:space="0"/>
            </w:tcBorders>
            <w:vAlign w:val="center"/>
          </w:tcPr>
          <w:p w14:paraId="58DBF45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1000kg</w:t>
            </w:r>
          </w:p>
        </w:tc>
        <w:tc>
          <w:tcPr>
            <w:tcW w:w="564" w:type="pct"/>
            <w:tcBorders>
              <w:top w:val="single" w:color="000000" w:sz="4" w:space="0"/>
              <w:left w:val="single" w:color="000000" w:sz="4" w:space="0"/>
              <w:bottom w:val="single" w:color="000000" w:sz="4" w:space="0"/>
              <w:right w:val="single" w:color="000000" w:sz="4" w:space="0"/>
            </w:tcBorders>
            <w:vAlign w:val="center"/>
          </w:tcPr>
          <w:p w14:paraId="093AA2F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1.0m/s</w:t>
            </w:r>
          </w:p>
        </w:tc>
      </w:tr>
      <w:tr w14:paraId="29ED8E4B">
        <w:tblPrEx>
          <w:tblCellMar>
            <w:top w:w="0" w:type="dxa"/>
            <w:left w:w="108" w:type="dxa"/>
            <w:bottom w:w="0" w:type="dxa"/>
            <w:right w:w="108" w:type="dxa"/>
          </w:tblCellMar>
        </w:tblPrEx>
        <w:trPr>
          <w:trHeight w:val="450" w:hRule="atLeast"/>
        </w:trPr>
        <w:tc>
          <w:tcPr>
            <w:tcW w:w="403" w:type="pct"/>
            <w:tcBorders>
              <w:top w:val="single" w:color="000000" w:sz="4" w:space="0"/>
              <w:left w:val="single" w:color="000000" w:sz="4" w:space="0"/>
              <w:bottom w:val="single" w:color="000000" w:sz="4" w:space="0"/>
              <w:right w:val="single" w:color="000000" w:sz="4" w:space="0"/>
            </w:tcBorders>
            <w:vAlign w:val="center"/>
          </w:tcPr>
          <w:p w14:paraId="55DA41A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12</w:t>
            </w:r>
          </w:p>
        </w:tc>
        <w:tc>
          <w:tcPr>
            <w:tcW w:w="1336" w:type="pct"/>
            <w:tcBorders>
              <w:top w:val="single" w:color="000000" w:sz="4" w:space="0"/>
              <w:left w:val="single" w:color="000000" w:sz="4" w:space="0"/>
              <w:bottom w:val="single" w:color="000000" w:sz="4" w:space="0"/>
              <w:right w:val="single" w:color="000000" w:sz="4" w:space="0"/>
            </w:tcBorders>
            <w:vAlign w:val="center"/>
          </w:tcPr>
          <w:p w14:paraId="3115701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日立电梯（中国）有限公司</w:t>
            </w:r>
          </w:p>
        </w:tc>
        <w:tc>
          <w:tcPr>
            <w:tcW w:w="961" w:type="pct"/>
            <w:tcBorders>
              <w:top w:val="single" w:color="000000" w:sz="4" w:space="0"/>
              <w:left w:val="single" w:color="000000" w:sz="4" w:space="0"/>
              <w:bottom w:val="single" w:color="000000" w:sz="4" w:space="0"/>
              <w:right w:val="single" w:color="000000" w:sz="4" w:space="0"/>
            </w:tcBorders>
            <w:vAlign w:val="center"/>
          </w:tcPr>
          <w:p w14:paraId="1E7A2D0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曳引驱动（无机房）乘客电梯</w:t>
            </w:r>
          </w:p>
        </w:tc>
        <w:tc>
          <w:tcPr>
            <w:tcW w:w="743" w:type="pct"/>
            <w:tcBorders>
              <w:top w:val="single" w:color="000000" w:sz="4" w:space="0"/>
              <w:left w:val="single" w:color="000000" w:sz="4" w:space="0"/>
              <w:bottom w:val="single" w:color="000000" w:sz="4" w:space="0"/>
              <w:right w:val="single" w:color="000000" w:sz="4" w:space="0"/>
            </w:tcBorders>
            <w:vAlign w:val="center"/>
          </w:tcPr>
          <w:p w14:paraId="501F078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LGE</w:t>
            </w:r>
          </w:p>
        </w:tc>
        <w:tc>
          <w:tcPr>
            <w:tcW w:w="435" w:type="pct"/>
            <w:tcBorders>
              <w:top w:val="single" w:color="000000" w:sz="4" w:space="0"/>
              <w:left w:val="single" w:color="000000" w:sz="4" w:space="0"/>
              <w:bottom w:val="single" w:color="000000" w:sz="4" w:space="0"/>
              <w:right w:val="single" w:color="000000" w:sz="4" w:space="0"/>
            </w:tcBorders>
            <w:vAlign w:val="center"/>
          </w:tcPr>
          <w:p w14:paraId="51702AD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7/7/7</w:t>
            </w:r>
          </w:p>
        </w:tc>
        <w:tc>
          <w:tcPr>
            <w:tcW w:w="556" w:type="pct"/>
            <w:tcBorders>
              <w:top w:val="single" w:color="000000" w:sz="4" w:space="0"/>
              <w:left w:val="single" w:color="000000" w:sz="4" w:space="0"/>
              <w:bottom w:val="single" w:color="000000" w:sz="4" w:space="0"/>
              <w:right w:val="single" w:color="000000" w:sz="4" w:space="0"/>
            </w:tcBorders>
            <w:vAlign w:val="center"/>
          </w:tcPr>
          <w:p w14:paraId="57287CC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1000kg</w:t>
            </w:r>
          </w:p>
        </w:tc>
        <w:tc>
          <w:tcPr>
            <w:tcW w:w="564" w:type="pct"/>
            <w:tcBorders>
              <w:top w:val="single" w:color="000000" w:sz="4" w:space="0"/>
              <w:left w:val="single" w:color="000000" w:sz="4" w:space="0"/>
              <w:bottom w:val="single" w:color="000000" w:sz="4" w:space="0"/>
              <w:right w:val="single" w:color="000000" w:sz="4" w:space="0"/>
            </w:tcBorders>
            <w:vAlign w:val="center"/>
          </w:tcPr>
          <w:p w14:paraId="4747D61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1.0m/s</w:t>
            </w:r>
          </w:p>
        </w:tc>
      </w:tr>
      <w:tr w14:paraId="1C263535">
        <w:tblPrEx>
          <w:tblCellMar>
            <w:top w:w="0" w:type="dxa"/>
            <w:left w:w="108" w:type="dxa"/>
            <w:bottom w:w="0" w:type="dxa"/>
            <w:right w:w="108" w:type="dxa"/>
          </w:tblCellMar>
        </w:tblPrEx>
        <w:trPr>
          <w:trHeight w:val="450" w:hRule="atLeast"/>
        </w:trPr>
        <w:tc>
          <w:tcPr>
            <w:tcW w:w="403" w:type="pct"/>
            <w:tcBorders>
              <w:top w:val="single" w:color="000000" w:sz="4" w:space="0"/>
              <w:left w:val="single" w:color="000000" w:sz="4" w:space="0"/>
              <w:bottom w:val="single" w:color="000000" w:sz="4" w:space="0"/>
              <w:right w:val="single" w:color="000000" w:sz="4" w:space="0"/>
            </w:tcBorders>
            <w:vAlign w:val="center"/>
          </w:tcPr>
          <w:p w14:paraId="1978ADD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13</w:t>
            </w:r>
          </w:p>
        </w:tc>
        <w:tc>
          <w:tcPr>
            <w:tcW w:w="1336" w:type="pct"/>
            <w:tcBorders>
              <w:top w:val="single" w:color="000000" w:sz="4" w:space="0"/>
              <w:left w:val="single" w:color="000000" w:sz="4" w:space="0"/>
              <w:bottom w:val="single" w:color="000000" w:sz="4" w:space="0"/>
              <w:right w:val="single" w:color="000000" w:sz="4" w:space="0"/>
            </w:tcBorders>
            <w:vAlign w:val="center"/>
          </w:tcPr>
          <w:p w14:paraId="45B1B55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日立电梯（中国）有限公司</w:t>
            </w:r>
          </w:p>
        </w:tc>
        <w:tc>
          <w:tcPr>
            <w:tcW w:w="961" w:type="pct"/>
            <w:tcBorders>
              <w:top w:val="single" w:color="000000" w:sz="4" w:space="0"/>
              <w:left w:val="single" w:color="000000" w:sz="4" w:space="0"/>
              <w:bottom w:val="single" w:color="000000" w:sz="4" w:space="0"/>
              <w:right w:val="single" w:color="000000" w:sz="4" w:space="0"/>
            </w:tcBorders>
            <w:vAlign w:val="center"/>
          </w:tcPr>
          <w:p w14:paraId="4D87D40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曳引驱动（无机房）乘客电梯</w:t>
            </w:r>
          </w:p>
        </w:tc>
        <w:tc>
          <w:tcPr>
            <w:tcW w:w="743" w:type="pct"/>
            <w:tcBorders>
              <w:top w:val="single" w:color="000000" w:sz="4" w:space="0"/>
              <w:left w:val="single" w:color="000000" w:sz="4" w:space="0"/>
              <w:bottom w:val="single" w:color="000000" w:sz="4" w:space="0"/>
              <w:right w:val="single" w:color="000000" w:sz="4" w:space="0"/>
            </w:tcBorders>
            <w:vAlign w:val="center"/>
          </w:tcPr>
          <w:p w14:paraId="6EDEEF0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LGE</w:t>
            </w:r>
          </w:p>
        </w:tc>
        <w:tc>
          <w:tcPr>
            <w:tcW w:w="435" w:type="pct"/>
            <w:tcBorders>
              <w:top w:val="single" w:color="000000" w:sz="4" w:space="0"/>
              <w:left w:val="single" w:color="000000" w:sz="4" w:space="0"/>
              <w:bottom w:val="single" w:color="000000" w:sz="4" w:space="0"/>
              <w:right w:val="single" w:color="000000" w:sz="4" w:space="0"/>
            </w:tcBorders>
            <w:vAlign w:val="center"/>
          </w:tcPr>
          <w:p w14:paraId="7985E15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7/7/7</w:t>
            </w:r>
          </w:p>
        </w:tc>
        <w:tc>
          <w:tcPr>
            <w:tcW w:w="556" w:type="pct"/>
            <w:tcBorders>
              <w:top w:val="single" w:color="000000" w:sz="4" w:space="0"/>
              <w:left w:val="single" w:color="000000" w:sz="4" w:space="0"/>
              <w:bottom w:val="single" w:color="000000" w:sz="4" w:space="0"/>
              <w:right w:val="single" w:color="000000" w:sz="4" w:space="0"/>
            </w:tcBorders>
            <w:vAlign w:val="center"/>
          </w:tcPr>
          <w:p w14:paraId="2022F78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1000kg</w:t>
            </w:r>
          </w:p>
        </w:tc>
        <w:tc>
          <w:tcPr>
            <w:tcW w:w="564" w:type="pct"/>
            <w:tcBorders>
              <w:top w:val="single" w:color="000000" w:sz="4" w:space="0"/>
              <w:left w:val="single" w:color="000000" w:sz="4" w:space="0"/>
              <w:bottom w:val="single" w:color="000000" w:sz="4" w:space="0"/>
              <w:right w:val="single" w:color="000000" w:sz="4" w:space="0"/>
            </w:tcBorders>
            <w:vAlign w:val="center"/>
          </w:tcPr>
          <w:p w14:paraId="787E30E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1.0m/s</w:t>
            </w:r>
          </w:p>
        </w:tc>
      </w:tr>
      <w:tr w14:paraId="5BC50CBE">
        <w:tblPrEx>
          <w:tblCellMar>
            <w:top w:w="0" w:type="dxa"/>
            <w:left w:w="108" w:type="dxa"/>
            <w:bottom w:w="0" w:type="dxa"/>
            <w:right w:w="108" w:type="dxa"/>
          </w:tblCellMar>
        </w:tblPrEx>
        <w:trPr>
          <w:trHeight w:val="450" w:hRule="atLeast"/>
        </w:trPr>
        <w:tc>
          <w:tcPr>
            <w:tcW w:w="5000" w:type="pct"/>
            <w:gridSpan w:val="7"/>
            <w:tcBorders>
              <w:top w:val="single" w:color="000000" w:sz="4" w:space="0"/>
              <w:left w:val="single" w:color="000000" w:sz="4" w:space="0"/>
              <w:bottom w:val="single" w:color="000000" w:sz="4" w:space="0"/>
              <w:right w:val="single" w:color="000000" w:sz="4" w:space="0"/>
            </w:tcBorders>
            <w:vAlign w:val="center"/>
          </w:tcPr>
          <w:p w14:paraId="00D3E35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bidi="ar"/>
              </w:rPr>
            </w:pPr>
          </w:p>
        </w:tc>
      </w:tr>
      <w:tr w14:paraId="4832D167">
        <w:tblPrEx>
          <w:tblCellMar>
            <w:top w:w="0" w:type="dxa"/>
            <w:left w:w="108" w:type="dxa"/>
            <w:bottom w:w="0" w:type="dxa"/>
            <w:right w:w="108" w:type="dxa"/>
          </w:tblCellMar>
        </w:tblPrEx>
        <w:trPr>
          <w:trHeight w:val="450" w:hRule="atLeast"/>
        </w:trPr>
        <w:tc>
          <w:tcPr>
            <w:tcW w:w="403" w:type="pct"/>
            <w:tcBorders>
              <w:top w:val="single" w:color="000000" w:sz="4" w:space="0"/>
              <w:left w:val="single" w:color="000000" w:sz="4" w:space="0"/>
              <w:bottom w:val="single" w:color="000000" w:sz="4" w:space="0"/>
              <w:right w:val="single" w:color="000000" w:sz="4" w:space="0"/>
            </w:tcBorders>
            <w:vAlign w:val="center"/>
          </w:tcPr>
          <w:p w14:paraId="3186BF3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14</w:t>
            </w:r>
          </w:p>
        </w:tc>
        <w:tc>
          <w:tcPr>
            <w:tcW w:w="1336" w:type="pct"/>
            <w:tcBorders>
              <w:top w:val="single" w:color="000000" w:sz="4" w:space="0"/>
              <w:left w:val="single" w:color="000000" w:sz="4" w:space="0"/>
              <w:bottom w:val="single" w:color="000000" w:sz="4" w:space="0"/>
              <w:right w:val="single" w:color="000000" w:sz="4" w:space="0"/>
            </w:tcBorders>
            <w:vAlign w:val="center"/>
          </w:tcPr>
          <w:p w14:paraId="1961D53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通力电梯有限公司</w:t>
            </w:r>
          </w:p>
        </w:tc>
        <w:tc>
          <w:tcPr>
            <w:tcW w:w="961" w:type="pct"/>
            <w:tcBorders>
              <w:top w:val="single" w:color="000000" w:sz="4" w:space="0"/>
              <w:left w:val="single" w:color="000000" w:sz="4" w:space="0"/>
              <w:bottom w:val="single" w:color="000000" w:sz="4" w:space="0"/>
              <w:right w:val="single" w:color="000000" w:sz="4" w:space="0"/>
            </w:tcBorders>
          </w:tcPr>
          <w:p w14:paraId="593DF9C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曳引驱动（无机房）乘客电梯</w:t>
            </w:r>
          </w:p>
        </w:tc>
        <w:tc>
          <w:tcPr>
            <w:tcW w:w="743" w:type="pct"/>
            <w:tcBorders>
              <w:top w:val="single" w:color="000000" w:sz="4" w:space="0"/>
              <w:left w:val="single" w:color="000000" w:sz="4" w:space="0"/>
              <w:bottom w:val="single" w:color="000000" w:sz="4" w:space="0"/>
              <w:right w:val="single" w:color="000000" w:sz="4" w:space="0"/>
            </w:tcBorders>
            <w:vAlign w:val="center"/>
          </w:tcPr>
          <w:p w14:paraId="39A3E36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color w:val="000000"/>
                <w:sz w:val="21"/>
                <w:szCs w:val="21"/>
                <w:highlight w:val="none"/>
              </w:rPr>
              <w:t>KONE NMonospace</w:t>
            </w:r>
          </w:p>
        </w:tc>
        <w:tc>
          <w:tcPr>
            <w:tcW w:w="435" w:type="pct"/>
            <w:tcBorders>
              <w:top w:val="single" w:color="000000" w:sz="4" w:space="0"/>
              <w:left w:val="single" w:color="000000" w:sz="4" w:space="0"/>
              <w:bottom w:val="single" w:color="000000" w:sz="4" w:space="0"/>
              <w:right w:val="single" w:color="000000" w:sz="4" w:space="0"/>
            </w:tcBorders>
            <w:vAlign w:val="center"/>
          </w:tcPr>
          <w:p w14:paraId="5F57519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9/9/9</w:t>
            </w:r>
          </w:p>
        </w:tc>
        <w:tc>
          <w:tcPr>
            <w:tcW w:w="556" w:type="pct"/>
            <w:tcBorders>
              <w:top w:val="single" w:color="000000" w:sz="4" w:space="0"/>
              <w:left w:val="single" w:color="000000" w:sz="4" w:space="0"/>
              <w:bottom w:val="single" w:color="000000" w:sz="4" w:space="0"/>
              <w:right w:val="single" w:color="000000" w:sz="4" w:space="0"/>
            </w:tcBorders>
            <w:vAlign w:val="center"/>
          </w:tcPr>
          <w:p w14:paraId="33E1D4A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1000KG</w:t>
            </w:r>
          </w:p>
        </w:tc>
        <w:tc>
          <w:tcPr>
            <w:tcW w:w="564" w:type="pct"/>
            <w:tcBorders>
              <w:top w:val="single" w:color="000000" w:sz="4" w:space="0"/>
              <w:left w:val="single" w:color="000000" w:sz="4" w:space="0"/>
              <w:bottom w:val="single" w:color="000000" w:sz="4" w:space="0"/>
              <w:right w:val="single" w:color="000000" w:sz="4" w:space="0"/>
            </w:tcBorders>
            <w:vAlign w:val="center"/>
          </w:tcPr>
          <w:p w14:paraId="79A84A2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1.6m/s</w:t>
            </w:r>
          </w:p>
        </w:tc>
      </w:tr>
      <w:tr w14:paraId="4906A635">
        <w:tblPrEx>
          <w:tblCellMar>
            <w:top w:w="0" w:type="dxa"/>
            <w:left w:w="108" w:type="dxa"/>
            <w:bottom w:w="0" w:type="dxa"/>
            <w:right w:w="108" w:type="dxa"/>
          </w:tblCellMar>
        </w:tblPrEx>
        <w:trPr>
          <w:trHeight w:val="450" w:hRule="atLeast"/>
        </w:trPr>
        <w:tc>
          <w:tcPr>
            <w:tcW w:w="403" w:type="pct"/>
            <w:tcBorders>
              <w:top w:val="single" w:color="000000" w:sz="4" w:space="0"/>
              <w:left w:val="single" w:color="000000" w:sz="4" w:space="0"/>
              <w:bottom w:val="single" w:color="000000" w:sz="4" w:space="0"/>
              <w:right w:val="single" w:color="000000" w:sz="4" w:space="0"/>
            </w:tcBorders>
            <w:vAlign w:val="center"/>
          </w:tcPr>
          <w:p w14:paraId="60983EA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15</w:t>
            </w:r>
          </w:p>
        </w:tc>
        <w:tc>
          <w:tcPr>
            <w:tcW w:w="1336" w:type="pct"/>
            <w:tcBorders>
              <w:top w:val="single" w:color="000000" w:sz="4" w:space="0"/>
              <w:left w:val="single" w:color="000000" w:sz="4" w:space="0"/>
              <w:bottom w:val="single" w:color="000000" w:sz="4" w:space="0"/>
              <w:right w:val="single" w:color="000000" w:sz="4" w:space="0"/>
            </w:tcBorders>
            <w:vAlign w:val="center"/>
          </w:tcPr>
          <w:p w14:paraId="4BA8452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通力电梯有限公司</w:t>
            </w:r>
          </w:p>
        </w:tc>
        <w:tc>
          <w:tcPr>
            <w:tcW w:w="961" w:type="pct"/>
            <w:tcBorders>
              <w:top w:val="single" w:color="000000" w:sz="4" w:space="0"/>
              <w:left w:val="single" w:color="000000" w:sz="4" w:space="0"/>
              <w:bottom w:val="single" w:color="000000" w:sz="4" w:space="0"/>
              <w:right w:val="single" w:color="000000" w:sz="4" w:space="0"/>
            </w:tcBorders>
          </w:tcPr>
          <w:p w14:paraId="1172347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曳引驱动（无机房）乘客电梯</w:t>
            </w:r>
          </w:p>
        </w:tc>
        <w:tc>
          <w:tcPr>
            <w:tcW w:w="743" w:type="pct"/>
            <w:tcBorders>
              <w:top w:val="single" w:color="000000" w:sz="4" w:space="0"/>
              <w:left w:val="single" w:color="000000" w:sz="4" w:space="0"/>
              <w:bottom w:val="single" w:color="000000" w:sz="4" w:space="0"/>
              <w:right w:val="single" w:color="000000" w:sz="4" w:space="0"/>
            </w:tcBorders>
            <w:vAlign w:val="center"/>
          </w:tcPr>
          <w:p w14:paraId="6552F19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color w:val="000000"/>
                <w:sz w:val="21"/>
                <w:szCs w:val="21"/>
                <w:highlight w:val="none"/>
              </w:rPr>
              <w:t>KONE NMonospace</w:t>
            </w:r>
          </w:p>
        </w:tc>
        <w:tc>
          <w:tcPr>
            <w:tcW w:w="435" w:type="pct"/>
            <w:tcBorders>
              <w:top w:val="single" w:color="000000" w:sz="4" w:space="0"/>
              <w:left w:val="single" w:color="000000" w:sz="4" w:space="0"/>
              <w:bottom w:val="single" w:color="000000" w:sz="4" w:space="0"/>
              <w:right w:val="single" w:color="000000" w:sz="4" w:space="0"/>
            </w:tcBorders>
            <w:vAlign w:val="center"/>
          </w:tcPr>
          <w:p w14:paraId="3A0B61E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9/9/9</w:t>
            </w:r>
          </w:p>
        </w:tc>
        <w:tc>
          <w:tcPr>
            <w:tcW w:w="556" w:type="pct"/>
            <w:tcBorders>
              <w:top w:val="single" w:color="000000" w:sz="4" w:space="0"/>
              <w:left w:val="single" w:color="000000" w:sz="4" w:space="0"/>
              <w:bottom w:val="single" w:color="000000" w:sz="4" w:space="0"/>
              <w:right w:val="single" w:color="000000" w:sz="4" w:space="0"/>
            </w:tcBorders>
            <w:vAlign w:val="center"/>
          </w:tcPr>
          <w:p w14:paraId="61B7EDA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1000KG</w:t>
            </w:r>
          </w:p>
        </w:tc>
        <w:tc>
          <w:tcPr>
            <w:tcW w:w="564" w:type="pct"/>
            <w:tcBorders>
              <w:top w:val="single" w:color="000000" w:sz="4" w:space="0"/>
              <w:left w:val="single" w:color="000000" w:sz="4" w:space="0"/>
              <w:bottom w:val="single" w:color="000000" w:sz="4" w:space="0"/>
              <w:right w:val="single" w:color="000000" w:sz="4" w:space="0"/>
            </w:tcBorders>
            <w:vAlign w:val="center"/>
          </w:tcPr>
          <w:p w14:paraId="682405F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1.6m/s</w:t>
            </w:r>
          </w:p>
        </w:tc>
      </w:tr>
      <w:tr w14:paraId="4A6E7480">
        <w:tblPrEx>
          <w:tblCellMar>
            <w:top w:w="0" w:type="dxa"/>
            <w:left w:w="108" w:type="dxa"/>
            <w:bottom w:w="0" w:type="dxa"/>
            <w:right w:w="108" w:type="dxa"/>
          </w:tblCellMar>
        </w:tblPrEx>
        <w:trPr>
          <w:trHeight w:val="450" w:hRule="atLeast"/>
        </w:trPr>
        <w:tc>
          <w:tcPr>
            <w:tcW w:w="403" w:type="pct"/>
            <w:tcBorders>
              <w:top w:val="single" w:color="000000" w:sz="4" w:space="0"/>
              <w:left w:val="single" w:color="000000" w:sz="4" w:space="0"/>
              <w:bottom w:val="single" w:color="000000" w:sz="4" w:space="0"/>
              <w:right w:val="single" w:color="000000" w:sz="4" w:space="0"/>
            </w:tcBorders>
            <w:vAlign w:val="center"/>
          </w:tcPr>
          <w:p w14:paraId="1F231D4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16</w:t>
            </w:r>
          </w:p>
        </w:tc>
        <w:tc>
          <w:tcPr>
            <w:tcW w:w="1336" w:type="pct"/>
            <w:tcBorders>
              <w:top w:val="single" w:color="000000" w:sz="4" w:space="0"/>
              <w:left w:val="single" w:color="000000" w:sz="4" w:space="0"/>
              <w:bottom w:val="single" w:color="000000" w:sz="4" w:space="0"/>
              <w:right w:val="single" w:color="000000" w:sz="4" w:space="0"/>
            </w:tcBorders>
            <w:vAlign w:val="center"/>
          </w:tcPr>
          <w:p w14:paraId="2127782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通力电梯有限公司</w:t>
            </w:r>
          </w:p>
        </w:tc>
        <w:tc>
          <w:tcPr>
            <w:tcW w:w="961" w:type="pct"/>
            <w:tcBorders>
              <w:top w:val="single" w:color="000000" w:sz="4" w:space="0"/>
              <w:left w:val="single" w:color="000000" w:sz="4" w:space="0"/>
              <w:bottom w:val="single" w:color="000000" w:sz="4" w:space="0"/>
              <w:right w:val="single" w:color="000000" w:sz="4" w:space="0"/>
            </w:tcBorders>
          </w:tcPr>
          <w:p w14:paraId="0239229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曳引驱动（无机房）乘客电梯</w:t>
            </w:r>
          </w:p>
        </w:tc>
        <w:tc>
          <w:tcPr>
            <w:tcW w:w="743" w:type="pct"/>
            <w:tcBorders>
              <w:top w:val="single" w:color="000000" w:sz="4" w:space="0"/>
              <w:left w:val="single" w:color="000000" w:sz="4" w:space="0"/>
              <w:bottom w:val="single" w:color="000000" w:sz="4" w:space="0"/>
              <w:right w:val="single" w:color="000000" w:sz="4" w:space="0"/>
            </w:tcBorders>
            <w:vAlign w:val="center"/>
          </w:tcPr>
          <w:p w14:paraId="64F1046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color w:val="000000"/>
                <w:sz w:val="21"/>
                <w:szCs w:val="21"/>
                <w:highlight w:val="none"/>
              </w:rPr>
              <w:t>KONE NMonospace</w:t>
            </w:r>
          </w:p>
        </w:tc>
        <w:tc>
          <w:tcPr>
            <w:tcW w:w="435" w:type="pct"/>
            <w:tcBorders>
              <w:top w:val="single" w:color="000000" w:sz="4" w:space="0"/>
              <w:left w:val="single" w:color="000000" w:sz="4" w:space="0"/>
              <w:bottom w:val="single" w:color="000000" w:sz="4" w:space="0"/>
              <w:right w:val="single" w:color="000000" w:sz="4" w:space="0"/>
            </w:tcBorders>
            <w:vAlign w:val="center"/>
          </w:tcPr>
          <w:p w14:paraId="0D438FF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9/9/9</w:t>
            </w:r>
          </w:p>
        </w:tc>
        <w:tc>
          <w:tcPr>
            <w:tcW w:w="556" w:type="pct"/>
            <w:tcBorders>
              <w:top w:val="single" w:color="000000" w:sz="4" w:space="0"/>
              <w:left w:val="single" w:color="000000" w:sz="4" w:space="0"/>
              <w:bottom w:val="single" w:color="000000" w:sz="4" w:space="0"/>
              <w:right w:val="single" w:color="000000" w:sz="4" w:space="0"/>
            </w:tcBorders>
            <w:vAlign w:val="center"/>
          </w:tcPr>
          <w:p w14:paraId="73F689F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1000KG</w:t>
            </w:r>
          </w:p>
        </w:tc>
        <w:tc>
          <w:tcPr>
            <w:tcW w:w="564" w:type="pct"/>
            <w:tcBorders>
              <w:top w:val="single" w:color="000000" w:sz="4" w:space="0"/>
              <w:left w:val="single" w:color="000000" w:sz="4" w:space="0"/>
              <w:bottom w:val="single" w:color="000000" w:sz="4" w:space="0"/>
              <w:right w:val="single" w:color="000000" w:sz="4" w:space="0"/>
            </w:tcBorders>
            <w:vAlign w:val="center"/>
          </w:tcPr>
          <w:p w14:paraId="54187C8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1.6m/s</w:t>
            </w:r>
          </w:p>
        </w:tc>
      </w:tr>
      <w:tr w14:paraId="2A9AC8CE">
        <w:tblPrEx>
          <w:tblCellMar>
            <w:top w:w="0" w:type="dxa"/>
            <w:left w:w="108" w:type="dxa"/>
            <w:bottom w:w="0" w:type="dxa"/>
            <w:right w:w="108" w:type="dxa"/>
          </w:tblCellMar>
        </w:tblPrEx>
        <w:trPr>
          <w:trHeight w:val="450" w:hRule="atLeast"/>
        </w:trPr>
        <w:tc>
          <w:tcPr>
            <w:tcW w:w="403" w:type="pct"/>
            <w:tcBorders>
              <w:top w:val="single" w:color="000000" w:sz="4" w:space="0"/>
              <w:left w:val="single" w:color="000000" w:sz="4" w:space="0"/>
              <w:bottom w:val="single" w:color="000000" w:sz="4" w:space="0"/>
              <w:right w:val="single" w:color="000000" w:sz="4" w:space="0"/>
            </w:tcBorders>
            <w:vAlign w:val="center"/>
          </w:tcPr>
          <w:p w14:paraId="0A783F7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17</w:t>
            </w:r>
          </w:p>
        </w:tc>
        <w:tc>
          <w:tcPr>
            <w:tcW w:w="1336" w:type="pct"/>
            <w:tcBorders>
              <w:top w:val="single" w:color="000000" w:sz="4" w:space="0"/>
              <w:left w:val="single" w:color="000000" w:sz="4" w:space="0"/>
              <w:bottom w:val="single" w:color="000000" w:sz="4" w:space="0"/>
              <w:right w:val="single" w:color="000000" w:sz="4" w:space="0"/>
            </w:tcBorders>
            <w:vAlign w:val="center"/>
          </w:tcPr>
          <w:p w14:paraId="4226D64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通力电梯有限公司</w:t>
            </w:r>
          </w:p>
        </w:tc>
        <w:tc>
          <w:tcPr>
            <w:tcW w:w="961" w:type="pct"/>
            <w:tcBorders>
              <w:top w:val="single" w:color="000000" w:sz="4" w:space="0"/>
              <w:left w:val="single" w:color="000000" w:sz="4" w:space="0"/>
              <w:bottom w:val="single" w:color="000000" w:sz="4" w:space="0"/>
              <w:right w:val="single" w:color="000000" w:sz="4" w:space="0"/>
            </w:tcBorders>
          </w:tcPr>
          <w:p w14:paraId="66F8124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曳引驱动（无机房）乘客电梯</w:t>
            </w:r>
          </w:p>
        </w:tc>
        <w:tc>
          <w:tcPr>
            <w:tcW w:w="743" w:type="pct"/>
            <w:tcBorders>
              <w:top w:val="single" w:color="000000" w:sz="4" w:space="0"/>
              <w:left w:val="single" w:color="000000" w:sz="4" w:space="0"/>
              <w:bottom w:val="single" w:color="000000" w:sz="4" w:space="0"/>
              <w:right w:val="single" w:color="000000" w:sz="4" w:space="0"/>
            </w:tcBorders>
            <w:vAlign w:val="center"/>
          </w:tcPr>
          <w:p w14:paraId="55E2F50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color w:val="000000"/>
                <w:sz w:val="21"/>
                <w:szCs w:val="21"/>
                <w:highlight w:val="none"/>
              </w:rPr>
              <w:t>KONE NMonospace</w:t>
            </w:r>
          </w:p>
        </w:tc>
        <w:tc>
          <w:tcPr>
            <w:tcW w:w="435" w:type="pct"/>
            <w:tcBorders>
              <w:top w:val="single" w:color="000000" w:sz="4" w:space="0"/>
              <w:left w:val="single" w:color="000000" w:sz="4" w:space="0"/>
              <w:bottom w:val="single" w:color="000000" w:sz="4" w:space="0"/>
              <w:right w:val="single" w:color="000000" w:sz="4" w:space="0"/>
            </w:tcBorders>
            <w:vAlign w:val="center"/>
          </w:tcPr>
          <w:p w14:paraId="7EDE09D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9/9/9</w:t>
            </w:r>
          </w:p>
        </w:tc>
        <w:tc>
          <w:tcPr>
            <w:tcW w:w="556" w:type="pct"/>
            <w:tcBorders>
              <w:top w:val="single" w:color="000000" w:sz="4" w:space="0"/>
              <w:left w:val="single" w:color="000000" w:sz="4" w:space="0"/>
              <w:bottom w:val="single" w:color="000000" w:sz="4" w:space="0"/>
              <w:right w:val="single" w:color="000000" w:sz="4" w:space="0"/>
            </w:tcBorders>
            <w:vAlign w:val="center"/>
          </w:tcPr>
          <w:p w14:paraId="272B8AB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1000KG</w:t>
            </w:r>
          </w:p>
        </w:tc>
        <w:tc>
          <w:tcPr>
            <w:tcW w:w="564" w:type="pct"/>
            <w:tcBorders>
              <w:top w:val="single" w:color="000000" w:sz="4" w:space="0"/>
              <w:left w:val="single" w:color="000000" w:sz="4" w:space="0"/>
              <w:bottom w:val="single" w:color="000000" w:sz="4" w:space="0"/>
              <w:right w:val="single" w:color="000000" w:sz="4" w:space="0"/>
            </w:tcBorders>
            <w:vAlign w:val="center"/>
          </w:tcPr>
          <w:p w14:paraId="4C74743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1.6m/s</w:t>
            </w:r>
          </w:p>
        </w:tc>
      </w:tr>
      <w:tr w14:paraId="5920AFD4">
        <w:tblPrEx>
          <w:tblCellMar>
            <w:top w:w="0" w:type="dxa"/>
            <w:left w:w="108" w:type="dxa"/>
            <w:bottom w:w="0" w:type="dxa"/>
            <w:right w:w="108" w:type="dxa"/>
          </w:tblCellMar>
        </w:tblPrEx>
        <w:trPr>
          <w:trHeight w:val="450" w:hRule="atLeast"/>
        </w:trPr>
        <w:tc>
          <w:tcPr>
            <w:tcW w:w="403" w:type="pct"/>
            <w:tcBorders>
              <w:top w:val="single" w:color="000000" w:sz="4" w:space="0"/>
              <w:left w:val="single" w:color="000000" w:sz="4" w:space="0"/>
              <w:bottom w:val="single" w:color="000000" w:sz="4" w:space="0"/>
              <w:right w:val="single" w:color="000000" w:sz="4" w:space="0"/>
            </w:tcBorders>
            <w:vAlign w:val="center"/>
          </w:tcPr>
          <w:p w14:paraId="0F165F7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18</w:t>
            </w:r>
          </w:p>
        </w:tc>
        <w:tc>
          <w:tcPr>
            <w:tcW w:w="1336" w:type="pct"/>
            <w:tcBorders>
              <w:top w:val="single" w:color="000000" w:sz="4" w:space="0"/>
              <w:left w:val="single" w:color="000000" w:sz="4" w:space="0"/>
              <w:bottom w:val="single" w:color="000000" w:sz="4" w:space="0"/>
              <w:right w:val="single" w:color="000000" w:sz="4" w:space="0"/>
            </w:tcBorders>
            <w:vAlign w:val="center"/>
          </w:tcPr>
          <w:p w14:paraId="6859A09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通力电梯有限公司</w:t>
            </w:r>
          </w:p>
        </w:tc>
        <w:tc>
          <w:tcPr>
            <w:tcW w:w="961" w:type="pct"/>
            <w:tcBorders>
              <w:top w:val="single" w:color="000000" w:sz="4" w:space="0"/>
              <w:left w:val="single" w:color="000000" w:sz="4" w:space="0"/>
              <w:bottom w:val="single" w:color="000000" w:sz="4" w:space="0"/>
              <w:right w:val="single" w:color="000000" w:sz="4" w:space="0"/>
            </w:tcBorders>
          </w:tcPr>
          <w:p w14:paraId="51728F7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曳引驱动（无机房）乘客电梯</w:t>
            </w:r>
          </w:p>
        </w:tc>
        <w:tc>
          <w:tcPr>
            <w:tcW w:w="743" w:type="pct"/>
            <w:tcBorders>
              <w:top w:val="single" w:color="000000" w:sz="4" w:space="0"/>
              <w:left w:val="single" w:color="000000" w:sz="4" w:space="0"/>
              <w:bottom w:val="single" w:color="000000" w:sz="4" w:space="0"/>
              <w:right w:val="single" w:color="000000" w:sz="4" w:space="0"/>
            </w:tcBorders>
            <w:vAlign w:val="center"/>
          </w:tcPr>
          <w:p w14:paraId="32F643B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color w:val="000000"/>
                <w:sz w:val="21"/>
                <w:szCs w:val="21"/>
                <w:highlight w:val="none"/>
              </w:rPr>
              <w:t>KONE NMonospace</w:t>
            </w:r>
          </w:p>
        </w:tc>
        <w:tc>
          <w:tcPr>
            <w:tcW w:w="435" w:type="pct"/>
            <w:tcBorders>
              <w:top w:val="single" w:color="000000" w:sz="4" w:space="0"/>
              <w:left w:val="single" w:color="000000" w:sz="4" w:space="0"/>
              <w:bottom w:val="single" w:color="000000" w:sz="4" w:space="0"/>
              <w:right w:val="single" w:color="000000" w:sz="4" w:space="0"/>
            </w:tcBorders>
            <w:vAlign w:val="center"/>
          </w:tcPr>
          <w:p w14:paraId="2C91610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9/9/9</w:t>
            </w:r>
          </w:p>
        </w:tc>
        <w:tc>
          <w:tcPr>
            <w:tcW w:w="556" w:type="pct"/>
            <w:tcBorders>
              <w:top w:val="single" w:color="000000" w:sz="4" w:space="0"/>
              <w:left w:val="single" w:color="000000" w:sz="4" w:space="0"/>
              <w:bottom w:val="single" w:color="000000" w:sz="4" w:space="0"/>
              <w:right w:val="single" w:color="000000" w:sz="4" w:space="0"/>
            </w:tcBorders>
            <w:vAlign w:val="center"/>
          </w:tcPr>
          <w:p w14:paraId="604452A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1000KG</w:t>
            </w:r>
          </w:p>
        </w:tc>
        <w:tc>
          <w:tcPr>
            <w:tcW w:w="564" w:type="pct"/>
            <w:tcBorders>
              <w:top w:val="single" w:color="000000" w:sz="4" w:space="0"/>
              <w:left w:val="single" w:color="000000" w:sz="4" w:space="0"/>
              <w:bottom w:val="single" w:color="000000" w:sz="4" w:space="0"/>
              <w:right w:val="single" w:color="000000" w:sz="4" w:space="0"/>
            </w:tcBorders>
            <w:vAlign w:val="center"/>
          </w:tcPr>
          <w:p w14:paraId="382406A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1.6m/s</w:t>
            </w:r>
          </w:p>
        </w:tc>
      </w:tr>
      <w:tr w14:paraId="35EC36E8">
        <w:tblPrEx>
          <w:tblCellMar>
            <w:top w:w="0" w:type="dxa"/>
            <w:left w:w="108" w:type="dxa"/>
            <w:bottom w:w="0" w:type="dxa"/>
            <w:right w:w="108" w:type="dxa"/>
          </w:tblCellMar>
        </w:tblPrEx>
        <w:trPr>
          <w:trHeight w:val="450" w:hRule="atLeast"/>
        </w:trPr>
        <w:tc>
          <w:tcPr>
            <w:tcW w:w="403" w:type="pct"/>
            <w:tcBorders>
              <w:top w:val="single" w:color="000000" w:sz="4" w:space="0"/>
              <w:left w:val="single" w:color="000000" w:sz="4" w:space="0"/>
              <w:bottom w:val="single" w:color="000000" w:sz="4" w:space="0"/>
              <w:right w:val="single" w:color="000000" w:sz="4" w:space="0"/>
            </w:tcBorders>
            <w:vAlign w:val="center"/>
          </w:tcPr>
          <w:p w14:paraId="56062C7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19</w:t>
            </w:r>
          </w:p>
        </w:tc>
        <w:tc>
          <w:tcPr>
            <w:tcW w:w="1336" w:type="pct"/>
            <w:tcBorders>
              <w:top w:val="single" w:color="000000" w:sz="4" w:space="0"/>
              <w:left w:val="single" w:color="000000" w:sz="4" w:space="0"/>
              <w:bottom w:val="single" w:color="000000" w:sz="4" w:space="0"/>
              <w:right w:val="single" w:color="000000" w:sz="4" w:space="0"/>
            </w:tcBorders>
            <w:vAlign w:val="center"/>
          </w:tcPr>
          <w:p w14:paraId="45E4798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通力电梯有限公司</w:t>
            </w:r>
          </w:p>
        </w:tc>
        <w:tc>
          <w:tcPr>
            <w:tcW w:w="961" w:type="pct"/>
            <w:tcBorders>
              <w:top w:val="single" w:color="000000" w:sz="4" w:space="0"/>
              <w:left w:val="single" w:color="000000" w:sz="4" w:space="0"/>
              <w:bottom w:val="single" w:color="000000" w:sz="4" w:space="0"/>
              <w:right w:val="single" w:color="000000" w:sz="4" w:space="0"/>
            </w:tcBorders>
          </w:tcPr>
          <w:p w14:paraId="691798B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曳引驱动（无机房）乘客电梯</w:t>
            </w:r>
          </w:p>
        </w:tc>
        <w:tc>
          <w:tcPr>
            <w:tcW w:w="743" w:type="pct"/>
            <w:tcBorders>
              <w:top w:val="single" w:color="000000" w:sz="4" w:space="0"/>
              <w:left w:val="single" w:color="000000" w:sz="4" w:space="0"/>
              <w:bottom w:val="single" w:color="000000" w:sz="4" w:space="0"/>
              <w:right w:val="single" w:color="000000" w:sz="4" w:space="0"/>
            </w:tcBorders>
            <w:vAlign w:val="center"/>
          </w:tcPr>
          <w:p w14:paraId="4949BE4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color w:val="000000"/>
                <w:sz w:val="21"/>
                <w:szCs w:val="21"/>
                <w:highlight w:val="none"/>
              </w:rPr>
              <w:t>KONE NMonospace</w:t>
            </w:r>
          </w:p>
        </w:tc>
        <w:tc>
          <w:tcPr>
            <w:tcW w:w="435" w:type="pct"/>
            <w:tcBorders>
              <w:top w:val="single" w:color="000000" w:sz="4" w:space="0"/>
              <w:left w:val="single" w:color="000000" w:sz="4" w:space="0"/>
              <w:bottom w:val="single" w:color="000000" w:sz="4" w:space="0"/>
              <w:right w:val="single" w:color="000000" w:sz="4" w:space="0"/>
            </w:tcBorders>
            <w:vAlign w:val="center"/>
          </w:tcPr>
          <w:p w14:paraId="2D158CE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9/9/9</w:t>
            </w:r>
          </w:p>
        </w:tc>
        <w:tc>
          <w:tcPr>
            <w:tcW w:w="556" w:type="pct"/>
            <w:tcBorders>
              <w:top w:val="single" w:color="000000" w:sz="4" w:space="0"/>
              <w:left w:val="single" w:color="000000" w:sz="4" w:space="0"/>
              <w:bottom w:val="single" w:color="000000" w:sz="4" w:space="0"/>
              <w:right w:val="single" w:color="000000" w:sz="4" w:space="0"/>
            </w:tcBorders>
            <w:vAlign w:val="center"/>
          </w:tcPr>
          <w:p w14:paraId="2ECC1F7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1000KG</w:t>
            </w:r>
          </w:p>
        </w:tc>
        <w:tc>
          <w:tcPr>
            <w:tcW w:w="564" w:type="pct"/>
            <w:tcBorders>
              <w:top w:val="single" w:color="000000" w:sz="4" w:space="0"/>
              <w:left w:val="single" w:color="000000" w:sz="4" w:space="0"/>
              <w:bottom w:val="single" w:color="000000" w:sz="4" w:space="0"/>
              <w:right w:val="single" w:color="000000" w:sz="4" w:space="0"/>
            </w:tcBorders>
            <w:vAlign w:val="center"/>
          </w:tcPr>
          <w:p w14:paraId="67E0CB8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1.6m/s</w:t>
            </w:r>
          </w:p>
        </w:tc>
      </w:tr>
      <w:tr w14:paraId="5218231B">
        <w:tblPrEx>
          <w:tblCellMar>
            <w:top w:w="0" w:type="dxa"/>
            <w:left w:w="108" w:type="dxa"/>
            <w:bottom w:w="0" w:type="dxa"/>
            <w:right w:w="108" w:type="dxa"/>
          </w:tblCellMar>
        </w:tblPrEx>
        <w:trPr>
          <w:trHeight w:val="450" w:hRule="atLeast"/>
        </w:trPr>
        <w:tc>
          <w:tcPr>
            <w:tcW w:w="403" w:type="pct"/>
            <w:tcBorders>
              <w:top w:val="single" w:color="000000" w:sz="4" w:space="0"/>
              <w:left w:val="single" w:color="000000" w:sz="4" w:space="0"/>
              <w:bottom w:val="single" w:color="000000" w:sz="4" w:space="0"/>
              <w:right w:val="single" w:color="000000" w:sz="4" w:space="0"/>
            </w:tcBorders>
            <w:vAlign w:val="center"/>
          </w:tcPr>
          <w:p w14:paraId="420345B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20</w:t>
            </w:r>
          </w:p>
        </w:tc>
        <w:tc>
          <w:tcPr>
            <w:tcW w:w="1336" w:type="pct"/>
            <w:tcBorders>
              <w:top w:val="single" w:color="000000" w:sz="4" w:space="0"/>
              <w:left w:val="single" w:color="000000" w:sz="4" w:space="0"/>
              <w:bottom w:val="single" w:color="000000" w:sz="4" w:space="0"/>
              <w:right w:val="single" w:color="000000" w:sz="4" w:space="0"/>
            </w:tcBorders>
            <w:vAlign w:val="center"/>
          </w:tcPr>
          <w:p w14:paraId="1296326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通力电梯有限公司</w:t>
            </w:r>
          </w:p>
        </w:tc>
        <w:tc>
          <w:tcPr>
            <w:tcW w:w="961" w:type="pct"/>
            <w:tcBorders>
              <w:top w:val="single" w:color="000000" w:sz="4" w:space="0"/>
              <w:left w:val="single" w:color="000000" w:sz="4" w:space="0"/>
              <w:bottom w:val="single" w:color="000000" w:sz="4" w:space="0"/>
              <w:right w:val="single" w:color="000000" w:sz="4" w:space="0"/>
            </w:tcBorders>
          </w:tcPr>
          <w:p w14:paraId="2717963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曳引驱动（无机房）乘客电梯</w:t>
            </w:r>
          </w:p>
        </w:tc>
        <w:tc>
          <w:tcPr>
            <w:tcW w:w="743" w:type="pct"/>
            <w:tcBorders>
              <w:top w:val="single" w:color="000000" w:sz="4" w:space="0"/>
              <w:left w:val="single" w:color="000000" w:sz="4" w:space="0"/>
              <w:bottom w:val="single" w:color="000000" w:sz="4" w:space="0"/>
              <w:right w:val="single" w:color="000000" w:sz="4" w:space="0"/>
            </w:tcBorders>
            <w:vAlign w:val="center"/>
          </w:tcPr>
          <w:p w14:paraId="4EEABA2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color w:val="000000"/>
                <w:sz w:val="21"/>
                <w:szCs w:val="21"/>
                <w:highlight w:val="none"/>
              </w:rPr>
              <w:t>KONE NMonospace</w:t>
            </w:r>
          </w:p>
        </w:tc>
        <w:tc>
          <w:tcPr>
            <w:tcW w:w="435" w:type="pct"/>
            <w:tcBorders>
              <w:top w:val="single" w:color="000000" w:sz="4" w:space="0"/>
              <w:left w:val="single" w:color="000000" w:sz="4" w:space="0"/>
              <w:bottom w:val="single" w:color="000000" w:sz="4" w:space="0"/>
              <w:right w:val="single" w:color="000000" w:sz="4" w:space="0"/>
            </w:tcBorders>
            <w:vAlign w:val="center"/>
          </w:tcPr>
          <w:p w14:paraId="1DF48C3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4/4/4</w:t>
            </w:r>
          </w:p>
        </w:tc>
        <w:tc>
          <w:tcPr>
            <w:tcW w:w="556" w:type="pct"/>
            <w:tcBorders>
              <w:top w:val="single" w:color="000000" w:sz="4" w:space="0"/>
              <w:left w:val="single" w:color="000000" w:sz="4" w:space="0"/>
              <w:bottom w:val="single" w:color="000000" w:sz="4" w:space="0"/>
              <w:right w:val="single" w:color="000000" w:sz="4" w:space="0"/>
            </w:tcBorders>
            <w:vAlign w:val="center"/>
          </w:tcPr>
          <w:p w14:paraId="49B4D5B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2000KG</w:t>
            </w:r>
          </w:p>
        </w:tc>
        <w:tc>
          <w:tcPr>
            <w:tcW w:w="564" w:type="pct"/>
            <w:tcBorders>
              <w:top w:val="single" w:color="000000" w:sz="4" w:space="0"/>
              <w:left w:val="single" w:color="000000" w:sz="4" w:space="0"/>
              <w:bottom w:val="single" w:color="000000" w:sz="4" w:space="0"/>
              <w:right w:val="single" w:color="000000" w:sz="4" w:space="0"/>
            </w:tcBorders>
            <w:vAlign w:val="center"/>
          </w:tcPr>
          <w:p w14:paraId="39782B0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1.0m/s</w:t>
            </w:r>
          </w:p>
        </w:tc>
      </w:tr>
      <w:tr w14:paraId="6E7E90F9">
        <w:tblPrEx>
          <w:tblCellMar>
            <w:top w:w="0" w:type="dxa"/>
            <w:left w:w="108" w:type="dxa"/>
            <w:bottom w:w="0" w:type="dxa"/>
            <w:right w:w="108" w:type="dxa"/>
          </w:tblCellMar>
        </w:tblPrEx>
        <w:trPr>
          <w:trHeight w:val="450" w:hRule="atLeast"/>
        </w:trPr>
        <w:tc>
          <w:tcPr>
            <w:tcW w:w="403" w:type="pct"/>
            <w:tcBorders>
              <w:top w:val="single" w:color="000000" w:sz="4" w:space="0"/>
              <w:left w:val="single" w:color="000000" w:sz="4" w:space="0"/>
              <w:bottom w:val="single" w:color="000000" w:sz="4" w:space="0"/>
              <w:right w:val="single" w:color="000000" w:sz="4" w:space="0"/>
            </w:tcBorders>
            <w:vAlign w:val="center"/>
          </w:tcPr>
          <w:p w14:paraId="0307A20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21</w:t>
            </w:r>
          </w:p>
        </w:tc>
        <w:tc>
          <w:tcPr>
            <w:tcW w:w="1336" w:type="pct"/>
            <w:tcBorders>
              <w:top w:val="single" w:color="000000" w:sz="4" w:space="0"/>
              <w:left w:val="single" w:color="000000" w:sz="4" w:space="0"/>
              <w:bottom w:val="single" w:color="000000" w:sz="4" w:space="0"/>
              <w:right w:val="single" w:color="000000" w:sz="4" w:space="0"/>
            </w:tcBorders>
            <w:vAlign w:val="center"/>
          </w:tcPr>
          <w:p w14:paraId="56E054A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通力电梯有限公司</w:t>
            </w:r>
          </w:p>
        </w:tc>
        <w:tc>
          <w:tcPr>
            <w:tcW w:w="961" w:type="pct"/>
            <w:tcBorders>
              <w:top w:val="single" w:color="000000" w:sz="4" w:space="0"/>
              <w:left w:val="single" w:color="000000" w:sz="4" w:space="0"/>
              <w:bottom w:val="single" w:color="000000" w:sz="4" w:space="0"/>
              <w:right w:val="single" w:color="000000" w:sz="4" w:space="0"/>
            </w:tcBorders>
          </w:tcPr>
          <w:p w14:paraId="771CE15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曳引驱动（无机房）乘客电梯</w:t>
            </w:r>
          </w:p>
        </w:tc>
        <w:tc>
          <w:tcPr>
            <w:tcW w:w="743" w:type="pct"/>
            <w:tcBorders>
              <w:top w:val="single" w:color="000000" w:sz="4" w:space="0"/>
              <w:left w:val="single" w:color="000000" w:sz="4" w:space="0"/>
              <w:bottom w:val="single" w:color="000000" w:sz="4" w:space="0"/>
              <w:right w:val="single" w:color="000000" w:sz="4" w:space="0"/>
            </w:tcBorders>
            <w:vAlign w:val="center"/>
          </w:tcPr>
          <w:p w14:paraId="29FDA07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color w:val="000000"/>
                <w:sz w:val="21"/>
                <w:szCs w:val="21"/>
                <w:highlight w:val="none"/>
              </w:rPr>
              <w:t>KONE NMonospace</w:t>
            </w:r>
          </w:p>
        </w:tc>
        <w:tc>
          <w:tcPr>
            <w:tcW w:w="435" w:type="pct"/>
            <w:tcBorders>
              <w:top w:val="single" w:color="000000" w:sz="4" w:space="0"/>
              <w:left w:val="single" w:color="000000" w:sz="4" w:space="0"/>
              <w:bottom w:val="single" w:color="000000" w:sz="4" w:space="0"/>
              <w:right w:val="single" w:color="000000" w:sz="4" w:space="0"/>
            </w:tcBorders>
            <w:vAlign w:val="center"/>
          </w:tcPr>
          <w:p w14:paraId="0201072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4/4/4</w:t>
            </w:r>
          </w:p>
        </w:tc>
        <w:tc>
          <w:tcPr>
            <w:tcW w:w="556" w:type="pct"/>
            <w:tcBorders>
              <w:top w:val="single" w:color="000000" w:sz="4" w:space="0"/>
              <w:left w:val="single" w:color="000000" w:sz="4" w:space="0"/>
              <w:bottom w:val="single" w:color="000000" w:sz="4" w:space="0"/>
              <w:right w:val="single" w:color="000000" w:sz="4" w:space="0"/>
            </w:tcBorders>
            <w:vAlign w:val="center"/>
          </w:tcPr>
          <w:p w14:paraId="7C7C904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2000KG</w:t>
            </w:r>
          </w:p>
        </w:tc>
        <w:tc>
          <w:tcPr>
            <w:tcW w:w="564" w:type="pct"/>
            <w:tcBorders>
              <w:top w:val="single" w:color="000000" w:sz="4" w:space="0"/>
              <w:left w:val="single" w:color="000000" w:sz="4" w:space="0"/>
              <w:bottom w:val="single" w:color="000000" w:sz="4" w:space="0"/>
              <w:right w:val="single" w:color="000000" w:sz="4" w:space="0"/>
            </w:tcBorders>
            <w:vAlign w:val="center"/>
          </w:tcPr>
          <w:p w14:paraId="51B6D7B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1.0m/s</w:t>
            </w:r>
          </w:p>
        </w:tc>
      </w:tr>
      <w:tr w14:paraId="5165E0ED">
        <w:tblPrEx>
          <w:tblCellMar>
            <w:top w:w="0" w:type="dxa"/>
            <w:left w:w="108" w:type="dxa"/>
            <w:bottom w:w="0" w:type="dxa"/>
            <w:right w:w="108" w:type="dxa"/>
          </w:tblCellMar>
        </w:tblPrEx>
        <w:trPr>
          <w:trHeight w:val="450" w:hRule="atLeast"/>
        </w:trPr>
        <w:tc>
          <w:tcPr>
            <w:tcW w:w="403" w:type="pct"/>
            <w:tcBorders>
              <w:top w:val="single" w:color="000000" w:sz="4" w:space="0"/>
              <w:left w:val="single" w:color="000000" w:sz="4" w:space="0"/>
              <w:bottom w:val="single" w:color="000000" w:sz="4" w:space="0"/>
              <w:right w:val="single" w:color="000000" w:sz="4" w:space="0"/>
            </w:tcBorders>
            <w:vAlign w:val="center"/>
          </w:tcPr>
          <w:p w14:paraId="088C863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22</w:t>
            </w:r>
          </w:p>
        </w:tc>
        <w:tc>
          <w:tcPr>
            <w:tcW w:w="1336" w:type="pct"/>
            <w:tcBorders>
              <w:top w:val="single" w:color="000000" w:sz="4" w:space="0"/>
              <w:left w:val="single" w:color="000000" w:sz="4" w:space="0"/>
              <w:bottom w:val="single" w:color="000000" w:sz="4" w:space="0"/>
              <w:right w:val="single" w:color="000000" w:sz="4" w:space="0"/>
            </w:tcBorders>
            <w:vAlign w:val="center"/>
          </w:tcPr>
          <w:p w14:paraId="120592D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通力电梯有限公司</w:t>
            </w:r>
          </w:p>
        </w:tc>
        <w:tc>
          <w:tcPr>
            <w:tcW w:w="961" w:type="pct"/>
            <w:tcBorders>
              <w:top w:val="single" w:color="000000" w:sz="4" w:space="0"/>
              <w:left w:val="single" w:color="000000" w:sz="4" w:space="0"/>
              <w:bottom w:val="single" w:color="000000" w:sz="4" w:space="0"/>
              <w:right w:val="single" w:color="000000" w:sz="4" w:space="0"/>
            </w:tcBorders>
          </w:tcPr>
          <w:p w14:paraId="7AE032E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曳引驱动（无机房）乘客电梯</w:t>
            </w:r>
          </w:p>
        </w:tc>
        <w:tc>
          <w:tcPr>
            <w:tcW w:w="743" w:type="pct"/>
            <w:tcBorders>
              <w:top w:val="single" w:color="000000" w:sz="4" w:space="0"/>
              <w:left w:val="single" w:color="000000" w:sz="4" w:space="0"/>
              <w:bottom w:val="single" w:color="000000" w:sz="4" w:space="0"/>
              <w:right w:val="single" w:color="000000" w:sz="4" w:space="0"/>
            </w:tcBorders>
            <w:vAlign w:val="center"/>
          </w:tcPr>
          <w:p w14:paraId="060DA31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highlight w:val="none"/>
              </w:rPr>
              <w:t>KONE NMonospace</w:t>
            </w:r>
          </w:p>
        </w:tc>
        <w:tc>
          <w:tcPr>
            <w:tcW w:w="435" w:type="pct"/>
            <w:tcBorders>
              <w:top w:val="single" w:color="000000" w:sz="4" w:space="0"/>
              <w:left w:val="single" w:color="000000" w:sz="4" w:space="0"/>
              <w:bottom w:val="single" w:color="000000" w:sz="4" w:space="0"/>
              <w:right w:val="single" w:color="000000" w:sz="4" w:space="0"/>
            </w:tcBorders>
            <w:vAlign w:val="center"/>
          </w:tcPr>
          <w:p w14:paraId="54371EE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3/3/3</w:t>
            </w:r>
          </w:p>
        </w:tc>
        <w:tc>
          <w:tcPr>
            <w:tcW w:w="556" w:type="pct"/>
            <w:tcBorders>
              <w:top w:val="single" w:color="000000" w:sz="4" w:space="0"/>
              <w:left w:val="single" w:color="000000" w:sz="4" w:space="0"/>
              <w:bottom w:val="single" w:color="000000" w:sz="4" w:space="0"/>
              <w:right w:val="single" w:color="000000" w:sz="4" w:space="0"/>
            </w:tcBorders>
            <w:vAlign w:val="center"/>
          </w:tcPr>
          <w:p w14:paraId="61A91A1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1000KG</w:t>
            </w:r>
          </w:p>
        </w:tc>
        <w:tc>
          <w:tcPr>
            <w:tcW w:w="564" w:type="pct"/>
            <w:tcBorders>
              <w:top w:val="single" w:color="000000" w:sz="4" w:space="0"/>
              <w:left w:val="single" w:color="000000" w:sz="4" w:space="0"/>
              <w:bottom w:val="single" w:color="000000" w:sz="4" w:space="0"/>
              <w:right w:val="single" w:color="000000" w:sz="4" w:space="0"/>
            </w:tcBorders>
            <w:vAlign w:val="center"/>
          </w:tcPr>
          <w:p w14:paraId="2F5B01E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1.6m/s</w:t>
            </w:r>
          </w:p>
        </w:tc>
      </w:tr>
      <w:tr w14:paraId="30715AC1">
        <w:tblPrEx>
          <w:tblCellMar>
            <w:top w:w="0" w:type="dxa"/>
            <w:left w:w="108" w:type="dxa"/>
            <w:bottom w:w="0" w:type="dxa"/>
            <w:right w:w="108" w:type="dxa"/>
          </w:tblCellMar>
        </w:tblPrEx>
        <w:trPr>
          <w:trHeight w:val="450" w:hRule="atLeast"/>
        </w:trPr>
        <w:tc>
          <w:tcPr>
            <w:tcW w:w="403" w:type="pct"/>
            <w:tcBorders>
              <w:top w:val="single" w:color="000000" w:sz="4" w:space="0"/>
              <w:left w:val="single" w:color="000000" w:sz="4" w:space="0"/>
              <w:bottom w:val="single" w:color="000000" w:sz="4" w:space="0"/>
              <w:right w:val="single" w:color="000000" w:sz="4" w:space="0"/>
            </w:tcBorders>
            <w:vAlign w:val="center"/>
          </w:tcPr>
          <w:p w14:paraId="4C72B94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23</w:t>
            </w:r>
          </w:p>
        </w:tc>
        <w:tc>
          <w:tcPr>
            <w:tcW w:w="1336" w:type="pct"/>
            <w:tcBorders>
              <w:top w:val="single" w:color="000000" w:sz="4" w:space="0"/>
              <w:left w:val="single" w:color="000000" w:sz="4" w:space="0"/>
              <w:bottom w:val="single" w:color="000000" w:sz="4" w:space="0"/>
              <w:right w:val="single" w:color="000000" w:sz="4" w:space="0"/>
            </w:tcBorders>
            <w:vAlign w:val="center"/>
          </w:tcPr>
          <w:p w14:paraId="683B39E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通力电梯有限公司</w:t>
            </w:r>
          </w:p>
        </w:tc>
        <w:tc>
          <w:tcPr>
            <w:tcW w:w="961" w:type="pct"/>
            <w:tcBorders>
              <w:top w:val="single" w:color="000000" w:sz="4" w:space="0"/>
              <w:left w:val="single" w:color="000000" w:sz="4" w:space="0"/>
              <w:bottom w:val="single" w:color="000000" w:sz="4" w:space="0"/>
              <w:right w:val="single" w:color="000000" w:sz="4" w:space="0"/>
            </w:tcBorders>
          </w:tcPr>
          <w:p w14:paraId="4328391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曳引驱动（无机房）货梯</w:t>
            </w:r>
          </w:p>
        </w:tc>
        <w:tc>
          <w:tcPr>
            <w:tcW w:w="743" w:type="pct"/>
            <w:tcBorders>
              <w:top w:val="single" w:color="000000" w:sz="4" w:space="0"/>
              <w:left w:val="single" w:color="000000" w:sz="4" w:space="0"/>
              <w:bottom w:val="single" w:color="000000" w:sz="4" w:space="0"/>
              <w:right w:val="single" w:color="000000" w:sz="4" w:space="0"/>
            </w:tcBorders>
            <w:vAlign w:val="center"/>
          </w:tcPr>
          <w:p w14:paraId="792304B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highlight w:val="none"/>
              </w:rPr>
              <w:t>KONE TranSys</w:t>
            </w:r>
          </w:p>
        </w:tc>
        <w:tc>
          <w:tcPr>
            <w:tcW w:w="435" w:type="pct"/>
            <w:tcBorders>
              <w:top w:val="single" w:color="000000" w:sz="4" w:space="0"/>
              <w:left w:val="single" w:color="000000" w:sz="4" w:space="0"/>
              <w:bottom w:val="single" w:color="000000" w:sz="4" w:space="0"/>
              <w:right w:val="single" w:color="000000" w:sz="4" w:space="0"/>
            </w:tcBorders>
            <w:vAlign w:val="center"/>
          </w:tcPr>
          <w:p w14:paraId="4F78C6C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4/4/4</w:t>
            </w:r>
          </w:p>
        </w:tc>
        <w:tc>
          <w:tcPr>
            <w:tcW w:w="556" w:type="pct"/>
            <w:tcBorders>
              <w:top w:val="single" w:color="000000" w:sz="4" w:space="0"/>
              <w:left w:val="single" w:color="000000" w:sz="4" w:space="0"/>
              <w:bottom w:val="single" w:color="000000" w:sz="4" w:space="0"/>
              <w:right w:val="single" w:color="000000" w:sz="4" w:space="0"/>
            </w:tcBorders>
            <w:vAlign w:val="center"/>
          </w:tcPr>
          <w:p w14:paraId="676DD81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3000KG</w:t>
            </w:r>
          </w:p>
        </w:tc>
        <w:tc>
          <w:tcPr>
            <w:tcW w:w="564" w:type="pct"/>
            <w:tcBorders>
              <w:top w:val="single" w:color="000000" w:sz="4" w:space="0"/>
              <w:left w:val="single" w:color="000000" w:sz="4" w:space="0"/>
              <w:bottom w:val="single" w:color="000000" w:sz="4" w:space="0"/>
              <w:right w:val="single" w:color="000000" w:sz="4" w:space="0"/>
            </w:tcBorders>
            <w:vAlign w:val="center"/>
          </w:tcPr>
          <w:p w14:paraId="7C06EAF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highlight w:val="none"/>
              </w:rPr>
              <w:t>0.50 m/s</w:t>
            </w:r>
          </w:p>
        </w:tc>
      </w:tr>
    </w:tbl>
    <w:p w14:paraId="29D8E958">
      <w:pPr>
        <w:pStyle w:val="48"/>
        <w:spacing w:line="400" w:lineRule="exact"/>
        <w:ind w:firstLine="482"/>
        <w:rPr>
          <w:rFonts w:hint="eastAsia" w:hAnsi="宋体" w:cs="宋体"/>
          <w:b/>
          <w:bCs/>
          <w:szCs w:val="24"/>
        </w:rPr>
      </w:pPr>
      <w:r>
        <w:rPr>
          <w:rFonts w:hint="eastAsia" w:hAnsi="宋体" w:cs="宋体"/>
          <w:b/>
          <w:bCs/>
          <w:szCs w:val="24"/>
        </w:rPr>
        <w:t>本项目不接受联合体。</w:t>
      </w:r>
    </w:p>
    <w:p w14:paraId="017C97A9">
      <w:pPr>
        <w:spacing w:line="400" w:lineRule="exact"/>
        <w:ind w:firstLine="482" w:firstLineChars="200"/>
        <w:rPr>
          <w:rFonts w:hint="eastAsia" w:ascii="宋体" w:hAnsi="宋体" w:cs="宋体"/>
          <w:b/>
          <w:bCs/>
          <w:sz w:val="24"/>
          <w:szCs w:val="24"/>
        </w:rPr>
      </w:pPr>
      <w:bookmarkStart w:id="14" w:name="_Toc28359013"/>
      <w:bookmarkStart w:id="15" w:name="_Toc35393630"/>
      <w:bookmarkStart w:id="16" w:name="_Toc28359090"/>
      <w:bookmarkStart w:id="17" w:name="_Toc35393799"/>
    </w:p>
    <w:p w14:paraId="23D2D4D6">
      <w:pPr>
        <w:spacing w:line="400" w:lineRule="exact"/>
        <w:ind w:firstLine="482" w:firstLineChars="200"/>
        <w:rPr>
          <w:rFonts w:hint="eastAsia" w:ascii="宋体" w:hAnsi="宋体" w:cs="宋体"/>
          <w:b/>
          <w:bCs/>
          <w:sz w:val="24"/>
          <w:szCs w:val="24"/>
        </w:rPr>
      </w:pPr>
      <w:r>
        <w:rPr>
          <w:rFonts w:hint="eastAsia" w:ascii="宋体" w:hAnsi="宋体" w:cs="宋体"/>
          <w:b/>
          <w:bCs/>
          <w:sz w:val="24"/>
          <w:szCs w:val="24"/>
        </w:rPr>
        <w:t>二、申请人的资格要求：</w:t>
      </w:r>
      <w:bookmarkEnd w:id="14"/>
      <w:bookmarkEnd w:id="15"/>
      <w:bookmarkEnd w:id="16"/>
      <w:bookmarkEnd w:id="17"/>
    </w:p>
    <w:p w14:paraId="6A3BD02F">
      <w:pPr>
        <w:spacing w:line="400" w:lineRule="exact"/>
        <w:ind w:firstLine="480" w:firstLineChars="200"/>
        <w:rPr>
          <w:rFonts w:hint="eastAsia" w:ascii="宋体" w:hAnsi="宋体" w:cs="宋体"/>
          <w:sz w:val="24"/>
          <w:szCs w:val="24"/>
        </w:rPr>
      </w:pPr>
      <w:r>
        <w:rPr>
          <w:rFonts w:hint="eastAsia" w:ascii="宋体" w:hAnsi="宋体" w:cs="宋体"/>
          <w:sz w:val="24"/>
          <w:szCs w:val="24"/>
        </w:rPr>
        <w:t>1.满足《中华人民共和国政府采购法》第二十二条规定：</w:t>
      </w:r>
    </w:p>
    <w:p w14:paraId="13AE9A7E">
      <w:pPr>
        <w:pStyle w:val="48"/>
        <w:spacing w:line="400" w:lineRule="exact"/>
        <w:ind w:firstLine="480"/>
        <w:rPr>
          <w:rFonts w:hint="eastAsia" w:hAnsi="宋体" w:cs="宋体"/>
          <w:szCs w:val="24"/>
        </w:rPr>
      </w:pPr>
      <w:r>
        <w:rPr>
          <w:rFonts w:hint="eastAsia" w:hAnsi="宋体" w:cs="宋体"/>
          <w:szCs w:val="24"/>
        </w:rPr>
        <w:t>1.1供应商必须是经国家有关部门批准，具有合法经营资质、符合《中华人民共和国政府采购法》第二十二条规定的独立法人或其他组织；</w:t>
      </w:r>
    </w:p>
    <w:p w14:paraId="2C6995DD">
      <w:pPr>
        <w:pStyle w:val="48"/>
        <w:spacing w:line="400" w:lineRule="exact"/>
        <w:ind w:firstLine="480"/>
        <w:rPr>
          <w:rFonts w:hint="eastAsia" w:hAnsi="宋体" w:cs="宋体"/>
          <w:szCs w:val="24"/>
        </w:rPr>
      </w:pPr>
      <w:r>
        <w:rPr>
          <w:rFonts w:hint="eastAsia" w:hAnsi="宋体" w:cs="宋体"/>
          <w:szCs w:val="24"/>
        </w:rPr>
        <w:t>1.2供应商需提供20</w:t>
      </w:r>
      <w:r>
        <w:rPr>
          <w:rFonts w:hint="eastAsia" w:hAnsi="宋体" w:cs="宋体"/>
          <w:szCs w:val="24"/>
          <w:lang w:val="en-US" w:eastAsia="zh-CN"/>
        </w:rPr>
        <w:t>24</w:t>
      </w:r>
      <w:r>
        <w:rPr>
          <w:rFonts w:hint="eastAsia" w:hAnsi="宋体" w:cs="宋体"/>
          <w:szCs w:val="24"/>
        </w:rPr>
        <w:t>年度或最新一年度的财务状况报告（成立不满一年不需提供）；</w:t>
      </w:r>
    </w:p>
    <w:p w14:paraId="69A6FAB3">
      <w:pPr>
        <w:pStyle w:val="48"/>
        <w:spacing w:line="400" w:lineRule="exact"/>
        <w:ind w:firstLine="480"/>
        <w:rPr>
          <w:rFonts w:hint="eastAsia" w:hAnsi="宋体" w:cs="宋体"/>
          <w:szCs w:val="24"/>
        </w:rPr>
      </w:pPr>
      <w:r>
        <w:rPr>
          <w:rFonts w:hint="eastAsia" w:hAnsi="宋体" w:cs="宋体"/>
          <w:szCs w:val="24"/>
        </w:rPr>
        <w:t>1.3供应商需提供依法缴纳税收和社会保障资金的相关材料；</w:t>
      </w:r>
    </w:p>
    <w:p w14:paraId="45ECA6CE">
      <w:pPr>
        <w:pStyle w:val="48"/>
        <w:spacing w:line="400" w:lineRule="exact"/>
        <w:ind w:firstLine="480"/>
        <w:rPr>
          <w:rFonts w:hint="eastAsia" w:hAnsi="宋体" w:cs="宋体"/>
          <w:szCs w:val="24"/>
        </w:rPr>
      </w:pPr>
      <w:r>
        <w:rPr>
          <w:rFonts w:hint="eastAsia" w:hAnsi="宋体" w:cs="宋体"/>
          <w:szCs w:val="24"/>
        </w:rPr>
        <w:t>1.4供应商具有履行合同所必需的设备和专业技术能力的书面声明；</w:t>
      </w:r>
    </w:p>
    <w:p w14:paraId="22C7F764">
      <w:pPr>
        <w:pStyle w:val="48"/>
        <w:spacing w:line="400" w:lineRule="exact"/>
        <w:ind w:firstLine="480"/>
        <w:rPr>
          <w:rFonts w:hint="eastAsia" w:hAnsi="宋体" w:cs="宋体"/>
          <w:szCs w:val="24"/>
        </w:rPr>
      </w:pPr>
      <w:r>
        <w:rPr>
          <w:rFonts w:hint="eastAsia" w:hAnsi="宋体" w:cs="宋体"/>
          <w:szCs w:val="24"/>
        </w:rPr>
        <w:t>1.5供应商在经营活动中没有违法违规记录，近三年内没有被司法部门或行业主管部门处罚，提供书面声明；</w:t>
      </w:r>
    </w:p>
    <w:p w14:paraId="6C6A86E6">
      <w:pPr>
        <w:pStyle w:val="48"/>
        <w:spacing w:line="400" w:lineRule="exact"/>
        <w:ind w:firstLine="480"/>
        <w:rPr>
          <w:rFonts w:hint="eastAsia" w:hAnsi="宋体" w:cs="宋体"/>
          <w:szCs w:val="24"/>
        </w:rPr>
      </w:pPr>
      <w:r>
        <w:rPr>
          <w:rFonts w:hint="eastAsia" w:hAnsi="宋体" w:cs="宋体"/>
          <w:szCs w:val="24"/>
        </w:rPr>
        <w:t xml:space="preserve">1.6供应商须提供在“信用中国”（www.creditchina.gov.cn）查询的、自本采购公告发布之日至投标截止前的信用记录的截图（截图须加盖公章）。 </w:t>
      </w:r>
    </w:p>
    <w:p w14:paraId="4DC62203">
      <w:pPr>
        <w:pStyle w:val="48"/>
        <w:spacing w:line="400" w:lineRule="exact"/>
        <w:ind w:firstLine="480"/>
        <w:rPr>
          <w:rFonts w:hint="eastAsia" w:hAnsi="宋体" w:cs="宋体"/>
          <w:szCs w:val="24"/>
        </w:rPr>
      </w:pPr>
      <w:r>
        <w:rPr>
          <w:rFonts w:hint="eastAsia" w:hAnsi="宋体" w:cs="宋体"/>
          <w:szCs w:val="24"/>
        </w:rPr>
        <w:t>1.7拒绝下述供应商参加本次采购活动：</w:t>
      </w:r>
    </w:p>
    <w:p w14:paraId="300B27A8">
      <w:pPr>
        <w:pStyle w:val="48"/>
        <w:spacing w:line="400" w:lineRule="exact"/>
        <w:ind w:firstLine="480"/>
      </w:pPr>
      <w:r>
        <w:rPr>
          <w:rFonts w:hint="eastAsia" w:hAnsi="宋体" w:cs="宋体"/>
          <w:szCs w:val="24"/>
        </w:rPr>
        <w:t>1）供应商单位负责人为同一人或者存在直接控股、管理关系的不同供应商，不得参加同一合同项下的政府采购活动。</w:t>
      </w:r>
    </w:p>
    <w:p w14:paraId="36FD1360">
      <w:pPr>
        <w:pStyle w:val="48"/>
        <w:spacing w:line="400" w:lineRule="exact"/>
        <w:ind w:firstLine="480"/>
        <w:rPr>
          <w:rFonts w:hint="eastAsia" w:hAnsi="宋体" w:cs="宋体"/>
          <w:szCs w:val="24"/>
        </w:rPr>
      </w:pPr>
      <w:r>
        <w:rPr>
          <w:rFonts w:hint="eastAsia" w:hAnsi="宋体" w:cs="宋体"/>
          <w:szCs w:val="24"/>
        </w:rPr>
        <w:t>2）供应商被“信用中国”网站（www.creditchina.gov.cn）、“中国政府采购网"(www.ccgp.gov.cn)列入失信被执行人、重大税收违法案件当事人名单、政府采购严重违法失信行为记录名单。</w:t>
      </w:r>
    </w:p>
    <w:p w14:paraId="25DD1E52">
      <w:pPr>
        <w:pStyle w:val="48"/>
        <w:spacing w:line="400" w:lineRule="exact"/>
        <w:ind w:firstLine="480"/>
        <w:rPr>
          <w:rFonts w:hint="eastAsia" w:hAnsi="宋体" w:cs="宋体"/>
          <w:szCs w:val="24"/>
        </w:rPr>
      </w:pPr>
      <w:r>
        <w:rPr>
          <w:rFonts w:hint="eastAsia" w:hAnsi="宋体" w:cs="宋体"/>
          <w:szCs w:val="24"/>
        </w:rPr>
        <w:t>1.8政府采购信用承诺</w:t>
      </w:r>
    </w:p>
    <w:p w14:paraId="2EE0FE77">
      <w:pPr>
        <w:pStyle w:val="48"/>
        <w:spacing w:line="400" w:lineRule="exact"/>
        <w:ind w:firstLine="480"/>
        <w:rPr>
          <w:rFonts w:hint="eastAsia" w:hAnsi="宋体" w:cs="宋体"/>
          <w:szCs w:val="24"/>
        </w:rPr>
      </w:pPr>
      <w:r>
        <w:rPr>
          <w:rFonts w:hint="eastAsia" w:hAnsi="宋体" w:cs="宋体"/>
          <w:szCs w:val="24"/>
        </w:rPr>
        <w:t>根据《关于在政府采购活动中推行信用承诺制的通知》宁财购通〔2021〕5号规定， 参加南京地区政府采购活动的供应商，应以书面形式向采购人或政府采购代理机构作出信用承诺。供应商应尽早做好承诺工作，点击‘南京公共采购信息网’首页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要求完成注册），然后在“信用记录”模块页面点击“信用记录打印”下载本单位《南京市政府采购供应商信用记录表暨信用承诺书》，由法人签字并盖单位公章，随响应文件一并递交。</w:t>
      </w:r>
    </w:p>
    <w:p w14:paraId="088EEA6F">
      <w:pPr>
        <w:numPr>
          <w:ilvl w:val="0"/>
          <w:numId w:val="8"/>
        </w:numPr>
        <w:spacing w:line="400" w:lineRule="exact"/>
        <w:ind w:firstLine="480" w:firstLineChars="200"/>
        <w:rPr>
          <w:rFonts w:hint="eastAsia" w:ascii="宋体" w:hAnsi="宋体" w:cs="宋体"/>
          <w:sz w:val="24"/>
          <w:szCs w:val="24"/>
        </w:rPr>
      </w:pPr>
      <w:bookmarkStart w:id="18" w:name="_Toc28359091"/>
      <w:bookmarkStart w:id="19" w:name="_Toc28359014"/>
      <w:r>
        <w:rPr>
          <w:rFonts w:hint="eastAsia" w:ascii="宋体" w:hAnsi="宋体" w:cs="宋体"/>
          <w:sz w:val="24"/>
          <w:szCs w:val="24"/>
        </w:rPr>
        <w:t>落实政府采购政策需满足的资格要求：</w:t>
      </w:r>
    </w:p>
    <w:p w14:paraId="3548A73B">
      <w:pPr>
        <w:pStyle w:val="48"/>
        <w:spacing w:line="360" w:lineRule="exact"/>
        <w:ind w:firstLine="480"/>
      </w:pPr>
      <w:r>
        <w:rPr>
          <w:rFonts w:hint="eastAsia"/>
        </w:rPr>
        <w:t xml:space="preserve">本项目按照以下第(4)种方式落实政府采购促进中小企业发展的要求： </w:t>
      </w:r>
    </w:p>
    <w:p w14:paraId="3F4463EA">
      <w:pPr>
        <w:pStyle w:val="48"/>
        <w:spacing w:line="360" w:lineRule="exact"/>
        <w:ind w:firstLine="480"/>
      </w:pPr>
      <w:r>
        <w:rPr>
          <w:rFonts w:hint="eastAsia"/>
        </w:rPr>
        <w:t>（1）本项目整体专门面向中小企业采购</w:t>
      </w:r>
      <w:r>
        <w:rPr>
          <w:rFonts w:hint="eastAsia"/>
          <w:lang w:val="en-US" w:eastAsia="zh-CN"/>
        </w:rPr>
        <w:t>服务</w:t>
      </w:r>
      <w:r>
        <w:rPr>
          <w:rFonts w:hint="eastAsia"/>
        </w:rPr>
        <w:t xml:space="preserve">。 </w:t>
      </w:r>
    </w:p>
    <w:p w14:paraId="3DB9EDE9">
      <w:pPr>
        <w:pStyle w:val="48"/>
        <w:spacing w:line="360" w:lineRule="exact"/>
        <w:ind w:firstLine="480"/>
      </w:pPr>
      <w:r>
        <w:rPr>
          <w:rFonts w:hint="eastAsia"/>
        </w:rPr>
        <w:t>（2）本项目整体专门面向小微企业采购</w:t>
      </w:r>
      <w:r>
        <w:rPr>
          <w:rFonts w:hint="eastAsia"/>
          <w:lang w:val="en-US" w:eastAsia="zh-CN"/>
        </w:rPr>
        <w:t>服务</w:t>
      </w:r>
      <w:r>
        <w:rPr>
          <w:rFonts w:hint="eastAsia"/>
        </w:rPr>
        <w:t xml:space="preserve">。 </w:t>
      </w:r>
    </w:p>
    <w:p w14:paraId="20E8DEAF">
      <w:pPr>
        <w:pStyle w:val="48"/>
        <w:spacing w:line="360" w:lineRule="exact"/>
        <w:ind w:firstLine="480"/>
      </w:pPr>
      <w:r>
        <w:rPr>
          <w:rFonts w:hint="eastAsia"/>
        </w:rPr>
        <w:t>（3）本项目通过以下第（/） 种方式预留部分采购份额采购中小企业</w:t>
      </w:r>
      <w:r>
        <w:rPr>
          <w:rFonts w:hint="eastAsia"/>
          <w:lang w:val="en-US" w:eastAsia="zh-CN"/>
        </w:rPr>
        <w:t>服务</w:t>
      </w:r>
      <w:r>
        <w:rPr>
          <w:rFonts w:hint="eastAsia"/>
        </w:rPr>
        <w:t xml:space="preserve">： </w:t>
      </w:r>
    </w:p>
    <w:p w14:paraId="20B3ADA7">
      <w:pPr>
        <w:pStyle w:val="48"/>
        <w:spacing w:line="360" w:lineRule="exact"/>
        <w:ind w:firstLine="480"/>
      </w:pPr>
      <w:r>
        <w:rPr>
          <w:rFonts w:hint="eastAsia"/>
        </w:rPr>
        <w:t>①要求供应商以联合体形式参加，企业合同金额应当达到的比例为</w:t>
      </w:r>
      <w:r>
        <w:rPr>
          <w:rFonts w:hint="eastAsia"/>
          <w:u w:val="single"/>
        </w:rPr>
        <w:t xml:space="preserve"> / </w:t>
      </w:r>
      <w:r>
        <w:rPr>
          <w:rFonts w:hint="eastAsia"/>
        </w:rPr>
        <w:t xml:space="preserve">%。 </w:t>
      </w:r>
    </w:p>
    <w:p w14:paraId="28199D7C">
      <w:pPr>
        <w:pStyle w:val="48"/>
        <w:spacing w:line="360" w:lineRule="exact"/>
        <w:ind w:firstLine="480"/>
      </w:pPr>
      <w:r>
        <w:rPr>
          <w:rFonts w:hint="eastAsia"/>
        </w:rPr>
        <w:t>②要求供应商进行合同分包，企业合同金额应当达到的比例为</w:t>
      </w:r>
      <w:r>
        <w:rPr>
          <w:rFonts w:hint="eastAsia"/>
          <w:u w:val="single"/>
        </w:rPr>
        <w:t xml:space="preserve"> / </w:t>
      </w:r>
      <w:r>
        <w:rPr>
          <w:rFonts w:hint="eastAsia"/>
        </w:rPr>
        <w:t xml:space="preserve">%。 </w:t>
      </w:r>
    </w:p>
    <w:p w14:paraId="4CA4506A">
      <w:pPr>
        <w:spacing w:line="360" w:lineRule="exact"/>
        <w:ind w:firstLine="420" w:firstLineChars="200"/>
        <w:rPr>
          <w:rFonts w:ascii="Times New Roman" w:hAnsi="Times New Roman" w:cs="Times New Roman"/>
        </w:rPr>
      </w:pPr>
      <w:r>
        <w:rPr>
          <w:rFonts w:hint="eastAsia"/>
        </w:rPr>
        <w:t>（4）本项目为非预留份额的采购项目或采购包，执行价格扣除优惠政策，具体详见评标办法与标准</w:t>
      </w:r>
      <w:r>
        <w:rPr>
          <w:rFonts w:hint="eastAsia" w:ascii="Times New Roman" w:hAnsi="Times New Roman" w:cs="Times New Roman"/>
        </w:rPr>
        <w:t>。</w:t>
      </w:r>
    </w:p>
    <w:p w14:paraId="2E6099FF">
      <w:pPr>
        <w:spacing w:line="360" w:lineRule="exact"/>
        <w:ind w:firstLine="420" w:firstLineChars="200"/>
        <w:rPr>
          <w:rFonts w:hint="default" w:ascii="Times New Roman" w:hAnsi="Times New Roman" w:eastAsia="宋体" w:cs="Times New Roman"/>
          <w:lang w:val="en-US" w:eastAsia="zh-CN"/>
        </w:rPr>
      </w:pP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5</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本项目行业划分为：租赁和商务服务业。</w:t>
      </w:r>
    </w:p>
    <w:p w14:paraId="6DC45793">
      <w:pPr>
        <w:spacing w:line="400" w:lineRule="exact"/>
        <w:ind w:firstLine="480" w:firstLineChars="200"/>
        <w:rPr>
          <w:rFonts w:hint="eastAsia" w:ascii="宋体" w:hAnsi="宋体" w:cs="宋体"/>
          <w:sz w:val="24"/>
          <w:szCs w:val="24"/>
        </w:rPr>
      </w:pPr>
      <w:r>
        <w:rPr>
          <w:rFonts w:hint="eastAsia" w:ascii="宋体" w:hAnsi="宋体" w:cs="宋体"/>
          <w:sz w:val="24"/>
          <w:szCs w:val="24"/>
        </w:rPr>
        <w:t>3.本项目的特定资格要求：</w:t>
      </w:r>
    </w:p>
    <w:p w14:paraId="2D017C24">
      <w:pPr>
        <w:spacing w:line="400" w:lineRule="exact"/>
        <w:ind w:firstLine="480" w:firstLineChars="200"/>
        <w:rPr>
          <w:rFonts w:hint="eastAsia" w:ascii="宋体" w:hAnsi="宋体" w:cs="宋体"/>
          <w:sz w:val="24"/>
          <w:szCs w:val="24"/>
        </w:rPr>
      </w:pPr>
      <w:r>
        <w:rPr>
          <w:rFonts w:hint="eastAsia" w:ascii="宋体" w:hAnsi="宋体" w:cs="宋体"/>
          <w:sz w:val="24"/>
          <w:szCs w:val="24"/>
        </w:rPr>
        <w:t>供应商须具备有效期内的《中华人民共和国特种设备生产许可证》或有效期内的《中华人民共和国特种设备安装改造维修许可证》(电梯)B级及以上资质。提供证书复印件并加盖公章。</w:t>
      </w:r>
    </w:p>
    <w:p w14:paraId="20608589">
      <w:pPr>
        <w:spacing w:line="400" w:lineRule="exact"/>
        <w:ind w:firstLine="482" w:firstLineChars="200"/>
        <w:rPr>
          <w:rFonts w:hint="eastAsia" w:ascii="宋体" w:hAnsi="宋体" w:cs="宋体"/>
          <w:b/>
          <w:bCs/>
          <w:sz w:val="24"/>
          <w:szCs w:val="24"/>
        </w:rPr>
      </w:pPr>
      <w:bookmarkStart w:id="20" w:name="_Toc35393800"/>
      <w:bookmarkStart w:id="21" w:name="_Toc35393631"/>
    </w:p>
    <w:p w14:paraId="31EF983C">
      <w:pPr>
        <w:spacing w:line="400" w:lineRule="exact"/>
        <w:ind w:firstLine="482" w:firstLineChars="200"/>
        <w:rPr>
          <w:rFonts w:hint="eastAsia" w:ascii="宋体" w:hAnsi="宋体" w:cs="宋体"/>
          <w:sz w:val="24"/>
          <w:szCs w:val="24"/>
        </w:rPr>
      </w:pPr>
      <w:r>
        <w:rPr>
          <w:rFonts w:hint="eastAsia" w:ascii="宋体" w:hAnsi="宋体" w:cs="宋体"/>
          <w:b/>
          <w:bCs/>
          <w:sz w:val="24"/>
          <w:szCs w:val="24"/>
        </w:rPr>
        <w:t>三、获取采购文件</w:t>
      </w:r>
      <w:bookmarkEnd w:id="18"/>
      <w:bookmarkEnd w:id="19"/>
      <w:bookmarkEnd w:id="20"/>
      <w:bookmarkEnd w:id="21"/>
    </w:p>
    <w:p w14:paraId="4FB009DE">
      <w:pPr>
        <w:spacing w:line="400" w:lineRule="exact"/>
        <w:ind w:firstLine="540"/>
        <w:rPr>
          <w:rFonts w:hint="eastAsia" w:ascii="宋体" w:hAnsi="宋体" w:cs="宋体"/>
          <w:sz w:val="24"/>
          <w:szCs w:val="24"/>
        </w:rPr>
      </w:pPr>
      <w:r>
        <w:rPr>
          <w:rFonts w:hint="eastAsia" w:ascii="宋体" w:hAnsi="宋体" w:cs="宋体"/>
          <w:sz w:val="24"/>
          <w:szCs w:val="24"/>
        </w:rPr>
        <w:t>时间：</w:t>
      </w:r>
      <w:r>
        <w:rPr>
          <w:rFonts w:hint="eastAsia" w:ascii="宋体" w:hAnsi="宋体" w:cs="宋体"/>
          <w:sz w:val="24"/>
          <w:szCs w:val="24"/>
          <w:u w:val="single"/>
        </w:rPr>
        <w:t>2025年</w:t>
      </w:r>
      <w:r>
        <w:rPr>
          <w:rFonts w:hint="eastAsia" w:ascii="宋体" w:hAnsi="宋体" w:cs="宋体"/>
          <w:sz w:val="24"/>
          <w:szCs w:val="24"/>
          <w:u w:val="single"/>
          <w:lang w:val="en-US" w:eastAsia="zh-CN"/>
        </w:rPr>
        <w:t>11</w:t>
      </w:r>
      <w:r>
        <w:rPr>
          <w:rFonts w:hint="eastAsia" w:ascii="宋体" w:hAnsi="宋体" w:cs="宋体"/>
          <w:sz w:val="24"/>
          <w:szCs w:val="24"/>
          <w:u w:val="single"/>
        </w:rPr>
        <w:t>月</w:t>
      </w:r>
      <w:r>
        <w:rPr>
          <w:rFonts w:hint="eastAsia" w:ascii="宋体" w:hAnsi="宋体" w:cs="宋体"/>
          <w:sz w:val="24"/>
          <w:szCs w:val="24"/>
          <w:u w:val="single"/>
          <w:lang w:val="en-US" w:eastAsia="zh-CN"/>
        </w:rPr>
        <w:t>25</w:t>
      </w:r>
      <w:r>
        <w:rPr>
          <w:rFonts w:hint="eastAsia" w:ascii="宋体" w:hAnsi="宋体" w:cs="宋体"/>
          <w:sz w:val="24"/>
          <w:szCs w:val="24"/>
          <w:u w:val="single"/>
        </w:rPr>
        <w:t>日</w:t>
      </w:r>
      <w:r>
        <w:rPr>
          <w:rFonts w:hint="eastAsia" w:ascii="宋体" w:hAnsi="宋体" w:cs="宋体"/>
          <w:sz w:val="24"/>
          <w:szCs w:val="24"/>
        </w:rPr>
        <w:t>至</w:t>
      </w:r>
      <w:r>
        <w:rPr>
          <w:rFonts w:hint="eastAsia" w:ascii="宋体" w:hAnsi="宋体" w:cs="宋体"/>
          <w:sz w:val="24"/>
          <w:szCs w:val="24"/>
          <w:u w:val="single"/>
        </w:rPr>
        <w:t>2025年</w:t>
      </w:r>
      <w:r>
        <w:rPr>
          <w:rFonts w:hint="eastAsia" w:ascii="宋体" w:hAnsi="宋体" w:cs="宋体"/>
          <w:sz w:val="24"/>
          <w:szCs w:val="24"/>
          <w:u w:val="single"/>
          <w:lang w:val="en-US" w:eastAsia="zh-CN"/>
        </w:rPr>
        <w:t>12</w:t>
      </w:r>
      <w:r>
        <w:rPr>
          <w:rFonts w:hint="eastAsia" w:ascii="宋体" w:hAnsi="宋体" w:cs="宋体"/>
          <w:sz w:val="24"/>
          <w:szCs w:val="24"/>
          <w:u w:val="single"/>
        </w:rPr>
        <w:t>月</w:t>
      </w:r>
      <w:r>
        <w:rPr>
          <w:rFonts w:hint="eastAsia" w:ascii="宋体" w:hAnsi="宋体" w:cs="宋体"/>
          <w:sz w:val="24"/>
          <w:szCs w:val="24"/>
          <w:u w:val="single"/>
          <w:lang w:val="en-US" w:eastAsia="zh-CN"/>
        </w:rPr>
        <w:t>1</w:t>
      </w:r>
      <w:r>
        <w:rPr>
          <w:rFonts w:hint="eastAsia" w:ascii="宋体" w:hAnsi="宋体" w:cs="宋体"/>
          <w:sz w:val="24"/>
          <w:szCs w:val="24"/>
          <w:u w:val="single"/>
        </w:rPr>
        <w:t>日</w:t>
      </w:r>
      <w:r>
        <w:rPr>
          <w:rFonts w:hint="eastAsia" w:ascii="宋体" w:hAnsi="宋体" w:cs="宋体"/>
          <w:sz w:val="24"/>
          <w:szCs w:val="24"/>
        </w:rPr>
        <w:t>，每天上午</w:t>
      </w:r>
      <w:r>
        <w:rPr>
          <w:rFonts w:hint="eastAsia" w:ascii="宋体" w:hAnsi="宋体" w:cs="宋体"/>
          <w:sz w:val="24"/>
          <w:szCs w:val="24"/>
          <w:u w:val="single"/>
        </w:rPr>
        <w:t>8：30</w:t>
      </w:r>
      <w:r>
        <w:rPr>
          <w:rFonts w:hint="eastAsia" w:ascii="宋体" w:hAnsi="宋体" w:cs="宋体"/>
          <w:sz w:val="24"/>
          <w:szCs w:val="24"/>
        </w:rPr>
        <w:t>至</w:t>
      </w:r>
      <w:r>
        <w:rPr>
          <w:rFonts w:hint="eastAsia" w:ascii="宋体" w:hAnsi="宋体" w:cs="宋体"/>
          <w:sz w:val="24"/>
          <w:szCs w:val="24"/>
          <w:u w:val="single"/>
        </w:rPr>
        <w:t>11：30</w:t>
      </w:r>
      <w:r>
        <w:rPr>
          <w:rFonts w:hint="eastAsia" w:ascii="宋体" w:hAnsi="宋体" w:cs="宋体"/>
          <w:sz w:val="24"/>
          <w:szCs w:val="24"/>
        </w:rPr>
        <w:t>，下午</w:t>
      </w:r>
      <w:r>
        <w:rPr>
          <w:rFonts w:hint="eastAsia" w:ascii="宋体" w:hAnsi="宋体" w:cs="宋体"/>
          <w:sz w:val="24"/>
          <w:szCs w:val="24"/>
          <w:u w:val="single"/>
        </w:rPr>
        <w:t>14：00</w:t>
      </w:r>
      <w:r>
        <w:rPr>
          <w:rFonts w:hint="eastAsia" w:ascii="宋体" w:hAnsi="宋体" w:cs="宋体"/>
          <w:sz w:val="24"/>
          <w:szCs w:val="24"/>
        </w:rPr>
        <w:t>至</w:t>
      </w:r>
      <w:r>
        <w:rPr>
          <w:rFonts w:hint="eastAsia" w:ascii="宋体" w:hAnsi="宋体" w:cs="宋体"/>
          <w:sz w:val="24"/>
          <w:szCs w:val="24"/>
          <w:u w:val="single"/>
        </w:rPr>
        <w:t>17：30</w:t>
      </w:r>
      <w:r>
        <w:rPr>
          <w:rFonts w:hint="eastAsia" w:ascii="宋体" w:hAnsi="宋体" w:cs="宋体"/>
          <w:sz w:val="24"/>
          <w:szCs w:val="24"/>
        </w:rPr>
        <w:t>（北京时间，法定节假日除外 ）</w:t>
      </w:r>
    </w:p>
    <w:p w14:paraId="2F775BD9">
      <w:pPr>
        <w:pStyle w:val="48"/>
        <w:spacing w:line="400" w:lineRule="exact"/>
        <w:ind w:firstLine="480"/>
        <w:rPr>
          <w:rFonts w:hint="eastAsia" w:hAnsi="宋体" w:cs="宋体"/>
          <w:szCs w:val="24"/>
        </w:rPr>
      </w:pPr>
      <w:r>
        <w:rPr>
          <w:rFonts w:hint="eastAsia" w:hAnsi="宋体" w:cs="宋体"/>
          <w:szCs w:val="24"/>
        </w:rPr>
        <w:t>方式：</w:t>
      </w:r>
    </w:p>
    <w:p w14:paraId="110B5147">
      <w:pPr>
        <w:pStyle w:val="48"/>
        <w:spacing w:line="400" w:lineRule="exact"/>
        <w:ind w:firstLine="480"/>
        <w:rPr>
          <w:rFonts w:hint="eastAsia" w:hAnsi="宋体" w:cs="宋体"/>
          <w:szCs w:val="24"/>
        </w:rPr>
      </w:pPr>
      <w:r>
        <w:rPr>
          <w:rFonts w:hint="eastAsia" w:hAnsi="宋体" w:cs="宋体"/>
          <w:szCs w:val="24"/>
        </w:rPr>
        <w:t>报名需将下述资料盖章扫描件（1份）发邮件至 chenshu_xm@cicdi.cn，进行报名：</w:t>
      </w:r>
    </w:p>
    <w:p w14:paraId="7A39C22B">
      <w:pPr>
        <w:pStyle w:val="48"/>
        <w:spacing w:line="400" w:lineRule="exact"/>
        <w:ind w:firstLine="480"/>
        <w:rPr>
          <w:rFonts w:hint="eastAsia" w:hAnsi="宋体" w:cs="宋体"/>
          <w:szCs w:val="24"/>
        </w:rPr>
      </w:pPr>
      <w:r>
        <w:rPr>
          <w:rFonts w:hint="eastAsia" w:hAnsi="宋体" w:cs="宋体"/>
          <w:szCs w:val="24"/>
        </w:rPr>
        <w:t>（1）营业执照扫描件；</w:t>
      </w:r>
    </w:p>
    <w:p w14:paraId="14DAE05D">
      <w:pPr>
        <w:pStyle w:val="48"/>
        <w:spacing w:line="400" w:lineRule="exact"/>
        <w:ind w:firstLine="480"/>
        <w:rPr>
          <w:rFonts w:hint="eastAsia" w:hAnsi="宋体" w:cs="宋体"/>
          <w:szCs w:val="24"/>
        </w:rPr>
      </w:pPr>
      <w:r>
        <w:rPr>
          <w:rFonts w:hint="eastAsia" w:hAnsi="宋体" w:cs="宋体"/>
          <w:szCs w:val="24"/>
        </w:rPr>
        <w:t>（2）法人授权委托书及被授权人身份证扫描件。</w:t>
      </w:r>
    </w:p>
    <w:p w14:paraId="2BDE0343">
      <w:pPr>
        <w:pStyle w:val="48"/>
        <w:spacing w:line="400" w:lineRule="exact"/>
        <w:ind w:firstLine="480"/>
        <w:rPr>
          <w:rFonts w:hint="eastAsia" w:hAnsi="宋体" w:cs="宋体"/>
          <w:szCs w:val="24"/>
        </w:rPr>
      </w:pPr>
      <w:r>
        <w:rPr>
          <w:rFonts w:hint="eastAsia" w:hAnsi="宋体" w:cs="宋体"/>
          <w:szCs w:val="24"/>
        </w:rPr>
        <w:t>（3）标书费付款凭证。</w:t>
      </w:r>
    </w:p>
    <w:p w14:paraId="7F2FF302">
      <w:pPr>
        <w:pStyle w:val="48"/>
        <w:spacing w:line="400" w:lineRule="exact"/>
        <w:ind w:firstLine="480"/>
        <w:rPr>
          <w:rFonts w:hint="eastAsia" w:hAnsi="宋体" w:cs="宋体"/>
          <w:szCs w:val="24"/>
        </w:rPr>
      </w:pPr>
      <w:r>
        <w:rPr>
          <w:rFonts w:hint="eastAsia" w:hAnsi="宋体" w:cs="宋体"/>
          <w:szCs w:val="24"/>
        </w:rPr>
        <w:t>售价：500元人民币</w:t>
      </w:r>
    </w:p>
    <w:p w14:paraId="6D8A937A">
      <w:pPr>
        <w:pStyle w:val="48"/>
        <w:spacing w:line="400" w:lineRule="exact"/>
        <w:ind w:firstLine="480"/>
        <w:rPr>
          <w:rFonts w:hint="eastAsia" w:hAnsi="宋体" w:cs="宋体"/>
          <w:szCs w:val="24"/>
        </w:rPr>
      </w:pPr>
      <w:r>
        <w:rPr>
          <w:rFonts w:hint="eastAsia" w:hAnsi="宋体" w:cs="宋体"/>
          <w:szCs w:val="24"/>
        </w:rPr>
        <w:t>汇款账号信息如下：</w:t>
      </w:r>
    </w:p>
    <w:p w14:paraId="7848A3FB">
      <w:pPr>
        <w:pStyle w:val="48"/>
        <w:spacing w:line="400" w:lineRule="exact"/>
        <w:ind w:firstLine="480"/>
        <w:rPr>
          <w:rFonts w:hint="eastAsia" w:hAnsi="宋体" w:cs="宋体"/>
          <w:szCs w:val="24"/>
        </w:rPr>
      </w:pPr>
      <w:r>
        <w:rPr>
          <w:rFonts w:hint="eastAsia" w:hAnsi="宋体" w:cs="宋体"/>
          <w:szCs w:val="24"/>
        </w:rPr>
        <w:t>收款单位：中通服咨询设计研究院有限公司</w:t>
      </w:r>
    </w:p>
    <w:p w14:paraId="15C7CD58">
      <w:pPr>
        <w:pStyle w:val="48"/>
        <w:spacing w:line="400" w:lineRule="exact"/>
        <w:ind w:firstLine="480"/>
        <w:rPr>
          <w:rFonts w:hint="eastAsia" w:hAnsi="宋体" w:cs="宋体"/>
          <w:szCs w:val="24"/>
        </w:rPr>
      </w:pPr>
      <w:r>
        <w:rPr>
          <w:rFonts w:hint="eastAsia" w:hAnsi="宋体" w:cs="宋体"/>
          <w:szCs w:val="24"/>
        </w:rPr>
        <w:t>开户银行：招商银行南京分行城北支行</w:t>
      </w:r>
    </w:p>
    <w:p w14:paraId="2D1D77DF">
      <w:pPr>
        <w:pStyle w:val="48"/>
        <w:spacing w:line="400" w:lineRule="exact"/>
        <w:ind w:firstLine="480"/>
        <w:rPr>
          <w:rFonts w:hint="eastAsia" w:hAnsi="宋体" w:cs="宋体"/>
          <w:szCs w:val="24"/>
        </w:rPr>
      </w:pPr>
      <w:r>
        <w:rPr>
          <w:rFonts w:hint="eastAsia" w:hAnsi="宋体" w:cs="宋体"/>
          <w:szCs w:val="24"/>
        </w:rPr>
        <w:t>账    号：12590209571000100000059</w:t>
      </w:r>
    </w:p>
    <w:p w14:paraId="5E8C63C0">
      <w:pPr>
        <w:pStyle w:val="48"/>
        <w:spacing w:line="400" w:lineRule="exact"/>
        <w:ind w:firstLine="480"/>
        <w:rPr>
          <w:rFonts w:hint="eastAsia" w:hAnsi="宋体" w:cs="宋体"/>
          <w:szCs w:val="24"/>
        </w:rPr>
      </w:pPr>
      <w:r>
        <w:rPr>
          <w:rFonts w:hint="eastAsia" w:hAnsi="宋体" w:cs="宋体"/>
          <w:szCs w:val="24"/>
        </w:rPr>
        <w:t>转账事由：机电学院</w:t>
      </w:r>
      <w:r>
        <w:rPr>
          <w:rFonts w:hint="eastAsia" w:hAnsi="宋体" w:cs="宋体"/>
          <w:szCs w:val="24"/>
          <w:lang w:val="en-US" w:eastAsia="zh-CN"/>
        </w:rPr>
        <w:t>电梯维保服务</w:t>
      </w:r>
      <w:r>
        <w:rPr>
          <w:rFonts w:hint="eastAsia" w:hAnsi="宋体" w:cs="宋体"/>
          <w:szCs w:val="24"/>
        </w:rPr>
        <w:t>标书费</w:t>
      </w:r>
    </w:p>
    <w:p w14:paraId="4ADBB05D">
      <w:pPr>
        <w:spacing w:line="400" w:lineRule="exact"/>
        <w:ind w:firstLine="480" w:firstLineChars="200"/>
        <w:rPr>
          <w:rFonts w:hint="eastAsia" w:ascii="宋体" w:hAnsi="宋体" w:cs="宋体"/>
          <w:sz w:val="24"/>
          <w:szCs w:val="24"/>
        </w:rPr>
      </w:pPr>
      <w:bookmarkStart w:id="22" w:name="_Toc28359015"/>
      <w:bookmarkStart w:id="23" w:name="_Toc35393632"/>
      <w:bookmarkStart w:id="24" w:name="_Toc28359092"/>
      <w:bookmarkStart w:id="25" w:name="_Toc35393801"/>
    </w:p>
    <w:p w14:paraId="6909C409">
      <w:pPr>
        <w:spacing w:line="400" w:lineRule="exact"/>
        <w:ind w:firstLine="482" w:firstLineChars="200"/>
        <w:rPr>
          <w:rFonts w:hint="eastAsia" w:ascii="宋体" w:hAnsi="宋体" w:cs="宋体"/>
          <w:sz w:val="24"/>
          <w:szCs w:val="24"/>
        </w:rPr>
      </w:pPr>
      <w:r>
        <w:rPr>
          <w:rFonts w:hint="eastAsia" w:ascii="宋体" w:hAnsi="宋体" w:cs="宋体"/>
          <w:b/>
          <w:bCs/>
          <w:sz w:val="24"/>
          <w:szCs w:val="24"/>
        </w:rPr>
        <w:t>四、响应文件提交</w:t>
      </w:r>
      <w:bookmarkEnd w:id="22"/>
      <w:bookmarkEnd w:id="23"/>
      <w:bookmarkEnd w:id="24"/>
      <w:bookmarkEnd w:id="25"/>
    </w:p>
    <w:p w14:paraId="36B28ED2">
      <w:pPr>
        <w:spacing w:line="400" w:lineRule="exact"/>
        <w:ind w:firstLine="480" w:firstLineChars="200"/>
        <w:rPr>
          <w:rFonts w:hint="eastAsia" w:ascii="宋体" w:hAnsi="宋体" w:cs="宋体"/>
          <w:bCs/>
          <w:sz w:val="24"/>
          <w:szCs w:val="24"/>
        </w:rPr>
      </w:pPr>
      <w:r>
        <w:rPr>
          <w:rFonts w:hint="eastAsia" w:ascii="宋体" w:hAnsi="宋体" w:cs="宋体"/>
          <w:sz w:val="24"/>
          <w:szCs w:val="24"/>
        </w:rPr>
        <w:t>截止时间：</w:t>
      </w:r>
      <w:bookmarkStart w:id="26" w:name="_Hlk74669350"/>
      <w:r>
        <w:rPr>
          <w:rFonts w:hint="eastAsia" w:ascii="宋体" w:hAnsi="宋体" w:cs="宋体"/>
          <w:sz w:val="24"/>
          <w:szCs w:val="24"/>
          <w:u w:val="single"/>
        </w:rPr>
        <w:t>2025</w:t>
      </w:r>
      <w:r>
        <w:rPr>
          <w:rFonts w:hint="eastAsia" w:ascii="宋体" w:hAnsi="宋体" w:cs="宋体"/>
          <w:bCs/>
          <w:sz w:val="24"/>
          <w:szCs w:val="24"/>
          <w:u w:val="single"/>
        </w:rPr>
        <w:t>年</w:t>
      </w:r>
      <w:r>
        <w:rPr>
          <w:rFonts w:hint="eastAsia" w:ascii="宋体" w:hAnsi="宋体" w:cs="宋体"/>
          <w:bCs/>
          <w:sz w:val="24"/>
          <w:szCs w:val="24"/>
          <w:u w:val="single"/>
          <w:lang w:val="en-US" w:eastAsia="zh-CN"/>
        </w:rPr>
        <w:t>12</w:t>
      </w:r>
      <w:r>
        <w:rPr>
          <w:rFonts w:hint="eastAsia" w:ascii="宋体" w:hAnsi="宋体" w:cs="宋体"/>
          <w:bCs/>
          <w:sz w:val="24"/>
          <w:szCs w:val="24"/>
          <w:u w:val="single"/>
        </w:rPr>
        <w:t>月</w:t>
      </w:r>
      <w:r>
        <w:rPr>
          <w:rFonts w:hint="eastAsia" w:ascii="宋体" w:hAnsi="宋体" w:cs="宋体"/>
          <w:bCs/>
          <w:sz w:val="24"/>
          <w:szCs w:val="24"/>
          <w:u w:val="single"/>
          <w:lang w:val="en-US" w:eastAsia="zh-CN"/>
        </w:rPr>
        <w:t>5</w:t>
      </w:r>
      <w:r>
        <w:rPr>
          <w:rFonts w:hint="eastAsia" w:ascii="宋体" w:hAnsi="宋体" w:cs="宋体"/>
          <w:bCs/>
          <w:sz w:val="24"/>
          <w:szCs w:val="24"/>
          <w:u w:val="single"/>
        </w:rPr>
        <w:t>日上午</w:t>
      </w:r>
      <w:r>
        <w:rPr>
          <w:rFonts w:hint="eastAsia" w:ascii="宋体" w:hAnsi="宋体" w:cs="宋体"/>
          <w:bCs/>
          <w:sz w:val="24"/>
          <w:szCs w:val="24"/>
          <w:u w:val="single"/>
          <w:lang w:val="en-US" w:eastAsia="zh-CN"/>
        </w:rPr>
        <w:t>9</w:t>
      </w:r>
      <w:r>
        <w:rPr>
          <w:rFonts w:hint="eastAsia" w:ascii="宋体" w:hAnsi="宋体" w:cs="宋体"/>
          <w:bCs/>
          <w:sz w:val="24"/>
          <w:szCs w:val="24"/>
          <w:u w:val="single"/>
        </w:rPr>
        <w:t>点</w:t>
      </w:r>
      <w:r>
        <w:rPr>
          <w:rFonts w:hint="eastAsia" w:ascii="宋体" w:hAnsi="宋体" w:cs="宋体"/>
          <w:bCs/>
          <w:sz w:val="24"/>
          <w:szCs w:val="24"/>
          <w:u w:val="single"/>
          <w:lang w:val="en-US" w:eastAsia="zh-CN"/>
        </w:rPr>
        <w:t>30</w:t>
      </w:r>
      <w:r>
        <w:rPr>
          <w:rFonts w:hint="eastAsia" w:ascii="宋体" w:hAnsi="宋体" w:cs="宋体"/>
          <w:bCs/>
          <w:sz w:val="24"/>
          <w:szCs w:val="24"/>
          <w:u w:val="single"/>
        </w:rPr>
        <w:t>分</w:t>
      </w:r>
      <w:bookmarkEnd w:id="26"/>
      <w:r>
        <w:rPr>
          <w:rFonts w:hint="eastAsia" w:ascii="宋体" w:hAnsi="宋体" w:cs="宋体"/>
          <w:bCs/>
          <w:sz w:val="24"/>
          <w:szCs w:val="24"/>
        </w:rPr>
        <w:t>（北京时间）</w:t>
      </w:r>
    </w:p>
    <w:p w14:paraId="7B1DEA4C">
      <w:pPr>
        <w:spacing w:line="400" w:lineRule="exact"/>
        <w:ind w:firstLine="480" w:firstLineChars="200"/>
        <w:rPr>
          <w:rFonts w:hint="eastAsia" w:ascii="宋体" w:hAnsi="宋体" w:cs="宋体"/>
          <w:bCs/>
          <w:sz w:val="24"/>
          <w:szCs w:val="24"/>
          <w:u w:val="single"/>
        </w:rPr>
      </w:pPr>
      <w:r>
        <w:rPr>
          <w:rFonts w:hint="eastAsia" w:ascii="宋体" w:hAnsi="宋体" w:cs="宋体"/>
          <w:sz w:val="24"/>
          <w:szCs w:val="24"/>
        </w:rPr>
        <w:t>地点：南京市秦淮区中山南路371号</w:t>
      </w:r>
      <w:r>
        <w:rPr>
          <w:rFonts w:hint="eastAsia" w:ascii="宋体" w:hAnsi="宋体" w:cs="宋体"/>
          <w:sz w:val="24"/>
          <w:szCs w:val="24"/>
          <w:lang w:val="en-US" w:eastAsia="zh-CN"/>
        </w:rPr>
        <w:t>603</w:t>
      </w:r>
      <w:r>
        <w:rPr>
          <w:rFonts w:hint="eastAsia" w:ascii="宋体" w:hAnsi="宋体" w:cs="宋体"/>
          <w:sz w:val="24"/>
          <w:szCs w:val="24"/>
        </w:rPr>
        <w:t>号会议室</w:t>
      </w:r>
    </w:p>
    <w:p w14:paraId="45B267E9">
      <w:pPr>
        <w:spacing w:line="400" w:lineRule="exact"/>
        <w:ind w:firstLine="480" w:firstLineChars="200"/>
        <w:rPr>
          <w:rFonts w:hint="eastAsia" w:ascii="宋体" w:hAnsi="宋体" w:cs="宋体"/>
          <w:sz w:val="24"/>
          <w:szCs w:val="24"/>
        </w:rPr>
      </w:pPr>
      <w:bookmarkStart w:id="27" w:name="_Toc35393802"/>
      <w:bookmarkStart w:id="28" w:name="_Toc35393633"/>
      <w:bookmarkStart w:id="29" w:name="_Toc28359016"/>
      <w:bookmarkStart w:id="30" w:name="_Toc28359093"/>
    </w:p>
    <w:p w14:paraId="68492AB0">
      <w:pPr>
        <w:spacing w:line="400" w:lineRule="exact"/>
        <w:ind w:firstLine="482" w:firstLineChars="200"/>
        <w:rPr>
          <w:rFonts w:hint="eastAsia" w:ascii="宋体" w:hAnsi="宋体" w:cs="宋体"/>
          <w:sz w:val="24"/>
          <w:szCs w:val="24"/>
        </w:rPr>
      </w:pPr>
      <w:r>
        <w:rPr>
          <w:rFonts w:hint="eastAsia" w:ascii="宋体" w:hAnsi="宋体" w:cs="宋体"/>
          <w:b/>
          <w:bCs/>
          <w:sz w:val="24"/>
          <w:szCs w:val="24"/>
        </w:rPr>
        <w:t>五、开启</w:t>
      </w:r>
      <w:bookmarkEnd w:id="27"/>
      <w:bookmarkEnd w:id="28"/>
      <w:bookmarkEnd w:id="29"/>
      <w:bookmarkEnd w:id="30"/>
    </w:p>
    <w:p w14:paraId="59F781FF">
      <w:pPr>
        <w:spacing w:line="400" w:lineRule="exact"/>
        <w:ind w:firstLine="480" w:firstLineChars="200"/>
        <w:rPr>
          <w:rFonts w:hint="eastAsia" w:ascii="宋体" w:hAnsi="宋体" w:cs="宋体"/>
          <w:bCs/>
          <w:sz w:val="24"/>
          <w:szCs w:val="24"/>
          <w:u w:val="single"/>
        </w:rPr>
      </w:pPr>
      <w:r>
        <w:rPr>
          <w:rFonts w:hint="eastAsia" w:ascii="宋体" w:hAnsi="宋体" w:cs="宋体"/>
          <w:sz w:val="24"/>
          <w:szCs w:val="24"/>
        </w:rPr>
        <w:t>时间：</w:t>
      </w:r>
      <w:r>
        <w:rPr>
          <w:rFonts w:hint="eastAsia" w:ascii="宋体" w:hAnsi="宋体" w:cs="宋体"/>
          <w:sz w:val="24"/>
          <w:szCs w:val="24"/>
          <w:u w:val="single"/>
        </w:rPr>
        <w:t>2025</w:t>
      </w:r>
      <w:r>
        <w:rPr>
          <w:rFonts w:hint="eastAsia" w:ascii="宋体" w:hAnsi="宋体" w:cs="宋体"/>
          <w:bCs/>
          <w:sz w:val="24"/>
          <w:szCs w:val="24"/>
          <w:u w:val="single"/>
        </w:rPr>
        <w:t>年</w:t>
      </w:r>
      <w:r>
        <w:rPr>
          <w:rFonts w:hint="eastAsia" w:ascii="宋体" w:hAnsi="宋体" w:cs="宋体"/>
          <w:bCs/>
          <w:sz w:val="24"/>
          <w:szCs w:val="24"/>
          <w:u w:val="single"/>
          <w:lang w:val="en-US" w:eastAsia="zh-CN"/>
        </w:rPr>
        <w:t>12</w:t>
      </w:r>
      <w:r>
        <w:rPr>
          <w:rFonts w:hint="eastAsia" w:ascii="宋体" w:hAnsi="宋体" w:cs="宋体"/>
          <w:bCs/>
          <w:sz w:val="24"/>
          <w:szCs w:val="24"/>
          <w:u w:val="single"/>
        </w:rPr>
        <w:t>月</w:t>
      </w:r>
      <w:r>
        <w:rPr>
          <w:rFonts w:hint="eastAsia" w:ascii="宋体" w:hAnsi="宋体" w:cs="宋体"/>
          <w:bCs/>
          <w:sz w:val="24"/>
          <w:szCs w:val="24"/>
          <w:u w:val="single"/>
          <w:lang w:val="en-US" w:eastAsia="zh-CN"/>
        </w:rPr>
        <w:t>5</w:t>
      </w:r>
      <w:r>
        <w:rPr>
          <w:rFonts w:hint="eastAsia" w:ascii="宋体" w:hAnsi="宋体" w:cs="宋体"/>
          <w:bCs/>
          <w:sz w:val="24"/>
          <w:szCs w:val="24"/>
          <w:u w:val="single"/>
        </w:rPr>
        <w:t>日上午</w:t>
      </w:r>
      <w:r>
        <w:rPr>
          <w:rFonts w:hint="eastAsia" w:ascii="宋体" w:hAnsi="宋体" w:cs="宋体"/>
          <w:bCs/>
          <w:sz w:val="24"/>
          <w:szCs w:val="24"/>
          <w:u w:val="single"/>
          <w:lang w:val="en-US" w:eastAsia="zh-CN"/>
        </w:rPr>
        <w:t>9</w:t>
      </w:r>
      <w:r>
        <w:rPr>
          <w:rFonts w:hint="eastAsia" w:ascii="宋体" w:hAnsi="宋体" w:cs="宋体"/>
          <w:bCs/>
          <w:sz w:val="24"/>
          <w:szCs w:val="24"/>
          <w:u w:val="single"/>
        </w:rPr>
        <w:t>点</w:t>
      </w:r>
      <w:r>
        <w:rPr>
          <w:rFonts w:hint="eastAsia" w:ascii="宋体" w:hAnsi="宋体" w:cs="宋体"/>
          <w:bCs/>
          <w:sz w:val="24"/>
          <w:szCs w:val="24"/>
          <w:u w:val="single"/>
          <w:lang w:val="en-US" w:eastAsia="zh-CN"/>
        </w:rPr>
        <w:t>30</w:t>
      </w:r>
      <w:r>
        <w:rPr>
          <w:rFonts w:hint="eastAsia" w:ascii="宋体" w:hAnsi="宋体" w:cs="宋体"/>
          <w:bCs/>
          <w:sz w:val="24"/>
          <w:szCs w:val="24"/>
          <w:u w:val="single"/>
        </w:rPr>
        <w:t>分</w:t>
      </w:r>
      <w:r>
        <w:rPr>
          <w:rFonts w:hint="eastAsia" w:ascii="宋体" w:hAnsi="宋体" w:cs="宋体"/>
          <w:bCs/>
          <w:sz w:val="24"/>
          <w:szCs w:val="24"/>
        </w:rPr>
        <w:t>（北京时间）</w:t>
      </w:r>
    </w:p>
    <w:p w14:paraId="0742E83C">
      <w:pPr>
        <w:spacing w:line="400" w:lineRule="exact"/>
        <w:ind w:firstLine="480" w:firstLineChars="200"/>
        <w:rPr>
          <w:rFonts w:hint="eastAsia" w:ascii="宋体" w:hAnsi="宋体" w:cs="宋体"/>
          <w:bCs/>
          <w:sz w:val="24"/>
          <w:szCs w:val="24"/>
          <w:u w:val="single"/>
        </w:rPr>
      </w:pPr>
      <w:r>
        <w:rPr>
          <w:rFonts w:hint="eastAsia" w:ascii="宋体" w:hAnsi="宋体" w:cs="宋体"/>
          <w:sz w:val="24"/>
          <w:szCs w:val="24"/>
        </w:rPr>
        <w:t>地点：南京市秦淮区中山南路371号</w:t>
      </w:r>
      <w:r>
        <w:rPr>
          <w:rFonts w:hint="eastAsia" w:ascii="宋体" w:hAnsi="宋体" w:cs="宋体"/>
          <w:sz w:val="24"/>
          <w:szCs w:val="24"/>
          <w:lang w:val="en-US" w:eastAsia="zh-CN"/>
        </w:rPr>
        <w:t>603</w:t>
      </w:r>
      <w:r>
        <w:rPr>
          <w:rFonts w:hint="eastAsia" w:ascii="宋体" w:hAnsi="宋体" w:cs="宋体"/>
          <w:sz w:val="24"/>
          <w:szCs w:val="24"/>
        </w:rPr>
        <w:t>号会议室</w:t>
      </w:r>
    </w:p>
    <w:p w14:paraId="2CD3FC0C">
      <w:pPr>
        <w:spacing w:line="400" w:lineRule="exact"/>
        <w:ind w:firstLine="482" w:firstLineChars="200"/>
        <w:rPr>
          <w:rFonts w:hint="eastAsia" w:ascii="宋体" w:hAnsi="宋体" w:cs="宋体"/>
          <w:sz w:val="24"/>
          <w:szCs w:val="24"/>
        </w:rPr>
      </w:pPr>
      <w:bookmarkStart w:id="31" w:name="_Toc28359094"/>
      <w:bookmarkStart w:id="32" w:name="_Toc28359017"/>
      <w:bookmarkStart w:id="33" w:name="_Toc35393803"/>
      <w:bookmarkStart w:id="34" w:name="_Toc35393634"/>
      <w:r>
        <w:rPr>
          <w:rFonts w:hint="eastAsia" w:ascii="宋体" w:hAnsi="宋体" w:cs="宋体"/>
          <w:b/>
          <w:bCs/>
          <w:sz w:val="24"/>
          <w:szCs w:val="24"/>
        </w:rPr>
        <w:t>六、公告期限</w:t>
      </w:r>
      <w:bookmarkEnd w:id="31"/>
      <w:bookmarkEnd w:id="32"/>
      <w:bookmarkEnd w:id="33"/>
      <w:bookmarkEnd w:id="34"/>
    </w:p>
    <w:p w14:paraId="5B791F51">
      <w:pPr>
        <w:spacing w:line="400" w:lineRule="exact"/>
        <w:ind w:firstLine="480" w:firstLineChars="200"/>
        <w:rPr>
          <w:rFonts w:hint="eastAsia" w:ascii="宋体" w:hAnsi="宋体" w:cs="宋体"/>
          <w:kern w:val="0"/>
          <w:sz w:val="24"/>
          <w:szCs w:val="24"/>
        </w:rPr>
      </w:pPr>
      <w:r>
        <w:rPr>
          <w:rFonts w:hint="eastAsia" w:ascii="宋体" w:hAnsi="宋体" w:cs="宋体"/>
          <w:kern w:val="0"/>
          <w:sz w:val="24"/>
          <w:szCs w:val="24"/>
        </w:rPr>
        <w:t>自本公告发布之日起3个工作日。</w:t>
      </w:r>
    </w:p>
    <w:p w14:paraId="50B340CA">
      <w:pPr>
        <w:spacing w:line="400" w:lineRule="exact"/>
        <w:ind w:firstLine="480" w:firstLineChars="200"/>
        <w:rPr>
          <w:rFonts w:hint="eastAsia" w:ascii="宋体" w:hAnsi="宋体" w:cs="宋体"/>
          <w:sz w:val="24"/>
          <w:szCs w:val="24"/>
        </w:rPr>
      </w:pPr>
      <w:bookmarkStart w:id="35" w:name="_Toc35393635"/>
      <w:bookmarkStart w:id="36" w:name="_Toc35393804"/>
    </w:p>
    <w:p w14:paraId="07C96179">
      <w:pPr>
        <w:spacing w:line="400" w:lineRule="exact"/>
        <w:ind w:firstLine="482" w:firstLineChars="200"/>
        <w:rPr>
          <w:rFonts w:hint="eastAsia" w:ascii="宋体" w:hAnsi="宋体" w:cs="宋体"/>
          <w:sz w:val="24"/>
          <w:szCs w:val="24"/>
        </w:rPr>
      </w:pPr>
      <w:r>
        <w:rPr>
          <w:rFonts w:hint="eastAsia" w:ascii="宋体" w:hAnsi="宋体" w:cs="宋体"/>
          <w:b/>
          <w:bCs/>
          <w:sz w:val="24"/>
          <w:szCs w:val="24"/>
        </w:rPr>
        <w:t>七、其他补充事宜</w:t>
      </w:r>
      <w:bookmarkEnd w:id="35"/>
      <w:bookmarkEnd w:id="36"/>
    </w:p>
    <w:p w14:paraId="53AD1B80">
      <w:pPr>
        <w:spacing w:line="400" w:lineRule="exact"/>
        <w:ind w:firstLine="482" w:firstLineChars="200"/>
        <w:rPr>
          <w:rFonts w:hint="eastAsia" w:ascii="宋体" w:hAnsi="宋体" w:cs="宋体"/>
          <w:bCs/>
          <w:sz w:val="24"/>
          <w:szCs w:val="24"/>
        </w:rPr>
      </w:pPr>
      <w:r>
        <w:rPr>
          <w:rFonts w:hint="eastAsia" w:ascii="宋体" w:hAnsi="宋体" w:cs="宋体"/>
          <w:b/>
          <w:sz w:val="24"/>
          <w:szCs w:val="24"/>
        </w:rPr>
        <w:t xml:space="preserve"> </w:t>
      </w:r>
      <w:bookmarkStart w:id="37" w:name="_Toc28359095"/>
      <w:bookmarkStart w:id="38" w:name="_Toc35393805"/>
      <w:bookmarkStart w:id="39" w:name="_Toc28359018"/>
      <w:bookmarkStart w:id="40" w:name="_Toc35393636"/>
      <w:r>
        <w:rPr>
          <w:rFonts w:hint="eastAsia" w:ascii="宋体" w:hAnsi="宋体" w:cs="宋体"/>
          <w:bCs/>
          <w:sz w:val="24"/>
          <w:szCs w:val="24"/>
        </w:rPr>
        <w:t>响应文件一式叁份（正本壹份，副本贰份），电子版1份（U盘随响应文件封装）。</w:t>
      </w:r>
    </w:p>
    <w:p w14:paraId="3304CE59">
      <w:pPr>
        <w:spacing w:line="400" w:lineRule="exact"/>
        <w:ind w:firstLine="480" w:firstLineChars="200"/>
        <w:rPr>
          <w:rFonts w:hint="eastAsia" w:ascii="宋体" w:hAnsi="宋体" w:cs="宋体"/>
          <w:sz w:val="24"/>
          <w:szCs w:val="24"/>
        </w:rPr>
      </w:pPr>
    </w:p>
    <w:p w14:paraId="5A6D05CC">
      <w:pPr>
        <w:spacing w:line="400" w:lineRule="exact"/>
        <w:ind w:firstLine="482" w:firstLineChars="200"/>
        <w:rPr>
          <w:rFonts w:hint="eastAsia" w:ascii="宋体" w:hAnsi="宋体" w:cs="宋体"/>
          <w:sz w:val="24"/>
          <w:szCs w:val="24"/>
        </w:rPr>
      </w:pPr>
      <w:r>
        <w:rPr>
          <w:rFonts w:hint="eastAsia" w:ascii="宋体" w:hAnsi="宋体" w:cs="宋体"/>
          <w:b/>
          <w:bCs/>
          <w:sz w:val="24"/>
          <w:szCs w:val="24"/>
        </w:rPr>
        <w:t>八、凡对本次采购提出询问，请按以下方式联系。</w:t>
      </w:r>
      <w:bookmarkEnd w:id="37"/>
      <w:bookmarkEnd w:id="38"/>
      <w:bookmarkEnd w:id="39"/>
      <w:bookmarkEnd w:id="40"/>
    </w:p>
    <w:p w14:paraId="2384384E">
      <w:pPr>
        <w:spacing w:line="400" w:lineRule="exact"/>
        <w:ind w:firstLine="720" w:firstLineChars="300"/>
        <w:rPr>
          <w:rFonts w:hint="eastAsia" w:ascii="宋体" w:hAnsi="宋体" w:cs="宋体"/>
          <w:sz w:val="24"/>
          <w:szCs w:val="24"/>
        </w:rPr>
      </w:pPr>
      <w:bookmarkStart w:id="41" w:name="_Toc35393806"/>
      <w:bookmarkStart w:id="42" w:name="_Toc28359019"/>
      <w:bookmarkStart w:id="43" w:name="_Toc35393637"/>
      <w:bookmarkStart w:id="44" w:name="_Toc28359096"/>
      <w:r>
        <w:rPr>
          <w:rFonts w:hint="eastAsia" w:ascii="宋体" w:hAnsi="宋体" w:cs="宋体"/>
          <w:sz w:val="24"/>
          <w:szCs w:val="24"/>
        </w:rPr>
        <w:t>1.采购人信息</w:t>
      </w:r>
      <w:bookmarkEnd w:id="41"/>
      <w:bookmarkEnd w:id="42"/>
      <w:bookmarkEnd w:id="43"/>
      <w:bookmarkEnd w:id="44"/>
    </w:p>
    <w:p w14:paraId="2270CFF8">
      <w:pPr>
        <w:spacing w:line="400" w:lineRule="exact"/>
        <w:ind w:firstLine="480" w:firstLineChars="200"/>
        <w:rPr>
          <w:rFonts w:hint="eastAsia" w:ascii="宋体" w:hAnsi="宋体" w:cs="宋体"/>
          <w:sz w:val="24"/>
          <w:szCs w:val="24"/>
        </w:rPr>
      </w:pPr>
      <w:r>
        <w:rPr>
          <w:rFonts w:hint="eastAsia" w:ascii="宋体" w:hAnsi="宋体" w:cs="宋体"/>
          <w:sz w:val="24"/>
          <w:szCs w:val="24"/>
        </w:rPr>
        <w:t>名    称：</w:t>
      </w:r>
      <w:r>
        <w:rPr>
          <w:rFonts w:hint="eastAsia" w:ascii="宋体" w:hAnsi="宋体" w:cs="宋体"/>
          <w:sz w:val="24"/>
          <w:szCs w:val="24"/>
          <w:u w:val="single"/>
        </w:rPr>
        <w:t>　南京机电职业技术学院 　</w:t>
      </w:r>
    </w:p>
    <w:p w14:paraId="5CE72972">
      <w:pPr>
        <w:spacing w:line="400" w:lineRule="exact"/>
        <w:ind w:firstLine="480" w:firstLineChars="200"/>
        <w:rPr>
          <w:rFonts w:hint="eastAsia" w:ascii="宋体" w:hAnsi="宋体" w:cs="宋体"/>
          <w:sz w:val="24"/>
          <w:szCs w:val="24"/>
        </w:rPr>
      </w:pPr>
      <w:r>
        <w:rPr>
          <w:rFonts w:hint="eastAsia" w:ascii="宋体" w:hAnsi="宋体" w:cs="宋体"/>
          <w:sz w:val="24"/>
          <w:szCs w:val="24"/>
        </w:rPr>
        <w:t>地    址：</w:t>
      </w:r>
      <w:r>
        <w:rPr>
          <w:rFonts w:hint="eastAsia" w:ascii="宋体" w:hAnsi="宋体" w:cs="宋体"/>
          <w:sz w:val="24"/>
          <w:szCs w:val="24"/>
          <w:u w:val="single"/>
        </w:rPr>
        <w:t>　南京市高淳区古柏街道鹿鸣大道33号　</w:t>
      </w:r>
    </w:p>
    <w:p w14:paraId="2B2DD7C7">
      <w:pPr>
        <w:spacing w:line="400" w:lineRule="exact"/>
        <w:ind w:firstLine="480" w:firstLineChars="200"/>
        <w:rPr>
          <w:rFonts w:hint="eastAsia" w:ascii="宋体" w:hAnsi="宋体" w:cs="宋体"/>
          <w:sz w:val="24"/>
          <w:szCs w:val="24"/>
        </w:rPr>
      </w:pPr>
      <w:r>
        <w:rPr>
          <w:rFonts w:hint="eastAsia" w:ascii="宋体" w:hAnsi="宋体" w:cs="宋体"/>
          <w:sz w:val="24"/>
          <w:szCs w:val="24"/>
        </w:rPr>
        <w:t>联系方式：</w:t>
      </w:r>
      <w:r>
        <w:rPr>
          <w:rFonts w:hint="eastAsia" w:ascii="宋体" w:hAnsi="宋体" w:cs="宋体"/>
          <w:sz w:val="24"/>
          <w:szCs w:val="24"/>
          <w:u w:val="single"/>
        </w:rPr>
        <w:t>　</w:t>
      </w:r>
      <w:r>
        <w:rPr>
          <w:rFonts w:hint="eastAsia" w:ascii="宋体" w:hAnsi="宋体" w:cs="宋体"/>
          <w:bCs/>
          <w:sz w:val="24"/>
          <w:szCs w:val="24"/>
          <w:u w:val="single"/>
        </w:rPr>
        <w:t>孙老师 18061231119</w:t>
      </w:r>
      <w:r>
        <w:rPr>
          <w:rFonts w:hint="eastAsia" w:ascii="宋体" w:hAnsi="宋体" w:cs="宋体"/>
          <w:sz w:val="24"/>
          <w:szCs w:val="24"/>
          <w:u w:val="single"/>
        </w:rPr>
        <w:t xml:space="preserve"> </w:t>
      </w:r>
    </w:p>
    <w:p w14:paraId="18BBAD36">
      <w:pPr>
        <w:spacing w:line="400" w:lineRule="exact"/>
        <w:ind w:firstLine="720" w:firstLineChars="300"/>
        <w:rPr>
          <w:rFonts w:hint="eastAsia" w:ascii="宋体" w:hAnsi="宋体" w:cs="宋体"/>
          <w:sz w:val="24"/>
          <w:szCs w:val="24"/>
        </w:rPr>
      </w:pPr>
      <w:bookmarkStart w:id="45" w:name="_Toc35393638"/>
      <w:bookmarkStart w:id="46" w:name="_Toc35393807"/>
      <w:bookmarkStart w:id="47" w:name="_Toc28359020"/>
      <w:bookmarkStart w:id="48" w:name="_Toc28359097"/>
      <w:r>
        <w:rPr>
          <w:rFonts w:hint="eastAsia" w:ascii="宋体" w:hAnsi="宋体" w:cs="宋体"/>
          <w:sz w:val="24"/>
          <w:szCs w:val="24"/>
        </w:rPr>
        <w:t>2.采购代理机构信息</w:t>
      </w:r>
      <w:bookmarkEnd w:id="45"/>
      <w:bookmarkEnd w:id="46"/>
      <w:bookmarkEnd w:id="47"/>
      <w:bookmarkEnd w:id="48"/>
    </w:p>
    <w:p w14:paraId="72F0A1C4">
      <w:pPr>
        <w:spacing w:line="400" w:lineRule="exact"/>
        <w:ind w:firstLine="720" w:firstLineChars="300"/>
        <w:rPr>
          <w:rFonts w:hint="eastAsia" w:ascii="宋体" w:hAnsi="宋体" w:cs="宋体"/>
          <w:sz w:val="24"/>
          <w:szCs w:val="24"/>
        </w:rPr>
      </w:pPr>
      <w:r>
        <w:rPr>
          <w:rFonts w:hint="eastAsia" w:ascii="宋体" w:hAnsi="宋体" w:cs="宋体"/>
          <w:sz w:val="24"/>
          <w:szCs w:val="24"/>
        </w:rPr>
        <w:t>名    称：</w:t>
      </w:r>
      <w:r>
        <w:rPr>
          <w:rFonts w:hint="eastAsia" w:ascii="宋体" w:hAnsi="宋体" w:cs="宋体"/>
          <w:sz w:val="24"/>
          <w:szCs w:val="24"/>
          <w:u w:val="single"/>
        </w:rPr>
        <w:t>　中通服咨询设计研究院有限公司　</w:t>
      </w:r>
    </w:p>
    <w:p w14:paraId="147AE267">
      <w:pPr>
        <w:spacing w:line="400" w:lineRule="exact"/>
        <w:ind w:firstLine="720" w:firstLineChars="300"/>
        <w:rPr>
          <w:rFonts w:hint="eastAsia" w:ascii="宋体" w:hAnsi="宋体" w:cs="宋体"/>
          <w:sz w:val="24"/>
          <w:szCs w:val="24"/>
        </w:rPr>
      </w:pPr>
      <w:r>
        <w:rPr>
          <w:rFonts w:hint="eastAsia" w:ascii="宋体" w:hAnsi="宋体" w:cs="宋体"/>
          <w:sz w:val="24"/>
          <w:szCs w:val="24"/>
        </w:rPr>
        <w:t>地　　址：</w:t>
      </w:r>
      <w:r>
        <w:rPr>
          <w:rFonts w:hint="eastAsia" w:ascii="宋体" w:hAnsi="宋体" w:cs="宋体"/>
          <w:sz w:val="24"/>
          <w:szCs w:val="24"/>
          <w:u w:val="single"/>
        </w:rPr>
        <w:t>　南京市建邺区楠溪江东街58号　</w:t>
      </w:r>
    </w:p>
    <w:p w14:paraId="494C492F">
      <w:pPr>
        <w:spacing w:line="400" w:lineRule="exact"/>
        <w:ind w:firstLine="720" w:firstLineChars="300"/>
        <w:rPr>
          <w:rFonts w:hint="eastAsia" w:ascii="宋体" w:hAnsi="宋体" w:cs="宋体"/>
          <w:sz w:val="24"/>
          <w:szCs w:val="24"/>
          <w:u w:val="single"/>
        </w:rPr>
      </w:pPr>
      <w:r>
        <w:rPr>
          <w:rFonts w:hint="eastAsia" w:ascii="宋体" w:hAnsi="宋体" w:cs="宋体"/>
          <w:sz w:val="24"/>
          <w:szCs w:val="24"/>
        </w:rPr>
        <w:t>联系方式：</w:t>
      </w:r>
      <w:r>
        <w:rPr>
          <w:rFonts w:hint="eastAsia" w:ascii="宋体" w:hAnsi="宋体" w:cs="宋体"/>
          <w:sz w:val="24"/>
          <w:szCs w:val="24"/>
          <w:u w:val="single"/>
        </w:rPr>
        <w:t>　陈沭（13913913997）、郑春雅、徐磊、李谦、夏宜宁、朱晓琦、周明珠　</w:t>
      </w:r>
    </w:p>
    <w:p w14:paraId="0EA059A8">
      <w:pPr>
        <w:spacing w:line="400" w:lineRule="exact"/>
        <w:ind w:firstLine="720" w:firstLineChars="300"/>
        <w:rPr>
          <w:rFonts w:hint="eastAsia" w:ascii="宋体" w:hAnsi="宋体" w:cs="宋体"/>
          <w:sz w:val="24"/>
          <w:szCs w:val="24"/>
        </w:rPr>
      </w:pPr>
      <w:bookmarkStart w:id="49" w:name="_Toc35393808"/>
      <w:bookmarkStart w:id="50" w:name="_Toc35393639"/>
      <w:bookmarkStart w:id="51" w:name="_Toc28359021"/>
      <w:bookmarkStart w:id="52" w:name="_Toc28359098"/>
      <w:r>
        <w:rPr>
          <w:rFonts w:hint="eastAsia" w:ascii="宋体" w:hAnsi="宋体" w:cs="宋体"/>
          <w:sz w:val="24"/>
          <w:szCs w:val="24"/>
        </w:rPr>
        <w:t>3.项目联系方式</w:t>
      </w:r>
      <w:bookmarkEnd w:id="49"/>
      <w:bookmarkEnd w:id="50"/>
      <w:bookmarkEnd w:id="51"/>
      <w:bookmarkEnd w:id="52"/>
    </w:p>
    <w:p w14:paraId="389C43BF">
      <w:pPr>
        <w:pStyle w:val="22"/>
        <w:spacing w:line="400" w:lineRule="exact"/>
        <w:ind w:firstLine="720" w:firstLineChars="300"/>
        <w:rPr>
          <w:rFonts w:hint="eastAsia" w:hAnsi="宋体" w:cs="宋体"/>
          <w:sz w:val="24"/>
          <w:szCs w:val="24"/>
        </w:rPr>
      </w:pPr>
      <w:r>
        <w:rPr>
          <w:rFonts w:hint="eastAsia" w:hAnsi="宋体" w:cs="宋体"/>
          <w:sz w:val="24"/>
          <w:szCs w:val="24"/>
        </w:rPr>
        <w:t>项目联系人：</w:t>
      </w:r>
      <w:r>
        <w:rPr>
          <w:rFonts w:hint="eastAsia" w:hAnsi="宋体" w:cs="宋体"/>
          <w:sz w:val="24"/>
          <w:szCs w:val="24"/>
          <w:u w:val="single"/>
        </w:rPr>
        <w:t xml:space="preserve">    陈沭    </w:t>
      </w:r>
    </w:p>
    <w:p w14:paraId="5DDFB553">
      <w:pPr>
        <w:snapToGrid w:val="0"/>
        <w:spacing w:line="400" w:lineRule="exact"/>
        <w:ind w:firstLine="720" w:firstLineChars="300"/>
        <w:rPr>
          <w:sz w:val="24"/>
          <w:szCs w:val="24"/>
        </w:rPr>
      </w:pPr>
      <w:r>
        <w:rPr>
          <w:rFonts w:hint="eastAsia" w:ascii="宋体" w:hAnsi="宋体" w:cs="宋体"/>
          <w:sz w:val="24"/>
          <w:szCs w:val="24"/>
        </w:rPr>
        <w:t>电　　 话：</w:t>
      </w:r>
      <w:r>
        <w:rPr>
          <w:rFonts w:hint="eastAsia" w:ascii="宋体" w:hAnsi="宋体" w:cs="宋体"/>
          <w:sz w:val="24"/>
          <w:szCs w:val="24"/>
          <w:u w:val="single"/>
        </w:rPr>
        <w:t>　  13913913997　</w:t>
      </w:r>
    </w:p>
    <w:p w14:paraId="6A3C212B">
      <w:pPr>
        <w:pStyle w:val="2"/>
        <w:spacing w:before="240" w:beforeLines="100" w:after="240" w:afterLines="100" w:line="400" w:lineRule="exact"/>
        <w:rPr>
          <w:rFonts w:hint="eastAsia" w:ascii="宋体" w:hAnsi="宋体" w:eastAsia="宋体"/>
          <w:b/>
          <w:bCs/>
          <w:sz w:val="32"/>
          <w:szCs w:val="32"/>
        </w:rPr>
      </w:pPr>
      <w:r>
        <w:rPr>
          <w:rFonts w:ascii="宋体" w:hAnsi="宋体"/>
          <w:b/>
          <w:bCs/>
          <w:sz w:val="32"/>
          <w:szCs w:val="32"/>
        </w:rPr>
        <w:br w:type="page"/>
      </w:r>
      <w:bookmarkStart w:id="53" w:name="_Toc24962235"/>
      <w:r>
        <w:rPr>
          <w:rFonts w:hint="eastAsia" w:ascii="宋体" w:hAnsi="宋体" w:eastAsia="宋体"/>
          <w:b/>
          <w:bCs/>
          <w:sz w:val="32"/>
          <w:szCs w:val="32"/>
        </w:rPr>
        <w:t xml:space="preserve">第二章 </w:t>
      </w:r>
      <w:bookmarkEnd w:id="1"/>
      <w:bookmarkEnd w:id="2"/>
      <w:bookmarkEnd w:id="3"/>
      <w:bookmarkEnd w:id="4"/>
      <w:bookmarkEnd w:id="5"/>
      <w:bookmarkEnd w:id="9"/>
      <w:bookmarkStart w:id="54" w:name="_Toc120614213"/>
      <w:bookmarkStart w:id="55" w:name="_Toc16938518"/>
      <w:bookmarkStart w:id="56" w:name="_Toc513029202"/>
      <w:bookmarkStart w:id="57" w:name="_Toc20823274"/>
      <w:r>
        <w:rPr>
          <w:rFonts w:hint="eastAsia" w:ascii="宋体" w:hAnsi="宋体" w:eastAsia="宋体"/>
          <w:b/>
          <w:bCs/>
          <w:sz w:val="32"/>
          <w:szCs w:val="32"/>
        </w:rPr>
        <w:t>竞争性磋商须知</w:t>
      </w:r>
      <w:bookmarkEnd w:id="53"/>
      <w:bookmarkEnd w:id="54"/>
      <w:bookmarkEnd w:id="55"/>
      <w:bookmarkEnd w:id="56"/>
      <w:bookmarkEnd w:id="57"/>
    </w:p>
    <w:p w14:paraId="1FD15DAB">
      <w:pPr>
        <w:spacing w:line="400" w:lineRule="exact"/>
        <w:ind w:firstLine="480" w:firstLineChars="200"/>
        <w:rPr>
          <w:sz w:val="24"/>
          <w:szCs w:val="24"/>
        </w:rPr>
      </w:pPr>
      <w:bookmarkStart w:id="58" w:name="_Toc16938519"/>
      <w:bookmarkStart w:id="59" w:name="_Toc20823275"/>
      <w:bookmarkStart w:id="60" w:name="_Toc120614214"/>
      <w:bookmarkStart w:id="61" w:name="_Toc513029203"/>
      <w:r>
        <w:rPr>
          <w:rFonts w:hint="eastAsia"/>
          <w:sz w:val="24"/>
          <w:szCs w:val="24"/>
        </w:rPr>
        <w:t xml:space="preserve">一、总 则 </w:t>
      </w:r>
    </w:p>
    <w:p w14:paraId="3E0323F1">
      <w:pPr>
        <w:spacing w:line="400" w:lineRule="exact"/>
        <w:ind w:firstLine="480" w:firstLineChars="200"/>
        <w:rPr>
          <w:sz w:val="24"/>
          <w:szCs w:val="24"/>
        </w:rPr>
      </w:pPr>
      <w:r>
        <w:rPr>
          <w:rFonts w:hint="eastAsia"/>
          <w:sz w:val="24"/>
          <w:szCs w:val="24"/>
        </w:rPr>
        <w:t xml:space="preserve">1.适用法律 </w:t>
      </w:r>
    </w:p>
    <w:p w14:paraId="19869E95">
      <w:pPr>
        <w:spacing w:line="400" w:lineRule="exact"/>
        <w:ind w:firstLine="480" w:firstLineChars="200"/>
        <w:rPr>
          <w:sz w:val="24"/>
          <w:szCs w:val="24"/>
        </w:rPr>
      </w:pPr>
      <w:r>
        <w:rPr>
          <w:rFonts w:hint="eastAsia"/>
          <w:sz w:val="24"/>
          <w:szCs w:val="24"/>
        </w:rPr>
        <w:t xml:space="preserve">《中华人民共和国招标投标法》、《中国人民共和国招标投标法实施条例》有关法律、法规和规章的规定等。 </w:t>
      </w:r>
    </w:p>
    <w:p w14:paraId="5C7E7F49">
      <w:pPr>
        <w:spacing w:line="400" w:lineRule="exact"/>
        <w:ind w:firstLine="480" w:firstLineChars="200"/>
        <w:rPr>
          <w:sz w:val="24"/>
          <w:szCs w:val="24"/>
        </w:rPr>
      </w:pPr>
      <w:r>
        <w:rPr>
          <w:rFonts w:hint="eastAsia"/>
          <w:sz w:val="24"/>
          <w:szCs w:val="24"/>
        </w:rPr>
        <w:t xml:space="preserve">2.定义 </w:t>
      </w:r>
    </w:p>
    <w:p w14:paraId="7BE60675">
      <w:pPr>
        <w:spacing w:line="400" w:lineRule="exact"/>
        <w:ind w:firstLine="480" w:firstLineChars="200"/>
        <w:rPr>
          <w:sz w:val="24"/>
          <w:szCs w:val="24"/>
        </w:rPr>
      </w:pPr>
      <w:r>
        <w:rPr>
          <w:rFonts w:hint="eastAsia"/>
          <w:sz w:val="24"/>
          <w:szCs w:val="24"/>
        </w:rPr>
        <w:t xml:space="preserve">2.1“采购人”是指依法进行政府采购的国家机关、事业单位、团体组织。 </w:t>
      </w:r>
    </w:p>
    <w:p w14:paraId="4292A8C5">
      <w:pPr>
        <w:spacing w:line="400" w:lineRule="exact"/>
        <w:ind w:firstLine="480" w:firstLineChars="200"/>
        <w:rPr>
          <w:sz w:val="24"/>
          <w:szCs w:val="24"/>
        </w:rPr>
      </w:pPr>
      <w:r>
        <w:rPr>
          <w:rFonts w:hint="eastAsia"/>
          <w:sz w:val="24"/>
          <w:szCs w:val="24"/>
        </w:rPr>
        <w:t xml:space="preserve">2.2“供应商”是指参加竞争性磋商，并符合采购文件规定资格条件的法人、其他组织或者自然人。 </w:t>
      </w:r>
    </w:p>
    <w:p w14:paraId="0F61678F">
      <w:pPr>
        <w:spacing w:line="400" w:lineRule="exact"/>
        <w:ind w:firstLine="480" w:firstLineChars="200"/>
        <w:rPr>
          <w:sz w:val="24"/>
          <w:szCs w:val="24"/>
        </w:rPr>
      </w:pPr>
      <w:r>
        <w:rPr>
          <w:rFonts w:hint="eastAsia"/>
          <w:sz w:val="24"/>
          <w:szCs w:val="24"/>
        </w:rPr>
        <w:t xml:space="preserve">2.3“货物和服务”指本采购文件中所述产品及相关服务。 </w:t>
      </w:r>
    </w:p>
    <w:p w14:paraId="26CE9232">
      <w:pPr>
        <w:spacing w:line="400" w:lineRule="exact"/>
        <w:ind w:firstLine="480" w:firstLineChars="200"/>
        <w:rPr>
          <w:sz w:val="24"/>
          <w:szCs w:val="24"/>
        </w:rPr>
      </w:pPr>
      <w:r>
        <w:rPr>
          <w:rFonts w:hint="eastAsia"/>
          <w:sz w:val="24"/>
          <w:szCs w:val="24"/>
        </w:rPr>
        <w:t xml:space="preserve">2.4“用户或使用单位”是指使用服务的单位。 </w:t>
      </w:r>
    </w:p>
    <w:p w14:paraId="5DCB594F">
      <w:pPr>
        <w:spacing w:line="400" w:lineRule="exact"/>
        <w:ind w:firstLine="480" w:firstLineChars="200"/>
        <w:rPr>
          <w:sz w:val="24"/>
          <w:szCs w:val="24"/>
        </w:rPr>
      </w:pPr>
      <w:r>
        <w:rPr>
          <w:rFonts w:hint="eastAsia"/>
          <w:sz w:val="24"/>
          <w:szCs w:val="24"/>
        </w:rPr>
        <w:t xml:space="preserve">3.政策功能 </w:t>
      </w:r>
    </w:p>
    <w:p w14:paraId="5D2E2109">
      <w:pPr>
        <w:spacing w:line="400" w:lineRule="exact"/>
        <w:ind w:firstLine="480" w:firstLineChars="200"/>
        <w:rPr>
          <w:sz w:val="24"/>
          <w:szCs w:val="24"/>
        </w:rPr>
      </w:pPr>
      <w:r>
        <w:rPr>
          <w:rFonts w:hint="eastAsia"/>
          <w:sz w:val="24"/>
          <w:szCs w:val="24"/>
        </w:rPr>
        <w:t xml:space="preserve">3.1 中小企业政策 </w:t>
      </w:r>
    </w:p>
    <w:p w14:paraId="4DB64157">
      <w:pPr>
        <w:spacing w:line="400" w:lineRule="exact"/>
        <w:ind w:firstLine="480" w:firstLineChars="200"/>
        <w:rPr>
          <w:sz w:val="24"/>
          <w:szCs w:val="24"/>
        </w:rPr>
      </w:pPr>
      <w:r>
        <w:rPr>
          <w:rFonts w:hint="eastAsia"/>
          <w:sz w:val="24"/>
          <w:szCs w:val="24"/>
        </w:rPr>
        <w:t xml:space="preserve">（1）中小企业（含中型、小型、微型企业）应当符合《政府采购促进中小企业发展管理办法》（财库〔2020〕46号）第二条、《关于政府采购支持监狱企业发展有关问题的通知》（财库〔2014〕68 号）第一条或《关于促进残疾人就业政府采购政策的通知》（财库〔2017〕141 号）第一条的规定。 </w:t>
      </w:r>
    </w:p>
    <w:p w14:paraId="63F59619">
      <w:pPr>
        <w:spacing w:line="400" w:lineRule="exact"/>
        <w:ind w:firstLine="480" w:firstLineChars="200"/>
        <w:rPr>
          <w:sz w:val="24"/>
          <w:szCs w:val="24"/>
        </w:rPr>
      </w:pPr>
      <w:r>
        <w:rPr>
          <w:rFonts w:hint="eastAsia"/>
          <w:sz w:val="24"/>
          <w:szCs w:val="24"/>
        </w:rPr>
        <w:t xml:space="preserve">（2）对于专门面向中小企业或小型、微型企业的项目，只面向中小企业或小型、微型企业采购。对于非专门面向中小企业的项目，对小型和微型企业产品的价格给予10%的扣除， 用扣除后的价格参与评审。 </w:t>
      </w:r>
    </w:p>
    <w:p w14:paraId="5F8C21B6">
      <w:pPr>
        <w:spacing w:line="400" w:lineRule="exact"/>
        <w:ind w:firstLine="480" w:firstLineChars="200"/>
        <w:rPr>
          <w:sz w:val="24"/>
          <w:szCs w:val="24"/>
        </w:rPr>
      </w:pPr>
      <w:r>
        <w:rPr>
          <w:rFonts w:hint="eastAsia"/>
          <w:sz w:val="24"/>
          <w:szCs w:val="24"/>
        </w:rPr>
        <w:t xml:space="preserve">（3）参加政府采购活动的中小企业应当提供《中小企业声明函》、由省级以上监狱管理局戒毒管理局(含新疆生产建设兵团)出具的属于监狱企业的证明文件或《残疾人福利性单位声明函》。 </w:t>
      </w:r>
    </w:p>
    <w:p w14:paraId="1DF61AC9">
      <w:pPr>
        <w:spacing w:line="400" w:lineRule="exact"/>
        <w:ind w:firstLine="480" w:firstLineChars="200"/>
        <w:rPr>
          <w:sz w:val="24"/>
          <w:szCs w:val="24"/>
        </w:rPr>
      </w:pPr>
      <w:r>
        <w:rPr>
          <w:rFonts w:hint="eastAsia"/>
          <w:sz w:val="24"/>
          <w:szCs w:val="24"/>
        </w:rPr>
        <w:t xml:space="preserve">（4）对于接受供应商以联合体形式参加采购活动的项目，小型、微型企业联合体应当符合《政府采购促进中小企业发展管理办法》（财库〔2020〕46号）第九条的规定。联合协议中约定，小型、微型企业的协议合同金额占到联合体协议合同总金额 30%以上的，给予联合体 2%-3%的价格扣除。 </w:t>
      </w:r>
    </w:p>
    <w:p w14:paraId="056E586E">
      <w:pPr>
        <w:spacing w:line="400" w:lineRule="exact"/>
        <w:ind w:firstLine="480" w:firstLineChars="200"/>
        <w:rPr>
          <w:sz w:val="24"/>
          <w:szCs w:val="24"/>
        </w:rPr>
      </w:pPr>
      <w:r>
        <w:rPr>
          <w:rFonts w:hint="eastAsia"/>
          <w:sz w:val="24"/>
          <w:szCs w:val="24"/>
        </w:rPr>
        <w:t>（5）中小企业依据</w:t>
      </w:r>
      <w:bookmarkStart w:id="62" w:name="_Hlk100564983"/>
      <w:r>
        <w:rPr>
          <w:rFonts w:hint="eastAsia"/>
          <w:sz w:val="24"/>
          <w:szCs w:val="24"/>
        </w:rPr>
        <w:t>《政府采购促进中小企业发展管理办法》（财库〔2020〕46 号）</w:t>
      </w:r>
      <w:bookmarkEnd w:id="62"/>
      <w:r>
        <w:rPr>
          <w:rFonts w:hint="eastAsia"/>
          <w:sz w:val="24"/>
          <w:szCs w:val="24"/>
        </w:rPr>
        <w:t xml:space="preserve">规定的政策获取政府采购合同后，小型、微型企业不得分包或转包给大型、中型企业，中型企业不得分包或转包给大型企业。 </w:t>
      </w:r>
    </w:p>
    <w:p w14:paraId="75432B68">
      <w:pPr>
        <w:spacing w:line="400" w:lineRule="exact"/>
        <w:ind w:firstLine="480" w:firstLineChars="200"/>
        <w:rPr>
          <w:sz w:val="24"/>
          <w:szCs w:val="24"/>
        </w:rPr>
      </w:pPr>
      <w:r>
        <w:rPr>
          <w:rFonts w:hint="eastAsia"/>
          <w:sz w:val="24"/>
          <w:szCs w:val="24"/>
        </w:rPr>
        <w:t xml:space="preserve">3.2 节能产品政策 </w:t>
      </w:r>
    </w:p>
    <w:p w14:paraId="2CE51E82">
      <w:pPr>
        <w:spacing w:line="400" w:lineRule="exact"/>
        <w:ind w:firstLine="480" w:firstLineChars="200"/>
        <w:rPr>
          <w:sz w:val="24"/>
          <w:szCs w:val="24"/>
        </w:rPr>
      </w:pPr>
      <w:r>
        <w:rPr>
          <w:rFonts w:hint="eastAsia"/>
          <w:sz w:val="24"/>
          <w:szCs w:val="24"/>
        </w:rPr>
        <w:t xml:space="preserve">（1）拟采购产品属于节能产品政府采购清单规定必须强制采购的，实行强制采购。 </w:t>
      </w:r>
    </w:p>
    <w:p w14:paraId="6CD02017">
      <w:pPr>
        <w:spacing w:line="400" w:lineRule="exact"/>
        <w:ind w:firstLine="480" w:firstLineChars="200"/>
        <w:rPr>
          <w:sz w:val="24"/>
          <w:szCs w:val="24"/>
        </w:rPr>
      </w:pPr>
      <w:r>
        <w:rPr>
          <w:rFonts w:hint="eastAsia"/>
          <w:sz w:val="24"/>
          <w:szCs w:val="24"/>
        </w:rPr>
        <w:t xml:space="preserve">（2）拟采购产品属于节能产品政府采购清单规定优先采购的，在技术、服务等指标同等条件下，实行优先采购，优先采购的评审标准详见本磋商文件评标办法。 </w:t>
      </w:r>
    </w:p>
    <w:p w14:paraId="076BFB69">
      <w:pPr>
        <w:spacing w:line="400" w:lineRule="exact"/>
        <w:ind w:firstLine="480" w:firstLineChars="200"/>
        <w:rPr>
          <w:sz w:val="24"/>
          <w:szCs w:val="24"/>
        </w:rPr>
      </w:pPr>
      <w:r>
        <w:rPr>
          <w:rFonts w:hint="eastAsia"/>
          <w:sz w:val="24"/>
          <w:szCs w:val="24"/>
        </w:rPr>
        <w:t xml:space="preserve">（3）参加政府采购活动的节能产品供应商应当提供产品在《节能产品政府采购清单》中相应的页面。 </w:t>
      </w:r>
    </w:p>
    <w:p w14:paraId="549891BB">
      <w:pPr>
        <w:spacing w:line="400" w:lineRule="exact"/>
        <w:ind w:firstLine="480" w:firstLineChars="200"/>
        <w:rPr>
          <w:sz w:val="24"/>
          <w:szCs w:val="24"/>
        </w:rPr>
      </w:pPr>
      <w:r>
        <w:rPr>
          <w:rFonts w:hint="eastAsia"/>
          <w:sz w:val="24"/>
          <w:szCs w:val="24"/>
        </w:rPr>
        <w:t xml:space="preserve">3.3 环境标志产品政策 </w:t>
      </w:r>
    </w:p>
    <w:p w14:paraId="7C1BA1AD">
      <w:pPr>
        <w:spacing w:line="400" w:lineRule="exact"/>
        <w:ind w:firstLine="480" w:firstLineChars="200"/>
        <w:rPr>
          <w:sz w:val="24"/>
          <w:szCs w:val="24"/>
        </w:rPr>
      </w:pPr>
      <w:r>
        <w:rPr>
          <w:rFonts w:hint="eastAsia"/>
          <w:sz w:val="24"/>
          <w:szCs w:val="24"/>
        </w:rPr>
        <w:t xml:space="preserve">（1）拟采购产品属于环境标志产品政府采购清单规定优先采购的，在性能、技术、服务等指标同等条件下，实行优先采购，优先采购的评审标准详见本磋商文件评标办法。 </w:t>
      </w:r>
    </w:p>
    <w:p w14:paraId="4B165585">
      <w:pPr>
        <w:spacing w:line="400" w:lineRule="exact"/>
        <w:ind w:firstLine="480" w:firstLineChars="200"/>
        <w:rPr>
          <w:sz w:val="24"/>
          <w:szCs w:val="24"/>
        </w:rPr>
      </w:pPr>
      <w:r>
        <w:rPr>
          <w:rFonts w:hint="eastAsia"/>
          <w:sz w:val="24"/>
          <w:szCs w:val="24"/>
        </w:rPr>
        <w:t xml:space="preserve">（2）参加政府采购活动的环境标志产品应当提供产品在《环境标志产品政府采购清单》中相应的页面。 </w:t>
      </w:r>
    </w:p>
    <w:p w14:paraId="32DBA9E8">
      <w:pPr>
        <w:spacing w:line="400" w:lineRule="exact"/>
        <w:ind w:firstLine="480" w:firstLineChars="200"/>
        <w:rPr>
          <w:sz w:val="24"/>
          <w:szCs w:val="24"/>
        </w:rPr>
      </w:pPr>
      <w:r>
        <w:rPr>
          <w:rFonts w:hint="eastAsia"/>
          <w:sz w:val="24"/>
          <w:szCs w:val="24"/>
        </w:rPr>
        <w:t xml:space="preserve">3.4 进口产品政策 </w:t>
      </w:r>
    </w:p>
    <w:p w14:paraId="3011F3E9">
      <w:pPr>
        <w:spacing w:line="400" w:lineRule="exact"/>
        <w:ind w:firstLine="480" w:firstLineChars="200"/>
        <w:rPr>
          <w:sz w:val="24"/>
          <w:szCs w:val="24"/>
        </w:rPr>
      </w:pPr>
      <w:r>
        <w:rPr>
          <w:rFonts w:hint="eastAsia"/>
          <w:sz w:val="24"/>
          <w:szCs w:val="24"/>
        </w:rPr>
        <w:t xml:space="preserve">（1）除在磋商文件另有规定外，不允许进口产品参加。进口产品认定依照《财政部关于政府采购进口产品管理有关问题的通知》（财办库〔2008〕248 号）的规定。 </w:t>
      </w:r>
    </w:p>
    <w:p w14:paraId="3BC70830">
      <w:pPr>
        <w:spacing w:line="400" w:lineRule="exact"/>
        <w:ind w:firstLine="480" w:firstLineChars="200"/>
        <w:rPr>
          <w:sz w:val="24"/>
          <w:szCs w:val="24"/>
        </w:rPr>
      </w:pPr>
      <w:r>
        <w:rPr>
          <w:rFonts w:hint="eastAsia"/>
          <w:sz w:val="24"/>
          <w:szCs w:val="24"/>
        </w:rPr>
        <w:t xml:space="preserve">（2）允许进口产品参加的，满足需求的国内产品可以参加。 </w:t>
      </w:r>
    </w:p>
    <w:p w14:paraId="5D91EB68">
      <w:pPr>
        <w:spacing w:line="400" w:lineRule="exact"/>
        <w:ind w:firstLine="480" w:firstLineChars="200"/>
        <w:rPr>
          <w:sz w:val="24"/>
          <w:szCs w:val="24"/>
        </w:rPr>
      </w:pPr>
      <w:r>
        <w:rPr>
          <w:rFonts w:hint="eastAsia"/>
          <w:sz w:val="24"/>
          <w:szCs w:val="24"/>
        </w:rPr>
        <w:t>（3）允许进口产品参加的，优先采购向我国企业转让技术、与我国企业签订消化吸收再创新方案的供应商的进口产品。</w:t>
      </w:r>
    </w:p>
    <w:p w14:paraId="4200EA0B">
      <w:pPr>
        <w:spacing w:line="400" w:lineRule="exact"/>
        <w:ind w:firstLine="480" w:firstLineChars="200"/>
        <w:rPr>
          <w:sz w:val="24"/>
          <w:szCs w:val="24"/>
        </w:rPr>
      </w:pPr>
      <w:r>
        <w:rPr>
          <w:rFonts w:hint="eastAsia"/>
          <w:sz w:val="24"/>
          <w:szCs w:val="24"/>
        </w:rPr>
        <w:t>二、</w:t>
      </w:r>
      <w:r>
        <w:rPr>
          <w:rFonts w:hint="eastAsia"/>
          <w:b/>
          <w:bCs/>
          <w:sz w:val="24"/>
          <w:szCs w:val="24"/>
        </w:rPr>
        <w:t>磋商响应文件编制</w:t>
      </w:r>
    </w:p>
    <w:p w14:paraId="381F8C1A">
      <w:pPr>
        <w:spacing w:line="400" w:lineRule="exact"/>
        <w:ind w:firstLine="480" w:firstLineChars="200"/>
        <w:rPr>
          <w:sz w:val="24"/>
          <w:szCs w:val="24"/>
        </w:rPr>
      </w:pPr>
      <w:r>
        <w:rPr>
          <w:rFonts w:hint="eastAsia"/>
          <w:sz w:val="24"/>
          <w:szCs w:val="24"/>
        </w:rPr>
        <w:t xml:space="preserve">4.磋商响应文件的语言、计量单位、货币和编制 </w:t>
      </w:r>
    </w:p>
    <w:p w14:paraId="2D4E8EB3">
      <w:pPr>
        <w:spacing w:line="400" w:lineRule="exact"/>
        <w:ind w:firstLine="480" w:firstLineChars="200"/>
        <w:rPr>
          <w:sz w:val="24"/>
          <w:szCs w:val="24"/>
        </w:rPr>
      </w:pPr>
      <w:r>
        <w:rPr>
          <w:rFonts w:hint="eastAsia"/>
          <w:sz w:val="24"/>
          <w:szCs w:val="24"/>
        </w:rPr>
        <w:t>4.1 供应商提交的磋商响应文件、技术文件和资料，包括图纸中的说明，以及供应商与采购代理机构就有关磋商的所有来往函电均应使用中文。响应文件中若有英文或其他语言文字的资料，应提供相应的中文翻译资料。对不同文本响应文件的解释发生异议的，以中文文本为准。</w:t>
      </w:r>
    </w:p>
    <w:p w14:paraId="39C526EB">
      <w:pPr>
        <w:spacing w:line="400" w:lineRule="exact"/>
        <w:ind w:firstLine="480" w:firstLineChars="200"/>
        <w:rPr>
          <w:sz w:val="24"/>
          <w:szCs w:val="24"/>
        </w:rPr>
      </w:pPr>
      <w:r>
        <w:rPr>
          <w:rFonts w:hint="eastAsia"/>
          <w:sz w:val="24"/>
          <w:szCs w:val="24"/>
        </w:rPr>
        <w:t>4.2 供应商所使用的计量单位应为国家法定计量单位。</w:t>
      </w:r>
    </w:p>
    <w:p w14:paraId="5B72E08F">
      <w:pPr>
        <w:spacing w:line="400" w:lineRule="exact"/>
        <w:ind w:firstLine="480" w:firstLineChars="200"/>
        <w:rPr>
          <w:sz w:val="24"/>
          <w:szCs w:val="24"/>
        </w:rPr>
      </w:pPr>
      <w:r>
        <w:rPr>
          <w:rFonts w:hint="eastAsia"/>
          <w:sz w:val="24"/>
          <w:szCs w:val="24"/>
        </w:rPr>
        <w:t>4.3 供应商应用人民币报价。报价产品如果是进口产品的，应提供人民币与外币之间的汇率；报价单位为“元”。</w:t>
      </w:r>
    </w:p>
    <w:p w14:paraId="611DA9F6">
      <w:pPr>
        <w:spacing w:line="400" w:lineRule="exact"/>
        <w:ind w:firstLine="480" w:firstLineChars="200"/>
        <w:rPr>
          <w:sz w:val="24"/>
          <w:szCs w:val="24"/>
        </w:rPr>
      </w:pPr>
      <w:r>
        <w:rPr>
          <w:rFonts w:hint="eastAsia"/>
          <w:sz w:val="24"/>
          <w:szCs w:val="24"/>
        </w:rPr>
        <w:t>4.4 磋商响应文件应字迹清楚、内容齐全、不得涂改。如有修改，修改处须有供应商公章或投标专用章和法定代表人或其授权磋商代表签字。</w:t>
      </w:r>
    </w:p>
    <w:p w14:paraId="4A0E1E4E">
      <w:pPr>
        <w:spacing w:line="400" w:lineRule="exact"/>
        <w:ind w:firstLine="480" w:firstLineChars="200"/>
        <w:rPr>
          <w:sz w:val="24"/>
          <w:szCs w:val="24"/>
        </w:rPr>
      </w:pPr>
      <w:r>
        <w:rPr>
          <w:rFonts w:hint="eastAsia"/>
          <w:sz w:val="24"/>
          <w:szCs w:val="24"/>
        </w:rPr>
        <w:t>4.5 磋商响应文件应按照竞争性磋商文件规定的顺序，统一用A4规格幅面打印、装订成册并编制目录，由于编排混乱导致响应文件被误读或查找不到，责任由供应商承担。</w:t>
      </w:r>
    </w:p>
    <w:p w14:paraId="1AAD6B4F">
      <w:pPr>
        <w:spacing w:line="400" w:lineRule="exact"/>
        <w:ind w:firstLine="480" w:firstLineChars="200"/>
        <w:rPr>
          <w:sz w:val="24"/>
          <w:szCs w:val="24"/>
        </w:rPr>
      </w:pPr>
      <w:r>
        <w:rPr>
          <w:rFonts w:hint="eastAsia"/>
          <w:sz w:val="24"/>
          <w:szCs w:val="24"/>
        </w:rPr>
        <w:t>4.6 供应商应在磋商响应文件中写清相应的项目编号、项目名称、供应商全称、地址、电话等。</w:t>
      </w:r>
    </w:p>
    <w:p w14:paraId="09FA686E">
      <w:pPr>
        <w:spacing w:line="400" w:lineRule="exact"/>
        <w:ind w:firstLine="480" w:firstLineChars="200"/>
        <w:rPr>
          <w:sz w:val="24"/>
          <w:szCs w:val="24"/>
        </w:rPr>
      </w:pPr>
      <w:r>
        <w:rPr>
          <w:rFonts w:hint="eastAsia"/>
          <w:sz w:val="24"/>
          <w:szCs w:val="24"/>
        </w:rPr>
        <w:t>5.磋商响应文件的组成</w:t>
      </w:r>
    </w:p>
    <w:p w14:paraId="6684F650">
      <w:pPr>
        <w:spacing w:line="400" w:lineRule="exact"/>
        <w:ind w:firstLine="480" w:firstLineChars="200"/>
        <w:rPr>
          <w:sz w:val="24"/>
          <w:szCs w:val="24"/>
        </w:rPr>
      </w:pPr>
      <w:r>
        <w:rPr>
          <w:rFonts w:hint="eastAsia"/>
          <w:sz w:val="24"/>
          <w:szCs w:val="24"/>
        </w:rPr>
        <w:t>5.1 供应商应当根据竞争性磋商文件要求编制磋商响应文件，并根据自己的商务能力、技术水平对竞争性磋商文件提出的要求和条件逐条标明是否响应。</w:t>
      </w:r>
    </w:p>
    <w:p w14:paraId="15EA374D">
      <w:pPr>
        <w:spacing w:line="400" w:lineRule="exact"/>
        <w:ind w:firstLine="480" w:firstLineChars="200"/>
        <w:rPr>
          <w:sz w:val="24"/>
          <w:szCs w:val="24"/>
        </w:rPr>
      </w:pPr>
      <w:r>
        <w:rPr>
          <w:rFonts w:hint="eastAsia"/>
          <w:sz w:val="24"/>
          <w:szCs w:val="24"/>
        </w:rPr>
        <w:t>5.2 磋商响应文件由商务部分、技术部分、价格部分，以及其他部分组成。</w:t>
      </w:r>
    </w:p>
    <w:p w14:paraId="55584F73">
      <w:pPr>
        <w:spacing w:line="400" w:lineRule="exact"/>
        <w:ind w:firstLine="480" w:firstLineChars="200"/>
        <w:rPr>
          <w:sz w:val="24"/>
          <w:szCs w:val="24"/>
        </w:rPr>
      </w:pPr>
      <w:r>
        <w:rPr>
          <w:rFonts w:hint="eastAsia"/>
          <w:sz w:val="24"/>
          <w:szCs w:val="24"/>
        </w:rPr>
        <w:t>5.3 本次采购的最小单位是包。采购项目的技术要求中未分包的，供应商对要求提供的服务不得部分投标；采购项目的技术要求中已经分包的，可以以包为单位投标。</w:t>
      </w:r>
    </w:p>
    <w:p w14:paraId="37ECDDBF">
      <w:pPr>
        <w:spacing w:line="400" w:lineRule="exact"/>
        <w:ind w:firstLine="480" w:firstLineChars="200"/>
        <w:rPr>
          <w:sz w:val="24"/>
          <w:szCs w:val="24"/>
        </w:rPr>
      </w:pPr>
      <w:r>
        <w:rPr>
          <w:rFonts w:hint="eastAsia"/>
          <w:sz w:val="24"/>
          <w:szCs w:val="24"/>
        </w:rPr>
        <w:t>5.4 磋商响应文件的</w:t>
      </w:r>
      <w:r>
        <w:rPr>
          <w:rFonts w:hint="eastAsia"/>
          <w:b/>
          <w:bCs/>
          <w:sz w:val="24"/>
          <w:szCs w:val="24"/>
        </w:rPr>
        <w:t>商务部分</w:t>
      </w:r>
      <w:r>
        <w:rPr>
          <w:rFonts w:hint="eastAsia"/>
          <w:sz w:val="24"/>
          <w:szCs w:val="24"/>
        </w:rPr>
        <w:t>。商务部分是证明供应商有资格参加磋商和成交后有能力履行合同的文件，这些文件应能满足竞争性磋商采购的要求，包括但不限于下列文件（（1）</w:t>
      </w:r>
      <w:r>
        <w:rPr>
          <w:rFonts w:hint="eastAsia" w:ascii="宋体" w:hAnsi="宋体"/>
          <w:sz w:val="24"/>
          <w:szCs w:val="24"/>
        </w:rPr>
        <w:t>-</w:t>
      </w:r>
      <w:r>
        <w:rPr>
          <w:rFonts w:hint="eastAsia"/>
          <w:sz w:val="24"/>
          <w:szCs w:val="24"/>
        </w:rPr>
        <w:t xml:space="preserve">（5）所述材料如提供不全或不满足磋商文件的实质性要求，评标委员会有权否决供应商的投标）： </w:t>
      </w:r>
    </w:p>
    <w:p w14:paraId="1503C29A">
      <w:pPr>
        <w:spacing w:line="400" w:lineRule="exact"/>
        <w:ind w:firstLine="480" w:firstLineChars="200"/>
        <w:rPr>
          <w:sz w:val="24"/>
          <w:szCs w:val="24"/>
        </w:rPr>
      </w:pPr>
      <w:r>
        <w:rPr>
          <w:rFonts w:hint="eastAsia"/>
          <w:sz w:val="24"/>
          <w:szCs w:val="24"/>
        </w:rPr>
        <w:t xml:space="preserve">（1）竞争性磋商申请及声明（格式见附件）； </w:t>
      </w:r>
    </w:p>
    <w:p w14:paraId="4C4D5C18">
      <w:pPr>
        <w:spacing w:line="400" w:lineRule="exact"/>
        <w:ind w:firstLine="480" w:firstLineChars="200"/>
        <w:rPr>
          <w:sz w:val="24"/>
          <w:szCs w:val="24"/>
        </w:rPr>
      </w:pPr>
      <w:r>
        <w:rPr>
          <w:rFonts w:hint="eastAsia"/>
          <w:sz w:val="24"/>
          <w:szCs w:val="24"/>
        </w:rPr>
        <w:t>（2）法定代表人授权委托书及身份证复印件（格式见附件）；</w:t>
      </w:r>
    </w:p>
    <w:p w14:paraId="4ED2EFDE">
      <w:pPr>
        <w:spacing w:line="400" w:lineRule="exact"/>
        <w:ind w:firstLine="480" w:firstLineChars="200"/>
        <w:rPr>
          <w:sz w:val="24"/>
          <w:szCs w:val="24"/>
        </w:rPr>
      </w:pPr>
      <w:r>
        <w:rPr>
          <w:rFonts w:hint="eastAsia"/>
          <w:sz w:val="24"/>
          <w:szCs w:val="24"/>
        </w:rPr>
        <w:t>（</w:t>
      </w:r>
      <w:r>
        <w:rPr>
          <w:sz w:val="24"/>
          <w:szCs w:val="24"/>
        </w:rPr>
        <w:t>3</w:t>
      </w:r>
      <w:r>
        <w:rPr>
          <w:rFonts w:hint="eastAsia"/>
          <w:sz w:val="24"/>
          <w:szCs w:val="24"/>
        </w:rPr>
        <w:t xml:space="preserve">）第一章竞争性磋商公告中2.1《中华人民共和国政府采购法》规定的资格条件证明文件； </w:t>
      </w:r>
    </w:p>
    <w:p w14:paraId="0D48E7C0">
      <w:pPr>
        <w:spacing w:line="400" w:lineRule="exact"/>
        <w:ind w:firstLine="480" w:firstLineChars="200"/>
        <w:rPr>
          <w:sz w:val="24"/>
          <w:szCs w:val="24"/>
        </w:rPr>
      </w:pPr>
      <w:r>
        <w:rPr>
          <w:rFonts w:hint="eastAsia"/>
          <w:sz w:val="24"/>
          <w:szCs w:val="24"/>
        </w:rPr>
        <w:t xml:space="preserve">（4）第一章竞争性磋商公告中 2.2 采购人根据采购项目的特殊要求规定的特定条件证明文件； </w:t>
      </w:r>
    </w:p>
    <w:p w14:paraId="40EF6AE5">
      <w:pPr>
        <w:spacing w:line="400" w:lineRule="exact"/>
        <w:ind w:firstLine="480" w:firstLineChars="200"/>
        <w:rPr>
          <w:sz w:val="24"/>
          <w:szCs w:val="24"/>
        </w:rPr>
      </w:pPr>
      <w:r>
        <w:rPr>
          <w:rFonts w:hint="eastAsia"/>
          <w:sz w:val="24"/>
          <w:szCs w:val="24"/>
        </w:rPr>
        <w:t xml:space="preserve">（5）《商务条款偏离表》； </w:t>
      </w:r>
    </w:p>
    <w:p w14:paraId="3BE4AB3C">
      <w:pPr>
        <w:spacing w:line="400" w:lineRule="exact"/>
        <w:ind w:firstLine="480" w:firstLineChars="200"/>
        <w:rPr>
          <w:sz w:val="24"/>
          <w:szCs w:val="24"/>
        </w:rPr>
      </w:pPr>
      <w:r>
        <w:rPr>
          <w:rFonts w:hint="eastAsia"/>
          <w:sz w:val="24"/>
          <w:szCs w:val="24"/>
        </w:rPr>
        <w:t>（</w:t>
      </w:r>
      <w:r>
        <w:rPr>
          <w:sz w:val="24"/>
          <w:szCs w:val="24"/>
        </w:rPr>
        <w:t>6</w:t>
      </w:r>
      <w:r>
        <w:rPr>
          <w:rFonts w:hint="eastAsia"/>
          <w:sz w:val="24"/>
          <w:szCs w:val="24"/>
        </w:rPr>
        <w:t>）供应商认为需要提供的其他资格证明文件和商务资料。</w:t>
      </w:r>
    </w:p>
    <w:p w14:paraId="4E89E0AE">
      <w:pPr>
        <w:spacing w:line="400" w:lineRule="exact"/>
        <w:ind w:firstLine="480" w:firstLineChars="200"/>
        <w:rPr>
          <w:sz w:val="24"/>
          <w:szCs w:val="24"/>
        </w:rPr>
      </w:pPr>
      <w:r>
        <w:rPr>
          <w:rFonts w:hint="eastAsia"/>
          <w:sz w:val="24"/>
          <w:szCs w:val="24"/>
        </w:rPr>
        <w:t>5.5 磋商响应文件的</w:t>
      </w:r>
      <w:r>
        <w:rPr>
          <w:rFonts w:hint="eastAsia"/>
          <w:b/>
          <w:bCs/>
          <w:sz w:val="24"/>
          <w:szCs w:val="24"/>
        </w:rPr>
        <w:t>技术部分</w:t>
      </w:r>
      <w:r>
        <w:rPr>
          <w:rFonts w:hint="eastAsia"/>
          <w:sz w:val="24"/>
          <w:szCs w:val="24"/>
        </w:rPr>
        <w:t>。技术部分是证明供应商提供的服务是合格的、并符合竞争性磋商文件要求的证明文件，以及对服务的详细说明，这些文件可以是文字资料、图纸和数据等。提供的服务如与竞争性磋商文件要求有不符之处，应说明其差别之所在。包括但不限于下列文件：</w:t>
      </w:r>
    </w:p>
    <w:p w14:paraId="1A7D62C8">
      <w:pPr>
        <w:spacing w:line="400" w:lineRule="exact"/>
        <w:ind w:firstLine="480" w:firstLineChars="200"/>
        <w:rPr>
          <w:sz w:val="24"/>
          <w:szCs w:val="24"/>
        </w:rPr>
      </w:pPr>
      <w:r>
        <w:rPr>
          <w:rFonts w:hint="eastAsia"/>
          <w:sz w:val="24"/>
          <w:szCs w:val="24"/>
        </w:rPr>
        <w:t xml:space="preserve">（1）项目技术方案或服务说明；  </w:t>
      </w:r>
    </w:p>
    <w:p w14:paraId="574357E4">
      <w:pPr>
        <w:spacing w:line="400" w:lineRule="exact"/>
        <w:ind w:firstLine="480" w:firstLineChars="200"/>
        <w:rPr>
          <w:sz w:val="24"/>
          <w:szCs w:val="24"/>
        </w:rPr>
      </w:pPr>
      <w:r>
        <w:rPr>
          <w:rFonts w:hint="eastAsia"/>
          <w:sz w:val="24"/>
          <w:szCs w:val="24"/>
        </w:rPr>
        <w:t xml:space="preserve">（2）《采购需求条款偏离表》； </w:t>
      </w:r>
    </w:p>
    <w:p w14:paraId="4D8F995F">
      <w:pPr>
        <w:spacing w:line="400" w:lineRule="exact"/>
        <w:ind w:firstLine="480" w:firstLineChars="200"/>
        <w:rPr>
          <w:sz w:val="24"/>
          <w:szCs w:val="24"/>
        </w:rPr>
      </w:pPr>
      <w:r>
        <w:rPr>
          <w:rFonts w:hint="eastAsia"/>
          <w:sz w:val="24"/>
          <w:szCs w:val="24"/>
        </w:rPr>
        <w:t xml:space="preserve">（3）供应商认为需要提供的其他技术资料。 </w:t>
      </w:r>
    </w:p>
    <w:p w14:paraId="18FBBFA9">
      <w:pPr>
        <w:spacing w:line="400" w:lineRule="exact"/>
        <w:ind w:firstLine="480" w:firstLineChars="200"/>
        <w:rPr>
          <w:sz w:val="24"/>
          <w:szCs w:val="24"/>
        </w:rPr>
      </w:pPr>
      <w:r>
        <w:rPr>
          <w:rFonts w:hint="eastAsia"/>
          <w:sz w:val="24"/>
          <w:szCs w:val="24"/>
        </w:rPr>
        <w:t>5.6 磋商响应文件的</w:t>
      </w:r>
      <w:r>
        <w:rPr>
          <w:rFonts w:hint="eastAsia"/>
          <w:b/>
          <w:bCs/>
          <w:sz w:val="24"/>
          <w:szCs w:val="24"/>
        </w:rPr>
        <w:t>价格部分。</w:t>
      </w:r>
      <w:r>
        <w:rPr>
          <w:rFonts w:hint="eastAsia"/>
          <w:sz w:val="24"/>
          <w:szCs w:val="24"/>
        </w:rPr>
        <w:t>价格部分包括以下文件：</w:t>
      </w:r>
      <w:bookmarkStart w:id="63" w:name="_Hlk22117076"/>
      <w:r>
        <w:rPr>
          <w:rFonts w:hint="eastAsia"/>
          <w:sz w:val="24"/>
          <w:szCs w:val="24"/>
        </w:rPr>
        <w:t>（1）报价表（格式见附件）；（2）分项报价表（如果有）</w:t>
      </w:r>
      <w:bookmarkEnd w:id="63"/>
      <w:r>
        <w:rPr>
          <w:rFonts w:hint="eastAsia" w:ascii="宋体" w:hAnsi="宋体"/>
          <w:sz w:val="24"/>
          <w:szCs w:val="24"/>
        </w:rPr>
        <w:t>。</w:t>
      </w:r>
      <w:r>
        <w:rPr>
          <w:rFonts w:hint="eastAsia"/>
          <w:sz w:val="24"/>
          <w:szCs w:val="24"/>
        </w:rPr>
        <w:t xml:space="preserve"> </w:t>
      </w:r>
    </w:p>
    <w:p w14:paraId="0CF46A53">
      <w:pPr>
        <w:spacing w:line="400" w:lineRule="exact"/>
        <w:ind w:firstLine="480" w:firstLineChars="200"/>
        <w:rPr>
          <w:sz w:val="24"/>
          <w:szCs w:val="24"/>
        </w:rPr>
      </w:pPr>
      <w:r>
        <w:rPr>
          <w:rFonts w:hint="eastAsia"/>
          <w:sz w:val="24"/>
          <w:szCs w:val="24"/>
        </w:rPr>
        <w:t>（1）价格部分是对服务价格构成的说明，竞争性磋商文件如没有特别说明的话，对每一项服务仅接受一个价格。</w:t>
      </w:r>
    </w:p>
    <w:p w14:paraId="179FA0E9">
      <w:pPr>
        <w:spacing w:line="400" w:lineRule="exact"/>
        <w:ind w:firstLine="480" w:firstLineChars="200"/>
        <w:rPr>
          <w:sz w:val="24"/>
          <w:szCs w:val="24"/>
        </w:rPr>
      </w:pPr>
      <w:r>
        <w:rPr>
          <w:rFonts w:hint="eastAsia"/>
          <w:sz w:val="24"/>
          <w:szCs w:val="24"/>
        </w:rPr>
        <w:t>（2）报价应包含与磋商项目有关的所用费用，以及技术资料、国家强制缴纳的各种社会保障资金，以及供应商认为需要的其他费用等。</w:t>
      </w:r>
    </w:p>
    <w:p w14:paraId="61ECCB4E">
      <w:pPr>
        <w:spacing w:line="400" w:lineRule="exact"/>
        <w:ind w:firstLine="480" w:firstLineChars="200"/>
        <w:rPr>
          <w:sz w:val="24"/>
          <w:szCs w:val="24"/>
        </w:rPr>
      </w:pPr>
      <w:r>
        <w:rPr>
          <w:rFonts w:hint="eastAsia"/>
          <w:sz w:val="24"/>
          <w:szCs w:val="24"/>
        </w:rPr>
        <w:t>（3）供应商应以表格形式详细说明服务的价格构成，以及价格构成各项因素的单价和总价。</w:t>
      </w:r>
    </w:p>
    <w:p w14:paraId="5440662C">
      <w:pPr>
        <w:spacing w:line="400" w:lineRule="exact"/>
        <w:ind w:firstLine="480" w:firstLineChars="200"/>
        <w:rPr>
          <w:sz w:val="24"/>
          <w:szCs w:val="24"/>
        </w:rPr>
      </w:pPr>
      <w:r>
        <w:rPr>
          <w:rFonts w:hint="eastAsia"/>
          <w:sz w:val="24"/>
          <w:szCs w:val="24"/>
        </w:rPr>
        <w:t xml:space="preserve">（4）供应商应充分考虑到市场价格变动，以及项目实施过程中的不可预见因素，一旦成交，总价格不变。如果有漏项，视同让利。 </w:t>
      </w:r>
    </w:p>
    <w:p w14:paraId="459C82F8">
      <w:pPr>
        <w:spacing w:line="400" w:lineRule="exact"/>
        <w:ind w:firstLine="480" w:firstLineChars="200"/>
        <w:rPr>
          <w:sz w:val="24"/>
          <w:szCs w:val="24"/>
        </w:rPr>
      </w:pPr>
      <w:r>
        <w:rPr>
          <w:rFonts w:hint="eastAsia"/>
          <w:sz w:val="24"/>
          <w:szCs w:val="24"/>
        </w:rPr>
        <w:t>（5）响应文件所报的投标价格不得超过磋商文件规定的预算价、限价，超过磋商文件规定的响应文件，按无效投标处理。</w:t>
      </w:r>
    </w:p>
    <w:p w14:paraId="20594DE5">
      <w:pPr>
        <w:spacing w:line="400" w:lineRule="exact"/>
        <w:ind w:firstLine="480" w:firstLineChars="200"/>
        <w:rPr>
          <w:sz w:val="24"/>
          <w:szCs w:val="24"/>
        </w:rPr>
      </w:pPr>
      <w:r>
        <w:rPr>
          <w:rFonts w:hint="eastAsia"/>
          <w:sz w:val="24"/>
          <w:szCs w:val="24"/>
        </w:rPr>
        <w:t>（6）经磋商后，如果成交价低于供应商在磋商响应文件报价的话，除特别注明外，分项报价同比例调整。</w:t>
      </w:r>
    </w:p>
    <w:p w14:paraId="1D0E0FF4">
      <w:pPr>
        <w:spacing w:line="400" w:lineRule="exact"/>
        <w:ind w:firstLine="480" w:firstLineChars="200"/>
        <w:rPr>
          <w:sz w:val="24"/>
          <w:szCs w:val="24"/>
        </w:rPr>
      </w:pPr>
      <w:r>
        <w:rPr>
          <w:rFonts w:hint="eastAsia"/>
          <w:sz w:val="24"/>
          <w:szCs w:val="24"/>
        </w:rPr>
        <w:t>5.7 磋商响应文件的其他部分。其他部分由供应商根据编制磋商响应文件需要提供的其他相关文件组成。</w:t>
      </w:r>
    </w:p>
    <w:p w14:paraId="3F86BB3D">
      <w:pPr>
        <w:spacing w:line="400" w:lineRule="exact"/>
        <w:ind w:firstLine="480" w:firstLineChars="200"/>
        <w:rPr>
          <w:sz w:val="24"/>
          <w:szCs w:val="24"/>
        </w:rPr>
      </w:pPr>
      <w:r>
        <w:rPr>
          <w:rFonts w:hint="eastAsia"/>
          <w:sz w:val="24"/>
          <w:szCs w:val="24"/>
        </w:rPr>
        <w:t>三、磋商响应文件的递交</w:t>
      </w:r>
    </w:p>
    <w:p w14:paraId="2EC9E475">
      <w:pPr>
        <w:spacing w:line="400" w:lineRule="exact"/>
        <w:ind w:firstLine="480" w:firstLineChars="200"/>
        <w:rPr>
          <w:sz w:val="24"/>
          <w:szCs w:val="24"/>
        </w:rPr>
      </w:pPr>
      <w:r>
        <w:rPr>
          <w:rFonts w:hint="eastAsia"/>
          <w:sz w:val="24"/>
          <w:szCs w:val="24"/>
        </w:rPr>
        <w:t>6.磋商响应文件的签署、密封和递交</w:t>
      </w:r>
    </w:p>
    <w:p w14:paraId="124E396B">
      <w:pPr>
        <w:spacing w:line="400" w:lineRule="exact"/>
        <w:ind w:firstLine="480" w:firstLineChars="200"/>
        <w:rPr>
          <w:b/>
          <w:bCs/>
          <w:sz w:val="24"/>
          <w:szCs w:val="24"/>
        </w:rPr>
      </w:pPr>
      <w:r>
        <w:rPr>
          <w:rFonts w:hint="eastAsia"/>
          <w:sz w:val="24"/>
          <w:szCs w:val="24"/>
        </w:rPr>
        <w:t xml:space="preserve">6.1 </w:t>
      </w:r>
      <w:r>
        <w:rPr>
          <w:rFonts w:hint="eastAsia"/>
          <w:b/>
          <w:bCs/>
          <w:sz w:val="24"/>
          <w:szCs w:val="24"/>
        </w:rPr>
        <w:t>磋商响应文件一正肆副，正本和所有副本均需打印或用不褪色墨水书写，在磋商文件中注明须加盖公章、签字的地方加盖公章，并由供应商的法定代表人或授权代表签字，如为授权代表签字的应附“法定代表人授权委托书”，正本必须为原件，但供应商的相关证明文件可采用复印件，采用复印件的，采购代理机构、磋商小组认为需要时，供应商应提供原件供核对。</w:t>
      </w:r>
    </w:p>
    <w:p w14:paraId="5DFD7A56">
      <w:pPr>
        <w:spacing w:line="400" w:lineRule="exact"/>
        <w:ind w:firstLine="480" w:firstLineChars="200"/>
        <w:rPr>
          <w:sz w:val="24"/>
          <w:szCs w:val="24"/>
        </w:rPr>
      </w:pPr>
      <w:r>
        <w:rPr>
          <w:rFonts w:hint="eastAsia"/>
          <w:sz w:val="24"/>
          <w:szCs w:val="24"/>
        </w:rPr>
        <w:t>6.2 磋商响应文件不应有涂改、增删之处，如必须修改时，修改处必须有供应商法定代表人或授权代表签字。</w:t>
      </w:r>
    </w:p>
    <w:p w14:paraId="604B257C">
      <w:pPr>
        <w:spacing w:line="400" w:lineRule="exact"/>
        <w:ind w:firstLine="480" w:firstLineChars="200"/>
        <w:rPr>
          <w:sz w:val="24"/>
          <w:szCs w:val="24"/>
        </w:rPr>
      </w:pPr>
      <w:r>
        <w:rPr>
          <w:rFonts w:hint="eastAsia"/>
          <w:sz w:val="24"/>
          <w:szCs w:val="24"/>
        </w:rPr>
        <w:t>6.3 供应商应当在竞争性磋商文件要求递交磋商响应文件的截止时间前，将磋商响应文件密封送达指定地点。</w:t>
      </w:r>
    </w:p>
    <w:p w14:paraId="3DE9E3A2">
      <w:pPr>
        <w:spacing w:line="400" w:lineRule="exact"/>
        <w:ind w:firstLine="480" w:firstLineChars="200"/>
        <w:rPr>
          <w:sz w:val="24"/>
          <w:szCs w:val="24"/>
        </w:rPr>
      </w:pPr>
      <w:r>
        <w:rPr>
          <w:rFonts w:hint="eastAsia"/>
          <w:sz w:val="24"/>
          <w:szCs w:val="24"/>
        </w:rPr>
        <w:t>6.4 有下列情形之一的响应文件将拒收：</w:t>
      </w:r>
    </w:p>
    <w:p w14:paraId="50CE92AB">
      <w:pPr>
        <w:spacing w:line="400" w:lineRule="exact"/>
        <w:ind w:firstLine="480" w:firstLineChars="200"/>
        <w:rPr>
          <w:sz w:val="24"/>
          <w:szCs w:val="24"/>
        </w:rPr>
      </w:pPr>
      <w:r>
        <w:rPr>
          <w:rFonts w:hint="eastAsia"/>
          <w:sz w:val="24"/>
          <w:szCs w:val="24"/>
        </w:rPr>
        <w:t>（1）未按竞争性磋商文件要求密封的；</w:t>
      </w:r>
    </w:p>
    <w:p w14:paraId="1FDD9BA4">
      <w:pPr>
        <w:spacing w:line="400" w:lineRule="exact"/>
        <w:ind w:firstLine="480" w:firstLineChars="200"/>
        <w:rPr>
          <w:sz w:val="24"/>
          <w:szCs w:val="24"/>
        </w:rPr>
      </w:pPr>
      <w:r>
        <w:rPr>
          <w:rFonts w:hint="eastAsia"/>
          <w:sz w:val="24"/>
          <w:szCs w:val="24"/>
        </w:rPr>
        <w:t>（2）在竞争性磋商文件要求的递交响应文件截止时间之后送达的。</w:t>
      </w:r>
    </w:p>
    <w:p w14:paraId="13A89D2D">
      <w:pPr>
        <w:spacing w:line="400" w:lineRule="exact"/>
        <w:ind w:firstLine="480" w:firstLineChars="200"/>
        <w:rPr>
          <w:sz w:val="24"/>
          <w:szCs w:val="24"/>
        </w:rPr>
      </w:pPr>
      <w:r>
        <w:rPr>
          <w:rFonts w:hint="eastAsia"/>
          <w:sz w:val="24"/>
          <w:szCs w:val="24"/>
        </w:rPr>
        <w:t>7.诚实信用</w:t>
      </w:r>
    </w:p>
    <w:p w14:paraId="46A27C79">
      <w:pPr>
        <w:spacing w:line="400" w:lineRule="exact"/>
        <w:ind w:firstLine="480" w:firstLineChars="200"/>
        <w:rPr>
          <w:sz w:val="24"/>
          <w:szCs w:val="24"/>
        </w:rPr>
      </w:pPr>
      <w:r>
        <w:rPr>
          <w:rFonts w:hint="eastAsia"/>
          <w:sz w:val="24"/>
          <w:szCs w:val="24"/>
        </w:rPr>
        <w:t>7.1 供应商之间不得相互串通报价，不得妨碍其他供应商的公平竞争，不得损害采购人或者其他供应商的合法权益。</w:t>
      </w:r>
    </w:p>
    <w:p w14:paraId="628DFF7A">
      <w:pPr>
        <w:spacing w:line="400" w:lineRule="exact"/>
        <w:ind w:firstLine="480" w:firstLineChars="200"/>
        <w:rPr>
          <w:sz w:val="24"/>
          <w:szCs w:val="24"/>
        </w:rPr>
      </w:pPr>
      <w:r>
        <w:rPr>
          <w:rFonts w:hint="eastAsia"/>
          <w:sz w:val="24"/>
          <w:szCs w:val="24"/>
        </w:rPr>
        <w:t>7.2 供应商不得以向采购代理机构工作人员、磋商小组成员行贿或者采取其他不正当手段谋取成交。</w:t>
      </w:r>
    </w:p>
    <w:p w14:paraId="7C8EDD22">
      <w:pPr>
        <w:spacing w:line="400" w:lineRule="exact"/>
        <w:ind w:firstLine="480" w:firstLineChars="200"/>
        <w:rPr>
          <w:sz w:val="24"/>
          <w:szCs w:val="24"/>
        </w:rPr>
      </w:pPr>
      <w:r>
        <w:rPr>
          <w:rFonts w:hint="eastAsia"/>
          <w:sz w:val="24"/>
          <w:szCs w:val="24"/>
        </w:rPr>
        <w:t>四、磋商</w:t>
      </w:r>
    </w:p>
    <w:p w14:paraId="0FC65E2F">
      <w:pPr>
        <w:spacing w:line="400" w:lineRule="exact"/>
        <w:ind w:firstLine="480" w:firstLineChars="200"/>
        <w:rPr>
          <w:sz w:val="24"/>
          <w:szCs w:val="24"/>
        </w:rPr>
      </w:pPr>
      <w:r>
        <w:rPr>
          <w:rFonts w:hint="eastAsia"/>
          <w:sz w:val="24"/>
          <w:szCs w:val="24"/>
        </w:rPr>
        <w:t>8.磋商组织</w:t>
      </w:r>
    </w:p>
    <w:p w14:paraId="4817FC3A">
      <w:pPr>
        <w:spacing w:line="400" w:lineRule="exact"/>
        <w:ind w:firstLine="480" w:firstLineChars="200"/>
        <w:rPr>
          <w:sz w:val="24"/>
          <w:szCs w:val="24"/>
        </w:rPr>
      </w:pPr>
      <w:r>
        <w:rPr>
          <w:rFonts w:hint="eastAsia"/>
          <w:sz w:val="24"/>
          <w:szCs w:val="24"/>
        </w:rPr>
        <w:t>8.1 在递交磋商响应文件时间截止后，采购代理机构在规定的时间和地点组织磋商小组分别与供应商进行磋商。</w:t>
      </w:r>
    </w:p>
    <w:p w14:paraId="5B341E07">
      <w:pPr>
        <w:spacing w:line="400" w:lineRule="exact"/>
        <w:ind w:firstLine="480" w:firstLineChars="200"/>
        <w:rPr>
          <w:sz w:val="24"/>
          <w:szCs w:val="24"/>
        </w:rPr>
      </w:pPr>
      <w:r>
        <w:rPr>
          <w:rFonts w:hint="eastAsia"/>
          <w:sz w:val="24"/>
          <w:szCs w:val="24"/>
        </w:rPr>
        <w:t>8.2 磋商工作由采购代理机构负责组织，具体磋商事务由依法组建的磋商小组负责。</w:t>
      </w:r>
    </w:p>
    <w:p w14:paraId="7970CE07">
      <w:pPr>
        <w:spacing w:line="400" w:lineRule="exact"/>
        <w:ind w:firstLine="480" w:firstLineChars="200"/>
        <w:rPr>
          <w:sz w:val="24"/>
          <w:szCs w:val="24"/>
        </w:rPr>
      </w:pPr>
      <w:r>
        <w:rPr>
          <w:rFonts w:hint="eastAsia"/>
          <w:sz w:val="24"/>
          <w:szCs w:val="24"/>
        </w:rPr>
        <w:t>9.磋商程序</w:t>
      </w:r>
    </w:p>
    <w:p w14:paraId="779CDA6D">
      <w:pPr>
        <w:spacing w:line="400" w:lineRule="exact"/>
        <w:ind w:firstLine="480" w:firstLineChars="200"/>
        <w:rPr>
          <w:sz w:val="24"/>
          <w:szCs w:val="24"/>
        </w:rPr>
      </w:pPr>
      <w:r>
        <w:rPr>
          <w:rFonts w:hint="eastAsia"/>
          <w:sz w:val="24"/>
          <w:szCs w:val="24"/>
        </w:rPr>
        <w:t>9.1 磋商小组审阅供应商所递交的响应文件，凡不具备资格条件的供应商不得进入磋商程序。</w:t>
      </w:r>
    </w:p>
    <w:p w14:paraId="5774796A">
      <w:pPr>
        <w:spacing w:line="400" w:lineRule="exact"/>
        <w:ind w:firstLine="480" w:firstLineChars="200"/>
        <w:rPr>
          <w:sz w:val="24"/>
          <w:szCs w:val="24"/>
        </w:rPr>
      </w:pPr>
      <w:r>
        <w:rPr>
          <w:rFonts w:hint="eastAsia"/>
          <w:sz w:val="24"/>
          <w:szCs w:val="24"/>
        </w:rPr>
        <w:t>9.2 磋商小组所有成员集中与单一供应商分别就竞争性磋商采购项目的技术、商务和价格进行磋商。</w:t>
      </w:r>
    </w:p>
    <w:p w14:paraId="2A62AE0D">
      <w:pPr>
        <w:spacing w:line="400" w:lineRule="exact"/>
        <w:ind w:firstLine="480" w:firstLineChars="200"/>
        <w:rPr>
          <w:sz w:val="24"/>
          <w:szCs w:val="24"/>
        </w:rPr>
      </w:pPr>
      <w:r>
        <w:rPr>
          <w:rFonts w:hint="eastAsia"/>
          <w:sz w:val="24"/>
          <w:szCs w:val="24"/>
        </w:rPr>
        <w:t>9.3 磋商过程中，磋商小组可以根据磋商文件和磋商情况可能实质性变动采购需求中的技术、服务要求以及合同草案条款，但不得变动磋商文件中的其他内容。实质性变动的内容，须经采购人代表确认。</w:t>
      </w:r>
    </w:p>
    <w:p w14:paraId="26BBFAB2">
      <w:pPr>
        <w:spacing w:line="400" w:lineRule="exact"/>
        <w:ind w:firstLine="480" w:firstLineChars="200"/>
        <w:rPr>
          <w:sz w:val="24"/>
          <w:szCs w:val="24"/>
        </w:rPr>
      </w:pPr>
      <w:r>
        <w:rPr>
          <w:rFonts w:hint="eastAsia"/>
          <w:sz w:val="24"/>
          <w:szCs w:val="24"/>
        </w:rPr>
        <w:t>对磋商文件做出的实质性变动是磋商文件的有效组成部分，磋商小组应当及时以书面形式同时通知所有参加磋商的供应商。</w:t>
      </w:r>
    </w:p>
    <w:p w14:paraId="148D4D91">
      <w:pPr>
        <w:spacing w:line="400" w:lineRule="exact"/>
        <w:ind w:firstLine="480" w:firstLineChars="200"/>
        <w:rPr>
          <w:sz w:val="24"/>
          <w:szCs w:val="24"/>
        </w:rPr>
      </w:pPr>
      <w:r>
        <w:rPr>
          <w:rFonts w:hint="eastAsia"/>
          <w:sz w:val="24"/>
          <w:szCs w:val="24"/>
        </w:rPr>
        <w:t>9.4 如磋商文件有实质性变动的，供应商应当按照磋商文件的变动情况和磋商小组的要求提交响应（或补充）文件，应由其法定代表人或授权代表签字或者加盖公章。</w:t>
      </w:r>
    </w:p>
    <w:p w14:paraId="0BE5716C">
      <w:pPr>
        <w:spacing w:line="400" w:lineRule="exact"/>
        <w:ind w:firstLine="480" w:firstLineChars="200"/>
        <w:rPr>
          <w:sz w:val="24"/>
          <w:szCs w:val="24"/>
        </w:rPr>
      </w:pPr>
      <w:r>
        <w:rPr>
          <w:rFonts w:hint="eastAsia"/>
          <w:sz w:val="24"/>
          <w:szCs w:val="24"/>
        </w:rPr>
        <w:t>9.5 磋商结束后，磋商小组将要求所有实质性响应的供应商在规定时间内提交最后报价。最后报价由其法定代表人或授权代表签字或者加盖公章，最后报价是供应商响应文件的有效组成部分。</w:t>
      </w:r>
    </w:p>
    <w:p w14:paraId="7C3CE31E">
      <w:pPr>
        <w:spacing w:line="400" w:lineRule="exact"/>
        <w:ind w:firstLine="480" w:firstLineChars="200"/>
        <w:rPr>
          <w:sz w:val="24"/>
          <w:szCs w:val="24"/>
        </w:rPr>
      </w:pPr>
      <w:r>
        <w:rPr>
          <w:rFonts w:hint="eastAsia"/>
          <w:sz w:val="24"/>
          <w:szCs w:val="24"/>
        </w:rPr>
        <w:t>9.6 出现下列情形之一的响应文件按照无效处理：</w:t>
      </w:r>
    </w:p>
    <w:p w14:paraId="46E20084">
      <w:pPr>
        <w:spacing w:line="400" w:lineRule="exact"/>
        <w:ind w:firstLine="480" w:firstLineChars="200"/>
        <w:rPr>
          <w:sz w:val="24"/>
          <w:szCs w:val="24"/>
        </w:rPr>
      </w:pPr>
      <w:r>
        <w:rPr>
          <w:rFonts w:hint="eastAsia"/>
          <w:sz w:val="24"/>
          <w:szCs w:val="24"/>
        </w:rPr>
        <w:t xml:space="preserve">（1）不满足“第一章竞争性磋商公告3中供应商应具备下列资格条件”的规定的； </w:t>
      </w:r>
    </w:p>
    <w:p w14:paraId="673AA34A">
      <w:pPr>
        <w:spacing w:line="400" w:lineRule="exact"/>
        <w:ind w:firstLine="480" w:firstLineChars="200"/>
        <w:rPr>
          <w:sz w:val="24"/>
          <w:szCs w:val="24"/>
        </w:rPr>
      </w:pPr>
      <w:r>
        <w:rPr>
          <w:rFonts w:hint="eastAsia"/>
          <w:sz w:val="24"/>
          <w:szCs w:val="24"/>
        </w:rPr>
        <w:t xml:space="preserve">（2）未实质性响应采购文件要求的；(实质性要求是指本竞争性磋商文件中用带星号（“*”）、“须（必须）”或“应（应当）”等其他文字说明的商务和技术要求。) </w:t>
      </w:r>
    </w:p>
    <w:p w14:paraId="4F9737D5">
      <w:pPr>
        <w:spacing w:line="400" w:lineRule="exact"/>
        <w:ind w:firstLine="480" w:firstLineChars="200"/>
        <w:rPr>
          <w:sz w:val="24"/>
          <w:szCs w:val="24"/>
        </w:rPr>
      </w:pPr>
      <w:r>
        <w:rPr>
          <w:rFonts w:hint="eastAsia"/>
          <w:sz w:val="24"/>
          <w:szCs w:val="24"/>
        </w:rPr>
        <w:t>（3）不符合法律、法规和磋商文件规定的其他实质性要求的。</w:t>
      </w:r>
    </w:p>
    <w:p w14:paraId="7745BA12">
      <w:pPr>
        <w:spacing w:line="400" w:lineRule="exact"/>
        <w:ind w:firstLine="480" w:firstLineChars="200"/>
        <w:rPr>
          <w:sz w:val="24"/>
          <w:szCs w:val="24"/>
        </w:rPr>
      </w:pPr>
      <w:r>
        <w:rPr>
          <w:rFonts w:hint="eastAsia"/>
          <w:sz w:val="24"/>
          <w:szCs w:val="24"/>
        </w:rPr>
        <w:t xml:space="preserve">9.7 出现下列情形之一的磋商终止： </w:t>
      </w:r>
    </w:p>
    <w:p w14:paraId="4900409F">
      <w:pPr>
        <w:spacing w:line="400" w:lineRule="exact"/>
        <w:ind w:firstLine="480" w:firstLineChars="200"/>
        <w:rPr>
          <w:sz w:val="24"/>
          <w:szCs w:val="24"/>
        </w:rPr>
      </w:pPr>
      <w:r>
        <w:rPr>
          <w:rFonts w:hint="eastAsia"/>
          <w:sz w:val="24"/>
          <w:szCs w:val="24"/>
        </w:rPr>
        <w:t>（1）因情况变化，不再符合规定的竞争性磋商采购方式适用情形的；</w:t>
      </w:r>
    </w:p>
    <w:p w14:paraId="29BBE5CF">
      <w:pPr>
        <w:spacing w:line="400" w:lineRule="exact"/>
        <w:ind w:firstLine="480" w:firstLineChars="200"/>
        <w:rPr>
          <w:sz w:val="24"/>
          <w:szCs w:val="24"/>
        </w:rPr>
      </w:pPr>
      <w:r>
        <w:rPr>
          <w:rFonts w:hint="eastAsia"/>
          <w:sz w:val="24"/>
          <w:szCs w:val="24"/>
        </w:rPr>
        <w:t xml:space="preserve">（2）出现影响采购公正的违法、违规行为的； </w:t>
      </w:r>
    </w:p>
    <w:p w14:paraId="286C0C12">
      <w:pPr>
        <w:spacing w:line="400" w:lineRule="exact"/>
        <w:ind w:firstLine="480" w:firstLineChars="200"/>
        <w:rPr>
          <w:sz w:val="24"/>
          <w:szCs w:val="24"/>
        </w:rPr>
      </w:pPr>
      <w:r>
        <w:rPr>
          <w:rFonts w:hint="eastAsia"/>
          <w:sz w:val="24"/>
          <w:szCs w:val="24"/>
        </w:rPr>
        <w:t xml:space="preserve">（3）除市场竞争不充分的科研项目，以及需要扶持的科技成果转化项目外，在采购过程中符合要求的供应商或者报价未超过采购预算的供应商不足2家的。 </w:t>
      </w:r>
    </w:p>
    <w:p w14:paraId="5417C828">
      <w:pPr>
        <w:spacing w:line="400" w:lineRule="exact"/>
        <w:ind w:firstLine="480" w:firstLineChars="200"/>
        <w:rPr>
          <w:sz w:val="24"/>
          <w:szCs w:val="24"/>
        </w:rPr>
      </w:pPr>
      <w:r>
        <w:rPr>
          <w:rFonts w:hint="eastAsia"/>
          <w:sz w:val="24"/>
          <w:szCs w:val="24"/>
        </w:rPr>
        <w:t xml:space="preserve">9.8 磋商有效期为90天，从提交磋商响应文件的截止之日起算。磋商响应文件中承诺的磋商有效期应当不少于竞争性磋商文件中载明的磋商有效期。 </w:t>
      </w:r>
    </w:p>
    <w:p w14:paraId="2F669A86">
      <w:pPr>
        <w:spacing w:line="400" w:lineRule="exact"/>
        <w:ind w:firstLine="480" w:firstLineChars="200"/>
        <w:rPr>
          <w:sz w:val="24"/>
          <w:szCs w:val="24"/>
        </w:rPr>
      </w:pPr>
      <w:r>
        <w:rPr>
          <w:rFonts w:hint="eastAsia"/>
          <w:sz w:val="24"/>
          <w:szCs w:val="24"/>
        </w:rPr>
        <w:t xml:space="preserve">10.评分方法和标准 </w:t>
      </w:r>
    </w:p>
    <w:p w14:paraId="0E42C10D">
      <w:pPr>
        <w:spacing w:line="400" w:lineRule="exact"/>
        <w:ind w:firstLine="480" w:firstLineChars="200"/>
        <w:rPr>
          <w:sz w:val="24"/>
          <w:szCs w:val="24"/>
        </w:rPr>
      </w:pPr>
      <w:r>
        <w:rPr>
          <w:rFonts w:hint="eastAsia"/>
          <w:sz w:val="24"/>
          <w:szCs w:val="24"/>
        </w:rPr>
        <w:t>10.1 采用综合评分法。即在最大限度地满足磋商文件实质性要求前提下，按照磋商文件中规定的各项因素进行综合评审后，以评审总得分最高的供应商作为成交候选供应商或者成交供应商的评分方法。</w:t>
      </w:r>
    </w:p>
    <w:p w14:paraId="31F4D64E">
      <w:pPr>
        <w:spacing w:line="400" w:lineRule="exact"/>
        <w:ind w:firstLine="480" w:firstLineChars="200"/>
        <w:rPr>
          <w:sz w:val="24"/>
          <w:szCs w:val="24"/>
        </w:rPr>
      </w:pPr>
      <w:r>
        <w:rPr>
          <w:rFonts w:hint="eastAsia"/>
          <w:sz w:val="24"/>
          <w:szCs w:val="24"/>
        </w:rPr>
        <w:t xml:space="preserve">10.2 综合评分的主要因素是：价格、业绩、响应性、服务等。 </w:t>
      </w:r>
    </w:p>
    <w:p w14:paraId="18CE4C39">
      <w:pPr>
        <w:spacing w:line="400" w:lineRule="exact"/>
        <w:ind w:firstLine="480" w:firstLineChars="200"/>
        <w:rPr>
          <w:sz w:val="24"/>
          <w:szCs w:val="24"/>
        </w:rPr>
      </w:pPr>
      <w:r>
        <w:rPr>
          <w:rFonts w:hint="eastAsia"/>
          <w:sz w:val="24"/>
          <w:szCs w:val="24"/>
        </w:rPr>
        <w:t>10.3 评分标准详见第三章。</w:t>
      </w:r>
    </w:p>
    <w:p w14:paraId="3D4EF109">
      <w:pPr>
        <w:spacing w:line="400" w:lineRule="exact"/>
        <w:ind w:firstLine="480" w:firstLineChars="200"/>
        <w:rPr>
          <w:sz w:val="24"/>
          <w:szCs w:val="24"/>
        </w:rPr>
      </w:pPr>
      <w:r>
        <w:rPr>
          <w:rFonts w:hint="eastAsia"/>
          <w:sz w:val="24"/>
          <w:szCs w:val="24"/>
        </w:rPr>
        <w:t>11.确定成交供应商</w:t>
      </w:r>
    </w:p>
    <w:p w14:paraId="1881C74E">
      <w:pPr>
        <w:spacing w:line="400" w:lineRule="exact"/>
        <w:ind w:firstLine="480" w:firstLineChars="200"/>
        <w:rPr>
          <w:sz w:val="24"/>
          <w:szCs w:val="24"/>
        </w:rPr>
      </w:pPr>
      <w:r>
        <w:rPr>
          <w:rFonts w:hint="eastAsia"/>
          <w:sz w:val="24"/>
          <w:szCs w:val="24"/>
        </w:rPr>
        <w:t xml:space="preserve">11.1 综合比较与评价后按照得分高低顺序对供应商进行排列。评审得分相同的，按照最后报价由低到高顺序排列。评审得分且最后报价相同的，按技术指标优劣顺序排列。评标委员会将综合排名第一的供应商确定为中标供应商。 </w:t>
      </w:r>
    </w:p>
    <w:p w14:paraId="45C7B76E">
      <w:pPr>
        <w:spacing w:line="400" w:lineRule="exact"/>
        <w:ind w:firstLine="480" w:firstLineChars="200"/>
        <w:rPr>
          <w:sz w:val="24"/>
          <w:szCs w:val="24"/>
        </w:rPr>
      </w:pPr>
      <w:r>
        <w:rPr>
          <w:rFonts w:hint="eastAsia"/>
          <w:sz w:val="24"/>
          <w:szCs w:val="24"/>
        </w:rPr>
        <w:t xml:space="preserve">11.2 成交供应商确定后，采购人或者采购代理机构将在省级以上财政部门指定的政府采购信息发布媒体上公告成交结果，同时向成交供应商发出成交通知书。 </w:t>
      </w:r>
    </w:p>
    <w:p w14:paraId="19D4C45D">
      <w:pPr>
        <w:spacing w:line="400" w:lineRule="exact"/>
        <w:ind w:firstLine="480" w:firstLineChars="200"/>
        <w:rPr>
          <w:sz w:val="24"/>
          <w:szCs w:val="24"/>
        </w:rPr>
      </w:pPr>
      <w:r>
        <w:rPr>
          <w:rFonts w:hint="eastAsia"/>
          <w:sz w:val="24"/>
          <w:szCs w:val="24"/>
        </w:rPr>
        <w:t xml:space="preserve">11.3 成交通知书对采购人和成交供应商具有同等法律效力。 </w:t>
      </w:r>
    </w:p>
    <w:p w14:paraId="127DEF9E">
      <w:pPr>
        <w:spacing w:line="400" w:lineRule="exact"/>
        <w:ind w:firstLine="480" w:firstLineChars="200"/>
        <w:rPr>
          <w:sz w:val="24"/>
          <w:szCs w:val="24"/>
        </w:rPr>
      </w:pPr>
      <w:r>
        <w:rPr>
          <w:rFonts w:hint="eastAsia"/>
          <w:sz w:val="24"/>
          <w:szCs w:val="24"/>
        </w:rPr>
        <w:t xml:space="preserve">11.4 成交通知书发出后，采购人或成交供应商拒绝签订合同的，拒绝签订合同的一方应向另一方支付为磋商所发生的有关费用和双方商定的其他补偿，并承担相应的法律责任。 </w:t>
      </w:r>
    </w:p>
    <w:p w14:paraId="045E2CFC">
      <w:pPr>
        <w:spacing w:line="400" w:lineRule="exact"/>
        <w:ind w:firstLine="480" w:firstLineChars="200"/>
        <w:rPr>
          <w:sz w:val="24"/>
          <w:szCs w:val="24"/>
        </w:rPr>
      </w:pPr>
      <w:r>
        <w:rPr>
          <w:rFonts w:hint="eastAsia"/>
          <w:sz w:val="24"/>
          <w:szCs w:val="24"/>
        </w:rPr>
        <w:t xml:space="preserve">11.5 成交通知书发出后，成交供应商除发生法律规定的不能预见、不能避免并不能克服的客观情况外不得放弃或拒绝签订合同的。放弃或拒绝签订合同的，情节严重的提请财政部门将其列入不良行为名单，在一至三年内不得参加政府采购活动，并予以通报。 </w:t>
      </w:r>
    </w:p>
    <w:p w14:paraId="2BF075F2">
      <w:pPr>
        <w:spacing w:line="400" w:lineRule="exact"/>
        <w:ind w:firstLine="480" w:firstLineChars="200"/>
        <w:rPr>
          <w:sz w:val="24"/>
          <w:szCs w:val="24"/>
        </w:rPr>
      </w:pPr>
      <w:r>
        <w:rPr>
          <w:rFonts w:hint="eastAsia"/>
          <w:sz w:val="24"/>
          <w:szCs w:val="24"/>
        </w:rPr>
        <w:t xml:space="preserve">11.6 采购代理机构对未成交的供应商不作未成交原因的解释。 </w:t>
      </w:r>
    </w:p>
    <w:p w14:paraId="42E999CF">
      <w:pPr>
        <w:spacing w:line="400" w:lineRule="exact"/>
        <w:ind w:firstLine="480" w:firstLineChars="200"/>
        <w:rPr>
          <w:sz w:val="24"/>
          <w:szCs w:val="24"/>
        </w:rPr>
      </w:pPr>
      <w:r>
        <w:rPr>
          <w:rFonts w:hint="eastAsia"/>
          <w:sz w:val="24"/>
          <w:szCs w:val="24"/>
        </w:rPr>
        <w:t>11.7 所有响应文件不论成交与否，采购代理机构均不退回。</w:t>
      </w:r>
    </w:p>
    <w:p w14:paraId="16BE6C53">
      <w:pPr>
        <w:spacing w:line="400" w:lineRule="exact"/>
        <w:ind w:firstLine="480" w:firstLineChars="200"/>
        <w:rPr>
          <w:sz w:val="24"/>
          <w:szCs w:val="24"/>
        </w:rPr>
      </w:pPr>
      <w:r>
        <w:rPr>
          <w:rFonts w:hint="eastAsia"/>
          <w:sz w:val="24"/>
          <w:szCs w:val="24"/>
        </w:rPr>
        <w:t xml:space="preserve">12.编写磋商（评审）报告 </w:t>
      </w:r>
    </w:p>
    <w:p w14:paraId="224E62A1">
      <w:pPr>
        <w:spacing w:line="400" w:lineRule="exact"/>
        <w:ind w:firstLine="480" w:firstLineChars="200"/>
        <w:rPr>
          <w:sz w:val="24"/>
          <w:szCs w:val="24"/>
        </w:rPr>
      </w:pPr>
      <w:r>
        <w:rPr>
          <w:rFonts w:hint="eastAsia"/>
          <w:sz w:val="24"/>
          <w:szCs w:val="24"/>
        </w:rPr>
        <w:t xml:space="preserve">12.1 磋商小组根据磋商过程和结果编写磋商（评审）报告。 </w:t>
      </w:r>
    </w:p>
    <w:p w14:paraId="342A6FFD">
      <w:pPr>
        <w:spacing w:line="400" w:lineRule="exact"/>
        <w:ind w:firstLine="480" w:firstLineChars="200"/>
        <w:rPr>
          <w:sz w:val="24"/>
          <w:szCs w:val="24"/>
        </w:rPr>
      </w:pPr>
      <w:r>
        <w:rPr>
          <w:rFonts w:hint="eastAsia"/>
          <w:sz w:val="24"/>
          <w:szCs w:val="24"/>
        </w:rPr>
        <w:t xml:space="preserve">13.签订合同 </w:t>
      </w:r>
    </w:p>
    <w:p w14:paraId="5B170AE9">
      <w:pPr>
        <w:spacing w:line="400" w:lineRule="exact"/>
        <w:ind w:firstLine="480" w:firstLineChars="200"/>
        <w:rPr>
          <w:sz w:val="24"/>
          <w:szCs w:val="24"/>
        </w:rPr>
      </w:pPr>
      <w:r>
        <w:rPr>
          <w:rFonts w:hint="eastAsia"/>
          <w:sz w:val="24"/>
          <w:szCs w:val="24"/>
        </w:rPr>
        <w:t>13.1 成交供应商应当自成交通知书发出之日起三十日内，与采购人签订合同，所签订的合同不得对竞争性磋商文件和响应文件作实质性修改。</w:t>
      </w:r>
    </w:p>
    <w:p w14:paraId="1E0A69DC">
      <w:pPr>
        <w:spacing w:line="400" w:lineRule="exact"/>
        <w:ind w:firstLine="480" w:firstLineChars="200"/>
        <w:rPr>
          <w:sz w:val="24"/>
          <w:szCs w:val="24"/>
        </w:rPr>
      </w:pPr>
      <w:r>
        <w:rPr>
          <w:rFonts w:hint="eastAsia"/>
          <w:sz w:val="24"/>
          <w:szCs w:val="24"/>
        </w:rPr>
        <w:t xml:space="preserve">13.2 采购人不得向成交供应商提出任何不合理的要求作为签订合同的条件，不得与成交供应商私下订立背离合同实质性内容的协议。 </w:t>
      </w:r>
    </w:p>
    <w:p w14:paraId="108BCEE7">
      <w:pPr>
        <w:spacing w:line="400" w:lineRule="exact"/>
        <w:ind w:firstLine="480" w:firstLineChars="200"/>
        <w:rPr>
          <w:sz w:val="24"/>
          <w:szCs w:val="24"/>
        </w:rPr>
      </w:pPr>
      <w:r>
        <w:rPr>
          <w:rFonts w:hint="eastAsia"/>
          <w:sz w:val="24"/>
          <w:szCs w:val="24"/>
        </w:rPr>
        <w:t xml:space="preserve">13.3 成交供应商因不可抗力或者自身原因不能履行合同的，采购人可以视情与排位在成交供应商之后第一位的成交候选供应商签订合同，以此类推。 </w:t>
      </w:r>
    </w:p>
    <w:p w14:paraId="5E8D2D50">
      <w:pPr>
        <w:spacing w:line="400" w:lineRule="exact"/>
        <w:ind w:firstLine="480" w:firstLineChars="200"/>
        <w:rPr>
          <w:sz w:val="24"/>
          <w:szCs w:val="24"/>
        </w:rPr>
      </w:pPr>
      <w:r>
        <w:rPr>
          <w:rFonts w:hint="eastAsia"/>
          <w:sz w:val="24"/>
          <w:szCs w:val="24"/>
        </w:rPr>
        <w:t xml:space="preserve">13.4 合同履行中，采购人需追加与合同标的相同的货物的，在不改变合同其他条款的前提下，可以与供应商协商签订补充合同，但所有补充合同的采购金额不得超过原合同采购金额的百分之十。 </w:t>
      </w:r>
    </w:p>
    <w:p w14:paraId="69103525">
      <w:pPr>
        <w:spacing w:line="400" w:lineRule="exact"/>
        <w:ind w:firstLine="480" w:firstLineChars="200"/>
        <w:rPr>
          <w:sz w:val="24"/>
          <w:szCs w:val="24"/>
        </w:rPr>
      </w:pPr>
      <w:r>
        <w:rPr>
          <w:rFonts w:hint="eastAsia"/>
          <w:sz w:val="24"/>
          <w:szCs w:val="24"/>
        </w:rPr>
        <w:t>五、质疑与投诉</w:t>
      </w:r>
    </w:p>
    <w:p w14:paraId="2DD3B98A">
      <w:pPr>
        <w:spacing w:line="400" w:lineRule="exact"/>
        <w:ind w:firstLine="480" w:firstLineChars="200"/>
        <w:rPr>
          <w:sz w:val="24"/>
          <w:szCs w:val="24"/>
        </w:rPr>
      </w:pPr>
      <w:r>
        <w:rPr>
          <w:rFonts w:hint="eastAsia"/>
          <w:sz w:val="24"/>
          <w:szCs w:val="24"/>
        </w:rPr>
        <w:t xml:space="preserve">14.质疑 </w:t>
      </w:r>
    </w:p>
    <w:p w14:paraId="2E81A898">
      <w:pPr>
        <w:spacing w:line="400" w:lineRule="exact"/>
        <w:ind w:firstLine="480" w:firstLineChars="200"/>
        <w:rPr>
          <w:sz w:val="24"/>
          <w:szCs w:val="24"/>
        </w:rPr>
      </w:pPr>
      <w:bookmarkStart w:id="64" w:name="_Hlk33002342"/>
      <w:r>
        <w:rPr>
          <w:rFonts w:hint="eastAsia"/>
          <w:sz w:val="24"/>
          <w:szCs w:val="24"/>
        </w:rPr>
        <w:t xml:space="preserve">14.1 供应商认为磋商文件、磋商过程和中标、成交结果使自己的权益受到损害的，可以在知道或者应知其权益受到损害之日起七个工作日内，以书面形式向采购代理机构提出质疑。 </w:t>
      </w:r>
    </w:p>
    <w:p w14:paraId="3F2D914E">
      <w:pPr>
        <w:spacing w:line="400" w:lineRule="exact"/>
        <w:ind w:firstLine="480" w:firstLineChars="200"/>
        <w:rPr>
          <w:sz w:val="24"/>
          <w:szCs w:val="24"/>
        </w:rPr>
      </w:pPr>
      <w:r>
        <w:rPr>
          <w:rFonts w:hint="eastAsia"/>
          <w:sz w:val="24"/>
          <w:szCs w:val="24"/>
        </w:rPr>
        <w:t xml:space="preserve">14.2 供应商应知其权益受到损害之日，是指：对可以质疑的采购文件提出质疑的，为收到采购文件之日或者采购文件公告期限届满之日；对采购过程提出质疑的，为各采购程序环节结束之日；对中标或者成交结果提出质疑的，为中标或者成交结果公告期限届满之日。 </w:t>
      </w:r>
    </w:p>
    <w:p w14:paraId="522C3F1E">
      <w:pPr>
        <w:spacing w:line="400" w:lineRule="exact"/>
        <w:ind w:firstLine="480" w:firstLineChars="200"/>
        <w:rPr>
          <w:sz w:val="24"/>
          <w:szCs w:val="24"/>
        </w:rPr>
      </w:pPr>
      <w:r>
        <w:rPr>
          <w:rFonts w:hint="eastAsia"/>
          <w:sz w:val="24"/>
          <w:szCs w:val="24"/>
        </w:rPr>
        <w:t xml:space="preserve">14.3 提出质疑的供应商应当是参与所质疑项目采购活动的供应商。潜在供应商已依法获取其可质疑的采购文件的，可以对该文件提出质疑。 </w:t>
      </w:r>
    </w:p>
    <w:p w14:paraId="067E3D51">
      <w:pPr>
        <w:spacing w:line="400" w:lineRule="exact"/>
        <w:ind w:firstLine="480" w:firstLineChars="200"/>
        <w:rPr>
          <w:sz w:val="24"/>
          <w:szCs w:val="24"/>
        </w:rPr>
      </w:pPr>
      <w:r>
        <w:rPr>
          <w:rFonts w:hint="eastAsia"/>
          <w:sz w:val="24"/>
          <w:szCs w:val="24"/>
        </w:rPr>
        <w:t xml:space="preserve">14.4 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代理人提出质疑和投诉，应当提交供应商签署的授权委托书。 </w:t>
      </w:r>
    </w:p>
    <w:p w14:paraId="3402F09E">
      <w:pPr>
        <w:spacing w:line="400" w:lineRule="exact"/>
        <w:ind w:firstLine="480" w:firstLineChars="200"/>
        <w:rPr>
          <w:sz w:val="24"/>
          <w:szCs w:val="24"/>
        </w:rPr>
      </w:pPr>
      <w:r>
        <w:rPr>
          <w:rFonts w:hint="eastAsia"/>
          <w:sz w:val="24"/>
          <w:szCs w:val="24"/>
        </w:rPr>
        <w:t xml:space="preserve">14.5 以联合体形式参加政府采购活动的，其投诉应当由组成联合体的所有供应商共同提出。 </w:t>
      </w:r>
    </w:p>
    <w:p w14:paraId="6FD5ACF8">
      <w:pPr>
        <w:spacing w:line="400" w:lineRule="exact"/>
        <w:ind w:firstLine="480" w:firstLineChars="200"/>
        <w:rPr>
          <w:sz w:val="24"/>
          <w:szCs w:val="24"/>
        </w:rPr>
      </w:pPr>
      <w:r>
        <w:rPr>
          <w:rFonts w:hint="eastAsia"/>
          <w:sz w:val="24"/>
          <w:szCs w:val="24"/>
        </w:rPr>
        <w:t xml:space="preserve">14.6 供应商质疑应当有明确的请求和必要的证明材料。供应商必须在法定质疑期内一次性提出针对同一采购程序环节的质疑。 </w:t>
      </w:r>
    </w:p>
    <w:p w14:paraId="7359A28C">
      <w:pPr>
        <w:spacing w:line="400" w:lineRule="exact"/>
        <w:ind w:firstLine="480" w:firstLineChars="200"/>
        <w:rPr>
          <w:sz w:val="24"/>
          <w:szCs w:val="24"/>
        </w:rPr>
      </w:pPr>
      <w:r>
        <w:rPr>
          <w:rFonts w:hint="eastAsia"/>
          <w:sz w:val="24"/>
          <w:szCs w:val="24"/>
        </w:rPr>
        <w:t xml:space="preserve">14.7 质疑函的主要内容须按照财政部制定的质疑函范本（财政部指定中国政府采购网发布）填写；供应商为自然人的，应当由本人签字；供应商为法人或者其他组织的，应当由 法定代表人、主要负责人，或者其授权代表签字或者盖章，并加盖公章。 </w:t>
      </w:r>
    </w:p>
    <w:p w14:paraId="50BDC9D2">
      <w:pPr>
        <w:spacing w:line="400" w:lineRule="exact"/>
        <w:ind w:firstLine="480" w:firstLineChars="200"/>
        <w:rPr>
          <w:sz w:val="24"/>
          <w:szCs w:val="24"/>
        </w:rPr>
      </w:pPr>
      <w:r>
        <w:rPr>
          <w:rFonts w:hint="eastAsia"/>
          <w:sz w:val="24"/>
          <w:szCs w:val="24"/>
        </w:rPr>
        <w:t xml:space="preserve">14.8 质疑函应当使用中文。相关当事人提供外文书证或者外国语视听资料的，应当附有中文译本，由翻译机构盖章或者翻译人员签名。 </w:t>
      </w:r>
    </w:p>
    <w:p w14:paraId="1BF46BF6">
      <w:pPr>
        <w:spacing w:line="400" w:lineRule="exact"/>
        <w:ind w:firstLine="480" w:firstLineChars="200"/>
        <w:rPr>
          <w:sz w:val="24"/>
          <w:szCs w:val="24"/>
        </w:rPr>
      </w:pPr>
      <w:r>
        <w:rPr>
          <w:rFonts w:hint="eastAsia"/>
          <w:sz w:val="24"/>
          <w:szCs w:val="24"/>
        </w:rPr>
        <w:t xml:space="preserve">14.9 质疑函应当现场书面提交至采购代理机构联系人（详见竞争性磋商公告）处，提交时应出示有效身份证明。 </w:t>
      </w:r>
    </w:p>
    <w:p w14:paraId="0ADE7AB6">
      <w:pPr>
        <w:spacing w:line="400" w:lineRule="exact"/>
        <w:ind w:firstLine="480" w:firstLineChars="200"/>
        <w:rPr>
          <w:sz w:val="24"/>
          <w:szCs w:val="24"/>
        </w:rPr>
      </w:pPr>
      <w:r>
        <w:rPr>
          <w:rFonts w:hint="eastAsia"/>
          <w:sz w:val="24"/>
          <w:szCs w:val="24"/>
        </w:rPr>
        <w:t xml:space="preserve">15.投诉 </w:t>
      </w:r>
    </w:p>
    <w:p w14:paraId="14165064">
      <w:pPr>
        <w:spacing w:line="400" w:lineRule="exact"/>
        <w:ind w:firstLine="480" w:firstLineChars="200"/>
        <w:rPr>
          <w:sz w:val="24"/>
          <w:szCs w:val="24"/>
        </w:rPr>
      </w:pPr>
      <w:r>
        <w:rPr>
          <w:rFonts w:hint="eastAsia"/>
          <w:sz w:val="24"/>
          <w:szCs w:val="24"/>
        </w:rPr>
        <w:t xml:space="preserve">15.1 供应商对采购代理机构的答复不满意或者采购代理机构未在规定的时间内作出答复的，可以在答复期满后十五个工作日内向同级政府采购监督管理部门投诉。 </w:t>
      </w:r>
    </w:p>
    <w:p w14:paraId="3716CF9D">
      <w:pPr>
        <w:spacing w:line="400" w:lineRule="exact"/>
        <w:ind w:firstLine="480" w:firstLineChars="200"/>
        <w:rPr>
          <w:sz w:val="24"/>
          <w:szCs w:val="24"/>
        </w:rPr>
      </w:pPr>
      <w:r>
        <w:rPr>
          <w:rFonts w:hint="eastAsia"/>
          <w:sz w:val="24"/>
          <w:szCs w:val="24"/>
        </w:rPr>
        <w:t xml:space="preserve">15.2 供应商投诉应当有明确的请求和必要的证明材料。供应商投诉的事项不得超出已质疑事项的范围。 </w:t>
      </w:r>
    </w:p>
    <w:p w14:paraId="01279839">
      <w:pPr>
        <w:spacing w:line="400" w:lineRule="exact"/>
        <w:ind w:firstLine="480" w:firstLineChars="200"/>
        <w:rPr>
          <w:sz w:val="24"/>
          <w:szCs w:val="24"/>
        </w:rPr>
      </w:pPr>
      <w:r>
        <w:rPr>
          <w:rFonts w:hint="eastAsia"/>
          <w:sz w:val="24"/>
          <w:szCs w:val="24"/>
        </w:rPr>
        <w:t xml:space="preserve">15.3 投诉人对政府采购监督管理部门的投诉处理决定不服或者政府采购监督管理部门逾期未作处理的，可以依法申请行政复议或者向人民法院提起行政诉讼。 </w:t>
      </w:r>
    </w:p>
    <w:p w14:paraId="6707828B">
      <w:pPr>
        <w:spacing w:line="400" w:lineRule="exact"/>
        <w:ind w:firstLine="480" w:firstLineChars="200"/>
        <w:rPr>
          <w:sz w:val="24"/>
          <w:szCs w:val="24"/>
        </w:rPr>
      </w:pPr>
      <w:r>
        <w:rPr>
          <w:rFonts w:hint="eastAsia"/>
          <w:sz w:val="24"/>
          <w:szCs w:val="24"/>
        </w:rPr>
        <w:t xml:space="preserve">15.4 投诉人在全国范围12个月内三次以上投诉查无实据的，由财政部门列入不良行为记录名单。 </w:t>
      </w:r>
    </w:p>
    <w:p w14:paraId="26280569">
      <w:pPr>
        <w:spacing w:line="400" w:lineRule="exact"/>
        <w:ind w:firstLine="480" w:firstLineChars="200"/>
        <w:rPr>
          <w:sz w:val="24"/>
          <w:szCs w:val="24"/>
        </w:rPr>
      </w:pPr>
      <w:r>
        <w:rPr>
          <w:rFonts w:hint="eastAsia"/>
          <w:sz w:val="24"/>
          <w:szCs w:val="24"/>
        </w:rPr>
        <w:t xml:space="preserve">15.5 投诉人有下列行为之一的，属于虚假、恶意投诉，由财政部门列入不良行为记录名单，禁止其1至3年内参加政府采购活动： </w:t>
      </w:r>
    </w:p>
    <w:p w14:paraId="68645633">
      <w:pPr>
        <w:spacing w:line="400" w:lineRule="exact"/>
        <w:ind w:firstLine="480" w:firstLineChars="200"/>
        <w:rPr>
          <w:sz w:val="24"/>
          <w:szCs w:val="24"/>
        </w:rPr>
      </w:pPr>
      <w:r>
        <w:rPr>
          <w:rFonts w:hint="eastAsia"/>
          <w:sz w:val="24"/>
          <w:szCs w:val="24"/>
        </w:rPr>
        <w:t xml:space="preserve">（1）捏造事实； </w:t>
      </w:r>
    </w:p>
    <w:p w14:paraId="6C4BC02F">
      <w:pPr>
        <w:spacing w:line="400" w:lineRule="exact"/>
        <w:ind w:firstLine="480" w:firstLineChars="200"/>
        <w:rPr>
          <w:sz w:val="24"/>
          <w:szCs w:val="24"/>
        </w:rPr>
      </w:pPr>
      <w:r>
        <w:rPr>
          <w:rFonts w:hint="eastAsia"/>
          <w:sz w:val="24"/>
          <w:szCs w:val="24"/>
        </w:rPr>
        <w:t xml:space="preserve">（2）提供虚假材料； </w:t>
      </w:r>
    </w:p>
    <w:p w14:paraId="3118CD3A">
      <w:pPr>
        <w:spacing w:line="400" w:lineRule="exact"/>
        <w:ind w:firstLine="480" w:firstLineChars="200"/>
        <w:rPr>
          <w:sz w:val="24"/>
          <w:szCs w:val="24"/>
        </w:rPr>
      </w:pPr>
      <w:r>
        <w:rPr>
          <w:rFonts w:hint="eastAsia"/>
          <w:sz w:val="24"/>
          <w:szCs w:val="24"/>
        </w:rPr>
        <w:t>（3）以非法手段取得证明材料。证据来源的合法性存在明显疑问，投诉人无法证明其取得方式合法的，视为以非法手段取得证明材料。</w:t>
      </w:r>
    </w:p>
    <w:bookmarkEnd w:id="64"/>
    <w:p w14:paraId="1F85F12E">
      <w:pPr>
        <w:spacing w:line="400" w:lineRule="exact"/>
        <w:ind w:firstLine="480" w:firstLineChars="200"/>
        <w:rPr>
          <w:sz w:val="24"/>
          <w:szCs w:val="24"/>
        </w:rPr>
      </w:pPr>
      <w:r>
        <w:rPr>
          <w:rFonts w:hint="eastAsia"/>
          <w:sz w:val="24"/>
          <w:szCs w:val="24"/>
        </w:rPr>
        <w:t xml:space="preserve">六、诚实信用 </w:t>
      </w:r>
    </w:p>
    <w:p w14:paraId="708233A5">
      <w:pPr>
        <w:spacing w:line="400" w:lineRule="exact"/>
        <w:ind w:firstLine="480" w:firstLineChars="200"/>
        <w:rPr>
          <w:sz w:val="24"/>
          <w:szCs w:val="24"/>
        </w:rPr>
      </w:pPr>
      <w:r>
        <w:rPr>
          <w:rFonts w:hint="eastAsia"/>
          <w:sz w:val="24"/>
          <w:szCs w:val="24"/>
        </w:rPr>
        <w:t xml:space="preserve">16.1 供应商之间不得相互串通报价，不得妨碍其他供应商的公平竞争，不得损害采购人和其他供应商的合法权益。 </w:t>
      </w:r>
    </w:p>
    <w:p w14:paraId="4E043B26">
      <w:pPr>
        <w:spacing w:line="400" w:lineRule="exact"/>
        <w:ind w:firstLine="480" w:firstLineChars="200"/>
        <w:rPr>
          <w:sz w:val="24"/>
          <w:szCs w:val="24"/>
        </w:rPr>
      </w:pPr>
      <w:r>
        <w:rPr>
          <w:rFonts w:hint="eastAsia"/>
          <w:sz w:val="24"/>
          <w:szCs w:val="24"/>
        </w:rPr>
        <w:t xml:space="preserve">16.2 供应商不得以向采购代理机构工作人员、磋商委员会成员行贿或者采取其他不正当手段谋取成交。 </w:t>
      </w:r>
    </w:p>
    <w:p w14:paraId="135E048A">
      <w:pPr>
        <w:spacing w:line="400" w:lineRule="exact"/>
        <w:ind w:firstLine="480" w:firstLineChars="200"/>
        <w:rPr>
          <w:sz w:val="24"/>
          <w:szCs w:val="24"/>
        </w:rPr>
      </w:pPr>
      <w:r>
        <w:rPr>
          <w:rFonts w:hint="eastAsia"/>
          <w:sz w:val="24"/>
          <w:szCs w:val="24"/>
        </w:rPr>
        <w:t xml:space="preserve">16.3 供应商不得虚假质疑和恶意质疑，并对质疑内容的真实性承担责任。供应商或者其他利害关系人通过捏造事实、伪造证明材料等方式提出异议或投诉，阻碍采购活动正常进行的，属于严重不良行为，采购中心将提请财政部门将其列入不良行为记录名单，并依法予以处罚。 </w:t>
      </w:r>
    </w:p>
    <w:p w14:paraId="18E0CC8C">
      <w:pPr>
        <w:spacing w:line="400" w:lineRule="exact"/>
        <w:ind w:firstLine="480" w:firstLineChars="200"/>
        <w:rPr>
          <w:sz w:val="24"/>
          <w:szCs w:val="24"/>
        </w:rPr>
      </w:pPr>
      <w:r>
        <w:rPr>
          <w:rFonts w:hint="eastAsia"/>
          <w:sz w:val="24"/>
          <w:szCs w:val="24"/>
        </w:rPr>
        <w:t xml:space="preserve">16.4 供应商不得虚假承诺，否则，按照提供虚假材料谋取成交处理。 </w:t>
      </w:r>
    </w:p>
    <w:p w14:paraId="0313C2FF">
      <w:pPr>
        <w:spacing w:line="400" w:lineRule="exact"/>
        <w:ind w:firstLine="480" w:firstLineChars="200"/>
        <w:rPr>
          <w:sz w:val="24"/>
          <w:szCs w:val="24"/>
        </w:rPr>
      </w:pPr>
      <w:r>
        <w:rPr>
          <w:rFonts w:hint="eastAsia"/>
          <w:sz w:val="24"/>
          <w:szCs w:val="24"/>
        </w:rPr>
        <w:t xml:space="preserve">七、磋商费用 </w:t>
      </w:r>
    </w:p>
    <w:p w14:paraId="282C6397">
      <w:pPr>
        <w:spacing w:line="400" w:lineRule="exact"/>
        <w:ind w:firstLine="480" w:firstLineChars="200"/>
        <w:rPr>
          <w:sz w:val="24"/>
          <w:szCs w:val="24"/>
        </w:rPr>
      </w:pPr>
      <w:r>
        <w:rPr>
          <w:rFonts w:hint="eastAsia"/>
          <w:sz w:val="24"/>
          <w:szCs w:val="24"/>
        </w:rPr>
        <w:t xml:space="preserve">17.1 供应商应承担所有与准备和参加磋商有关的费用，无论采购结果如何，采购代理机构和采购人在任何情况下均无义务和责任承担这些费用。 </w:t>
      </w:r>
    </w:p>
    <w:p w14:paraId="49F55F1D">
      <w:pPr>
        <w:spacing w:line="400" w:lineRule="exact"/>
        <w:ind w:firstLine="480" w:firstLineChars="200"/>
        <w:rPr>
          <w:sz w:val="24"/>
          <w:szCs w:val="24"/>
        </w:rPr>
      </w:pPr>
      <w:r>
        <w:rPr>
          <w:rFonts w:hint="eastAsia"/>
          <w:sz w:val="24"/>
          <w:szCs w:val="24"/>
        </w:rPr>
        <w:t>17.2 本次采购，代理服务费由成交供应商支付，按照国家发展和改革委员会下发的《关于降低部分建设项目收费标准规范收费行为等有关问题的通知》（发改价格[2011]534号）所列招标代理服务费收费标准的60%（优惠率）收取：</w:t>
      </w:r>
    </w:p>
    <w:tbl>
      <w:tblPr>
        <w:tblStyle w:val="3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99"/>
        <w:gridCol w:w="1634"/>
        <w:gridCol w:w="1548"/>
        <w:gridCol w:w="1599"/>
      </w:tblGrid>
      <w:tr w14:paraId="5DE26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3" w:type="pct"/>
            <w:vAlign w:val="center"/>
          </w:tcPr>
          <w:p w14:paraId="654EC269">
            <w:pPr>
              <w:pStyle w:val="17"/>
              <w:autoSpaceDE w:val="0"/>
              <w:autoSpaceDN w:val="0"/>
              <w:spacing w:line="360" w:lineRule="auto"/>
              <w:jc w:val="center"/>
              <w:rPr>
                <w:rFonts w:ascii="Times New Roman" w:hAnsi="Times New Roman" w:eastAsia="宋体"/>
                <w:sz w:val="24"/>
                <w:szCs w:val="24"/>
              </w:rPr>
            </w:pPr>
            <w:r>
              <w:rPr>
                <w:rFonts w:ascii="Times New Roman" w:hAnsi="Times New Roman" w:eastAsia="宋体"/>
                <w:sz w:val="24"/>
                <w:szCs w:val="24"/>
              </w:rPr>
              <w:t>中标金额(万元)</w:t>
            </w:r>
          </w:p>
        </w:tc>
        <w:tc>
          <w:tcPr>
            <w:tcW w:w="952" w:type="pct"/>
            <w:vAlign w:val="center"/>
          </w:tcPr>
          <w:p w14:paraId="19851F0C">
            <w:pPr>
              <w:pStyle w:val="17"/>
              <w:autoSpaceDE w:val="0"/>
              <w:autoSpaceDN w:val="0"/>
              <w:spacing w:line="360" w:lineRule="auto"/>
              <w:jc w:val="center"/>
              <w:rPr>
                <w:rFonts w:ascii="Times New Roman" w:hAnsi="Times New Roman" w:eastAsia="宋体"/>
                <w:sz w:val="24"/>
                <w:szCs w:val="24"/>
              </w:rPr>
            </w:pPr>
            <w:r>
              <w:rPr>
                <w:rFonts w:ascii="Times New Roman" w:hAnsi="Times New Roman" w:eastAsia="宋体"/>
                <w:sz w:val="24"/>
                <w:szCs w:val="24"/>
              </w:rPr>
              <w:t>货物</w:t>
            </w:r>
          </w:p>
        </w:tc>
        <w:tc>
          <w:tcPr>
            <w:tcW w:w="902" w:type="pct"/>
            <w:vAlign w:val="center"/>
          </w:tcPr>
          <w:p w14:paraId="2304CE3A">
            <w:pPr>
              <w:pStyle w:val="17"/>
              <w:autoSpaceDE w:val="0"/>
              <w:autoSpaceDN w:val="0"/>
              <w:spacing w:line="360" w:lineRule="auto"/>
              <w:jc w:val="center"/>
              <w:rPr>
                <w:rFonts w:ascii="Times New Roman" w:hAnsi="Times New Roman" w:eastAsia="宋体"/>
                <w:sz w:val="24"/>
                <w:szCs w:val="24"/>
              </w:rPr>
            </w:pPr>
            <w:r>
              <w:rPr>
                <w:rFonts w:ascii="Times New Roman" w:hAnsi="Times New Roman" w:eastAsia="宋体"/>
                <w:sz w:val="24"/>
                <w:szCs w:val="24"/>
              </w:rPr>
              <w:t>服务</w:t>
            </w:r>
          </w:p>
        </w:tc>
        <w:tc>
          <w:tcPr>
            <w:tcW w:w="931" w:type="pct"/>
            <w:vAlign w:val="center"/>
          </w:tcPr>
          <w:p w14:paraId="0A6849C3">
            <w:pPr>
              <w:pStyle w:val="17"/>
              <w:autoSpaceDE w:val="0"/>
              <w:autoSpaceDN w:val="0"/>
              <w:spacing w:line="360" w:lineRule="auto"/>
              <w:jc w:val="center"/>
              <w:rPr>
                <w:rFonts w:ascii="Times New Roman" w:hAnsi="Times New Roman" w:eastAsia="宋体"/>
                <w:sz w:val="24"/>
                <w:szCs w:val="24"/>
              </w:rPr>
            </w:pPr>
            <w:r>
              <w:rPr>
                <w:rFonts w:ascii="Times New Roman" w:hAnsi="Times New Roman" w:eastAsia="宋体"/>
                <w:sz w:val="24"/>
                <w:szCs w:val="24"/>
              </w:rPr>
              <w:t>工程</w:t>
            </w:r>
          </w:p>
        </w:tc>
      </w:tr>
      <w:tr w14:paraId="73C2D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3" w:type="pct"/>
            <w:vAlign w:val="center"/>
          </w:tcPr>
          <w:p w14:paraId="512DD899">
            <w:pPr>
              <w:pStyle w:val="17"/>
              <w:autoSpaceDE w:val="0"/>
              <w:autoSpaceDN w:val="0"/>
              <w:spacing w:line="360" w:lineRule="auto"/>
              <w:rPr>
                <w:rFonts w:ascii="Times New Roman" w:hAnsi="Times New Roman" w:eastAsia="宋体"/>
                <w:sz w:val="24"/>
                <w:szCs w:val="24"/>
              </w:rPr>
            </w:pPr>
            <w:r>
              <w:rPr>
                <w:rFonts w:ascii="Times New Roman" w:hAnsi="Times New Roman" w:eastAsia="宋体"/>
                <w:sz w:val="24"/>
                <w:szCs w:val="24"/>
              </w:rPr>
              <w:t>100以下(含100)</w:t>
            </w:r>
          </w:p>
        </w:tc>
        <w:tc>
          <w:tcPr>
            <w:tcW w:w="952" w:type="pct"/>
            <w:vAlign w:val="center"/>
          </w:tcPr>
          <w:p w14:paraId="66DB597E">
            <w:pPr>
              <w:pStyle w:val="17"/>
              <w:autoSpaceDE w:val="0"/>
              <w:autoSpaceDN w:val="0"/>
              <w:spacing w:line="360" w:lineRule="auto"/>
              <w:jc w:val="center"/>
              <w:rPr>
                <w:rFonts w:ascii="Times New Roman" w:hAnsi="Times New Roman" w:eastAsia="宋体"/>
                <w:sz w:val="24"/>
                <w:szCs w:val="24"/>
              </w:rPr>
            </w:pPr>
            <w:r>
              <w:rPr>
                <w:rFonts w:ascii="Times New Roman" w:hAnsi="Times New Roman" w:eastAsia="宋体"/>
                <w:sz w:val="24"/>
                <w:szCs w:val="24"/>
              </w:rPr>
              <w:t>1.50%</w:t>
            </w:r>
          </w:p>
        </w:tc>
        <w:tc>
          <w:tcPr>
            <w:tcW w:w="902" w:type="pct"/>
            <w:vAlign w:val="center"/>
          </w:tcPr>
          <w:p w14:paraId="080536E8">
            <w:pPr>
              <w:pStyle w:val="17"/>
              <w:autoSpaceDE w:val="0"/>
              <w:autoSpaceDN w:val="0"/>
              <w:spacing w:line="360" w:lineRule="auto"/>
              <w:jc w:val="center"/>
              <w:rPr>
                <w:rFonts w:ascii="Times New Roman" w:hAnsi="Times New Roman" w:eastAsia="宋体"/>
                <w:sz w:val="24"/>
                <w:szCs w:val="24"/>
              </w:rPr>
            </w:pPr>
            <w:r>
              <w:rPr>
                <w:rFonts w:ascii="Times New Roman" w:hAnsi="Times New Roman" w:eastAsia="宋体"/>
                <w:sz w:val="24"/>
                <w:szCs w:val="24"/>
              </w:rPr>
              <w:t>1.50%</w:t>
            </w:r>
          </w:p>
        </w:tc>
        <w:tc>
          <w:tcPr>
            <w:tcW w:w="931" w:type="pct"/>
            <w:vAlign w:val="center"/>
          </w:tcPr>
          <w:p w14:paraId="4B18069F">
            <w:pPr>
              <w:pStyle w:val="17"/>
              <w:autoSpaceDE w:val="0"/>
              <w:autoSpaceDN w:val="0"/>
              <w:spacing w:line="360" w:lineRule="auto"/>
              <w:jc w:val="center"/>
              <w:rPr>
                <w:rFonts w:ascii="Times New Roman" w:hAnsi="Times New Roman" w:eastAsia="宋体"/>
                <w:sz w:val="24"/>
                <w:szCs w:val="24"/>
              </w:rPr>
            </w:pPr>
            <w:r>
              <w:rPr>
                <w:rFonts w:ascii="Times New Roman" w:hAnsi="Times New Roman" w:eastAsia="宋体"/>
                <w:sz w:val="24"/>
                <w:szCs w:val="24"/>
              </w:rPr>
              <w:t>1.00%</w:t>
            </w:r>
          </w:p>
        </w:tc>
      </w:tr>
      <w:tr w14:paraId="5D917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3" w:type="pct"/>
            <w:vAlign w:val="center"/>
          </w:tcPr>
          <w:p w14:paraId="15FC4E48">
            <w:pPr>
              <w:pStyle w:val="17"/>
              <w:autoSpaceDE w:val="0"/>
              <w:autoSpaceDN w:val="0"/>
              <w:spacing w:line="360" w:lineRule="auto"/>
              <w:rPr>
                <w:rFonts w:ascii="Times New Roman" w:hAnsi="Times New Roman" w:eastAsia="宋体"/>
                <w:sz w:val="24"/>
                <w:szCs w:val="24"/>
              </w:rPr>
            </w:pPr>
            <w:r>
              <w:rPr>
                <w:rFonts w:ascii="Times New Roman" w:hAnsi="Times New Roman" w:eastAsia="宋体"/>
                <w:sz w:val="24"/>
                <w:szCs w:val="24"/>
              </w:rPr>
              <w:t>100-500 (含500)</w:t>
            </w:r>
          </w:p>
        </w:tc>
        <w:tc>
          <w:tcPr>
            <w:tcW w:w="952" w:type="pct"/>
            <w:vAlign w:val="center"/>
          </w:tcPr>
          <w:p w14:paraId="0B53EF82">
            <w:pPr>
              <w:pStyle w:val="17"/>
              <w:autoSpaceDE w:val="0"/>
              <w:autoSpaceDN w:val="0"/>
              <w:spacing w:line="360" w:lineRule="auto"/>
              <w:jc w:val="center"/>
              <w:rPr>
                <w:rFonts w:ascii="Times New Roman" w:hAnsi="Times New Roman" w:eastAsia="宋体"/>
                <w:sz w:val="24"/>
                <w:szCs w:val="24"/>
              </w:rPr>
            </w:pPr>
            <w:r>
              <w:rPr>
                <w:rFonts w:ascii="Times New Roman" w:hAnsi="Times New Roman" w:eastAsia="宋体"/>
                <w:sz w:val="24"/>
                <w:szCs w:val="24"/>
              </w:rPr>
              <w:t>1.10%</w:t>
            </w:r>
          </w:p>
        </w:tc>
        <w:tc>
          <w:tcPr>
            <w:tcW w:w="902" w:type="pct"/>
            <w:vAlign w:val="center"/>
          </w:tcPr>
          <w:p w14:paraId="2E180F6A">
            <w:pPr>
              <w:pStyle w:val="17"/>
              <w:autoSpaceDE w:val="0"/>
              <w:autoSpaceDN w:val="0"/>
              <w:spacing w:line="360" w:lineRule="auto"/>
              <w:jc w:val="center"/>
              <w:rPr>
                <w:rFonts w:ascii="Times New Roman" w:hAnsi="Times New Roman" w:eastAsia="宋体"/>
                <w:sz w:val="24"/>
                <w:szCs w:val="24"/>
              </w:rPr>
            </w:pPr>
            <w:r>
              <w:rPr>
                <w:rFonts w:ascii="Times New Roman" w:hAnsi="Times New Roman" w:eastAsia="宋体"/>
                <w:sz w:val="24"/>
                <w:szCs w:val="24"/>
              </w:rPr>
              <w:t>0.80%</w:t>
            </w:r>
          </w:p>
        </w:tc>
        <w:tc>
          <w:tcPr>
            <w:tcW w:w="931" w:type="pct"/>
            <w:vAlign w:val="center"/>
          </w:tcPr>
          <w:p w14:paraId="6C143065">
            <w:pPr>
              <w:pStyle w:val="17"/>
              <w:autoSpaceDE w:val="0"/>
              <w:autoSpaceDN w:val="0"/>
              <w:spacing w:line="360" w:lineRule="auto"/>
              <w:jc w:val="center"/>
              <w:rPr>
                <w:rFonts w:ascii="Times New Roman" w:hAnsi="Times New Roman" w:eastAsia="宋体"/>
                <w:sz w:val="24"/>
                <w:szCs w:val="24"/>
              </w:rPr>
            </w:pPr>
            <w:r>
              <w:rPr>
                <w:rFonts w:ascii="Times New Roman" w:hAnsi="Times New Roman" w:eastAsia="宋体"/>
                <w:sz w:val="24"/>
                <w:szCs w:val="24"/>
              </w:rPr>
              <w:t>0.70%</w:t>
            </w:r>
          </w:p>
        </w:tc>
      </w:tr>
      <w:tr w14:paraId="60A37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3" w:type="pct"/>
            <w:vAlign w:val="center"/>
          </w:tcPr>
          <w:p w14:paraId="30E33939">
            <w:pPr>
              <w:pStyle w:val="17"/>
              <w:autoSpaceDE w:val="0"/>
              <w:autoSpaceDN w:val="0"/>
              <w:spacing w:line="360" w:lineRule="auto"/>
              <w:rPr>
                <w:rFonts w:ascii="Times New Roman" w:hAnsi="Times New Roman" w:eastAsia="宋体"/>
                <w:sz w:val="24"/>
                <w:szCs w:val="24"/>
              </w:rPr>
            </w:pPr>
            <w:r>
              <w:rPr>
                <w:rFonts w:ascii="Times New Roman" w:hAnsi="Times New Roman" w:eastAsia="宋体"/>
                <w:sz w:val="24"/>
                <w:szCs w:val="24"/>
              </w:rPr>
              <w:t>500-1000 (含1000)</w:t>
            </w:r>
          </w:p>
        </w:tc>
        <w:tc>
          <w:tcPr>
            <w:tcW w:w="952" w:type="pct"/>
            <w:vAlign w:val="center"/>
          </w:tcPr>
          <w:p w14:paraId="1817132E">
            <w:pPr>
              <w:pStyle w:val="17"/>
              <w:autoSpaceDE w:val="0"/>
              <w:autoSpaceDN w:val="0"/>
              <w:spacing w:line="360" w:lineRule="auto"/>
              <w:jc w:val="center"/>
              <w:rPr>
                <w:rFonts w:ascii="Times New Roman" w:hAnsi="Times New Roman" w:eastAsia="宋体"/>
                <w:sz w:val="24"/>
                <w:szCs w:val="24"/>
              </w:rPr>
            </w:pPr>
            <w:r>
              <w:rPr>
                <w:rFonts w:ascii="Times New Roman" w:hAnsi="Times New Roman" w:eastAsia="宋体"/>
                <w:sz w:val="24"/>
                <w:szCs w:val="24"/>
              </w:rPr>
              <w:t>0.80%</w:t>
            </w:r>
          </w:p>
        </w:tc>
        <w:tc>
          <w:tcPr>
            <w:tcW w:w="902" w:type="pct"/>
            <w:vAlign w:val="center"/>
          </w:tcPr>
          <w:p w14:paraId="48478C86">
            <w:pPr>
              <w:pStyle w:val="17"/>
              <w:autoSpaceDE w:val="0"/>
              <w:autoSpaceDN w:val="0"/>
              <w:spacing w:line="360" w:lineRule="auto"/>
              <w:jc w:val="center"/>
              <w:rPr>
                <w:rFonts w:ascii="Times New Roman" w:hAnsi="Times New Roman" w:eastAsia="宋体"/>
                <w:sz w:val="24"/>
                <w:szCs w:val="24"/>
              </w:rPr>
            </w:pPr>
            <w:r>
              <w:rPr>
                <w:rFonts w:ascii="Times New Roman" w:hAnsi="Times New Roman" w:eastAsia="宋体"/>
                <w:sz w:val="24"/>
                <w:szCs w:val="24"/>
              </w:rPr>
              <w:t>0.45%</w:t>
            </w:r>
          </w:p>
        </w:tc>
        <w:tc>
          <w:tcPr>
            <w:tcW w:w="931" w:type="pct"/>
            <w:vAlign w:val="center"/>
          </w:tcPr>
          <w:p w14:paraId="7BE6CF16">
            <w:pPr>
              <w:pStyle w:val="17"/>
              <w:autoSpaceDE w:val="0"/>
              <w:autoSpaceDN w:val="0"/>
              <w:spacing w:line="360" w:lineRule="auto"/>
              <w:jc w:val="center"/>
              <w:rPr>
                <w:rFonts w:ascii="Times New Roman" w:hAnsi="Times New Roman" w:eastAsia="宋体"/>
                <w:sz w:val="24"/>
                <w:szCs w:val="24"/>
              </w:rPr>
            </w:pPr>
            <w:r>
              <w:rPr>
                <w:rFonts w:ascii="Times New Roman" w:hAnsi="Times New Roman" w:eastAsia="宋体"/>
                <w:sz w:val="24"/>
                <w:szCs w:val="24"/>
              </w:rPr>
              <w:t>0.55%</w:t>
            </w:r>
          </w:p>
        </w:tc>
      </w:tr>
      <w:tr w14:paraId="34215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3" w:type="pct"/>
            <w:vAlign w:val="center"/>
          </w:tcPr>
          <w:p w14:paraId="7A8FFBB4">
            <w:pPr>
              <w:pStyle w:val="17"/>
              <w:autoSpaceDE w:val="0"/>
              <w:autoSpaceDN w:val="0"/>
              <w:spacing w:line="360" w:lineRule="auto"/>
              <w:rPr>
                <w:rFonts w:ascii="Times New Roman" w:hAnsi="Times New Roman" w:eastAsia="宋体"/>
                <w:sz w:val="24"/>
                <w:szCs w:val="24"/>
              </w:rPr>
            </w:pPr>
            <w:r>
              <w:rPr>
                <w:rFonts w:ascii="Times New Roman" w:hAnsi="Times New Roman" w:eastAsia="宋体"/>
                <w:sz w:val="24"/>
                <w:szCs w:val="24"/>
              </w:rPr>
              <w:t>1000-5000 (含5000)</w:t>
            </w:r>
          </w:p>
        </w:tc>
        <w:tc>
          <w:tcPr>
            <w:tcW w:w="952" w:type="pct"/>
            <w:vAlign w:val="center"/>
          </w:tcPr>
          <w:p w14:paraId="00B81471">
            <w:pPr>
              <w:pStyle w:val="17"/>
              <w:autoSpaceDE w:val="0"/>
              <w:autoSpaceDN w:val="0"/>
              <w:spacing w:line="360" w:lineRule="auto"/>
              <w:jc w:val="center"/>
              <w:rPr>
                <w:rFonts w:ascii="Times New Roman" w:hAnsi="Times New Roman" w:eastAsia="宋体"/>
                <w:sz w:val="24"/>
                <w:szCs w:val="24"/>
              </w:rPr>
            </w:pPr>
            <w:r>
              <w:rPr>
                <w:rFonts w:ascii="Times New Roman" w:hAnsi="Times New Roman" w:eastAsia="宋体"/>
                <w:sz w:val="24"/>
                <w:szCs w:val="24"/>
              </w:rPr>
              <w:t>0.50%</w:t>
            </w:r>
          </w:p>
        </w:tc>
        <w:tc>
          <w:tcPr>
            <w:tcW w:w="902" w:type="pct"/>
            <w:vAlign w:val="center"/>
          </w:tcPr>
          <w:p w14:paraId="30F4E3D5">
            <w:pPr>
              <w:pStyle w:val="17"/>
              <w:autoSpaceDE w:val="0"/>
              <w:autoSpaceDN w:val="0"/>
              <w:spacing w:line="360" w:lineRule="auto"/>
              <w:jc w:val="center"/>
              <w:rPr>
                <w:rFonts w:ascii="Times New Roman" w:hAnsi="Times New Roman" w:eastAsia="宋体"/>
                <w:sz w:val="24"/>
                <w:szCs w:val="24"/>
              </w:rPr>
            </w:pPr>
            <w:r>
              <w:rPr>
                <w:rFonts w:ascii="Times New Roman" w:hAnsi="Times New Roman" w:eastAsia="宋体"/>
                <w:sz w:val="24"/>
                <w:szCs w:val="24"/>
              </w:rPr>
              <w:t>0.25%</w:t>
            </w:r>
          </w:p>
        </w:tc>
        <w:tc>
          <w:tcPr>
            <w:tcW w:w="931" w:type="pct"/>
            <w:vAlign w:val="center"/>
          </w:tcPr>
          <w:p w14:paraId="3DD51F5F">
            <w:pPr>
              <w:pStyle w:val="17"/>
              <w:autoSpaceDE w:val="0"/>
              <w:autoSpaceDN w:val="0"/>
              <w:spacing w:line="360" w:lineRule="auto"/>
              <w:jc w:val="center"/>
              <w:rPr>
                <w:rFonts w:ascii="Times New Roman" w:hAnsi="Times New Roman" w:eastAsia="宋体"/>
                <w:sz w:val="24"/>
                <w:szCs w:val="24"/>
              </w:rPr>
            </w:pPr>
            <w:r>
              <w:rPr>
                <w:rFonts w:ascii="Times New Roman" w:hAnsi="Times New Roman" w:eastAsia="宋体"/>
                <w:sz w:val="24"/>
                <w:szCs w:val="24"/>
              </w:rPr>
              <w:t>0.35%</w:t>
            </w:r>
          </w:p>
        </w:tc>
      </w:tr>
      <w:tr w14:paraId="205E6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3" w:type="pct"/>
            <w:vAlign w:val="center"/>
          </w:tcPr>
          <w:p w14:paraId="7F52291F">
            <w:pPr>
              <w:pStyle w:val="17"/>
              <w:autoSpaceDE w:val="0"/>
              <w:autoSpaceDN w:val="0"/>
              <w:spacing w:line="360" w:lineRule="auto"/>
              <w:rPr>
                <w:rFonts w:ascii="Times New Roman" w:hAnsi="Times New Roman" w:eastAsia="宋体"/>
                <w:sz w:val="24"/>
                <w:szCs w:val="24"/>
              </w:rPr>
            </w:pPr>
            <w:r>
              <w:rPr>
                <w:rFonts w:ascii="Times New Roman" w:hAnsi="Times New Roman" w:eastAsia="宋体"/>
                <w:sz w:val="24"/>
                <w:szCs w:val="24"/>
              </w:rPr>
              <w:t>5000-10000 (含10000 )</w:t>
            </w:r>
          </w:p>
        </w:tc>
        <w:tc>
          <w:tcPr>
            <w:tcW w:w="952" w:type="pct"/>
            <w:vAlign w:val="center"/>
          </w:tcPr>
          <w:p w14:paraId="0E0078C9">
            <w:pPr>
              <w:pStyle w:val="17"/>
              <w:autoSpaceDE w:val="0"/>
              <w:autoSpaceDN w:val="0"/>
              <w:spacing w:line="360" w:lineRule="auto"/>
              <w:jc w:val="center"/>
              <w:rPr>
                <w:rFonts w:ascii="Times New Roman" w:hAnsi="Times New Roman" w:eastAsia="宋体"/>
                <w:sz w:val="24"/>
                <w:szCs w:val="24"/>
              </w:rPr>
            </w:pPr>
            <w:r>
              <w:rPr>
                <w:rFonts w:ascii="Times New Roman" w:hAnsi="Times New Roman" w:eastAsia="宋体"/>
                <w:sz w:val="24"/>
                <w:szCs w:val="24"/>
              </w:rPr>
              <w:t>0.25%</w:t>
            </w:r>
          </w:p>
        </w:tc>
        <w:tc>
          <w:tcPr>
            <w:tcW w:w="902" w:type="pct"/>
            <w:vAlign w:val="center"/>
          </w:tcPr>
          <w:p w14:paraId="43266780">
            <w:pPr>
              <w:pStyle w:val="17"/>
              <w:autoSpaceDE w:val="0"/>
              <w:autoSpaceDN w:val="0"/>
              <w:spacing w:line="360" w:lineRule="auto"/>
              <w:jc w:val="center"/>
              <w:rPr>
                <w:rFonts w:ascii="Times New Roman" w:hAnsi="Times New Roman" w:eastAsia="宋体"/>
                <w:sz w:val="24"/>
                <w:szCs w:val="24"/>
              </w:rPr>
            </w:pPr>
            <w:r>
              <w:rPr>
                <w:rFonts w:ascii="Times New Roman" w:hAnsi="Times New Roman" w:eastAsia="宋体"/>
                <w:sz w:val="24"/>
                <w:szCs w:val="24"/>
              </w:rPr>
              <w:t>0.10%</w:t>
            </w:r>
          </w:p>
        </w:tc>
        <w:tc>
          <w:tcPr>
            <w:tcW w:w="931" w:type="pct"/>
            <w:vAlign w:val="center"/>
          </w:tcPr>
          <w:p w14:paraId="335D60FC">
            <w:pPr>
              <w:pStyle w:val="17"/>
              <w:autoSpaceDE w:val="0"/>
              <w:autoSpaceDN w:val="0"/>
              <w:spacing w:line="360" w:lineRule="auto"/>
              <w:jc w:val="center"/>
              <w:rPr>
                <w:rFonts w:ascii="Times New Roman" w:hAnsi="Times New Roman" w:eastAsia="宋体"/>
                <w:sz w:val="24"/>
                <w:szCs w:val="24"/>
              </w:rPr>
            </w:pPr>
            <w:r>
              <w:rPr>
                <w:rFonts w:ascii="Times New Roman" w:hAnsi="Times New Roman" w:eastAsia="宋体"/>
                <w:sz w:val="24"/>
                <w:szCs w:val="24"/>
              </w:rPr>
              <w:t>0.20%</w:t>
            </w:r>
          </w:p>
        </w:tc>
      </w:tr>
      <w:tr w14:paraId="13011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3" w:type="pct"/>
            <w:vAlign w:val="center"/>
          </w:tcPr>
          <w:p w14:paraId="5FE0FFF8">
            <w:pPr>
              <w:pStyle w:val="17"/>
              <w:autoSpaceDE w:val="0"/>
              <w:autoSpaceDN w:val="0"/>
              <w:spacing w:line="360" w:lineRule="auto"/>
              <w:rPr>
                <w:rFonts w:ascii="Times New Roman" w:hAnsi="Times New Roman" w:eastAsia="宋体"/>
                <w:sz w:val="24"/>
                <w:szCs w:val="24"/>
              </w:rPr>
            </w:pPr>
            <w:r>
              <w:rPr>
                <w:rFonts w:ascii="Times New Roman" w:hAnsi="Times New Roman" w:eastAsia="宋体"/>
                <w:sz w:val="24"/>
                <w:szCs w:val="24"/>
              </w:rPr>
              <w:t>10000- 100000 (含100000)</w:t>
            </w:r>
          </w:p>
        </w:tc>
        <w:tc>
          <w:tcPr>
            <w:tcW w:w="952" w:type="pct"/>
            <w:vAlign w:val="center"/>
          </w:tcPr>
          <w:p w14:paraId="55C8B29F">
            <w:pPr>
              <w:pStyle w:val="17"/>
              <w:autoSpaceDE w:val="0"/>
              <w:autoSpaceDN w:val="0"/>
              <w:spacing w:line="360" w:lineRule="auto"/>
              <w:jc w:val="center"/>
              <w:rPr>
                <w:rFonts w:ascii="Times New Roman" w:hAnsi="Times New Roman" w:eastAsia="宋体"/>
                <w:sz w:val="24"/>
                <w:szCs w:val="24"/>
              </w:rPr>
            </w:pPr>
            <w:r>
              <w:rPr>
                <w:rFonts w:ascii="Times New Roman" w:hAnsi="Times New Roman" w:eastAsia="宋体"/>
                <w:sz w:val="24"/>
                <w:szCs w:val="24"/>
              </w:rPr>
              <w:t>0.05%</w:t>
            </w:r>
          </w:p>
        </w:tc>
        <w:tc>
          <w:tcPr>
            <w:tcW w:w="902" w:type="pct"/>
            <w:vAlign w:val="center"/>
          </w:tcPr>
          <w:p w14:paraId="0F795C53">
            <w:pPr>
              <w:pStyle w:val="17"/>
              <w:autoSpaceDE w:val="0"/>
              <w:autoSpaceDN w:val="0"/>
              <w:spacing w:line="360" w:lineRule="auto"/>
              <w:jc w:val="center"/>
              <w:rPr>
                <w:rFonts w:ascii="Times New Roman" w:hAnsi="Times New Roman" w:eastAsia="宋体"/>
                <w:sz w:val="24"/>
                <w:szCs w:val="24"/>
              </w:rPr>
            </w:pPr>
            <w:r>
              <w:rPr>
                <w:rFonts w:ascii="Times New Roman" w:hAnsi="Times New Roman" w:eastAsia="宋体"/>
                <w:sz w:val="24"/>
                <w:szCs w:val="24"/>
              </w:rPr>
              <w:t>0.05%</w:t>
            </w:r>
          </w:p>
        </w:tc>
        <w:tc>
          <w:tcPr>
            <w:tcW w:w="931" w:type="pct"/>
            <w:vAlign w:val="center"/>
          </w:tcPr>
          <w:p w14:paraId="3DD79878">
            <w:pPr>
              <w:pStyle w:val="17"/>
              <w:autoSpaceDE w:val="0"/>
              <w:autoSpaceDN w:val="0"/>
              <w:spacing w:line="360" w:lineRule="auto"/>
              <w:jc w:val="center"/>
              <w:rPr>
                <w:rFonts w:ascii="Times New Roman" w:hAnsi="Times New Roman" w:eastAsia="宋体"/>
                <w:sz w:val="24"/>
                <w:szCs w:val="24"/>
              </w:rPr>
            </w:pPr>
            <w:r>
              <w:rPr>
                <w:rFonts w:ascii="Times New Roman" w:hAnsi="Times New Roman" w:eastAsia="宋体"/>
                <w:sz w:val="24"/>
                <w:szCs w:val="24"/>
              </w:rPr>
              <w:t>0.05%</w:t>
            </w:r>
          </w:p>
        </w:tc>
      </w:tr>
      <w:tr w14:paraId="00C87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3" w:type="pct"/>
            <w:vAlign w:val="center"/>
          </w:tcPr>
          <w:p w14:paraId="2BB1FE62">
            <w:pPr>
              <w:pStyle w:val="17"/>
              <w:autoSpaceDE w:val="0"/>
              <w:autoSpaceDN w:val="0"/>
              <w:spacing w:line="360" w:lineRule="auto"/>
              <w:rPr>
                <w:rFonts w:ascii="Times New Roman" w:hAnsi="Times New Roman" w:eastAsia="宋体"/>
                <w:sz w:val="24"/>
                <w:szCs w:val="24"/>
              </w:rPr>
            </w:pPr>
            <w:r>
              <w:rPr>
                <w:rFonts w:ascii="Times New Roman" w:hAnsi="Times New Roman" w:eastAsia="宋体"/>
                <w:sz w:val="24"/>
                <w:szCs w:val="24"/>
              </w:rPr>
              <w:t>100000以上</w:t>
            </w:r>
          </w:p>
        </w:tc>
        <w:tc>
          <w:tcPr>
            <w:tcW w:w="952" w:type="pct"/>
            <w:vAlign w:val="center"/>
          </w:tcPr>
          <w:p w14:paraId="6678C9AB">
            <w:pPr>
              <w:pStyle w:val="17"/>
              <w:autoSpaceDE w:val="0"/>
              <w:autoSpaceDN w:val="0"/>
              <w:spacing w:line="360" w:lineRule="auto"/>
              <w:jc w:val="center"/>
              <w:rPr>
                <w:rFonts w:ascii="Times New Roman" w:hAnsi="Times New Roman" w:eastAsia="宋体"/>
                <w:sz w:val="24"/>
                <w:szCs w:val="24"/>
              </w:rPr>
            </w:pPr>
            <w:r>
              <w:rPr>
                <w:rFonts w:ascii="Times New Roman" w:hAnsi="Times New Roman" w:eastAsia="宋体"/>
                <w:sz w:val="24"/>
                <w:szCs w:val="24"/>
              </w:rPr>
              <w:t>0.01%</w:t>
            </w:r>
          </w:p>
        </w:tc>
        <w:tc>
          <w:tcPr>
            <w:tcW w:w="902" w:type="pct"/>
            <w:vAlign w:val="center"/>
          </w:tcPr>
          <w:p w14:paraId="42DD9DAE">
            <w:pPr>
              <w:pStyle w:val="17"/>
              <w:autoSpaceDE w:val="0"/>
              <w:autoSpaceDN w:val="0"/>
              <w:spacing w:line="360" w:lineRule="auto"/>
              <w:jc w:val="center"/>
              <w:rPr>
                <w:rFonts w:ascii="Times New Roman" w:hAnsi="Times New Roman" w:eastAsia="宋体"/>
                <w:sz w:val="24"/>
                <w:szCs w:val="24"/>
              </w:rPr>
            </w:pPr>
            <w:r>
              <w:rPr>
                <w:rFonts w:ascii="Times New Roman" w:hAnsi="Times New Roman" w:eastAsia="宋体"/>
                <w:sz w:val="24"/>
                <w:szCs w:val="24"/>
              </w:rPr>
              <w:t>0.01%</w:t>
            </w:r>
          </w:p>
        </w:tc>
        <w:tc>
          <w:tcPr>
            <w:tcW w:w="931" w:type="pct"/>
            <w:vAlign w:val="center"/>
          </w:tcPr>
          <w:p w14:paraId="4AF70004">
            <w:pPr>
              <w:pStyle w:val="17"/>
              <w:autoSpaceDE w:val="0"/>
              <w:autoSpaceDN w:val="0"/>
              <w:spacing w:line="360" w:lineRule="auto"/>
              <w:jc w:val="center"/>
              <w:rPr>
                <w:rFonts w:ascii="Times New Roman" w:hAnsi="Times New Roman" w:eastAsia="宋体"/>
                <w:sz w:val="24"/>
                <w:szCs w:val="24"/>
              </w:rPr>
            </w:pPr>
            <w:r>
              <w:rPr>
                <w:rFonts w:ascii="Times New Roman" w:hAnsi="Times New Roman" w:eastAsia="宋体"/>
                <w:sz w:val="24"/>
                <w:szCs w:val="24"/>
              </w:rPr>
              <w:t>0.01%</w:t>
            </w:r>
          </w:p>
        </w:tc>
      </w:tr>
    </w:tbl>
    <w:p w14:paraId="24AB598B">
      <w:pPr>
        <w:spacing w:line="400" w:lineRule="exact"/>
        <w:rPr>
          <w:sz w:val="24"/>
          <w:szCs w:val="24"/>
        </w:rPr>
      </w:pPr>
    </w:p>
    <w:bookmarkEnd w:id="58"/>
    <w:bookmarkEnd w:id="59"/>
    <w:bookmarkEnd w:id="60"/>
    <w:bookmarkEnd w:id="61"/>
    <w:p w14:paraId="5C96DCD2">
      <w:pPr>
        <w:pStyle w:val="2"/>
        <w:spacing w:before="240" w:beforeLines="100" w:after="240" w:afterLines="100" w:line="400" w:lineRule="exact"/>
        <w:rPr>
          <w:rFonts w:hint="eastAsia" w:ascii="宋体" w:hAnsi="宋体" w:eastAsia="宋体"/>
          <w:b/>
          <w:bCs/>
          <w:sz w:val="32"/>
          <w:szCs w:val="32"/>
        </w:rPr>
      </w:pPr>
      <w:bookmarkStart w:id="65" w:name="_Toc479757207"/>
      <w:bookmarkStart w:id="66" w:name="_Toc120614221"/>
      <w:bookmarkStart w:id="67" w:name="_Toc513029242"/>
      <w:bookmarkStart w:id="68" w:name="_Toc20823314"/>
      <w:bookmarkStart w:id="69" w:name="_Toc16938558"/>
      <w:r>
        <w:rPr>
          <w:rFonts w:ascii="宋体" w:hAnsi="宋体" w:eastAsia="宋体"/>
          <w:b/>
          <w:bCs/>
          <w:sz w:val="32"/>
          <w:szCs w:val="32"/>
        </w:rPr>
        <w:br w:type="page"/>
      </w:r>
      <w:bookmarkStart w:id="70" w:name="_Toc24962236"/>
      <w:r>
        <w:rPr>
          <w:rFonts w:hint="eastAsia" w:ascii="宋体" w:hAnsi="宋体" w:eastAsia="宋体"/>
          <w:b/>
          <w:bCs/>
          <w:sz w:val="32"/>
          <w:szCs w:val="32"/>
        </w:rPr>
        <w:t xml:space="preserve">第三章 </w:t>
      </w:r>
      <w:bookmarkEnd w:id="65"/>
      <w:bookmarkEnd w:id="66"/>
      <w:bookmarkEnd w:id="67"/>
      <w:bookmarkEnd w:id="68"/>
      <w:bookmarkEnd w:id="69"/>
      <w:bookmarkStart w:id="71" w:name="_Toc20823315"/>
      <w:bookmarkStart w:id="72" w:name="_Toc513029243"/>
      <w:bookmarkStart w:id="73" w:name="_Toc16938559"/>
      <w:r>
        <w:rPr>
          <w:rFonts w:hint="eastAsia" w:ascii="宋体" w:hAnsi="宋体" w:eastAsia="宋体"/>
          <w:b/>
          <w:bCs/>
          <w:sz w:val="32"/>
          <w:szCs w:val="32"/>
        </w:rPr>
        <w:t>评标标准</w:t>
      </w:r>
      <w:bookmarkEnd w:id="70"/>
    </w:p>
    <w:p w14:paraId="22A259E4">
      <w:pPr>
        <w:spacing w:line="400" w:lineRule="exact"/>
        <w:ind w:firstLine="480" w:firstLineChars="200"/>
        <w:rPr>
          <w:sz w:val="24"/>
          <w:szCs w:val="24"/>
        </w:rPr>
      </w:pPr>
      <w:r>
        <w:rPr>
          <w:rFonts w:hint="eastAsia"/>
          <w:sz w:val="24"/>
          <w:szCs w:val="24"/>
        </w:rPr>
        <w:t>本项目采用综合评分法，评分统计方法采用百分制（满分 100 分），小数点后保留2位。按评审后得分由高到低顺序排列，得分相同的，按报价由低到高顺序排列，得分且报价相同的，按技术指标优劣顺序排列，由磋商小组确定成交供应商。</w:t>
      </w:r>
    </w:p>
    <w:tbl>
      <w:tblPr>
        <w:tblStyle w:val="3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008"/>
        <w:gridCol w:w="6366"/>
        <w:gridCol w:w="750"/>
      </w:tblGrid>
      <w:tr w14:paraId="187C1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 w:type="pct"/>
            <w:tcBorders>
              <w:top w:val="single" w:color="auto" w:sz="4" w:space="0"/>
              <w:left w:val="single" w:color="auto" w:sz="4" w:space="0"/>
              <w:bottom w:val="single" w:color="auto" w:sz="4" w:space="0"/>
              <w:right w:val="single" w:color="auto" w:sz="4" w:space="0"/>
            </w:tcBorders>
            <w:shd w:val="clear" w:color="auto" w:fill="auto"/>
            <w:vAlign w:val="center"/>
          </w:tcPr>
          <w:p w14:paraId="4623F7E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序号</w:t>
            </w:r>
          </w:p>
        </w:tc>
        <w:tc>
          <w:tcPr>
            <w:tcW w:w="590" w:type="pct"/>
            <w:tcBorders>
              <w:top w:val="single" w:color="auto" w:sz="4" w:space="0"/>
              <w:left w:val="single" w:color="auto" w:sz="4" w:space="0"/>
              <w:bottom w:val="single" w:color="auto" w:sz="4" w:space="0"/>
              <w:right w:val="single" w:color="auto" w:sz="4" w:space="0"/>
            </w:tcBorders>
            <w:shd w:val="clear" w:color="auto" w:fill="auto"/>
            <w:vAlign w:val="center"/>
          </w:tcPr>
          <w:p w14:paraId="6CEAD12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评分因素</w:t>
            </w:r>
          </w:p>
        </w:tc>
        <w:tc>
          <w:tcPr>
            <w:tcW w:w="3710" w:type="pct"/>
            <w:tcBorders>
              <w:top w:val="single" w:color="auto" w:sz="4" w:space="0"/>
              <w:left w:val="single" w:color="auto" w:sz="4" w:space="0"/>
              <w:bottom w:val="single" w:color="auto" w:sz="4" w:space="0"/>
              <w:right w:val="single" w:color="auto" w:sz="4" w:space="0"/>
            </w:tcBorders>
            <w:shd w:val="clear" w:color="auto" w:fill="auto"/>
            <w:vAlign w:val="center"/>
          </w:tcPr>
          <w:p w14:paraId="0766BCC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评分标准</w:t>
            </w:r>
          </w:p>
        </w:tc>
        <w:tc>
          <w:tcPr>
            <w:tcW w:w="439" w:type="pct"/>
            <w:tcBorders>
              <w:top w:val="single" w:color="auto" w:sz="4" w:space="0"/>
              <w:left w:val="single" w:color="auto" w:sz="4" w:space="0"/>
              <w:bottom w:val="single" w:color="auto" w:sz="4" w:space="0"/>
              <w:right w:val="single" w:color="auto" w:sz="4" w:space="0"/>
            </w:tcBorders>
            <w:shd w:val="clear" w:color="auto" w:fill="auto"/>
            <w:vAlign w:val="center"/>
          </w:tcPr>
          <w:p w14:paraId="0B640E0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分值</w:t>
            </w:r>
          </w:p>
        </w:tc>
      </w:tr>
      <w:tr w14:paraId="79869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 w:type="pct"/>
            <w:tcBorders>
              <w:top w:val="single" w:color="auto" w:sz="4" w:space="0"/>
              <w:left w:val="single" w:color="auto" w:sz="4" w:space="0"/>
              <w:bottom w:val="single" w:color="auto" w:sz="4" w:space="0"/>
              <w:right w:val="single" w:color="auto" w:sz="4" w:space="0"/>
            </w:tcBorders>
            <w:shd w:val="clear" w:color="auto" w:fill="auto"/>
            <w:vAlign w:val="center"/>
          </w:tcPr>
          <w:p w14:paraId="6B66472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1</w:t>
            </w:r>
          </w:p>
        </w:tc>
        <w:tc>
          <w:tcPr>
            <w:tcW w:w="590" w:type="pct"/>
            <w:tcBorders>
              <w:top w:val="single" w:color="auto" w:sz="4" w:space="0"/>
              <w:left w:val="single" w:color="auto" w:sz="4" w:space="0"/>
              <w:bottom w:val="single" w:color="auto" w:sz="4" w:space="0"/>
              <w:right w:val="single" w:color="auto" w:sz="4" w:space="0"/>
            </w:tcBorders>
            <w:shd w:val="clear" w:color="auto" w:fill="auto"/>
            <w:vAlign w:val="center"/>
          </w:tcPr>
          <w:p w14:paraId="4DC3EAD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价格</w:t>
            </w:r>
          </w:p>
        </w:tc>
        <w:tc>
          <w:tcPr>
            <w:tcW w:w="3710" w:type="pct"/>
            <w:tcBorders>
              <w:top w:val="single" w:color="auto" w:sz="4" w:space="0"/>
              <w:left w:val="single" w:color="auto" w:sz="4" w:space="0"/>
              <w:bottom w:val="single" w:color="auto" w:sz="4" w:space="0"/>
              <w:right w:val="single" w:color="auto" w:sz="4" w:space="0"/>
            </w:tcBorders>
            <w:shd w:val="clear" w:color="auto" w:fill="auto"/>
            <w:vAlign w:val="center"/>
          </w:tcPr>
          <w:p w14:paraId="701463B6">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kern w:val="2"/>
                <w:sz w:val="24"/>
                <w:szCs w:val="24"/>
              </w:rPr>
            </w:pPr>
            <w:r>
              <w:rPr>
                <w:rFonts w:hint="eastAsia" w:ascii="宋体" w:hAnsi="宋体" w:eastAsia="宋体" w:cs="宋体"/>
                <w:kern w:val="2"/>
                <w:sz w:val="24"/>
                <w:szCs w:val="24"/>
              </w:rPr>
              <w:t>价格得分采用低价优先法计算，即通过审查且投标价格最低的投标报价为评标基准价，其价格评估得分为</w:t>
            </w:r>
            <w:r>
              <w:rPr>
                <w:rFonts w:hint="eastAsia" w:ascii="宋体" w:hAnsi="宋体" w:eastAsia="宋体" w:cs="宋体"/>
                <w:kern w:val="2"/>
                <w:sz w:val="24"/>
                <w:szCs w:val="24"/>
                <w:lang w:val="en-US" w:eastAsia="zh-CN"/>
              </w:rPr>
              <w:t>20</w:t>
            </w:r>
            <w:r>
              <w:rPr>
                <w:rFonts w:hint="eastAsia" w:ascii="宋体" w:hAnsi="宋体" w:eastAsia="宋体" w:cs="宋体"/>
                <w:kern w:val="2"/>
                <w:sz w:val="24"/>
                <w:szCs w:val="24"/>
              </w:rPr>
              <w:t>分；其他投标人的价格分按照下列公式计算（小数点保留两位）：投标报价得分＝（评标基准价/投标报价）×</w:t>
            </w:r>
            <w:r>
              <w:rPr>
                <w:rFonts w:hint="eastAsia" w:ascii="宋体" w:hAnsi="宋体" w:eastAsia="宋体" w:cs="宋体"/>
                <w:kern w:val="2"/>
                <w:sz w:val="24"/>
                <w:szCs w:val="24"/>
                <w:lang w:val="en-US" w:eastAsia="zh-CN"/>
              </w:rPr>
              <w:t>20</w:t>
            </w:r>
            <w:r>
              <w:rPr>
                <w:rFonts w:hint="eastAsia" w:ascii="宋体" w:hAnsi="宋体" w:eastAsia="宋体" w:cs="宋体"/>
                <w:kern w:val="2"/>
                <w:sz w:val="24"/>
                <w:szCs w:val="24"/>
              </w:rPr>
              <w:t>分。</w:t>
            </w:r>
          </w:p>
          <w:p w14:paraId="59422CC2">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kern w:val="2"/>
                <w:sz w:val="24"/>
                <w:szCs w:val="24"/>
              </w:rPr>
            </w:pPr>
            <w:r>
              <w:rPr>
                <w:rFonts w:hint="eastAsia" w:ascii="宋体" w:hAnsi="宋体" w:eastAsia="宋体" w:cs="宋体"/>
                <w:kern w:val="2"/>
                <w:sz w:val="24"/>
                <w:szCs w:val="24"/>
              </w:rPr>
              <w:t>注：上述“最低的投标报价”必须合理。如果最低报价属于恶意竞争或明显低于成本价，评审专家将认定为无效投标。</w:t>
            </w:r>
          </w:p>
        </w:tc>
        <w:tc>
          <w:tcPr>
            <w:tcW w:w="439" w:type="pct"/>
            <w:tcBorders>
              <w:top w:val="single" w:color="auto" w:sz="4" w:space="0"/>
              <w:left w:val="single" w:color="auto" w:sz="4" w:space="0"/>
              <w:bottom w:val="single" w:color="auto" w:sz="4" w:space="0"/>
              <w:right w:val="single" w:color="auto" w:sz="4" w:space="0"/>
            </w:tcBorders>
            <w:shd w:val="clear" w:color="auto" w:fill="auto"/>
            <w:vAlign w:val="center"/>
          </w:tcPr>
          <w:p w14:paraId="5ABC013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20</w:t>
            </w:r>
          </w:p>
        </w:tc>
      </w:tr>
      <w:tr w14:paraId="69F99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 w:type="pct"/>
            <w:tcBorders>
              <w:top w:val="single" w:color="auto" w:sz="4" w:space="0"/>
              <w:left w:val="single" w:color="auto" w:sz="4" w:space="0"/>
              <w:bottom w:val="single" w:color="auto" w:sz="4" w:space="0"/>
              <w:right w:val="single" w:color="auto" w:sz="4" w:space="0"/>
            </w:tcBorders>
            <w:shd w:val="clear" w:color="auto" w:fill="auto"/>
            <w:vAlign w:val="center"/>
          </w:tcPr>
          <w:p w14:paraId="3AA2152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2</w:t>
            </w:r>
          </w:p>
        </w:tc>
        <w:tc>
          <w:tcPr>
            <w:tcW w:w="590" w:type="pct"/>
            <w:tcBorders>
              <w:top w:val="single" w:color="auto" w:sz="4" w:space="0"/>
              <w:left w:val="single" w:color="auto" w:sz="4" w:space="0"/>
              <w:bottom w:val="single" w:color="auto" w:sz="4" w:space="0"/>
              <w:right w:val="single" w:color="auto" w:sz="4" w:space="0"/>
            </w:tcBorders>
            <w:shd w:val="clear" w:color="auto" w:fill="auto"/>
            <w:vAlign w:val="center"/>
          </w:tcPr>
          <w:p w14:paraId="7713109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lang w:val="en-US" w:eastAsia="zh-CN" w:bidi="ar"/>
              </w:rPr>
              <w:t>类似项目业绩</w:t>
            </w:r>
          </w:p>
        </w:tc>
        <w:tc>
          <w:tcPr>
            <w:tcW w:w="3710" w:type="pct"/>
            <w:tcBorders>
              <w:top w:val="single" w:color="auto" w:sz="4" w:space="0"/>
              <w:left w:val="single" w:color="auto" w:sz="4" w:space="0"/>
              <w:bottom w:val="single" w:color="auto" w:sz="4" w:space="0"/>
              <w:right w:val="single" w:color="auto" w:sz="4" w:space="0"/>
            </w:tcBorders>
            <w:shd w:val="clear" w:color="auto" w:fill="auto"/>
            <w:vAlign w:val="center"/>
          </w:tcPr>
          <w:p w14:paraId="7E457F26">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kern w:val="2"/>
                <w:sz w:val="24"/>
                <w:szCs w:val="24"/>
              </w:rPr>
            </w:pPr>
            <w:r>
              <w:rPr>
                <w:rFonts w:hint="eastAsia" w:ascii="宋体" w:hAnsi="宋体" w:eastAsia="宋体" w:cs="宋体"/>
                <w:kern w:val="2"/>
                <w:sz w:val="24"/>
                <w:szCs w:val="24"/>
              </w:rPr>
              <w:t>投标人提供自2022年1月1日以来承担过的政府机关、事业单位、高等院校类似项目业绩，每提供1个得4分，最多得12分（提供中标（成交）通知书、合同，日期以中标（成交）通知书日期为准，提供以上材料复印件并加盖单位公章，未提供或资料不完整不得分）</w:t>
            </w:r>
          </w:p>
        </w:tc>
        <w:tc>
          <w:tcPr>
            <w:tcW w:w="439" w:type="pct"/>
            <w:tcBorders>
              <w:top w:val="single" w:color="auto" w:sz="4" w:space="0"/>
              <w:left w:val="single" w:color="auto" w:sz="4" w:space="0"/>
              <w:bottom w:val="single" w:color="auto" w:sz="4" w:space="0"/>
              <w:right w:val="single" w:color="auto" w:sz="4" w:space="0"/>
            </w:tcBorders>
            <w:shd w:val="clear" w:color="auto" w:fill="auto"/>
            <w:vAlign w:val="center"/>
          </w:tcPr>
          <w:p w14:paraId="4B2BCA3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12</w:t>
            </w:r>
          </w:p>
        </w:tc>
      </w:tr>
      <w:tr w14:paraId="30514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 w:type="pct"/>
            <w:tcBorders>
              <w:top w:val="single" w:color="auto" w:sz="4" w:space="0"/>
              <w:left w:val="single" w:color="auto" w:sz="4" w:space="0"/>
              <w:bottom w:val="single" w:color="auto" w:sz="4" w:space="0"/>
              <w:right w:val="single" w:color="auto" w:sz="4" w:space="0"/>
            </w:tcBorders>
            <w:shd w:val="clear" w:color="auto" w:fill="auto"/>
            <w:vAlign w:val="center"/>
          </w:tcPr>
          <w:p w14:paraId="2666951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3</w:t>
            </w:r>
          </w:p>
        </w:tc>
        <w:tc>
          <w:tcPr>
            <w:tcW w:w="590" w:type="pct"/>
            <w:tcBorders>
              <w:top w:val="single" w:color="auto" w:sz="4" w:space="0"/>
              <w:left w:val="single" w:color="auto" w:sz="4" w:space="0"/>
              <w:bottom w:val="single" w:color="auto" w:sz="4" w:space="0"/>
              <w:right w:val="single" w:color="auto" w:sz="4" w:space="0"/>
            </w:tcBorders>
            <w:shd w:val="clear" w:color="auto" w:fill="auto"/>
            <w:vAlign w:val="center"/>
          </w:tcPr>
          <w:p w14:paraId="4871415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4"/>
                <w:szCs w:val="24"/>
                <w:lang w:bidi="ar"/>
              </w:rPr>
            </w:pPr>
            <w:r>
              <w:rPr>
                <w:rFonts w:hint="eastAsia" w:ascii="宋体" w:hAnsi="宋体" w:eastAsia="宋体" w:cs="宋体"/>
                <w:kern w:val="2"/>
                <w:sz w:val="24"/>
                <w:szCs w:val="24"/>
                <w:lang w:bidi="ar"/>
              </w:rPr>
              <w:t>投标人实力</w:t>
            </w:r>
          </w:p>
        </w:tc>
        <w:tc>
          <w:tcPr>
            <w:tcW w:w="3710" w:type="pct"/>
            <w:tcBorders>
              <w:top w:val="single" w:color="auto" w:sz="4" w:space="0"/>
              <w:left w:val="single" w:color="auto" w:sz="4" w:space="0"/>
              <w:bottom w:val="single" w:color="auto" w:sz="4" w:space="0"/>
              <w:right w:val="single" w:color="auto" w:sz="4" w:space="0"/>
            </w:tcBorders>
            <w:shd w:val="clear" w:color="auto" w:fill="auto"/>
            <w:vAlign w:val="center"/>
          </w:tcPr>
          <w:p w14:paraId="3BE42E66">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（1）投标人具有有效期内的ISO9001质量管理体系认证证书、ISO14001环境管理体系认证证书、ISO45001职业健康安全管理体系证书，每满足1个得1分，最高得3分</w:t>
            </w:r>
            <w:r>
              <w:rPr>
                <w:rFonts w:hint="eastAsia" w:ascii="宋体" w:hAnsi="宋体" w:eastAsia="宋体" w:cs="宋体"/>
                <w:kern w:val="2"/>
                <w:sz w:val="24"/>
                <w:szCs w:val="24"/>
                <w:lang w:eastAsia="zh-CN"/>
              </w:rPr>
              <w:t>，</w:t>
            </w:r>
            <w:r>
              <w:rPr>
                <w:rFonts w:hint="eastAsia" w:ascii="宋体" w:hAnsi="宋体" w:eastAsia="宋体" w:cs="宋体"/>
                <w:kern w:val="2"/>
                <w:sz w:val="24"/>
                <w:szCs w:val="24"/>
                <w:lang w:val="en-US" w:eastAsia="zh-CN"/>
              </w:rPr>
              <w:t>提供证书复印件并加盖公章</w:t>
            </w:r>
            <w:r>
              <w:rPr>
                <w:rFonts w:hint="eastAsia" w:ascii="宋体" w:hAnsi="宋体" w:eastAsia="宋体" w:cs="宋体"/>
                <w:kern w:val="2"/>
                <w:sz w:val="24"/>
                <w:szCs w:val="24"/>
              </w:rPr>
              <w:t>；</w:t>
            </w:r>
          </w:p>
          <w:p w14:paraId="3BD4D4B3">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lang w:eastAsia="zh-CN"/>
              </w:rPr>
            </w:pPr>
            <w:r>
              <w:rPr>
                <w:rFonts w:hint="eastAsia" w:ascii="宋体" w:hAnsi="宋体" w:eastAsia="宋体" w:cs="宋体"/>
                <w:kern w:val="2"/>
                <w:sz w:val="24"/>
                <w:szCs w:val="24"/>
              </w:rPr>
              <w:t>（2）投标人具有江苏省市场监督管理局发布的“电梯维保单位星级证书”连续3年获得过五星级证书，得5分，连续3年获得过四星级证书，得3分，其余不得分</w:t>
            </w:r>
            <w:r>
              <w:rPr>
                <w:rFonts w:hint="eastAsia" w:ascii="宋体" w:hAnsi="宋体" w:eastAsia="宋体" w:cs="宋体"/>
                <w:sz w:val="24"/>
                <w:szCs w:val="24"/>
                <w:lang w:eastAsia="zh-CN"/>
              </w:rPr>
              <w:t>；</w:t>
            </w:r>
          </w:p>
          <w:p w14:paraId="348E2DD8">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承诺为所有电梯设备搭建数字化管理小程序或者 APP 管理平台并提供小程序或者 APP名称，得3分，提供承诺函并加盖公章，不提供不得分。</w:t>
            </w:r>
          </w:p>
          <w:p w14:paraId="2087BFCD">
            <w:pPr>
              <w:pStyle w:val="17"/>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rPr>
            </w:pPr>
            <w:r>
              <w:rPr>
                <w:rFonts w:hint="eastAsia" w:ascii="宋体" w:hAnsi="宋体" w:eastAsia="宋体" w:cs="宋体"/>
                <w:kern w:val="2"/>
                <w:sz w:val="24"/>
                <w:szCs w:val="24"/>
              </w:rPr>
              <w:t>提供证书复印件并加盖公章，不提供不得分。</w:t>
            </w:r>
          </w:p>
        </w:tc>
        <w:tc>
          <w:tcPr>
            <w:tcW w:w="439" w:type="pct"/>
            <w:tcBorders>
              <w:top w:val="single" w:color="auto" w:sz="4" w:space="0"/>
              <w:left w:val="single" w:color="auto" w:sz="4" w:space="0"/>
              <w:bottom w:val="single" w:color="auto" w:sz="4" w:space="0"/>
              <w:right w:val="single" w:color="auto" w:sz="4" w:space="0"/>
            </w:tcBorders>
            <w:shd w:val="clear" w:color="auto" w:fill="auto"/>
            <w:vAlign w:val="center"/>
          </w:tcPr>
          <w:p w14:paraId="12D5D4C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11</w:t>
            </w:r>
          </w:p>
        </w:tc>
      </w:tr>
      <w:tr w14:paraId="636B3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 w:type="pct"/>
            <w:tcBorders>
              <w:top w:val="single" w:color="auto" w:sz="4" w:space="0"/>
              <w:left w:val="single" w:color="auto" w:sz="4" w:space="0"/>
              <w:bottom w:val="single" w:color="auto" w:sz="4" w:space="0"/>
              <w:right w:val="single" w:color="auto" w:sz="4" w:space="0"/>
            </w:tcBorders>
            <w:shd w:val="clear" w:color="auto" w:fill="auto"/>
            <w:vAlign w:val="center"/>
          </w:tcPr>
          <w:p w14:paraId="393EB42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4</w:t>
            </w:r>
          </w:p>
        </w:tc>
        <w:tc>
          <w:tcPr>
            <w:tcW w:w="590" w:type="pct"/>
            <w:tcBorders>
              <w:top w:val="single" w:color="auto" w:sz="4" w:space="0"/>
              <w:left w:val="single" w:color="auto" w:sz="4" w:space="0"/>
              <w:bottom w:val="single" w:color="auto" w:sz="4" w:space="0"/>
              <w:right w:val="single" w:color="auto" w:sz="4" w:space="0"/>
            </w:tcBorders>
            <w:shd w:val="clear" w:color="auto" w:fill="auto"/>
            <w:vAlign w:val="center"/>
          </w:tcPr>
          <w:p w14:paraId="35918E2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服务团队</w:t>
            </w:r>
          </w:p>
        </w:tc>
        <w:tc>
          <w:tcPr>
            <w:tcW w:w="3710" w:type="pct"/>
            <w:tcBorders>
              <w:top w:val="single" w:color="auto" w:sz="4" w:space="0"/>
              <w:left w:val="single" w:color="auto" w:sz="4" w:space="0"/>
              <w:bottom w:val="single" w:color="auto" w:sz="4" w:space="0"/>
              <w:right w:val="single" w:color="auto" w:sz="4" w:space="0"/>
            </w:tcBorders>
            <w:shd w:val="clear" w:color="auto" w:fill="auto"/>
            <w:vAlign w:val="center"/>
          </w:tcPr>
          <w:p w14:paraId="2C07A6DE">
            <w:pPr>
              <w:pStyle w:val="17"/>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投标人为本项目拟派不少于2人的服务团队，提供人员清单，得2分；</w:t>
            </w:r>
          </w:p>
          <w:p w14:paraId="347CB566">
            <w:pPr>
              <w:pStyle w:val="17"/>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服务团队人员中具有中华人民共和国人力资源和社会保障部印制的电梯安装维修工职业资格证书</w:t>
            </w:r>
            <w:r>
              <w:rPr>
                <w:rFonts w:hint="eastAsia" w:ascii="宋体" w:hAnsi="宋体" w:eastAsia="宋体" w:cs="宋体"/>
                <w:color w:val="auto"/>
                <w:kern w:val="2"/>
                <w:sz w:val="24"/>
                <w:szCs w:val="24"/>
                <w:highlight w:val="none"/>
                <w:lang w:val="en-US" w:eastAsia="zh-CN"/>
              </w:rPr>
              <w:t>（三级/高级工），</w:t>
            </w:r>
            <w:r>
              <w:rPr>
                <w:rFonts w:hint="eastAsia" w:ascii="宋体" w:hAnsi="宋体" w:eastAsia="宋体" w:cs="宋体"/>
                <w:kern w:val="2"/>
                <w:sz w:val="24"/>
                <w:szCs w:val="24"/>
                <w:lang w:val="en-US" w:eastAsia="zh-CN"/>
              </w:rPr>
              <w:t>每提供1人得2分，满分4分，提供证书复印件并加盖公章，不提供不得分；</w:t>
            </w:r>
          </w:p>
          <w:p w14:paraId="1B0D8155">
            <w:pPr>
              <w:pStyle w:val="17"/>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服务团队人员提供驻场服务，提供承诺函并加盖公章，得3分，格式自拟，不提供不得分。</w:t>
            </w:r>
          </w:p>
          <w:p w14:paraId="662295CC">
            <w:pPr>
              <w:pStyle w:val="17"/>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以上人员须提供投标人为其缴纳的近半年任意一个月（不含报价当月）的社保证明材料加盖单位公章，未提供或资料不完整不得分。</w:t>
            </w:r>
          </w:p>
        </w:tc>
        <w:tc>
          <w:tcPr>
            <w:tcW w:w="439" w:type="pct"/>
            <w:tcBorders>
              <w:top w:val="single" w:color="auto" w:sz="4" w:space="0"/>
              <w:left w:val="single" w:color="auto" w:sz="4" w:space="0"/>
              <w:bottom w:val="single" w:color="auto" w:sz="4" w:space="0"/>
              <w:right w:val="single" w:color="auto" w:sz="4" w:space="0"/>
            </w:tcBorders>
            <w:shd w:val="clear" w:color="auto" w:fill="auto"/>
            <w:vAlign w:val="center"/>
          </w:tcPr>
          <w:p w14:paraId="3C9962A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lang w:val="en-US" w:eastAsia="zh-CN"/>
              </w:rPr>
              <w:t>9</w:t>
            </w:r>
          </w:p>
        </w:tc>
      </w:tr>
      <w:tr w14:paraId="77284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 w:type="pct"/>
            <w:tcBorders>
              <w:top w:val="single" w:color="auto" w:sz="4" w:space="0"/>
              <w:left w:val="single" w:color="auto" w:sz="4" w:space="0"/>
              <w:bottom w:val="single" w:color="auto" w:sz="4" w:space="0"/>
              <w:right w:val="single" w:color="auto" w:sz="4" w:space="0"/>
            </w:tcBorders>
            <w:shd w:val="clear" w:color="auto" w:fill="auto"/>
            <w:vAlign w:val="center"/>
          </w:tcPr>
          <w:p w14:paraId="41B9DB4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5</w:t>
            </w:r>
          </w:p>
        </w:tc>
        <w:tc>
          <w:tcPr>
            <w:tcW w:w="590" w:type="pct"/>
            <w:tcBorders>
              <w:top w:val="single" w:color="auto" w:sz="4" w:space="0"/>
              <w:left w:val="single" w:color="auto" w:sz="4" w:space="0"/>
              <w:bottom w:val="single" w:color="auto" w:sz="4" w:space="0"/>
              <w:right w:val="single" w:color="auto" w:sz="4" w:space="0"/>
            </w:tcBorders>
            <w:shd w:val="clear" w:color="auto" w:fill="auto"/>
            <w:vAlign w:val="center"/>
          </w:tcPr>
          <w:p w14:paraId="3F8E0B7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总体服务方案</w:t>
            </w:r>
          </w:p>
        </w:tc>
        <w:tc>
          <w:tcPr>
            <w:tcW w:w="3710" w:type="pct"/>
            <w:tcBorders>
              <w:top w:val="single" w:color="auto" w:sz="4" w:space="0"/>
              <w:left w:val="single" w:color="auto" w:sz="4" w:space="0"/>
              <w:bottom w:val="single" w:color="auto" w:sz="4" w:space="0"/>
              <w:right w:val="single" w:color="auto" w:sz="4" w:space="0"/>
            </w:tcBorders>
            <w:shd w:val="clear" w:color="auto" w:fill="auto"/>
            <w:vAlign w:val="center"/>
          </w:tcPr>
          <w:p w14:paraId="1FEE6A89">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评委根据投标人提供的服务重点与难点识别、服务思路与创新性及方案完整性与针对性等综合打分：</w:t>
            </w:r>
          </w:p>
          <w:p w14:paraId="05F77422">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kern w:val="2"/>
                <w:sz w:val="24"/>
                <w:szCs w:val="24"/>
                <w:lang w:val="en-US" w:eastAsia="zh-CN"/>
              </w:rPr>
            </w:pPr>
            <w:r>
              <w:rPr>
                <w:rFonts w:hint="eastAsia" w:ascii="宋体" w:hAnsi="宋体" w:eastAsia="宋体" w:cs="宋体"/>
                <w:b/>
                <w:bCs/>
                <w:kern w:val="2"/>
                <w:sz w:val="24"/>
                <w:szCs w:val="24"/>
                <w:lang w:val="en-US" w:eastAsia="zh-CN"/>
              </w:rPr>
              <w:t>服务重点与难点识别：</w:t>
            </w:r>
            <w:r>
              <w:rPr>
                <w:rFonts w:hint="eastAsia" w:ascii="宋体" w:hAnsi="宋体" w:eastAsia="宋体" w:cs="宋体"/>
                <w:kern w:val="2"/>
                <w:sz w:val="24"/>
                <w:szCs w:val="24"/>
                <w:lang w:val="en-US" w:eastAsia="zh-CN"/>
              </w:rPr>
              <w:t>明确列出本项目维保服务的重点（如安全运行、保障教学秩序）和难点（如老旧电梯故障预防、配件供应时效）。识别准确，且针对性强，得4分；识别基本准确，针对性一般的，得2分；识别不清或缺乏针对性的，得0分。</w:t>
            </w:r>
          </w:p>
          <w:p w14:paraId="7771F619">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kern w:val="2"/>
                <w:sz w:val="24"/>
                <w:szCs w:val="24"/>
                <w:lang w:val="en-US" w:eastAsia="zh-CN"/>
              </w:rPr>
            </w:pPr>
            <w:r>
              <w:rPr>
                <w:rFonts w:hint="eastAsia" w:ascii="宋体" w:hAnsi="宋体" w:eastAsia="宋体" w:cs="宋体"/>
                <w:b/>
                <w:bCs/>
                <w:kern w:val="2"/>
                <w:sz w:val="24"/>
                <w:szCs w:val="24"/>
                <w:lang w:val="en-US" w:eastAsia="zh-CN"/>
              </w:rPr>
              <w:t>服务思路与创新性：</w:t>
            </w:r>
            <w:r>
              <w:rPr>
                <w:rFonts w:hint="eastAsia" w:ascii="宋体" w:hAnsi="宋体" w:eastAsia="宋体" w:cs="宋体"/>
                <w:kern w:val="2"/>
                <w:sz w:val="24"/>
                <w:szCs w:val="24"/>
                <w:lang w:val="en-US" w:eastAsia="zh-CN"/>
              </w:rPr>
              <w:t>提出明确的服务总体思路和管理模式。思路清晰，并运用了信息化、预防性维护等先进管理方法或技术，具有创新性的，得4分；思路基本清晰，方法常规的，得2分；思路混乱或照搬模板的，得0分。</w:t>
            </w:r>
          </w:p>
          <w:p w14:paraId="2B1C9952">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kern w:val="2"/>
                <w:sz w:val="24"/>
                <w:szCs w:val="24"/>
                <w:lang w:val="en-US" w:eastAsia="zh-CN"/>
              </w:rPr>
            </w:pPr>
            <w:r>
              <w:rPr>
                <w:rFonts w:hint="eastAsia" w:ascii="宋体" w:hAnsi="宋体" w:eastAsia="宋体" w:cs="宋体"/>
                <w:b/>
                <w:bCs/>
                <w:kern w:val="2"/>
                <w:sz w:val="24"/>
                <w:szCs w:val="24"/>
                <w:lang w:val="en-US" w:eastAsia="zh-CN"/>
              </w:rPr>
              <w:t>方案完整性与针对性：</w:t>
            </w:r>
            <w:r>
              <w:rPr>
                <w:rFonts w:hint="eastAsia" w:ascii="宋体" w:hAnsi="宋体" w:eastAsia="宋体" w:cs="宋体"/>
                <w:kern w:val="2"/>
                <w:sz w:val="24"/>
                <w:szCs w:val="24"/>
                <w:lang w:val="en-US" w:eastAsia="zh-CN"/>
              </w:rPr>
              <w:t>方案内容完整，完全针对本项目定制，未发现简单套用其他项目模板的痕迹。条理清晰，逻辑严谨的，得4分；内容较完整，针对性较强的，得2分；内容缺失或明显为通用模板的，得0分。</w:t>
            </w:r>
          </w:p>
        </w:tc>
        <w:tc>
          <w:tcPr>
            <w:tcW w:w="439" w:type="pct"/>
            <w:tcBorders>
              <w:top w:val="single" w:color="auto" w:sz="4" w:space="0"/>
              <w:left w:val="single" w:color="auto" w:sz="4" w:space="0"/>
              <w:bottom w:val="single" w:color="auto" w:sz="4" w:space="0"/>
              <w:right w:val="single" w:color="auto" w:sz="4" w:space="0"/>
            </w:tcBorders>
            <w:shd w:val="clear" w:color="auto" w:fill="auto"/>
            <w:vAlign w:val="center"/>
          </w:tcPr>
          <w:p w14:paraId="63FFCFE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12</w:t>
            </w:r>
          </w:p>
        </w:tc>
      </w:tr>
      <w:tr w14:paraId="3D52E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58" w:type="pct"/>
            <w:tcBorders>
              <w:top w:val="single" w:color="auto" w:sz="4" w:space="0"/>
              <w:left w:val="single" w:color="auto" w:sz="4" w:space="0"/>
              <w:bottom w:val="single" w:color="auto" w:sz="4" w:space="0"/>
              <w:right w:val="single" w:color="auto" w:sz="4" w:space="0"/>
            </w:tcBorders>
            <w:shd w:val="clear" w:color="auto" w:fill="auto"/>
            <w:vAlign w:val="center"/>
          </w:tcPr>
          <w:p w14:paraId="46FDB53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6</w:t>
            </w:r>
          </w:p>
        </w:tc>
        <w:tc>
          <w:tcPr>
            <w:tcW w:w="590" w:type="pct"/>
            <w:tcBorders>
              <w:top w:val="single" w:color="auto" w:sz="4" w:space="0"/>
              <w:left w:val="single" w:color="auto" w:sz="4" w:space="0"/>
              <w:bottom w:val="single" w:color="auto" w:sz="4" w:space="0"/>
              <w:right w:val="single" w:color="auto" w:sz="4" w:space="0"/>
            </w:tcBorders>
            <w:shd w:val="clear" w:color="auto" w:fill="auto"/>
            <w:vAlign w:val="center"/>
          </w:tcPr>
          <w:p w14:paraId="0E1E82D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项目管理方案</w:t>
            </w:r>
          </w:p>
        </w:tc>
        <w:tc>
          <w:tcPr>
            <w:tcW w:w="3710" w:type="pct"/>
            <w:tcBorders>
              <w:top w:val="single" w:color="auto" w:sz="4" w:space="0"/>
              <w:left w:val="single" w:color="auto" w:sz="4" w:space="0"/>
              <w:bottom w:val="single" w:color="auto" w:sz="4" w:space="0"/>
              <w:right w:val="single" w:color="auto" w:sz="4" w:space="0"/>
            </w:tcBorders>
            <w:shd w:val="clear" w:color="auto" w:fill="auto"/>
            <w:vAlign w:val="center"/>
          </w:tcPr>
          <w:p w14:paraId="14A5C5EB">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评委根据投标人提供的维保服务操作流程、质量与安全管理制度及针对本项目的研究与预案等综合打分：</w:t>
            </w:r>
          </w:p>
          <w:p w14:paraId="4FFE5F28">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维保服务操作流程：</w:t>
            </w:r>
            <w:r>
              <w:rPr>
                <w:rFonts w:hint="eastAsia" w:ascii="宋体" w:hAnsi="宋体" w:eastAsia="宋体" w:cs="宋体"/>
                <w:sz w:val="24"/>
                <w:szCs w:val="24"/>
                <w:highlight w:val="none"/>
                <w:lang w:val="en-US" w:eastAsia="zh-CN"/>
              </w:rPr>
              <w:t>提供针对半月、季度、半年、年度维保的标准化作业流程（SOP），流程图表清晰，关键节点（如检查、测试、记录、确认）明确的，得</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分；有基本流程但不够细致的，得</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分；流程缺失或过于简略的，得0分。</w:t>
            </w:r>
          </w:p>
          <w:p w14:paraId="7E793FF1">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kern w:val="2"/>
                <w:sz w:val="24"/>
                <w:szCs w:val="24"/>
              </w:rPr>
            </w:pPr>
            <w:r>
              <w:rPr>
                <w:rFonts w:hint="eastAsia" w:ascii="宋体" w:hAnsi="宋体" w:eastAsia="宋体" w:cs="宋体"/>
                <w:b/>
                <w:bCs/>
                <w:sz w:val="24"/>
                <w:szCs w:val="24"/>
                <w:highlight w:val="none"/>
                <w:lang w:val="en-US" w:eastAsia="zh-CN"/>
              </w:rPr>
              <w:t>质量与安全管理制度：</w:t>
            </w:r>
            <w:r>
              <w:rPr>
                <w:rFonts w:hint="eastAsia" w:ascii="宋体" w:hAnsi="宋体" w:eastAsia="宋体" w:cs="宋体"/>
                <w:sz w:val="24"/>
                <w:szCs w:val="24"/>
                <w:highlight w:val="none"/>
                <w:lang w:val="en-US" w:eastAsia="zh-CN"/>
              </w:rPr>
              <w:t>提供具体的服务质量内部考核办法、安全检查制度、安全教育与培训计划。制度完善、可操作性强的，得</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分；制度较为完善的，得</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分；制度缺失或流于形式的，得0分。</w:t>
            </w:r>
          </w:p>
        </w:tc>
        <w:tc>
          <w:tcPr>
            <w:tcW w:w="439" w:type="pct"/>
            <w:tcBorders>
              <w:top w:val="single" w:color="auto" w:sz="4" w:space="0"/>
              <w:left w:val="single" w:color="auto" w:sz="4" w:space="0"/>
              <w:bottom w:val="single" w:color="auto" w:sz="4" w:space="0"/>
              <w:right w:val="single" w:color="auto" w:sz="4" w:space="0"/>
            </w:tcBorders>
            <w:shd w:val="clear" w:color="auto" w:fill="auto"/>
            <w:vAlign w:val="center"/>
          </w:tcPr>
          <w:p w14:paraId="1BC3B06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kern w:val="2"/>
                <w:sz w:val="24"/>
                <w:szCs w:val="24"/>
                <w:lang w:val="en-US" w:eastAsia="zh-CN"/>
              </w:rPr>
            </w:pPr>
            <w:r>
              <w:rPr>
                <w:rFonts w:hint="eastAsia" w:ascii="宋体" w:hAnsi="宋体" w:cs="宋体"/>
                <w:kern w:val="2"/>
                <w:sz w:val="24"/>
                <w:szCs w:val="24"/>
                <w:lang w:val="en-US" w:eastAsia="zh-CN"/>
              </w:rPr>
              <w:t>10</w:t>
            </w:r>
          </w:p>
        </w:tc>
      </w:tr>
      <w:tr w14:paraId="04A3F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58" w:type="pct"/>
            <w:tcBorders>
              <w:top w:val="single" w:color="auto" w:sz="4" w:space="0"/>
              <w:left w:val="single" w:color="auto" w:sz="4" w:space="0"/>
              <w:bottom w:val="single" w:color="auto" w:sz="4" w:space="0"/>
              <w:right w:val="single" w:color="auto" w:sz="4" w:space="0"/>
            </w:tcBorders>
            <w:shd w:val="clear" w:color="auto" w:fill="auto"/>
            <w:vAlign w:val="center"/>
          </w:tcPr>
          <w:p w14:paraId="4AE131C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7</w:t>
            </w:r>
          </w:p>
        </w:tc>
        <w:tc>
          <w:tcPr>
            <w:tcW w:w="590" w:type="pct"/>
            <w:tcBorders>
              <w:top w:val="single" w:color="auto" w:sz="4" w:space="0"/>
              <w:left w:val="single" w:color="auto" w:sz="4" w:space="0"/>
              <w:bottom w:val="single" w:color="auto" w:sz="4" w:space="0"/>
              <w:right w:val="single" w:color="auto" w:sz="4" w:space="0"/>
            </w:tcBorders>
            <w:shd w:val="clear" w:color="auto" w:fill="auto"/>
            <w:vAlign w:val="center"/>
          </w:tcPr>
          <w:p w14:paraId="79C9DAB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实施方案</w:t>
            </w:r>
          </w:p>
        </w:tc>
        <w:tc>
          <w:tcPr>
            <w:tcW w:w="3710" w:type="pct"/>
            <w:tcBorders>
              <w:top w:val="single" w:color="auto" w:sz="4" w:space="0"/>
              <w:left w:val="single" w:color="auto" w:sz="4" w:space="0"/>
              <w:bottom w:val="single" w:color="auto" w:sz="4" w:space="0"/>
              <w:right w:val="single" w:color="auto" w:sz="4" w:space="0"/>
            </w:tcBorders>
            <w:shd w:val="clear" w:color="auto" w:fill="auto"/>
            <w:vAlign w:val="center"/>
          </w:tcPr>
          <w:p w14:paraId="58B068F9">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评委根据投标人提供的具体实施步骤与计划、服务质量标准与控制及服务承诺与保障措施综合打分：</w:t>
            </w:r>
          </w:p>
          <w:p w14:paraId="445D1268">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具体实施步骤与计划：</w:t>
            </w:r>
            <w:r>
              <w:rPr>
                <w:rFonts w:hint="eastAsia" w:ascii="宋体" w:hAnsi="宋体" w:eastAsia="宋体" w:cs="宋体"/>
                <w:sz w:val="24"/>
                <w:szCs w:val="24"/>
                <w:highlight w:val="none"/>
                <w:lang w:val="en-US" w:eastAsia="zh-CN"/>
              </w:rPr>
              <w:t>提供详细的维保工作启动方案，包括人员设备进场、档案建立、首次全面检查等具体步骤和时间计划。计划周密、可行的，得4分；计划较为可行的，得2分；计划空洞的，得0分。</w:t>
            </w:r>
          </w:p>
          <w:p w14:paraId="06FE10BE">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服务质量标准与控制：</w:t>
            </w:r>
            <w:r>
              <w:rPr>
                <w:rFonts w:hint="eastAsia" w:ascii="宋体" w:hAnsi="宋体" w:eastAsia="宋体" w:cs="宋体"/>
                <w:sz w:val="24"/>
                <w:szCs w:val="24"/>
                <w:highlight w:val="none"/>
                <w:lang w:val="en-US" w:eastAsia="zh-CN"/>
              </w:rPr>
              <w:t>承诺的服务质量标准（如电梯运行舒适感、故障率、机房洁净度等）高于国家强制标准，并提出具体的内外部质量控制措施（如三级检验、业主抽查机制）。标准明确、措施有力的，得4分；标准与国标持平，措施一般的，得2分；标准模糊、措施无力的，得0分。</w:t>
            </w:r>
          </w:p>
          <w:p w14:paraId="5B0E8B93">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服务承诺与保障措施：</w:t>
            </w:r>
            <w:r>
              <w:rPr>
                <w:rFonts w:hint="eastAsia" w:ascii="宋体" w:hAnsi="宋体" w:eastAsia="宋体" w:cs="宋体"/>
                <w:sz w:val="24"/>
                <w:szCs w:val="24"/>
                <w:highlight w:val="none"/>
                <w:lang w:val="en-US" w:eastAsia="zh-CN"/>
              </w:rPr>
              <w:t>对招标文件中的关键要求（如30分钟困人救援、2天修复故障）提供超出文件要求的承诺（如承诺28分钟到场、1.5天修复）或更优的保障措施（如设立现场备件库）。承诺具体、措施有力的，得4分；仅承诺满足招标文件要求的，得2分；承诺低于或不明确的，得0分。</w:t>
            </w:r>
          </w:p>
        </w:tc>
        <w:tc>
          <w:tcPr>
            <w:tcW w:w="439" w:type="pct"/>
            <w:tcBorders>
              <w:top w:val="single" w:color="auto" w:sz="4" w:space="0"/>
              <w:left w:val="single" w:color="auto" w:sz="4" w:space="0"/>
              <w:bottom w:val="single" w:color="auto" w:sz="4" w:space="0"/>
              <w:right w:val="single" w:color="auto" w:sz="4" w:space="0"/>
            </w:tcBorders>
            <w:shd w:val="clear" w:color="auto" w:fill="auto"/>
            <w:vAlign w:val="center"/>
          </w:tcPr>
          <w:p w14:paraId="21E9621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12</w:t>
            </w:r>
          </w:p>
        </w:tc>
      </w:tr>
      <w:tr w14:paraId="1E6F8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 w:type="pct"/>
            <w:tcBorders>
              <w:top w:val="single" w:color="auto" w:sz="4" w:space="0"/>
              <w:left w:val="single" w:color="auto" w:sz="4" w:space="0"/>
              <w:right w:val="single" w:color="auto" w:sz="4" w:space="0"/>
            </w:tcBorders>
            <w:shd w:val="clear" w:color="auto" w:fill="auto"/>
            <w:vAlign w:val="center"/>
          </w:tcPr>
          <w:p w14:paraId="30ECF33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lang w:val="en-US" w:eastAsia="zh-CN"/>
              </w:rPr>
              <w:t>8</w:t>
            </w:r>
          </w:p>
        </w:tc>
        <w:tc>
          <w:tcPr>
            <w:tcW w:w="590" w:type="pct"/>
            <w:tcBorders>
              <w:top w:val="single" w:color="auto" w:sz="4" w:space="0"/>
              <w:left w:val="single" w:color="auto" w:sz="4" w:space="0"/>
              <w:right w:val="single" w:color="auto" w:sz="4" w:space="0"/>
            </w:tcBorders>
            <w:shd w:val="clear" w:color="auto" w:fill="auto"/>
            <w:vAlign w:val="center"/>
          </w:tcPr>
          <w:p w14:paraId="0D3B6F2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bidi="ar"/>
              </w:rPr>
              <w:t>售后服务方案</w:t>
            </w:r>
          </w:p>
        </w:tc>
        <w:tc>
          <w:tcPr>
            <w:tcW w:w="3710" w:type="pct"/>
            <w:tcBorders>
              <w:top w:val="single" w:color="auto" w:sz="4" w:space="0"/>
              <w:left w:val="single" w:color="auto" w:sz="4" w:space="0"/>
              <w:bottom w:val="single" w:color="auto" w:sz="4" w:space="0"/>
              <w:right w:val="single" w:color="auto" w:sz="4" w:space="0"/>
            </w:tcBorders>
            <w:shd w:val="clear" w:color="auto" w:fill="auto"/>
            <w:vAlign w:val="center"/>
          </w:tcPr>
          <w:p w14:paraId="075655A7">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评委根据投标人提供的维保计划详实度、应急响应与故障处理及售后服务体系与增值服务等综合打分：</w:t>
            </w:r>
          </w:p>
          <w:p w14:paraId="4215E9DB">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kern w:val="2"/>
                <w:sz w:val="24"/>
                <w:szCs w:val="24"/>
                <w:lang w:val="en-US" w:eastAsia="zh-CN"/>
              </w:rPr>
            </w:pPr>
            <w:r>
              <w:rPr>
                <w:rFonts w:hint="eastAsia" w:ascii="宋体" w:hAnsi="宋体" w:eastAsia="宋体" w:cs="宋体"/>
                <w:b/>
                <w:bCs/>
                <w:kern w:val="2"/>
                <w:sz w:val="24"/>
                <w:szCs w:val="24"/>
                <w:lang w:val="en-US" w:eastAsia="zh-CN"/>
              </w:rPr>
              <w:t>维保计划详实度：</w:t>
            </w:r>
            <w:r>
              <w:rPr>
                <w:rFonts w:hint="eastAsia" w:ascii="宋体" w:hAnsi="宋体" w:eastAsia="宋体" w:cs="宋体"/>
                <w:kern w:val="2"/>
                <w:sz w:val="24"/>
                <w:szCs w:val="24"/>
                <w:lang w:val="en-US" w:eastAsia="zh-CN"/>
              </w:rPr>
              <w:t>根据招标文件要求，提供本项目23台电梯的详细年度、季度、月度维保计划甘特图或表格。计划详尽、安排科学的，得4分；有计划但不够细致的，得2分；计划简略或缺失的，得0分。</w:t>
            </w:r>
          </w:p>
          <w:p w14:paraId="5A2799F5">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kern w:val="2"/>
                <w:sz w:val="24"/>
                <w:szCs w:val="24"/>
                <w:lang w:val="en-US" w:eastAsia="zh-CN"/>
              </w:rPr>
            </w:pPr>
            <w:r>
              <w:rPr>
                <w:rFonts w:hint="eastAsia" w:ascii="宋体" w:hAnsi="宋体" w:eastAsia="宋体" w:cs="宋体"/>
                <w:b/>
                <w:bCs/>
                <w:kern w:val="2"/>
                <w:sz w:val="24"/>
                <w:szCs w:val="24"/>
                <w:lang w:val="en-US" w:eastAsia="zh-CN"/>
              </w:rPr>
              <w:t>应急响应与故障处理：</w:t>
            </w:r>
            <w:r>
              <w:rPr>
                <w:rFonts w:hint="eastAsia" w:ascii="宋体" w:hAnsi="宋体" w:eastAsia="宋体" w:cs="宋体"/>
                <w:kern w:val="2"/>
                <w:sz w:val="24"/>
                <w:szCs w:val="24"/>
                <w:lang w:val="en-US" w:eastAsia="zh-CN"/>
              </w:rPr>
              <w:t>提供超出招标文件要求的应急响应机制，如提供7x24小时服务中心电话、驻场人员联系方式、多级报修渠道。预案中包含针对不同类型故障（如困人、死机、门系统故障）的专项处理流程。机制完善、流程清晰的，得4分；机制基本完善，流程较为清晰的，得2分；机制不健全的，得0分。</w:t>
            </w:r>
          </w:p>
          <w:p w14:paraId="5E582353">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kern w:val="2"/>
                <w:sz w:val="24"/>
                <w:szCs w:val="24"/>
              </w:rPr>
            </w:pPr>
            <w:r>
              <w:rPr>
                <w:rFonts w:hint="eastAsia" w:ascii="宋体" w:hAnsi="宋体" w:eastAsia="宋体" w:cs="宋体"/>
                <w:b/>
                <w:bCs/>
                <w:kern w:val="2"/>
                <w:sz w:val="24"/>
                <w:szCs w:val="24"/>
                <w:lang w:val="en-US" w:eastAsia="zh-CN"/>
              </w:rPr>
              <w:t>售后服务体系与增值服务：</w:t>
            </w:r>
            <w:r>
              <w:rPr>
                <w:rFonts w:hint="eastAsia" w:ascii="宋体" w:hAnsi="宋体" w:eastAsia="宋体" w:cs="宋体"/>
                <w:kern w:val="2"/>
                <w:sz w:val="24"/>
                <w:szCs w:val="24"/>
                <w:lang w:val="en-US" w:eastAsia="zh-CN"/>
              </w:rPr>
              <w:t>描述公司的全国或区域售后服务体系，并承诺为本项目提供专享服务通道。</w:t>
            </w:r>
            <w:r>
              <w:rPr>
                <w:rFonts w:hint="eastAsia" w:ascii="宋体" w:hAnsi="宋体" w:eastAsia="宋体" w:cs="宋体"/>
                <w:b/>
                <w:bCs/>
                <w:kern w:val="2"/>
                <w:sz w:val="24"/>
                <w:szCs w:val="24"/>
                <w:lang w:val="en-US" w:eastAsia="zh-CN"/>
              </w:rPr>
              <w:t>提供针对招标人的增值服务，如定期提供电梯运行状况分析报告、协助进行安全宣传、提供免费的操作人员培训等。</w:t>
            </w:r>
            <w:r>
              <w:rPr>
                <w:rFonts w:hint="eastAsia" w:ascii="宋体" w:hAnsi="宋体" w:eastAsia="宋体" w:cs="宋体"/>
                <w:kern w:val="2"/>
                <w:sz w:val="24"/>
                <w:szCs w:val="24"/>
                <w:lang w:val="en-US" w:eastAsia="zh-CN"/>
              </w:rPr>
              <w:t>体系健全、增值服务实用且不少于2项的，得</w:t>
            </w:r>
            <w:r>
              <w:rPr>
                <w:rFonts w:hint="eastAsia" w:ascii="宋体" w:hAnsi="宋体" w:cs="宋体"/>
                <w:kern w:val="2"/>
                <w:sz w:val="24"/>
                <w:szCs w:val="24"/>
                <w:lang w:val="en-US" w:eastAsia="zh-CN"/>
              </w:rPr>
              <w:t>6</w:t>
            </w:r>
            <w:r>
              <w:rPr>
                <w:rFonts w:hint="eastAsia" w:ascii="宋体" w:hAnsi="宋体" w:eastAsia="宋体" w:cs="宋体"/>
                <w:kern w:val="2"/>
                <w:sz w:val="24"/>
                <w:szCs w:val="24"/>
                <w:lang w:val="en-US" w:eastAsia="zh-CN"/>
              </w:rPr>
              <w:t>分；有体系、有1项增值服务的，得</w:t>
            </w:r>
            <w:r>
              <w:rPr>
                <w:rFonts w:hint="eastAsia" w:ascii="宋体" w:hAnsi="宋体" w:cs="宋体"/>
                <w:kern w:val="2"/>
                <w:sz w:val="24"/>
                <w:szCs w:val="24"/>
                <w:lang w:val="en-US" w:eastAsia="zh-CN"/>
              </w:rPr>
              <w:t>3</w:t>
            </w:r>
            <w:bookmarkStart w:id="124" w:name="_GoBack"/>
            <w:bookmarkEnd w:id="124"/>
            <w:r>
              <w:rPr>
                <w:rFonts w:hint="eastAsia" w:ascii="宋体" w:hAnsi="宋体" w:eastAsia="宋体" w:cs="宋体"/>
                <w:kern w:val="2"/>
                <w:sz w:val="24"/>
                <w:szCs w:val="24"/>
                <w:lang w:val="en-US" w:eastAsia="zh-CN"/>
              </w:rPr>
              <w:t>分；无描述的，得0分。</w:t>
            </w:r>
          </w:p>
        </w:tc>
        <w:tc>
          <w:tcPr>
            <w:tcW w:w="439" w:type="pct"/>
            <w:tcBorders>
              <w:top w:val="single" w:color="auto" w:sz="4" w:space="0"/>
              <w:left w:val="single" w:color="auto" w:sz="4" w:space="0"/>
              <w:bottom w:val="single" w:color="auto" w:sz="4" w:space="0"/>
              <w:right w:val="single" w:color="auto" w:sz="4" w:space="0"/>
            </w:tcBorders>
            <w:shd w:val="clear" w:color="auto" w:fill="auto"/>
            <w:vAlign w:val="center"/>
          </w:tcPr>
          <w:p w14:paraId="22C5EF0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kern w:val="2"/>
                <w:sz w:val="24"/>
                <w:szCs w:val="24"/>
                <w:lang w:val="en-US" w:eastAsia="zh-CN"/>
              </w:rPr>
            </w:pPr>
            <w:r>
              <w:rPr>
                <w:rFonts w:hint="eastAsia" w:cs="宋体"/>
                <w:kern w:val="2"/>
                <w:sz w:val="24"/>
                <w:szCs w:val="24"/>
                <w:lang w:val="en-US" w:eastAsia="zh-CN"/>
              </w:rPr>
              <w:t>14</w:t>
            </w:r>
          </w:p>
        </w:tc>
      </w:tr>
    </w:tbl>
    <w:p w14:paraId="7E99B0F2">
      <w:pPr>
        <w:spacing w:line="400" w:lineRule="exact"/>
        <w:ind w:firstLine="420" w:firstLineChars="200"/>
      </w:pPr>
      <w:r>
        <w:rPr>
          <w:rFonts w:hint="eastAsia"/>
        </w:rPr>
        <w:t>说明：</w:t>
      </w:r>
    </w:p>
    <w:p w14:paraId="6926279A">
      <w:pPr>
        <w:spacing w:line="400" w:lineRule="exact"/>
        <w:ind w:firstLine="420" w:firstLineChars="200"/>
      </w:pPr>
      <w:r>
        <w:rPr>
          <w:rFonts w:hint="eastAsia"/>
        </w:rPr>
        <w:t>1、对国家认定的节能产品和环保产品分别给予投标价的5%价格扣除，用扣除后的价格参与评审（特别说明：节能、环保产品 必须纳入“中国政府采购网http://www.ccgp.gov.cn”等官方网站“节能、环保产品查询系统”，且以提供的证书复印件为准 ）。</w:t>
      </w:r>
    </w:p>
    <w:p w14:paraId="77CA2A2A">
      <w:pPr>
        <w:spacing w:line="400" w:lineRule="exact"/>
        <w:ind w:firstLine="420" w:firstLineChars="200"/>
      </w:pPr>
      <w:r>
        <w:rPr>
          <w:rFonts w:hint="eastAsia"/>
        </w:rPr>
        <w:t>2、小微企业的价格扣除</w:t>
      </w:r>
    </w:p>
    <w:p w14:paraId="21C08AB1">
      <w:pPr>
        <w:spacing w:line="400" w:lineRule="exact"/>
        <w:ind w:firstLine="420" w:firstLineChars="200"/>
      </w:pPr>
      <w:r>
        <w:rPr>
          <w:rFonts w:hint="eastAsia"/>
        </w:rPr>
        <w:t>2.1.对于货物和服务采购项目中，未预留份额项目以及预留份额项目中的非预留部分采购包，对小微企业报价给予10%的扣除，并用扣除后的价格参加评审。其中，接受大中型企业与小微企业组成联合体或者大中型企业向小微企业分包的，对联合协议或者分包意向协议约定小微企业合同份额占到合同总金额30%以上的，500万元（含）以上的项目对联合体或者大中型企业的报价给予4%的扣除，500万元以内的项目给予6%的扣除。联合体各方均为小微企业的，联合体视同为小微企业，享受相应价格扣除。</w:t>
      </w:r>
    </w:p>
    <w:p w14:paraId="72955E79">
      <w:pPr>
        <w:spacing w:line="400" w:lineRule="exact"/>
        <w:ind w:firstLine="420" w:firstLineChars="200"/>
      </w:pPr>
      <w:r>
        <w:rPr>
          <w:rFonts w:hint="eastAsia"/>
        </w:rPr>
        <w:t>2.2.价格扣除比例或者价格分加分比例对小型企业和微型企业同等对待，不作区分。说明：价格扣除优惠政策仅适用于“第一章 二、申请人的资格要求2.落实政府采购政策需满足的资格要求”中“本项目采用以下第（4）种方式落实政府采购促进中小企业发展的要求”的采购项目中。</w:t>
      </w:r>
    </w:p>
    <w:p w14:paraId="67562E4F">
      <w:pPr>
        <w:spacing w:line="400" w:lineRule="exact"/>
        <w:ind w:firstLine="420" w:firstLineChars="200"/>
      </w:pPr>
      <w:r>
        <w:rPr>
          <w:rFonts w:hint="eastAsia"/>
        </w:rPr>
        <w:t>3、监狱和戒毒企业的价格扣除</w:t>
      </w:r>
    </w:p>
    <w:p w14:paraId="703B6B55">
      <w:pPr>
        <w:spacing w:line="400" w:lineRule="exact"/>
        <w:ind w:firstLine="420" w:firstLineChars="200"/>
      </w:pPr>
      <w:r>
        <w:rPr>
          <w:rFonts w:hint="eastAsia"/>
        </w:rPr>
        <w:t>3.1. 本项目对监狱和戒毒企业（简称监狱企业），给予等同于小微企业的价格扣除，用扣除后的价格参与评审。</w:t>
      </w:r>
    </w:p>
    <w:p w14:paraId="32918587">
      <w:pPr>
        <w:spacing w:line="400" w:lineRule="exact"/>
        <w:ind w:firstLine="420" w:firstLineChars="200"/>
      </w:pPr>
      <w:r>
        <w:rPr>
          <w:rFonts w:hint="eastAsia"/>
        </w:rPr>
        <w:t>3.2. 监狱企业需提供由省级以上监狱管理局、戒毒管理局（含新疆生产建设兵团）出具的属于监狱企业的证明文件。</w:t>
      </w:r>
    </w:p>
    <w:p w14:paraId="13BC6A61">
      <w:pPr>
        <w:spacing w:line="400" w:lineRule="exact"/>
        <w:ind w:firstLine="420" w:firstLineChars="200"/>
      </w:pPr>
      <w:r>
        <w:rPr>
          <w:rFonts w:hint="eastAsia"/>
        </w:rPr>
        <w:t>3.3. 监狱企业标准请参照《关于政府采购支持监狱企业发展有关问题的通知》（财库[2014]68号）。</w:t>
      </w:r>
    </w:p>
    <w:p w14:paraId="3E49D904">
      <w:pPr>
        <w:spacing w:line="400" w:lineRule="exact"/>
        <w:ind w:firstLine="420" w:firstLineChars="200"/>
      </w:pPr>
      <w:r>
        <w:rPr>
          <w:rFonts w:hint="eastAsia"/>
        </w:rPr>
        <w:t>4、残疾人福利性单位的价格扣除</w:t>
      </w:r>
    </w:p>
    <w:p w14:paraId="321736C3">
      <w:pPr>
        <w:spacing w:line="400" w:lineRule="exact"/>
        <w:ind w:firstLine="420" w:firstLineChars="200"/>
      </w:pPr>
      <w:r>
        <w:rPr>
          <w:rFonts w:hint="eastAsia"/>
        </w:rPr>
        <w:t>4.1. 本项目对残疾人福利性单位，给予等同于小微企业的价格扣除，用扣除后的价格参与评审。</w:t>
      </w:r>
    </w:p>
    <w:p w14:paraId="3F9C952E">
      <w:pPr>
        <w:spacing w:line="400" w:lineRule="exact"/>
        <w:ind w:firstLine="420" w:firstLineChars="200"/>
      </w:pPr>
      <w:r>
        <w:rPr>
          <w:rFonts w:hint="eastAsia"/>
        </w:rPr>
        <w:t>4.2. 残疾人福利单位需按照招标文件的要求提供《残疾人福利性单位声明函》。</w:t>
      </w:r>
    </w:p>
    <w:p w14:paraId="7513E458">
      <w:pPr>
        <w:spacing w:line="400" w:lineRule="exact"/>
        <w:ind w:firstLine="420" w:firstLineChars="200"/>
      </w:pPr>
      <w:r>
        <w:rPr>
          <w:rFonts w:hint="eastAsia"/>
        </w:rPr>
        <w:t>4.3. 残疾人福利单位标准请参照《关于促进残疾人就业政府采购政策的通知》（财库〔2017〕141号）。</w:t>
      </w:r>
    </w:p>
    <w:p w14:paraId="172BED9F">
      <w:pPr>
        <w:spacing w:line="400" w:lineRule="exact"/>
        <w:ind w:firstLine="420" w:firstLineChars="200"/>
      </w:pPr>
      <w:r>
        <w:rPr>
          <w:rFonts w:hint="eastAsia"/>
        </w:rPr>
        <w:t>5、监狱企业、残疾人福利单位属于小型、微型企业的，不重复享受政策。</w:t>
      </w:r>
    </w:p>
    <w:p w14:paraId="0B47A4BD">
      <w:pPr>
        <w:spacing w:line="400" w:lineRule="exact"/>
        <w:ind w:firstLine="420" w:firstLineChars="200"/>
      </w:pPr>
    </w:p>
    <w:bookmarkEnd w:id="71"/>
    <w:bookmarkEnd w:id="72"/>
    <w:bookmarkEnd w:id="73"/>
    <w:p w14:paraId="56878E12">
      <w:pPr>
        <w:pStyle w:val="2"/>
        <w:spacing w:before="240" w:beforeLines="100" w:after="240" w:afterLines="100" w:line="400" w:lineRule="exact"/>
        <w:rPr>
          <w:rFonts w:hint="eastAsia" w:ascii="微软雅黑" w:hAnsi="微软雅黑" w:eastAsia="微软雅黑"/>
          <w:b/>
          <w:sz w:val="32"/>
          <w:szCs w:val="32"/>
        </w:rPr>
      </w:pPr>
      <w:bookmarkStart w:id="74" w:name="_Toc16938590"/>
      <w:bookmarkStart w:id="75" w:name="_Toc120614244"/>
      <w:bookmarkStart w:id="76" w:name="_Toc20823346"/>
      <w:bookmarkStart w:id="77" w:name="_Toc462564139"/>
      <w:bookmarkStart w:id="78" w:name="_Hlt16619350"/>
      <w:bookmarkStart w:id="79" w:name="_Toc479757211"/>
      <w:r>
        <w:rPr>
          <w:rFonts w:ascii="宋体" w:hAnsi="宋体" w:eastAsia="宋体"/>
          <w:b/>
          <w:bCs/>
          <w:sz w:val="32"/>
          <w:szCs w:val="32"/>
        </w:rPr>
        <w:br w:type="page"/>
      </w:r>
      <w:bookmarkStart w:id="80" w:name="_Toc24962237"/>
      <w:r>
        <w:rPr>
          <w:rFonts w:hint="eastAsia" w:ascii="微软雅黑" w:hAnsi="微软雅黑" w:eastAsia="微软雅黑"/>
          <w:b/>
          <w:sz w:val="32"/>
          <w:szCs w:val="32"/>
        </w:rPr>
        <w:t>第四章 技术规范</w:t>
      </w:r>
      <w:bookmarkEnd w:id="80"/>
    </w:p>
    <w:p w14:paraId="50DB1EA4">
      <w:pPr>
        <w:autoSpaceDE w:val="0"/>
        <w:adjustRightInd w:val="0"/>
        <w:snapToGrid w:val="0"/>
        <w:spacing w:line="360" w:lineRule="auto"/>
        <w:ind w:firstLine="482" w:firstLineChars="200"/>
        <w:textAlignment w:val="baseline"/>
        <w:rPr>
          <w:rFonts w:hint="default" w:ascii="宋体" w:hAnsi="宋体" w:eastAsia="宋体"/>
          <w:b/>
          <w:sz w:val="24"/>
          <w:szCs w:val="24"/>
          <w:highlight w:val="none"/>
          <w:lang w:val="en-US" w:eastAsia="zh-CN"/>
        </w:rPr>
      </w:pPr>
      <w:bookmarkStart w:id="81" w:name="_Toc24962238"/>
      <w:r>
        <w:rPr>
          <w:rFonts w:hint="eastAsia" w:ascii="宋体" w:hAnsi="宋体" w:eastAsia="宋体"/>
          <w:b/>
          <w:sz w:val="24"/>
          <w:szCs w:val="24"/>
          <w:highlight w:val="none"/>
        </w:rPr>
        <w:t>一、</w:t>
      </w:r>
      <w:r>
        <w:rPr>
          <w:rFonts w:hint="eastAsia" w:ascii="宋体" w:hAnsi="宋体" w:eastAsia="宋体"/>
          <w:b/>
          <w:sz w:val="24"/>
          <w:szCs w:val="24"/>
          <w:highlight w:val="none"/>
          <w:lang w:val="en-US" w:eastAsia="zh-CN"/>
        </w:rPr>
        <w:t>项目概况</w:t>
      </w:r>
    </w:p>
    <w:p w14:paraId="74983B10">
      <w:pPr>
        <w:autoSpaceDE w:val="0"/>
        <w:adjustRightInd w:val="0"/>
        <w:snapToGrid w:val="0"/>
        <w:spacing w:line="360" w:lineRule="auto"/>
        <w:ind w:firstLine="482" w:firstLineChars="200"/>
        <w:textAlignment w:val="baseline"/>
        <w:rPr>
          <w:rFonts w:hint="eastAsia" w:ascii="宋体" w:hAnsi="宋体" w:eastAsia="宋体"/>
          <w:bCs/>
          <w:iCs/>
          <w:sz w:val="24"/>
          <w:szCs w:val="24"/>
          <w:highlight w:val="none"/>
        </w:rPr>
      </w:pPr>
      <w:r>
        <w:rPr>
          <w:rFonts w:hint="eastAsia" w:ascii="宋体" w:hAnsi="宋体" w:eastAsia="宋体"/>
          <w:b/>
          <w:sz w:val="24"/>
          <w:szCs w:val="24"/>
          <w:highlight w:val="none"/>
        </w:rPr>
        <w:t>项目名称：</w:t>
      </w:r>
      <w:r>
        <w:rPr>
          <w:rFonts w:hint="eastAsia" w:ascii="宋体" w:hAnsi="宋体" w:eastAsia="宋体"/>
          <w:bCs/>
          <w:iCs/>
          <w:sz w:val="24"/>
          <w:szCs w:val="24"/>
          <w:highlight w:val="none"/>
        </w:rPr>
        <w:t>南京机电职业技术学院电梯维保服务</w:t>
      </w:r>
    </w:p>
    <w:p w14:paraId="04C0E9BC">
      <w:pPr>
        <w:autoSpaceDE w:val="0"/>
        <w:adjustRightInd w:val="0"/>
        <w:snapToGrid w:val="0"/>
        <w:spacing w:line="360" w:lineRule="auto"/>
        <w:ind w:firstLine="480" w:firstLineChars="200"/>
        <w:textAlignment w:val="baseline"/>
        <w:rPr>
          <w:rFonts w:hint="default" w:ascii="宋体" w:hAnsi="宋体" w:eastAsia="宋体"/>
          <w:bCs/>
          <w:iCs/>
          <w:sz w:val="24"/>
          <w:szCs w:val="24"/>
          <w:highlight w:val="none"/>
          <w:lang w:val="en-US" w:eastAsia="zh-CN"/>
        </w:rPr>
      </w:pPr>
      <w:r>
        <w:rPr>
          <w:rFonts w:hint="eastAsia" w:ascii="宋体" w:hAnsi="宋体" w:eastAsia="宋体"/>
          <w:bCs/>
          <w:iCs/>
          <w:sz w:val="24"/>
          <w:szCs w:val="24"/>
          <w:highlight w:val="none"/>
          <w:lang w:val="en-US" w:eastAsia="zh-CN"/>
        </w:rPr>
        <w:t>项目预算：23万元/年</w:t>
      </w:r>
    </w:p>
    <w:p w14:paraId="0F273AC4">
      <w:pPr>
        <w:autoSpaceDE w:val="0"/>
        <w:adjustRightInd w:val="0"/>
        <w:snapToGrid w:val="0"/>
        <w:spacing w:line="360" w:lineRule="auto"/>
        <w:ind w:firstLine="480" w:firstLineChars="200"/>
        <w:textAlignment w:val="baseline"/>
        <w:rPr>
          <w:rFonts w:hint="default" w:ascii="宋体" w:hAnsi="宋体" w:eastAsia="宋体"/>
          <w:bCs/>
          <w:iCs/>
          <w:sz w:val="24"/>
          <w:szCs w:val="24"/>
          <w:highlight w:val="none"/>
          <w:lang w:val="en-US" w:eastAsia="zh-CN"/>
        </w:rPr>
      </w:pPr>
      <w:r>
        <w:rPr>
          <w:rFonts w:hint="eastAsia" w:ascii="宋体" w:hAnsi="宋体" w:eastAsia="宋体"/>
          <w:bCs/>
          <w:iCs/>
          <w:sz w:val="24"/>
          <w:szCs w:val="24"/>
          <w:highlight w:val="none"/>
          <w:lang w:val="en-US" w:eastAsia="zh-CN"/>
        </w:rPr>
        <w:t>服务周期：三年</w:t>
      </w:r>
    </w:p>
    <w:p w14:paraId="0F1EDBE9">
      <w:pPr>
        <w:autoSpaceDE w:val="0"/>
        <w:adjustRightInd w:val="0"/>
        <w:snapToGrid w:val="0"/>
        <w:spacing w:line="360" w:lineRule="auto"/>
        <w:ind w:firstLine="482" w:firstLineChars="200"/>
        <w:textAlignment w:val="baseline"/>
        <w:rPr>
          <w:rFonts w:hint="eastAsia" w:ascii="宋体" w:hAnsi="宋体" w:eastAsia="宋体"/>
          <w:b/>
          <w:sz w:val="24"/>
          <w:szCs w:val="24"/>
          <w:highlight w:val="none"/>
        </w:rPr>
      </w:pPr>
      <w:r>
        <w:rPr>
          <w:rFonts w:hint="eastAsia" w:ascii="宋体" w:hAnsi="宋体" w:eastAsia="宋体"/>
          <w:b/>
          <w:sz w:val="24"/>
          <w:szCs w:val="24"/>
          <w:highlight w:val="none"/>
        </w:rPr>
        <w:t>二、服务内容</w:t>
      </w:r>
    </w:p>
    <w:tbl>
      <w:tblPr>
        <w:tblStyle w:val="3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3167"/>
        <w:gridCol w:w="2494"/>
        <w:gridCol w:w="1768"/>
      </w:tblGrid>
      <w:tr w14:paraId="596EF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2" w:type="pct"/>
            <w:vAlign w:val="center"/>
          </w:tcPr>
          <w:p w14:paraId="2DE7404E">
            <w:pPr>
              <w:widowControl/>
              <w:spacing w:line="360" w:lineRule="auto"/>
              <w:jc w:val="center"/>
              <w:textAlignment w:val="center"/>
              <w:rPr>
                <w:rFonts w:hint="eastAsia" w:ascii="宋体" w:hAnsi="宋体" w:eastAsia="宋体"/>
                <w:b/>
                <w:color w:val="000000"/>
                <w:sz w:val="24"/>
                <w:szCs w:val="24"/>
                <w:highlight w:val="none"/>
                <w:lang w:bidi="ar"/>
              </w:rPr>
            </w:pPr>
            <w:r>
              <w:rPr>
                <w:rFonts w:hint="eastAsia" w:ascii="宋体" w:hAnsi="宋体" w:eastAsia="宋体"/>
                <w:b/>
                <w:color w:val="000000"/>
                <w:sz w:val="24"/>
                <w:szCs w:val="24"/>
                <w:highlight w:val="none"/>
                <w:lang w:bidi="ar"/>
              </w:rPr>
              <w:t>序号</w:t>
            </w:r>
          </w:p>
        </w:tc>
        <w:tc>
          <w:tcPr>
            <w:tcW w:w="1845" w:type="pct"/>
            <w:vAlign w:val="center"/>
          </w:tcPr>
          <w:p w14:paraId="1B9AAED4">
            <w:pPr>
              <w:widowControl/>
              <w:spacing w:line="360" w:lineRule="auto"/>
              <w:jc w:val="center"/>
              <w:textAlignment w:val="center"/>
              <w:rPr>
                <w:rFonts w:hint="eastAsia" w:ascii="宋体" w:hAnsi="宋体" w:eastAsia="宋体"/>
                <w:b/>
                <w:bCs/>
                <w:color w:val="000000"/>
                <w:sz w:val="24"/>
                <w:szCs w:val="24"/>
                <w:highlight w:val="none"/>
                <w:lang w:bidi="ar"/>
              </w:rPr>
            </w:pPr>
            <w:r>
              <w:rPr>
                <w:rFonts w:hint="eastAsia" w:ascii="宋体" w:hAnsi="宋体" w:eastAsia="宋体"/>
                <w:b/>
                <w:bCs/>
                <w:color w:val="000000"/>
                <w:sz w:val="24"/>
                <w:szCs w:val="24"/>
                <w:highlight w:val="none"/>
                <w:lang w:bidi="ar"/>
              </w:rPr>
              <w:t>设备名称</w:t>
            </w:r>
          </w:p>
        </w:tc>
        <w:tc>
          <w:tcPr>
            <w:tcW w:w="1453" w:type="pct"/>
            <w:vAlign w:val="center"/>
          </w:tcPr>
          <w:p w14:paraId="1831C13A">
            <w:pPr>
              <w:widowControl/>
              <w:spacing w:line="360" w:lineRule="auto"/>
              <w:jc w:val="center"/>
              <w:textAlignment w:val="center"/>
              <w:rPr>
                <w:rFonts w:hint="eastAsia" w:ascii="宋体" w:hAnsi="宋体" w:eastAsia="宋体"/>
                <w:b/>
                <w:bCs/>
                <w:color w:val="000000"/>
                <w:sz w:val="24"/>
                <w:szCs w:val="24"/>
                <w:highlight w:val="none"/>
                <w:lang w:bidi="ar"/>
              </w:rPr>
            </w:pPr>
            <w:r>
              <w:rPr>
                <w:rFonts w:hint="eastAsia" w:ascii="宋体" w:hAnsi="宋体" w:eastAsia="宋体"/>
                <w:b/>
                <w:bCs/>
                <w:color w:val="000000"/>
                <w:sz w:val="24"/>
                <w:szCs w:val="24"/>
                <w:highlight w:val="none"/>
                <w:lang w:bidi="ar"/>
              </w:rPr>
              <w:t>数量</w:t>
            </w:r>
          </w:p>
        </w:tc>
        <w:tc>
          <w:tcPr>
            <w:tcW w:w="1030" w:type="pct"/>
            <w:vAlign w:val="center"/>
          </w:tcPr>
          <w:p w14:paraId="47CE891D">
            <w:pPr>
              <w:widowControl/>
              <w:spacing w:line="360" w:lineRule="auto"/>
              <w:jc w:val="center"/>
              <w:textAlignment w:val="center"/>
              <w:rPr>
                <w:rFonts w:hint="eastAsia" w:ascii="宋体" w:hAnsi="宋体" w:eastAsia="宋体"/>
                <w:b/>
                <w:bCs/>
                <w:color w:val="000000"/>
                <w:sz w:val="24"/>
                <w:szCs w:val="24"/>
                <w:highlight w:val="none"/>
                <w:lang w:bidi="ar"/>
              </w:rPr>
            </w:pPr>
            <w:r>
              <w:rPr>
                <w:rFonts w:hint="eastAsia" w:ascii="宋体" w:hAnsi="宋体" w:eastAsia="宋体"/>
                <w:b/>
                <w:bCs/>
                <w:color w:val="000000"/>
                <w:sz w:val="24"/>
                <w:szCs w:val="24"/>
                <w:highlight w:val="none"/>
                <w:lang w:bidi="ar"/>
              </w:rPr>
              <w:t>单位</w:t>
            </w:r>
          </w:p>
        </w:tc>
      </w:tr>
      <w:tr w14:paraId="652B3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2" w:type="pct"/>
            <w:vAlign w:val="center"/>
          </w:tcPr>
          <w:p w14:paraId="11D866C1">
            <w:pPr>
              <w:widowControl/>
              <w:spacing w:line="360" w:lineRule="auto"/>
              <w:jc w:val="center"/>
              <w:textAlignment w:val="center"/>
              <w:rPr>
                <w:rFonts w:hint="eastAsia" w:ascii="宋体" w:hAnsi="宋体" w:eastAsia="宋体"/>
                <w:bCs/>
                <w:color w:val="000000"/>
                <w:sz w:val="24"/>
                <w:szCs w:val="24"/>
                <w:highlight w:val="none"/>
                <w:lang w:bidi="ar"/>
              </w:rPr>
            </w:pPr>
            <w:r>
              <w:rPr>
                <w:rFonts w:hint="eastAsia" w:ascii="宋体" w:hAnsi="宋体" w:eastAsia="宋体"/>
                <w:bCs/>
                <w:color w:val="000000"/>
                <w:sz w:val="24"/>
                <w:szCs w:val="24"/>
                <w:highlight w:val="none"/>
                <w:lang w:bidi="ar"/>
              </w:rPr>
              <w:t>1</w:t>
            </w:r>
          </w:p>
        </w:tc>
        <w:tc>
          <w:tcPr>
            <w:tcW w:w="1845" w:type="pct"/>
            <w:vAlign w:val="center"/>
          </w:tcPr>
          <w:p w14:paraId="35EAC7D1">
            <w:pPr>
              <w:widowControl/>
              <w:spacing w:line="360" w:lineRule="auto"/>
              <w:jc w:val="center"/>
              <w:textAlignment w:val="center"/>
              <w:rPr>
                <w:rFonts w:hint="eastAsia" w:ascii="宋体" w:hAnsi="宋体" w:eastAsia="宋体"/>
                <w:color w:val="000000"/>
                <w:sz w:val="24"/>
                <w:szCs w:val="24"/>
                <w:highlight w:val="none"/>
                <w:lang w:bidi="ar"/>
              </w:rPr>
            </w:pPr>
            <w:r>
              <w:rPr>
                <w:rFonts w:ascii="宋体" w:hAnsi="宋体" w:eastAsia="宋体"/>
                <w:color w:val="000000"/>
                <w:sz w:val="24"/>
                <w:szCs w:val="24"/>
                <w:highlight w:val="none"/>
                <w:lang w:bidi="ar"/>
              </w:rPr>
              <w:t>电梯</w:t>
            </w:r>
          </w:p>
        </w:tc>
        <w:tc>
          <w:tcPr>
            <w:tcW w:w="1453" w:type="pct"/>
            <w:vAlign w:val="center"/>
          </w:tcPr>
          <w:p w14:paraId="0B005E44">
            <w:pPr>
              <w:widowControl/>
              <w:spacing w:line="360" w:lineRule="auto"/>
              <w:jc w:val="center"/>
              <w:textAlignment w:val="center"/>
              <w:rPr>
                <w:rFonts w:hint="eastAsia" w:ascii="宋体" w:hAnsi="宋体" w:eastAsia="宋体"/>
                <w:color w:val="000000"/>
                <w:sz w:val="24"/>
                <w:szCs w:val="24"/>
                <w:highlight w:val="none"/>
                <w:lang w:bidi="ar"/>
              </w:rPr>
            </w:pPr>
            <w:r>
              <w:rPr>
                <w:rFonts w:hint="eastAsia" w:ascii="宋体" w:hAnsi="宋体" w:eastAsia="宋体"/>
                <w:color w:val="000000"/>
                <w:sz w:val="24"/>
                <w:szCs w:val="24"/>
                <w:highlight w:val="none"/>
                <w:lang w:bidi="ar"/>
              </w:rPr>
              <w:t>23</w:t>
            </w:r>
          </w:p>
        </w:tc>
        <w:tc>
          <w:tcPr>
            <w:tcW w:w="1030" w:type="pct"/>
            <w:vAlign w:val="center"/>
          </w:tcPr>
          <w:p w14:paraId="282D192B">
            <w:pPr>
              <w:widowControl/>
              <w:spacing w:line="360" w:lineRule="auto"/>
              <w:jc w:val="center"/>
              <w:textAlignment w:val="center"/>
              <w:rPr>
                <w:rFonts w:hint="eastAsia" w:ascii="宋体" w:hAnsi="宋体" w:eastAsia="宋体"/>
                <w:color w:val="000000"/>
                <w:sz w:val="24"/>
                <w:szCs w:val="24"/>
                <w:highlight w:val="none"/>
                <w:lang w:bidi="ar"/>
              </w:rPr>
            </w:pPr>
            <w:r>
              <w:rPr>
                <w:rFonts w:hint="eastAsia" w:ascii="宋体" w:hAnsi="宋体" w:eastAsia="宋体"/>
                <w:color w:val="000000"/>
                <w:sz w:val="24"/>
                <w:szCs w:val="24"/>
                <w:highlight w:val="none"/>
                <w:lang w:bidi="ar"/>
              </w:rPr>
              <w:t>台</w:t>
            </w:r>
          </w:p>
        </w:tc>
      </w:tr>
    </w:tbl>
    <w:p w14:paraId="249B9473">
      <w:pPr>
        <w:rPr>
          <w:rFonts w:ascii="Times New Roman" w:hAnsi="Times New Roman" w:eastAsia="宋体" w:cs="Times New Roman"/>
          <w:highlight w:val="none"/>
        </w:rPr>
      </w:pPr>
      <w:r>
        <w:rPr>
          <w:rFonts w:hint="eastAsia" w:ascii="Times New Roman" w:hAnsi="Times New Roman" w:eastAsia="宋体" w:cs="Times New Roman"/>
          <w:highlight w:val="none"/>
        </w:rPr>
        <w:t>维保设备清单</w:t>
      </w:r>
    </w:p>
    <w:tbl>
      <w:tblPr>
        <w:tblStyle w:val="39"/>
        <w:tblW w:w="4996" w:type="pct"/>
        <w:tblInd w:w="0" w:type="dxa"/>
        <w:tblLayout w:type="autofit"/>
        <w:tblCellMar>
          <w:top w:w="0" w:type="dxa"/>
          <w:left w:w="108" w:type="dxa"/>
          <w:bottom w:w="0" w:type="dxa"/>
          <w:right w:w="108" w:type="dxa"/>
        </w:tblCellMar>
      </w:tblPr>
      <w:tblGrid>
        <w:gridCol w:w="567"/>
        <w:gridCol w:w="2509"/>
        <w:gridCol w:w="1692"/>
        <w:gridCol w:w="1266"/>
        <w:gridCol w:w="742"/>
        <w:gridCol w:w="848"/>
        <w:gridCol w:w="952"/>
      </w:tblGrid>
      <w:tr w14:paraId="56A52532">
        <w:tblPrEx>
          <w:tblCellMar>
            <w:top w:w="0" w:type="dxa"/>
            <w:left w:w="108" w:type="dxa"/>
            <w:bottom w:w="0" w:type="dxa"/>
            <w:right w:w="108" w:type="dxa"/>
          </w:tblCellMar>
        </w:tblPrEx>
        <w:trPr>
          <w:trHeight w:val="450" w:hRule="atLeast"/>
        </w:trPr>
        <w:tc>
          <w:tcPr>
            <w:tcW w:w="3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B9ADE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序号</w:t>
            </w:r>
          </w:p>
        </w:tc>
        <w:tc>
          <w:tcPr>
            <w:tcW w:w="1489" w:type="pct"/>
            <w:tcBorders>
              <w:top w:val="single" w:color="000000" w:sz="4" w:space="0"/>
              <w:left w:val="single" w:color="000000" w:sz="4" w:space="0"/>
              <w:bottom w:val="single" w:color="000000" w:sz="4" w:space="0"/>
              <w:right w:val="single" w:color="000000" w:sz="4" w:space="0"/>
            </w:tcBorders>
            <w:vAlign w:val="center"/>
          </w:tcPr>
          <w:p w14:paraId="220F0AF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品牌（制造单位）</w:t>
            </w:r>
          </w:p>
        </w:tc>
        <w:tc>
          <w:tcPr>
            <w:tcW w:w="1013" w:type="pct"/>
            <w:tcBorders>
              <w:top w:val="single" w:color="000000" w:sz="4" w:space="0"/>
              <w:left w:val="single" w:color="000000" w:sz="4" w:space="0"/>
              <w:bottom w:val="single" w:color="000000" w:sz="4" w:space="0"/>
              <w:right w:val="single" w:color="000000" w:sz="4" w:space="0"/>
            </w:tcBorders>
            <w:vAlign w:val="center"/>
          </w:tcPr>
          <w:p w14:paraId="6F4B240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梯型</w:t>
            </w:r>
          </w:p>
        </w:tc>
        <w:tc>
          <w:tcPr>
            <w:tcW w:w="690" w:type="pct"/>
            <w:tcBorders>
              <w:top w:val="single" w:color="000000" w:sz="4" w:space="0"/>
              <w:left w:val="single" w:color="000000" w:sz="4" w:space="0"/>
              <w:bottom w:val="single" w:color="000000" w:sz="4" w:space="0"/>
              <w:right w:val="single" w:color="000000" w:sz="4" w:space="0"/>
            </w:tcBorders>
            <w:vAlign w:val="center"/>
          </w:tcPr>
          <w:p w14:paraId="367E181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电梯型号</w:t>
            </w:r>
          </w:p>
        </w:tc>
        <w:tc>
          <w:tcPr>
            <w:tcW w:w="404" w:type="pct"/>
            <w:tcBorders>
              <w:top w:val="single" w:color="000000" w:sz="4" w:space="0"/>
              <w:left w:val="single" w:color="000000" w:sz="4" w:space="0"/>
              <w:bottom w:val="single" w:color="000000" w:sz="4" w:space="0"/>
              <w:right w:val="single" w:color="000000" w:sz="4" w:space="0"/>
            </w:tcBorders>
            <w:vAlign w:val="center"/>
          </w:tcPr>
          <w:p w14:paraId="428D36F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层/站/门</w:t>
            </w:r>
          </w:p>
        </w:tc>
        <w:tc>
          <w:tcPr>
            <w:tcW w:w="520" w:type="pct"/>
            <w:tcBorders>
              <w:top w:val="single" w:color="000000" w:sz="4" w:space="0"/>
              <w:left w:val="single" w:color="000000" w:sz="4" w:space="0"/>
              <w:bottom w:val="single" w:color="000000" w:sz="4" w:space="0"/>
              <w:right w:val="single" w:color="000000" w:sz="4" w:space="0"/>
            </w:tcBorders>
            <w:vAlign w:val="center"/>
          </w:tcPr>
          <w:p w14:paraId="18FB0BA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载重量(kg)</w:t>
            </w:r>
          </w:p>
        </w:tc>
        <w:tc>
          <w:tcPr>
            <w:tcW w:w="523" w:type="pct"/>
            <w:tcBorders>
              <w:top w:val="single" w:color="000000" w:sz="4" w:space="0"/>
              <w:left w:val="single" w:color="000000" w:sz="4" w:space="0"/>
              <w:bottom w:val="single" w:color="000000" w:sz="4" w:space="0"/>
              <w:right w:val="single" w:color="000000" w:sz="4" w:space="0"/>
            </w:tcBorders>
            <w:vAlign w:val="center"/>
          </w:tcPr>
          <w:p w14:paraId="43FD9B7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速度（m/s）</w:t>
            </w:r>
          </w:p>
        </w:tc>
      </w:tr>
      <w:tr w14:paraId="1ED34206">
        <w:tblPrEx>
          <w:tblCellMar>
            <w:top w:w="0" w:type="dxa"/>
            <w:left w:w="108" w:type="dxa"/>
            <w:bottom w:w="0" w:type="dxa"/>
            <w:right w:w="108" w:type="dxa"/>
          </w:tblCellMar>
        </w:tblPrEx>
        <w:trPr>
          <w:trHeight w:val="450" w:hRule="atLeast"/>
        </w:trPr>
        <w:tc>
          <w:tcPr>
            <w:tcW w:w="357" w:type="pct"/>
            <w:tcBorders>
              <w:top w:val="single" w:color="000000" w:sz="4" w:space="0"/>
              <w:left w:val="single" w:color="000000" w:sz="4" w:space="0"/>
              <w:bottom w:val="single" w:color="000000" w:sz="4" w:space="0"/>
              <w:right w:val="single" w:color="000000" w:sz="4" w:space="0"/>
            </w:tcBorders>
            <w:vAlign w:val="center"/>
          </w:tcPr>
          <w:p w14:paraId="5C64FD3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1</w:t>
            </w:r>
          </w:p>
        </w:tc>
        <w:tc>
          <w:tcPr>
            <w:tcW w:w="1489" w:type="pct"/>
            <w:tcBorders>
              <w:top w:val="single" w:color="000000" w:sz="4" w:space="0"/>
              <w:left w:val="single" w:color="000000" w:sz="4" w:space="0"/>
              <w:bottom w:val="single" w:color="000000" w:sz="4" w:space="0"/>
              <w:right w:val="single" w:color="000000" w:sz="4" w:space="0"/>
            </w:tcBorders>
            <w:vAlign w:val="center"/>
          </w:tcPr>
          <w:p w14:paraId="46B64A0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日立电梯（中国）有限公司</w:t>
            </w:r>
          </w:p>
        </w:tc>
        <w:tc>
          <w:tcPr>
            <w:tcW w:w="1013" w:type="pct"/>
            <w:tcBorders>
              <w:top w:val="single" w:color="000000" w:sz="4" w:space="0"/>
              <w:left w:val="single" w:color="000000" w:sz="4" w:space="0"/>
              <w:bottom w:val="single" w:color="000000" w:sz="4" w:space="0"/>
              <w:right w:val="single" w:color="000000" w:sz="4" w:space="0"/>
            </w:tcBorders>
            <w:vAlign w:val="center"/>
          </w:tcPr>
          <w:p w14:paraId="1E33355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曳引驱动（无机房）乘客电梯</w:t>
            </w:r>
          </w:p>
        </w:tc>
        <w:tc>
          <w:tcPr>
            <w:tcW w:w="690" w:type="pct"/>
            <w:tcBorders>
              <w:top w:val="single" w:color="000000" w:sz="4" w:space="0"/>
              <w:left w:val="single" w:color="000000" w:sz="4" w:space="0"/>
              <w:bottom w:val="single" w:color="000000" w:sz="4" w:space="0"/>
              <w:right w:val="single" w:color="000000" w:sz="4" w:space="0"/>
            </w:tcBorders>
            <w:vAlign w:val="center"/>
          </w:tcPr>
          <w:p w14:paraId="5913F71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LGE</w:t>
            </w:r>
          </w:p>
        </w:tc>
        <w:tc>
          <w:tcPr>
            <w:tcW w:w="404" w:type="pct"/>
            <w:tcBorders>
              <w:top w:val="single" w:color="000000" w:sz="4" w:space="0"/>
              <w:left w:val="single" w:color="000000" w:sz="4" w:space="0"/>
              <w:bottom w:val="single" w:color="000000" w:sz="4" w:space="0"/>
              <w:right w:val="single" w:color="000000" w:sz="4" w:space="0"/>
            </w:tcBorders>
            <w:vAlign w:val="center"/>
          </w:tcPr>
          <w:p w14:paraId="3CB953F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9/9/9</w:t>
            </w:r>
          </w:p>
        </w:tc>
        <w:tc>
          <w:tcPr>
            <w:tcW w:w="520" w:type="pct"/>
            <w:tcBorders>
              <w:top w:val="single" w:color="000000" w:sz="4" w:space="0"/>
              <w:left w:val="single" w:color="000000" w:sz="4" w:space="0"/>
              <w:bottom w:val="single" w:color="000000" w:sz="4" w:space="0"/>
              <w:right w:val="single" w:color="000000" w:sz="4" w:space="0"/>
            </w:tcBorders>
            <w:vAlign w:val="center"/>
          </w:tcPr>
          <w:p w14:paraId="42A97BF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1000kg</w:t>
            </w:r>
          </w:p>
        </w:tc>
        <w:tc>
          <w:tcPr>
            <w:tcW w:w="523" w:type="pct"/>
            <w:tcBorders>
              <w:top w:val="single" w:color="000000" w:sz="4" w:space="0"/>
              <w:left w:val="single" w:color="000000" w:sz="4" w:space="0"/>
              <w:bottom w:val="single" w:color="000000" w:sz="4" w:space="0"/>
              <w:right w:val="single" w:color="000000" w:sz="4" w:space="0"/>
            </w:tcBorders>
            <w:vAlign w:val="center"/>
          </w:tcPr>
          <w:p w14:paraId="766B899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1.0m/s</w:t>
            </w:r>
          </w:p>
        </w:tc>
      </w:tr>
      <w:tr w14:paraId="060778AD">
        <w:tblPrEx>
          <w:tblCellMar>
            <w:top w:w="0" w:type="dxa"/>
            <w:left w:w="108" w:type="dxa"/>
            <w:bottom w:w="0" w:type="dxa"/>
            <w:right w:w="108" w:type="dxa"/>
          </w:tblCellMar>
        </w:tblPrEx>
        <w:trPr>
          <w:trHeight w:val="450" w:hRule="atLeast"/>
        </w:trPr>
        <w:tc>
          <w:tcPr>
            <w:tcW w:w="357" w:type="pct"/>
            <w:tcBorders>
              <w:top w:val="single" w:color="000000" w:sz="4" w:space="0"/>
              <w:left w:val="single" w:color="000000" w:sz="4" w:space="0"/>
              <w:bottom w:val="single" w:color="000000" w:sz="4" w:space="0"/>
              <w:right w:val="single" w:color="000000" w:sz="4" w:space="0"/>
            </w:tcBorders>
            <w:vAlign w:val="center"/>
          </w:tcPr>
          <w:p w14:paraId="1CD8894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2</w:t>
            </w:r>
          </w:p>
        </w:tc>
        <w:tc>
          <w:tcPr>
            <w:tcW w:w="1489" w:type="pct"/>
            <w:tcBorders>
              <w:top w:val="single" w:color="000000" w:sz="4" w:space="0"/>
              <w:left w:val="single" w:color="000000" w:sz="4" w:space="0"/>
              <w:bottom w:val="single" w:color="000000" w:sz="4" w:space="0"/>
              <w:right w:val="single" w:color="000000" w:sz="4" w:space="0"/>
            </w:tcBorders>
            <w:vAlign w:val="center"/>
          </w:tcPr>
          <w:p w14:paraId="70B630C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日立电梯（中国）有限公司</w:t>
            </w:r>
          </w:p>
        </w:tc>
        <w:tc>
          <w:tcPr>
            <w:tcW w:w="1013" w:type="pct"/>
            <w:tcBorders>
              <w:top w:val="single" w:color="000000" w:sz="4" w:space="0"/>
              <w:left w:val="single" w:color="000000" w:sz="4" w:space="0"/>
              <w:bottom w:val="single" w:color="000000" w:sz="4" w:space="0"/>
              <w:right w:val="single" w:color="000000" w:sz="4" w:space="0"/>
            </w:tcBorders>
            <w:vAlign w:val="center"/>
          </w:tcPr>
          <w:p w14:paraId="4A923B9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曳引驱动（无机房）乘客电梯</w:t>
            </w:r>
          </w:p>
        </w:tc>
        <w:tc>
          <w:tcPr>
            <w:tcW w:w="690" w:type="pct"/>
            <w:tcBorders>
              <w:top w:val="single" w:color="000000" w:sz="4" w:space="0"/>
              <w:left w:val="single" w:color="000000" w:sz="4" w:space="0"/>
              <w:bottom w:val="single" w:color="000000" w:sz="4" w:space="0"/>
              <w:right w:val="single" w:color="000000" w:sz="4" w:space="0"/>
            </w:tcBorders>
            <w:vAlign w:val="center"/>
          </w:tcPr>
          <w:p w14:paraId="5CA6159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LGE</w:t>
            </w:r>
          </w:p>
        </w:tc>
        <w:tc>
          <w:tcPr>
            <w:tcW w:w="404" w:type="pct"/>
            <w:tcBorders>
              <w:top w:val="single" w:color="000000" w:sz="4" w:space="0"/>
              <w:left w:val="single" w:color="000000" w:sz="4" w:space="0"/>
              <w:bottom w:val="single" w:color="000000" w:sz="4" w:space="0"/>
              <w:right w:val="single" w:color="000000" w:sz="4" w:space="0"/>
            </w:tcBorders>
            <w:vAlign w:val="center"/>
          </w:tcPr>
          <w:p w14:paraId="79FF379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9/9/9</w:t>
            </w:r>
          </w:p>
        </w:tc>
        <w:tc>
          <w:tcPr>
            <w:tcW w:w="520" w:type="pct"/>
            <w:tcBorders>
              <w:top w:val="single" w:color="000000" w:sz="4" w:space="0"/>
              <w:left w:val="single" w:color="000000" w:sz="4" w:space="0"/>
              <w:bottom w:val="single" w:color="000000" w:sz="4" w:space="0"/>
              <w:right w:val="single" w:color="000000" w:sz="4" w:space="0"/>
            </w:tcBorders>
            <w:vAlign w:val="center"/>
          </w:tcPr>
          <w:p w14:paraId="5E613F7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1000kg</w:t>
            </w:r>
          </w:p>
        </w:tc>
        <w:tc>
          <w:tcPr>
            <w:tcW w:w="523" w:type="pct"/>
            <w:tcBorders>
              <w:top w:val="single" w:color="000000" w:sz="4" w:space="0"/>
              <w:left w:val="single" w:color="000000" w:sz="4" w:space="0"/>
              <w:bottom w:val="single" w:color="000000" w:sz="4" w:space="0"/>
              <w:right w:val="single" w:color="000000" w:sz="4" w:space="0"/>
            </w:tcBorders>
            <w:vAlign w:val="center"/>
          </w:tcPr>
          <w:p w14:paraId="517B18F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1.0m/s</w:t>
            </w:r>
          </w:p>
        </w:tc>
      </w:tr>
      <w:tr w14:paraId="555D631A">
        <w:tblPrEx>
          <w:tblCellMar>
            <w:top w:w="0" w:type="dxa"/>
            <w:left w:w="108" w:type="dxa"/>
            <w:bottom w:w="0" w:type="dxa"/>
            <w:right w:w="108" w:type="dxa"/>
          </w:tblCellMar>
        </w:tblPrEx>
        <w:trPr>
          <w:trHeight w:val="450" w:hRule="atLeast"/>
        </w:trPr>
        <w:tc>
          <w:tcPr>
            <w:tcW w:w="357" w:type="pct"/>
            <w:tcBorders>
              <w:top w:val="single" w:color="000000" w:sz="4" w:space="0"/>
              <w:left w:val="single" w:color="000000" w:sz="4" w:space="0"/>
              <w:bottom w:val="single" w:color="000000" w:sz="4" w:space="0"/>
              <w:right w:val="single" w:color="000000" w:sz="4" w:space="0"/>
            </w:tcBorders>
            <w:vAlign w:val="center"/>
          </w:tcPr>
          <w:p w14:paraId="1447BA7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3</w:t>
            </w:r>
          </w:p>
        </w:tc>
        <w:tc>
          <w:tcPr>
            <w:tcW w:w="1489" w:type="pct"/>
            <w:tcBorders>
              <w:top w:val="single" w:color="000000" w:sz="4" w:space="0"/>
              <w:left w:val="single" w:color="000000" w:sz="4" w:space="0"/>
              <w:bottom w:val="single" w:color="000000" w:sz="4" w:space="0"/>
              <w:right w:val="single" w:color="000000" w:sz="4" w:space="0"/>
            </w:tcBorders>
            <w:vAlign w:val="center"/>
          </w:tcPr>
          <w:p w14:paraId="2D8C442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日立电梯（中国）有限公司</w:t>
            </w:r>
          </w:p>
        </w:tc>
        <w:tc>
          <w:tcPr>
            <w:tcW w:w="1013" w:type="pct"/>
            <w:tcBorders>
              <w:top w:val="single" w:color="000000" w:sz="4" w:space="0"/>
              <w:left w:val="single" w:color="000000" w:sz="4" w:space="0"/>
              <w:bottom w:val="single" w:color="000000" w:sz="4" w:space="0"/>
              <w:right w:val="single" w:color="000000" w:sz="4" w:space="0"/>
            </w:tcBorders>
            <w:vAlign w:val="center"/>
          </w:tcPr>
          <w:p w14:paraId="2EEA15B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曳引驱动（无机房）载货电梯</w:t>
            </w:r>
          </w:p>
        </w:tc>
        <w:tc>
          <w:tcPr>
            <w:tcW w:w="690" w:type="pct"/>
            <w:tcBorders>
              <w:top w:val="single" w:color="000000" w:sz="4" w:space="0"/>
              <w:left w:val="single" w:color="000000" w:sz="4" w:space="0"/>
              <w:bottom w:val="single" w:color="000000" w:sz="4" w:space="0"/>
              <w:right w:val="single" w:color="000000" w:sz="4" w:space="0"/>
            </w:tcBorders>
            <w:vAlign w:val="center"/>
          </w:tcPr>
          <w:p w14:paraId="54C5E3C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LF-MRL</w:t>
            </w:r>
          </w:p>
        </w:tc>
        <w:tc>
          <w:tcPr>
            <w:tcW w:w="404" w:type="pct"/>
            <w:tcBorders>
              <w:top w:val="single" w:color="000000" w:sz="4" w:space="0"/>
              <w:left w:val="single" w:color="000000" w:sz="4" w:space="0"/>
              <w:bottom w:val="single" w:color="000000" w:sz="4" w:space="0"/>
              <w:right w:val="single" w:color="000000" w:sz="4" w:space="0"/>
            </w:tcBorders>
            <w:vAlign w:val="center"/>
          </w:tcPr>
          <w:p w14:paraId="6F0A103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4/4/4</w:t>
            </w:r>
          </w:p>
        </w:tc>
        <w:tc>
          <w:tcPr>
            <w:tcW w:w="520" w:type="pct"/>
            <w:tcBorders>
              <w:top w:val="single" w:color="000000" w:sz="4" w:space="0"/>
              <w:left w:val="single" w:color="000000" w:sz="4" w:space="0"/>
              <w:bottom w:val="single" w:color="000000" w:sz="4" w:space="0"/>
              <w:right w:val="single" w:color="000000" w:sz="4" w:space="0"/>
            </w:tcBorders>
            <w:vAlign w:val="center"/>
          </w:tcPr>
          <w:p w14:paraId="0D2CDA9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3000kg</w:t>
            </w:r>
          </w:p>
        </w:tc>
        <w:tc>
          <w:tcPr>
            <w:tcW w:w="523" w:type="pct"/>
            <w:tcBorders>
              <w:top w:val="single" w:color="000000" w:sz="4" w:space="0"/>
              <w:left w:val="single" w:color="000000" w:sz="4" w:space="0"/>
              <w:bottom w:val="single" w:color="000000" w:sz="4" w:space="0"/>
              <w:right w:val="single" w:color="000000" w:sz="4" w:space="0"/>
            </w:tcBorders>
            <w:vAlign w:val="center"/>
          </w:tcPr>
          <w:p w14:paraId="2066B7B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0.5m/s</w:t>
            </w:r>
          </w:p>
        </w:tc>
      </w:tr>
      <w:tr w14:paraId="4715ABAC">
        <w:tblPrEx>
          <w:tblCellMar>
            <w:top w:w="0" w:type="dxa"/>
            <w:left w:w="108" w:type="dxa"/>
            <w:bottom w:w="0" w:type="dxa"/>
            <w:right w:w="108" w:type="dxa"/>
          </w:tblCellMar>
        </w:tblPrEx>
        <w:trPr>
          <w:trHeight w:val="450" w:hRule="atLeast"/>
        </w:trPr>
        <w:tc>
          <w:tcPr>
            <w:tcW w:w="357" w:type="pct"/>
            <w:tcBorders>
              <w:top w:val="single" w:color="000000" w:sz="4" w:space="0"/>
              <w:left w:val="single" w:color="000000" w:sz="4" w:space="0"/>
              <w:bottom w:val="single" w:color="000000" w:sz="4" w:space="0"/>
              <w:right w:val="single" w:color="000000" w:sz="4" w:space="0"/>
            </w:tcBorders>
            <w:vAlign w:val="center"/>
          </w:tcPr>
          <w:p w14:paraId="5320DD6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4</w:t>
            </w:r>
          </w:p>
        </w:tc>
        <w:tc>
          <w:tcPr>
            <w:tcW w:w="1489" w:type="pct"/>
            <w:tcBorders>
              <w:top w:val="single" w:color="000000" w:sz="4" w:space="0"/>
              <w:left w:val="single" w:color="000000" w:sz="4" w:space="0"/>
              <w:bottom w:val="single" w:color="000000" w:sz="4" w:space="0"/>
              <w:right w:val="single" w:color="000000" w:sz="4" w:space="0"/>
            </w:tcBorders>
            <w:vAlign w:val="center"/>
          </w:tcPr>
          <w:p w14:paraId="2267582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日立电梯（中国）有限公司</w:t>
            </w:r>
          </w:p>
        </w:tc>
        <w:tc>
          <w:tcPr>
            <w:tcW w:w="1013" w:type="pct"/>
            <w:tcBorders>
              <w:top w:val="single" w:color="000000" w:sz="4" w:space="0"/>
              <w:left w:val="single" w:color="000000" w:sz="4" w:space="0"/>
              <w:bottom w:val="single" w:color="000000" w:sz="4" w:space="0"/>
              <w:right w:val="single" w:color="000000" w:sz="4" w:space="0"/>
            </w:tcBorders>
            <w:vAlign w:val="center"/>
          </w:tcPr>
          <w:p w14:paraId="7865D65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曳引驱动（无机房）乘客电梯</w:t>
            </w:r>
          </w:p>
        </w:tc>
        <w:tc>
          <w:tcPr>
            <w:tcW w:w="690" w:type="pct"/>
            <w:tcBorders>
              <w:top w:val="single" w:color="000000" w:sz="4" w:space="0"/>
              <w:left w:val="single" w:color="000000" w:sz="4" w:space="0"/>
              <w:bottom w:val="single" w:color="000000" w:sz="4" w:space="0"/>
              <w:right w:val="single" w:color="000000" w:sz="4" w:space="0"/>
            </w:tcBorders>
            <w:vAlign w:val="center"/>
          </w:tcPr>
          <w:p w14:paraId="1C23676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LGE</w:t>
            </w:r>
          </w:p>
        </w:tc>
        <w:tc>
          <w:tcPr>
            <w:tcW w:w="404" w:type="pct"/>
            <w:tcBorders>
              <w:top w:val="single" w:color="000000" w:sz="4" w:space="0"/>
              <w:left w:val="single" w:color="000000" w:sz="4" w:space="0"/>
              <w:bottom w:val="single" w:color="000000" w:sz="4" w:space="0"/>
              <w:right w:val="single" w:color="000000" w:sz="4" w:space="0"/>
            </w:tcBorders>
            <w:vAlign w:val="center"/>
          </w:tcPr>
          <w:p w14:paraId="0F95452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7/7/7</w:t>
            </w:r>
          </w:p>
        </w:tc>
        <w:tc>
          <w:tcPr>
            <w:tcW w:w="520" w:type="pct"/>
            <w:tcBorders>
              <w:top w:val="single" w:color="000000" w:sz="4" w:space="0"/>
              <w:left w:val="single" w:color="000000" w:sz="4" w:space="0"/>
              <w:bottom w:val="single" w:color="000000" w:sz="4" w:space="0"/>
              <w:right w:val="single" w:color="000000" w:sz="4" w:space="0"/>
            </w:tcBorders>
            <w:vAlign w:val="center"/>
          </w:tcPr>
          <w:p w14:paraId="4725980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1000kg</w:t>
            </w:r>
          </w:p>
        </w:tc>
        <w:tc>
          <w:tcPr>
            <w:tcW w:w="523" w:type="pct"/>
            <w:tcBorders>
              <w:top w:val="single" w:color="000000" w:sz="4" w:space="0"/>
              <w:left w:val="single" w:color="000000" w:sz="4" w:space="0"/>
              <w:bottom w:val="single" w:color="000000" w:sz="4" w:space="0"/>
              <w:right w:val="single" w:color="000000" w:sz="4" w:space="0"/>
            </w:tcBorders>
            <w:vAlign w:val="center"/>
          </w:tcPr>
          <w:p w14:paraId="55946A4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1.0m/s</w:t>
            </w:r>
          </w:p>
        </w:tc>
      </w:tr>
      <w:tr w14:paraId="5AE8410F">
        <w:tblPrEx>
          <w:tblCellMar>
            <w:top w:w="0" w:type="dxa"/>
            <w:left w:w="108" w:type="dxa"/>
            <w:bottom w:w="0" w:type="dxa"/>
            <w:right w:w="108" w:type="dxa"/>
          </w:tblCellMar>
        </w:tblPrEx>
        <w:trPr>
          <w:trHeight w:val="450" w:hRule="atLeast"/>
        </w:trPr>
        <w:tc>
          <w:tcPr>
            <w:tcW w:w="357" w:type="pct"/>
            <w:tcBorders>
              <w:top w:val="single" w:color="000000" w:sz="4" w:space="0"/>
              <w:left w:val="single" w:color="000000" w:sz="4" w:space="0"/>
              <w:bottom w:val="single" w:color="000000" w:sz="4" w:space="0"/>
              <w:right w:val="single" w:color="000000" w:sz="4" w:space="0"/>
            </w:tcBorders>
            <w:vAlign w:val="center"/>
          </w:tcPr>
          <w:p w14:paraId="087A774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5</w:t>
            </w:r>
          </w:p>
        </w:tc>
        <w:tc>
          <w:tcPr>
            <w:tcW w:w="1489" w:type="pct"/>
            <w:tcBorders>
              <w:top w:val="single" w:color="000000" w:sz="4" w:space="0"/>
              <w:left w:val="single" w:color="000000" w:sz="4" w:space="0"/>
              <w:bottom w:val="single" w:color="000000" w:sz="4" w:space="0"/>
              <w:right w:val="single" w:color="000000" w:sz="4" w:space="0"/>
            </w:tcBorders>
            <w:vAlign w:val="center"/>
          </w:tcPr>
          <w:p w14:paraId="6977A4F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日立电梯（中国）有限公司</w:t>
            </w:r>
          </w:p>
        </w:tc>
        <w:tc>
          <w:tcPr>
            <w:tcW w:w="1013" w:type="pct"/>
            <w:tcBorders>
              <w:top w:val="single" w:color="000000" w:sz="4" w:space="0"/>
              <w:left w:val="single" w:color="000000" w:sz="4" w:space="0"/>
              <w:bottom w:val="single" w:color="000000" w:sz="4" w:space="0"/>
              <w:right w:val="single" w:color="000000" w:sz="4" w:space="0"/>
            </w:tcBorders>
            <w:vAlign w:val="center"/>
          </w:tcPr>
          <w:p w14:paraId="318E55B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曳引驱动（无机房）载货电梯</w:t>
            </w:r>
          </w:p>
        </w:tc>
        <w:tc>
          <w:tcPr>
            <w:tcW w:w="690" w:type="pct"/>
            <w:tcBorders>
              <w:top w:val="single" w:color="000000" w:sz="4" w:space="0"/>
              <w:left w:val="single" w:color="000000" w:sz="4" w:space="0"/>
              <w:bottom w:val="single" w:color="000000" w:sz="4" w:space="0"/>
              <w:right w:val="single" w:color="000000" w:sz="4" w:space="0"/>
            </w:tcBorders>
            <w:vAlign w:val="center"/>
          </w:tcPr>
          <w:p w14:paraId="52D5612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LF-MRL</w:t>
            </w:r>
          </w:p>
        </w:tc>
        <w:tc>
          <w:tcPr>
            <w:tcW w:w="404" w:type="pct"/>
            <w:tcBorders>
              <w:top w:val="single" w:color="000000" w:sz="4" w:space="0"/>
              <w:left w:val="single" w:color="000000" w:sz="4" w:space="0"/>
              <w:bottom w:val="single" w:color="000000" w:sz="4" w:space="0"/>
              <w:right w:val="single" w:color="000000" w:sz="4" w:space="0"/>
            </w:tcBorders>
            <w:vAlign w:val="center"/>
          </w:tcPr>
          <w:p w14:paraId="70F29A4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4/4/4</w:t>
            </w:r>
          </w:p>
        </w:tc>
        <w:tc>
          <w:tcPr>
            <w:tcW w:w="520" w:type="pct"/>
            <w:tcBorders>
              <w:top w:val="single" w:color="000000" w:sz="4" w:space="0"/>
              <w:left w:val="single" w:color="000000" w:sz="4" w:space="0"/>
              <w:bottom w:val="single" w:color="000000" w:sz="4" w:space="0"/>
              <w:right w:val="single" w:color="000000" w:sz="4" w:space="0"/>
            </w:tcBorders>
            <w:vAlign w:val="center"/>
          </w:tcPr>
          <w:p w14:paraId="69D5549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3000kg</w:t>
            </w:r>
          </w:p>
        </w:tc>
        <w:tc>
          <w:tcPr>
            <w:tcW w:w="523" w:type="pct"/>
            <w:tcBorders>
              <w:top w:val="single" w:color="000000" w:sz="4" w:space="0"/>
              <w:left w:val="single" w:color="000000" w:sz="4" w:space="0"/>
              <w:bottom w:val="single" w:color="000000" w:sz="4" w:space="0"/>
              <w:right w:val="single" w:color="000000" w:sz="4" w:space="0"/>
            </w:tcBorders>
            <w:vAlign w:val="center"/>
          </w:tcPr>
          <w:p w14:paraId="48CA930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0.5m/s</w:t>
            </w:r>
          </w:p>
        </w:tc>
      </w:tr>
      <w:tr w14:paraId="5045D074">
        <w:tblPrEx>
          <w:tblCellMar>
            <w:top w:w="0" w:type="dxa"/>
            <w:left w:w="108" w:type="dxa"/>
            <w:bottom w:w="0" w:type="dxa"/>
            <w:right w:w="108" w:type="dxa"/>
          </w:tblCellMar>
        </w:tblPrEx>
        <w:trPr>
          <w:trHeight w:val="450" w:hRule="atLeast"/>
        </w:trPr>
        <w:tc>
          <w:tcPr>
            <w:tcW w:w="357" w:type="pct"/>
            <w:tcBorders>
              <w:top w:val="single" w:color="000000" w:sz="4" w:space="0"/>
              <w:left w:val="single" w:color="000000" w:sz="4" w:space="0"/>
              <w:bottom w:val="single" w:color="000000" w:sz="4" w:space="0"/>
              <w:right w:val="single" w:color="000000" w:sz="4" w:space="0"/>
            </w:tcBorders>
            <w:vAlign w:val="center"/>
          </w:tcPr>
          <w:p w14:paraId="66C9148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6</w:t>
            </w:r>
          </w:p>
        </w:tc>
        <w:tc>
          <w:tcPr>
            <w:tcW w:w="1489" w:type="pct"/>
            <w:tcBorders>
              <w:top w:val="single" w:color="000000" w:sz="4" w:space="0"/>
              <w:left w:val="single" w:color="000000" w:sz="4" w:space="0"/>
              <w:bottom w:val="single" w:color="000000" w:sz="4" w:space="0"/>
              <w:right w:val="single" w:color="000000" w:sz="4" w:space="0"/>
            </w:tcBorders>
            <w:vAlign w:val="center"/>
          </w:tcPr>
          <w:p w14:paraId="4F9B4AC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日立电梯（中国）有限公司</w:t>
            </w:r>
          </w:p>
        </w:tc>
        <w:tc>
          <w:tcPr>
            <w:tcW w:w="1013" w:type="pct"/>
            <w:tcBorders>
              <w:top w:val="single" w:color="000000" w:sz="4" w:space="0"/>
              <w:left w:val="single" w:color="000000" w:sz="4" w:space="0"/>
              <w:bottom w:val="single" w:color="000000" w:sz="4" w:space="0"/>
              <w:right w:val="single" w:color="000000" w:sz="4" w:space="0"/>
            </w:tcBorders>
            <w:vAlign w:val="center"/>
          </w:tcPr>
          <w:p w14:paraId="6BA2952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曳引驱动（无机房）乘客电梯</w:t>
            </w:r>
          </w:p>
        </w:tc>
        <w:tc>
          <w:tcPr>
            <w:tcW w:w="690" w:type="pct"/>
            <w:tcBorders>
              <w:top w:val="single" w:color="000000" w:sz="4" w:space="0"/>
              <w:left w:val="single" w:color="000000" w:sz="4" w:space="0"/>
              <w:bottom w:val="single" w:color="000000" w:sz="4" w:space="0"/>
              <w:right w:val="single" w:color="000000" w:sz="4" w:space="0"/>
            </w:tcBorders>
            <w:vAlign w:val="center"/>
          </w:tcPr>
          <w:p w14:paraId="6973442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LGE</w:t>
            </w:r>
          </w:p>
        </w:tc>
        <w:tc>
          <w:tcPr>
            <w:tcW w:w="404" w:type="pct"/>
            <w:tcBorders>
              <w:top w:val="single" w:color="000000" w:sz="4" w:space="0"/>
              <w:left w:val="single" w:color="000000" w:sz="4" w:space="0"/>
              <w:bottom w:val="single" w:color="000000" w:sz="4" w:space="0"/>
              <w:right w:val="single" w:color="000000" w:sz="4" w:space="0"/>
            </w:tcBorders>
            <w:vAlign w:val="center"/>
          </w:tcPr>
          <w:p w14:paraId="4872349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7/7/7</w:t>
            </w:r>
          </w:p>
        </w:tc>
        <w:tc>
          <w:tcPr>
            <w:tcW w:w="520" w:type="pct"/>
            <w:tcBorders>
              <w:top w:val="single" w:color="000000" w:sz="4" w:space="0"/>
              <w:left w:val="single" w:color="000000" w:sz="4" w:space="0"/>
              <w:bottom w:val="single" w:color="000000" w:sz="4" w:space="0"/>
              <w:right w:val="single" w:color="000000" w:sz="4" w:space="0"/>
            </w:tcBorders>
            <w:vAlign w:val="center"/>
          </w:tcPr>
          <w:p w14:paraId="5F38337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1000kg</w:t>
            </w:r>
          </w:p>
        </w:tc>
        <w:tc>
          <w:tcPr>
            <w:tcW w:w="523" w:type="pct"/>
            <w:tcBorders>
              <w:top w:val="single" w:color="000000" w:sz="4" w:space="0"/>
              <w:left w:val="single" w:color="000000" w:sz="4" w:space="0"/>
              <w:bottom w:val="single" w:color="000000" w:sz="4" w:space="0"/>
              <w:right w:val="single" w:color="000000" w:sz="4" w:space="0"/>
            </w:tcBorders>
            <w:vAlign w:val="center"/>
          </w:tcPr>
          <w:p w14:paraId="6654CCB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1.0m/s</w:t>
            </w:r>
          </w:p>
        </w:tc>
      </w:tr>
      <w:tr w14:paraId="2D90DEC8">
        <w:tblPrEx>
          <w:tblCellMar>
            <w:top w:w="0" w:type="dxa"/>
            <w:left w:w="108" w:type="dxa"/>
            <w:bottom w:w="0" w:type="dxa"/>
            <w:right w:w="108" w:type="dxa"/>
          </w:tblCellMar>
        </w:tblPrEx>
        <w:trPr>
          <w:trHeight w:val="450" w:hRule="atLeast"/>
        </w:trPr>
        <w:tc>
          <w:tcPr>
            <w:tcW w:w="357" w:type="pct"/>
            <w:tcBorders>
              <w:top w:val="single" w:color="000000" w:sz="4" w:space="0"/>
              <w:left w:val="single" w:color="000000" w:sz="4" w:space="0"/>
              <w:bottom w:val="single" w:color="000000" w:sz="4" w:space="0"/>
              <w:right w:val="single" w:color="000000" w:sz="4" w:space="0"/>
            </w:tcBorders>
            <w:vAlign w:val="center"/>
          </w:tcPr>
          <w:p w14:paraId="4EF52A3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7</w:t>
            </w:r>
          </w:p>
        </w:tc>
        <w:tc>
          <w:tcPr>
            <w:tcW w:w="1489" w:type="pct"/>
            <w:tcBorders>
              <w:top w:val="single" w:color="000000" w:sz="4" w:space="0"/>
              <w:left w:val="single" w:color="000000" w:sz="4" w:space="0"/>
              <w:bottom w:val="single" w:color="000000" w:sz="4" w:space="0"/>
              <w:right w:val="single" w:color="000000" w:sz="4" w:space="0"/>
            </w:tcBorders>
            <w:vAlign w:val="center"/>
          </w:tcPr>
          <w:p w14:paraId="33D4CF7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日立电梯（中国）有限公司</w:t>
            </w:r>
          </w:p>
        </w:tc>
        <w:tc>
          <w:tcPr>
            <w:tcW w:w="1013" w:type="pct"/>
            <w:tcBorders>
              <w:top w:val="single" w:color="000000" w:sz="4" w:space="0"/>
              <w:left w:val="single" w:color="000000" w:sz="4" w:space="0"/>
              <w:bottom w:val="single" w:color="000000" w:sz="4" w:space="0"/>
              <w:right w:val="single" w:color="000000" w:sz="4" w:space="0"/>
            </w:tcBorders>
            <w:vAlign w:val="center"/>
          </w:tcPr>
          <w:p w14:paraId="0502FB9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曳引驱动（无机房）载货电梯</w:t>
            </w:r>
          </w:p>
        </w:tc>
        <w:tc>
          <w:tcPr>
            <w:tcW w:w="690" w:type="pct"/>
            <w:tcBorders>
              <w:top w:val="single" w:color="000000" w:sz="4" w:space="0"/>
              <w:left w:val="single" w:color="000000" w:sz="4" w:space="0"/>
              <w:bottom w:val="single" w:color="000000" w:sz="4" w:space="0"/>
              <w:right w:val="single" w:color="000000" w:sz="4" w:space="0"/>
            </w:tcBorders>
            <w:vAlign w:val="center"/>
          </w:tcPr>
          <w:p w14:paraId="2127A42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LF-MRL</w:t>
            </w:r>
          </w:p>
        </w:tc>
        <w:tc>
          <w:tcPr>
            <w:tcW w:w="404" w:type="pct"/>
            <w:tcBorders>
              <w:top w:val="single" w:color="000000" w:sz="4" w:space="0"/>
              <w:left w:val="single" w:color="000000" w:sz="4" w:space="0"/>
              <w:bottom w:val="single" w:color="000000" w:sz="4" w:space="0"/>
              <w:right w:val="single" w:color="000000" w:sz="4" w:space="0"/>
            </w:tcBorders>
            <w:vAlign w:val="center"/>
          </w:tcPr>
          <w:p w14:paraId="26E1177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2/2/2</w:t>
            </w:r>
          </w:p>
        </w:tc>
        <w:tc>
          <w:tcPr>
            <w:tcW w:w="520" w:type="pct"/>
            <w:tcBorders>
              <w:top w:val="single" w:color="000000" w:sz="4" w:space="0"/>
              <w:left w:val="single" w:color="000000" w:sz="4" w:space="0"/>
              <w:bottom w:val="single" w:color="000000" w:sz="4" w:space="0"/>
              <w:right w:val="single" w:color="000000" w:sz="4" w:space="0"/>
            </w:tcBorders>
            <w:vAlign w:val="center"/>
          </w:tcPr>
          <w:p w14:paraId="556DB74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3000kg</w:t>
            </w:r>
          </w:p>
        </w:tc>
        <w:tc>
          <w:tcPr>
            <w:tcW w:w="523" w:type="pct"/>
            <w:tcBorders>
              <w:top w:val="single" w:color="000000" w:sz="4" w:space="0"/>
              <w:left w:val="single" w:color="000000" w:sz="4" w:space="0"/>
              <w:bottom w:val="single" w:color="000000" w:sz="4" w:space="0"/>
              <w:right w:val="single" w:color="000000" w:sz="4" w:space="0"/>
            </w:tcBorders>
            <w:vAlign w:val="center"/>
          </w:tcPr>
          <w:p w14:paraId="65EE2B4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0.5m/s</w:t>
            </w:r>
          </w:p>
        </w:tc>
      </w:tr>
      <w:tr w14:paraId="1E569353">
        <w:tblPrEx>
          <w:tblCellMar>
            <w:top w:w="0" w:type="dxa"/>
            <w:left w:w="108" w:type="dxa"/>
            <w:bottom w:w="0" w:type="dxa"/>
            <w:right w:w="108" w:type="dxa"/>
          </w:tblCellMar>
        </w:tblPrEx>
        <w:trPr>
          <w:trHeight w:val="450" w:hRule="atLeast"/>
        </w:trPr>
        <w:tc>
          <w:tcPr>
            <w:tcW w:w="357" w:type="pct"/>
            <w:tcBorders>
              <w:top w:val="single" w:color="000000" w:sz="4" w:space="0"/>
              <w:left w:val="single" w:color="000000" w:sz="4" w:space="0"/>
              <w:bottom w:val="single" w:color="000000" w:sz="4" w:space="0"/>
              <w:right w:val="single" w:color="000000" w:sz="4" w:space="0"/>
            </w:tcBorders>
            <w:vAlign w:val="center"/>
          </w:tcPr>
          <w:p w14:paraId="6EFAED9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8</w:t>
            </w:r>
          </w:p>
        </w:tc>
        <w:tc>
          <w:tcPr>
            <w:tcW w:w="1489" w:type="pct"/>
            <w:tcBorders>
              <w:top w:val="single" w:color="000000" w:sz="4" w:space="0"/>
              <w:left w:val="single" w:color="000000" w:sz="4" w:space="0"/>
              <w:bottom w:val="single" w:color="000000" w:sz="4" w:space="0"/>
              <w:right w:val="single" w:color="000000" w:sz="4" w:space="0"/>
            </w:tcBorders>
            <w:vAlign w:val="center"/>
          </w:tcPr>
          <w:p w14:paraId="437C479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日立电梯（中国）有限公司</w:t>
            </w:r>
          </w:p>
        </w:tc>
        <w:tc>
          <w:tcPr>
            <w:tcW w:w="1013" w:type="pct"/>
            <w:tcBorders>
              <w:top w:val="single" w:color="000000" w:sz="4" w:space="0"/>
              <w:left w:val="single" w:color="000000" w:sz="4" w:space="0"/>
              <w:bottom w:val="single" w:color="000000" w:sz="4" w:space="0"/>
              <w:right w:val="single" w:color="000000" w:sz="4" w:space="0"/>
            </w:tcBorders>
            <w:vAlign w:val="center"/>
          </w:tcPr>
          <w:p w14:paraId="4AB90D3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曳引驱动（无机房）乘客电梯</w:t>
            </w:r>
          </w:p>
        </w:tc>
        <w:tc>
          <w:tcPr>
            <w:tcW w:w="690" w:type="pct"/>
            <w:tcBorders>
              <w:top w:val="single" w:color="000000" w:sz="4" w:space="0"/>
              <w:left w:val="single" w:color="000000" w:sz="4" w:space="0"/>
              <w:bottom w:val="single" w:color="000000" w:sz="4" w:space="0"/>
              <w:right w:val="single" w:color="000000" w:sz="4" w:space="0"/>
            </w:tcBorders>
            <w:vAlign w:val="center"/>
          </w:tcPr>
          <w:p w14:paraId="029A86E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LGE</w:t>
            </w:r>
          </w:p>
        </w:tc>
        <w:tc>
          <w:tcPr>
            <w:tcW w:w="404" w:type="pct"/>
            <w:tcBorders>
              <w:top w:val="single" w:color="000000" w:sz="4" w:space="0"/>
              <w:left w:val="single" w:color="000000" w:sz="4" w:space="0"/>
              <w:bottom w:val="single" w:color="000000" w:sz="4" w:space="0"/>
              <w:right w:val="single" w:color="000000" w:sz="4" w:space="0"/>
            </w:tcBorders>
            <w:vAlign w:val="center"/>
          </w:tcPr>
          <w:p w14:paraId="1F2CCA0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7/7/7</w:t>
            </w:r>
          </w:p>
        </w:tc>
        <w:tc>
          <w:tcPr>
            <w:tcW w:w="520" w:type="pct"/>
            <w:tcBorders>
              <w:top w:val="single" w:color="000000" w:sz="4" w:space="0"/>
              <w:left w:val="single" w:color="000000" w:sz="4" w:space="0"/>
              <w:bottom w:val="single" w:color="000000" w:sz="4" w:space="0"/>
              <w:right w:val="single" w:color="000000" w:sz="4" w:space="0"/>
            </w:tcBorders>
            <w:vAlign w:val="center"/>
          </w:tcPr>
          <w:p w14:paraId="1B95446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1000kg</w:t>
            </w:r>
          </w:p>
        </w:tc>
        <w:tc>
          <w:tcPr>
            <w:tcW w:w="523" w:type="pct"/>
            <w:tcBorders>
              <w:top w:val="single" w:color="000000" w:sz="4" w:space="0"/>
              <w:left w:val="single" w:color="000000" w:sz="4" w:space="0"/>
              <w:bottom w:val="single" w:color="000000" w:sz="4" w:space="0"/>
              <w:right w:val="single" w:color="000000" w:sz="4" w:space="0"/>
            </w:tcBorders>
            <w:vAlign w:val="center"/>
          </w:tcPr>
          <w:p w14:paraId="4CC62B8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1.0m/s</w:t>
            </w:r>
          </w:p>
        </w:tc>
      </w:tr>
      <w:tr w14:paraId="7BC09F58">
        <w:tblPrEx>
          <w:tblCellMar>
            <w:top w:w="0" w:type="dxa"/>
            <w:left w:w="108" w:type="dxa"/>
            <w:bottom w:w="0" w:type="dxa"/>
            <w:right w:w="108" w:type="dxa"/>
          </w:tblCellMar>
        </w:tblPrEx>
        <w:trPr>
          <w:trHeight w:val="450" w:hRule="atLeast"/>
        </w:trPr>
        <w:tc>
          <w:tcPr>
            <w:tcW w:w="357" w:type="pct"/>
            <w:tcBorders>
              <w:top w:val="single" w:color="000000" w:sz="4" w:space="0"/>
              <w:left w:val="single" w:color="000000" w:sz="4" w:space="0"/>
              <w:bottom w:val="single" w:color="000000" w:sz="4" w:space="0"/>
              <w:right w:val="single" w:color="000000" w:sz="4" w:space="0"/>
            </w:tcBorders>
            <w:vAlign w:val="center"/>
          </w:tcPr>
          <w:p w14:paraId="0B01CA3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9</w:t>
            </w:r>
          </w:p>
        </w:tc>
        <w:tc>
          <w:tcPr>
            <w:tcW w:w="1489" w:type="pct"/>
            <w:tcBorders>
              <w:top w:val="single" w:color="000000" w:sz="4" w:space="0"/>
              <w:left w:val="single" w:color="000000" w:sz="4" w:space="0"/>
              <w:bottom w:val="single" w:color="000000" w:sz="4" w:space="0"/>
              <w:right w:val="single" w:color="000000" w:sz="4" w:space="0"/>
            </w:tcBorders>
            <w:vAlign w:val="center"/>
          </w:tcPr>
          <w:p w14:paraId="1025561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日立电梯（中国）有限公司</w:t>
            </w:r>
          </w:p>
        </w:tc>
        <w:tc>
          <w:tcPr>
            <w:tcW w:w="1013" w:type="pct"/>
            <w:tcBorders>
              <w:top w:val="single" w:color="000000" w:sz="4" w:space="0"/>
              <w:left w:val="single" w:color="000000" w:sz="4" w:space="0"/>
              <w:bottom w:val="single" w:color="000000" w:sz="4" w:space="0"/>
              <w:right w:val="single" w:color="000000" w:sz="4" w:space="0"/>
            </w:tcBorders>
            <w:vAlign w:val="center"/>
          </w:tcPr>
          <w:p w14:paraId="23DE00C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曳引驱动（无机房）乘客电梯</w:t>
            </w:r>
          </w:p>
        </w:tc>
        <w:tc>
          <w:tcPr>
            <w:tcW w:w="690" w:type="pct"/>
            <w:tcBorders>
              <w:top w:val="single" w:color="000000" w:sz="4" w:space="0"/>
              <w:left w:val="single" w:color="000000" w:sz="4" w:space="0"/>
              <w:bottom w:val="single" w:color="000000" w:sz="4" w:space="0"/>
              <w:right w:val="single" w:color="000000" w:sz="4" w:space="0"/>
            </w:tcBorders>
            <w:vAlign w:val="center"/>
          </w:tcPr>
          <w:p w14:paraId="771811B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LGE</w:t>
            </w:r>
          </w:p>
        </w:tc>
        <w:tc>
          <w:tcPr>
            <w:tcW w:w="404" w:type="pct"/>
            <w:tcBorders>
              <w:top w:val="single" w:color="000000" w:sz="4" w:space="0"/>
              <w:left w:val="single" w:color="000000" w:sz="4" w:space="0"/>
              <w:bottom w:val="single" w:color="000000" w:sz="4" w:space="0"/>
              <w:right w:val="single" w:color="000000" w:sz="4" w:space="0"/>
            </w:tcBorders>
            <w:vAlign w:val="center"/>
          </w:tcPr>
          <w:p w14:paraId="37E7F40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7/7/7</w:t>
            </w:r>
          </w:p>
        </w:tc>
        <w:tc>
          <w:tcPr>
            <w:tcW w:w="520" w:type="pct"/>
            <w:tcBorders>
              <w:top w:val="single" w:color="000000" w:sz="4" w:space="0"/>
              <w:left w:val="single" w:color="000000" w:sz="4" w:space="0"/>
              <w:bottom w:val="single" w:color="000000" w:sz="4" w:space="0"/>
              <w:right w:val="single" w:color="000000" w:sz="4" w:space="0"/>
            </w:tcBorders>
            <w:vAlign w:val="center"/>
          </w:tcPr>
          <w:p w14:paraId="60134BC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1000kg</w:t>
            </w:r>
          </w:p>
        </w:tc>
        <w:tc>
          <w:tcPr>
            <w:tcW w:w="523" w:type="pct"/>
            <w:tcBorders>
              <w:top w:val="single" w:color="000000" w:sz="4" w:space="0"/>
              <w:left w:val="single" w:color="000000" w:sz="4" w:space="0"/>
              <w:bottom w:val="single" w:color="000000" w:sz="4" w:space="0"/>
              <w:right w:val="single" w:color="000000" w:sz="4" w:space="0"/>
            </w:tcBorders>
            <w:vAlign w:val="center"/>
          </w:tcPr>
          <w:p w14:paraId="46942E6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1.0m/s</w:t>
            </w:r>
          </w:p>
        </w:tc>
      </w:tr>
      <w:tr w14:paraId="5742C472">
        <w:tblPrEx>
          <w:tblCellMar>
            <w:top w:w="0" w:type="dxa"/>
            <w:left w:w="108" w:type="dxa"/>
            <w:bottom w:w="0" w:type="dxa"/>
            <w:right w:w="108" w:type="dxa"/>
          </w:tblCellMar>
        </w:tblPrEx>
        <w:trPr>
          <w:trHeight w:val="450" w:hRule="atLeast"/>
        </w:trPr>
        <w:tc>
          <w:tcPr>
            <w:tcW w:w="357" w:type="pct"/>
            <w:tcBorders>
              <w:top w:val="single" w:color="000000" w:sz="4" w:space="0"/>
              <w:left w:val="single" w:color="000000" w:sz="4" w:space="0"/>
              <w:bottom w:val="single" w:color="000000" w:sz="4" w:space="0"/>
              <w:right w:val="single" w:color="000000" w:sz="4" w:space="0"/>
            </w:tcBorders>
            <w:vAlign w:val="center"/>
          </w:tcPr>
          <w:p w14:paraId="7577774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10</w:t>
            </w:r>
          </w:p>
        </w:tc>
        <w:tc>
          <w:tcPr>
            <w:tcW w:w="1489" w:type="pct"/>
            <w:tcBorders>
              <w:top w:val="single" w:color="000000" w:sz="4" w:space="0"/>
              <w:left w:val="single" w:color="000000" w:sz="4" w:space="0"/>
              <w:bottom w:val="single" w:color="000000" w:sz="4" w:space="0"/>
              <w:right w:val="single" w:color="000000" w:sz="4" w:space="0"/>
            </w:tcBorders>
            <w:vAlign w:val="center"/>
          </w:tcPr>
          <w:p w14:paraId="78C5BBD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日立电梯（中国）有限公司</w:t>
            </w:r>
          </w:p>
        </w:tc>
        <w:tc>
          <w:tcPr>
            <w:tcW w:w="1013" w:type="pct"/>
            <w:tcBorders>
              <w:top w:val="single" w:color="000000" w:sz="4" w:space="0"/>
              <w:left w:val="single" w:color="000000" w:sz="4" w:space="0"/>
              <w:bottom w:val="single" w:color="000000" w:sz="4" w:space="0"/>
              <w:right w:val="single" w:color="000000" w:sz="4" w:space="0"/>
            </w:tcBorders>
            <w:vAlign w:val="center"/>
          </w:tcPr>
          <w:p w14:paraId="6B06CE3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曳引驱动（无机房）乘客电梯</w:t>
            </w:r>
          </w:p>
        </w:tc>
        <w:tc>
          <w:tcPr>
            <w:tcW w:w="690" w:type="pct"/>
            <w:tcBorders>
              <w:top w:val="single" w:color="000000" w:sz="4" w:space="0"/>
              <w:left w:val="single" w:color="000000" w:sz="4" w:space="0"/>
              <w:bottom w:val="single" w:color="000000" w:sz="4" w:space="0"/>
              <w:right w:val="single" w:color="000000" w:sz="4" w:space="0"/>
            </w:tcBorders>
            <w:vAlign w:val="center"/>
          </w:tcPr>
          <w:p w14:paraId="52841E8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LGE</w:t>
            </w:r>
          </w:p>
        </w:tc>
        <w:tc>
          <w:tcPr>
            <w:tcW w:w="404" w:type="pct"/>
            <w:tcBorders>
              <w:top w:val="single" w:color="000000" w:sz="4" w:space="0"/>
              <w:left w:val="single" w:color="000000" w:sz="4" w:space="0"/>
              <w:bottom w:val="single" w:color="000000" w:sz="4" w:space="0"/>
              <w:right w:val="single" w:color="000000" w:sz="4" w:space="0"/>
            </w:tcBorders>
            <w:vAlign w:val="center"/>
          </w:tcPr>
          <w:p w14:paraId="491EE7B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7/7/7</w:t>
            </w:r>
          </w:p>
        </w:tc>
        <w:tc>
          <w:tcPr>
            <w:tcW w:w="520" w:type="pct"/>
            <w:tcBorders>
              <w:top w:val="single" w:color="000000" w:sz="4" w:space="0"/>
              <w:left w:val="single" w:color="000000" w:sz="4" w:space="0"/>
              <w:bottom w:val="single" w:color="000000" w:sz="4" w:space="0"/>
              <w:right w:val="single" w:color="000000" w:sz="4" w:space="0"/>
            </w:tcBorders>
            <w:vAlign w:val="center"/>
          </w:tcPr>
          <w:p w14:paraId="10C4DFC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1000kg</w:t>
            </w:r>
          </w:p>
        </w:tc>
        <w:tc>
          <w:tcPr>
            <w:tcW w:w="523" w:type="pct"/>
            <w:tcBorders>
              <w:top w:val="single" w:color="000000" w:sz="4" w:space="0"/>
              <w:left w:val="single" w:color="000000" w:sz="4" w:space="0"/>
              <w:bottom w:val="single" w:color="000000" w:sz="4" w:space="0"/>
              <w:right w:val="single" w:color="000000" w:sz="4" w:space="0"/>
            </w:tcBorders>
            <w:vAlign w:val="center"/>
          </w:tcPr>
          <w:p w14:paraId="2E114C6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1.0m/s</w:t>
            </w:r>
          </w:p>
        </w:tc>
      </w:tr>
      <w:tr w14:paraId="3A62DC48">
        <w:tblPrEx>
          <w:tblCellMar>
            <w:top w:w="0" w:type="dxa"/>
            <w:left w:w="108" w:type="dxa"/>
            <w:bottom w:w="0" w:type="dxa"/>
            <w:right w:w="108" w:type="dxa"/>
          </w:tblCellMar>
        </w:tblPrEx>
        <w:trPr>
          <w:trHeight w:val="450" w:hRule="atLeast"/>
        </w:trPr>
        <w:tc>
          <w:tcPr>
            <w:tcW w:w="357" w:type="pct"/>
            <w:tcBorders>
              <w:top w:val="single" w:color="000000" w:sz="4" w:space="0"/>
              <w:left w:val="single" w:color="000000" w:sz="4" w:space="0"/>
              <w:bottom w:val="single" w:color="000000" w:sz="4" w:space="0"/>
              <w:right w:val="single" w:color="000000" w:sz="4" w:space="0"/>
            </w:tcBorders>
            <w:vAlign w:val="center"/>
          </w:tcPr>
          <w:p w14:paraId="74425C8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11</w:t>
            </w:r>
          </w:p>
        </w:tc>
        <w:tc>
          <w:tcPr>
            <w:tcW w:w="1489" w:type="pct"/>
            <w:tcBorders>
              <w:top w:val="single" w:color="000000" w:sz="4" w:space="0"/>
              <w:left w:val="single" w:color="000000" w:sz="4" w:space="0"/>
              <w:bottom w:val="single" w:color="000000" w:sz="4" w:space="0"/>
              <w:right w:val="single" w:color="000000" w:sz="4" w:space="0"/>
            </w:tcBorders>
            <w:vAlign w:val="center"/>
          </w:tcPr>
          <w:p w14:paraId="2160104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日立电梯（中国）有限公司</w:t>
            </w:r>
          </w:p>
        </w:tc>
        <w:tc>
          <w:tcPr>
            <w:tcW w:w="1013" w:type="pct"/>
            <w:tcBorders>
              <w:top w:val="single" w:color="000000" w:sz="4" w:space="0"/>
              <w:left w:val="single" w:color="000000" w:sz="4" w:space="0"/>
              <w:bottom w:val="single" w:color="000000" w:sz="4" w:space="0"/>
              <w:right w:val="single" w:color="000000" w:sz="4" w:space="0"/>
            </w:tcBorders>
            <w:vAlign w:val="center"/>
          </w:tcPr>
          <w:p w14:paraId="6A0C45A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曳引驱动（无机房）乘客电梯</w:t>
            </w:r>
          </w:p>
        </w:tc>
        <w:tc>
          <w:tcPr>
            <w:tcW w:w="690" w:type="pct"/>
            <w:tcBorders>
              <w:top w:val="single" w:color="000000" w:sz="4" w:space="0"/>
              <w:left w:val="single" w:color="000000" w:sz="4" w:space="0"/>
              <w:bottom w:val="single" w:color="000000" w:sz="4" w:space="0"/>
              <w:right w:val="single" w:color="000000" w:sz="4" w:space="0"/>
            </w:tcBorders>
            <w:vAlign w:val="center"/>
          </w:tcPr>
          <w:p w14:paraId="10677F7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LGE</w:t>
            </w:r>
          </w:p>
        </w:tc>
        <w:tc>
          <w:tcPr>
            <w:tcW w:w="404" w:type="pct"/>
            <w:tcBorders>
              <w:top w:val="single" w:color="000000" w:sz="4" w:space="0"/>
              <w:left w:val="single" w:color="000000" w:sz="4" w:space="0"/>
              <w:bottom w:val="single" w:color="000000" w:sz="4" w:space="0"/>
              <w:right w:val="single" w:color="000000" w:sz="4" w:space="0"/>
            </w:tcBorders>
            <w:vAlign w:val="center"/>
          </w:tcPr>
          <w:p w14:paraId="74EA410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7/7/7</w:t>
            </w:r>
          </w:p>
        </w:tc>
        <w:tc>
          <w:tcPr>
            <w:tcW w:w="520" w:type="pct"/>
            <w:tcBorders>
              <w:top w:val="single" w:color="000000" w:sz="4" w:space="0"/>
              <w:left w:val="single" w:color="000000" w:sz="4" w:space="0"/>
              <w:bottom w:val="single" w:color="000000" w:sz="4" w:space="0"/>
              <w:right w:val="single" w:color="000000" w:sz="4" w:space="0"/>
            </w:tcBorders>
            <w:vAlign w:val="center"/>
          </w:tcPr>
          <w:p w14:paraId="4B69484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1000kg</w:t>
            </w:r>
          </w:p>
        </w:tc>
        <w:tc>
          <w:tcPr>
            <w:tcW w:w="523" w:type="pct"/>
            <w:tcBorders>
              <w:top w:val="single" w:color="000000" w:sz="4" w:space="0"/>
              <w:left w:val="single" w:color="000000" w:sz="4" w:space="0"/>
              <w:bottom w:val="single" w:color="000000" w:sz="4" w:space="0"/>
              <w:right w:val="single" w:color="000000" w:sz="4" w:space="0"/>
            </w:tcBorders>
            <w:vAlign w:val="center"/>
          </w:tcPr>
          <w:p w14:paraId="0604F07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1.0m/s</w:t>
            </w:r>
          </w:p>
        </w:tc>
      </w:tr>
      <w:tr w14:paraId="23BC680A">
        <w:tblPrEx>
          <w:tblCellMar>
            <w:top w:w="0" w:type="dxa"/>
            <w:left w:w="108" w:type="dxa"/>
            <w:bottom w:w="0" w:type="dxa"/>
            <w:right w:w="108" w:type="dxa"/>
          </w:tblCellMar>
        </w:tblPrEx>
        <w:trPr>
          <w:trHeight w:val="450" w:hRule="atLeast"/>
        </w:trPr>
        <w:tc>
          <w:tcPr>
            <w:tcW w:w="357" w:type="pct"/>
            <w:tcBorders>
              <w:top w:val="single" w:color="000000" w:sz="4" w:space="0"/>
              <w:left w:val="single" w:color="000000" w:sz="4" w:space="0"/>
              <w:bottom w:val="single" w:color="000000" w:sz="4" w:space="0"/>
              <w:right w:val="single" w:color="000000" w:sz="4" w:space="0"/>
            </w:tcBorders>
            <w:vAlign w:val="center"/>
          </w:tcPr>
          <w:p w14:paraId="1D51C14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12</w:t>
            </w:r>
          </w:p>
        </w:tc>
        <w:tc>
          <w:tcPr>
            <w:tcW w:w="1489" w:type="pct"/>
            <w:tcBorders>
              <w:top w:val="single" w:color="000000" w:sz="4" w:space="0"/>
              <w:left w:val="single" w:color="000000" w:sz="4" w:space="0"/>
              <w:bottom w:val="single" w:color="000000" w:sz="4" w:space="0"/>
              <w:right w:val="single" w:color="000000" w:sz="4" w:space="0"/>
            </w:tcBorders>
            <w:vAlign w:val="center"/>
          </w:tcPr>
          <w:p w14:paraId="104B688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日立电梯（中国）有限公司</w:t>
            </w:r>
          </w:p>
        </w:tc>
        <w:tc>
          <w:tcPr>
            <w:tcW w:w="1013" w:type="pct"/>
            <w:tcBorders>
              <w:top w:val="single" w:color="000000" w:sz="4" w:space="0"/>
              <w:left w:val="single" w:color="000000" w:sz="4" w:space="0"/>
              <w:bottom w:val="single" w:color="000000" w:sz="4" w:space="0"/>
              <w:right w:val="single" w:color="000000" w:sz="4" w:space="0"/>
            </w:tcBorders>
            <w:vAlign w:val="center"/>
          </w:tcPr>
          <w:p w14:paraId="0ECB23E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曳引驱动（无机房）乘客电梯</w:t>
            </w:r>
          </w:p>
        </w:tc>
        <w:tc>
          <w:tcPr>
            <w:tcW w:w="690" w:type="pct"/>
            <w:tcBorders>
              <w:top w:val="single" w:color="000000" w:sz="4" w:space="0"/>
              <w:left w:val="single" w:color="000000" w:sz="4" w:space="0"/>
              <w:bottom w:val="single" w:color="000000" w:sz="4" w:space="0"/>
              <w:right w:val="single" w:color="000000" w:sz="4" w:space="0"/>
            </w:tcBorders>
            <w:vAlign w:val="center"/>
          </w:tcPr>
          <w:p w14:paraId="1930993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LGE</w:t>
            </w:r>
          </w:p>
        </w:tc>
        <w:tc>
          <w:tcPr>
            <w:tcW w:w="404" w:type="pct"/>
            <w:tcBorders>
              <w:top w:val="single" w:color="000000" w:sz="4" w:space="0"/>
              <w:left w:val="single" w:color="000000" w:sz="4" w:space="0"/>
              <w:bottom w:val="single" w:color="000000" w:sz="4" w:space="0"/>
              <w:right w:val="single" w:color="000000" w:sz="4" w:space="0"/>
            </w:tcBorders>
            <w:vAlign w:val="center"/>
          </w:tcPr>
          <w:p w14:paraId="3C547BC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7/7/7</w:t>
            </w:r>
          </w:p>
        </w:tc>
        <w:tc>
          <w:tcPr>
            <w:tcW w:w="520" w:type="pct"/>
            <w:tcBorders>
              <w:top w:val="single" w:color="000000" w:sz="4" w:space="0"/>
              <w:left w:val="single" w:color="000000" w:sz="4" w:space="0"/>
              <w:bottom w:val="single" w:color="000000" w:sz="4" w:space="0"/>
              <w:right w:val="single" w:color="000000" w:sz="4" w:space="0"/>
            </w:tcBorders>
            <w:vAlign w:val="center"/>
          </w:tcPr>
          <w:p w14:paraId="678BCC9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1000kg</w:t>
            </w:r>
          </w:p>
        </w:tc>
        <w:tc>
          <w:tcPr>
            <w:tcW w:w="523" w:type="pct"/>
            <w:tcBorders>
              <w:top w:val="single" w:color="000000" w:sz="4" w:space="0"/>
              <w:left w:val="single" w:color="000000" w:sz="4" w:space="0"/>
              <w:bottom w:val="single" w:color="000000" w:sz="4" w:space="0"/>
              <w:right w:val="single" w:color="000000" w:sz="4" w:space="0"/>
            </w:tcBorders>
            <w:vAlign w:val="center"/>
          </w:tcPr>
          <w:p w14:paraId="39CA8A9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1.0m/s</w:t>
            </w:r>
          </w:p>
        </w:tc>
      </w:tr>
      <w:tr w14:paraId="4165E6F5">
        <w:tblPrEx>
          <w:tblCellMar>
            <w:top w:w="0" w:type="dxa"/>
            <w:left w:w="108" w:type="dxa"/>
            <w:bottom w:w="0" w:type="dxa"/>
            <w:right w:w="108" w:type="dxa"/>
          </w:tblCellMar>
        </w:tblPrEx>
        <w:trPr>
          <w:trHeight w:val="450" w:hRule="atLeast"/>
        </w:trPr>
        <w:tc>
          <w:tcPr>
            <w:tcW w:w="357" w:type="pct"/>
            <w:tcBorders>
              <w:top w:val="single" w:color="000000" w:sz="4" w:space="0"/>
              <w:left w:val="single" w:color="000000" w:sz="4" w:space="0"/>
              <w:bottom w:val="single" w:color="000000" w:sz="4" w:space="0"/>
              <w:right w:val="single" w:color="000000" w:sz="4" w:space="0"/>
            </w:tcBorders>
            <w:vAlign w:val="center"/>
          </w:tcPr>
          <w:p w14:paraId="01ACAFF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13</w:t>
            </w:r>
          </w:p>
        </w:tc>
        <w:tc>
          <w:tcPr>
            <w:tcW w:w="1489" w:type="pct"/>
            <w:tcBorders>
              <w:top w:val="single" w:color="000000" w:sz="4" w:space="0"/>
              <w:left w:val="single" w:color="000000" w:sz="4" w:space="0"/>
              <w:bottom w:val="single" w:color="000000" w:sz="4" w:space="0"/>
              <w:right w:val="single" w:color="000000" w:sz="4" w:space="0"/>
            </w:tcBorders>
            <w:vAlign w:val="center"/>
          </w:tcPr>
          <w:p w14:paraId="184053A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日立电梯（中国）有限公司</w:t>
            </w:r>
          </w:p>
        </w:tc>
        <w:tc>
          <w:tcPr>
            <w:tcW w:w="1013" w:type="pct"/>
            <w:tcBorders>
              <w:top w:val="single" w:color="000000" w:sz="4" w:space="0"/>
              <w:left w:val="single" w:color="000000" w:sz="4" w:space="0"/>
              <w:bottom w:val="single" w:color="000000" w:sz="4" w:space="0"/>
              <w:right w:val="single" w:color="000000" w:sz="4" w:space="0"/>
            </w:tcBorders>
            <w:vAlign w:val="center"/>
          </w:tcPr>
          <w:p w14:paraId="0891CA2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曳引驱动（无机房）乘客电梯</w:t>
            </w:r>
          </w:p>
        </w:tc>
        <w:tc>
          <w:tcPr>
            <w:tcW w:w="690" w:type="pct"/>
            <w:tcBorders>
              <w:top w:val="single" w:color="000000" w:sz="4" w:space="0"/>
              <w:left w:val="single" w:color="000000" w:sz="4" w:space="0"/>
              <w:bottom w:val="single" w:color="000000" w:sz="4" w:space="0"/>
              <w:right w:val="single" w:color="000000" w:sz="4" w:space="0"/>
            </w:tcBorders>
            <w:vAlign w:val="center"/>
          </w:tcPr>
          <w:p w14:paraId="1B2E9EC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LGE</w:t>
            </w:r>
          </w:p>
        </w:tc>
        <w:tc>
          <w:tcPr>
            <w:tcW w:w="404" w:type="pct"/>
            <w:tcBorders>
              <w:top w:val="single" w:color="000000" w:sz="4" w:space="0"/>
              <w:left w:val="single" w:color="000000" w:sz="4" w:space="0"/>
              <w:bottom w:val="single" w:color="000000" w:sz="4" w:space="0"/>
              <w:right w:val="single" w:color="000000" w:sz="4" w:space="0"/>
            </w:tcBorders>
            <w:vAlign w:val="center"/>
          </w:tcPr>
          <w:p w14:paraId="48F20BC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7/7/7</w:t>
            </w:r>
          </w:p>
        </w:tc>
        <w:tc>
          <w:tcPr>
            <w:tcW w:w="520" w:type="pct"/>
            <w:tcBorders>
              <w:top w:val="single" w:color="000000" w:sz="4" w:space="0"/>
              <w:left w:val="single" w:color="000000" w:sz="4" w:space="0"/>
              <w:bottom w:val="single" w:color="000000" w:sz="4" w:space="0"/>
              <w:right w:val="single" w:color="000000" w:sz="4" w:space="0"/>
            </w:tcBorders>
            <w:vAlign w:val="center"/>
          </w:tcPr>
          <w:p w14:paraId="2E82E8E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1000kg</w:t>
            </w:r>
          </w:p>
        </w:tc>
        <w:tc>
          <w:tcPr>
            <w:tcW w:w="523" w:type="pct"/>
            <w:tcBorders>
              <w:top w:val="single" w:color="000000" w:sz="4" w:space="0"/>
              <w:left w:val="single" w:color="000000" w:sz="4" w:space="0"/>
              <w:bottom w:val="single" w:color="000000" w:sz="4" w:space="0"/>
              <w:right w:val="single" w:color="000000" w:sz="4" w:space="0"/>
            </w:tcBorders>
            <w:vAlign w:val="center"/>
          </w:tcPr>
          <w:p w14:paraId="2629F30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1.0m/s</w:t>
            </w:r>
          </w:p>
        </w:tc>
      </w:tr>
      <w:tr w14:paraId="3BDF6716">
        <w:tblPrEx>
          <w:tblCellMar>
            <w:top w:w="0" w:type="dxa"/>
            <w:left w:w="108" w:type="dxa"/>
            <w:bottom w:w="0" w:type="dxa"/>
            <w:right w:w="108" w:type="dxa"/>
          </w:tblCellMar>
        </w:tblPrEx>
        <w:trPr>
          <w:trHeight w:val="450" w:hRule="atLeast"/>
        </w:trPr>
        <w:tc>
          <w:tcPr>
            <w:tcW w:w="5000" w:type="pct"/>
            <w:gridSpan w:val="7"/>
            <w:tcBorders>
              <w:top w:val="single" w:color="000000" w:sz="4" w:space="0"/>
              <w:left w:val="single" w:color="000000" w:sz="4" w:space="0"/>
              <w:bottom w:val="single" w:color="000000" w:sz="4" w:space="0"/>
              <w:right w:val="single" w:color="000000" w:sz="4" w:space="0"/>
            </w:tcBorders>
            <w:vAlign w:val="center"/>
          </w:tcPr>
          <w:p w14:paraId="1A60205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bidi="ar"/>
              </w:rPr>
            </w:pPr>
          </w:p>
        </w:tc>
      </w:tr>
      <w:tr w14:paraId="07493C4C">
        <w:tblPrEx>
          <w:tblCellMar>
            <w:top w:w="0" w:type="dxa"/>
            <w:left w:w="108" w:type="dxa"/>
            <w:bottom w:w="0" w:type="dxa"/>
            <w:right w:w="108" w:type="dxa"/>
          </w:tblCellMar>
        </w:tblPrEx>
        <w:trPr>
          <w:trHeight w:val="450" w:hRule="atLeast"/>
        </w:trPr>
        <w:tc>
          <w:tcPr>
            <w:tcW w:w="357" w:type="pct"/>
            <w:tcBorders>
              <w:top w:val="single" w:color="000000" w:sz="4" w:space="0"/>
              <w:left w:val="single" w:color="000000" w:sz="4" w:space="0"/>
              <w:bottom w:val="single" w:color="000000" w:sz="4" w:space="0"/>
              <w:right w:val="single" w:color="000000" w:sz="4" w:space="0"/>
            </w:tcBorders>
            <w:vAlign w:val="center"/>
          </w:tcPr>
          <w:p w14:paraId="70D9E5F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14</w:t>
            </w:r>
          </w:p>
        </w:tc>
        <w:tc>
          <w:tcPr>
            <w:tcW w:w="1489" w:type="pct"/>
            <w:tcBorders>
              <w:top w:val="single" w:color="000000" w:sz="4" w:space="0"/>
              <w:left w:val="single" w:color="000000" w:sz="4" w:space="0"/>
              <w:bottom w:val="single" w:color="000000" w:sz="4" w:space="0"/>
              <w:right w:val="single" w:color="000000" w:sz="4" w:space="0"/>
            </w:tcBorders>
            <w:vAlign w:val="center"/>
          </w:tcPr>
          <w:p w14:paraId="3063E3D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通力电梯有限公司</w:t>
            </w:r>
          </w:p>
        </w:tc>
        <w:tc>
          <w:tcPr>
            <w:tcW w:w="1013" w:type="pct"/>
            <w:tcBorders>
              <w:top w:val="single" w:color="000000" w:sz="4" w:space="0"/>
              <w:left w:val="single" w:color="000000" w:sz="4" w:space="0"/>
              <w:bottom w:val="single" w:color="000000" w:sz="4" w:space="0"/>
              <w:right w:val="single" w:color="000000" w:sz="4" w:space="0"/>
            </w:tcBorders>
          </w:tcPr>
          <w:p w14:paraId="1FD312B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曳引驱动（无机房）乘客电梯</w:t>
            </w:r>
          </w:p>
        </w:tc>
        <w:tc>
          <w:tcPr>
            <w:tcW w:w="690" w:type="pct"/>
            <w:tcBorders>
              <w:top w:val="single" w:color="000000" w:sz="4" w:space="0"/>
              <w:left w:val="single" w:color="000000" w:sz="4" w:space="0"/>
              <w:bottom w:val="single" w:color="000000" w:sz="4" w:space="0"/>
              <w:right w:val="single" w:color="000000" w:sz="4" w:space="0"/>
            </w:tcBorders>
            <w:vAlign w:val="center"/>
          </w:tcPr>
          <w:p w14:paraId="28EECB8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color w:val="000000"/>
                <w:sz w:val="21"/>
                <w:szCs w:val="21"/>
                <w:highlight w:val="none"/>
              </w:rPr>
              <w:t>KONE NMonospace</w:t>
            </w:r>
          </w:p>
        </w:tc>
        <w:tc>
          <w:tcPr>
            <w:tcW w:w="404" w:type="pct"/>
            <w:tcBorders>
              <w:top w:val="single" w:color="000000" w:sz="4" w:space="0"/>
              <w:left w:val="single" w:color="000000" w:sz="4" w:space="0"/>
              <w:bottom w:val="single" w:color="000000" w:sz="4" w:space="0"/>
              <w:right w:val="single" w:color="000000" w:sz="4" w:space="0"/>
            </w:tcBorders>
            <w:vAlign w:val="center"/>
          </w:tcPr>
          <w:p w14:paraId="04895BF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9/9/9</w:t>
            </w:r>
          </w:p>
        </w:tc>
        <w:tc>
          <w:tcPr>
            <w:tcW w:w="520" w:type="pct"/>
            <w:tcBorders>
              <w:top w:val="single" w:color="000000" w:sz="4" w:space="0"/>
              <w:left w:val="single" w:color="000000" w:sz="4" w:space="0"/>
              <w:bottom w:val="single" w:color="000000" w:sz="4" w:space="0"/>
              <w:right w:val="single" w:color="000000" w:sz="4" w:space="0"/>
            </w:tcBorders>
            <w:vAlign w:val="center"/>
          </w:tcPr>
          <w:p w14:paraId="6D83CE1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1000KG</w:t>
            </w:r>
          </w:p>
        </w:tc>
        <w:tc>
          <w:tcPr>
            <w:tcW w:w="523" w:type="pct"/>
            <w:tcBorders>
              <w:top w:val="single" w:color="000000" w:sz="4" w:space="0"/>
              <w:left w:val="single" w:color="000000" w:sz="4" w:space="0"/>
              <w:bottom w:val="single" w:color="000000" w:sz="4" w:space="0"/>
              <w:right w:val="single" w:color="000000" w:sz="4" w:space="0"/>
            </w:tcBorders>
            <w:vAlign w:val="center"/>
          </w:tcPr>
          <w:p w14:paraId="37FC96D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1.6m/s</w:t>
            </w:r>
          </w:p>
        </w:tc>
      </w:tr>
      <w:tr w14:paraId="48B2246F">
        <w:tblPrEx>
          <w:tblCellMar>
            <w:top w:w="0" w:type="dxa"/>
            <w:left w:w="108" w:type="dxa"/>
            <w:bottom w:w="0" w:type="dxa"/>
            <w:right w:w="108" w:type="dxa"/>
          </w:tblCellMar>
        </w:tblPrEx>
        <w:trPr>
          <w:trHeight w:val="450" w:hRule="atLeast"/>
        </w:trPr>
        <w:tc>
          <w:tcPr>
            <w:tcW w:w="357" w:type="pct"/>
            <w:tcBorders>
              <w:top w:val="single" w:color="000000" w:sz="4" w:space="0"/>
              <w:left w:val="single" w:color="000000" w:sz="4" w:space="0"/>
              <w:bottom w:val="single" w:color="000000" w:sz="4" w:space="0"/>
              <w:right w:val="single" w:color="000000" w:sz="4" w:space="0"/>
            </w:tcBorders>
            <w:vAlign w:val="center"/>
          </w:tcPr>
          <w:p w14:paraId="70F946E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15</w:t>
            </w:r>
          </w:p>
        </w:tc>
        <w:tc>
          <w:tcPr>
            <w:tcW w:w="1489" w:type="pct"/>
            <w:tcBorders>
              <w:top w:val="single" w:color="000000" w:sz="4" w:space="0"/>
              <w:left w:val="single" w:color="000000" w:sz="4" w:space="0"/>
              <w:bottom w:val="single" w:color="000000" w:sz="4" w:space="0"/>
              <w:right w:val="single" w:color="000000" w:sz="4" w:space="0"/>
            </w:tcBorders>
            <w:vAlign w:val="center"/>
          </w:tcPr>
          <w:p w14:paraId="0EDCEED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通力电梯有限公司</w:t>
            </w:r>
          </w:p>
        </w:tc>
        <w:tc>
          <w:tcPr>
            <w:tcW w:w="1013" w:type="pct"/>
            <w:tcBorders>
              <w:top w:val="single" w:color="000000" w:sz="4" w:space="0"/>
              <w:left w:val="single" w:color="000000" w:sz="4" w:space="0"/>
              <w:bottom w:val="single" w:color="000000" w:sz="4" w:space="0"/>
              <w:right w:val="single" w:color="000000" w:sz="4" w:space="0"/>
            </w:tcBorders>
          </w:tcPr>
          <w:p w14:paraId="23C9537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曳引驱动（无机房）乘客电梯</w:t>
            </w:r>
          </w:p>
        </w:tc>
        <w:tc>
          <w:tcPr>
            <w:tcW w:w="690" w:type="pct"/>
            <w:tcBorders>
              <w:top w:val="single" w:color="000000" w:sz="4" w:space="0"/>
              <w:left w:val="single" w:color="000000" w:sz="4" w:space="0"/>
              <w:bottom w:val="single" w:color="000000" w:sz="4" w:space="0"/>
              <w:right w:val="single" w:color="000000" w:sz="4" w:space="0"/>
            </w:tcBorders>
            <w:vAlign w:val="center"/>
          </w:tcPr>
          <w:p w14:paraId="2D8BBB2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color w:val="000000"/>
                <w:sz w:val="21"/>
                <w:szCs w:val="21"/>
                <w:highlight w:val="none"/>
              </w:rPr>
              <w:t>KONE NMonospace</w:t>
            </w:r>
          </w:p>
        </w:tc>
        <w:tc>
          <w:tcPr>
            <w:tcW w:w="404" w:type="pct"/>
            <w:tcBorders>
              <w:top w:val="single" w:color="000000" w:sz="4" w:space="0"/>
              <w:left w:val="single" w:color="000000" w:sz="4" w:space="0"/>
              <w:bottom w:val="single" w:color="000000" w:sz="4" w:space="0"/>
              <w:right w:val="single" w:color="000000" w:sz="4" w:space="0"/>
            </w:tcBorders>
            <w:vAlign w:val="center"/>
          </w:tcPr>
          <w:p w14:paraId="3C563F7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9/9/9</w:t>
            </w:r>
          </w:p>
        </w:tc>
        <w:tc>
          <w:tcPr>
            <w:tcW w:w="520" w:type="pct"/>
            <w:tcBorders>
              <w:top w:val="single" w:color="000000" w:sz="4" w:space="0"/>
              <w:left w:val="single" w:color="000000" w:sz="4" w:space="0"/>
              <w:bottom w:val="single" w:color="000000" w:sz="4" w:space="0"/>
              <w:right w:val="single" w:color="000000" w:sz="4" w:space="0"/>
            </w:tcBorders>
            <w:vAlign w:val="center"/>
          </w:tcPr>
          <w:p w14:paraId="435C2DE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1000KG</w:t>
            </w:r>
          </w:p>
        </w:tc>
        <w:tc>
          <w:tcPr>
            <w:tcW w:w="523" w:type="pct"/>
            <w:tcBorders>
              <w:top w:val="single" w:color="000000" w:sz="4" w:space="0"/>
              <w:left w:val="single" w:color="000000" w:sz="4" w:space="0"/>
              <w:bottom w:val="single" w:color="000000" w:sz="4" w:space="0"/>
              <w:right w:val="single" w:color="000000" w:sz="4" w:space="0"/>
            </w:tcBorders>
            <w:vAlign w:val="center"/>
          </w:tcPr>
          <w:p w14:paraId="4E56AA2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1.6m/s</w:t>
            </w:r>
          </w:p>
        </w:tc>
      </w:tr>
      <w:tr w14:paraId="568B9FA6">
        <w:tblPrEx>
          <w:tblCellMar>
            <w:top w:w="0" w:type="dxa"/>
            <w:left w:w="108" w:type="dxa"/>
            <w:bottom w:w="0" w:type="dxa"/>
            <w:right w:w="108" w:type="dxa"/>
          </w:tblCellMar>
        </w:tblPrEx>
        <w:trPr>
          <w:trHeight w:val="450" w:hRule="atLeast"/>
        </w:trPr>
        <w:tc>
          <w:tcPr>
            <w:tcW w:w="357" w:type="pct"/>
            <w:tcBorders>
              <w:top w:val="single" w:color="000000" w:sz="4" w:space="0"/>
              <w:left w:val="single" w:color="000000" w:sz="4" w:space="0"/>
              <w:bottom w:val="single" w:color="000000" w:sz="4" w:space="0"/>
              <w:right w:val="single" w:color="000000" w:sz="4" w:space="0"/>
            </w:tcBorders>
            <w:vAlign w:val="center"/>
          </w:tcPr>
          <w:p w14:paraId="6E03723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16</w:t>
            </w:r>
          </w:p>
        </w:tc>
        <w:tc>
          <w:tcPr>
            <w:tcW w:w="1489" w:type="pct"/>
            <w:tcBorders>
              <w:top w:val="single" w:color="000000" w:sz="4" w:space="0"/>
              <w:left w:val="single" w:color="000000" w:sz="4" w:space="0"/>
              <w:bottom w:val="single" w:color="000000" w:sz="4" w:space="0"/>
              <w:right w:val="single" w:color="000000" w:sz="4" w:space="0"/>
            </w:tcBorders>
            <w:vAlign w:val="center"/>
          </w:tcPr>
          <w:p w14:paraId="58F5D8F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通力电梯有限公司</w:t>
            </w:r>
          </w:p>
        </w:tc>
        <w:tc>
          <w:tcPr>
            <w:tcW w:w="1013" w:type="pct"/>
            <w:tcBorders>
              <w:top w:val="single" w:color="000000" w:sz="4" w:space="0"/>
              <w:left w:val="single" w:color="000000" w:sz="4" w:space="0"/>
              <w:bottom w:val="single" w:color="000000" w:sz="4" w:space="0"/>
              <w:right w:val="single" w:color="000000" w:sz="4" w:space="0"/>
            </w:tcBorders>
          </w:tcPr>
          <w:p w14:paraId="68334D9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曳引驱动（无机房）乘客电梯</w:t>
            </w:r>
          </w:p>
        </w:tc>
        <w:tc>
          <w:tcPr>
            <w:tcW w:w="690" w:type="pct"/>
            <w:tcBorders>
              <w:top w:val="single" w:color="000000" w:sz="4" w:space="0"/>
              <w:left w:val="single" w:color="000000" w:sz="4" w:space="0"/>
              <w:bottom w:val="single" w:color="000000" w:sz="4" w:space="0"/>
              <w:right w:val="single" w:color="000000" w:sz="4" w:space="0"/>
            </w:tcBorders>
            <w:vAlign w:val="center"/>
          </w:tcPr>
          <w:p w14:paraId="37DAF5E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color w:val="000000"/>
                <w:sz w:val="21"/>
                <w:szCs w:val="21"/>
                <w:highlight w:val="none"/>
              </w:rPr>
              <w:t>KONE NMonospace</w:t>
            </w:r>
          </w:p>
        </w:tc>
        <w:tc>
          <w:tcPr>
            <w:tcW w:w="404" w:type="pct"/>
            <w:tcBorders>
              <w:top w:val="single" w:color="000000" w:sz="4" w:space="0"/>
              <w:left w:val="single" w:color="000000" w:sz="4" w:space="0"/>
              <w:bottom w:val="single" w:color="000000" w:sz="4" w:space="0"/>
              <w:right w:val="single" w:color="000000" w:sz="4" w:space="0"/>
            </w:tcBorders>
            <w:vAlign w:val="center"/>
          </w:tcPr>
          <w:p w14:paraId="6275072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9/9/9</w:t>
            </w:r>
          </w:p>
        </w:tc>
        <w:tc>
          <w:tcPr>
            <w:tcW w:w="520" w:type="pct"/>
            <w:tcBorders>
              <w:top w:val="single" w:color="000000" w:sz="4" w:space="0"/>
              <w:left w:val="single" w:color="000000" w:sz="4" w:space="0"/>
              <w:bottom w:val="single" w:color="000000" w:sz="4" w:space="0"/>
              <w:right w:val="single" w:color="000000" w:sz="4" w:space="0"/>
            </w:tcBorders>
            <w:vAlign w:val="center"/>
          </w:tcPr>
          <w:p w14:paraId="5D1E882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1000KG</w:t>
            </w:r>
          </w:p>
        </w:tc>
        <w:tc>
          <w:tcPr>
            <w:tcW w:w="523" w:type="pct"/>
            <w:tcBorders>
              <w:top w:val="single" w:color="000000" w:sz="4" w:space="0"/>
              <w:left w:val="single" w:color="000000" w:sz="4" w:space="0"/>
              <w:bottom w:val="single" w:color="000000" w:sz="4" w:space="0"/>
              <w:right w:val="single" w:color="000000" w:sz="4" w:space="0"/>
            </w:tcBorders>
            <w:vAlign w:val="center"/>
          </w:tcPr>
          <w:p w14:paraId="156887A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1.6m/s</w:t>
            </w:r>
          </w:p>
        </w:tc>
      </w:tr>
      <w:tr w14:paraId="4FD5A56B">
        <w:tblPrEx>
          <w:tblCellMar>
            <w:top w:w="0" w:type="dxa"/>
            <w:left w:w="108" w:type="dxa"/>
            <w:bottom w:w="0" w:type="dxa"/>
            <w:right w:w="108" w:type="dxa"/>
          </w:tblCellMar>
        </w:tblPrEx>
        <w:trPr>
          <w:trHeight w:val="450" w:hRule="atLeast"/>
        </w:trPr>
        <w:tc>
          <w:tcPr>
            <w:tcW w:w="357" w:type="pct"/>
            <w:tcBorders>
              <w:top w:val="single" w:color="000000" w:sz="4" w:space="0"/>
              <w:left w:val="single" w:color="000000" w:sz="4" w:space="0"/>
              <w:bottom w:val="single" w:color="000000" w:sz="4" w:space="0"/>
              <w:right w:val="single" w:color="000000" w:sz="4" w:space="0"/>
            </w:tcBorders>
            <w:vAlign w:val="center"/>
          </w:tcPr>
          <w:p w14:paraId="6784CF6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17</w:t>
            </w:r>
          </w:p>
        </w:tc>
        <w:tc>
          <w:tcPr>
            <w:tcW w:w="1489" w:type="pct"/>
            <w:tcBorders>
              <w:top w:val="single" w:color="000000" w:sz="4" w:space="0"/>
              <w:left w:val="single" w:color="000000" w:sz="4" w:space="0"/>
              <w:bottom w:val="single" w:color="000000" w:sz="4" w:space="0"/>
              <w:right w:val="single" w:color="000000" w:sz="4" w:space="0"/>
            </w:tcBorders>
            <w:vAlign w:val="center"/>
          </w:tcPr>
          <w:p w14:paraId="05A0BBA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通力电梯有限公司</w:t>
            </w:r>
          </w:p>
        </w:tc>
        <w:tc>
          <w:tcPr>
            <w:tcW w:w="1013" w:type="pct"/>
            <w:tcBorders>
              <w:top w:val="single" w:color="000000" w:sz="4" w:space="0"/>
              <w:left w:val="single" w:color="000000" w:sz="4" w:space="0"/>
              <w:bottom w:val="single" w:color="000000" w:sz="4" w:space="0"/>
              <w:right w:val="single" w:color="000000" w:sz="4" w:space="0"/>
            </w:tcBorders>
          </w:tcPr>
          <w:p w14:paraId="71581D4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曳引驱动（无机房）乘客电梯</w:t>
            </w:r>
          </w:p>
        </w:tc>
        <w:tc>
          <w:tcPr>
            <w:tcW w:w="690" w:type="pct"/>
            <w:tcBorders>
              <w:top w:val="single" w:color="000000" w:sz="4" w:space="0"/>
              <w:left w:val="single" w:color="000000" w:sz="4" w:space="0"/>
              <w:bottom w:val="single" w:color="000000" w:sz="4" w:space="0"/>
              <w:right w:val="single" w:color="000000" w:sz="4" w:space="0"/>
            </w:tcBorders>
            <w:vAlign w:val="center"/>
          </w:tcPr>
          <w:p w14:paraId="5A0E119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color w:val="000000"/>
                <w:sz w:val="21"/>
                <w:szCs w:val="21"/>
                <w:highlight w:val="none"/>
              </w:rPr>
              <w:t>KONE NMonospace</w:t>
            </w:r>
          </w:p>
        </w:tc>
        <w:tc>
          <w:tcPr>
            <w:tcW w:w="404" w:type="pct"/>
            <w:tcBorders>
              <w:top w:val="single" w:color="000000" w:sz="4" w:space="0"/>
              <w:left w:val="single" w:color="000000" w:sz="4" w:space="0"/>
              <w:bottom w:val="single" w:color="000000" w:sz="4" w:space="0"/>
              <w:right w:val="single" w:color="000000" w:sz="4" w:space="0"/>
            </w:tcBorders>
            <w:vAlign w:val="center"/>
          </w:tcPr>
          <w:p w14:paraId="4871FAC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9/9/9</w:t>
            </w:r>
          </w:p>
        </w:tc>
        <w:tc>
          <w:tcPr>
            <w:tcW w:w="520" w:type="pct"/>
            <w:tcBorders>
              <w:top w:val="single" w:color="000000" w:sz="4" w:space="0"/>
              <w:left w:val="single" w:color="000000" w:sz="4" w:space="0"/>
              <w:bottom w:val="single" w:color="000000" w:sz="4" w:space="0"/>
              <w:right w:val="single" w:color="000000" w:sz="4" w:space="0"/>
            </w:tcBorders>
            <w:vAlign w:val="center"/>
          </w:tcPr>
          <w:p w14:paraId="1F6D192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1000KG</w:t>
            </w:r>
          </w:p>
        </w:tc>
        <w:tc>
          <w:tcPr>
            <w:tcW w:w="523" w:type="pct"/>
            <w:tcBorders>
              <w:top w:val="single" w:color="000000" w:sz="4" w:space="0"/>
              <w:left w:val="single" w:color="000000" w:sz="4" w:space="0"/>
              <w:bottom w:val="single" w:color="000000" w:sz="4" w:space="0"/>
              <w:right w:val="single" w:color="000000" w:sz="4" w:space="0"/>
            </w:tcBorders>
            <w:vAlign w:val="center"/>
          </w:tcPr>
          <w:p w14:paraId="192CB41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1.6m/s</w:t>
            </w:r>
          </w:p>
        </w:tc>
      </w:tr>
      <w:tr w14:paraId="564B904F">
        <w:tblPrEx>
          <w:tblCellMar>
            <w:top w:w="0" w:type="dxa"/>
            <w:left w:w="108" w:type="dxa"/>
            <w:bottom w:w="0" w:type="dxa"/>
            <w:right w:w="108" w:type="dxa"/>
          </w:tblCellMar>
        </w:tblPrEx>
        <w:trPr>
          <w:trHeight w:val="450" w:hRule="atLeast"/>
        </w:trPr>
        <w:tc>
          <w:tcPr>
            <w:tcW w:w="357" w:type="pct"/>
            <w:tcBorders>
              <w:top w:val="single" w:color="000000" w:sz="4" w:space="0"/>
              <w:left w:val="single" w:color="000000" w:sz="4" w:space="0"/>
              <w:bottom w:val="single" w:color="000000" w:sz="4" w:space="0"/>
              <w:right w:val="single" w:color="000000" w:sz="4" w:space="0"/>
            </w:tcBorders>
            <w:vAlign w:val="center"/>
          </w:tcPr>
          <w:p w14:paraId="7F71447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18</w:t>
            </w:r>
          </w:p>
        </w:tc>
        <w:tc>
          <w:tcPr>
            <w:tcW w:w="1489" w:type="pct"/>
            <w:tcBorders>
              <w:top w:val="single" w:color="000000" w:sz="4" w:space="0"/>
              <w:left w:val="single" w:color="000000" w:sz="4" w:space="0"/>
              <w:bottom w:val="single" w:color="000000" w:sz="4" w:space="0"/>
              <w:right w:val="single" w:color="000000" w:sz="4" w:space="0"/>
            </w:tcBorders>
            <w:vAlign w:val="center"/>
          </w:tcPr>
          <w:p w14:paraId="0546CCE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通力电梯有限公司</w:t>
            </w:r>
          </w:p>
        </w:tc>
        <w:tc>
          <w:tcPr>
            <w:tcW w:w="1013" w:type="pct"/>
            <w:tcBorders>
              <w:top w:val="single" w:color="000000" w:sz="4" w:space="0"/>
              <w:left w:val="single" w:color="000000" w:sz="4" w:space="0"/>
              <w:bottom w:val="single" w:color="000000" w:sz="4" w:space="0"/>
              <w:right w:val="single" w:color="000000" w:sz="4" w:space="0"/>
            </w:tcBorders>
          </w:tcPr>
          <w:p w14:paraId="499ACB7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曳引驱动（无机房）乘客电梯</w:t>
            </w:r>
          </w:p>
        </w:tc>
        <w:tc>
          <w:tcPr>
            <w:tcW w:w="690" w:type="pct"/>
            <w:tcBorders>
              <w:top w:val="single" w:color="000000" w:sz="4" w:space="0"/>
              <w:left w:val="single" w:color="000000" w:sz="4" w:space="0"/>
              <w:bottom w:val="single" w:color="000000" w:sz="4" w:space="0"/>
              <w:right w:val="single" w:color="000000" w:sz="4" w:space="0"/>
            </w:tcBorders>
            <w:vAlign w:val="center"/>
          </w:tcPr>
          <w:p w14:paraId="3793D42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color w:val="000000"/>
                <w:sz w:val="21"/>
                <w:szCs w:val="21"/>
                <w:highlight w:val="none"/>
              </w:rPr>
              <w:t>KONE NMonospace</w:t>
            </w:r>
          </w:p>
        </w:tc>
        <w:tc>
          <w:tcPr>
            <w:tcW w:w="404" w:type="pct"/>
            <w:tcBorders>
              <w:top w:val="single" w:color="000000" w:sz="4" w:space="0"/>
              <w:left w:val="single" w:color="000000" w:sz="4" w:space="0"/>
              <w:bottom w:val="single" w:color="000000" w:sz="4" w:space="0"/>
              <w:right w:val="single" w:color="000000" w:sz="4" w:space="0"/>
            </w:tcBorders>
            <w:vAlign w:val="center"/>
          </w:tcPr>
          <w:p w14:paraId="3C02FDD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9/9/9</w:t>
            </w:r>
          </w:p>
        </w:tc>
        <w:tc>
          <w:tcPr>
            <w:tcW w:w="520" w:type="pct"/>
            <w:tcBorders>
              <w:top w:val="single" w:color="000000" w:sz="4" w:space="0"/>
              <w:left w:val="single" w:color="000000" w:sz="4" w:space="0"/>
              <w:bottom w:val="single" w:color="000000" w:sz="4" w:space="0"/>
              <w:right w:val="single" w:color="000000" w:sz="4" w:space="0"/>
            </w:tcBorders>
            <w:vAlign w:val="center"/>
          </w:tcPr>
          <w:p w14:paraId="11A514A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1000KG</w:t>
            </w:r>
          </w:p>
        </w:tc>
        <w:tc>
          <w:tcPr>
            <w:tcW w:w="523" w:type="pct"/>
            <w:tcBorders>
              <w:top w:val="single" w:color="000000" w:sz="4" w:space="0"/>
              <w:left w:val="single" w:color="000000" w:sz="4" w:space="0"/>
              <w:bottom w:val="single" w:color="000000" w:sz="4" w:space="0"/>
              <w:right w:val="single" w:color="000000" w:sz="4" w:space="0"/>
            </w:tcBorders>
            <w:vAlign w:val="center"/>
          </w:tcPr>
          <w:p w14:paraId="2440AD6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1.6m/s</w:t>
            </w:r>
          </w:p>
        </w:tc>
      </w:tr>
      <w:tr w14:paraId="51838E99">
        <w:tblPrEx>
          <w:tblCellMar>
            <w:top w:w="0" w:type="dxa"/>
            <w:left w:w="108" w:type="dxa"/>
            <w:bottom w:w="0" w:type="dxa"/>
            <w:right w:w="108" w:type="dxa"/>
          </w:tblCellMar>
        </w:tblPrEx>
        <w:trPr>
          <w:trHeight w:val="450" w:hRule="atLeast"/>
        </w:trPr>
        <w:tc>
          <w:tcPr>
            <w:tcW w:w="357" w:type="pct"/>
            <w:tcBorders>
              <w:top w:val="single" w:color="000000" w:sz="4" w:space="0"/>
              <w:left w:val="single" w:color="000000" w:sz="4" w:space="0"/>
              <w:bottom w:val="single" w:color="000000" w:sz="4" w:space="0"/>
              <w:right w:val="single" w:color="000000" w:sz="4" w:space="0"/>
            </w:tcBorders>
            <w:vAlign w:val="center"/>
          </w:tcPr>
          <w:p w14:paraId="3225974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19</w:t>
            </w:r>
          </w:p>
        </w:tc>
        <w:tc>
          <w:tcPr>
            <w:tcW w:w="1489" w:type="pct"/>
            <w:tcBorders>
              <w:top w:val="single" w:color="000000" w:sz="4" w:space="0"/>
              <w:left w:val="single" w:color="000000" w:sz="4" w:space="0"/>
              <w:bottom w:val="single" w:color="000000" w:sz="4" w:space="0"/>
              <w:right w:val="single" w:color="000000" w:sz="4" w:space="0"/>
            </w:tcBorders>
            <w:vAlign w:val="center"/>
          </w:tcPr>
          <w:p w14:paraId="6B7B46B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通力电梯有限公司</w:t>
            </w:r>
          </w:p>
        </w:tc>
        <w:tc>
          <w:tcPr>
            <w:tcW w:w="1013" w:type="pct"/>
            <w:tcBorders>
              <w:top w:val="single" w:color="000000" w:sz="4" w:space="0"/>
              <w:left w:val="single" w:color="000000" w:sz="4" w:space="0"/>
              <w:bottom w:val="single" w:color="000000" w:sz="4" w:space="0"/>
              <w:right w:val="single" w:color="000000" w:sz="4" w:space="0"/>
            </w:tcBorders>
          </w:tcPr>
          <w:p w14:paraId="6F2B1F4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曳引驱动（无机房）乘客电梯</w:t>
            </w:r>
          </w:p>
        </w:tc>
        <w:tc>
          <w:tcPr>
            <w:tcW w:w="690" w:type="pct"/>
            <w:tcBorders>
              <w:top w:val="single" w:color="000000" w:sz="4" w:space="0"/>
              <w:left w:val="single" w:color="000000" w:sz="4" w:space="0"/>
              <w:bottom w:val="single" w:color="000000" w:sz="4" w:space="0"/>
              <w:right w:val="single" w:color="000000" w:sz="4" w:space="0"/>
            </w:tcBorders>
            <w:vAlign w:val="center"/>
          </w:tcPr>
          <w:p w14:paraId="4A46114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color w:val="000000"/>
                <w:sz w:val="21"/>
                <w:szCs w:val="21"/>
                <w:highlight w:val="none"/>
              </w:rPr>
              <w:t>KONE NMonospace</w:t>
            </w:r>
          </w:p>
        </w:tc>
        <w:tc>
          <w:tcPr>
            <w:tcW w:w="404" w:type="pct"/>
            <w:tcBorders>
              <w:top w:val="single" w:color="000000" w:sz="4" w:space="0"/>
              <w:left w:val="single" w:color="000000" w:sz="4" w:space="0"/>
              <w:bottom w:val="single" w:color="000000" w:sz="4" w:space="0"/>
              <w:right w:val="single" w:color="000000" w:sz="4" w:space="0"/>
            </w:tcBorders>
            <w:vAlign w:val="center"/>
          </w:tcPr>
          <w:p w14:paraId="4548815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9/9/9</w:t>
            </w:r>
          </w:p>
        </w:tc>
        <w:tc>
          <w:tcPr>
            <w:tcW w:w="520" w:type="pct"/>
            <w:tcBorders>
              <w:top w:val="single" w:color="000000" w:sz="4" w:space="0"/>
              <w:left w:val="single" w:color="000000" w:sz="4" w:space="0"/>
              <w:bottom w:val="single" w:color="000000" w:sz="4" w:space="0"/>
              <w:right w:val="single" w:color="000000" w:sz="4" w:space="0"/>
            </w:tcBorders>
            <w:vAlign w:val="center"/>
          </w:tcPr>
          <w:p w14:paraId="736517C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1000KG</w:t>
            </w:r>
          </w:p>
        </w:tc>
        <w:tc>
          <w:tcPr>
            <w:tcW w:w="523" w:type="pct"/>
            <w:tcBorders>
              <w:top w:val="single" w:color="000000" w:sz="4" w:space="0"/>
              <w:left w:val="single" w:color="000000" w:sz="4" w:space="0"/>
              <w:bottom w:val="single" w:color="000000" w:sz="4" w:space="0"/>
              <w:right w:val="single" w:color="000000" w:sz="4" w:space="0"/>
            </w:tcBorders>
            <w:vAlign w:val="center"/>
          </w:tcPr>
          <w:p w14:paraId="444ADF1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1.6m/s</w:t>
            </w:r>
          </w:p>
        </w:tc>
      </w:tr>
      <w:tr w14:paraId="45378783">
        <w:tblPrEx>
          <w:tblCellMar>
            <w:top w:w="0" w:type="dxa"/>
            <w:left w:w="108" w:type="dxa"/>
            <w:bottom w:w="0" w:type="dxa"/>
            <w:right w:w="108" w:type="dxa"/>
          </w:tblCellMar>
        </w:tblPrEx>
        <w:trPr>
          <w:trHeight w:val="450" w:hRule="atLeast"/>
        </w:trPr>
        <w:tc>
          <w:tcPr>
            <w:tcW w:w="357" w:type="pct"/>
            <w:tcBorders>
              <w:top w:val="single" w:color="000000" w:sz="4" w:space="0"/>
              <w:left w:val="single" w:color="000000" w:sz="4" w:space="0"/>
              <w:bottom w:val="single" w:color="000000" w:sz="4" w:space="0"/>
              <w:right w:val="single" w:color="000000" w:sz="4" w:space="0"/>
            </w:tcBorders>
            <w:vAlign w:val="center"/>
          </w:tcPr>
          <w:p w14:paraId="136D817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20</w:t>
            </w:r>
          </w:p>
        </w:tc>
        <w:tc>
          <w:tcPr>
            <w:tcW w:w="1489" w:type="pct"/>
            <w:tcBorders>
              <w:top w:val="single" w:color="000000" w:sz="4" w:space="0"/>
              <w:left w:val="single" w:color="000000" w:sz="4" w:space="0"/>
              <w:bottom w:val="single" w:color="000000" w:sz="4" w:space="0"/>
              <w:right w:val="single" w:color="000000" w:sz="4" w:space="0"/>
            </w:tcBorders>
            <w:vAlign w:val="center"/>
          </w:tcPr>
          <w:p w14:paraId="6A09E2A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通力电梯有限公司</w:t>
            </w:r>
          </w:p>
        </w:tc>
        <w:tc>
          <w:tcPr>
            <w:tcW w:w="1013" w:type="pct"/>
            <w:tcBorders>
              <w:top w:val="single" w:color="000000" w:sz="4" w:space="0"/>
              <w:left w:val="single" w:color="000000" w:sz="4" w:space="0"/>
              <w:bottom w:val="single" w:color="000000" w:sz="4" w:space="0"/>
              <w:right w:val="single" w:color="000000" w:sz="4" w:space="0"/>
            </w:tcBorders>
          </w:tcPr>
          <w:p w14:paraId="0DC59C2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曳引驱动（无机房）乘客电梯</w:t>
            </w:r>
          </w:p>
        </w:tc>
        <w:tc>
          <w:tcPr>
            <w:tcW w:w="690" w:type="pct"/>
            <w:tcBorders>
              <w:top w:val="single" w:color="000000" w:sz="4" w:space="0"/>
              <w:left w:val="single" w:color="000000" w:sz="4" w:space="0"/>
              <w:bottom w:val="single" w:color="000000" w:sz="4" w:space="0"/>
              <w:right w:val="single" w:color="000000" w:sz="4" w:space="0"/>
            </w:tcBorders>
            <w:vAlign w:val="center"/>
          </w:tcPr>
          <w:p w14:paraId="3D4B488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color w:val="000000"/>
                <w:sz w:val="21"/>
                <w:szCs w:val="21"/>
                <w:highlight w:val="none"/>
              </w:rPr>
              <w:t>KONE NMonospace</w:t>
            </w:r>
          </w:p>
        </w:tc>
        <w:tc>
          <w:tcPr>
            <w:tcW w:w="404" w:type="pct"/>
            <w:tcBorders>
              <w:top w:val="single" w:color="000000" w:sz="4" w:space="0"/>
              <w:left w:val="single" w:color="000000" w:sz="4" w:space="0"/>
              <w:bottom w:val="single" w:color="000000" w:sz="4" w:space="0"/>
              <w:right w:val="single" w:color="000000" w:sz="4" w:space="0"/>
            </w:tcBorders>
            <w:vAlign w:val="center"/>
          </w:tcPr>
          <w:p w14:paraId="7AC3296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4/4/4</w:t>
            </w:r>
          </w:p>
        </w:tc>
        <w:tc>
          <w:tcPr>
            <w:tcW w:w="520" w:type="pct"/>
            <w:tcBorders>
              <w:top w:val="single" w:color="000000" w:sz="4" w:space="0"/>
              <w:left w:val="single" w:color="000000" w:sz="4" w:space="0"/>
              <w:bottom w:val="single" w:color="000000" w:sz="4" w:space="0"/>
              <w:right w:val="single" w:color="000000" w:sz="4" w:space="0"/>
            </w:tcBorders>
            <w:vAlign w:val="center"/>
          </w:tcPr>
          <w:p w14:paraId="60D9DF3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2000KG</w:t>
            </w:r>
          </w:p>
        </w:tc>
        <w:tc>
          <w:tcPr>
            <w:tcW w:w="523" w:type="pct"/>
            <w:tcBorders>
              <w:top w:val="single" w:color="000000" w:sz="4" w:space="0"/>
              <w:left w:val="single" w:color="000000" w:sz="4" w:space="0"/>
              <w:bottom w:val="single" w:color="000000" w:sz="4" w:space="0"/>
              <w:right w:val="single" w:color="000000" w:sz="4" w:space="0"/>
            </w:tcBorders>
            <w:vAlign w:val="center"/>
          </w:tcPr>
          <w:p w14:paraId="0BA26C2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1.0m/s</w:t>
            </w:r>
          </w:p>
        </w:tc>
      </w:tr>
      <w:tr w14:paraId="6983FF65">
        <w:tblPrEx>
          <w:tblCellMar>
            <w:top w:w="0" w:type="dxa"/>
            <w:left w:w="108" w:type="dxa"/>
            <w:bottom w:w="0" w:type="dxa"/>
            <w:right w:w="108" w:type="dxa"/>
          </w:tblCellMar>
        </w:tblPrEx>
        <w:trPr>
          <w:trHeight w:val="450" w:hRule="atLeast"/>
        </w:trPr>
        <w:tc>
          <w:tcPr>
            <w:tcW w:w="357" w:type="pct"/>
            <w:tcBorders>
              <w:top w:val="single" w:color="000000" w:sz="4" w:space="0"/>
              <w:left w:val="single" w:color="000000" w:sz="4" w:space="0"/>
              <w:bottom w:val="single" w:color="000000" w:sz="4" w:space="0"/>
              <w:right w:val="single" w:color="000000" w:sz="4" w:space="0"/>
            </w:tcBorders>
            <w:vAlign w:val="center"/>
          </w:tcPr>
          <w:p w14:paraId="195F090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21</w:t>
            </w:r>
          </w:p>
        </w:tc>
        <w:tc>
          <w:tcPr>
            <w:tcW w:w="1489" w:type="pct"/>
            <w:tcBorders>
              <w:top w:val="single" w:color="000000" w:sz="4" w:space="0"/>
              <w:left w:val="single" w:color="000000" w:sz="4" w:space="0"/>
              <w:bottom w:val="single" w:color="000000" w:sz="4" w:space="0"/>
              <w:right w:val="single" w:color="000000" w:sz="4" w:space="0"/>
            </w:tcBorders>
            <w:vAlign w:val="center"/>
          </w:tcPr>
          <w:p w14:paraId="1912832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通力电梯有限公司</w:t>
            </w:r>
          </w:p>
        </w:tc>
        <w:tc>
          <w:tcPr>
            <w:tcW w:w="1013" w:type="pct"/>
            <w:tcBorders>
              <w:top w:val="single" w:color="000000" w:sz="4" w:space="0"/>
              <w:left w:val="single" w:color="000000" w:sz="4" w:space="0"/>
              <w:bottom w:val="single" w:color="000000" w:sz="4" w:space="0"/>
              <w:right w:val="single" w:color="000000" w:sz="4" w:space="0"/>
            </w:tcBorders>
          </w:tcPr>
          <w:p w14:paraId="1A8644E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曳引驱动（无机房）乘客电梯</w:t>
            </w:r>
          </w:p>
        </w:tc>
        <w:tc>
          <w:tcPr>
            <w:tcW w:w="690" w:type="pct"/>
            <w:tcBorders>
              <w:top w:val="single" w:color="000000" w:sz="4" w:space="0"/>
              <w:left w:val="single" w:color="000000" w:sz="4" w:space="0"/>
              <w:bottom w:val="single" w:color="000000" w:sz="4" w:space="0"/>
              <w:right w:val="single" w:color="000000" w:sz="4" w:space="0"/>
            </w:tcBorders>
            <w:vAlign w:val="center"/>
          </w:tcPr>
          <w:p w14:paraId="43E9AC4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color w:val="000000"/>
                <w:sz w:val="21"/>
                <w:szCs w:val="21"/>
                <w:highlight w:val="none"/>
              </w:rPr>
              <w:t>KONE NMonospace</w:t>
            </w:r>
          </w:p>
        </w:tc>
        <w:tc>
          <w:tcPr>
            <w:tcW w:w="404" w:type="pct"/>
            <w:tcBorders>
              <w:top w:val="single" w:color="000000" w:sz="4" w:space="0"/>
              <w:left w:val="single" w:color="000000" w:sz="4" w:space="0"/>
              <w:bottom w:val="single" w:color="000000" w:sz="4" w:space="0"/>
              <w:right w:val="single" w:color="000000" w:sz="4" w:space="0"/>
            </w:tcBorders>
            <w:vAlign w:val="center"/>
          </w:tcPr>
          <w:p w14:paraId="2443168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4/4/4</w:t>
            </w:r>
          </w:p>
        </w:tc>
        <w:tc>
          <w:tcPr>
            <w:tcW w:w="520" w:type="pct"/>
            <w:tcBorders>
              <w:top w:val="single" w:color="000000" w:sz="4" w:space="0"/>
              <w:left w:val="single" w:color="000000" w:sz="4" w:space="0"/>
              <w:bottom w:val="single" w:color="000000" w:sz="4" w:space="0"/>
              <w:right w:val="single" w:color="000000" w:sz="4" w:space="0"/>
            </w:tcBorders>
            <w:vAlign w:val="center"/>
          </w:tcPr>
          <w:p w14:paraId="21F7242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2000KG</w:t>
            </w:r>
          </w:p>
        </w:tc>
        <w:tc>
          <w:tcPr>
            <w:tcW w:w="523" w:type="pct"/>
            <w:tcBorders>
              <w:top w:val="single" w:color="000000" w:sz="4" w:space="0"/>
              <w:left w:val="single" w:color="000000" w:sz="4" w:space="0"/>
              <w:bottom w:val="single" w:color="000000" w:sz="4" w:space="0"/>
              <w:right w:val="single" w:color="000000" w:sz="4" w:space="0"/>
            </w:tcBorders>
            <w:vAlign w:val="center"/>
          </w:tcPr>
          <w:p w14:paraId="2F89479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1.0m/s</w:t>
            </w:r>
          </w:p>
        </w:tc>
      </w:tr>
      <w:tr w14:paraId="548B366E">
        <w:tblPrEx>
          <w:tblCellMar>
            <w:top w:w="0" w:type="dxa"/>
            <w:left w:w="108" w:type="dxa"/>
            <w:bottom w:w="0" w:type="dxa"/>
            <w:right w:w="108" w:type="dxa"/>
          </w:tblCellMar>
        </w:tblPrEx>
        <w:trPr>
          <w:trHeight w:val="450" w:hRule="atLeast"/>
        </w:trPr>
        <w:tc>
          <w:tcPr>
            <w:tcW w:w="357" w:type="pct"/>
            <w:tcBorders>
              <w:top w:val="single" w:color="000000" w:sz="4" w:space="0"/>
              <w:left w:val="single" w:color="000000" w:sz="4" w:space="0"/>
              <w:bottom w:val="single" w:color="000000" w:sz="4" w:space="0"/>
              <w:right w:val="single" w:color="000000" w:sz="4" w:space="0"/>
            </w:tcBorders>
            <w:vAlign w:val="center"/>
          </w:tcPr>
          <w:p w14:paraId="1D4FBB7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22</w:t>
            </w:r>
          </w:p>
        </w:tc>
        <w:tc>
          <w:tcPr>
            <w:tcW w:w="1489" w:type="pct"/>
            <w:tcBorders>
              <w:top w:val="single" w:color="000000" w:sz="4" w:space="0"/>
              <w:left w:val="single" w:color="000000" w:sz="4" w:space="0"/>
              <w:bottom w:val="single" w:color="000000" w:sz="4" w:space="0"/>
              <w:right w:val="single" w:color="000000" w:sz="4" w:space="0"/>
            </w:tcBorders>
            <w:vAlign w:val="center"/>
          </w:tcPr>
          <w:p w14:paraId="4091728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通力电梯有限公司</w:t>
            </w:r>
          </w:p>
        </w:tc>
        <w:tc>
          <w:tcPr>
            <w:tcW w:w="1013" w:type="pct"/>
            <w:tcBorders>
              <w:top w:val="single" w:color="000000" w:sz="4" w:space="0"/>
              <w:left w:val="single" w:color="000000" w:sz="4" w:space="0"/>
              <w:bottom w:val="single" w:color="000000" w:sz="4" w:space="0"/>
              <w:right w:val="single" w:color="000000" w:sz="4" w:space="0"/>
            </w:tcBorders>
          </w:tcPr>
          <w:p w14:paraId="6324254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曳引驱动（无机房）乘客电梯</w:t>
            </w:r>
          </w:p>
        </w:tc>
        <w:tc>
          <w:tcPr>
            <w:tcW w:w="690" w:type="pct"/>
            <w:tcBorders>
              <w:top w:val="single" w:color="000000" w:sz="4" w:space="0"/>
              <w:left w:val="single" w:color="000000" w:sz="4" w:space="0"/>
              <w:bottom w:val="single" w:color="000000" w:sz="4" w:space="0"/>
              <w:right w:val="single" w:color="000000" w:sz="4" w:space="0"/>
            </w:tcBorders>
            <w:vAlign w:val="center"/>
          </w:tcPr>
          <w:p w14:paraId="6876B09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highlight w:val="none"/>
              </w:rPr>
              <w:t>KONE NMonospace</w:t>
            </w:r>
          </w:p>
        </w:tc>
        <w:tc>
          <w:tcPr>
            <w:tcW w:w="404" w:type="pct"/>
            <w:tcBorders>
              <w:top w:val="single" w:color="000000" w:sz="4" w:space="0"/>
              <w:left w:val="single" w:color="000000" w:sz="4" w:space="0"/>
              <w:bottom w:val="single" w:color="000000" w:sz="4" w:space="0"/>
              <w:right w:val="single" w:color="000000" w:sz="4" w:space="0"/>
            </w:tcBorders>
            <w:vAlign w:val="center"/>
          </w:tcPr>
          <w:p w14:paraId="02F3A3B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3/3/3</w:t>
            </w:r>
          </w:p>
        </w:tc>
        <w:tc>
          <w:tcPr>
            <w:tcW w:w="520" w:type="pct"/>
            <w:tcBorders>
              <w:top w:val="single" w:color="000000" w:sz="4" w:space="0"/>
              <w:left w:val="single" w:color="000000" w:sz="4" w:space="0"/>
              <w:bottom w:val="single" w:color="000000" w:sz="4" w:space="0"/>
              <w:right w:val="single" w:color="000000" w:sz="4" w:space="0"/>
            </w:tcBorders>
            <w:vAlign w:val="center"/>
          </w:tcPr>
          <w:p w14:paraId="3713B80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1000KG</w:t>
            </w:r>
          </w:p>
        </w:tc>
        <w:tc>
          <w:tcPr>
            <w:tcW w:w="523" w:type="pct"/>
            <w:tcBorders>
              <w:top w:val="single" w:color="000000" w:sz="4" w:space="0"/>
              <w:left w:val="single" w:color="000000" w:sz="4" w:space="0"/>
              <w:bottom w:val="single" w:color="000000" w:sz="4" w:space="0"/>
              <w:right w:val="single" w:color="000000" w:sz="4" w:space="0"/>
            </w:tcBorders>
            <w:vAlign w:val="center"/>
          </w:tcPr>
          <w:p w14:paraId="0FE7CA8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1.6m/s</w:t>
            </w:r>
          </w:p>
        </w:tc>
      </w:tr>
      <w:tr w14:paraId="65AD4375">
        <w:tblPrEx>
          <w:tblCellMar>
            <w:top w:w="0" w:type="dxa"/>
            <w:left w:w="108" w:type="dxa"/>
            <w:bottom w:w="0" w:type="dxa"/>
            <w:right w:w="108" w:type="dxa"/>
          </w:tblCellMar>
        </w:tblPrEx>
        <w:trPr>
          <w:trHeight w:val="450" w:hRule="atLeast"/>
        </w:trPr>
        <w:tc>
          <w:tcPr>
            <w:tcW w:w="357" w:type="pct"/>
            <w:tcBorders>
              <w:top w:val="single" w:color="000000" w:sz="4" w:space="0"/>
              <w:left w:val="single" w:color="000000" w:sz="4" w:space="0"/>
              <w:bottom w:val="single" w:color="000000" w:sz="4" w:space="0"/>
              <w:right w:val="single" w:color="000000" w:sz="4" w:space="0"/>
            </w:tcBorders>
            <w:vAlign w:val="center"/>
          </w:tcPr>
          <w:p w14:paraId="363651D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23</w:t>
            </w:r>
          </w:p>
        </w:tc>
        <w:tc>
          <w:tcPr>
            <w:tcW w:w="1489" w:type="pct"/>
            <w:tcBorders>
              <w:top w:val="single" w:color="000000" w:sz="4" w:space="0"/>
              <w:left w:val="single" w:color="000000" w:sz="4" w:space="0"/>
              <w:bottom w:val="single" w:color="000000" w:sz="4" w:space="0"/>
              <w:right w:val="single" w:color="000000" w:sz="4" w:space="0"/>
            </w:tcBorders>
            <w:vAlign w:val="center"/>
          </w:tcPr>
          <w:p w14:paraId="3AFFA12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通力电梯有限公司</w:t>
            </w:r>
          </w:p>
        </w:tc>
        <w:tc>
          <w:tcPr>
            <w:tcW w:w="1013" w:type="pct"/>
            <w:tcBorders>
              <w:top w:val="single" w:color="000000" w:sz="4" w:space="0"/>
              <w:left w:val="single" w:color="000000" w:sz="4" w:space="0"/>
              <w:bottom w:val="single" w:color="000000" w:sz="4" w:space="0"/>
              <w:right w:val="single" w:color="000000" w:sz="4" w:space="0"/>
            </w:tcBorders>
          </w:tcPr>
          <w:p w14:paraId="3840FF6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曳引驱动（无机房）货梯</w:t>
            </w:r>
          </w:p>
        </w:tc>
        <w:tc>
          <w:tcPr>
            <w:tcW w:w="690" w:type="pct"/>
            <w:tcBorders>
              <w:top w:val="single" w:color="000000" w:sz="4" w:space="0"/>
              <w:left w:val="single" w:color="000000" w:sz="4" w:space="0"/>
              <w:bottom w:val="single" w:color="000000" w:sz="4" w:space="0"/>
              <w:right w:val="single" w:color="000000" w:sz="4" w:space="0"/>
            </w:tcBorders>
            <w:vAlign w:val="center"/>
          </w:tcPr>
          <w:p w14:paraId="2FCEE96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highlight w:val="none"/>
              </w:rPr>
              <w:t>KONE TranSys</w:t>
            </w:r>
          </w:p>
        </w:tc>
        <w:tc>
          <w:tcPr>
            <w:tcW w:w="404" w:type="pct"/>
            <w:tcBorders>
              <w:top w:val="single" w:color="000000" w:sz="4" w:space="0"/>
              <w:left w:val="single" w:color="000000" w:sz="4" w:space="0"/>
              <w:bottom w:val="single" w:color="000000" w:sz="4" w:space="0"/>
              <w:right w:val="single" w:color="000000" w:sz="4" w:space="0"/>
            </w:tcBorders>
            <w:vAlign w:val="center"/>
          </w:tcPr>
          <w:p w14:paraId="11A6E29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4/4/4</w:t>
            </w:r>
          </w:p>
        </w:tc>
        <w:tc>
          <w:tcPr>
            <w:tcW w:w="520" w:type="pct"/>
            <w:tcBorders>
              <w:top w:val="single" w:color="000000" w:sz="4" w:space="0"/>
              <w:left w:val="single" w:color="000000" w:sz="4" w:space="0"/>
              <w:bottom w:val="single" w:color="000000" w:sz="4" w:space="0"/>
              <w:right w:val="single" w:color="000000" w:sz="4" w:space="0"/>
            </w:tcBorders>
            <w:vAlign w:val="center"/>
          </w:tcPr>
          <w:p w14:paraId="1A4CB49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3000KG</w:t>
            </w:r>
          </w:p>
        </w:tc>
        <w:tc>
          <w:tcPr>
            <w:tcW w:w="523" w:type="pct"/>
            <w:tcBorders>
              <w:top w:val="single" w:color="000000" w:sz="4" w:space="0"/>
              <w:left w:val="single" w:color="000000" w:sz="4" w:space="0"/>
              <w:bottom w:val="single" w:color="000000" w:sz="4" w:space="0"/>
              <w:right w:val="single" w:color="000000" w:sz="4" w:space="0"/>
            </w:tcBorders>
            <w:vAlign w:val="center"/>
          </w:tcPr>
          <w:p w14:paraId="3E4BD90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highlight w:val="none"/>
              </w:rPr>
              <w:t>0.50 m/s</w:t>
            </w:r>
          </w:p>
        </w:tc>
      </w:tr>
    </w:tbl>
    <w:p w14:paraId="2C272A50">
      <w:pPr>
        <w:spacing w:line="360" w:lineRule="auto"/>
        <w:ind w:firstLine="482" w:firstLineChars="200"/>
        <w:rPr>
          <w:rFonts w:hint="eastAsia" w:ascii="宋体" w:hAnsi="宋体" w:eastAsia="宋体"/>
          <w:b/>
          <w:sz w:val="24"/>
          <w:szCs w:val="24"/>
          <w:highlight w:val="none"/>
        </w:rPr>
      </w:pPr>
      <w:r>
        <w:rPr>
          <w:rFonts w:hint="eastAsia" w:ascii="宋体" w:hAnsi="宋体" w:eastAsia="宋体"/>
          <w:b/>
          <w:sz w:val="24"/>
          <w:szCs w:val="24"/>
          <w:highlight w:val="none"/>
        </w:rPr>
        <w:t>三、项目实施原则</w:t>
      </w:r>
    </w:p>
    <w:p w14:paraId="40FF5EAB">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（一）结合设备实际和管理要求进行维护保养，保障使用电梯乘客的安全以及延长设备的寿命。</w:t>
      </w:r>
    </w:p>
    <w:p w14:paraId="0B3728FC">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（二）遵守国家各类法规制度，确保维保工作系统规范。</w:t>
      </w:r>
      <w:bookmarkStart w:id="82" w:name="_Toc21984"/>
    </w:p>
    <w:p w14:paraId="1E7537A9">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（三）</w:t>
      </w:r>
      <w:bookmarkEnd w:id="82"/>
      <w:r>
        <w:rPr>
          <w:rFonts w:hint="eastAsia" w:ascii="宋体" w:hAnsi="宋体" w:eastAsia="宋体"/>
          <w:sz w:val="24"/>
          <w:szCs w:val="24"/>
          <w:highlight w:val="none"/>
        </w:rPr>
        <w:t>如发现有可能损害或影响电梯运行安全或质量的因素时，应立即向招标人报告并商议整改方案。</w:t>
      </w:r>
    </w:p>
    <w:p w14:paraId="5A837073">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（四）提供全日24小时紧急修理服务与配件更换服务。</w:t>
      </w:r>
    </w:p>
    <w:p w14:paraId="3C353509">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（五）</w:t>
      </w:r>
      <w:r>
        <w:rPr>
          <w:rFonts w:ascii="宋体" w:hAnsi="宋体" w:eastAsia="宋体"/>
          <w:sz w:val="24"/>
          <w:szCs w:val="24"/>
          <w:highlight w:val="none"/>
        </w:rPr>
        <w:t>投标人协助政府相关部门对电梯的检验工作</w:t>
      </w:r>
      <w:r>
        <w:rPr>
          <w:rFonts w:hint="eastAsia" w:ascii="宋体" w:hAnsi="宋体" w:eastAsia="宋体"/>
          <w:sz w:val="24"/>
          <w:szCs w:val="24"/>
          <w:highlight w:val="none"/>
        </w:rPr>
        <w:t>。</w:t>
      </w:r>
    </w:p>
    <w:p w14:paraId="5AD2D31F">
      <w:pPr>
        <w:spacing w:line="360" w:lineRule="auto"/>
        <w:ind w:firstLine="482" w:firstLineChars="200"/>
        <w:rPr>
          <w:rFonts w:hint="eastAsia"/>
          <w:highlight w:val="none"/>
        </w:rPr>
      </w:pPr>
      <w:r>
        <w:rPr>
          <w:rFonts w:hint="eastAsia" w:ascii="宋体" w:hAnsi="宋体" w:eastAsia="宋体"/>
          <w:b/>
          <w:sz w:val="24"/>
          <w:szCs w:val="24"/>
          <w:highlight w:val="none"/>
        </w:rPr>
        <w:t>四、项目维保内容：</w:t>
      </w:r>
      <w:r>
        <w:rPr>
          <w:rFonts w:hint="eastAsia" w:ascii="宋体" w:hAnsi="宋体" w:eastAsia="宋体"/>
          <w:sz w:val="24"/>
          <w:szCs w:val="24"/>
          <w:highlight w:val="none"/>
        </w:rPr>
        <w:t>分半月维保项目、季度维保项目、半年维保项目、年度维保项目（包括但不限于以下要求）。</w:t>
      </w:r>
    </w:p>
    <w:p w14:paraId="64FA3396">
      <w:pPr>
        <w:keepNext/>
        <w:keepLines/>
        <w:spacing w:before="240" w:after="240"/>
        <w:ind w:left="432" w:firstLine="723" w:firstLineChars="200"/>
        <w:jc w:val="center"/>
        <w:outlineLvl w:val="0"/>
        <w:rPr>
          <w:rFonts w:hint="eastAsia" w:ascii="宋体" w:hAnsi="宋体" w:eastAsia="宋体" w:cs="宋体"/>
          <w:b/>
          <w:kern w:val="0"/>
          <w:sz w:val="36"/>
          <w:szCs w:val="24"/>
          <w:highlight w:val="none"/>
          <w:lang w:val="zh-CN"/>
          <w14:ligatures w14:val="none"/>
        </w:rPr>
      </w:pPr>
      <w:r>
        <w:rPr>
          <w:rFonts w:hint="eastAsia" w:ascii="宋体" w:hAnsi="宋体" w:eastAsia="宋体" w:cs="宋体"/>
          <w:b/>
          <w:bCs/>
          <w:kern w:val="44"/>
          <w:sz w:val="36"/>
          <w:szCs w:val="24"/>
          <w:highlight w:val="none"/>
          <w14:ligatures w14:val="none"/>
        </w:rPr>
        <w:t>维保项目（内容）和计划要求</w:t>
      </w: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
        <w:gridCol w:w="3826"/>
        <w:gridCol w:w="3804"/>
      </w:tblGrid>
      <w:tr w14:paraId="45461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5000" w:type="pct"/>
            <w:gridSpan w:val="3"/>
            <w:vAlign w:val="center"/>
          </w:tcPr>
          <w:p w14:paraId="6D99EDD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b/>
                <w:sz w:val="24"/>
                <w:szCs w:val="24"/>
                <w:highlight w:val="none"/>
                <w14:ligatures w14:val="none"/>
              </w:rPr>
            </w:pPr>
            <w:r>
              <w:rPr>
                <w:rFonts w:hint="eastAsia" w:ascii="宋体" w:hAnsi="宋体" w:eastAsia="宋体" w:cs="Times New Roman"/>
                <w:b/>
                <w:sz w:val="24"/>
                <w:szCs w:val="24"/>
                <w:highlight w:val="none"/>
                <w14:ligatures w14:val="none"/>
              </w:rPr>
              <w:t>半月维保项目（内容）和要求</w:t>
            </w:r>
          </w:p>
        </w:tc>
      </w:tr>
      <w:tr w14:paraId="589B4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2DEAAEA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序号</w:t>
            </w:r>
          </w:p>
        </w:tc>
        <w:tc>
          <w:tcPr>
            <w:tcW w:w="2229" w:type="pct"/>
            <w:vAlign w:val="center"/>
          </w:tcPr>
          <w:p w14:paraId="1F3C2E3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维保项目（内容）</w:t>
            </w:r>
          </w:p>
        </w:tc>
        <w:tc>
          <w:tcPr>
            <w:tcW w:w="2215" w:type="pct"/>
            <w:vAlign w:val="center"/>
          </w:tcPr>
          <w:p w14:paraId="62C5C82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维保基本要求</w:t>
            </w:r>
          </w:p>
        </w:tc>
      </w:tr>
      <w:tr w14:paraId="4A01D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58DDC11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1</w:t>
            </w:r>
          </w:p>
        </w:tc>
        <w:tc>
          <w:tcPr>
            <w:tcW w:w="2229" w:type="pct"/>
            <w:vAlign w:val="center"/>
          </w:tcPr>
          <w:p w14:paraId="4E44814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机房、滑轮间环境</w:t>
            </w:r>
          </w:p>
        </w:tc>
        <w:tc>
          <w:tcPr>
            <w:tcW w:w="2215" w:type="pct"/>
            <w:vAlign w:val="center"/>
          </w:tcPr>
          <w:p w14:paraId="3520E51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清洁，门窗完好、照明正常</w:t>
            </w:r>
          </w:p>
        </w:tc>
      </w:tr>
      <w:tr w14:paraId="2D2DD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444FB60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2</w:t>
            </w:r>
          </w:p>
        </w:tc>
        <w:tc>
          <w:tcPr>
            <w:tcW w:w="2229" w:type="pct"/>
            <w:vAlign w:val="center"/>
          </w:tcPr>
          <w:p w14:paraId="4106877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手动紧急操作装置</w:t>
            </w:r>
          </w:p>
        </w:tc>
        <w:tc>
          <w:tcPr>
            <w:tcW w:w="2215" w:type="pct"/>
            <w:vAlign w:val="center"/>
          </w:tcPr>
          <w:p w14:paraId="32882CDC">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齐全、在指定位置</w:t>
            </w:r>
          </w:p>
        </w:tc>
      </w:tr>
      <w:tr w14:paraId="1FDCD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51949F8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3</w:t>
            </w:r>
          </w:p>
        </w:tc>
        <w:tc>
          <w:tcPr>
            <w:tcW w:w="2229" w:type="pct"/>
            <w:vAlign w:val="center"/>
          </w:tcPr>
          <w:p w14:paraId="4DB7E497">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曳引机</w:t>
            </w:r>
          </w:p>
        </w:tc>
        <w:tc>
          <w:tcPr>
            <w:tcW w:w="2215" w:type="pct"/>
            <w:vAlign w:val="center"/>
          </w:tcPr>
          <w:p w14:paraId="22C94EB2">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运行时无异常振动和异常声响</w:t>
            </w:r>
          </w:p>
        </w:tc>
      </w:tr>
      <w:tr w14:paraId="16808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75CAC0A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4</w:t>
            </w:r>
          </w:p>
        </w:tc>
        <w:tc>
          <w:tcPr>
            <w:tcW w:w="2229" w:type="pct"/>
            <w:vAlign w:val="center"/>
          </w:tcPr>
          <w:p w14:paraId="7E4CD513">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制动器各销轴部位</w:t>
            </w:r>
          </w:p>
        </w:tc>
        <w:tc>
          <w:tcPr>
            <w:tcW w:w="2215" w:type="pct"/>
            <w:vAlign w:val="center"/>
          </w:tcPr>
          <w:p w14:paraId="64972C0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润滑，动作灵活</w:t>
            </w:r>
          </w:p>
        </w:tc>
      </w:tr>
      <w:tr w14:paraId="40EA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5BE9377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5</w:t>
            </w:r>
          </w:p>
        </w:tc>
        <w:tc>
          <w:tcPr>
            <w:tcW w:w="2229" w:type="pct"/>
            <w:vAlign w:val="center"/>
          </w:tcPr>
          <w:p w14:paraId="1D02F9E7">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制动器间隙</w:t>
            </w:r>
          </w:p>
        </w:tc>
        <w:tc>
          <w:tcPr>
            <w:tcW w:w="2215" w:type="pct"/>
            <w:vAlign w:val="center"/>
          </w:tcPr>
          <w:p w14:paraId="1639C293">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打开时制动衬与制动轮不应发生摩擦</w:t>
            </w:r>
          </w:p>
        </w:tc>
      </w:tr>
      <w:tr w14:paraId="6FD45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76FDCAB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6</w:t>
            </w:r>
          </w:p>
        </w:tc>
        <w:tc>
          <w:tcPr>
            <w:tcW w:w="2229" w:type="pct"/>
            <w:vAlign w:val="center"/>
          </w:tcPr>
          <w:p w14:paraId="0158093C">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编码器</w:t>
            </w:r>
          </w:p>
        </w:tc>
        <w:tc>
          <w:tcPr>
            <w:tcW w:w="2215" w:type="pct"/>
            <w:vAlign w:val="center"/>
          </w:tcPr>
          <w:p w14:paraId="2967026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清洁、安装牢固</w:t>
            </w:r>
          </w:p>
        </w:tc>
      </w:tr>
      <w:tr w14:paraId="287F6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4046A5A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7</w:t>
            </w:r>
          </w:p>
        </w:tc>
        <w:tc>
          <w:tcPr>
            <w:tcW w:w="2229" w:type="pct"/>
            <w:vAlign w:val="center"/>
          </w:tcPr>
          <w:p w14:paraId="714CB813">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限速器各销轴部位</w:t>
            </w:r>
          </w:p>
        </w:tc>
        <w:tc>
          <w:tcPr>
            <w:tcW w:w="2215" w:type="pct"/>
            <w:vAlign w:val="center"/>
          </w:tcPr>
          <w:p w14:paraId="273E9FA6">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润滑，转动灵活；电气开关正常</w:t>
            </w:r>
          </w:p>
        </w:tc>
      </w:tr>
      <w:tr w14:paraId="1FFE8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3AE2E94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8</w:t>
            </w:r>
          </w:p>
        </w:tc>
        <w:tc>
          <w:tcPr>
            <w:tcW w:w="2229" w:type="pct"/>
            <w:vAlign w:val="center"/>
          </w:tcPr>
          <w:p w14:paraId="2E1C9DA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轿顶</w:t>
            </w:r>
          </w:p>
        </w:tc>
        <w:tc>
          <w:tcPr>
            <w:tcW w:w="2215" w:type="pct"/>
            <w:vAlign w:val="center"/>
          </w:tcPr>
          <w:p w14:paraId="1AD95E2C">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清洁，防护栏安全可靠</w:t>
            </w:r>
          </w:p>
        </w:tc>
      </w:tr>
      <w:tr w14:paraId="11F89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02C8E5B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9</w:t>
            </w:r>
          </w:p>
        </w:tc>
        <w:tc>
          <w:tcPr>
            <w:tcW w:w="2229" w:type="pct"/>
            <w:vAlign w:val="center"/>
          </w:tcPr>
          <w:p w14:paraId="702126D8">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轿顶检修开关、急停开关</w:t>
            </w:r>
          </w:p>
        </w:tc>
        <w:tc>
          <w:tcPr>
            <w:tcW w:w="2215" w:type="pct"/>
            <w:vAlign w:val="center"/>
          </w:tcPr>
          <w:p w14:paraId="42DC215C">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工作正常</w:t>
            </w:r>
          </w:p>
        </w:tc>
      </w:tr>
      <w:tr w14:paraId="42194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09EF7E9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10</w:t>
            </w:r>
          </w:p>
        </w:tc>
        <w:tc>
          <w:tcPr>
            <w:tcW w:w="2229" w:type="pct"/>
            <w:vAlign w:val="center"/>
          </w:tcPr>
          <w:p w14:paraId="43D892AB">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导靴上油杯</w:t>
            </w:r>
          </w:p>
        </w:tc>
        <w:tc>
          <w:tcPr>
            <w:tcW w:w="2215" w:type="pct"/>
            <w:vAlign w:val="center"/>
          </w:tcPr>
          <w:p w14:paraId="667F70D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吸油毛毡齐全，油量适宜，油杯无泄油</w:t>
            </w:r>
          </w:p>
        </w:tc>
      </w:tr>
      <w:tr w14:paraId="6FA92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5EC64CE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11</w:t>
            </w:r>
          </w:p>
        </w:tc>
        <w:tc>
          <w:tcPr>
            <w:tcW w:w="2229" w:type="pct"/>
            <w:vAlign w:val="center"/>
          </w:tcPr>
          <w:p w14:paraId="78811BB2">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对重块及其压板</w:t>
            </w:r>
          </w:p>
        </w:tc>
        <w:tc>
          <w:tcPr>
            <w:tcW w:w="2215" w:type="pct"/>
            <w:vAlign w:val="center"/>
          </w:tcPr>
          <w:p w14:paraId="0C107D71">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对重块无松动，压板紧固</w:t>
            </w:r>
          </w:p>
        </w:tc>
      </w:tr>
      <w:tr w14:paraId="7F69F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46A163E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12</w:t>
            </w:r>
          </w:p>
        </w:tc>
        <w:tc>
          <w:tcPr>
            <w:tcW w:w="2229" w:type="pct"/>
            <w:vAlign w:val="center"/>
          </w:tcPr>
          <w:p w14:paraId="3881AB58">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井道照明</w:t>
            </w:r>
          </w:p>
        </w:tc>
        <w:tc>
          <w:tcPr>
            <w:tcW w:w="2215" w:type="pct"/>
            <w:vAlign w:val="center"/>
          </w:tcPr>
          <w:p w14:paraId="61972B6E">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齐全、正常</w:t>
            </w:r>
          </w:p>
        </w:tc>
      </w:tr>
      <w:tr w14:paraId="69F1E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1FB5E49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13</w:t>
            </w:r>
          </w:p>
        </w:tc>
        <w:tc>
          <w:tcPr>
            <w:tcW w:w="2229" w:type="pct"/>
            <w:vAlign w:val="center"/>
          </w:tcPr>
          <w:p w14:paraId="200EB6BE">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轿厢照明、风扇、应急照明</w:t>
            </w:r>
          </w:p>
        </w:tc>
        <w:tc>
          <w:tcPr>
            <w:tcW w:w="2215" w:type="pct"/>
            <w:vAlign w:val="center"/>
          </w:tcPr>
          <w:p w14:paraId="6F855A9B">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工作正常</w:t>
            </w:r>
          </w:p>
        </w:tc>
      </w:tr>
      <w:tr w14:paraId="72A67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001F79F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14</w:t>
            </w:r>
          </w:p>
        </w:tc>
        <w:tc>
          <w:tcPr>
            <w:tcW w:w="2229" w:type="pct"/>
            <w:vAlign w:val="center"/>
          </w:tcPr>
          <w:p w14:paraId="5295EB91">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轿厢检修开关、急停开关</w:t>
            </w:r>
          </w:p>
        </w:tc>
        <w:tc>
          <w:tcPr>
            <w:tcW w:w="2215" w:type="pct"/>
            <w:vAlign w:val="center"/>
          </w:tcPr>
          <w:p w14:paraId="5C7AEB6C">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工作正常</w:t>
            </w:r>
          </w:p>
        </w:tc>
      </w:tr>
      <w:tr w14:paraId="2982E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78156E7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15</w:t>
            </w:r>
          </w:p>
        </w:tc>
        <w:tc>
          <w:tcPr>
            <w:tcW w:w="2229" w:type="pct"/>
            <w:vAlign w:val="center"/>
          </w:tcPr>
          <w:p w14:paraId="693CB25C">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轿内报警装置、对讲系统</w:t>
            </w:r>
          </w:p>
        </w:tc>
        <w:tc>
          <w:tcPr>
            <w:tcW w:w="2215" w:type="pct"/>
            <w:vAlign w:val="center"/>
          </w:tcPr>
          <w:p w14:paraId="5893647D">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工作正常</w:t>
            </w:r>
          </w:p>
        </w:tc>
      </w:tr>
      <w:tr w14:paraId="3CD6B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1EC7E79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16</w:t>
            </w:r>
          </w:p>
        </w:tc>
        <w:tc>
          <w:tcPr>
            <w:tcW w:w="2229" w:type="pct"/>
            <w:vAlign w:val="center"/>
          </w:tcPr>
          <w:p w14:paraId="760C34C3">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轿内显示、指令按钮</w:t>
            </w:r>
          </w:p>
        </w:tc>
        <w:tc>
          <w:tcPr>
            <w:tcW w:w="2215" w:type="pct"/>
            <w:vAlign w:val="center"/>
          </w:tcPr>
          <w:p w14:paraId="4D5123C9">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齐全、有效</w:t>
            </w:r>
          </w:p>
        </w:tc>
      </w:tr>
      <w:tr w14:paraId="05D64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13EE938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17</w:t>
            </w:r>
          </w:p>
        </w:tc>
        <w:tc>
          <w:tcPr>
            <w:tcW w:w="2229" w:type="pct"/>
            <w:vAlign w:val="center"/>
          </w:tcPr>
          <w:p w14:paraId="429F00F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轿门安全装置（安全触板，光幕、光电等）</w:t>
            </w:r>
          </w:p>
        </w:tc>
        <w:tc>
          <w:tcPr>
            <w:tcW w:w="2215" w:type="pct"/>
            <w:vAlign w:val="center"/>
          </w:tcPr>
          <w:p w14:paraId="68F47917">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功能有效</w:t>
            </w:r>
          </w:p>
        </w:tc>
      </w:tr>
      <w:tr w14:paraId="4653D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08C09F2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18</w:t>
            </w:r>
          </w:p>
        </w:tc>
        <w:tc>
          <w:tcPr>
            <w:tcW w:w="2229" w:type="pct"/>
            <w:vAlign w:val="center"/>
          </w:tcPr>
          <w:p w14:paraId="60A57F8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轿门门锁电气触点</w:t>
            </w:r>
          </w:p>
        </w:tc>
        <w:tc>
          <w:tcPr>
            <w:tcW w:w="2215" w:type="pct"/>
            <w:vAlign w:val="center"/>
          </w:tcPr>
          <w:p w14:paraId="481AC712">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清洁，触点接触良好，接线可靠</w:t>
            </w:r>
          </w:p>
        </w:tc>
      </w:tr>
      <w:tr w14:paraId="2FA51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18EABC6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19</w:t>
            </w:r>
          </w:p>
        </w:tc>
        <w:tc>
          <w:tcPr>
            <w:tcW w:w="2229" w:type="pct"/>
            <w:vAlign w:val="center"/>
          </w:tcPr>
          <w:p w14:paraId="00499681">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轿门运行</w:t>
            </w:r>
          </w:p>
        </w:tc>
        <w:tc>
          <w:tcPr>
            <w:tcW w:w="2215" w:type="pct"/>
            <w:vAlign w:val="center"/>
          </w:tcPr>
          <w:p w14:paraId="221F8E5C">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开启和关闭工作正常</w:t>
            </w:r>
          </w:p>
        </w:tc>
      </w:tr>
      <w:tr w14:paraId="3D523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6C1A92D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20</w:t>
            </w:r>
          </w:p>
        </w:tc>
        <w:tc>
          <w:tcPr>
            <w:tcW w:w="2229" w:type="pct"/>
            <w:vAlign w:val="center"/>
          </w:tcPr>
          <w:p w14:paraId="5281402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轿厢平层精度</w:t>
            </w:r>
          </w:p>
        </w:tc>
        <w:tc>
          <w:tcPr>
            <w:tcW w:w="2215" w:type="pct"/>
            <w:vAlign w:val="center"/>
          </w:tcPr>
          <w:p w14:paraId="43876C4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符合标准</w:t>
            </w:r>
          </w:p>
        </w:tc>
      </w:tr>
      <w:tr w14:paraId="064A0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15D5180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21</w:t>
            </w:r>
          </w:p>
        </w:tc>
        <w:tc>
          <w:tcPr>
            <w:tcW w:w="2229" w:type="pct"/>
            <w:vAlign w:val="center"/>
          </w:tcPr>
          <w:p w14:paraId="2B06D08E">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层站召唤、层楼显示</w:t>
            </w:r>
          </w:p>
        </w:tc>
        <w:tc>
          <w:tcPr>
            <w:tcW w:w="2215" w:type="pct"/>
            <w:vAlign w:val="center"/>
          </w:tcPr>
          <w:p w14:paraId="3F7BAA88">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齐全、有效</w:t>
            </w:r>
          </w:p>
        </w:tc>
      </w:tr>
      <w:tr w14:paraId="39813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5FF5468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22</w:t>
            </w:r>
          </w:p>
        </w:tc>
        <w:tc>
          <w:tcPr>
            <w:tcW w:w="2229" w:type="pct"/>
            <w:vAlign w:val="center"/>
          </w:tcPr>
          <w:p w14:paraId="5F9F0813">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层门地坎</w:t>
            </w:r>
          </w:p>
        </w:tc>
        <w:tc>
          <w:tcPr>
            <w:tcW w:w="2215" w:type="pct"/>
            <w:vAlign w:val="center"/>
          </w:tcPr>
          <w:p w14:paraId="73059DBC">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清洁</w:t>
            </w:r>
          </w:p>
        </w:tc>
      </w:tr>
      <w:tr w14:paraId="38E6D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2D3BDDD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23</w:t>
            </w:r>
          </w:p>
        </w:tc>
        <w:tc>
          <w:tcPr>
            <w:tcW w:w="2229" w:type="pct"/>
            <w:vAlign w:val="center"/>
          </w:tcPr>
          <w:p w14:paraId="6CB9F929">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层门自动关门装置</w:t>
            </w:r>
          </w:p>
        </w:tc>
        <w:tc>
          <w:tcPr>
            <w:tcW w:w="2215" w:type="pct"/>
            <w:vAlign w:val="center"/>
          </w:tcPr>
          <w:p w14:paraId="3598905B">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正常</w:t>
            </w:r>
          </w:p>
        </w:tc>
      </w:tr>
      <w:tr w14:paraId="657DD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0A52199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24</w:t>
            </w:r>
          </w:p>
        </w:tc>
        <w:tc>
          <w:tcPr>
            <w:tcW w:w="2229" w:type="pct"/>
            <w:vAlign w:val="center"/>
          </w:tcPr>
          <w:p w14:paraId="0AAC759F">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层门门锁自动复位</w:t>
            </w:r>
          </w:p>
        </w:tc>
        <w:tc>
          <w:tcPr>
            <w:tcW w:w="2215" w:type="pct"/>
            <w:vAlign w:val="center"/>
          </w:tcPr>
          <w:p w14:paraId="15291E58">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用层门钥匙打开手动开锁装置释放后，层门门锁能自动复位</w:t>
            </w:r>
          </w:p>
        </w:tc>
      </w:tr>
      <w:tr w14:paraId="1AB27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27C8138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25</w:t>
            </w:r>
          </w:p>
        </w:tc>
        <w:tc>
          <w:tcPr>
            <w:tcW w:w="2229" w:type="pct"/>
            <w:vAlign w:val="center"/>
          </w:tcPr>
          <w:p w14:paraId="41A1789C">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层门门锁电气触点</w:t>
            </w:r>
          </w:p>
        </w:tc>
        <w:tc>
          <w:tcPr>
            <w:tcW w:w="2215" w:type="pct"/>
            <w:vAlign w:val="center"/>
          </w:tcPr>
          <w:p w14:paraId="6A9CC15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清洁，接触触点良好，接线可靠</w:t>
            </w:r>
          </w:p>
        </w:tc>
      </w:tr>
      <w:tr w14:paraId="4FB33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4C20D3C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26</w:t>
            </w:r>
          </w:p>
        </w:tc>
        <w:tc>
          <w:tcPr>
            <w:tcW w:w="2229" w:type="pct"/>
            <w:vAlign w:val="center"/>
          </w:tcPr>
          <w:p w14:paraId="2268F1B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层门锁紧原件啮合长度</w:t>
            </w:r>
          </w:p>
        </w:tc>
        <w:tc>
          <w:tcPr>
            <w:tcW w:w="2215" w:type="pct"/>
            <w:vAlign w:val="center"/>
          </w:tcPr>
          <w:p w14:paraId="2F0E3926">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不小于7mm</w:t>
            </w:r>
          </w:p>
        </w:tc>
      </w:tr>
      <w:tr w14:paraId="5EF1F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28AD23A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27</w:t>
            </w:r>
          </w:p>
        </w:tc>
        <w:tc>
          <w:tcPr>
            <w:tcW w:w="2229" w:type="pct"/>
            <w:vAlign w:val="center"/>
          </w:tcPr>
          <w:p w14:paraId="153E2FC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底坑环境</w:t>
            </w:r>
          </w:p>
        </w:tc>
        <w:tc>
          <w:tcPr>
            <w:tcW w:w="2215" w:type="pct"/>
            <w:vAlign w:val="center"/>
          </w:tcPr>
          <w:p w14:paraId="0DBB211D">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清洁，无渗水、积水，照明正常</w:t>
            </w:r>
          </w:p>
        </w:tc>
      </w:tr>
      <w:tr w14:paraId="0D2FA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04A15D2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28</w:t>
            </w:r>
          </w:p>
        </w:tc>
        <w:tc>
          <w:tcPr>
            <w:tcW w:w="2229" w:type="pct"/>
            <w:vAlign w:val="center"/>
          </w:tcPr>
          <w:p w14:paraId="3D7FCBA1">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底坑急停开关</w:t>
            </w:r>
          </w:p>
        </w:tc>
        <w:tc>
          <w:tcPr>
            <w:tcW w:w="2215" w:type="pct"/>
            <w:vAlign w:val="center"/>
          </w:tcPr>
          <w:p w14:paraId="6AB3C23E">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工作正常</w:t>
            </w:r>
          </w:p>
        </w:tc>
      </w:tr>
      <w:tr w14:paraId="0D2EC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000" w:type="pct"/>
            <w:gridSpan w:val="3"/>
            <w:vAlign w:val="center"/>
          </w:tcPr>
          <w:p w14:paraId="792B4CD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b/>
                <w:sz w:val="24"/>
                <w:szCs w:val="24"/>
                <w:highlight w:val="none"/>
                <w14:ligatures w14:val="none"/>
              </w:rPr>
            </w:pPr>
            <w:r>
              <w:rPr>
                <w:rFonts w:hint="eastAsia" w:ascii="宋体" w:hAnsi="宋体" w:eastAsia="宋体" w:cs="Times New Roman"/>
                <w:b/>
                <w:sz w:val="24"/>
                <w:szCs w:val="24"/>
                <w:highlight w:val="none"/>
                <w14:ligatures w14:val="none"/>
              </w:rPr>
              <w:t>季度维保项目（内容）和要求（含半月）</w:t>
            </w:r>
          </w:p>
        </w:tc>
      </w:tr>
      <w:tr w14:paraId="1674F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55E3854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序号</w:t>
            </w:r>
          </w:p>
        </w:tc>
        <w:tc>
          <w:tcPr>
            <w:tcW w:w="2229" w:type="pct"/>
            <w:vAlign w:val="center"/>
          </w:tcPr>
          <w:p w14:paraId="147C318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维保项目（内容）</w:t>
            </w:r>
          </w:p>
        </w:tc>
        <w:tc>
          <w:tcPr>
            <w:tcW w:w="2215" w:type="pct"/>
            <w:vAlign w:val="center"/>
          </w:tcPr>
          <w:p w14:paraId="7B841DB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维保基本要求</w:t>
            </w:r>
          </w:p>
        </w:tc>
      </w:tr>
      <w:tr w14:paraId="5116D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2174DB9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1</w:t>
            </w:r>
          </w:p>
        </w:tc>
        <w:tc>
          <w:tcPr>
            <w:tcW w:w="2229" w:type="pct"/>
            <w:vAlign w:val="center"/>
          </w:tcPr>
          <w:p w14:paraId="1B18022D">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减速机润滑油</w:t>
            </w:r>
          </w:p>
        </w:tc>
        <w:tc>
          <w:tcPr>
            <w:tcW w:w="2215" w:type="pct"/>
            <w:vAlign w:val="center"/>
          </w:tcPr>
          <w:p w14:paraId="03182A2E">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油量适宜，除蜗杆伸出端外均无渗漏</w:t>
            </w:r>
          </w:p>
        </w:tc>
      </w:tr>
      <w:tr w14:paraId="5CFF9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7389A2F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2</w:t>
            </w:r>
          </w:p>
        </w:tc>
        <w:tc>
          <w:tcPr>
            <w:tcW w:w="2229" w:type="pct"/>
            <w:vAlign w:val="center"/>
          </w:tcPr>
          <w:p w14:paraId="023D214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制动衬</w:t>
            </w:r>
          </w:p>
        </w:tc>
        <w:tc>
          <w:tcPr>
            <w:tcW w:w="2215" w:type="pct"/>
            <w:vAlign w:val="center"/>
          </w:tcPr>
          <w:p w14:paraId="7E31F136">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清洁，磨损量不超过制造单位要求</w:t>
            </w:r>
          </w:p>
        </w:tc>
      </w:tr>
      <w:tr w14:paraId="0B77A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546BEBA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3</w:t>
            </w:r>
          </w:p>
        </w:tc>
        <w:tc>
          <w:tcPr>
            <w:tcW w:w="2229" w:type="pct"/>
            <w:vAlign w:val="center"/>
          </w:tcPr>
          <w:p w14:paraId="4B3CF50F">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制动脉冲发生器</w:t>
            </w:r>
          </w:p>
        </w:tc>
        <w:tc>
          <w:tcPr>
            <w:tcW w:w="2215" w:type="pct"/>
            <w:vAlign w:val="center"/>
          </w:tcPr>
          <w:p w14:paraId="7C92168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工作正常</w:t>
            </w:r>
          </w:p>
        </w:tc>
      </w:tr>
      <w:tr w14:paraId="003F9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0769247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4</w:t>
            </w:r>
          </w:p>
        </w:tc>
        <w:tc>
          <w:tcPr>
            <w:tcW w:w="2229" w:type="pct"/>
            <w:vAlign w:val="center"/>
          </w:tcPr>
          <w:p w14:paraId="67A7E4E8">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选层器动静触点</w:t>
            </w:r>
          </w:p>
        </w:tc>
        <w:tc>
          <w:tcPr>
            <w:tcW w:w="2215" w:type="pct"/>
            <w:vAlign w:val="center"/>
          </w:tcPr>
          <w:p w14:paraId="2F057AA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清洁，无烧蚀</w:t>
            </w:r>
          </w:p>
        </w:tc>
      </w:tr>
      <w:tr w14:paraId="14F91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21D831C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5</w:t>
            </w:r>
          </w:p>
        </w:tc>
        <w:tc>
          <w:tcPr>
            <w:tcW w:w="2229" w:type="pct"/>
            <w:vAlign w:val="center"/>
          </w:tcPr>
          <w:p w14:paraId="7DF96552">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曳引轮槽、曳引钢丝绳</w:t>
            </w:r>
          </w:p>
        </w:tc>
        <w:tc>
          <w:tcPr>
            <w:tcW w:w="2215" w:type="pct"/>
            <w:vAlign w:val="center"/>
          </w:tcPr>
          <w:p w14:paraId="63B0E975">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清洁，无严重油腻，张力均匀</w:t>
            </w:r>
          </w:p>
        </w:tc>
      </w:tr>
      <w:tr w14:paraId="10528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323F39C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6</w:t>
            </w:r>
          </w:p>
        </w:tc>
        <w:tc>
          <w:tcPr>
            <w:tcW w:w="2229" w:type="pct"/>
            <w:vAlign w:val="center"/>
          </w:tcPr>
          <w:p w14:paraId="3E97AD01">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限速器轮槽、限速器钢丝绳</w:t>
            </w:r>
          </w:p>
        </w:tc>
        <w:tc>
          <w:tcPr>
            <w:tcW w:w="2215" w:type="pct"/>
            <w:vAlign w:val="center"/>
          </w:tcPr>
          <w:p w14:paraId="5BD4DDEC">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清洁，无严重油腻</w:t>
            </w:r>
          </w:p>
        </w:tc>
      </w:tr>
      <w:tr w14:paraId="576DB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496E89D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7</w:t>
            </w:r>
          </w:p>
        </w:tc>
        <w:tc>
          <w:tcPr>
            <w:tcW w:w="2229" w:type="pct"/>
            <w:vAlign w:val="center"/>
          </w:tcPr>
          <w:p w14:paraId="30A9D66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靴衬、滚轮</w:t>
            </w:r>
          </w:p>
        </w:tc>
        <w:tc>
          <w:tcPr>
            <w:tcW w:w="2215" w:type="pct"/>
            <w:vAlign w:val="center"/>
          </w:tcPr>
          <w:p w14:paraId="7E928E65">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清洁，磨损量不超过制造单位要求</w:t>
            </w:r>
          </w:p>
        </w:tc>
      </w:tr>
      <w:tr w14:paraId="0CA2E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2635C82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8</w:t>
            </w:r>
          </w:p>
        </w:tc>
        <w:tc>
          <w:tcPr>
            <w:tcW w:w="2229" w:type="pct"/>
            <w:vAlign w:val="center"/>
          </w:tcPr>
          <w:p w14:paraId="784B78B2">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验证轿门关闭的电气安全装置</w:t>
            </w:r>
          </w:p>
        </w:tc>
        <w:tc>
          <w:tcPr>
            <w:tcW w:w="2215" w:type="pct"/>
            <w:vAlign w:val="center"/>
          </w:tcPr>
          <w:p w14:paraId="02623549">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工作正常</w:t>
            </w:r>
          </w:p>
        </w:tc>
      </w:tr>
      <w:tr w14:paraId="4DFE5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60435BC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9</w:t>
            </w:r>
          </w:p>
        </w:tc>
        <w:tc>
          <w:tcPr>
            <w:tcW w:w="2229" w:type="pct"/>
            <w:vAlign w:val="center"/>
          </w:tcPr>
          <w:p w14:paraId="13255AA6">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层门、轿门系统中传动钢丝绳、链条、胶带</w:t>
            </w:r>
          </w:p>
        </w:tc>
        <w:tc>
          <w:tcPr>
            <w:tcW w:w="2215" w:type="pct"/>
            <w:vAlign w:val="center"/>
          </w:tcPr>
          <w:p w14:paraId="1B1349AE">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按照制造单位要求进行清洁、调整</w:t>
            </w:r>
          </w:p>
        </w:tc>
      </w:tr>
      <w:tr w14:paraId="00280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3100813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10</w:t>
            </w:r>
          </w:p>
        </w:tc>
        <w:tc>
          <w:tcPr>
            <w:tcW w:w="2229" w:type="pct"/>
            <w:vAlign w:val="center"/>
          </w:tcPr>
          <w:p w14:paraId="7B6A230C">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层门门导靴</w:t>
            </w:r>
          </w:p>
        </w:tc>
        <w:tc>
          <w:tcPr>
            <w:tcW w:w="2215" w:type="pct"/>
            <w:vAlign w:val="center"/>
          </w:tcPr>
          <w:p w14:paraId="31CF7E2B">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磨损量不超过制造单位要求</w:t>
            </w:r>
          </w:p>
        </w:tc>
      </w:tr>
      <w:tr w14:paraId="06FBB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1A8940A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11</w:t>
            </w:r>
          </w:p>
        </w:tc>
        <w:tc>
          <w:tcPr>
            <w:tcW w:w="2229" w:type="pct"/>
            <w:vAlign w:val="center"/>
          </w:tcPr>
          <w:p w14:paraId="1E8328B5">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消防开关</w:t>
            </w:r>
          </w:p>
        </w:tc>
        <w:tc>
          <w:tcPr>
            <w:tcW w:w="2215" w:type="pct"/>
            <w:vAlign w:val="center"/>
          </w:tcPr>
          <w:p w14:paraId="28BD734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工作正常，功能有效</w:t>
            </w:r>
          </w:p>
        </w:tc>
      </w:tr>
      <w:tr w14:paraId="588B5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019AA19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12</w:t>
            </w:r>
          </w:p>
        </w:tc>
        <w:tc>
          <w:tcPr>
            <w:tcW w:w="2229" w:type="pct"/>
            <w:vAlign w:val="center"/>
          </w:tcPr>
          <w:p w14:paraId="2436334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耗能缓冲器</w:t>
            </w:r>
          </w:p>
        </w:tc>
        <w:tc>
          <w:tcPr>
            <w:tcW w:w="2215" w:type="pct"/>
            <w:vAlign w:val="center"/>
          </w:tcPr>
          <w:p w14:paraId="4E597286">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电气安全装置功能有效，油量适宜，柱塞无锈蚀</w:t>
            </w:r>
          </w:p>
        </w:tc>
      </w:tr>
      <w:tr w14:paraId="07116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742A6F6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13</w:t>
            </w:r>
          </w:p>
        </w:tc>
        <w:tc>
          <w:tcPr>
            <w:tcW w:w="2229" w:type="pct"/>
            <w:vAlign w:val="center"/>
          </w:tcPr>
          <w:p w14:paraId="1B0005A7">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限速器涨紧轮装置和电气安全装置</w:t>
            </w:r>
          </w:p>
        </w:tc>
        <w:tc>
          <w:tcPr>
            <w:tcW w:w="2215" w:type="pct"/>
            <w:vAlign w:val="center"/>
          </w:tcPr>
          <w:p w14:paraId="6AE5A5AB">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工作正常</w:t>
            </w:r>
          </w:p>
        </w:tc>
      </w:tr>
      <w:tr w14:paraId="3C63C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5000" w:type="pct"/>
            <w:gridSpan w:val="3"/>
            <w:vAlign w:val="center"/>
          </w:tcPr>
          <w:p w14:paraId="42C28B3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b/>
                <w:sz w:val="24"/>
                <w:szCs w:val="24"/>
                <w:highlight w:val="none"/>
                <w14:ligatures w14:val="none"/>
              </w:rPr>
            </w:pPr>
            <w:r>
              <w:rPr>
                <w:rFonts w:hint="eastAsia" w:ascii="宋体" w:hAnsi="宋体" w:eastAsia="宋体" w:cs="Times New Roman"/>
                <w:b/>
                <w:sz w:val="24"/>
                <w:szCs w:val="24"/>
                <w:highlight w:val="none"/>
                <w14:ligatures w14:val="none"/>
              </w:rPr>
              <w:t>半年维保项目（内容）和要求（含季度）</w:t>
            </w:r>
          </w:p>
        </w:tc>
      </w:tr>
      <w:tr w14:paraId="3FE22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5A409B8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序号</w:t>
            </w:r>
          </w:p>
        </w:tc>
        <w:tc>
          <w:tcPr>
            <w:tcW w:w="2229" w:type="pct"/>
            <w:vAlign w:val="center"/>
          </w:tcPr>
          <w:p w14:paraId="7B9B772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维保项目（内容）</w:t>
            </w:r>
          </w:p>
        </w:tc>
        <w:tc>
          <w:tcPr>
            <w:tcW w:w="2215" w:type="pct"/>
            <w:vAlign w:val="center"/>
          </w:tcPr>
          <w:p w14:paraId="1636658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维保基本要求</w:t>
            </w:r>
          </w:p>
        </w:tc>
      </w:tr>
      <w:tr w14:paraId="12072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612422F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1</w:t>
            </w:r>
          </w:p>
        </w:tc>
        <w:tc>
          <w:tcPr>
            <w:tcW w:w="2229" w:type="pct"/>
            <w:vAlign w:val="center"/>
          </w:tcPr>
          <w:p w14:paraId="425F67EE">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电动机与减速机联轴器螺栓</w:t>
            </w:r>
          </w:p>
        </w:tc>
        <w:tc>
          <w:tcPr>
            <w:tcW w:w="2215" w:type="pct"/>
            <w:vAlign w:val="center"/>
          </w:tcPr>
          <w:p w14:paraId="6122E063">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无松动</w:t>
            </w:r>
          </w:p>
        </w:tc>
      </w:tr>
      <w:tr w14:paraId="5E480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37A4F91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2</w:t>
            </w:r>
          </w:p>
        </w:tc>
        <w:tc>
          <w:tcPr>
            <w:tcW w:w="2229" w:type="pct"/>
            <w:vAlign w:val="center"/>
          </w:tcPr>
          <w:p w14:paraId="4EF4B7C1">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曳引轮、导向轮轴承部</w:t>
            </w:r>
          </w:p>
        </w:tc>
        <w:tc>
          <w:tcPr>
            <w:tcW w:w="2215" w:type="pct"/>
            <w:vAlign w:val="center"/>
          </w:tcPr>
          <w:p w14:paraId="1D3A3D22">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无异常声，无振动，润滑良好</w:t>
            </w:r>
          </w:p>
        </w:tc>
      </w:tr>
      <w:tr w14:paraId="6175F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0C8A980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3</w:t>
            </w:r>
          </w:p>
        </w:tc>
        <w:tc>
          <w:tcPr>
            <w:tcW w:w="2229" w:type="pct"/>
            <w:vAlign w:val="center"/>
          </w:tcPr>
          <w:p w14:paraId="3BF72606">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曳引轮槽</w:t>
            </w:r>
          </w:p>
        </w:tc>
        <w:tc>
          <w:tcPr>
            <w:tcW w:w="2215" w:type="pct"/>
            <w:vAlign w:val="center"/>
          </w:tcPr>
          <w:p w14:paraId="137A9A16">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磨损量不超过制造单位要求</w:t>
            </w:r>
          </w:p>
        </w:tc>
      </w:tr>
      <w:tr w14:paraId="3AD32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04EB583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4</w:t>
            </w:r>
          </w:p>
        </w:tc>
        <w:tc>
          <w:tcPr>
            <w:tcW w:w="2229" w:type="pct"/>
            <w:vAlign w:val="center"/>
          </w:tcPr>
          <w:p w14:paraId="53A35A58">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制动器上检测开关</w:t>
            </w:r>
          </w:p>
        </w:tc>
        <w:tc>
          <w:tcPr>
            <w:tcW w:w="2215" w:type="pct"/>
            <w:vAlign w:val="center"/>
          </w:tcPr>
          <w:p w14:paraId="3CCDB630">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工作正常，制动器动作可靠</w:t>
            </w:r>
          </w:p>
        </w:tc>
      </w:tr>
      <w:tr w14:paraId="3D7B3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52D4CF9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5</w:t>
            </w:r>
          </w:p>
        </w:tc>
        <w:tc>
          <w:tcPr>
            <w:tcW w:w="2229" w:type="pct"/>
            <w:vAlign w:val="center"/>
          </w:tcPr>
          <w:p w14:paraId="492D1F6F">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控制柜内各接线端子</w:t>
            </w:r>
          </w:p>
        </w:tc>
        <w:tc>
          <w:tcPr>
            <w:tcW w:w="2215" w:type="pct"/>
            <w:vAlign w:val="center"/>
          </w:tcPr>
          <w:p w14:paraId="631BD30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各接线紧固、整齐，线号齐全清晰</w:t>
            </w:r>
          </w:p>
        </w:tc>
      </w:tr>
      <w:tr w14:paraId="08D60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3BF943E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6</w:t>
            </w:r>
          </w:p>
        </w:tc>
        <w:tc>
          <w:tcPr>
            <w:tcW w:w="2229" w:type="pct"/>
            <w:vAlign w:val="center"/>
          </w:tcPr>
          <w:p w14:paraId="64ADCD27">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控制柜各仪表</w:t>
            </w:r>
          </w:p>
        </w:tc>
        <w:tc>
          <w:tcPr>
            <w:tcW w:w="2215" w:type="pct"/>
            <w:vAlign w:val="center"/>
          </w:tcPr>
          <w:p w14:paraId="7AA436C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显示正确</w:t>
            </w:r>
          </w:p>
        </w:tc>
      </w:tr>
      <w:tr w14:paraId="1E4C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1627BC5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7</w:t>
            </w:r>
          </w:p>
        </w:tc>
        <w:tc>
          <w:tcPr>
            <w:tcW w:w="2229" w:type="pct"/>
            <w:vAlign w:val="center"/>
          </w:tcPr>
          <w:p w14:paraId="0D71B259">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井道、对重、轿顶各反绳轮轴承部</w:t>
            </w:r>
          </w:p>
        </w:tc>
        <w:tc>
          <w:tcPr>
            <w:tcW w:w="2215" w:type="pct"/>
            <w:vAlign w:val="center"/>
          </w:tcPr>
          <w:p w14:paraId="5DD3B827">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无异常声，无振动，润滑良好</w:t>
            </w:r>
          </w:p>
        </w:tc>
      </w:tr>
      <w:tr w14:paraId="5F485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7B318B0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8</w:t>
            </w:r>
          </w:p>
        </w:tc>
        <w:tc>
          <w:tcPr>
            <w:tcW w:w="2229" w:type="pct"/>
            <w:vAlign w:val="center"/>
          </w:tcPr>
          <w:p w14:paraId="36B0A268">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曳引绳、补偿绳</w:t>
            </w:r>
          </w:p>
        </w:tc>
        <w:tc>
          <w:tcPr>
            <w:tcW w:w="2215" w:type="pct"/>
            <w:vAlign w:val="center"/>
          </w:tcPr>
          <w:p w14:paraId="31532F3F">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磨损量、断丝数不超过要求</w:t>
            </w:r>
          </w:p>
        </w:tc>
      </w:tr>
      <w:tr w14:paraId="0DFDE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7563243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9</w:t>
            </w:r>
          </w:p>
        </w:tc>
        <w:tc>
          <w:tcPr>
            <w:tcW w:w="2229" w:type="pct"/>
            <w:vAlign w:val="center"/>
          </w:tcPr>
          <w:p w14:paraId="77709C5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曳引绳绳头组合</w:t>
            </w:r>
          </w:p>
        </w:tc>
        <w:tc>
          <w:tcPr>
            <w:tcW w:w="2215" w:type="pct"/>
            <w:vAlign w:val="center"/>
          </w:tcPr>
          <w:p w14:paraId="362A409F">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螺母无松动</w:t>
            </w:r>
          </w:p>
        </w:tc>
      </w:tr>
      <w:tr w14:paraId="37FC5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5FDC124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10</w:t>
            </w:r>
          </w:p>
        </w:tc>
        <w:tc>
          <w:tcPr>
            <w:tcW w:w="2229" w:type="pct"/>
            <w:vAlign w:val="center"/>
          </w:tcPr>
          <w:p w14:paraId="18B5ED69">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限速器钢丝绳</w:t>
            </w:r>
          </w:p>
        </w:tc>
        <w:tc>
          <w:tcPr>
            <w:tcW w:w="2215" w:type="pct"/>
            <w:vAlign w:val="center"/>
          </w:tcPr>
          <w:p w14:paraId="166190C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磨损量、断丝数不超过制造单位要求</w:t>
            </w:r>
          </w:p>
        </w:tc>
      </w:tr>
      <w:tr w14:paraId="4498B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67E24AC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11</w:t>
            </w:r>
          </w:p>
        </w:tc>
        <w:tc>
          <w:tcPr>
            <w:tcW w:w="2229" w:type="pct"/>
            <w:vAlign w:val="center"/>
          </w:tcPr>
          <w:p w14:paraId="6F5C44CE">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层门、轿门门扇</w:t>
            </w:r>
          </w:p>
        </w:tc>
        <w:tc>
          <w:tcPr>
            <w:tcW w:w="2215" w:type="pct"/>
            <w:vAlign w:val="center"/>
          </w:tcPr>
          <w:p w14:paraId="41C884B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门扇各相关间隙符合要求</w:t>
            </w:r>
          </w:p>
        </w:tc>
      </w:tr>
      <w:tr w14:paraId="06878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30CB609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12</w:t>
            </w:r>
          </w:p>
        </w:tc>
        <w:tc>
          <w:tcPr>
            <w:tcW w:w="2229" w:type="pct"/>
            <w:vAlign w:val="center"/>
          </w:tcPr>
          <w:p w14:paraId="05461412">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对重缓冲距</w:t>
            </w:r>
          </w:p>
        </w:tc>
        <w:tc>
          <w:tcPr>
            <w:tcW w:w="2215" w:type="pct"/>
            <w:vAlign w:val="center"/>
          </w:tcPr>
          <w:p w14:paraId="6C7CB062">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符合标准</w:t>
            </w:r>
          </w:p>
        </w:tc>
      </w:tr>
      <w:tr w14:paraId="7998D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179826C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13</w:t>
            </w:r>
          </w:p>
        </w:tc>
        <w:tc>
          <w:tcPr>
            <w:tcW w:w="2229" w:type="pct"/>
            <w:vAlign w:val="center"/>
          </w:tcPr>
          <w:p w14:paraId="43152EC9">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补偿链（绳）与轿厢、对重接合处</w:t>
            </w:r>
          </w:p>
        </w:tc>
        <w:tc>
          <w:tcPr>
            <w:tcW w:w="2215" w:type="pct"/>
            <w:vAlign w:val="center"/>
          </w:tcPr>
          <w:p w14:paraId="1EB0A439">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固定、无松动</w:t>
            </w:r>
          </w:p>
        </w:tc>
      </w:tr>
      <w:tr w14:paraId="026F9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76BB872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14</w:t>
            </w:r>
          </w:p>
        </w:tc>
        <w:tc>
          <w:tcPr>
            <w:tcW w:w="2229" w:type="pct"/>
            <w:vAlign w:val="center"/>
          </w:tcPr>
          <w:p w14:paraId="133C092F">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上下极限开关</w:t>
            </w:r>
          </w:p>
        </w:tc>
        <w:tc>
          <w:tcPr>
            <w:tcW w:w="2215" w:type="pct"/>
            <w:vAlign w:val="center"/>
          </w:tcPr>
          <w:p w14:paraId="0138FDDC">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工作正常</w:t>
            </w:r>
          </w:p>
        </w:tc>
      </w:tr>
      <w:tr w14:paraId="759FB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5000" w:type="pct"/>
            <w:gridSpan w:val="3"/>
            <w:vAlign w:val="center"/>
          </w:tcPr>
          <w:p w14:paraId="0D82FFE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b/>
                <w:sz w:val="24"/>
                <w:szCs w:val="24"/>
                <w:highlight w:val="none"/>
                <w14:ligatures w14:val="none"/>
              </w:rPr>
            </w:pPr>
            <w:r>
              <w:rPr>
                <w:rFonts w:hint="eastAsia" w:ascii="宋体" w:hAnsi="宋体" w:eastAsia="宋体" w:cs="Times New Roman"/>
                <w:b/>
                <w:sz w:val="24"/>
                <w:szCs w:val="24"/>
                <w:highlight w:val="none"/>
                <w14:ligatures w14:val="none"/>
              </w:rPr>
              <w:t>年度维保项目（内容）和 要求（含半年）</w:t>
            </w:r>
          </w:p>
        </w:tc>
      </w:tr>
      <w:tr w14:paraId="5A9EC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0A6724E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序号</w:t>
            </w:r>
          </w:p>
        </w:tc>
        <w:tc>
          <w:tcPr>
            <w:tcW w:w="2229" w:type="pct"/>
            <w:vAlign w:val="center"/>
          </w:tcPr>
          <w:p w14:paraId="31FFF39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维保项目（内容）</w:t>
            </w:r>
          </w:p>
        </w:tc>
        <w:tc>
          <w:tcPr>
            <w:tcW w:w="2215" w:type="pct"/>
            <w:vAlign w:val="center"/>
          </w:tcPr>
          <w:p w14:paraId="43316FE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维保基本要求</w:t>
            </w:r>
          </w:p>
        </w:tc>
      </w:tr>
      <w:tr w14:paraId="4177A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196ABF6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1</w:t>
            </w:r>
          </w:p>
        </w:tc>
        <w:tc>
          <w:tcPr>
            <w:tcW w:w="2229" w:type="pct"/>
            <w:vAlign w:val="center"/>
          </w:tcPr>
          <w:p w14:paraId="2F3E7B83">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减速机润滑油</w:t>
            </w:r>
          </w:p>
        </w:tc>
        <w:tc>
          <w:tcPr>
            <w:tcW w:w="2215" w:type="pct"/>
            <w:vAlign w:val="center"/>
          </w:tcPr>
          <w:p w14:paraId="0B150BF0">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按照制造单位要求适时更换，保证油质符合要求</w:t>
            </w:r>
          </w:p>
        </w:tc>
      </w:tr>
      <w:tr w14:paraId="554CA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25E5B9B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2</w:t>
            </w:r>
          </w:p>
        </w:tc>
        <w:tc>
          <w:tcPr>
            <w:tcW w:w="2229" w:type="pct"/>
            <w:vAlign w:val="center"/>
          </w:tcPr>
          <w:p w14:paraId="79137D38">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控制柜接触器，继电器触点</w:t>
            </w:r>
          </w:p>
        </w:tc>
        <w:tc>
          <w:tcPr>
            <w:tcW w:w="2215" w:type="pct"/>
            <w:vAlign w:val="center"/>
          </w:tcPr>
          <w:p w14:paraId="7BB7CD51">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接触良好</w:t>
            </w:r>
          </w:p>
        </w:tc>
      </w:tr>
      <w:tr w14:paraId="4CBF5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78860E3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3</w:t>
            </w:r>
          </w:p>
        </w:tc>
        <w:tc>
          <w:tcPr>
            <w:tcW w:w="2229" w:type="pct"/>
            <w:vAlign w:val="center"/>
          </w:tcPr>
          <w:p w14:paraId="49DB8E99">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制动器铁芯（柱塞）</w:t>
            </w:r>
          </w:p>
        </w:tc>
        <w:tc>
          <w:tcPr>
            <w:tcW w:w="2215" w:type="pct"/>
            <w:vAlign w:val="center"/>
          </w:tcPr>
          <w:p w14:paraId="06FA55EF">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进行清洁、润滑、检查，磨损量不超过制造单位要求</w:t>
            </w:r>
          </w:p>
        </w:tc>
      </w:tr>
      <w:tr w14:paraId="53359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6373459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4</w:t>
            </w:r>
          </w:p>
        </w:tc>
        <w:tc>
          <w:tcPr>
            <w:tcW w:w="2229" w:type="pct"/>
            <w:vAlign w:val="center"/>
          </w:tcPr>
          <w:p w14:paraId="58421A6F">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制动器制动弹簧压缩量</w:t>
            </w:r>
          </w:p>
        </w:tc>
        <w:tc>
          <w:tcPr>
            <w:tcW w:w="2215" w:type="pct"/>
            <w:vAlign w:val="center"/>
          </w:tcPr>
          <w:p w14:paraId="7AFCE6F8">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符合制造单位要求，保持有足够的制动力</w:t>
            </w:r>
          </w:p>
        </w:tc>
      </w:tr>
      <w:tr w14:paraId="6336D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4B2ED87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5</w:t>
            </w:r>
          </w:p>
        </w:tc>
        <w:tc>
          <w:tcPr>
            <w:tcW w:w="2229" w:type="pct"/>
            <w:vAlign w:val="center"/>
          </w:tcPr>
          <w:p w14:paraId="5F345EB2">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导电回路绝缘性能测试</w:t>
            </w:r>
          </w:p>
        </w:tc>
        <w:tc>
          <w:tcPr>
            <w:tcW w:w="2215" w:type="pct"/>
            <w:vAlign w:val="center"/>
          </w:tcPr>
          <w:p w14:paraId="7721B557">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符合标准</w:t>
            </w:r>
          </w:p>
        </w:tc>
      </w:tr>
      <w:tr w14:paraId="42083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49540A4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6</w:t>
            </w:r>
          </w:p>
        </w:tc>
        <w:tc>
          <w:tcPr>
            <w:tcW w:w="2229" w:type="pct"/>
            <w:vAlign w:val="center"/>
          </w:tcPr>
          <w:p w14:paraId="381A5A0C">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限速器安全钳联动试验（每2年进行一次限速器动作速度校验）</w:t>
            </w:r>
          </w:p>
        </w:tc>
        <w:tc>
          <w:tcPr>
            <w:tcW w:w="2215" w:type="pct"/>
            <w:vAlign w:val="center"/>
          </w:tcPr>
          <w:p w14:paraId="65FD508E">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工作正常</w:t>
            </w:r>
          </w:p>
        </w:tc>
      </w:tr>
      <w:tr w14:paraId="62976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50DB431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7</w:t>
            </w:r>
          </w:p>
        </w:tc>
        <w:tc>
          <w:tcPr>
            <w:tcW w:w="2229" w:type="pct"/>
            <w:vAlign w:val="center"/>
          </w:tcPr>
          <w:p w14:paraId="06A8D7EB">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上行超速保护装置动作试验</w:t>
            </w:r>
          </w:p>
        </w:tc>
        <w:tc>
          <w:tcPr>
            <w:tcW w:w="2215" w:type="pct"/>
            <w:vAlign w:val="center"/>
          </w:tcPr>
          <w:p w14:paraId="167005B3">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工作正常</w:t>
            </w:r>
          </w:p>
        </w:tc>
      </w:tr>
      <w:tr w14:paraId="690E3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6574857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8</w:t>
            </w:r>
          </w:p>
        </w:tc>
        <w:tc>
          <w:tcPr>
            <w:tcW w:w="2229" w:type="pct"/>
            <w:vAlign w:val="center"/>
          </w:tcPr>
          <w:p w14:paraId="4231406F">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轿顶、轿厢架、轿门及其附件安装螺栓</w:t>
            </w:r>
          </w:p>
        </w:tc>
        <w:tc>
          <w:tcPr>
            <w:tcW w:w="2215" w:type="pct"/>
            <w:vAlign w:val="center"/>
          </w:tcPr>
          <w:p w14:paraId="7681B51E">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紧固</w:t>
            </w:r>
          </w:p>
        </w:tc>
      </w:tr>
      <w:tr w14:paraId="52A56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61176A2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9</w:t>
            </w:r>
          </w:p>
        </w:tc>
        <w:tc>
          <w:tcPr>
            <w:tcW w:w="2229" w:type="pct"/>
            <w:vAlign w:val="center"/>
          </w:tcPr>
          <w:p w14:paraId="5A4F455C">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轿厢和对重的导轨支架</w:t>
            </w:r>
          </w:p>
        </w:tc>
        <w:tc>
          <w:tcPr>
            <w:tcW w:w="2215" w:type="pct"/>
            <w:vAlign w:val="center"/>
          </w:tcPr>
          <w:p w14:paraId="2E24BE4D">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固定，无松动</w:t>
            </w:r>
          </w:p>
        </w:tc>
      </w:tr>
      <w:tr w14:paraId="77C91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2F93F9D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10</w:t>
            </w:r>
          </w:p>
        </w:tc>
        <w:tc>
          <w:tcPr>
            <w:tcW w:w="2229" w:type="pct"/>
            <w:vAlign w:val="center"/>
          </w:tcPr>
          <w:p w14:paraId="5AE4141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轿厢和对重的导轨</w:t>
            </w:r>
          </w:p>
        </w:tc>
        <w:tc>
          <w:tcPr>
            <w:tcW w:w="2215" w:type="pct"/>
            <w:vAlign w:val="center"/>
          </w:tcPr>
          <w:p w14:paraId="7AE329D7">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清洁，压板牢固</w:t>
            </w:r>
          </w:p>
        </w:tc>
      </w:tr>
      <w:tr w14:paraId="10897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778AA77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11</w:t>
            </w:r>
          </w:p>
        </w:tc>
        <w:tc>
          <w:tcPr>
            <w:tcW w:w="2229" w:type="pct"/>
            <w:vAlign w:val="center"/>
          </w:tcPr>
          <w:p w14:paraId="1D4827AD">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随行电缆</w:t>
            </w:r>
          </w:p>
        </w:tc>
        <w:tc>
          <w:tcPr>
            <w:tcW w:w="2215" w:type="pct"/>
            <w:vAlign w:val="center"/>
          </w:tcPr>
          <w:p w14:paraId="7426D36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无损伤</w:t>
            </w:r>
          </w:p>
        </w:tc>
      </w:tr>
      <w:tr w14:paraId="39BDF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0408246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12</w:t>
            </w:r>
          </w:p>
        </w:tc>
        <w:tc>
          <w:tcPr>
            <w:tcW w:w="2229" w:type="pct"/>
            <w:vAlign w:val="center"/>
          </w:tcPr>
          <w:p w14:paraId="4768A1DC">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层门装置和地坎</w:t>
            </w:r>
          </w:p>
        </w:tc>
        <w:tc>
          <w:tcPr>
            <w:tcW w:w="2215" w:type="pct"/>
            <w:vAlign w:val="center"/>
          </w:tcPr>
          <w:p w14:paraId="14166218">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无影响正常使用的变形，各安装螺栓紧固</w:t>
            </w:r>
          </w:p>
        </w:tc>
      </w:tr>
      <w:tr w14:paraId="5A738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48F212C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13</w:t>
            </w:r>
          </w:p>
        </w:tc>
        <w:tc>
          <w:tcPr>
            <w:tcW w:w="2229" w:type="pct"/>
            <w:vAlign w:val="center"/>
          </w:tcPr>
          <w:p w14:paraId="09C6F1B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轿厢称重装置</w:t>
            </w:r>
          </w:p>
        </w:tc>
        <w:tc>
          <w:tcPr>
            <w:tcW w:w="2215" w:type="pct"/>
            <w:vAlign w:val="center"/>
          </w:tcPr>
          <w:p w14:paraId="30341E19">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准确有效</w:t>
            </w:r>
          </w:p>
        </w:tc>
      </w:tr>
      <w:tr w14:paraId="3EEBA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1C37D12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14</w:t>
            </w:r>
          </w:p>
        </w:tc>
        <w:tc>
          <w:tcPr>
            <w:tcW w:w="2229" w:type="pct"/>
            <w:vAlign w:val="center"/>
          </w:tcPr>
          <w:p w14:paraId="245F1691">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安全钳钳座</w:t>
            </w:r>
          </w:p>
        </w:tc>
        <w:tc>
          <w:tcPr>
            <w:tcW w:w="2215" w:type="pct"/>
            <w:vAlign w:val="center"/>
          </w:tcPr>
          <w:p w14:paraId="6EF16CE6">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固定，无松动</w:t>
            </w:r>
          </w:p>
        </w:tc>
      </w:tr>
      <w:tr w14:paraId="1BD01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7114656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15</w:t>
            </w:r>
          </w:p>
        </w:tc>
        <w:tc>
          <w:tcPr>
            <w:tcW w:w="2229" w:type="pct"/>
            <w:vAlign w:val="center"/>
          </w:tcPr>
          <w:p w14:paraId="3682F26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轿底各安装螺栓</w:t>
            </w:r>
          </w:p>
        </w:tc>
        <w:tc>
          <w:tcPr>
            <w:tcW w:w="2215" w:type="pct"/>
            <w:vAlign w:val="center"/>
          </w:tcPr>
          <w:p w14:paraId="5899B560">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紧固</w:t>
            </w:r>
          </w:p>
        </w:tc>
      </w:tr>
      <w:tr w14:paraId="1B86C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18E59D6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16</w:t>
            </w:r>
          </w:p>
        </w:tc>
        <w:tc>
          <w:tcPr>
            <w:tcW w:w="2229" w:type="pct"/>
            <w:vAlign w:val="center"/>
          </w:tcPr>
          <w:p w14:paraId="3BD3773E">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缓冲器</w:t>
            </w:r>
          </w:p>
        </w:tc>
        <w:tc>
          <w:tcPr>
            <w:tcW w:w="2215" w:type="pct"/>
            <w:vAlign w:val="center"/>
          </w:tcPr>
          <w:p w14:paraId="3A9259AB">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固定，无松动</w:t>
            </w:r>
          </w:p>
        </w:tc>
      </w:tr>
    </w:tbl>
    <w:p w14:paraId="1DA4A635">
      <w:pPr>
        <w:spacing w:line="360" w:lineRule="auto"/>
        <w:ind w:firstLine="480" w:firstLineChars="200"/>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注：1、如果某些电梯没有表中的项目（内容），如有的电梯不含有某种部件，项目（内容）可适当进行调整；</w:t>
      </w:r>
    </w:p>
    <w:p w14:paraId="5088F101">
      <w:pPr>
        <w:spacing w:line="360" w:lineRule="auto"/>
        <w:ind w:firstLine="480" w:firstLineChars="200"/>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2、维保项目（内容）和要求中对测试、试验有明确规定的，应当按照规定进行测试、试验，没有明确规定，一般为检查、调整、清洁和润滑；</w:t>
      </w:r>
    </w:p>
    <w:p w14:paraId="3092A495">
      <w:pPr>
        <w:spacing w:line="360" w:lineRule="auto"/>
        <w:ind w:firstLine="480" w:firstLineChars="200"/>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3、维保基本要求，规定为</w:t>
      </w:r>
      <w:r>
        <w:rPr>
          <w:rFonts w:ascii="宋体" w:hAnsi="宋体" w:eastAsia="宋体" w:cs="Calibri"/>
          <w:sz w:val="24"/>
          <w:szCs w:val="24"/>
          <w:highlight w:val="none"/>
          <w14:ligatures w14:val="none"/>
        </w:rPr>
        <w:t>“</w:t>
      </w:r>
      <w:r>
        <w:rPr>
          <w:rFonts w:hint="eastAsia" w:ascii="宋体" w:hAnsi="宋体" w:eastAsia="宋体" w:cs="Times New Roman"/>
          <w:sz w:val="24"/>
          <w:szCs w:val="24"/>
          <w:highlight w:val="none"/>
          <w14:ligatures w14:val="none"/>
        </w:rPr>
        <w:t>符合标准</w:t>
      </w:r>
      <w:r>
        <w:rPr>
          <w:rFonts w:ascii="宋体" w:hAnsi="宋体" w:eastAsia="宋体" w:cs="Calibri"/>
          <w:sz w:val="24"/>
          <w:szCs w:val="24"/>
          <w:highlight w:val="none"/>
          <w14:ligatures w14:val="none"/>
        </w:rPr>
        <w:t>”</w:t>
      </w:r>
      <w:r>
        <w:rPr>
          <w:rFonts w:hint="eastAsia" w:ascii="宋体" w:hAnsi="宋体" w:eastAsia="宋体" w:cs="Times New Roman"/>
          <w:sz w:val="24"/>
          <w:szCs w:val="24"/>
          <w:highlight w:val="none"/>
          <w14:ligatures w14:val="none"/>
        </w:rPr>
        <w:t>的，有国家标准应当符合国家标准，没有国家标准的应当符合行业标准、企业标准；</w:t>
      </w:r>
    </w:p>
    <w:p w14:paraId="04C0AD37">
      <w:pPr>
        <w:spacing w:line="360" w:lineRule="auto"/>
        <w:ind w:firstLine="480" w:firstLineChars="200"/>
        <w:rPr>
          <w:rFonts w:hint="eastAsia" w:ascii="宋体" w:hAnsi="宋体" w:eastAsia="宋体" w:cs="Times New Roman"/>
          <w:sz w:val="24"/>
          <w:szCs w:val="24"/>
          <w:highlight w:val="none"/>
          <w14:ligatures w14:val="none"/>
        </w:rPr>
      </w:pPr>
      <w:r>
        <w:rPr>
          <w:rFonts w:hint="eastAsia" w:ascii="宋体" w:hAnsi="宋体" w:eastAsia="宋体" w:cs="Times New Roman"/>
          <w:sz w:val="24"/>
          <w:szCs w:val="24"/>
          <w:highlight w:val="none"/>
          <w14:ligatures w14:val="none"/>
        </w:rPr>
        <w:t>4、维保基本要求，规定为</w:t>
      </w:r>
      <w:r>
        <w:rPr>
          <w:rFonts w:ascii="宋体" w:hAnsi="宋体" w:eastAsia="宋体" w:cs="Calibri"/>
          <w:sz w:val="24"/>
          <w:szCs w:val="24"/>
          <w:highlight w:val="none"/>
          <w14:ligatures w14:val="none"/>
        </w:rPr>
        <w:t>“</w:t>
      </w:r>
      <w:r>
        <w:rPr>
          <w:rFonts w:hint="eastAsia" w:ascii="宋体" w:hAnsi="宋体" w:eastAsia="宋体" w:cs="Times New Roman"/>
          <w:sz w:val="24"/>
          <w:szCs w:val="24"/>
          <w:highlight w:val="none"/>
          <w14:ligatures w14:val="none"/>
        </w:rPr>
        <w:t>制造单位要求</w:t>
      </w:r>
      <w:r>
        <w:rPr>
          <w:rFonts w:ascii="宋体" w:hAnsi="宋体" w:eastAsia="宋体" w:cs="Calibri"/>
          <w:sz w:val="24"/>
          <w:szCs w:val="24"/>
          <w:highlight w:val="none"/>
          <w14:ligatures w14:val="none"/>
        </w:rPr>
        <w:t>”</w:t>
      </w:r>
      <w:r>
        <w:rPr>
          <w:rFonts w:hint="eastAsia" w:ascii="宋体" w:hAnsi="宋体" w:eastAsia="宋体" w:cs="Times New Roman"/>
          <w:sz w:val="24"/>
          <w:szCs w:val="24"/>
          <w:highlight w:val="none"/>
          <w14:ligatures w14:val="none"/>
        </w:rPr>
        <w:t>的，按照制造单位的要求，其他没有明确的</w:t>
      </w:r>
      <w:r>
        <w:rPr>
          <w:rFonts w:ascii="宋体" w:hAnsi="宋体" w:eastAsia="宋体" w:cs="Times New Roman"/>
          <w:sz w:val="24"/>
          <w:szCs w:val="24"/>
          <w:highlight w:val="none"/>
          <w14:ligatures w14:val="none"/>
        </w:rPr>
        <w:t>“</w:t>
      </w:r>
      <w:r>
        <w:rPr>
          <w:rFonts w:hint="eastAsia" w:ascii="宋体" w:hAnsi="宋体" w:eastAsia="宋体" w:cs="Times New Roman"/>
          <w:sz w:val="24"/>
          <w:szCs w:val="24"/>
          <w:highlight w:val="none"/>
          <w14:ligatures w14:val="none"/>
        </w:rPr>
        <w:t>要求</w:t>
      </w:r>
      <w:r>
        <w:rPr>
          <w:rFonts w:ascii="宋体" w:hAnsi="宋体" w:eastAsia="宋体" w:cs="Times New Roman"/>
          <w:sz w:val="24"/>
          <w:szCs w:val="24"/>
          <w:highlight w:val="none"/>
          <w14:ligatures w14:val="none"/>
        </w:rPr>
        <w:t>”</w:t>
      </w:r>
      <w:r>
        <w:rPr>
          <w:rFonts w:hint="eastAsia" w:ascii="宋体" w:hAnsi="宋体" w:eastAsia="宋体" w:cs="Times New Roman"/>
          <w:sz w:val="24"/>
          <w:szCs w:val="24"/>
          <w:highlight w:val="none"/>
          <w14:ligatures w14:val="none"/>
        </w:rPr>
        <w:t>，应当为安全技术规范、标准或者制造单位等的要求。</w:t>
      </w:r>
    </w:p>
    <w:p w14:paraId="0B5B20DB">
      <w:pPr>
        <w:spacing w:line="360" w:lineRule="auto"/>
        <w:ind w:firstLine="472" w:firstLineChars="196"/>
        <w:rPr>
          <w:rFonts w:hint="eastAsia" w:ascii="宋体" w:hAnsi="宋体" w:eastAsia="宋体"/>
          <w:b/>
          <w:sz w:val="24"/>
          <w:szCs w:val="24"/>
          <w:highlight w:val="none"/>
        </w:rPr>
      </w:pPr>
      <w:r>
        <w:rPr>
          <w:rFonts w:hint="eastAsia" w:ascii="宋体" w:hAnsi="宋体" w:eastAsia="宋体"/>
          <w:b/>
          <w:sz w:val="24"/>
          <w:szCs w:val="24"/>
          <w:highlight w:val="none"/>
        </w:rPr>
        <w:t>五、项目实施具体要求</w:t>
      </w:r>
    </w:p>
    <w:p w14:paraId="23BCB670">
      <w:pPr>
        <w:spacing w:line="360" w:lineRule="auto"/>
        <w:ind w:firstLine="470" w:firstLineChars="196"/>
        <w:rPr>
          <w:rFonts w:hint="eastAsia" w:ascii="宋体" w:hAnsi="宋体" w:eastAsia="宋体"/>
          <w:sz w:val="24"/>
          <w:szCs w:val="24"/>
          <w:highlight w:val="none"/>
        </w:rPr>
      </w:pPr>
      <w:r>
        <w:rPr>
          <w:rFonts w:hint="eastAsia" w:ascii="宋体" w:hAnsi="宋体" w:eastAsia="宋体"/>
          <w:sz w:val="24"/>
          <w:szCs w:val="24"/>
          <w:highlight w:val="none"/>
        </w:rPr>
        <w:t>（一）至少每15天1次的例行保养工作：</w:t>
      </w:r>
    </w:p>
    <w:p w14:paraId="20830EDC">
      <w:pPr>
        <w:spacing w:line="360" w:lineRule="auto"/>
        <w:ind w:firstLine="470" w:firstLineChars="196"/>
        <w:rPr>
          <w:rFonts w:hint="eastAsia" w:ascii="宋体" w:hAnsi="宋体" w:eastAsia="宋体"/>
          <w:sz w:val="24"/>
          <w:szCs w:val="24"/>
          <w:highlight w:val="none"/>
        </w:rPr>
      </w:pPr>
      <w:r>
        <w:rPr>
          <w:rFonts w:hint="eastAsia" w:ascii="宋体" w:hAnsi="宋体" w:eastAsia="宋体"/>
          <w:sz w:val="24"/>
          <w:szCs w:val="24"/>
          <w:highlight w:val="none"/>
        </w:rPr>
        <w:t>1、投标人派出维保专业人员对上述设备提供至少每15天1次的例行保养工作。</w:t>
      </w:r>
    </w:p>
    <w:p w14:paraId="300A7718">
      <w:pPr>
        <w:spacing w:line="360" w:lineRule="auto"/>
        <w:ind w:firstLine="470" w:firstLineChars="196"/>
        <w:rPr>
          <w:rFonts w:hint="eastAsia" w:ascii="宋体" w:hAnsi="宋体" w:eastAsia="宋体"/>
          <w:sz w:val="24"/>
          <w:szCs w:val="24"/>
          <w:highlight w:val="none"/>
        </w:rPr>
      </w:pPr>
      <w:r>
        <w:rPr>
          <w:rFonts w:hint="eastAsia" w:ascii="宋体" w:hAnsi="宋体" w:eastAsia="宋体"/>
          <w:sz w:val="24"/>
          <w:szCs w:val="24"/>
          <w:highlight w:val="none"/>
        </w:rPr>
        <w:t>2、投标人发现有可能损害或影响电梯运行安全或质量的因素时，应立即向招标人报告并商议整改方案。</w:t>
      </w:r>
    </w:p>
    <w:p w14:paraId="4419B812">
      <w:pPr>
        <w:spacing w:line="360" w:lineRule="auto"/>
        <w:ind w:firstLine="470" w:firstLineChars="196"/>
        <w:rPr>
          <w:rFonts w:hint="eastAsia" w:ascii="宋体" w:hAnsi="宋体" w:eastAsia="宋体"/>
          <w:sz w:val="24"/>
          <w:szCs w:val="24"/>
          <w:highlight w:val="none"/>
        </w:rPr>
      </w:pPr>
      <w:r>
        <w:rPr>
          <w:rFonts w:hint="eastAsia" w:ascii="宋体" w:hAnsi="宋体" w:eastAsia="宋体"/>
          <w:sz w:val="24"/>
          <w:szCs w:val="24"/>
          <w:highlight w:val="none"/>
        </w:rPr>
        <w:t>3、为保障乘客的安全以及延长招标人设备的寿命，投标人须把电梯的保养分为几大模块，科学安排合适的保养程序。</w:t>
      </w:r>
    </w:p>
    <w:p w14:paraId="507FE080">
      <w:pPr>
        <w:spacing w:line="360" w:lineRule="auto"/>
        <w:ind w:firstLine="470" w:firstLineChars="196"/>
        <w:rPr>
          <w:rFonts w:hint="eastAsia" w:ascii="宋体" w:hAnsi="宋体" w:eastAsia="宋体"/>
          <w:sz w:val="24"/>
          <w:szCs w:val="24"/>
          <w:highlight w:val="none"/>
        </w:rPr>
      </w:pPr>
      <w:r>
        <w:rPr>
          <w:rFonts w:hint="eastAsia" w:ascii="宋体" w:hAnsi="宋体" w:eastAsia="宋体"/>
          <w:sz w:val="24"/>
          <w:szCs w:val="24"/>
          <w:highlight w:val="none"/>
        </w:rPr>
        <w:t>4、投标人运用移动工具等支援工具管理路线和技师的能力，以便确保各维保计划的有效执行。</w:t>
      </w:r>
    </w:p>
    <w:p w14:paraId="2DB483C5">
      <w:pPr>
        <w:spacing w:line="360" w:lineRule="auto"/>
        <w:ind w:firstLine="470" w:firstLineChars="196"/>
        <w:rPr>
          <w:rFonts w:hint="eastAsia" w:ascii="宋体" w:hAnsi="宋体" w:eastAsia="宋体"/>
          <w:sz w:val="24"/>
          <w:szCs w:val="24"/>
          <w:highlight w:val="none"/>
        </w:rPr>
      </w:pPr>
      <w:r>
        <w:rPr>
          <w:rFonts w:hint="eastAsia" w:ascii="宋体" w:hAnsi="宋体" w:eastAsia="宋体"/>
          <w:sz w:val="24"/>
          <w:szCs w:val="24"/>
          <w:highlight w:val="none"/>
        </w:rPr>
        <w:t>（二）全日24小时紧急修理服务：</w:t>
      </w:r>
    </w:p>
    <w:p w14:paraId="710EDB6E">
      <w:pPr>
        <w:spacing w:line="360" w:lineRule="auto"/>
        <w:ind w:firstLine="470" w:firstLineChars="196"/>
        <w:rPr>
          <w:rFonts w:hint="eastAsia" w:ascii="宋体" w:hAnsi="宋体" w:eastAsia="宋体"/>
          <w:sz w:val="24"/>
          <w:szCs w:val="24"/>
          <w:highlight w:val="none"/>
        </w:rPr>
      </w:pPr>
      <w:r>
        <w:rPr>
          <w:rFonts w:hint="eastAsia" w:ascii="宋体" w:hAnsi="宋体" w:eastAsia="宋体"/>
          <w:sz w:val="24"/>
          <w:szCs w:val="24"/>
          <w:highlight w:val="none"/>
        </w:rPr>
        <w:t>1、招标人发现维保设备发生故障或有不正常运行现象，将通知投标人从速派遣称职人员处理，投标人根据已接到的招标人通知，在</w:t>
      </w:r>
      <w:r>
        <w:rPr>
          <w:rFonts w:hint="eastAsia" w:ascii="宋体" w:hAnsi="宋体" w:eastAsia="宋体"/>
          <w:b/>
          <w:sz w:val="24"/>
          <w:szCs w:val="24"/>
          <w:highlight w:val="none"/>
          <w:u w:val="single"/>
        </w:rPr>
        <w:t xml:space="preserve"> 60 </w:t>
      </w:r>
      <w:r>
        <w:rPr>
          <w:rFonts w:hint="eastAsia" w:ascii="宋体" w:hAnsi="宋体" w:eastAsia="宋体"/>
          <w:sz w:val="24"/>
          <w:szCs w:val="24"/>
          <w:highlight w:val="none"/>
        </w:rPr>
        <w:t>分钟内到达现场处理故障。</w:t>
      </w:r>
    </w:p>
    <w:p w14:paraId="44FE764F">
      <w:pPr>
        <w:spacing w:line="360" w:lineRule="auto"/>
        <w:ind w:firstLine="470" w:firstLineChars="196"/>
        <w:rPr>
          <w:rFonts w:hint="eastAsia" w:ascii="宋体" w:hAnsi="宋体" w:eastAsia="宋体"/>
          <w:sz w:val="24"/>
          <w:szCs w:val="24"/>
          <w:highlight w:val="none"/>
        </w:rPr>
      </w:pPr>
      <w:r>
        <w:rPr>
          <w:rFonts w:hint="eastAsia" w:ascii="宋体" w:hAnsi="宋体" w:eastAsia="宋体"/>
          <w:sz w:val="24"/>
          <w:szCs w:val="24"/>
          <w:highlight w:val="none"/>
        </w:rPr>
        <w:t>2、若故障有乘客困于设备内，投标人承诺根据已接到的招标人通知，在</w:t>
      </w:r>
      <w:r>
        <w:rPr>
          <w:rFonts w:hint="eastAsia" w:ascii="宋体" w:hAnsi="宋体" w:eastAsia="宋体"/>
          <w:b/>
          <w:sz w:val="24"/>
          <w:szCs w:val="24"/>
          <w:highlight w:val="none"/>
          <w:u w:val="single"/>
        </w:rPr>
        <w:t xml:space="preserve"> 30 </w:t>
      </w:r>
      <w:r>
        <w:rPr>
          <w:rFonts w:hint="eastAsia" w:ascii="宋体" w:hAnsi="宋体" w:eastAsia="宋体"/>
          <w:sz w:val="24"/>
          <w:szCs w:val="24"/>
          <w:highlight w:val="none"/>
        </w:rPr>
        <w:t>分钟内到达现场处理故障。</w:t>
      </w:r>
    </w:p>
    <w:p w14:paraId="4028CFA3">
      <w:pPr>
        <w:spacing w:line="360" w:lineRule="auto"/>
        <w:ind w:firstLine="470" w:firstLineChars="196"/>
        <w:rPr>
          <w:rFonts w:hint="eastAsia" w:ascii="宋体" w:hAnsi="宋体" w:eastAsia="宋体"/>
          <w:sz w:val="24"/>
          <w:szCs w:val="24"/>
          <w:highlight w:val="none"/>
        </w:rPr>
      </w:pPr>
      <w:r>
        <w:rPr>
          <w:rFonts w:hint="eastAsia"/>
          <w:sz w:val="24"/>
          <w:szCs w:val="24"/>
          <w:highlight w:val="none"/>
          <w:lang w:val="en-US" w:eastAsia="zh-CN"/>
        </w:rPr>
        <w:t>3、</w:t>
      </w:r>
      <w:r>
        <w:rPr>
          <w:rFonts w:hint="eastAsia" w:ascii="宋体" w:hAnsi="宋体" w:eastAsia="宋体"/>
          <w:sz w:val="24"/>
          <w:szCs w:val="24"/>
          <w:highlight w:val="none"/>
        </w:rPr>
        <w:t>如因救援不及时引发的任何事故或纠纷事件全部由</w:t>
      </w:r>
      <w:r>
        <w:rPr>
          <w:rFonts w:hint="eastAsia" w:ascii="宋体" w:hAnsi="宋体" w:eastAsia="宋体"/>
          <w:sz w:val="24"/>
          <w:szCs w:val="24"/>
          <w:highlight w:val="none"/>
          <w:lang w:val="en-US" w:eastAsia="zh-CN"/>
        </w:rPr>
        <w:t>中标人</w:t>
      </w:r>
      <w:r>
        <w:rPr>
          <w:rFonts w:hint="eastAsia" w:ascii="宋体" w:hAnsi="宋体" w:eastAsia="宋体"/>
          <w:sz w:val="24"/>
          <w:szCs w:val="24"/>
          <w:highlight w:val="none"/>
        </w:rPr>
        <w:t>负责（包括赔偿等费用）</w:t>
      </w:r>
      <w:r>
        <w:rPr>
          <w:rFonts w:hint="eastAsia"/>
          <w:sz w:val="24"/>
          <w:szCs w:val="24"/>
          <w:highlight w:val="none"/>
          <w:lang w:eastAsia="zh-CN"/>
        </w:rPr>
        <w:t>。</w:t>
      </w:r>
    </w:p>
    <w:p w14:paraId="77BFB914">
      <w:pPr>
        <w:spacing w:line="360" w:lineRule="auto"/>
        <w:ind w:firstLine="470" w:firstLineChars="196"/>
        <w:rPr>
          <w:rFonts w:hint="eastAsia" w:ascii="宋体" w:hAnsi="宋体" w:eastAsia="宋体"/>
          <w:sz w:val="24"/>
          <w:szCs w:val="24"/>
          <w:highlight w:val="none"/>
        </w:rPr>
      </w:pPr>
      <w:r>
        <w:rPr>
          <w:rFonts w:hint="eastAsia" w:ascii="宋体" w:hAnsi="宋体" w:eastAsia="宋体"/>
          <w:sz w:val="24"/>
          <w:szCs w:val="24"/>
          <w:highlight w:val="none"/>
        </w:rPr>
        <w:t>（三）报修档案记录：</w:t>
      </w:r>
    </w:p>
    <w:p w14:paraId="3ED73EAA">
      <w:pPr>
        <w:spacing w:line="360" w:lineRule="auto"/>
        <w:ind w:firstLine="470" w:firstLineChars="196"/>
        <w:rPr>
          <w:rFonts w:hint="eastAsia" w:ascii="宋体" w:hAnsi="宋体" w:eastAsia="宋体"/>
          <w:sz w:val="24"/>
          <w:szCs w:val="24"/>
          <w:highlight w:val="none"/>
        </w:rPr>
      </w:pPr>
      <w:r>
        <w:rPr>
          <w:rFonts w:hint="eastAsia" w:ascii="宋体" w:hAnsi="宋体" w:eastAsia="宋体"/>
          <w:sz w:val="24"/>
          <w:szCs w:val="24"/>
          <w:highlight w:val="none"/>
        </w:rPr>
        <w:t>1、投标人应将所有的报修记录做好台账登记，为维保服务提供足够的信息。</w:t>
      </w:r>
    </w:p>
    <w:p w14:paraId="5BBD082A">
      <w:pPr>
        <w:spacing w:line="360" w:lineRule="auto"/>
        <w:ind w:firstLine="470" w:firstLineChars="196"/>
        <w:rPr>
          <w:rFonts w:hint="eastAsia" w:ascii="宋体" w:hAnsi="宋体" w:eastAsia="宋体"/>
          <w:sz w:val="24"/>
          <w:szCs w:val="24"/>
          <w:highlight w:val="none"/>
        </w:rPr>
      </w:pPr>
      <w:r>
        <w:rPr>
          <w:rFonts w:hint="eastAsia" w:ascii="宋体" w:hAnsi="宋体" w:eastAsia="宋体"/>
          <w:sz w:val="24"/>
          <w:szCs w:val="24"/>
          <w:highlight w:val="none"/>
        </w:rPr>
        <w:t>2、投标人根据每一部电梯的每月故障次数和使用率数据，编制下个月的保养计划表，详尽规定每一个保养组的员工在指定时间内将到指定的地点从事规定的保养工作。</w:t>
      </w:r>
    </w:p>
    <w:p w14:paraId="263C6B90">
      <w:pPr>
        <w:spacing w:line="360" w:lineRule="auto"/>
        <w:ind w:firstLine="470" w:firstLineChars="196"/>
        <w:rPr>
          <w:rFonts w:hint="eastAsia" w:ascii="宋体" w:hAnsi="宋体" w:eastAsia="宋体"/>
          <w:sz w:val="24"/>
          <w:szCs w:val="24"/>
          <w:highlight w:val="none"/>
        </w:rPr>
      </w:pPr>
      <w:r>
        <w:rPr>
          <w:rFonts w:hint="eastAsia" w:ascii="宋体" w:hAnsi="宋体" w:eastAsia="宋体"/>
          <w:sz w:val="24"/>
          <w:szCs w:val="24"/>
          <w:highlight w:val="none"/>
        </w:rPr>
        <w:t>3、投标人应建立良好的管理制度，对维修进展做到实时追踪，直至所有报修的项目达到约定的维保标准。</w:t>
      </w:r>
    </w:p>
    <w:p w14:paraId="4B803B12">
      <w:pPr>
        <w:spacing w:line="360" w:lineRule="auto"/>
        <w:ind w:firstLine="470" w:firstLineChars="196"/>
        <w:rPr>
          <w:rFonts w:hint="eastAsia" w:ascii="宋体" w:hAnsi="宋体" w:eastAsia="宋体"/>
          <w:sz w:val="24"/>
          <w:szCs w:val="24"/>
          <w:highlight w:val="none"/>
        </w:rPr>
      </w:pPr>
      <w:r>
        <w:rPr>
          <w:rFonts w:hint="eastAsia" w:ascii="宋体" w:hAnsi="宋体" w:eastAsia="宋体"/>
          <w:sz w:val="24"/>
          <w:szCs w:val="24"/>
          <w:highlight w:val="none"/>
        </w:rPr>
        <w:t>4、投标人应制定一套质量审核程序，由不同部门对保养质量进行审查，审查结果用于改进保养程序，以便更好的满足招标人的要求。</w:t>
      </w:r>
    </w:p>
    <w:p w14:paraId="4B4346EE">
      <w:pPr>
        <w:spacing w:line="360" w:lineRule="auto"/>
        <w:ind w:firstLine="470" w:firstLineChars="196"/>
        <w:rPr>
          <w:rFonts w:hint="eastAsia" w:ascii="宋体" w:hAnsi="宋体" w:eastAsia="宋体"/>
          <w:sz w:val="24"/>
          <w:szCs w:val="24"/>
          <w:highlight w:val="none"/>
        </w:rPr>
      </w:pPr>
      <w:r>
        <w:rPr>
          <w:rFonts w:hint="eastAsia" w:ascii="宋体" w:hAnsi="宋体" w:eastAsia="宋体"/>
          <w:sz w:val="24"/>
          <w:szCs w:val="24"/>
          <w:highlight w:val="none"/>
        </w:rPr>
        <w:t>（四）配件更换服务：</w:t>
      </w:r>
    </w:p>
    <w:p w14:paraId="6EAE5449">
      <w:pPr>
        <w:spacing w:line="360" w:lineRule="auto"/>
        <w:ind w:firstLine="470" w:firstLineChars="196"/>
        <w:rPr>
          <w:rFonts w:hint="eastAsia" w:ascii="宋体" w:hAnsi="宋体" w:eastAsia="宋体"/>
          <w:sz w:val="24"/>
          <w:szCs w:val="24"/>
          <w:highlight w:val="none"/>
        </w:rPr>
      </w:pPr>
      <w:r>
        <w:rPr>
          <w:rFonts w:hint="eastAsia" w:ascii="宋体" w:hAnsi="宋体" w:eastAsia="宋体"/>
          <w:sz w:val="24"/>
          <w:szCs w:val="24"/>
          <w:highlight w:val="none"/>
        </w:rPr>
        <w:t>1、投标人对配件提供全年24小时供应服务，并且免费送货上门。</w:t>
      </w:r>
    </w:p>
    <w:p w14:paraId="779EE06D">
      <w:pPr>
        <w:spacing w:line="360" w:lineRule="auto"/>
        <w:ind w:firstLine="470" w:firstLineChars="196"/>
        <w:rPr>
          <w:rFonts w:hint="eastAsia" w:ascii="宋体" w:hAnsi="宋体" w:eastAsia="宋体"/>
          <w:sz w:val="24"/>
          <w:szCs w:val="24"/>
          <w:highlight w:val="none"/>
        </w:rPr>
      </w:pPr>
      <w:r>
        <w:rPr>
          <w:rFonts w:hint="eastAsia" w:ascii="宋体" w:hAnsi="宋体" w:eastAsia="宋体"/>
          <w:sz w:val="24"/>
          <w:szCs w:val="24"/>
          <w:highlight w:val="none"/>
        </w:rPr>
        <w:t>2、在维保过程中投标人发现需更换的零件，在招标人书面同意后，单价1000元（不含1000元本数）以上的零配件更换费用由招标人承担，零配件价格应以供应商向制造商或一级代理商的采购发票价格为准，供应商不得附加任何管理费或利润。招标人有权要求供应商提供相关价格证明文件，并保留自行采购同等规格品质配件的权利。中标人所更换的所有维修配件保修期不得少于1年。</w:t>
      </w:r>
    </w:p>
    <w:p w14:paraId="1A29D68C">
      <w:pPr>
        <w:spacing w:line="360" w:lineRule="auto"/>
        <w:ind w:firstLine="470" w:firstLineChars="196"/>
        <w:rPr>
          <w:rFonts w:hint="eastAsia" w:ascii="宋体" w:hAnsi="宋体" w:eastAsia="宋体"/>
          <w:sz w:val="24"/>
          <w:szCs w:val="24"/>
          <w:highlight w:val="none"/>
        </w:rPr>
      </w:pPr>
      <w:r>
        <w:rPr>
          <w:rFonts w:hint="eastAsia" w:ascii="宋体" w:hAnsi="宋体" w:eastAsia="宋体"/>
          <w:sz w:val="24"/>
          <w:szCs w:val="24"/>
          <w:highlight w:val="none"/>
        </w:rPr>
        <w:t>（五）对上述全面检查测试中发现的问题故障及时组织维修更换，排除故障。对现场无法解决的问题应立即报告招标人的相关人员，同时采取应急措施。</w:t>
      </w:r>
    </w:p>
    <w:p w14:paraId="1F5455ED">
      <w:pPr>
        <w:adjustRightInd w:val="0"/>
        <w:snapToGrid w:val="0"/>
        <w:spacing w:line="360" w:lineRule="auto"/>
        <w:ind w:firstLine="480"/>
        <w:jc w:val="left"/>
        <w:rPr>
          <w:rFonts w:ascii="宋体" w:hAnsi="宋体" w:eastAsia="宋体"/>
          <w:sz w:val="24"/>
          <w:szCs w:val="24"/>
          <w:highlight w:val="none"/>
        </w:rPr>
      </w:pPr>
      <w:r>
        <w:rPr>
          <w:rFonts w:hint="eastAsia" w:ascii="宋体" w:hAnsi="宋体" w:eastAsia="宋体"/>
          <w:b/>
          <w:bCs/>
          <w:sz w:val="24"/>
          <w:szCs w:val="24"/>
          <w:highlight w:val="none"/>
        </w:rPr>
        <w:t>六、维护保养时间期限：</w:t>
      </w:r>
      <w:r>
        <w:rPr>
          <w:rFonts w:hint="eastAsia" w:ascii="宋体" w:hAnsi="宋体" w:eastAsia="宋体"/>
          <w:sz w:val="24"/>
          <w:szCs w:val="24"/>
          <w:highlight w:val="none"/>
        </w:rPr>
        <w:t>本合同服务期限为三年，自【</w:t>
      </w:r>
      <w:r>
        <w:rPr>
          <w:rFonts w:hint="eastAsia"/>
          <w:sz w:val="24"/>
          <w:szCs w:val="24"/>
          <w:highlight w:val="none"/>
          <w:lang w:val="en-US" w:eastAsia="zh-CN"/>
        </w:rPr>
        <w:t>2026</w:t>
      </w:r>
      <w:r>
        <w:rPr>
          <w:rFonts w:hint="eastAsia" w:ascii="宋体" w:hAnsi="宋体" w:eastAsia="宋体"/>
          <w:sz w:val="24"/>
          <w:szCs w:val="24"/>
          <w:highlight w:val="none"/>
        </w:rPr>
        <w:t>年</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月</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日】起至【</w:t>
      </w:r>
      <w:r>
        <w:rPr>
          <w:rFonts w:hint="eastAsia" w:ascii="宋体" w:hAnsi="宋体" w:eastAsia="宋体"/>
          <w:sz w:val="24"/>
          <w:szCs w:val="24"/>
          <w:highlight w:val="none"/>
          <w:lang w:val="en-US" w:eastAsia="zh-CN"/>
        </w:rPr>
        <w:t>2028</w:t>
      </w:r>
      <w:r>
        <w:rPr>
          <w:rFonts w:hint="eastAsia" w:ascii="宋体" w:hAnsi="宋体" w:eastAsia="宋体"/>
          <w:sz w:val="24"/>
          <w:szCs w:val="24"/>
          <w:highlight w:val="none"/>
        </w:rPr>
        <w:t>年</w:t>
      </w:r>
      <w:r>
        <w:rPr>
          <w:rFonts w:hint="eastAsia" w:ascii="宋体" w:hAnsi="宋体" w:eastAsia="宋体"/>
          <w:sz w:val="24"/>
          <w:szCs w:val="24"/>
          <w:highlight w:val="none"/>
          <w:lang w:val="en-US" w:eastAsia="zh-CN"/>
        </w:rPr>
        <w:t>12</w:t>
      </w:r>
      <w:r>
        <w:rPr>
          <w:rFonts w:hint="eastAsia" w:ascii="宋体" w:hAnsi="宋体" w:eastAsia="宋体"/>
          <w:sz w:val="24"/>
          <w:szCs w:val="24"/>
          <w:highlight w:val="none"/>
        </w:rPr>
        <w:t>月</w:t>
      </w:r>
      <w:r>
        <w:rPr>
          <w:rFonts w:hint="eastAsia" w:ascii="宋体" w:hAnsi="宋体" w:eastAsia="宋体"/>
          <w:sz w:val="24"/>
          <w:szCs w:val="24"/>
          <w:highlight w:val="none"/>
          <w:lang w:val="en-US" w:eastAsia="zh-CN"/>
        </w:rPr>
        <w:t>31</w:t>
      </w:r>
      <w:r>
        <w:rPr>
          <w:rFonts w:hint="eastAsia" w:ascii="宋体" w:hAnsi="宋体" w:eastAsia="宋体"/>
          <w:sz w:val="24"/>
          <w:szCs w:val="24"/>
          <w:highlight w:val="none"/>
        </w:rPr>
        <w:t>日】止。合同实行一年一考核一续签机制。首年服务期满后,委托单位有权决定是否与中标单位签订后续服务合同，总服务期限最多不超过三年。</w:t>
      </w:r>
    </w:p>
    <w:p w14:paraId="35F6EF15">
      <w:pPr>
        <w:adjustRightInd w:val="0"/>
        <w:snapToGrid w:val="0"/>
        <w:spacing w:line="360" w:lineRule="auto"/>
        <w:ind w:firstLine="480"/>
        <w:jc w:val="left"/>
        <w:rPr>
          <w:rFonts w:hint="eastAsia" w:ascii="宋体" w:hAnsi="宋体" w:eastAsia="宋体"/>
          <w:b/>
          <w:bCs/>
          <w:sz w:val="24"/>
          <w:szCs w:val="24"/>
          <w:highlight w:val="none"/>
        </w:rPr>
      </w:pPr>
      <w:r>
        <w:rPr>
          <w:rFonts w:hint="eastAsia" w:ascii="宋体" w:hAnsi="宋体" w:eastAsia="宋体"/>
          <w:b/>
          <w:bCs/>
          <w:sz w:val="24"/>
          <w:szCs w:val="24"/>
          <w:highlight w:val="none"/>
        </w:rPr>
        <w:t>七、服务质量要求</w:t>
      </w:r>
    </w:p>
    <w:p w14:paraId="2E18A940">
      <w:pPr>
        <w:adjustRightInd w:val="0"/>
        <w:snapToGrid w:val="0"/>
        <w:spacing w:line="360" w:lineRule="auto"/>
        <w:ind w:firstLine="480"/>
        <w:jc w:val="left"/>
        <w:rPr>
          <w:rFonts w:hint="eastAsia" w:ascii="宋体" w:hAnsi="宋体" w:eastAsia="宋体"/>
          <w:bCs/>
          <w:sz w:val="24"/>
          <w:szCs w:val="24"/>
          <w:highlight w:val="none"/>
        </w:rPr>
      </w:pPr>
      <w:r>
        <w:rPr>
          <w:rFonts w:hint="eastAsia" w:ascii="宋体" w:hAnsi="宋体" w:eastAsia="宋体"/>
          <w:bCs/>
          <w:sz w:val="24"/>
          <w:szCs w:val="24"/>
          <w:highlight w:val="none"/>
        </w:rPr>
        <w:t>（一）电梯维修保养要符合《电梯制造与安装安全规范》、《电梯维修规范》、《电梯监督检验和定期检验规则》、《特种设备安全监察条例》、《特种设备安全法》等国家有关规定标准，以及按招标人要求和投标人承诺执行。</w:t>
      </w:r>
    </w:p>
    <w:p w14:paraId="6E912D03">
      <w:pPr>
        <w:adjustRightInd w:val="0"/>
        <w:snapToGrid w:val="0"/>
        <w:spacing w:line="360" w:lineRule="auto"/>
        <w:ind w:firstLine="480"/>
        <w:jc w:val="left"/>
        <w:rPr>
          <w:rFonts w:hint="eastAsia" w:ascii="宋体" w:hAnsi="宋体" w:eastAsia="宋体"/>
          <w:sz w:val="24"/>
          <w:szCs w:val="24"/>
          <w:highlight w:val="none"/>
        </w:rPr>
      </w:pPr>
      <w:r>
        <w:rPr>
          <w:rFonts w:hint="eastAsia" w:ascii="宋体" w:hAnsi="宋体" w:eastAsia="宋体"/>
          <w:sz w:val="24"/>
          <w:szCs w:val="24"/>
          <w:highlight w:val="none"/>
        </w:rPr>
        <w:t>（二）通过有计划的检修、保养，保证电梯各部件在良性循环状态下运转，延长各部件的工作寿命，及时更换已磨损的零部件以预防故障的发生。保证所有维保电梯正常安全顺畅运行。</w:t>
      </w:r>
    </w:p>
    <w:p w14:paraId="052AFC82">
      <w:pPr>
        <w:adjustRightInd w:val="0"/>
        <w:snapToGrid w:val="0"/>
        <w:spacing w:line="360" w:lineRule="auto"/>
        <w:ind w:firstLine="480"/>
        <w:jc w:val="left"/>
        <w:rPr>
          <w:rFonts w:hint="eastAsia" w:ascii="宋体" w:hAnsi="宋体" w:eastAsia="宋体"/>
          <w:sz w:val="24"/>
          <w:szCs w:val="24"/>
          <w:highlight w:val="none"/>
        </w:rPr>
      </w:pPr>
      <w:r>
        <w:rPr>
          <w:rFonts w:hint="eastAsia" w:ascii="宋体" w:hAnsi="宋体" w:eastAsia="宋体"/>
          <w:sz w:val="24"/>
          <w:szCs w:val="24"/>
          <w:highlight w:val="none"/>
        </w:rPr>
        <w:t>（三）通过有计划的维修、保养，及时向招标人提供电梯的安全隐患和保证电梯安全运行的合理建议和措施。</w:t>
      </w:r>
    </w:p>
    <w:p w14:paraId="46E93F15">
      <w:pPr>
        <w:adjustRightInd w:val="0"/>
        <w:snapToGrid w:val="0"/>
        <w:spacing w:line="360" w:lineRule="auto"/>
        <w:ind w:firstLine="480"/>
        <w:jc w:val="left"/>
        <w:rPr>
          <w:rFonts w:hint="eastAsia" w:ascii="宋体" w:hAnsi="宋体" w:eastAsia="宋体"/>
          <w:b/>
          <w:bCs/>
          <w:sz w:val="24"/>
          <w:szCs w:val="24"/>
          <w:highlight w:val="none"/>
        </w:rPr>
      </w:pPr>
      <w:r>
        <w:rPr>
          <w:rFonts w:hint="eastAsia" w:ascii="宋体" w:hAnsi="宋体" w:eastAsia="宋体"/>
          <w:b/>
          <w:bCs/>
          <w:sz w:val="24"/>
          <w:szCs w:val="24"/>
          <w:highlight w:val="none"/>
        </w:rPr>
        <w:t>八、其他要求</w:t>
      </w:r>
    </w:p>
    <w:p w14:paraId="6E197A5A">
      <w:pPr>
        <w:adjustRightInd w:val="0"/>
        <w:snapToGrid w:val="0"/>
        <w:spacing w:line="360" w:lineRule="auto"/>
        <w:ind w:firstLine="480"/>
        <w:jc w:val="left"/>
        <w:rPr>
          <w:rFonts w:hint="eastAsia" w:ascii="宋体" w:hAnsi="宋体" w:eastAsia="宋体"/>
          <w:bCs/>
          <w:sz w:val="24"/>
          <w:szCs w:val="24"/>
          <w:highlight w:val="none"/>
        </w:rPr>
      </w:pPr>
      <w:r>
        <w:rPr>
          <w:rFonts w:hint="eastAsia" w:ascii="宋体" w:hAnsi="宋体" w:eastAsia="宋体"/>
          <w:bCs/>
          <w:sz w:val="24"/>
          <w:szCs w:val="24"/>
          <w:highlight w:val="none"/>
        </w:rPr>
        <w:t>（一）投标人在服务过程中，必须遵守安全操作规章制度，如电梯发生安全人身伤亡事故，其所产生的一切责任由投标人承担。</w:t>
      </w:r>
    </w:p>
    <w:p w14:paraId="6277D21E">
      <w:pPr>
        <w:widowControl/>
        <w:tabs>
          <w:tab w:val="left" w:pos="7005"/>
        </w:tabs>
        <w:wordWrap w:val="0"/>
        <w:spacing w:line="360" w:lineRule="auto"/>
        <w:ind w:firstLine="480"/>
        <w:jc w:val="left"/>
        <w:rPr>
          <w:rFonts w:hint="eastAsia" w:ascii="宋体" w:hAnsi="宋体" w:eastAsia="宋体"/>
          <w:bCs/>
          <w:sz w:val="24"/>
          <w:szCs w:val="24"/>
          <w:highlight w:val="none"/>
        </w:rPr>
      </w:pPr>
      <w:r>
        <w:rPr>
          <w:rFonts w:hint="eastAsia" w:ascii="宋体" w:hAnsi="宋体" w:eastAsia="宋体"/>
          <w:sz w:val="24"/>
          <w:szCs w:val="24"/>
          <w:highlight w:val="none"/>
        </w:rPr>
        <w:t>（二）所有电梯故障投标人应承诺在接到招标人通知之日起</w:t>
      </w:r>
      <w:r>
        <w:rPr>
          <w:rFonts w:hint="eastAsia" w:ascii="宋体" w:hAnsi="宋体" w:eastAsia="宋体"/>
          <w:bCs/>
          <w:sz w:val="24"/>
          <w:szCs w:val="24"/>
          <w:highlight w:val="none"/>
        </w:rPr>
        <w:t>2天</w:t>
      </w:r>
      <w:r>
        <w:rPr>
          <w:rFonts w:hint="eastAsia" w:ascii="宋体" w:hAnsi="宋体" w:eastAsia="宋体"/>
          <w:sz w:val="24"/>
          <w:szCs w:val="24"/>
          <w:highlight w:val="none"/>
        </w:rPr>
        <w:t>之日修复完成，如果</w:t>
      </w:r>
      <w:r>
        <w:rPr>
          <w:rFonts w:hint="eastAsia" w:ascii="宋体" w:hAnsi="宋体" w:eastAsia="宋体"/>
          <w:bCs/>
          <w:sz w:val="24"/>
          <w:szCs w:val="24"/>
          <w:highlight w:val="none"/>
        </w:rPr>
        <w:t>2天</w:t>
      </w:r>
      <w:r>
        <w:rPr>
          <w:rFonts w:hint="eastAsia" w:ascii="宋体" w:hAnsi="宋体" w:eastAsia="宋体"/>
          <w:sz w:val="24"/>
          <w:szCs w:val="24"/>
          <w:highlight w:val="none"/>
        </w:rPr>
        <w:t>之内未将故障修复完成，投标人每超过</w:t>
      </w:r>
      <w:r>
        <w:rPr>
          <w:rFonts w:hint="eastAsia" w:ascii="宋体" w:hAnsi="宋体" w:eastAsia="宋体"/>
          <w:bCs/>
          <w:sz w:val="24"/>
          <w:szCs w:val="24"/>
          <w:highlight w:val="none"/>
        </w:rPr>
        <w:t>1天</w:t>
      </w:r>
      <w:r>
        <w:rPr>
          <w:rFonts w:hint="eastAsia" w:ascii="宋体" w:hAnsi="宋体" w:eastAsia="宋体"/>
          <w:sz w:val="24"/>
          <w:szCs w:val="24"/>
          <w:highlight w:val="none"/>
        </w:rPr>
        <w:t>应向招标人支付1000元的赔偿金额，连续超过7天还未将故障修复完成，招标人有权解除合同。如果故障排除涉及到需更换大部件零件，投标人需向招标人递交故障排除延时证明，且经招标人签字确认方可延时。</w:t>
      </w:r>
    </w:p>
    <w:p w14:paraId="29C4B9D1">
      <w:pPr>
        <w:widowControl/>
        <w:tabs>
          <w:tab w:val="left" w:pos="7005"/>
        </w:tabs>
        <w:wordWrap w:val="0"/>
        <w:spacing w:line="360" w:lineRule="auto"/>
        <w:ind w:firstLine="480"/>
        <w:jc w:val="left"/>
        <w:rPr>
          <w:rFonts w:hint="eastAsia" w:ascii="宋体" w:hAnsi="宋体" w:eastAsia="宋体"/>
          <w:sz w:val="24"/>
          <w:szCs w:val="24"/>
          <w:highlight w:val="none"/>
        </w:rPr>
      </w:pPr>
      <w:r>
        <w:rPr>
          <w:rFonts w:hint="eastAsia" w:ascii="宋体" w:hAnsi="宋体" w:eastAsia="宋体"/>
          <w:bCs/>
          <w:sz w:val="24"/>
          <w:szCs w:val="24"/>
          <w:highlight w:val="none"/>
        </w:rPr>
        <w:t>（三）投标人在服务过程中，应服从招标人安排。在不违反安全操作规章制度的要求下，投标人维保人员连续2次不服从或不及时响应招标人要求，招标人有权终止或解除合同，同时投标人应承担由此产生的损失和责任。</w:t>
      </w:r>
    </w:p>
    <w:p w14:paraId="7B19567F">
      <w:pPr>
        <w:widowControl/>
        <w:tabs>
          <w:tab w:val="left" w:pos="7005"/>
        </w:tabs>
        <w:wordWrap w:val="0"/>
        <w:spacing w:line="360" w:lineRule="auto"/>
        <w:ind w:firstLine="468"/>
        <w:jc w:val="left"/>
        <w:rPr>
          <w:rFonts w:hint="eastAsia" w:ascii="宋体" w:hAnsi="宋体" w:eastAsia="宋体"/>
          <w:bCs/>
          <w:sz w:val="24"/>
          <w:szCs w:val="24"/>
          <w:highlight w:val="none"/>
        </w:rPr>
      </w:pPr>
      <w:r>
        <w:rPr>
          <w:rFonts w:hint="eastAsia" w:ascii="宋体" w:hAnsi="宋体" w:eastAsia="宋体"/>
          <w:bCs/>
          <w:sz w:val="24"/>
          <w:szCs w:val="24"/>
          <w:highlight w:val="none"/>
        </w:rPr>
        <w:t>（四）本次投标报价包括所需维保电梯的保险、年检费用（若因中标人保养原因导致电梯年检不合格，中标人须在15天内完成整改，并承担复检费用）及限速器校验费。</w:t>
      </w:r>
    </w:p>
    <w:p w14:paraId="3DFFBB9F">
      <w:pPr>
        <w:widowControl/>
        <w:tabs>
          <w:tab w:val="left" w:pos="7005"/>
        </w:tabs>
        <w:wordWrap w:val="0"/>
        <w:spacing w:line="360" w:lineRule="auto"/>
        <w:ind w:firstLine="468"/>
        <w:jc w:val="left"/>
        <w:rPr>
          <w:rFonts w:hint="eastAsia" w:ascii="宋体" w:hAnsi="宋体" w:eastAsia="宋体"/>
          <w:bCs/>
          <w:sz w:val="24"/>
          <w:szCs w:val="24"/>
          <w:highlight w:val="none"/>
        </w:rPr>
      </w:pPr>
      <w:r>
        <w:rPr>
          <w:rFonts w:hint="eastAsia" w:ascii="宋体" w:hAnsi="宋体" w:eastAsia="宋体"/>
          <w:bCs/>
          <w:sz w:val="24"/>
          <w:szCs w:val="24"/>
          <w:highlight w:val="none"/>
        </w:rPr>
        <w:t>（五）投标人禁止对本项目进行分包、转包。</w:t>
      </w:r>
    </w:p>
    <w:p w14:paraId="29635625">
      <w:pPr>
        <w:widowControl/>
        <w:tabs>
          <w:tab w:val="left" w:pos="7005"/>
        </w:tabs>
        <w:wordWrap w:val="0"/>
        <w:spacing w:line="360" w:lineRule="auto"/>
        <w:ind w:firstLine="468"/>
        <w:jc w:val="left"/>
        <w:rPr>
          <w:rFonts w:hint="eastAsia" w:ascii="宋体" w:hAnsi="宋体" w:eastAsia="宋体"/>
          <w:bCs/>
          <w:sz w:val="24"/>
          <w:szCs w:val="24"/>
          <w:highlight w:val="none"/>
        </w:rPr>
      </w:pPr>
      <w:r>
        <w:rPr>
          <w:rFonts w:hint="eastAsia" w:ascii="宋体" w:hAnsi="宋体" w:eastAsia="宋体"/>
          <w:b/>
          <w:sz w:val="24"/>
          <w:szCs w:val="24"/>
          <w:highlight w:val="none"/>
        </w:rPr>
        <w:t>九、付款条件：</w:t>
      </w:r>
      <w:r>
        <w:rPr>
          <w:rFonts w:hint="eastAsia" w:ascii="宋体" w:hAnsi="宋体" w:eastAsia="宋体"/>
          <w:bCs/>
          <w:sz w:val="24"/>
          <w:szCs w:val="24"/>
          <w:highlight w:val="none"/>
        </w:rPr>
        <w:t>自合同签订之日起十日内支付合同总额的50％，服务期满后支付剩余50％。每次付款时供应商均须提供正规的发票。</w:t>
      </w:r>
    </w:p>
    <w:p w14:paraId="55295F7C">
      <w:pPr>
        <w:widowControl/>
        <w:tabs>
          <w:tab w:val="left" w:pos="7005"/>
        </w:tabs>
        <w:wordWrap w:val="0"/>
        <w:spacing w:line="360" w:lineRule="auto"/>
        <w:ind w:firstLine="468"/>
        <w:jc w:val="left"/>
        <w:rPr>
          <w:rFonts w:hint="eastAsia" w:ascii="宋体" w:hAnsi="宋体" w:eastAsia="宋体"/>
          <w:b/>
          <w:sz w:val="24"/>
          <w:szCs w:val="24"/>
          <w:highlight w:val="none"/>
        </w:rPr>
      </w:pPr>
      <w:r>
        <w:rPr>
          <w:rFonts w:hint="eastAsia" w:ascii="宋体" w:hAnsi="宋体" w:eastAsia="宋体"/>
          <w:b/>
          <w:sz w:val="24"/>
          <w:szCs w:val="24"/>
          <w:highlight w:val="none"/>
        </w:rPr>
        <w:t>十、投标文件编制，除</w:t>
      </w:r>
      <w:r>
        <w:rPr>
          <w:rFonts w:hint="eastAsia"/>
          <w:b/>
          <w:sz w:val="24"/>
          <w:szCs w:val="24"/>
          <w:highlight w:val="none"/>
          <w:lang w:val="en-US" w:eastAsia="zh-CN"/>
        </w:rPr>
        <w:t>招标</w:t>
      </w:r>
      <w:r>
        <w:rPr>
          <w:rFonts w:hint="eastAsia" w:ascii="宋体" w:hAnsi="宋体" w:eastAsia="宋体"/>
          <w:b/>
          <w:sz w:val="24"/>
          <w:szCs w:val="24"/>
          <w:highlight w:val="none"/>
        </w:rPr>
        <w:t>文件要求外，还包括但不限于以下内容：</w:t>
      </w:r>
    </w:p>
    <w:p w14:paraId="16F4D1B8">
      <w:pPr>
        <w:widowControl/>
        <w:tabs>
          <w:tab w:val="left" w:pos="7005"/>
        </w:tabs>
        <w:wordWrap w:val="0"/>
        <w:spacing w:line="360" w:lineRule="auto"/>
        <w:ind w:firstLine="468"/>
        <w:jc w:val="left"/>
        <w:rPr>
          <w:rFonts w:hint="eastAsia" w:ascii="宋体" w:hAnsi="宋体" w:eastAsia="宋体"/>
          <w:sz w:val="24"/>
          <w:szCs w:val="24"/>
          <w:highlight w:val="none"/>
        </w:rPr>
      </w:pPr>
      <w:r>
        <w:rPr>
          <w:rFonts w:hint="eastAsia" w:ascii="宋体" w:hAnsi="宋体" w:eastAsia="宋体"/>
          <w:sz w:val="24"/>
          <w:szCs w:val="24"/>
          <w:highlight w:val="none"/>
        </w:rPr>
        <w:t xml:space="preserve">（一）提供服务的总体服务设想、服务于本项目的重点、难点、思路等。 </w:t>
      </w:r>
    </w:p>
    <w:p w14:paraId="161CAAB1">
      <w:pPr>
        <w:widowControl/>
        <w:tabs>
          <w:tab w:val="left" w:pos="7005"/>
        </w:tabs>
        <w:wordWrap w:val="0"/>
        <w:spacing w:line="360" w:lineRule="auto"/>
        <w:ind w:firstLine="468"/>
        <w:jc w:val="left"/>
        <w:rPr>
          <w:rFonts w:hint="eastAsia" w:ascii="宋体" w:hAnsi="宋体" w:eastAsia="宋体"/>
          <w:sz w:val="24"/>
          <w:szCs w:val="24"/>
          <w:highlight w:val="none"/>
        </w:rPr>
      </w:pPr>
      <w:r>
        <w:rPr>
          <w:rFonts w:hint="eastAsia" w:ascii="宋体" w:hAnsi="宋体" w:eastAsia="宋体"/>
          <w:sz w:val="24"/>
          <w:szCs w:val="24"/>
          <w:highlight w:val="none"/>
        </w:rPr>
        <w:t>（二）服务方案、服务的岗位设置、部门职责、操作流程、各类规章制度及针对所做的研究方案等。</w:t>
      </w:r>
    </w:p>
    <w:p w14:paraId="59D876B1">
      <w:pPr>
        <w:widowControl/>
        <w:tabs>
          <w:tab w:val="left" w:pos="7005"/>
        </w:tabs>
        <w:wordWrap w:val="0"/>
        <w:spacing w:line="360" w:lineRule="auto"/>
        <w:ind w:firstLine="468"/>
        <w:jc w:val="left"/>
        <w:rPr>
          <w:rFonts w:hint="eastAsia" w:ascii="宋体" w:hAnsi="宋体" w:eastAsia="宋体"/>
          <w:sz w:val="24"/>
          <w:szCs w:val="24"/>
          <w:highlight w:val="none"/>
        </w:rPr>
      </w:pPr>
      <w:r>
        <w:rPr>
          <w:rFonts w:hint="eastAsia" w:ascii="宋体" w:hAnsi="宋体" w:eastAsia="宋体"/>
          <w:sz w:val="24"/>
          <w:szCs w:val="24"/>
          <w:highlight w:val="none"/>
        </w:rPr>
        <w:t>（三）实施方案、质量标准、服务承诺及服务措施。</w:t>
      </w:r>
    </w:p>
    <w:p w14:paraId="56040754">
      <w:pPr>
        <w:widowControl/>
        <w:tabs>
          <w:tab w:val="left" w:pos="7005"/>
        </w:tabs>
        <w:wordWrap w:val="0"/>
        <w:spacing w:line="360" w:lineRule="auto"/>
        <w:ind w:firstLine="468"/>
        <w:jc w:val="left"/>
        <w:rPr>
          <w:rFonts w:hint="eastAsia" w:ascii="宋体" w:hAnsi="宋体" w:eastAsia="宋体"/>
          <w:sz w:val="24"/>
          <w:szCs w:val="24"/>
          <w:highlight w:val="none"/>
        </w:rPr>
      </w:pPr>
      <w:r>
        <w:rPr>
          <w:rFonts w:hint="eastAsia" w:ascii="宋体" w:hAnsi="宋体" w:eastAsia="宋体"/>
          <w:sz w:val="24"/>
          <w:szCs w:val="24"/>
          <w:highlight w:val="none"/>
        </w:rPr>
        <w:t>（四）维保计划。</w:t>
      </w:r>
    </w:p>
    <w:p w14:paraId="639ED367">
      <w:pPr>
        <w:rPr>
          <w:rFonts w:hint="eastAsia" w:ascii="宋体" w:hAnsi="宋体" w:eastAsia="宋体"/>
          <w:sz w:val="24"/>
          <w:szCs w:val="24"/>
          <w:highlight w:val="none"/>
        </w:rPr>
      </w:pPr>
      <w:r>
        <w:rPr>
          <w:rFonts w:hint="eastAsia" w:ascii="宋体" w:hAnsi="宋体" w:eastAsia="宋体"/>
          <w:sz w:val="24"/>
          <w:szCs w:val="24"/>
          <w:highlight w:val="none"/>
        </w:rPr>
        <w:br w:type="page"/>
      </w:r>
    </w:p>
    <w:p w14:paraId="1F284B30">
      <w:pPr>
        <w:widowControl/>
        <w:tabs>
          <w:tab w:val="left" w:pos="7005"/>
        </w:tabs>
        <w:wordWrap w:val="0"/>
        <w:spacing w:line="360" w:lineRule="auto"/>
        <w:jc w:val="left"/>
        <w:rPr>
          <w:rFonts w:hint="eastAsia" w:ascii="宋体" w:hAnsi="宋体" w:eastAsia="宋体" w:cs="宋体"/>
          <w:sz w:val="28"/>
          <w:szCs w:val="28"/>
          <w:highlight w:val="none"/>
          <w:lang w:eastAsia="zh-CN"/>
        </w:rPr>
      </w:pPr>
      <w:r>
        <w:rPr>
          <w:rFonts w:hint="eastAsia" w:ascii="宋体" w:hAnsi="宋体" w:eastAsia="宋体" w:cs="宋体"/>
          <w:b/>
          <w:bCs/>
          <w:sz w:val="28"/>
          <w:szCs w:val="28"/>
          <w:highlight w:val="none"/>
          <w:lang w:eastAsia="zh-CN"/>
        </w:rPr>
        <w:t>电梯配件清单包括但不限于表格中配件</w:t>
      </w:r>
    </w:p>
    <w:p w14:paraId="67D923B0">
      <w:pPr>
        <w:pStyle w:val="17"/>
        <w:spacing w:before="29" w:line="219" w:lineRule="auto"/>
        <w:ind w:left="8"/>
        <w:outlineLvl w:val="4"/>
        <w:rPr>
          <w:rFonts w:hint="eastAsia"/>
          <w:sz w:val="21"/>
          <w:szCs w:val="21"/>
          <w:highlight w:val="none"/>
          <w:lang w:eastAsia="zh-CN"/>
        </w:rPr>
      </w:pPr>
      <w:r>
        <w:rPr>
          <w:b/>
          <w:bCs/>
          <w:sz w:val="21"/>
          <w:szCs w:val="21"/>
          <w:highlight w:val="none"/>
          <w:lang w:eastAsia="zh-CN"/>
        </w:rPr>
        <w:t>1000元以下电梯易损配件清单</w:t>
      </w:r>
    </w:p>
    <w:tbl>
      <w:tblPr>
        <w:tblStyle w:val="39"/>
        <w:tblW w:w="5000" w:type="pct"/>
        <w:tblInd w:w="0" w:type="dxa"/>
        <w:tblLayout w:type="autofit"/>
        <w:tblCellMar>
          <w:top w:w="0" w:type="dxa"/>
          <w:left w:w="108" w:type="dxa"/>
          <w:bottom w:w="0" w:type="dxa"/>
          <w:right w:w="108" w:type="dxa"/>
        </w:tblCellMar>
      </w:tblPr>
      <w:tblGrid>
        <w:gridCol w:w="669"/>
        <w:gridCol w:w="2526"/>
        <w:gridCol w:w="975"/>
        <w:gridCol w:w="704"/>
        <w:gridCol w:w="2709"/>
        <w:gridCol w:w="1000"/>
      </w:tblGrid>
      <w:tr w14:paraId="6EA64EFB">
        <w:tblPrEx>
          <w:tblCellMar>
            <w:top w:w="0" w:type="dxa"/>
            <w:left w:w="108" w:type="dxa"/>
            <w:bottom w:w="0" w:type="dxa"/>
            <w:right w:w="108" w:type="dxa"/>
          </w:tblCellMar>
        </w:tblPrEx>
        <w:trPr>
          <w:trHeight w:val="276" w:hRule="atLeast"/>
        </w:trPr>
        <w:tc>
          <w:tcPr>
            <w:tcW w:w="400" w:type="pct"/>
            <w:tcBorders>
              <w:top w:val="single" w:color="auto" w:sz="4" w:space="0"/>
              <w:left w:val="single" w:color="auto" w:sz="4" w:space="0"/>
              <w:bottom w:val="single" w:color="auto" w:sz="4" w:space="0"/>
              <w:right w:val="single" w:color="auto" w:sz="4" w:space="0"/>
            </w:tcBorders>
            <w:vAlign w:val="center"/>
          </w:tcPr>
          <w:p w14:paraId="103AFA1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1420" w:type="pct"/>
            <w:tcBorders>
              <w:top w:val="single" w:color="auto" w:sz="4" w:space="0"/>
              <w:left w:val="nil"/>
              <w:bottom w:val="single" w:color="auto" w:sz="4" w:space="0"/>
              <w:right w:val="single" w:color="auto" w:sz="4" w:space="0"/>
            </w:tcBorders>
            <w:vAlign w:val="center"/>
          </w:tcPr>
          <w:p w14:paraId="419843E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物料名称</w:t>
            </w:r>
          </w:p>
        </w:tc>
        <w:tc>
          <w:tcPr>
            <w:tcW w:w="578" w:type="pct"/>
            <w:tcBorders>
              <w:top w:val="single" w:color="auto" w:sz="4" w:space="0"/>
              <w:left w:val="nil"/>
              <w:bottom w:val="single" w:color="auto" w:sz="4" w:space="0"/>
              <w:right w:val="single" w:color="auto" w:sz="4" w:space="0"/>
            </w:tcBorders>
            <w:vAlign w:val="center"/>
          </w:tcPr>
          <w:p w14:paraId="0972CE9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销售单位</w:t>
            </w:r>
          </w:p>
        </w:tc>
        <w:tc>
          <w:tcPr>
            <w:tcW w:w="420" w:type="pct"/>
            <w:tcBorders>
              <w:top w:val="single" w:color="auto" w:sz="4" w:space="0"/>
              <w:left w:val="nil"/>
              <w:bottom w:val="single" w:color="auto" w:sz="4" w:space="0"/>
              <w:right w:val="single" w:color="auto" w:sz="4" w:space="0"/>
            </w:tcBorders>
            <w:vAlign w:val="center"/>
          </w:tcPr>
          <w:p w14:paraId="146B40A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1587" w:type="pct"/>
            <w:tcBorders>
              <w:top w:val="single" w:color="auto" w:sz="4" w:space="0"/>
              <w:left w:val="nil"/>
              <w:bottom w:val="single" w:color="auto" w:sz="4" w:space="0"/>
              <w:right w:val="single" w:color="auto" w:sz="4" w:space="0"/>
            </w:tcBorders>
            <w:vAlign w:val="center"/>
          </w:tcPr>
          <w:p w14:paraId="719B43E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物料名称</w:t>
            </w:r>
          </w:p>
        </w:tc>
        <w:tc>
          <w:tcPr>
            <w:tcW w:w="592" w:type="pct"/>
            <w:tcBorders>
              <w:top w:val="single" w:color="auto" w:sz="4" w:space="0"/>
              <w:left w:val="nil"/>
              <w:bottom w:val="single" w:color="auto" w:sz="4" w:space="0"/>
              <w:right w:val="single" w:color="auto" w:sz="4" w:space="0"/>
            </w:tcBorders>
            <w:vAlign w:val="center"/>
          </w:tcPr>
          <w:p w14:paraId="6C8969A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销售单位</w:t>
            </w:r>
          </w:p>
        </w:tc>
      </w:tr>
      <w:tr w14:paraId="144920D3">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7D30D90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420" w:type="pct"/>
            <w:tcBorders>
              <w:top w:val="nil"/>
              <w:left w:val="nil"/>
              <w:bottom w:val="single" w:color="auto" w:sz="4" w:space="0"/>
              <w:right w:val="single" w:color="auto" w:sz="4" w:space="0"/>
            </w:tcBorders>
            <w:vAlign w:val="center"/>
          </w:tcPr>
          <w:p w14:paraId="56021C3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门滑块，AMD</w:t>
            </w:r>
          </w:p>
        </w:tc>
        <w:tc>
          <w:tcPr>
            <w:tcW w:w="578" w:type="pct"/>
            <w:tcBorders>
              <w:top w:val="nil"/>
              <w:left w:val="nil"/>
              <w:bottom w:val="single" w:color="auto" w:sz="4" w:space="0"/>
              <w:right w:val="single" w:color="auto" w:sz="4" w:space="0"/>
            </w:tcBorders>
            <w:vAlign w:val="center"/>
          </w:tcPr>
          <w:p w14:paraId="2A02030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2A3B56E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155</w:t>
            </w:r>
          </w:p>
        </w:tc>
        <w:tc>
          <w:tcPr>
            <w:tcW w:w="1587" w:type="pct"/>
            <w:tcBorders>
              <w:top w:val="nil"/>
              <w:left w:val="nil"/>
              <w:bottom w:val="single" w:color="auto" w:sz="4" w:space="0"/>
              <w:right w:val="single" w:color="auto" w:sz="4" w:space="0"/>
            </w:tcBorders>
            <w:vAlign w:val="center"/>
          </w:tcPr>
          <w:p w14:paraId="41826FB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油杯,9MM</w:t>
            </w:r>
          </w:p>
        </w:tc>
        <w:tc>
          <w:tcPr>
            <w:tcW w:w="592" w:type="pct"/>
            <w:tcBorders>
              <w:top w:val="nil"/>
              <w:left w:val="nil"/>
              <w:bottom w:val="single" w:color="auto" w:sz="4" w:space="0"/>
              <w:right w:val="single" w:color="auto" w:sz="4" w:space="0"/>
            </w:tcBorders>
            <w:vAlign w:val="center"/>
          </w:tcPr>
          <w:p w14:paraId="4405242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1880226A">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547CEFA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420" w:type="pct"/>
            <w:tcBorders>
              <w:top w:val="nil"/>
              <w:left w:val="nil"/>
              <w:bottom w:val="single" w:color="auto" w:sz="4" w:space="0"/>
              <w:right w:val="single" w:color="auto" w:sz="4" w:space="0"/>
            </w:tcBorders>
            <w:vAlign w:val="center"/>
          </w:tcPr>
          <w:p w14:paraId="5802D1E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钢丝绳,PAWO F10 D9.5MM</w:t>
            </w:r>
          </w:p>
        </w:tc>
        <w:tc>
          <w:tcPr>
            <w:tcW w:w="578" w:type="pct"/>
            <w:tcBorders>
              <w:top w:val="nil"/>
              <w:left w:val="nil"/>
              <w:bottom w:val="single" w:color="auto" w:sz="4" w:space="0"/>
              <w:right w:val="single" w:color="auto" w:sz="4" w:space="0"/>
            </w:tcBorders>
            <w:vAlign w:val="center"/>
          </w:tcPr>
          <w:p w14:paraId="7F3C5F6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M</w:t>
            </w:r>
          </w:p>
        </w:tc>
        <w:tc>
          <w:tcPr>
            <w:tcW w:w="420" w:type="pct"/>
            <w:tcBorders>
              <w:top w:val="nil"/>
              <w:left w:val="nil"/>
              <w:bottom w:val="single" w:color="auto" w:sz="4" w:space="0"/>
              <w:right w:val="single" w:color="auto" w:sz="4" w:space="0"/>
            </w:tcBorders>
            <w:vAlign w:val="center"/>
          </w:tcPr>
          <w:p w14:paraId="4A24678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156</w:t>
            </w:r>
          </w:p>
        </w:tc>
        <w:tc>
          <w:tcPr>
            <w:tcW w:w="1587" w:type="pct"/>
            <w:tcBorders>
              <w:top w:val="nil"/>
              <w:left w:val="nil"/>
              <w:bottom w:val="single" w:color="auto" w:sz="4" w:space="0"/>
              <w:right w:val="single" w:color="auto" w:sz="4" w:space="0"/>
            </w:tcBorders>
            <w:vAlign w:val="center"/>
          </w:tcPr>
          <w:p w14:paraId="71A57F8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SLG6导靴，T70/T82</w:t>
            </w:r>
          </w:p>
        </w:tc>
        <w:tc>
          <w:tcPr>
            <w:tcW w:w="592" w:type="pct"/>
            <w:tcBorders>
              <w:top w:val="nil"/>
              <w:left w:val="nil"/>
              <w:bottom w:val="single" w:color="auto" w:sz="4" w:space="0"/>
              <w:right w:val="single" w:color="auto" w:sz="4" w:space="0"/>
            </w:tcBorders>
            <w:vAlign w:val="center"/>
          </w:tcPr>
          <w:p w14:paraId="751A998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104D3601">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06B4FEA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1420" w:type="pct"/>
            <w:tcBorders>
              <w:top w:val="nil"/>
              <w:left w:val="nil"/>
              <w:bottom w:val="single" w:color="auto" w:sz="4" w:space="0"/>
              <w:right w:val="single" w:color="auto" w:sz="4" w:space="0"/>
            </w:tcBorders>
            <w:vAlign w:val="center"/>
          </w:tcPr>
          <w:p w14:paraId="689ACED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电池,12V 7AH</w:t>
            </w:r>
          </w:p>
        </w:tc>
        <w:tc>
          <w:tcPr>
            <w:tcW w:w="578" w:type="pct"/>
            <w:tcBorders>
              <w:top w:val="nil"/>
              <w:left w:val="nil"/>
              <w:bottom w:val="single" w:color="auto" w:sz="4" w:space="0"/>
              <w:right w:val="single" w:color="auto" w:sz="4" w:space="0"/>
            </w:tcBorders>
            <w:vAlign w:val="center"/>
          </w:tcPr>
          <w:p w14:paraId="15FF184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7654334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157</w:t>
            </w:r>
          </w:p>
        </w:tc>
        <w:tc>
          <w:tcPr>
            <w:tcW w:w="1587" w:type="pct"/>
            <w:tcBorders>
              <w:top w:val="nil"/>
              <w:left w:val="nil"/>
              <w:bottom w:val="single" w:color="auto" w:sz="4" w:space="0"/>
              <w:right w:val="single" w:color="auto" w:sz="4" w:space="0"/>
            </w:tcBorders>
            <w:vAlign w:val="center"/>
          </w:tcPr>
          <w:p w14:paraId="173F83C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CR600-NF限位开关，粗头，8m线缆</w:t>
            </w:r>
          </w:p>
        </w:tc>
        <w:tc>
          <w:tcPr>
            <w:tcW w:w="592" w:type="pct"/>
            <w:tcBorders>
              <w:top w:val="nil"/>
              <w:left w:val="nil"/>
              <w:bottom w:val="single" w:color="auto" w:sz="4" w:space="0"/>
              <w:right w:val="single" w:color="auto" w:sz="4" w:space="0"/>
            </w:tcBorders>
            <w:vAlign w:val="center"/>
          </w:tcPr>
          <w:p w14:paraId="7AAE6B0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7BE55B1E">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7D1D700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1420" w:type="pct"/>
            <w:tcBorders>
              <w:top w:val="nil"/>
              <w:left w:val="nil"/>
              <w:bottom w:val="single" w:color="auto" w:sz="4" w:space="0"/>
              <w:right w:val="single" w:color="auto" w:sz="4" w:space="0"/>
            </w:tcBorders>
            <w:vAlign w:val="center"/>
          </w:tcPr>
          <w:p w14:paraId="6D60523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钢丝绳 PAWO F3,D=16MM</w:t>
            </w:r>
          </w:p>
        </w:tc>
        <w:tc>
          <w:tcPr>
            <w:tcW w:w="578" w:type="pct"/>
            <w:tcBorders>
              <w:top w:val="nil"/>
              <w:left w:val="nil"/>
              <w:bottom w:val="single" w:color="auto" w:sz="4" w:space="0"/>
              <w:right w:val="single" w:color="auto" w:sz="4" w:space="0"/>
            </w:tcBorders>
            <w:vAlign w:val="center"/>
          </w:tcPr>
          <w:p w14:paraId="233F5B3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M</w:t>
            </w:r>
          </w:p>
        </w:tc>
        <w:tc>
          <w:tcPr>
            <w:tcW w:w="420" w:type="pct"/>
            <w:tcBorders>
              <w:top w:val="nil"/>
              <w:left w:val="nil"/>
              <w:bottom w:val="single" w:color="auto" w:sz="4" w:space="0"/>
              <w:right w:val="single" w:color="auto" w:sz="4" w:space="0"/>
            </w:tcBorders>
            <w:vAlign w:val="center"/>
          </w:tcPr>
          <w:p w14:paraId="509AB58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158</w:t>
            </w:r>
          </w:p>
        </w:tc>
        <w:tc>
          <w:tcPr>
            <w:tcW w:w="1587" w:type="pct"/>
            <w:tcBorders>
              <w:top w:val="nil"/>
              <w:left w:val="nil"/>
              <w:bottom w:val="single" w:color="auto" w:sz="4" w:space="0"/>
              <w:right w:val="single" w:color="auto" w:sz="4" w:space="0"/>
            </w:tcBorders>
            <w:vAlign w:val="center"/>
          </w:tcPr>
          <w:p w14:paraId="5A32DB8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按钮片,关门</w:t>
            </w:r>
          </w:p>
        </w:tc>
        <w:tc>
          <w:tcPr>
            <w:tcW w:w="592" w:type="pct"/>
            <w:tcBorders>
              <w:top w:val="nil"/>
              <w:left w:val="nil"/>
              <w:bottom w:val="single" w:color="auto" w:sz="4" w:space="0"/>
              <w:right w:val="single" w:color="auto" w:sz="4" w:space="0"/>
            </w:tcBorders>
            <w:vAlign w:val="center"/>
          </w:tcPr>
          <w:p w14:paraId="6C1BA71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1DF01E98">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28E5783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1420" w:type="pct"/>
            <w:tcBorders>
              <w:top w:val="nil"/>
              <w:left w:val="nil"/>
              <w:bottom w:val="single" w:color="auto" w:sz="4" w:space="0"/>
              <w:right w:val="single" w:color="auto" w:sz="4" w:space="0"/>
            </w:tcBorders>
            <w:vAlign w:val="center"/>
          </w:tcPr>
          <w:p w14:paraId="0641F2F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SLG20导靴靴衬,K=16mm</w:t>
            </w:r>
          </w:p>
        </w:tc>
        <w:tc>
          <w:tcPr>
            <w:tcW w:w="578" w:type="pct"/>
            <w:tcBorders>
              <w:top w:val="nil"/>
              <w:left w:val="nil"/>
              <w:bottom w:val="single" w:color="auto" w:sz="4" w:space="0"/>
              <w:right w:val="single" w:color="auto" w:sz="4" w:space="0"/>
            </w:tcBorders>
            <w:vAlign w:val="center"/>
          </w:tcPr>
          <w:p w14:paraId="2B12691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PAC</w:t>
            </w:r>
          </w:p>
        </w:tc>
        <w:tc>
          <w:tcPr>
            <w:tcW w:w="420" w:type="pct"/>
            <w:tcBorders>
              <w:top w:val="nil"/>
              <w:left w:val="nil"/>
              <w:bottom w:val="single" w:color="auto" w:sz="4" w:space="0"/>
              <w:right w:val="single" w:color="auto" w:sz="4" w:space="0"/>
            </w:tcBorders>
            <w:vAlign w:val="center"/>
          </w:tcPr>
          <w:p w14:paraId="7C5640C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159</w:t>
            </w:r>
          </w:p>
        </w:tc>
        <w:tc>
          <w:tcPr>
            <w:tcW w:w="1587" w:type="pct"/>
            <w:tcBorders>
              <w:top w:val="nil"/>
              <w:left w:val="nil"/>
              <w:bottom w:val="single" w:color="auto" w:sz="4" w:space="0"/>
              <w:right w:val="single" w:color="auto" w:sz="4" w:space="0"/>
            </w:tcBorders>
            <w:vAlign w:val="center"/>
          </w:tcPr>
          <w:p w14:paraId="1400706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限位开关</w:t>
            </w:r>
          </w:p>
        </w:tc>
        <w:tc>
          <w:tcPr>
            <w:tcW w:w="592" w:type="pct"/>
            <w:tcBorders>
              <w:top w:val="nil"/>
              <w:left w:val="nil"/>
              <w:bottom w:val="single" w:color="auto" w:sz="4" w:space="0"/>
              <w:right w:val="single" w:color="auto" w:sz="4" w:space="0"/>
            </w:tcBorders>
            <w:vAlign w:val="center"/>
          </w:tcPr>
          <w:p w14:paraId="6FE421C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67D3F48E">
        <w:tblPrEx>
          <w:tblCellMar>
            <w:top w:w="0" w:type="dxa"/>
            <w:left w:w="108" w:type="dxa"/>
            <w:bottom w:w="0" w:type="dxa"/>
            <w:right w:w="108" w:type="dxa"/>
          </w:tblCellMar>
        </w:tblPrEx>
        <w:trPr>
          <w:trHeight w:val="480" w:hRule="atLeast"/>
        </w:trPr>
        <w:tc>
          <w:tcPr>
            <w:tcW w:w="400" w:type="pct"/>
            <w:tcBorders>
              <w:top w:val="nil"/>
              <w:left w:val="single" w:color="auto" w:sz="4" w:space="0"/>
              <w:bottom w:val="single" w:color="auto" w:sz="4" w:space="0"/>
              <w:right w:val="single" w:color="auto" w:sz="4" w:space="0"/>
            </w:tcBorders>
            <w:vAlign w:val="center"/>
          </w:tcPr>
          <w:p w14:paraId="1FD25E4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1420" w:type="pct"/>
            <w:tcBorders>
              <w:top w:val="nil"/>
              <w:left w:val="nil"/>
              <w:bottom w:val="single" w:color="auto" w:sz="4" w:space="0"/>
              <w:right w:val="single" w:color="auto" w:sz="4" w:space="0"/>
            </w:tcBorders>
            <w:vAlign w:val="center"/>
          </w:tcPr>
          <w:p w14:paraId="6478627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保险丝1A</w:t>
            </w:r>
          </w:p>
        </w:tc>
        <w:tc>
          <w:tcPr>
            <w:tcW w:w="578" w:type="pct"/>
            <w:tcBorders>
              <w:top w:val="nil"/>
              <w:left w:val="nil"/>
              <w:bottom w:val="single" w:color="auto" w:sz="4" w:space="0"/>
              <w:right w:val="single" w:color="auto" w:sz="4" w:space="0"/>
            </w:tcBorders>
            <w:vAlign w:val="center"/>
          </w:tcPr>
          <w:p w14:paraId="7966A62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7200289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160</w:t>
            </w:r>
          </w:p>
        </w:tc>
        <w:tc>
          <w:tcPr>
            <w:tcW w:w="1587" w:type="pct"/>
            <w:tcBorders>
              <w:top w:val="nil"/>
              <w:left w:val="nil"/>
              <w:bottom w:val="single" w:color="auto" w:sz="4" w:space="0"/>
              <w:right w:val="single" w:color="auto" w:sz="4" w:space="0"/>
            </w:tcBorders>
            <w:vAlign w:val="center"/>
          </w:tcPr>
          <w:p w14:paraId="0B21F23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紧急开锁装置, NBSL厅门TA051-142G01</w:t>
            </w:r>
          </w:p>
        </w:tc>
        <w:tc>
          <w:tcPr>
            <w:tcW w:w="592" w:type="pct"/>
            <w:tcBorders>
              <w:top w:val="nil"/>
              <w:left w:val="nil"/>
              <w:bottom w:val="single" w:color="auto" w:sz="4" w:space="0"/>
              <w:right w:val="single" w:color="auto" w:sz="4" w:space="0"/>
            </w:tcBorders>
            <w:vAlign w:val="center"/>
          </w:tcPr>
          <w:p w14:paraId="3055D4D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387F5694">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4959D65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w:t>
            </w:r>
          </w:p>
        </w:tc>
        <w:tc>
          <w:tcPr>
            <w:tcW w:w="1420" w:type="pct"/>
            <w:tcBorders>
              <w:top w:val="nil"/>
              <w:left w:val="nil"/>
              <w:bottom w:val="single" w:color="auto" w:sz="4" w:space="0"/>
              <w:right w:val="single" w:color="auto" w:sz="4" w:space="0"/>
            </w:tcBorders>
            <w:vAlign w:val="center"/>
          </w:tcPr>
          <w:p w14:paraId="16815B0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补偿链导向轮D71/65MM</w:t>
            </w:r>
          </w:p>
        </w:tc>
        <w:tc>
          <w:tcPr>
            <w:tcW w:w="578" w:type="pct"/>
            <w:tcBorders>
              <w:top w:val="nil"/>
              <w:left w:val="nil"/>
              <w:bottom w:val="single" w:color="auto" w:sz="4" w:space="0"/>
              <w:right w:val="single" w:color="auto" w:sz="4" w:space="0"/>
            </w:tcBorders>
            <w:vAlign w:val="center"/>
          </w:tcPr>
          <w:p w14:paraId="7B8E83B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25610C8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161</w:t>
            </w:r>
          </w:p>
        </w:tc>
        <w:tc>
          <w:tcPr>
            <w:tcW w:w="1587" w:type="pct"/>
            <w:tcBorders>
              <w:top w:val="nil"/>
              <w:left w:val="nil"/>
              <w:bottom w:val="single" w:color="auto" w:sz="4" w:space="0"/>
              <w:right w:val="single" w:color="auto" w:sz="4" w:space="0"/>
            </w:tcBorders>
            <w:vAlign w:val="center"/>
          </w:tcPr>
          <w:p w14:paraId="172B793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滚珠轴承,6220-2RS1 C3MTF3</w:t>
            </w:r>
          </w:p>
        </w:tc>
        <w:tc>
          <w:tcPr>
            <w:tcW w:w="592" w:type="pct"/>
            <w:tcBorders>
              <w:top w:val="nil"/>
              <w:left w:val="nil"/>
              <w:bottom w:val="single" w:color="auto" w:sz="4" w:space="0"/>
              <w:right w:val="single" w:color="auto" w:sz="4" w:space="0"/>
            </w:tcBorders>
            <w:vAlign w:val="center"/>
          </w:tcPr>
          <w:p w14:paraId="79D6978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2E42506E">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08294B7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w:t>
            </w:r>
          </w:p>
        </w:tc>
        <w:tc>
          <w:tcPr>
            <w:tcW w:w="1420" w:type="pct"/>
            <w:tcBorders>
              <w:top w:val="nil"/>
              <w:left w:val="nil"/>
              <w:bottom w:val="single" w:color="auto" w:sz="4" w:space="0"/>
              <w:right w:val="single" w:color="auto" w:sz="4" w:space="0"/>
            </w:tcBorders>
            <w:vAlign w:val="center"/>
          </w:tcPr>
          <w:p w14:paraId="334052E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限速器钢丝绳, PAWO F1, D=6MM</w:t>
            </w:r>
          </w:p>
        </w:tc>
        <w:tc>
          <w:tcPr>
            <w:tcW w:w="578" w:type="pct"/>
            <w:tcBorders>
              <w:top w:val="nil"/>
              <w:left w:val="nil"/>
              <w:bottom w:val="single" w:color="auto" w:sz="4" w:space="0"/>
              <w:right w:val="single" w:color="auto" w:sz="4" w:space="0"/>
            </w:tcBorders>
            <w:vAlign w:val="center"/>
          </w:tcPr>
          <w:p w14:paraId="45B8E60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M</w:t>
            </w:r>
          </w:p>
        </w:tc>
        <w:tc>
          <w:tcPr>
            <w:tcW w:w="420" w:type="pct"/>
            <w:tcBorders>
              <w:top w:val="nil"/>
              <w:left w:val="nil"/>
              <w:bottom w:val="single" w:color="auto" w:sz="4" w:space="0"/>
              <w:right w:val="single" w:color="auto" w:sz="4" w:space="0"/>
            </w:tcBorders>
            <w:vAlign w:val="center"/>
          </w:tcPr>
          <w:p w14:paraId="615E1F7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162</w:t>
            </w:r>
          </w:p>
        </w:tc>
        <w:tc>
          <w:tcPr>
            <w:tcW w:w="1587" w:type="pct"/>
            <w:tcBorders>
              <w:top w:val="nil"/>
              <w:left w:val="nil"/>
              <w:bottom w:val="single" w:color="auto" w:sz="4" w:space="0"/>
              <w:right w:val="single" w:color="auto" w:sz="4" w:space="0"/>
            </w:tcBorders>
            <w:vAlign w:val="center"/>
          </w:tcPr>
          <w:p w14:paraId="72E91E0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门挂轮D94/83.4MM W=19MM</w:t>
            </w:r>
          </w:p>
        </w:tc>
        <w:tc>
          <w:tcPr>
            <w:tcW w:w="592" w:type="pct"/>
            <w:tcBorders>
              <w:top w:val="nil"/>
              <w:left w:val="nil"/>
              <w:bottom w:val="single" w:color="auto" w:sz="4" w:space="0"/>
              <w:right w:val="single" w:color="auto" w:sz="4" w:space="0"/>
            </w:tcBorders>
            <w:vAlign w:val="center"/>
          </w:tcPr>
          <w:p w14:paraId="74319C3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3BA36E14">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4114683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w:t>
            </w:r>
          </w:p>
        </w:tc>
        <w:tc>
          <w:tcPr>
            <w:tcW w:w="1420" w:type="pct"/>
            <w:tcBorders>
              <w:top w:val="nil"/>
              <w:left w:val="nil"/>
              <w:bottom w:val="single" w:color="auto" w:sz="4" w:space="0"/>
              <w:right w:val="single" w:color="auto" w:sz="4" w:space="0"/>
            </w:tcBorders>
            <w:vAlign w:val="center"/>
          </w:tcPr>
          <w:p w14:paraId="46EE370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对讲机电源适配器 PP-2G</w:t>
            </w:r>
          </w:p>
        </w:tc>
        <w:tc>
          <w:tcPr>
            <w:tcW w:w="578" w:type="pct"/>
            <w:tcBorders>
              <w:top w:val="nil"/>
              <w:left w:val="nil"/>
              <w:bottom w:val="single" w:color="auto" w:sz="4" w:space="0"/>
              <w:right w:val="single" w:color="auto" w:sz="4" w:space="0"/>
            </w:tcBorders>
            <w:vAlign w:val="center"/>
          </w:tcPr>
          <w:p w14:paraId="3BC1105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789C671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163</w:t>
            </w:r>
          </w:p>
        </w:tc>
        <w:tc>
          <w:tcPr>
            <w:tcW w:w="1587" w:type="pct"/>
            <w:tcBorders>
              <w:top w:val="nil"/>
              <w:left w:val="nil"/>
              <w:bottom w:val="single" w:color="auto" w:sz="4" w:space="0"/>
              <w:right w:val="single" w:color="auto" w:sz="4" w:space="0"/>
            </w:tcBorders>
            <w:vAlign w:val="center"/>
          </w:tcPr>
          <w:p w14:paraId="232BD1D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滚轮, D100/32MM W=27MM</w:t>
            </w:r>
          </w:p>
        </w:tc>
        <w:tc>
          <w:tcPr>
            <w:tcW w:w="592" w:type="pct"/>
            <w:tcBorders>
              <w:top w:val="nil"/>
              <w:left w:val="nil"/>
              <w:bottom w:val="single" w:color="auto" w:sz="4" w:space="0"/>
              <w:right w:val="single" w:color="auto" w:sz="4" w:space="0"/>
            </w:tcBorders>
            <w:vAlign w:val="center"/>
          </w:tcPr>
          <w:p w14:paraId="631F1CD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08748AEB">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07C2D1A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10</w:t>
            </w:r>
          </w:p>
        </w:tc>
        <w:tc>
          <w:tcPr>
            <w:tcW w:w="1420" w:type="pct"/>
            <w:tcBorders>
              <w:top w:val="nil"/>
              <w:left w:val="nil"/>
              <w:bottom w:val="single" w:color="auto" w:sz="4" w:space="0"/>
              <w:right w:val="single" w:color="auto" w:sz="4" w:space="0"/>
            </w:tcBorders>
            <w:vAlign w:val="center"/>
          </w:tcPr>
          <w:p w14:paraId="57F1CC1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外門重錘鉈保護套</w:t>
            </w:r>
          </w:p>
        </w:tc>
        <w:tc>
          <w:tcPr>
            <w:tcW w:w="578" w:type="pct"/>
            <w:tcBorders>
              <w:top w:val="nil"/>
              <w:left w:val="nil"/>
              <w:bottom w:val="single" w:color="auto" w:sz="4" w:space="0"/>
              <w:right w:val="single" w:color="auto" w:sz="4" w:space="0"/>
            </w:tcBorders>
            <w:vAlign w:val="center"/>
          </w:tcPr>
          <w:p w14:paraId="722F285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162C060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164</w:t>
            </w:r>
          </w:p>
        </w:tc>
        <w:tc>
          <w:tcPr>
            <w:tcW w:w="1587" w:type="pct"/>
            <w:tcBorders>
              <w:top w:val="nil"/>
              <w:left w:val="nil"/>
              <w:bottom w:val="single" w:color="auto" w:sz="4" w:space="0"/>
              <w:right w:val="single" w:color="auto" w:sz="4" w:space="0"/>
            </w:tcBorders>
            <w:vAlign w:val="center"/>
          </w:tcPr>
          <w:p w14:paraId="31EFDB7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Delta COP PCB板 八按钮</w:t>
            </w:r>
          </w:p>
        </w:tc>
        <w:tc>
          <w:tcPr>
            <w:tcW w:w="592" w:type="pct"/>
            <w:tcBorders>
              <w:top w:val="nil"/>
              <w:left w:val="nil"/>
              <w:bottom w:val="single" w:color="auto" w:sz="4" w:space="0"/>
              <w:right w:val="single" w:color="auto" w:sz="4" w:space="0"/>
            </w:tcBorders>
            <w:vAlign w:val="center"/>
          </w:tcPr>
          <w:p w14:paraId="59C2278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2A424696">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7A02176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w:t>
            </w:r>
          </w:p>
        </w:tc>
        <w:tc>
          <w:tcPr>
            <w:tcW w:w="1420" w:type="pct"/>
            <w:tcBorders>
              <w:top w:val="nil"/>
              <w:left w:val="nil"/>
              <w:bottom w:val="single" w:color="auto" w:sz="4" w:space="0"/>
              <w:right w:val="single" w:color="auto" w:sz="4" w:space="0"/>
            </w:tcBorders>
            <w:vAlign w:val="center"/>
          </w:tcPr>
          <w:p w14:paraId="3D49004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门球,D31.5MM W=23MM</w:t>
            </w:r>
          </w:p>
        </w:tc>
        <w:tc>
          <w:tcPr>
            <w:tcW w:w="578" w:type="pct"/>
            <w:tcBorders>
              <w:top w:val="nil"/>
              <w:left w:val="nil"/>
              <w:bottom w:val="single" w:color="auto" w:sz="4" w:space="0"/>
              <w:right w:val="single" w:color="auto" w:sz="4" w:space="0"/>
            </w:tcBorders>
            <w:vAlign w:val="center"/>
          </w:tcPr>
          <w:p w14:paraId="349C2AE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6627104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165</w:t>
            </w:r>
          </w:p>
        </w:tc>
        <w:tc>
          <w:tcPr>
            <w:tcW w:w="1587" w:type="pct"/>
            <w:tcBorders>
              <w:top w:val="nil"/>
              <w:left w:val="nil"/>
              <w:bottom w:val="single" w:color="auto" w:sz="4" w:space="0"/>
              <w:right w:val="single" w:color="auto" w:sz="4" w:space="0"/>
            </w:tcBorders>
            <w:vAlign w:val="center"/>
          </w:tcPr>
          <w:p w14:paraId="03A923C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XS3.2A &amp; DK241涨紧轮，含轴和轴承</w:t>
            </w:r>
          </w:p>
        </w:tc>
        <w:tc>
          <w:tcPr>
            <w:tcW w:w="592" w:type="pct"/>
            <w:tcBorders>
              <w:top w:val="nil"/>
              <w:left w:val="nil"/>
              <w:bottom w:val="single" w:color="auto" w:sz="4" w:space="0"/>
              <w:right w:val="single" w:color="auto" w:sz="4" w:space="0"/>
            </w:tcBorders>
            <w:vAlign w:val="center"/>
          </w:tcPr>
          <w:p w14:paraId="0ACE5FE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5AB33380">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4B9AB34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w:t>
            </w:r>
          </w:p>
        </w:tc>
        <w:tc>
          <w:tcPr>
            <w:tcW w:w="1420" w:type="pct"/>
            <w:tcBorders>
              <w:top w:val="nil"/>
              <w:left w:val="nil"/>
              <w:bottom w:val="single" w:color="auto" w:sz="4" w:space="0"/>
              <w:right w:val="single" w:color="auto" w:sz="4" w:space="0"/>
            </w:tcBorders>
            <w:vAlign w:val="center"/>
          </w:tcPr>
          <w:p w14:paraId="08DC428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电感式传感器，LE25USFDPO-1</w:t>
            </w:r>
          </w:p>
        </w:tc>
        <w:tc>
          <w:tcPr>
            <w:tcW w:w="578" w:type="pct"/>
            <w:tcBorders>
              <w:top w:val="nil"/>
              <w:left w:val="nil"/>
              <w:bottom w:val="single" w:color="auto" w:sz="4" w:space="0"/>
              <w:right w:val="single" w:color="auto" w:sz="4" w:space="0"/>
            </w:tcBorders>
            <w:vAlign w:val="center"/>
          </w:tcPr>
          <w:p w14:paraId="04F1BE9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4929768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166</w:t>
            </w:r>
          </w:p>
        </w:tc>
        <w:tc>
          <w:tcPr>
            <w:tcW w:w="1587" w:type="pct"/>
            <w:tcBorders>
              <w:top w:val="nil"/>
              <w:left w:val="nil"/>
              <w:bottom w:val="single" w:color="auto" w:sz="4" w:space="0"/>
              <w:right w:val="single" w:color="auto" w:sz="4" w:space="0"/>
            </w:tcBorders>
            <w:vAlign w:val="center"/>
          </w:tcPr>
          <w:p w14:paraId="56B40FE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CKB涨紧轮组件</w:t>
            </w:r>
          </w:p>
        </w:tc>
        <w:tc>
          <w:tcPr>
            <w:tcW w:w="592" w:type="pct"/>
            <w:tcBorders>
              <w:top w:val="nil"/>
              <w:left w:val="nil"/>
              <w:bottom w:val="single" w:color="auto" w:sz="4" w:space="0"/>
              <w:right w:val="single" w:color="auto" w:sz="4" w:space="0"/>
            </w:tcBorders>
            <w:vAlign w:val="center"/>
          </w:tcPr>
          <w:p w14:paraId="54D3C18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183AC103">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27CB93D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13</w:t>
            </w:r>
          </w:p>
        </w:tc>
        <w:tc>
          <w:tcPr>
            <w:tcW w:w="1420" w:type="pct"/>
            <w:tcBorders>
              <w:top w:val="nil"/>
              <w:left w:val="nil"/>
              <w:bottom w:val="single" w:color="auto" w:sz="4" w:space="0"/>
              <w:right w:val="single" w:color="auto" w:sz="4" w:space="0"/>
            </w:tcBorders>
            <w:vAlign w:val="center"/>
          </w:tcPr>
          <w:p w14:paraId="47F3468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GUIDE SHOE,SLIDING L=70MM</w:t>
            </w:r>
          </w:p>
        </w:tc>
        <w:tc>
          <w:tcPr>
            <w:tcW w:w="578" w:type="pct"/>
            <w:tcBorders>
              <w:top w:val="nil"/>
              <w:left w:val="nil"/>
              <w:bottom w:val="single" w:color="auto" w:sz="4" w:space="0"/>
              <w:right w:val="single" w:color="auto" w:sz="4" w:space="0"/>
            </w:tcBorders>
            <w:vAlign w:val="center"/>
          </w:tcPr>
          <w:p w14:paraId="5AE5249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PAC</w:t>
            </w:r>
          </w:p>
        </w:tc>
        <w:tc>
          <w:tcPr>
            <w:tcW w:w="420" w:type="pct"/>
            <w:tcBorders>
              <w:top w:val="nil"/>
              <w:left w:val="nil"/>
              <w:bottom w:val="single" w:color="auto" w:sz="4" w:space="0"/>
              <w:right w:val="single" w:color="auto" w:sz="4" w:space="0"/>
            </w:tcBorders>
            <w:vAlign w:val="center"/>
          </w:tcPr>
          <w:p w14:paraId="23BACC7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167</w:t>
            </w:r>
          </w:p>
        </w:tc>
        <w:tc>
          <w:tcPr>
            <w:tcW w:w="1587" w:type="pct"/>
            <w:tcBorders>
              <w:top w:val="nil"/>
              <w:left w:val="nil"/>
              <w:bottom w:val="single" w:color="auto" w:sz="4" w:space="0"/>
              <w:right w:val="single" w:color="auto" w:sz="4" w:space="0"/>
            </w:tcBorders>
            <w:vAlign w:val="center"/>
          </w:tcPr>
          <w:p w14:paraId="5042CFD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LCECEB板</w:t>
            </w:r>
          </w:p>
        </w:tc>
        <w:tc>
          <w:tcPr>
            <w:tcW w:w="592" w:type="pct"/>
            <w:tcBorders>
              <w:top w:val="nil"/>
              <w:left w:val="nil"/>
              <w:bottom w:val="single" w:color="auto" w:sz="4" w:space="0"/>
              <w:right w:val="single" w:color="auto" w:sz="4" w:space="0"/>
            </w:tcBorders>
            <w:vAlign w:val="center"/>
          </w:tcPr>
          <w:p w14:paraId="2E2D3AE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07874AE5">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210B4FE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14</w:t>
            </w:r>
          </w:p>
        </w:tc>
        <w:tc>
          <w:tcPr>
            <w:tcW w:w="1420" w:type="pct"/>
            <w:tcBorders>
              <w:top w:val="nil"/>
              <w:left w:val="nil"/>
              <w:bottom w:val="single" w:color="auto" w:sz="4" w:space="0"/>
              <w:right w:val="single" w:color="auto" w:sz="4" w:space="0"/>
            </w:tcBorders>
            <w:vAlign w:val="center"/>
          </w:tcPr>
          <w:p w14:paraId="4A062E0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SLG20导靴,16MM</w:t>
            </w:r>
          </w:p>
        </w:tc>
        <w:tc>
          <w:tcPr>
            <w:tcW w:w="578" w:type="pct"/>
            <w:tcBorders>
              <w:top w:val="nil"/>
              <w:left w:val="nil"/>
              <w:bottom w:val="single" w:color="auto" w:sz="4" w:space="0"/>
              <w:right w:val="single" w:color="auto" w:sz="4" w:space="0"/>
            </w:tcBorders>
            <w:vAlign w:val="center"/>
          </w:tcPr>
          <w:p w14:paraId="6A1FE6A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PAC</w:t>
            </w:r>
          </w:p>
        </w:tc>
        <w:tc>
          <w:tcPr>
            <w:tcW w:w="420" w:type="pct"/>
            <w:tcBorders>
              <w:top w:val="nil"/>
              <w:left w:val="nil"/>
              <w:bottom w:val="single" w:color="auto" w:sz="4" w:space="0"/>
              <w:right w:val="single" w:color="auto" w:sz="4" w:space="0"/>
            </w:tcBorders>
            <w:vAlign w:val="center"/>
          </w:tcPr>
          <w:p w14:paraId="64E186E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168</w:t>
            </w:r>
          </w:p>
        </w:tc>
        <w:tc>
          <w:tcPr>
            <w:tcW w:w="1587" w:type="pct"/>
            <w:tcBorders>
              <w:top w:val="nil"/>
              <w:left w:val="nil"/>
              <w:bottom w:val="single" w:color="auto" w:sz="4" w:space="0"/>
              <w:right w:val="single" w:color="auto" w:sz="4" w:space="0"/>
            </w:tcBorders>
            <w:vAlign w:val="center"/>
          </w:tcPr>
          <w:p w14:paraId="3B009EF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感应开关连接线</w:t>
            </w:r>
          </w:p>
        </w:tc>
        <w:tc>
          <w:tcPr>
            <w:tcW w:w="592" w:type="pct"/>
            <w:tcBorders>
              <w:top w:val="nil"/>
              <w:left w:val="nil"/>
              <w:bottom w:val="single" w:color="auto" w:sz="4" w:space="0"/>
              <w:right w:val="single" w:color="auto" w:sz="4" w:space="0"/>
            </w:tcBorders>
            <w:vAlign w:val="center"/>
          </w:tcPr>
          <w:p w14:paraId="21DF1DC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42E7C33C">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6C50EB9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15</w:t>
            </w:r>
          </w:p>
        </w:tc>
        <w:tc>
          <w:tcPr>
            <w:tcW w:w="1420" w:type="pct"/>
            <w:tcBorders>
              <w:top w:val="nil"/>
              <w:left w:val="nil"/>
              <w:bottom w:val="single" w:color="auto" w:sz="4" w:space="0"/>
              <w:right w:val="single" w:color="auto" w:sz="4" w:space="0"/>
            </w:tcBorders>
            <w:vAlign w:val="center"/>
          </w:tcPr>
          <w:p w14:paraId="776BB74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靴衬 T82</w:t>
            </w:r>
          </w:p>
        </w:tc>
        <w:tc>
          <w:tcPr>
            <w:tcW w:w="578" w:type="pct"/>
            <w:tcBorders>
              <w:top w:val="nil"/>
              <w:left w:val="nil"/>
              <w:bottom w:val="single" w:color="auto" w:sz="4" w:space="0"/>
              <w:right w:val="single" w:color="auto" w:sz="4" w:space="0"/>
            </w:tcBorders>
            <w:vAlign w:val="center"/>
          </w:tcPr>
          <w:p w14:paraId="7A6234E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2495026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169</w:t>
            </w:r>
          </w:p>
        </w:tc>
        <w:tc>
          <w:tcPr>
            <w:tcW w:w="1587" w:type="pct"/>
            <w:tcBorders>
              <w:top w:val="nil"/>
              <w:left w:val="nil"/>
              <w:bottom w:val="single" w:color="auto" w:sz="4" w:space="0"/>
              <w:right w:val="single" w:color="auto" w:sz="4" w:space="0"/>
            </w:tcBorders>
            <w:vAlign w:val="center"/>
          </w:tcPr>
          <w:p w14:paraId="0389D39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滚轮导靴 D128/32MM W=27MM</w:t>
            </w:r>
          </w:p>
        </w:tc>
        <w:tc>
          <w:tcPr>
            <w:tcW w:w="592" w:type="pct"/>
            <w:tcBorders>
              <w:top w:val="nil"/>
              <w:left w:val="nil"/>
              <w:bottom w:val="single" w:color="auto" w:sz="4" w:space="0"/>
              <w:right w:val="single" w:color="auto" w:sz="4" w:space="0"/>
            </w:tcBorders>
            <w:vAlign w:val="center"/>
          </w:tcPr>
          <w:p w14:paraId="59879EE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0BB71D9F">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50399AE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16</w:t>
            </w:r>
          </w:p>
        </w:tc>
        <w:tc>
          <w:tcPr>
            <w:tcW w:w="1420" w:type="pct"/>
            <w:tcBorders>
              <w:top w:val="nil"/>
              <w:left w:val="nil"/>
              <w:bottom w:val="single" w:color="auto" w:sz="4" w:space="0"/>
              <w:right w:val="single" w:color="auto" w:sz="4" w:space="0"/>
            </w:tcBorders>
            <w:vAlign w:val="center"/>
          </w:tcPr>
          <w:p w14:paraId="4CF976E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保险丝2A</w:t>
            </w:r>
          </w:p>
        </w:tc>
        <w:tc>
          <w:tcPr>
            <w:tcW w:w="578" w:type="pct"/>
            <w:tcBorders>
              <w:top w:val="nil"/>
              <w:left w:val="nil"/>
              <w:bottom w:val="single" w:color="auto" w:sz="4" w:space="0"/>
              <w:right w:val="single" w:color="auto" w:sz="4" w:space="0"/>
            </w:tcBorders>
            <w:vAlign w:val="center"/>
          </w:tcPr>
          <w:p w14:paraId="1953389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28AF977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170</w:t>
            </w:r>
          </w:p>
        </w:tc>
        <w:tc>
          <w:tcPr>
            <w:tcW w:w="1587" w:type="pct"/>
            <w:tcBorders>
              <w:top w:val="nil"/>
              <w:left w:val="nil"/>
              <w:bottom w:val="single" w:color="auto" w:sz="4" w:space="0"/>
              <w:right w:val="single" w:color="auto" w:sz="4" w:space="0"/>
            </w:tcBorders>
            <w:vAlign w:val="center"/>
          </w:tcPr>
          <w:p w14:paraId="735234B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轴承 6004-2RSH</w:t>
            </w:r>
          </w:p>
        </w:tc>
        <w:tc>
          <w:tcPr>
            <w:tcW w:w="592" w:type="pct"/>
            <w:tcBorders>
              <w:top w:val="nil"/>
              <w:left w:val="nil"/>
              <w:bottom w:val="single" w:color="auto" w:sz="4" w:space="0"/>
              <w:right w:val="single" w:color="auto" w:sz="4" w:space="0"/>
            </w:tcBorders>
            <w:vAlign w:val="center"/>
          </w:tcPr>
          <w:p w14:paraId="33BD998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3DD31AA3">
        <w:tblPrEx>
          <w:tblCellMar>
            <w:top w:w="0" w:type="dxa"/>
            <w:left w:w="108" w:type="dxa"/>
            <w:bottom w:w="0" w:type="dxa"/>
            <w:right w:w="108" w:type="dxa"/>
          </w:tblCellMar>
        </w:tblPrEx>
        <w:trPr>
          <w:trHeight w:val="480" w:hRule="atLeast"/>
        </w:trPr>
        <w:tc>
          <w:tcPr>
            <w:tcW w:w="400" w:type="pct"/>
            <w:tcBorders>
              <w:top w:val="nil"/>
              <w:left w:val="single" w:color="auto" w:sz="4" w:space="0"/>
              <w:bottom w:val="single" w:color="auto" w:sz="4" w:space="0"/>
              <w:right w:val="single" w:color="auto" w:sz="4" w:space="0"/>
            </w:tcBorders>
            <w:vAlign w:val="center"/>
          </w:tcPr>
          <w:p w14:paraId="0AF806E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17</w:t>
            </w:r>
          </w:p>
        </w:tc>
        <w:tc>
          <w:tcPr>
            <w:tcW w:w="1420" w:type="pct"/>
            <w:tcBorders>
              <w:top w:val="nil"/>
              <w:left w:val="nil"/>
              <w:bottom w:val="single" w:color="auto" w:sz="4" w:space="0"/>
              <w:right w:val="single" w:color="auto" w:sz="4" w:space="0"/>
            </w:tcBorders>
            <w:vAlign w:val="center"/>
          </w:tcPr>
          <w:p w14:paraId="682C75F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COP 对讲机 TJ-2Y</w:t>
            </w:r>
          </w:p>
        </w:tc>
        <w:tc>
          <w:tcPr>
            <w:tcW w:w="578" w:type="pct"/>
            <w:tcBorders>
              <w:top w:val="nil"/>
              <w:left w:val="nil"/>
              <w:bottom w:val="single" w:color="auto" w:sz="4" w:space="0"/>
              <w:right w:val="single" w:color="auto" w:sz="4" w:space="0"/>
            </w:tcBorders>
            <w:vAlign w:val="center"/>
          </w:tcPr>
          <w:p w14:paraId="0CB7A17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7BB90B7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171</w:t>
            </w:r>
          </w:p>
        </w:tc>
        <w:tc>
          <w:tcPr>
            <w:tcW w:w="1587" w:type="pct"/>
            <w:tcBorders>
              <w:top w:val="nil"/>
              <w:left w:val="nil"/>
              <w:bottom w:val="single" w:color="auto" w:sz="4" w:space="0"/>
              <w:right w:val="single" w:color="auto" w:sz="4" w:space="0"/>
            </w:tcBorders>
            <w:vAlign w:val="center"/>
          </w:tcPr>
          <w:p w14:paraId="04F8F26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门触点DOOR CONTACT BRIDGE,230VAC 200VDC</w:t>
            </w:r>
          </w:p>
        </w:tc>
        <w:tc>
          <w:tcPr>
            <w:tcW w:w="592" w:type="pct"/>
            <w:tcBorders>
              <w:top w:val="nil"/>
              <w:left w:val="nil"/>
              <w:bottom w:val="single" w:color="auto" w:sz="4" w:space="0"/>
              <w:right w:val="single" w:color="auto" w:sz="4" w:space="0"/>
            </w:tcBorders>
            <w:vAlign w:val="center"/>
          </w:tcPr>
          <w:p w14:paraId="5D771E5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34A1DC07">
        <w:trPr>
          <w:trHeight w:val="276" w:hRule="atLeast"/>
        </w:trPr>
        <w:tc>
          <w:tcPr>
            <w:tcW w:w="400" w:type="pct"/>
            <w:tcBorders>
              <w:top w:val="nil"/>
              <w:left w:val="single" w:color="auto" w:sz="4" w:space="0"/>
              <w:bottom w:val="single" w:color="auto" w:sz="4" w:space="0"/>
              <w:right w:val="single" w:color="auto" w:sz="4" w:space="0"/>
            </w:tcBorders>
            <w:vAlign w:val="center"/>
          </w:tcPr>
          <w:p w14:paraId="66B1B9C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18</w:t>
            </w:r>
          </w:p>
        </w:tc>
        <w:tc>
          <w:tcPr>
            <w:tcW w:w="1420" w:type="pct"/>
            <w:tcBorders>
              <w:top w:val="nil"/>
              <w:left w:val="nil"/>
              <w:bottom w:val="single" w:color="auto" w:sz="4" w:space="0"/>
              <w:right w:val="single" w:color="auto" w:sz="4" w:space="0"/>
            </w:tcBorders>
            <w:vAlign w:val="center"/>
          </w:tcPr>
          <w:p w14:paraId="4B31DE7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AMD防火缓冲轮</w:t>
            </w:r>
          </w:p>
        </w:tc>
        <w:tc>
          <w:tcPr>
            <w:tcW w:w="578" w:type="pct"/>
            <w:tcBorders>
              <w:top w:val="nil"/>
              <w:left w:val="nil"/>
              <w:bottom w:val="single" w:color="auto" w:sz="4" w:space="0"/>
              <w:right w:val="single" w:color="auto" w:sz="4" w:space="0"/>
            </w:tcBorders>
            <w:vAlign w:val="center"/>
          </w:tcPr>
          <w:p w14:paraId="533051C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7FBDEAE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172</w:t>
            </w:r>
          </w:p>
        </w:tc>
        <w:tc>
          <w:tcPr>
            <w:tcW w:w="1587" w:type="pct"/>
            <w:tcBorders>
              <w:top w:val="nil"/>
              <w:left w:val="nil"/>
              <w:bottom w:val="single" w:color="auto" w:sz="4" w:space="0"/>
              <w:right w:val="single" w:color="auto" w:sz="4" w:space="0"/>
            </w:tcBorders>
            <w:vAlign w:val="center"/>
          </w:tcPr>
          <w:p w14:paraId="33E96ED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SIRIUS 2辅助接触器，2开2闭</w:t>
            </w:r>
          </w:p>
        </w:tc>
        <w:tc>
          <w:tcPr>
            <w:tcW w:w="592" w:type="pct"/>
            <w:tcBorders>
              <w:top w:val="nil"/>
              <w:left w:val="nil"/>
              <w:bottom w:val="single" w:color="auto" w:sz="4" w:space="0"/>
              <w:right w:val="single" w:color="auto" w:sz="4" w:space="0"/>
            </w:tcBorders>
            <w:vAlign w:val="center"/>
          </w:tcPr>
          <w:p w14:paraId="1D4D2C1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0E8E90FF">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4082D8A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19</w:t>
            </w:r>
          </w:p>
        </w:tc>
        <w:tc>
          <w:tcPr>
            <w:tcW w:w="1420" w:type="pct"/>
            <w:tcBorders>
              <w:top w:val="nil"/>
              <w:left w:val="nil"/>
              <w:bottom w:val="single" w:color="auto" w:sz="4" w:space="0"/>
              <w:right w:val="single" w:color="auto" w:sz="4" w:space="0"/>
            </w:tcBorders>
            <w:vAlign w:val="center"/>
          </w:tcPr>
          <w:p w14:paraId="76BF406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AUGUSTA中分900MM同步钢丝绳</w:t>
            </w:r>
          </w:p>
        </w:tc>
        <w:tc>
          <w:tcPr>
            <w:tcW w:w="578" w:type="pct"/>
            <w:tcBorders>
              <w:top w:val="nil"/>
              <w:left w:val="nil"/>
              <w:bottom w:val="single" w:color="auto" w:sz="4" w:space="0"/>
              <w:right w:val="single" w:color="auto" w:sz="4" w:space="0"/>
            </w:tcBorders>
            <w:vAlign w:val="center"/>
          </w:tcPr>
          <w:p w14:paraId="2216D4A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60E8389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173</w:t>
            </w:r>
          </w:p>
        </w:tc>
        <w:tc>
          <w:tcPr>
            <w:tcW w:w="1587" w:type="pct"/>
            <w:tcBorders>
              <w:top w:val="nil"/>
              <w:left w:val="nil"/>
              <w:bottom w:val="single" w:color="auto" w:sz="4" w:space="0"/>
              <w:right w:val="single" w:color="auto" w:sz="4" w:space="0"/>
            </w:tcBorders>
            <w:vAlign w:val="center"/>
          </w:tcPr>
          <w:p w14:paraId="47D1099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NBSL门触头</w:t>
            </w:r>
          </w:p>
        </w:tc>
        <w:tc>
          <w:tcPr>
            <w:tcW w:w="592" w:type="pct"/>
            <w:tcBorders>
              <w:top w:val="nil"/>
              <w:left w:val="nil"/>
              <w:bottom w:val="single" w:color="auto" w:sz="4" w:space="0"/>
              <w:right w:val="single" w:color="auto" w:sz="4" w:space="0"/>
            </w:tcBorders>
            <w:vAlign w:val="center"/>
          </w:tcPr>
          <w:p w14:paraId="39690FC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0220D612">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0E5D425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20</w:t>
            </w:r>
          </w:p>
        </w:tc>
        <w:tc>
          <w:tcPr>
            <w:tcW w:w="1420" w:type="pct"/>
            <w:tcBorders>
              <w:top w:val="nil"/>
              <w:left w:val="nil"/>
              <w:bottom w:val="single" w:color="auto" w:sz="4" w:space="0"/>
              <w:right w:val="single" w:color="auto" w:sz="4" w:space="0"/>
            </w:tcBorders>
            <w:vAlign w:val="center"/>
          </w:tcPr>
          <w:p w14:paraId="2AC76DF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SLG8导靴，导轨宽度16.4 mm</w:t>
            </w:r>
          </w:p>
        </w:tc>
        <w:tc>
          <w:tcPr>
            <w:tcW w:w="578" w:type="pct"/>
            <w:tcBorders>
              <w:top w:val="nil"/>
              <w:left w:val="nil"/>
              <w:bottom w:val="single" w:color="auto" w:sz="4" w:space="0"/>
              <w:right w:val="single" w:color="auto" w:sz="4" w:space="0"/>
            </w:tcBorders>
            <w:vAlign w:val="center"/>
          </w:tcPr>
          <w:p w14:paraId="3FD3169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20177C7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174</w:t>
            </w:r>
          </w:p>
        </w:tc>
        <w:tc>
          <w:tcPr>
            <w:tcW w:w="1587" w:type="pct"/>
            <w:tcBorders>
              <w:top w:val="nil"/>
              <w:left w:val="nil"/>
              <w:bottom w:val="single" w:color="auto" w:sz="4" w:space="0"/>
              <w:right w:val="single" w:color="auto" w:sz="4" w:space="0"/>
            </w:tcBorders>
            <w:vAlign w:val="center"/>
          </w:tcPr>
          <w:p w14:paraId="400EF5F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楼层感应板</w:t>
            </w:r>
          </w:p>
        </w:tc>
        <w:tc>
          <w:tcPr>
            <w:tcW w:w="592" w:type="pct"/>
            <w:tcBorders>
              <w:top w:val="nil"/>
              <w:left w:val="nil"/>
              <w:bottom w:val="single" w:color="auto" w:sz="4" w:space="0"/>
              <w:right w:val="single" w:color="auto" w:sz="4" w:space="0"/>
            </w:tcBorders>
            <w:vAlign w:val="center"/>
          </w:tcPr>
          <w:p w14:paraId="18FECD9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75F14433">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40C1325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w:t>
            </w:r>
          </w:p>
        </w:tc>
        <w:tc>
          <w:tcPr>
            <w:tcW w:w="1420" w:type="pct"/>
            <w:tcBorders>
              <w:top w:val="nil"/>
              <w:left w:val="nil"/>
              <w:bottom w:val="single" w:color="auto" w:sz="4" w:space="0"/>
              <w:right w:val="single" w:color="auto" w:sz="4" w:space="0"/>
            </w:tcBorders>
            <w:vAlign w:val="center"/>
          </w:tcPr>
          <w:p w14:paraId="4EB4866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AVD7S 七段码带显示外呼层站板</w:t>
            </w:r>
          </w:p>
        </w:tc>
        <w:tc>
          <w:tcPr>
            <w:tcW w:w="578" w:type="pct"/>
            <w:tcBorders>
              <w:top w:val="nil"/>
              <w:left w:val="nil"/>
              <w:bottom w:val="single" w:color="auto" w:sz="4" w:space="0"/>
              <w:right w:val="single" w:color="auto" w:sz="4" w:space="0"/>
            </w:tcBorders>
            <w:vAlign w:val="center"/>
          </w:tcPr>
          <w:p w14:paraId="7E95E02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56C45EB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175</w:t>
            </w:r>
          </w:p>
        </w:tc>
        <w:tc>
          <w:tcPr>
            <w:tcW w:w="1587" w:type="pct"/>
            <w:tcBorders>
              <w:top w:val="nil"/>
              <w:left w:val="nil"/>
              <w:bottom w:val="single" w:color="auto" w:sz="4" w:space="0"/>
              <w:right w:val="single" w:color="auto" w:sz="4" w:space="0"/>
            </w:tcBorders>
            <w:vAlign w:val="center"/>
          </w:tcPr>
          <w:p w14:paraId="4671FE0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厅门导靴</w:t>
            </w:r>
          </w:p>
        </w:tc>
        <w:tc>
          <w:tcPr>
            <w:tcW w:w="592" w:type="pct"/>
            <w:tcBorders>
              <w:top w:val="nil"/>
              <w:left w:val="nil"/>
              <w:bottom w:val="single" w:color="auto" w:sz="4" w:space="0"/>
              <w:right w:val="single" w:color="auto" w:sz="4" w:space="0"/>
            </w:tcBorders>
            <w:vAlign w:val="center"/>
          </w:tcPr>
          <w:p w14:paraId="1E2B15D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021A8D10">
        <w:tblPrEx>
          <w:tblCellMar>
            <w:top w:w="0" w:type="dxa"/>
            <w:left w:w="108" w:type="dxa"/>
            <w:bottom w:w="0" w:type="dxa"/>
            <w:right w:w="108" w:type="dxa"/>
          </w:tblCellMar>
        </w:tblPrEx>
        <w:trPr>
          <w:trHeight w:val="480" w:hRule="atLeast"/>
        </w:trPr>
        <w:tc>
          <w:tcPr>
            <w:tcW w:w="400" w:type="pct"/>
            <w:tcBorders>
              <w:top w:val="nil"/>
              <w:left w:val="single" w:color="auto" w:sz="4" w:space="0"/>
              <w:bottom w:val="single" w:color="auto" w:sz="4" w:space="0"/>
              <w:right w:val="single" w:color="auto" w:sz="4" w:space="0"/>
            </w:tcBorders>
            <w:vAlign w:val="center"/>
          </w:tcPr>
          <w:p w14:paraId="43D23EB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22</w:t>
            </w:r>
          </w:p>
        </w:tc>
        <w:tc>
          <w:tcPr>
            <w:tcW w:w="1420" w:type="pct"/>
            <w:tcBorders>
              <w:top w:val="nil"/>
              <w:left w:val="nil"/>
              <w:bottom w:val="single" w:color="auto" w:sz="4" w:space="0"/>
              <w:right w:val="single" w:color="auto" w:sz="4" w:space="0"/>
            </w:tcBorders>
            <w:vAlign w:val="center"/>
          </w:tcPr>
          <w:p w14:paraId="73BD5C7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十字槽沉头螺钉,DIN965 M4X16 SST</w:t>
            </w:r>
          </w:p>
        </w:tc>
        <w:tc>
          <w:tcPr>
            <w:tcW w:w="578" w:type="pct"/>
            <w:tcBorders>
              <w:top w:val="nil"/>
              <w:left w:val="nil"/>
              <w:bottom w:val="single" w:color="auto" w:sz="4" w:space="0"/>
              <w:right w:val="single" w:color="auto" w:sz="4" w:space="0"/>
            </w:tcBorders>
            <w:vAlign w:val="center"/>
          </w:tcPr>
          <w:p w14:paraId="4291BEA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6C4B590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176</w:t>
            </w:r>
          </w:p>
        </w:tc>
        <w:tc>
          <w:tcPr>
            <w:tcW w:w="1587" w:type="pct"/>
            <w:tcBorders>
              <w:top w:val="nil"/>
              <w:left w:val="nil"/>
              <w:bottom w:val="single" w:color="auto" w:sz="4" w:space="0"/>
              <w:right w:val="single" w:color="auto" w:sz="4" w:space="0"/>
            </w:tcBorders>
            <w:vAlign w:val="center"/>
          </w:tcPr>
          <w:p w14:paraId="21A3CF1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轿厢操作面板辅助对讲机 TJ-2A</w:t>
            </w:r>
          </w:p>
        </w:tc>
        <w:tc>
          <w:tcPr>
            <w:tcW w:w="592" w:type="pct"/>
            <w:tcBorders>
              <w:top w:val="nil"/>
              <w:left w:val="nil"/>
              <w:bottom w:val="single" w:color="auto" w:sz="4" w:space="0"/>
              <w:right w:val="single" w:color="auto" w:sz="4" w:space="0"/>
            </w:tcBorders>
            <w:vAlign w:val="center"/>
          </w:tcPr>
          <w:p w14:paraId="244B918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27ADE284">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4FA247F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23</w:t>
            </w:r>
          </w:p>
        </w:tc>
        <w:tc>
          <w:tcPr>
            <w:tcW w:w="1420" w:type="pct"/>
            <w:tcBorders>
              <w:top w:val="nil"/>
              <w:left w:val="nil"/>
              <w:bottom w:val="single" w:color="auto" w:sz="4" w:space="0"/>
              <w:right w:val="single" w:color="auto" w:sz="4" w:space="0"/>
            </w:tcBorders>
            <w:vAlign w:val="center"/>
          </w:tcPr>
          <w:p w14:paraId="1FAF046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单稳态开关,61U/N 30 L=1.5M</w:t>
            </w:r>
          </w:p>
        </w:tc>
        <w:tc>
          <w:tcPr>
            <w:tcW w:w="578" w:type="pct"/>
            <w:tcBorders>
              <w:top w:val="nil"/>
              <w:left w:val="nil"/>
              <w:bottom w:val="single" w:color="auto" w:sz="4" w:space="0"/>
              <w:right w:val="single" w:color="auto" w:sz="4" w:space="0"/>
            </w:tcBorders>
            <w:vAlign w:val="center"/>
          </w:tcPr>
          <w:p w14:paraId="1848CD1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3BEFE35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177</w:t>
            </w:r>
          </w:p>
        </w:tc>
        <w:tc>
          <w:tcPr>
            <w:tcW w:w="1587" w:type="pct"/>
            <w:tcBorders>
              <w:top w:val="nil"/>
              <w:left w:val="nil"/>
              <w:bottom w:val="single" w:color="auto" w:sz="4" w:space="0"/>
              <w:right w:val="single" w:color="auto" w:sz="4" w:space="0"/>
            </w:tcBorders>
            <w:vAlign w:val="center"/>
          </w:tcPr>
          <w:p w14:paraId="7CF2269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厅门锁钩</w:t>
            </w:r>
          </w:p>
        </w:tc>
        <w:tc>
          <w:tcPr>
            <w:tcW w:w="592" w:type="pct"/>
            <w:tcBorders>
              <w:top w:val="nil"/>
              <w:left w:val="nil"/>
              <w:bottom w:val="single" w:color="auto" w:sz="4" w:space="0"/>
              <w:right w:val="single" w:color="auto" w:sz="4" w:space="0"/>
            </w:tcBorders>
            <w:vAlign w:val="center"/>
          </w:tcPr>
          <w:p w14:paraId="70C098A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1429771E">
        <w:trPr>
          <w:trHeight w:val="276" w:hRule="atLeast"/>
        </w:trPr>
        <w:tc>
          <w:tcPr>
            <w:tcW w:w="400" w:type="pct"/>
            <w:tcBorders>
              <w:top w:val="nil"/>
              <w:left w:val="single" w:color="auto" w:sz="4" w:space="0"/>
              <w:bottom w:val="single" w:color="auto" w:sz="4" w:space="0"/>
              <w:right w:val="single" w:color="auto" w:sz="4" w:space="0"/>
            </w:tcBorders>
            <w:vAlign w:val="center"/>
          </w:tcPr>
          <w:p w14:paraId="54D7A84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24</w:t>
            </w:r>
          </w:p>
        </w:tc>
        <w:tc>
          <w:tcPr>
            <w:tcW w:w="1420" w:type="pct"/>
            <w:tcBorders>
              <w:top w:val="nil"/>
              <w:left w:val="nil"/>
              <w:bottom w:val="single" w:color="auto" w:sz="4" w:space="0"/>
              <w:right w:val="single" w:color="auto" w:sz="4" w:space="0"/>
            </w:tcBorders>
            <w:vAlign w:val="center"/>
          </w:tcPr>
          <w:p w14:paraId="7060CE0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导靴大油杯，ABS,K=16 MM</w:t>
            </w:r>
          </w:p>
        </w:tc>
        <w:tc>
          <w:tcPr>
            <w:tcW w:w="578" w:type="pct"/>
            <w:tcBorders>
              <w:top w:val="nil"/>
              <w:left w:val="nil"/>
              <w:bottom w:val="single" w:color="auto" w:sz="4" w:space="0"/>
              <w:right w:val="single" w:color="auto" w:sz="4" w:space="0"/>
            </w:tcBorders>
            <w:vAlign w:val="center"/>
          </w:tcPr>
          <w:p w14:paraId="4CCD52B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7BEA09E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178</w:t>
            </w:r>
          </w:p>
        </w:tc>
        <w:tc>
          <w:tcPr>
            <w:tcW w:w="1587" w:type="pct"/>
            <w:tcBorders>
              <w:top w:val="nil"/>
              <w:left w:val="nil"/>
              <w:bottom w:val="single" w:color="auto" w:sz="4" w:space="0"/>
              <w:right w:val="single" w:color="auto" w:sz="4" w:space="0"/>
            </w:tcBorders>
            <w:vAlign w:val="center"/>
          </w:tcPr>
          <w:p w14:paraId="5C8B705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AUGUSTA厅门自闭钢丝绳 L=1500MM</w:t>
            </w:r>
          </w:p>
        </w:tc>
        <w:tc>
          <w:tcPr>
            <w:tcW w:w="592" w:type="pct"/>
            <w:tcBorders>
              <w:top w:val="nil"/>
              <w:left w:val="nil"/>
              <w:bottom w:val="single" w:color="auto" w:sz="4" w:space="0"/>
              <w:right w:val="single" w:color="auto" w:sz="4" w:space="0"/>
            </w:tcBorders>
            <w:vAlign w:val="center"/>
          </w:tcPr>
          <w:p w14:paraId="6C625A2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54F8BF45">
        <w:tblPrEx>
          <w:tblCellMar>
            <w:top w:w="0" w:type="dxa"/>
            <w:left w:w="108" w:type="dxa"/>
            <w:bottom w:w="0" w:type="dxa"/>
            <w:right w:w="108" w:type="dxa"/>
          </w:tblCellMar>
        </w:tblPrEx>
        <w:trPr>
          <w:trHeight w:val="480" w:hRule="atLeast"/>
        </w:trPr>
        <w:tc>
          <w:tcPr>
            <w:tcW w:w="400" w:type="pct"/>
            <w:tcBorders>
              <w:top w:val="nil"/>
              <w:left w:val="single" w:color="auto" w:sz="4" w:space="0"/>
              <w:bottom w:val="single" w:color="auto" w:sz="4" w:space="0"/>
              <w:right w:val="single" w:color="auto" w:sz="4" w:space="0"/>
            </w:tcBorders>
            <w:vAlign w:val="center"/>
          </w:tcPr>
          <w:p w14:paraId="15CB719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25</w:t>
            </w:r>
          </w:p>
        </w:tc>
        <w:tc>
          <w:tcPr>
            <w:tcW w:w="1420" w:type="pct"/>
            <w:tcBorders>
              <w:top w:val="nil"/>
              <w:left w:val="nil"/>
              <w:bottom w:val="single" w:color="auto" w:sz="4" w:space="0"/>
              <w:right w:val="single" w:color="auto" w:sz="4" w:space="0"/>
            </w:tcBorders>
            <w:vAlign w:val="center"/>
          </w:tcPr>
          <w:p w14:paraId="38D0C64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轿厢风扇包括电缆线 FB-9B-220 左</w:t>
            </w:r>
          </w:p>
        </w:tc>
        <w:tc>
          <w:tcPr>
            <w:tcW w:w="578" w:type="pct"/>
            <w:tcBorders>
              <w:top w:val="nil"/>
              <w:left w:val="nil"/>
              <w:bottom w:val="single" w:color="auto" w:sz="4" w:space="0"/>
              <w:right w:val="single" w:color="auto" w:sz="4" w:space="0"/>
            </w:tcBorders>
            <w:vAlign w:val="center"/>
          </w:tcPr>
          <w:p w14:paraId="3C54772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0F6AE9D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179</w:t>
            </w:r>
          </w:p>
        </w:tc>
        <w:tc>
          <w:tcPr>
            <w:tcW w:w="1587" w:type="pct"/>
            <w:tcBorders>
              <w:top w:val="nil"/>
              <w:left w:val="nil"/>
              <w:bottom w:val="single" w:color="auto" w:sz="4" w:space="0"/>
              <w:right w:val="single" w:color="auto" w:sz="4" w:space="0"/>
            </w:tcBorders>
            <w:vAlign w:val="center"/>
          </w:tcPr>
          <w:p w14:paraId="139956B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GUIDE SHOE KIT FOR DOOR</w:t>
            </w:r>
          </w:p>
        </w:tc>
        <w:tc>
          <w:tcPr>
            <w:tcW w:w="592" w:type="pct"/>
            <w:tcBorders>
              <w:top w:val="nil"/>
              <w:left w:val="nil"/>
              <w:bottom w:val="single" w:color="auto" w:sz="4" w:space="0"/>
              <w:right w:val="single" w:color="auto" w:sz="4" w:space="0"/>
            </w:tcBorders>
            <w:vAlign w:val="center"/>
          </w:tcPr>
          <w:p w14:paraId="7CA159A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75E65A58">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65CE9A0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26</w:t>
            </w:r>
          </w:p>
        </w:tc>
        <w:tc>
          <w:tcPr>
            <w:tcW w:w="1420" w:type="pct"/>
            <w:tcBorders>
              <w:top w:val="nil"/>
              <w:left w:val="nil"/>
              <w:bottom w:val="single" w:color="auto" w:sz="4" w:space="0"/>
              <w:right w:val="single" w:color="auto" w:sz="4" w:space="0"/>
            </w:tcBorders>
            <w:vAlign w:val="center"/>
          </w:tcPr>
          <w:p w14:paraId="41F8B25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接近开关 61：U/N-30</w:t>
            </w:r>
          </w:p>
        </w:tc>
        <w:tc>
          <w:tcPr>
            <w:tcW w:w="578" w:type="pct"/>
            <w:tcBorders>
              <w:top w:val="nil"/>
              <w:left w:val="nil"/>
              <w:bottom w:val="single" w:color="auto" w:sz="4" w:space="0"/>
              <w:right w:val="single" w:color="auto" w:sz="4" w:space="0"/>
            </w:tcBorders>
            <w:vAlign w:val="center"/>
          </w:tcPr>
          <w:p w14:paraId="7CDEE11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SET</w:t>
            </w:r>
          </w:p>
        </w:tc>
        <w:tc>
          <w:tcPr>
            <w:tcW w:w="420" w:type="pct"/>
            <w:tcBorders>
              <w:top w:val="nil"/>
              <w:left w:val="nil"/>
              <w:bottom w:val="single" w:color="auto" w:sz="4" w:space="0"/>
              <w:right w:val="single" w:color="auto" w:sz="4" w:space="0"/>
            </w:tcBorders>
            <w:vAlign w:val="center"/>
          </w:tcPr>
          <w:p w14:paraId="0D6D0FC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180</w:t>
            </w:r>
          </w:p>
        </w:tc>
        <w:tc>
          <w:tcPr>
            <w:tcW w:w="1587" w:type="pct"/>
            <w:tcBorders>
              <w:top w:val="nil"/>
              <w:left w:val="nil"/>
              <w:bottom w:val="single" w:color="auto" w:sz="4" w:space="0"/>
              <w:right w:val="single" w:color="auto" w:sz="4" w:space="0"/>
            </w:tcBorders>
            <w:vAlign w:val="center"/>
          </w:tcPr>
          <w:p w14:paraId="2C02638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A0800027,方油壶,L=103</w:t>
            </w:r>
          </w:p>
        </w:tc>
        <w:tc>
          <w:tcPr>
            <w:tcW w:w="592" w:type="pct"/>
            <w:tcBorders>
              <w:top w:val="nil"/>
              <w:left w:val="nil"/>
              <w:bottom w:val="single" w:color="auto" w:sz="4" w:space="0"/>
              <w:right w:val="single" w:color="auto" w:sz="4" w:space="0"/>
            </w:tcBorders>
            <w:vAlign w:val="center"/>
          </w:tcPr>
          <w:p w14:paraId="72B070D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3BF01ECD">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2124EB9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27</w:t>
            </w:r>
          </w:p>
        </w:tc>
        <w:tc>
          <w:tcPr>
            <w:tcW w:w="1420" w:type="pct"/>
            <w:tcBorders>
              <w:top w:val="nil"/>
              <w:left w:val="nil"/>
              <w:bottom w:val="single" w:color="auto" w:sz="4" w:space="0"/>
              <w:right w:val="single" w:color="auto" w:sz="4" w:space="0"/>
            </w:tcBorders>
            <w:vAlign w:val="center"/>
          </w:tcPr>
          <w:p w14:paraId="206FB37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缺相保护模块</w:t>
            </w:r>
          </w:p>
        </w:tc>
        <w:tc>
          <w:tcPr>
            <w:tcW w:w="578" w:type="pct"/>
            <w:tcBorders>
              <w:top w:val="nil"/>
              <w:left w:val="nil"/>
              <w:bottom w:val="single" w:color="auto" w:sz="4" w:space="0"/>
              <w:right w:val="single" w:color="auto" w:sz="4" w:space="0"/>
            </w:tcBorders>
            <w:vAlign w:val="center"/>
          </w:tcPr>
          <w:p w14:paraId="78439B8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54B1E9E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181</w:t>
            </w:r>
          </w:p>
        </w:tc>
        <w:tc>
          <w:tcPr>
            <w:tcW w:w="1587" w:type="pct"/>
            <w:tcBorders>
              <w:top w:val="nil"/>
              <w:left w:val="nil"/>
              <w:bottom w:val="single" w:color="auto" w:sz="4" w:space="0"/>
              <w:right w:val="single" w:color="auto" w:sz="4" w:space="0"/>
            </w:tcBorders>
            <w:vAlign w:val="center"/>
          </w:tcPr>
          <w:p w14:paraId="4866F96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磁铁条 6x15x120</w:t>
            </w:r>
          </w:p>
        </w:tc>
        <w:tc>
          <w:tcPr>
            <w:tcW w:w="592" w:type="pct"/>
            <w:tcBorders>
              <w:top w:val="nil"/>
              <w:left w:val="nil"/>
              <w:bottom w:val="single" w:color="auto" w:sz="4" w:space="0"/>
              <w:right w:val="single" w:color="auto" w:sz="4" w:space="0"/>
            </w:tcBorders>
            <w:vAlign w:val="center"/>
          </w:tcPr>
          <w:p w14:paraId="317A4D3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1265F8E7">
        <w:trPr>
          <w:trHeight w:val="276" w:hRule="atLeast"/>
        </w:trPr>
        <w:tc>
          <w:tcPr>
            <w:tcW w:w="400" w:type="pct"/>
            <w:tcBorders>
              <w:top w:val="nil"/>
              <w:left w:val="single" w:color="auto" w:sz="4" w:space="0"/>
              <w:bottom w:val="single" w:color="auto" w:sz="4" w:space="0"/>
              <w:right w:val="single" w:color="auto" w:sz="4" w:space="0"/>
            </w:tcBorders>
            <w:vAlign w:val="center"/>
          </w:tcPr>
          <w:p w14:paraId="05DA7BB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28</w:t>
            </w:r>
          </w:p>
        </w:tc>
        <w:tc>
          <w:tcPr>
            <w:tcW w:w="1420" w:type="pct"/>
            <w:tcBorders>
              <w:top w:val="nil"/>
              <w:left w:val="nil"/>
              <w:bottom w:val="single" w:color="auto" w:sz="4" w:space="0"/>
              <w:right w:val="single" w:color="auto" w:sz="4" w:space="0"/>
            </w:tcBorders>
            <w:vAlign w:val="center"/>
          </w:tcPr>
          <w:p w14:paraId="29C7C0E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触针KF9075</w:t>
            </w:r>
          </w:p>
        </w:tc>
        <w:tc>
          <w:tcPr>
            <w:tcW w:w="578" w:type="pct"/>
            <w:tcBorders>
              <w:top w:val="nil"/>
              <w:left w:val="nil"/>
              <w:bottom w:val="single" w:color="auto" w:sz="4" w:space="0"/>
              <w:right w:val="single" w:color="auto" w:sz="4" w:space="0"/>
            </w:tcBorders>
            <w:vAlign w:val="center"/>
          </w:tcPr>
          <w:p w14:paraId="6F40B0C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1FCA2E4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182</w:t>
            </w:r>
          </w:p>
        </w:tc>
        <w:tc>
          <w:tcPr>
            <w:tcW w:w="1587" w:type="pct"/>
            <w:tcBorders>
              <w:top w:val="nil"/>
              <w:left w:val="nil"/>
              <w:bottom w:val="single" w:color="auto" w:sz="4" w:space="0"/>
              <w:right w:val="single" w:color="auto" w:sz="4" w:space="0"/>
            </w:tcBorders>
            <w:vAlign w:val="center"/>
          </w:tcPr>
          <w:p w14:paraId="2A5E93B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轿顶免提式紧急对讲机, TW-2T</w:t>
            </w:r>
          </w:p>
        </w:tc>
        <w:tc>
          <w:tcPr>
            <w:tcW w:w="592" w:type="pct"/>
            <w:tcBorders>
              <w:top w:val="nil"/>
              <w:left w:val="nil"/>
              <w:bottom w:val="single" w:color="auto" w:sz="4" w:space="0"/>
              <w:right w:val="single" w:color="auto" w:sz="4" w:space="0"/>
            </w:tcBorders>
            <w:vAlign w:val="center"/>
          </w:tcPr>
          <w:p w14:paraId="0954B9B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69928BC5">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6D0A71B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29</w:t>
            </w:r>
          </w:p>
        </w:tc>
        <w:tc>
          <w:tcPr>
            <w:tcW w:w="1420" w:type="pct"/>
            <w:tcBorders>
              <w:top w:val="nil"/>
              <w:left w:val="nil"/>
              <w:bottom w:val="single" w:color="auto" w:sz="4" w:space="0"/>
              <w:right w:val="single" w:color="auto" w:sz="4" w:space="0"/>
            </w:tcBorders>
            <w:vAlign w:val="center"/>
          </w:tcPr>
          <w:p w14:paraId="44B92B0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安全触点 KF-9740(2L1A000001)</w:t>
            </w:r>
          </w:p>
        </w:tc>
        <w:tc>
          <w:tcPr>
            <w:tcW w:w="578" w:type="pct"/>
            <w:tcBorders>
              <w:top w:val="nil"/>
              <w:left w:val="nil"/>
              <w:bottom w:val="single" w:color="auto" w:sz="4" w:space="0"/>
              <w:right w:val="single" w:color="auto" w:sz="4" w:space="0"/>
            </w:tcBorders>
            <w:vAlign w:val="center"/>
          </w:tcPr>
          <w:p w14:paraId="0EB3C81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2210D8F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183</w:t>
            </w:r>
          </w:p>
        </w:tc>
        <w:tc>
          <w:tcPr>
            <w:tcW w:w="1587" w:type="pct"/>
            <w:tcBorders>
              <w:top w:val="nil"/>
              <w:left w:val="nil"/>
              <w:bottom w:val="single" w:color="auto" w:sz="4" w:space="0"/>
              <w:right w:val="single" w:color="auto" w:sz="4" w:space="0"/>
            </w:tcBorders>
            <w:vAlign w:val="center"/>
          </w:tcPr>
          <w:p w14:paraId="7B5FC90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KDSISCB 线路板</w:t>
            </w:r>
          </w:p>
        </w:tc>
        <w:tc>
          <w:tcPr>
            <w:tcW w:w="592" w:type="pct"/>
            <w:tcBorders>
              <w:top w:val="nil"/>
              <w:left w:val="nil"/>
              <w:bottom w:val="single" w:color="auto" w:sz="4" w:space="0"/>
              <w:right w:val="single" w:color="auto" w:sz="4" w:space="0"/>
            </w:tcBorders>
            <w:vAlign w:val="center"/>
          </w:tcPr>
          <w:p w14:paraId="24AF065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4B25BAF1">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3608FAC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30</w:t>
            </w:r>
          </w:p>
        </w:tc>
        <w:tc>
          <w:tcPr>
            <w:tcW w:w="1420" w:type="pct"/>
            <w:tcBorders>
              <w:top w:val="nil"/>
              <w:left w:val="nil"/>
              <w:bottom w:val="single" w:color="auto" w:sz="4" w:space="0"/>
              <w:right w:val="single" w:color="auto" w:sz="4" w:space="0"/>
            </w:tcBorders>
            <w:vAlign w:val="center"/>
          </w:tcPr>
          <w:p w14:paraId="118A7C7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AMD门轮,R1</w:t>
            </w:r>
          </w:p>
        </w:tc>
        <w:tc>
          <w:tcPr>
            <w:tcW w:w="578" w:type="pct"/>
            <w:tcBorders>
              <w:top w:val="nil"/>
              <w:left w:val="nil"/>
              <w:bottom w:val="single" w:color="auto" w:sz="4" w:space="0"/>
              <w:right w:val="single" w:color="auto" w:sz="4" w:space="0"/>
            </w:tcBorders>
            <w:vAlign w:val="center"/>
          </w:tcPr>
          <w:p w14:paraId="08D4B91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PAC</w:t>
            </w:r>
          </w:p>
        </w:tc>
        <w:tc>
          <w:tcPr>
            <w:tcW w:w="420" w:type="pct"/>
            <w:tcBorders>
              <w:top w:val="nil"/>
              <w:left w:val="nil"/>
              <w:bottom w:val="single" w:color="auto" w:sz="4" w:space="0"/>
              <w:right w:val="single" w:color="auto" w:sz="4" w:space="0"/>
            </w:tcBorders>
            <w:vAlign w:val="center"/>
          </w:tcPr>
          <w:p w14:paraId="63CD907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184</w:t>
            </w:r>
          </w:p>
        </w:tc>
        <w:tc>
          <w:tcPr>
            <w:tcW w:w="1587" w:type="pct"/>
            <w:tcBorders>
              <w:top w:val="nil"/>
              <w:left w:val="nil"/>
              <w:bottom w:val="single" w:color="auto" w:sz="4" w:space="0"/>
              <w:right w:val="single" w:color="auto" w:sz="4" w:space="0"/>
            </w:tcBorders>
            <w:vAlign w:val="center"/>
          </w:tcPr>
          <w:p w14:paraId="602C927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限位开关 T4VH336-11z-1058-5</w:t>
            </w:r>
          </w:p>
        </w:tc>
        <w:tc>
          <w:tcPr>
            <w:tcW w:w="592" w:type="pct"/>
            <w:tcBorders>
              <w:top w:val="nil"/>
              <w:left w:val="nil"/>
              <w:bottom w:val="single" w:color="auto" w:sz="4" w:space="0"/>
              <w:right w:val="single" w:color="auto" w:sz="4" w:space="0"/>
            </w:tcBorders>
            <w:vAlign w:val="center"/>
          </w:tcPr>
          <w:p w14:paraId="28FB48D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750D0482">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018185C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31</w:t>
            </w:r>
          </w:p>
        </w:tc>
        <w:tc>
          <w:tcPr>
            <w:tcW w:w="1420" w:type="pct"/>
            <w:tcBorders>
              <w:top w:val="nil"/>
              <w:left w:val="nil"/>
              <w:bottom w:val="single" w:color="auto" w:sz="4" w:space="0"/>
              <w:right w:val="single" w:color="auto" w:sz="4" w:space="0"/>
            </w:tcBorders>
            <w:vAlign w:val="center"/>
          </w:tcPr>
          <w:p w14:paraId="60F6993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钢丝绳，PAWO F10, D=10MM</w:t>
            </w:r>
          </w:p>
        </w:tc>
        <w:tc>
          <w:tcPr>
            <w:tcW w:w="578" w:type="pct"/>
            <w:tcBorders>
              <w:top w:val="nil"/>
              <w:left w:val="nil"/>
              <w:bottom w:val="single" w:color="auto" w:sz="4" w:space="0"/>
              <w:right w:val="single" w:color="auto" w:sz="4" w:space="0"/>
            </w:tcBorders>
            <w:vAlign w:val="center"/>
          </w:tcPr>
          <w:p w14:paraId="6F6065A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M</w:t>
            </w:r>
          </w:p>
        </w:tc>
        <w:tc>
          <w:tcPr>
            <w:tcW w:w="420" w:type="pct"/>
            <w:tcBorders>
              <w:top w:val="nil"/>
              <w:left w:val="nil"/>
              <w:bottom w:val="single" w:color="auto" w:sz="4" w:space="0"/>
              <w:right w:val="single" w:color="auto" w:sz="4" w:space="0"/>
            </w:tcBorders>
            <w:vAlign w:val="center"/>
          </w:tcPr>
          <w:p w14:paraId="60280C4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185</w:t>
            </w:r>
          </w:p>
        </w:tc>
        <w:tc>
          <w:tcPr>
            <w:tcW w:w="1587" w:type="pct"/>
            <w:tcBorders>
              <w:top w:val="nil"/>
              <w:left w:val="nil"/>
              <w:bottom w:val="single" w:color="auto" w:sz="4" w:space="0"/>
              <w:right w:val="single" w:color="auto" w:sz="4" w:space="0"/>
            </w:tcBorders>
            <w:vAlign w:val="center"/>
          </w:tcPr>
          <w:p w14:paraId="7B6C1FE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辅助接触器</w:t>
            </w:r>
          </w:p>
        </w:tc>
        <w:tc>
          <w:tcPr>
            <w:tcW w:w="592" w:type="pct"/>
            <w:tcBorders>
              <w:top w:val="nil"/>
              <w:left w:val="nil"/>
              <w:bottom w:val="single" w:color="auto" w:sz="4" w:space="0"/>
              <w:right w:val="single" w:color="auto" w:sz="4" w:space="0"/>
            </w:tcBorders>
            <w:vAlign w:val="center"/>
          </w:tcPr>
          <w:p w14:paraId="7E11343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474C01C6">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0F72EA0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32</w:t>
            </w:r>
          </w:p>
        </w:tc>
        <w:tc>
          <w:tcPr>
            <w:tcW w:w="1420" w:type="pct"/>
            <w:tcBorders>
              <w:top w:val="nil"/>
              <w:left w:val="nil"/>
              <w:bottom w:val="single" w:color="auto" w:sz="4" w:space="0"/>
              <w:right w:val="single" w:color="auto" w:sz="4" w:space="0"/>
            </w:tcBorders>
            <w:vAlign w:val="center"/>
          </w:tcPr>
          <w:p w14:paraId="46892A0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导靴润滑器16MM</w:t>
            </w:r>
          </w:p>
        </w:tc>
        <w:tc>
          <w:tcPr>
            <w:tcW w:w="578" w:type="pct"/>
            <w:tcBorders>
              <w:top w:val="nil"/>
              <w:left w:val="nil"/>
              <w:bottom w:val="single" w:color="auto" w:sz="4" w:space="0"/>
              <w:right w:val="single" w:color="auto" w:sz="4" w:space="0"/>
            </w:tcBorders>
            <w:vAlign w:val="center"/>
          </w:tcPr>
          <w:p w14:paraId="171DD7F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6EF3B40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186</w:t>
            </w:r>
          </w:p>
        </w:tc>
        <w:tc>
          <w:tcPr>
            <w:tcW w:w="1587" w:type="pct"/>
            <w:tcBorders>
              <w:top w:val="nil"/>
              <w:left w:val="nil"/>
              <w:bottom w:val="single" w:color="auto" w:sz="4" w:space="0"/>
              <w:right w:val="single" w:color="auto" w:sz="4" w:space="0"/>
            </w:tcBorders>
            <w:vAlign w:val="center"/>
          </w:tcPr>
          <w:p w14:paraId="164EC72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轿顶检修盒下行按钮</w:t>
            </w:r>
          </w:p>
        </w:tc>
        <w:tc>
          <w:tcPr>
            <w:tcW w:w="592" w:type="pct"/>
            <w:tcBorders>
              <w:top w:val="nil"/>
              <w:left w:val="nil"/>
              <w:bottom w:val="single" w:color="auto" w:sz="4" w:space="0"/>
              <w:right w:val="single" w:color="auto" w:sz="4" w:space="0"/>
            </w:tcBorders>
            <w:vAlign w:val="center"/>
          </w:tcPr>
          <w:p w14:paraId="673A6BF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14C5BA17">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49ECE11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33</w:t>
            </w:r>
          </w:p>
        </w:tc>
        <w:tc>
          <w:tcPr>
            <w:tcW w:w="1420" w:type="pct"/>
            <w:tcBorders>
              <w:top w:val="nil"/>
              <w:left w:val="nil"/>
              <w:bottom w:val="single" w:color="auto" w:sz="4" w:space="0"/>
              <w:right w:val="single" w:color="auto" w:sz="4" w:space="0"/>
            </w:tcBorders>
            <w:vAlign w:val="center"/>
          </w:tcPr>
          <w:p w14:paraId="1F85341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AMD Railing1重型门挂轮</w:t>
            </w:r>
          </w:p>
        </w:tc>
        <w:tc>
          <w:tcPr>
            <w:tcW w:w="578" w:type="pct"/>
            <w:tcBorders>
              <w:top w:val="nil"/>
              <w:left w:val="nil"/>
              <w:bottom w:val="single" w:color="auto" w:sz="4" w:space="0"/>
              <w:right w:val="single" w:color="auto" w:sz="4" w:space="0"/>
            </w:tcBorders>
            <w:vAlign w:val="center"/>
          </w:tcPr>
          <w:p w14:paraId="542BF0F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34C7ACF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187</w:t>
            </w:r>
          </w:p>
        </w:tc>
        <w:tc>
          <w:tcPr>
            <w:tcW w:w="1587" w:type="pct"/>
            <w:tcBorders>
              <w:top w:val="nil"/>
              <w:left w:val="nil"/>
              <w:bottom w:val="single" w:color="auto" w:sz="4" w:space="0"/>
              <w:right w:val="single" w:color="auto" w:sz="4" w:space="0"/>
            </w:tcBorders>
            <w:vAlign w:val="center"/>
          </w:tcPr>
          <w:p w14:paraId="6B44326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感应开关连接线</w:t>
            </w:r>
          </w:p>
        </w:tc>
        <w:tc>
          <w:tcPr>
            <w:tcW w:w="592" w:type="pct"/>
            <w:tcBorders>
              <w:top w:val="nil"/>
              <w:left w:val="nil"/>
              <w:bottom w:val="single" w:color="auto" w:sz="4" w:space="0"/>
              <w:right w:val="single" w:color="auto" w:sz="4" w:space="0"/>
            </w:tcBorders>
            <w:vAlign w:val="center"/>
          </w:tcPr>
          <w:p w14:paraId="43423A7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6B5337D3">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0080B64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34</w:t>
            </w:r>
          </w:p>
        </w:tc>
        <w:tc>
          <w:tcPr>
            <w:tcW w:w="1420" w:type="pct"/>
            <w:tcBorders>
              <w:top w:val="nil"/>
              <w:left w:val="nil"/>
              <w:bottom w:val="single" w:color="auto" w:sz="4" w:space="0"/>
              <w:right w:val="single" w:color="auto" w:sz="4" w:space="0"/>
            </w:tcBorders>
            <w:vAlign w:val="center"/>
          </w:tcPr>
          <w:p w14:paraId="64DCDAC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COP挂钩(右)</w:t>
            </w:r>
          </w:p>
        </w:tc>
        <w:tc>
          <w:tcPr>
            <w:tcW w:w="578" w:type="pct"/>
            <w:tcBorders>
              <w:top w:val="nil"/>
              <w:left w:val="nil"/>
              <w:bottom w:val="single" w:color="auto" w:sz="4" w:space="0"/>
              <w:right w:val="single" w:color="auto" w:sz="4" w:space="0"/>
            </w:tcBorders>
            <w:vAlign w:val="center"/>
          </w:tcPr>
          <w:p w14:paraId="07C1746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239BB1F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188</w:t>
            </w:r>
          </w:p>
        </w:tc>
        <w:tc>
          <w:tcPr>
            <w:tcW w:w="1587" w:type="pct"/>
            <w:tcBorders>
              <w:top w:val="nil"/>
              <w:left w:val="nil"/>
              <w:bottom w:val="single" w:color="auto" w:sz="4" w:space="0"/>
              <w:right w:val="single" w:color="auto" w:sz="4" w:space="0"/>
            </w:tcBorders>
            <w:vAlign w:val="center"/>
          </w:tcPr>
          <w:p w14:paraId="2707380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六角螺钉 M12X1X80 DIN960-8.8</w:t>
            </w:r>
          </w:p>
        </w:tc>
        <w:tc>
          <w:tcPr>
            <w:tcW w:w="592" w:type="pct"/>
            <w:tcBorders>
              <w:top w:val="nil"/>
              <w:left w:val="nil"/>
              <w:bottom w:val="single" w:color="auto" w:sz="4" w:space="0"/>
              <w:right w:val="single" w:color="auto" w:sz="4" w:space="0"/>
            </w:tcBorders>
            <w:vAlign w:val="center"/>
          </w:tcPr>
          <w:p w14:paraId="5AFE5D6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7ED76AE7">
        <w:tblPrEx>
          <w:tblCellMar>
            <w:top w:w="0" w:type="dxa"/>
            <w:left w:w="108" w:type="dxa"/>
            <w:bottom w:w="0" w:type="dxa"/>
            <w:right w:w="108" w:type="dxa"/>
          </w:tblCellMar>
        </w:tblPrEx>
        <w:trPr>
          <w:trHeight w:val="480" w:hRule="atLeast"/>
        </w:trPr>
        <w:tc>
          <w:tcPr>
            <w:tcW w:w="400" w:type="pct"/>
            <w:tcBorders>
              <w:top w:val="nil"/>
              <w:left w:val="single" w:color="auto" w:sz="4" w:space="0"/>
              <w:bottom w:val="single" w:color="auto" w:sz="4" w:space="0"/>
              <w:right w:val="single" w:color="auto" w:sz="4" w:space="0"/>
            </w:tcBorders>
            <w:vAlign w:val="center"/>
          </w:tcPr>
          <w:p w14:paraId="729184F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35</w:t>
            </w:r>
          </w:p>
        </w:tc>
        <w:tc>
          <w:tcPr>
            <w:tcW w:w="1420" w:type="pct"/>
            <w:tcBorders>
              <w:top w:val="nil"/>
              <w:left w:val="nil"/>
              <w:bottom w:val="single" w:color="auto" w:sz="4" w:space="0"/>
              <w:right w:val="single" w:color="auto" w:sz="4" w:space="0"/>
            </w:tcBorders>
            <w:vAlign w:val="center"/>
          </w:tcPr>
          <w:p w14:paraId="53A63C5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关门钢丝绳</w:t>
            </w:r>
          </w:p>
        </w:tc>
        <w:tc>
          <w:tcPr>
            <w:tcW w:w="578" w:type="pct"/>
            <w:tcBorders>
              <w:top w:val="nil"/>
              <w:left w:val="nil"/>
              <w:bottom w:val="single" w:color="auto" w:sz="4" w:space="0"/>
              <w:right w:val="single" w:color="auto" w:sz="4" w:space="0"/>
            </w:tcBorders>
            <w:vAlign w:val="center"/>
          </w:tcPr>
          <w:p w14:paraId="2B64A16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4E90CC2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189</w:t>
            </w:r>
          </w:p>
        </w:tc>
        <w:tc>
          <w:tcPr>
            <w:tcW w:w="1587" w:type="pct"/>
            <w:tcBorders>
              <w:top w:val="nil"/>
              <w:left w:val="nil"/>
              <w:bottom w:val="single" w:color="auto" w:sz="4" w:space="0"/>
              <w:right w:val="single" w:color="auto" w:sz="4" w:space="0"/>
            </w:tcBorders>
            <w:vAlign w:val="center"/>
          </w:tcPr>
          <w:p w14:paraId="23F5B96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限位开关 SND4112-SL-C WT01(ELK ONLY)</w:t>
            </w:r>
          </w:p>
        </w:tc>
        <w:tc>
          <w:tcPr>
            <w:tcW w:w="592" w:type="pct"/>
            <w:tcBorders>
              <w:top w:val="nil"/>
              <w:left w:val="nil"/>
              <w:bottom w:val="single" w:color="auto" w:sz="4" w:space="0"/>
              <w:right w:val="single" w:color="auto" w:sz="4" w:space="0"/>
            </w:tcBorders>
            <w:vAlign w:val="center"/>
          </w:tcPr>
          <w:p w14:paraId="24D79E0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110A3F48">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292D2EB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36</w:t>
            </w:r>
          </w:p>
        </w:tc>
        <w:tc>
          <w:tcPr>
            <w:tcW w:w="1420" w:type="pct"/>
            <w:tcBorders>
              <w:top w:val="nil"/>
              <w:left w:val="nil"/>
              <w:bottom w:val="single" w:color="auto" w:sz="4" w:space="0"/>
              <w:right w:val="single" w:color="auto" w:sz="4" w:space="0"/>
            </w:tcBorders>
            <w:vAlign w:val="center"/>
          </w:tcPr>
          <w:p w14:paraId="45669DD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开关,BISTABLE 77</w:t>
            </w:r>
          </w:p>
        </w:tc>
        <w:tc>
          <w:tcPr>
            <w:tcW w:w="578" w:type="pct"/>
            <w:tcBorders>
              <w:top w:val="nil"/>
              <w:left w:val="nil"/>
              <w:bottom w:val="single" w:color="auto" w:sz="4" w:space="0"/>
              <w:right w:val="single" w:color="auto" w:sz="4" w:space="0"/>
            </w:tcBorders>
            <w:vAlign w:val="center"/>
          </w:tcPr>
          <w:p w14:paraId="0CC310A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3261FF8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190</w:t>
            </w:r>
          </w:p>
        </w:tc>
        <w:tc>
          <w:tcPr>
            <w:tcW w:w="1587" w:type="pct"/>
            <w:tcBorders>
              <w:top w:val="nil"/>
              <w:left w:val="nil"/>
              <w:bottom w:val="single" w:color="auto" w:sz="4" w:space="0"/>
              <w:right w:val="single" w:color="auto" w:sz="4" w:space="0"/>
            </w:tcBorders>
            <w:vAlign w:val="center"/>
          </w:tcPr>
          <w:p w14:paraId="7494AE5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KDSILCI到井道线缆</w:t>
            </w:r>
          </w:p>
        </w:tc>
        <w:tc>
          <w:tcPr>
            <w:tcW w:w="592" w:type="pct"/>
            <w:tcBorders>
              <w:top w:val="nil"/>
              <w:left w:val="nil"/>
              <w:bottom w:val="single" w:color="auto" w:sz="4" w:space="0"/>
              <w:right w:val="single" w:color="auto" w:sz="4" w:space="0"/>
            </w:tcBorders>
            <w:vAlign w:val="center"/>
          </w:tcPr>
          <w:p w14:paraId="06F21B3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796ED468">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512A792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37</w:t>
            </w:r>
          </w:p>
        </w:tc>
        <w:tc>
          <w:tcPr>
            <w:tcW w:w="1420" w:type="pct"/>
            <w:tcBorders>
              <w:top w:val="nil"/>
              <w:left w:val="nil"/>
              <w:bottom w:val="single" w:color="auto" w:sz="4" w:space="0"/>
              <w:right w:val="single" w:color="auto" w:sz="4" w:space="0"/>
            </w:tcBorders>
            <w:vAlign w:val="center"/>
          </w:tcPr>
          <w:p w14:paraId="6575EE3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COP挂钩(左)</w:t>
            </w:r>
          </w:p>
        </w:tc>
        <w:tc>
          <w:tcPr>
            <w:tcW w:w="578" w:type="pct"/>
            <w:tcBorders>
              <w:top w:val="nil"/>
              <w:left w:val="nil"/>
              <w:bottom w:val="single" w:color="auto" w:sz="4" w:space="0"/>
              <w:right w:val="single" w:color="auto" w:sz="4" w:space="0"/>
            </w:tcBorders>
            <w:vAlign w:val="center"/>
          </w:tcPr>
          <w:p w14:paraId="7841485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7B80211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191</w:t>
            </w:r>
          </w:p>
        </w:tc>
        <w:tc>
          <w:tcPr>
            <w:tcW w:w="1587" w:type="pct"/>
            <w:tcBorders>
              <w:top w:val="nil"/>
              <w:left w:val="nil"/>
              <w:bottom w:val="single" w:color="auto" w:sz="4" w:space="0"/>
              <w:right w:val="single" w:color="auto" w:sz="4" w:space="0"/>
            </w:tcBorders>
            <w:vAlign w:val="center"/>
          </w:tcPr>
          <w:p w14:paraId="7D817AB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导靴垫片 0.5X104X118MM</w:t>
            </w:r>
          </w:p>
        </w:tc>
        <w:tc>
          <w:tcPr>
            <w:tcW w:w="592" w:type="pct"/>
            <w:tcBorders>
              <w:top w:val="nil"/>
              <w:left w:val="nil"/>
              <w:bottom w:val="single" w:color="auto" w:sz="4" w:space="0"/>
              <w:right w:val="single" w:color="auto" w:sz="4" w:space="0"/>
            </w:tcBorders>
            <w:vAlign w:val="center"/>
          </w:tcPr>
          <w:p w14:paraId="6B4CB95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1B7A09A5">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2BD7949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38</w:t>
            </w:r>
          </w:p>
        </w:tc>
        <w:tc>
          <w:tcPr>
            <w:tcW w:w="1420" w:type="pct"/>
            <w:tcBorders>
              <w:top w:val="nil"/>
              <w:left w:val="nil"/>
              <w:bottom w:val="single" w:color="auto" w:sz="4" w:space="0"/>
              <w:right w:val="single" w:color="auto" w:sz="4" w:space="0"/>
            </w:tcBorders>
            <w:vAlign w:val="center"/>
          </w:tcPr>
          <w:p w14:paraId="086C339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门滑块</w:t>
            </w:r>
          </w:p>
        </w:tc>
        <w:tc>
          <w:tcPr>
            <w:tcW w:w="578" w:type="pct"/>
            <w:tcBorders>
              <w:top w:val="nil"/>
              <w:left w:val="nil"/>
              <w:bottom w:val="single" w:color="auto" w:sz="4" w:space="0"/>
              <w:right w:val="single" w:color="auto" w:sz="4" w:space="0"/>
            </w:tcBorders>
            <w:vAlign w:val="center"/>
          </w:tcPr>
          <w:p w14:paraId="3A04977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5D33F8D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192</w:t>
            </w:r>
          </w:p>
        </w:tc>
        <w:tc>
          <w:tcPr>
            <w:tcW w:w="1587" w:type="pct"/>
            <w:tcBorders>
              <w:top w:val="nil"/>
              <w:left w:val="nil"/>
              <w:bottom w:val="single" w:color="auto" w:sz="4" w:space="0"/>
              <w:right w:val="single" w:color="auto" w:sz="4" w:space="0"/>
            </w:tcBorders>
            <w:vAlign w:val="center"/>
          </w:tcPr>
          <w:p w14:paraId="2DDD271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线缆,层站信号 L=4M</w:t>
            </w:r>
          </w:p>
        </w:tc>
        <w:tc>
          <w:tcPr>
            <w:tcW w:w="592" w:type="pct"/>
            <w:tcBorders>
              <w:top w:val="nil"/>
              <w:left w:val="nil"/>
              <w:bottom w:val="single" w:color="auto" w:sz="4" w:space="0"/>
              <w:right w:val="single" w:color="auto" w:sz="4" w:space="0"/>
            </w:tcBorders>
            <w:vAlign w:val="center"/>
          </w:tcPr>
          <w:p w14:paraId="1830996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2DF9E14C">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33D0B0C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39</w:t>
            </w:r>
          </w:p>
        </w:tc>
        <w:tc>
          <w:tcPr>
            <w:tcW w:w="1420" w:type="pct"/>
            <w:tcBorders>
              <w:top w:val="nil"/>
              <w:left w:val="nil"/>
              <w:bottom w:val="single" w:color="auto" w:sz="4" w:space="0"/>
              <w:right w:val="single" w:color="auto" w:sz="4" w:space="0"/>
            </w:tcBorders>
            <w:vAlign w:val="center"/>
          </w:tcPr>
          <w:p w14:paraId="681A476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保险丝6.3A</w:t>
            </w:r>
          </w:p>
        </w:tc>
        <w:tc>
          <w:tcPr>
            <w:tcW w:w="578" w:type="pct"/>
            <w:tcBorders>
              <w:top w:val="nil"/>
              <w:left w:val="nil"/>
              <w:bottom w:val="single" w:color="auto" w:sz="4" w:space="0"/>
              <w:right w:val="single" w:color="auto" w:sz="4" w:space="0"/>
            </w:tcBorders>
            <w:vAlign w:val="center"/>
          </w:tcPr>
          <w:p w14:paraId="5331884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2E466B3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193</w:t>
            </w:r>
          </w:p>
        </w:tc>
        <w:tc>
          <w:tcPr>
            <w:tcW w:w="1587" w:type="pct"/>
            <w:tcBorders>
              <w:top w:val="nil"/>
              <w:left w:val="nil"/>
              <w:bottom w:val="single" w:color="auto" w:sz="4" w:space="0"/>
              <w:right w:val="single" w:color="auto" w:sz="4" w:space="0"/>
            </w:tcBorders>
            <w:vAlign w:val="center"/>
          </w:tcPr>
          <w:p w14:paraId="5E8C82E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AMD偏心轮,R1</w:t>
            </w:r>
          </w:p>
        </w:tc>
        <w:tc>
          <w:tcPr>
            <w:tcW w:w="592" w:type="pct"/>
            <w:tcBorders>
              <w:top w:val="nil"/>
              <w:left w:val="nil"/>
              <w:bottom w:val="single" w:color="auto" w:sz="4" w:space="0"/>
              <w:right w:val="single" w:color="auto" w:sz="4" w:space="0"/>
            </w:tcBorders>
            <w:vAlign w:val="center"/>
          </w:tcPr>
          <w:p w14:paraId="4F87F61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PAC</w:t>
            </w:r>
          </w:p>
        </w:tc>
      </w:tr>
      <w:tr w14:paraId="5D182A3B">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6644F8D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40</w:t>
            </w:r>
          </w:p>
        </w:tc>
        <w:tc>
          <w:tcPr>
            <w:tcW w:w="1420" w:type="pct"/>
            <w:tcBorders>
              <w:top w:val="nil"/>
              <w:left w:val="nil"/>
              <w:bottom w:val="single" w:color="auto" w:sz="4" w:space="0"/>
              <w:right w:val="single" w:color="auto" w:sz="4" w:space="0"/>
            </w:tcBorders>
            <w:vAlign w:val="center"/>
          </w:tcPr>
          <w:p w14:paraId="7F0C822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保险丝4A</w:t>
            </w:r>
          </w:p>
        </w:tc>
        <w:tc>
          <w:tcPr>
            <w:tcW w:w="578" w:type="pct"/>
            <w:tcBorders>
              <w:top w:val="nil"/>
              <w:left w:val="nil"/>
              <w:bottom w:val="single" w:color="auto" w:sz="4" w:space="0"/>
              <w:right w:val="single" w:color="auto" w:sz="4" w:space="0"/>
            </w:tcBorders>
            <w:vAlign w:val="center"/>
          </w:tcPr>
          <w:p w14:paraId="1DEA687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44B6639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194</w:t>
            </w:r>
          </w:p>
        </w:tc>
        <w:tc>
          <w:tcPr>
            <w:tcW w:w="1587" w:type="pct"/>
            <w:tcBorders>
              <w:top w:val="nil"/>
              <w:left w:val="nil"/>
              <w:bottom w:val="single" w:color="auto" w:sz="4" w:space="0"/>
              <w:right w:val="single" w:color="auto" w:sz="4" w:space="0"/>
            </w:tcBorders>
            <w:vAlign w:val="center"/>
          </w:tcPr>
          <w:p w14:paraId="241760D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开关,BISTABLE 77</w:t>
            </w:r>
          </w:p>
        </w:tc>
        <w:tc>
          <w:tcPr>
            <w:tcW w:w="592" w:type="pct"/>
            <w:tcBorders>
              <w:top w:val="nil"/>
              <w:left w:val="nil"/>
              <w:bottom w:val="single" w:color="auto" w:sz="4" w:space="0"/>
              <w:right w:val="single" w:color="auto" w:sz="4" w:space="0"/>
            </w:tcBorders>
            <w:vAlign w:val="center"/>
          </w:tcPr>
          <w:p w14:paraId="2FEAC86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7393BFAF">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0319067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41</w:t>
            </w:r>
          </w:p>
        </w:tc>
        <w:tc>
          <w:tcPr>
            <w:tcW w:w="1420" w:type="pct"/>
            <w:tcBorders>
              <w:top w:val="nil"/>
              <w:left w:val="nil"/>
              <w:bottom w:val="single" w:color="auto" w:sz="4" w:space="0"/>
              <w:right w:val="single" w:color="auto" w:sz="4" w:space="0"/>
            </w:tcBorders>
            <w:vAlign w:val="center"/>
          </w:tcPr>
          <w:p w14:paraId="721974F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摩擦轮 D37.3</w:t>
            </w:r>
          </w:p>
        </w:tc>
        <w:tc>
          <w:tcPr>
            <w:tcW w:w="578" w:type="pct"/>
            <w:tcBorders>
              <w:top w:val="nil"/>
              <w:left w:val="nil"/>
              <w:bottom w:val="single" w:color="auto" w:sz="4" w:space="0"/>
              <w:right w:val="single" w:color="auto" w:sz="4" w:space="0"/>
            </w:tcBorders>
            <w:vAlign w:val="center"/>
          </w:tcPr>
          <w:p w14:paraId="55AA20D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7ABAF6E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195</w:t>
            </w:r>
          </w:p>
        </w:tc>
        <w:tc>
          <w:tcPr>
            <w:tcW w:w="1587" w:type="pct"/>
            <w:tcBorders>
              <w:top w:val="nil"/>
              <w:left w:val="nil"/>
              <w:bottom w:val="single" w:color="auto" w:sz="4" w:space="0"/>
              <w:right w:val="single" w:color="auto" w:sz="4" w:space="0"/>
            </w:tcBorders>
            <w:vAlign w:val="center"/>
          </w:tcPr>
          <w:p w14:paraId="719DEB9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MX10/18测速机用炭刷</w:t>
            </w:r>
          </w:p>
        </w:tc>
        <w:tc>
          <w:tcPr>
            <w:tcW w:w="592" w:type="pct"/>
            <w:tcBorders>
              <w:top w:val="nil"/>
              <w:left w:val="nil"/>
              <w:bottom w:val="single" w:color="auto" w:sz="4" w:space="0"/>
              <w:right w:val="single" w:color="auto" w:sz="4" w:space="0"/>
            </w:tcBorders>
            <w:vAlign w:val="center"/>
          </w:tcPr>
          <w:p w14:paraId="5264797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7CECD913">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062DA26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42</w:t>
            </w:r>
          </w:p>
        </w:tc>
        <w:tc>
          <w:tcPr>
            <w:tcW w:w="1420" w:type="pct"/>
            <w:tcBorders>
              <w:top w:val="nil"/>
              <w:left w:val="nil"/>
              <w:bottom w:val="single" w:color="auto" w:sz="4" w:space="0"/>
              <w:right w:val="single" w:color="auto" w:sz="4" w:space="0"/>
            </w:tcBorders>
            <w:vAlign w:val="center"/>
          </w:tcPr>
          <w:p w14:paraId="1FBBE66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NBSL限速器UKS开关</w:t>
            </w:r>
          </w:p>
        </w:tc>
        <w:tc>
          <w:tcPr>
            <w:tcW w:w="578" w:type="pct"/>
            <w:tcBorders>
              <w:top w:val="nil"/>
              <w:left w:val="nil"/>
              <w:bottom w:val="single" w:color="auto" w:sz="4" w:space="0"/>
              <w:right w:val="single" w:color="auto" w:sz="4" w:space="0"/>
            </w:tcBorders>
            <w:vAlign w:val="center"/>
          </w:tcPr>
          <w:p w14:paraId="068355A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777A167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196</w:t>
            </w:r>
          </w:p>
        </w:tc>
        <w:tc>
          <w:tcPr>
            <w:tcW w:w="1587" w:type="pct"/>
            <w:tcBorders>
              <w:top w:val="nil"/>
              <w:left w:val="nil"/>
              <w:bottom w:val="single" w:color="auto" w:sz="4" w:space="0"/>
              <w:right w:val="single" w:color="auto" w:sz="4" w:space="0"/>
            </w:tcBorders>
            <w:vAlign w:val="center"/>
          </w:tcPr>
          <w:p w14:paraId="21BD173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螺丝钉 M10x1x55DIN960-8.8</w:t>
            </w:r>
          </w:p>
        </w:tc>
        <w:tc>
          <w:tcPr>
            <w:tcW w:w="592" w:type="pct"/>
            <w:tcBorders>
              <w:top w:val="nil"/>
              <w:left w:val="nil"/>
              <w:bottom w:val="single" w:color="auto" w:sz="4" w:space="0"/>
              <w:right w:val="single" w:color="auto" w:sz="4" w:space="0"/>
            </w:tcBorders>
            <w:vAlign w:val="center"/>
          </w:tcPr>
          <w:p w14:paraId="6E3185F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15BC813B">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25509C6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43</w:t>
            </w:r>
          </w:p>
        </w:tc>
        <w:tc>
          <w:tcPr>
            <w:tcW w:w="1420" w:type="pct"/>
            <w:tcBorders>
              <w:top w:val="nil"/>
              <w:left w:val="nil"/>
              <w:bottom w:val="single" w:color="auto" w:sz="4" w:space="0"/>
              <w:right w:val="single" w:color="auto" w:sz="4" w:space="0"/>
            </w:tcBorders>
            <w:vAlign w:val="center"/>
          </w:tcPr>
          <w:p w14:paraId="208DB21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限位开关(CR400NZ)</w:t>
            </w:r>
          </w:p>
        </w:tc>
        <w:tc>
          <w:tcPr>
            <w:tcW w:w="578" w:type="pct"/>
            <w:tcBorders>
              <w:top w:val="nil"/>
              <w:left w:val="nil"/>
              <w:bottom w:val="single" w:color="auto" w:sz="4" w:space="0"/>
              <w:right w:val="single" w:color="auto" w:sz="4" w:space="0"/>
            </w:tcBorders>
            <w:vAlign w:val="center"/>
          </w:tcPr>
          <w:p w14:paraId="76F570B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40F3342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197</w:t>
            </w:r>
          </w:p>
        </w:tc>
        <w:tc>
          <w:tcPr>
            <w:tcW w:w="1587" w:type="pct"/>
            <w:tcBorders>
              <w:top w:val="nil"/>
              <w:left w:val="nil"/>
              <w:bottom w:val="single" w:color="auto" w:sz="4" w:space="0"/>
              <w:right w:val="single" w:color="auto" w:sz="4" w:space="0"/>
            </w:tcBorders>
            <w:vAlign w:val="center"/>
          </w:tcPr>
          <w:p w14:paraId="4D2514E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AUGUSTA-AMD中分关门钢丝绳, L=1.2M</w:t>
            </w:r>
          </w:p>
        </w:tc>
        <w:tc>
          <w:tcPr>
            <w:tcW w:w="592" w:type="pct"/>
            <w:tcBorders>
              <w:top w:val="nil"/>
              <w:left w:val="nil"/>
              <w:bottom w:val="single" w:color="auto" w:sz="4" w:space="0"/>
              <w:right w:val="single" w:color="auto" w:sz="4" w:space="0"/>
            </w:tcBorders>
            <w:vAlign w:val="center"/>
          </w:tcPr>
          <w:p w14:paraId="22A1015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46B6A884">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7BB6711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44</w:t>
            </w:r>
          </w:p>
        </w:tc>
        <w:tc>
          <w:tcPr>
            <w:tcW w:w="1420" w:type="pct"/>
            <w:tcBorders>
              <w:top w:val="nil"/>
              <w:left w:val="nil"/>
              <w:bottom w:val="single" w:color="auto" w:sz="4" w:space="0"/>
              <w:right w:val="single" w:color="auto" w:sz="4" w:space="0"/>
            </w:tcBorders>
            <w:vAlign w:val="center"/>
          </w:tcPr>
          <w:p w14:paraId="211EB76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集油盒(导轨 T89)</w:t>
            </w:r>
          </w:p>
        </w:tc>
        <w:tc>
          <w:tcPr>
            <w:tcW w:w="578" w:type="pct"/>
            <w:tcBorders>
              <w:top w:val="nil"/>
              <w:left w:val="nil"/>
              <w:bottom w:val="single" w:color="auto" w:sz="4" w:space="0"/>
              <w:right w:val="single" w:color="auto" w:sz="4" w:space="0"/>
            </w:tcBorders>
            <w:vAlign w:val="center"/>
          </w:tcPr>
          <w:p w14:paraId="326F087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68A3B3F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198</w:t>
            </w:r>
          </w:p>
        </w:tc>
        <w:tc>
          <w:tcPr>
            <w:tcW w:w="1587" w:type="pct"/>
            <w:tcBorders>
              <w:top w:val="nil"/>
              <w:left w:val="nil"/>
              <w:bottom w:val="single" w:color="auto" w:sz="4" w:space="0"/>
              <w:right w:val="single" w:color="auto" w:sz="4" w:space="0"/>
            </w:tcBorders>
            <w:vAlign w:val="center"/>
          </w:tcPr>
          <w:p w14:paraId="6B3BC73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关门钢丝绳, LL &gt;1000 MM</w:t>
            </w:r>
          </w:p>
        </w:tc>
        <w:tc>
          <w:tcPr>
            <w:tcW w:w="592" w:type="pct"/>
            <w:tcBorders>
              <w:top w:val="nil"/>
              <w:left w:val="nil"/>
              <w:bottom w:val="single" w:color="auto" w:sz="4" w:space="0"/>
              <w:right w:val="single" w:color="auto" w:sz="4" w:space="0"/>
            </w:tcBorders>
            <w:vAlign w:val="center"/>
          </w:tcPr>
          <w:p w14:paraId="6F55B96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047F7F8E">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686BB2C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45</w:t>
            </w:r>
          </w:p>
        </w:tc>
        <w:tc>
          <w:tcPr>
            <w:tcW w:w="1420" w:type="pct"/>
            <w:tcBorders>
              <w:top w:val="nil"/>
              <w:left w:val="nil"/>
              <w:bottom w:val="single" w:color="auto" w:sz="4" w:space="0"/>
              <w:right w:val="single" w:color="auto" w:sz="4" w:space="0"/>
            </w:tcBorders>
            <w:vAlign w:val="center"/>
          </w:tcPr>
          <w:p w14:paraId="06B692E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钢丝绳,PAWO F7S D8 8X19W+IWRC</w:t>
            </w:r>
          </w:p>
        </w:tc>
        <w:tc>
          <w:tcPr>
            <w:tcW w:w="578" w:type="pct"/>
            <w:tcBorders>
              <w:top w:val="nil"/>
              <w:left w:val="nil"/>
              <w:bottom w:val="single" w:color="auto" w:sz="4" w:space="0"/>
              <w:right w:val="single" w:color="auto" w:sz="4" w:space="0"/>
            </w:tcBorders>
            <w:vAlign w:val="center"/>
          </w:tcPr>
          <w:p w14:paraId="252E5F2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M</w:t>
            </w:r>
          </w:p>
        </w:tc>
        <w:tc>
          <w:tcPr>
            <w:tcW w:w="420" w:type="pct"/>
            <w:tcBorders>
              <w:top w:val="nil"/>
              <w:left w:val="nil"/>
              <w:bottom w:val="single" w:color="auto" w:sz="4" w:space="0"/>
              <w:right w:val="single" w:color="auto" w:sz="4" w:space="0"/>
            </w:tcBorders>
            <w:vAlign w:val="center"/>
          </w:tcPr>
          <w:p w14:paraId="7F04BCE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199</w:t>
            </w:r>
          </w:p>
        </w:tc>
        <w:tc>
          <w:tcPr>
            <w:tcW w:w="1587" w:type="pct"/>
            <w:tcBorders>
              <w:top w:val="nil"/>
              <w:left w:val="nil"/>
              <w:bottom w:val="single" w:color="auto" w:sz="4" w:space="0"/>
              <w:right w:val="single" w:color="auto" w:sz="4" w:space="0"/>
            </w:tcBorders>
            <w:vAlign w:val="center"/>
          </w:tcPr>
          <w:p w14:paraId="73CF8EB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平层板支架</w:t>
            </w:r>
          </w:p>
        </w:tc>
        <w:tc>
          <w:tcPr>
            <w:tcW w:w="592" w:type="pct"/>
            <w:tcBorders>
              <w:top w:val="nil"/>
              <w:left w:val="nil"/>
              <w:bottom w:val="single" w:color="auto" w:sz="4" w:space="0"/>
              <w:right w:val="single" w:color="auto" w:sz="4" w:space="0"/>
            </w:tcBorders>
            <w:vAlign w:val="center"/>
          </w:tcPr>
          <w:p w14:paraId="7CA296C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364203B1">
        <w:tblPrEx>
          <w:tblCellMar>
            <w:top w:w="0" w:type="dxa"/>
            <w:left w:w="108" w:type="dxa"/>
            <w:bottom w:w="0" w:type="dxa"/>
            <w:right w:w="108" w:type="dxa"/>
          </w:tblCellMar>
        </w:tblPrEx>
        <w:trPr>
          <w:trHeight w:val="480" w:hRule="atLeast"/>
        </w:trPr>
        <w:tc>
          <w:tcPr>
            <w:tcW w:w="400" w:type="pct"/>
            <w:tcBorders>
              <w:top w:val="nil"/>
              <w:left w:val="single" w:color="auto" w:sz="4" w:space="0"/>
              <w:bottom w:val="single" w:color="auto" w:sz="4" w:space="0"/>
              <w:right w:val="single" w:color="auto" w:sz="4" w:space="0"/>
            </w:tcBorders>
            <w:vAlign w:val="center"/>
          </w:tcPr>
          <w:p w14:paraId="2A4D18A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46</w:t>
            </w:r>
          </w:p>
        </w:tc>
        <w:tc>
          <w:tcPr>
            <w:tcW w:w="1420" w:type="pct"/>
            <w:tcBorders>
              <w:top w:val="nil"/>
              <w:left w:val="nil"/>
              <w:bottom w:val="single" w:color="auto" w:sz="4" w:space="0"/>
              <w:right w:val="single" w:color="auto" w:sz="4" w:space="0"/>
            </w:tcBorders>
            <w:vAlign w:val="center"/>
          </w:tcPr>
          <w:p w14:paraId="6AB826C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轿厢风扇包括电缆线 FB-9B-220 右</w:t>
            </w:r>
          </w:p>
        </w:tc>
        <w:tc>
          <w:tcPr>
            <w:tcW w:w="578" w:type="pct"/>
            <w:tcBorders>
              <w:top w:val="nil"/>
              <w:left w:val="nil"/>
              <w:bottom w:val="single" w:color="auto" w:sz="4" w:space="0"/>
              <w:right w:val="single" w:color="auto" w:sz="4" w:space="0"/>
            </w:tcBorders>
            <w:vAlign w:val="center"/>
          </w:tcPr>
          <w:p w14:paraId="35B52F4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02E4C35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200</w:t>
            </w:r>
          </w:p>
        </w:tc>
        <w:tc>
          <w:tcPr>
            <w:tcW w:w="1587" w:type="pct"/>
            <w:tcBorders>
              <w:top w:val="nil"/>
              <w:left w:val="nil"/>
              <w:bottom w:val="single" w:color="auto" w:sz="4" w:space="0"/>
              <w:right w:val="single" w:color="auto" w:sz="4" w:space="0"/>
            </w:tcBorders>
            <w:vAlign w:val="center"/>
          </w:tcPr>
          <w:p w14:paraId="1D25B73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联动钢丝绳D2.0（钢丝绳L=3190）</w:t>
            </w:r>
          </w:p>
        </w:tc>
        <w:tc>
          <w:tcPr>
            <w:tcW w:w="592" w:type="pct"/>
            <w:tcBorders>
              <w:top w:val="nil"/>
              <w:left w:val="nil"/>
              <w:bottom w:val="single" w:color="auto" w:sz="4" w:space="0"/>
              <w:right w:val="single" w:color="auto" w:sz="4" w:space="0"/>
            </w:tcBorders>
            <w:vAlign w:val="center"/>
          </w:tcPr>
          <w:p w14:paraId="4AF1B88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0035D0F7">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1D946A8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47</w:t>
            </w:r>
          </w:p>
        </w:tc>
        <w:tc>
          <w:tcPr>
            <w:tcW w:w="1420" w:type="pct"/>
            <w:tcBorders>
              <w:top w:val="nil"/>
              <w:left w:val="nil"/>
              <w:bottom w:val="single" w:color="auto" w:sz="4" w:space="0"/>
              <w:right w:val="single" w:color="auto" w:sz="4" w:space="0"/>
            </w:tcBorders>
            <w:vAlign w:val="center"/>
          </w:tcPr>
          <w:p w14:paraId="61C8877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风扇右 50HZ</w:t>
            </w:r>
          </w:p>
        </w:tc>
        <w:tc>
          <w:tcPr>
            <w:tcW w:w="578" w:type="pct"/>
            <w:tcBorders>
              <w:top w:val="nil"/>
              <w:left w:val="nil"/>
              <w:bottom w:val="single" w:color="auto" w:sz="4" w:space="0"/>
              <w:right w:val="single" w:color="auto" w:sz="4" w:space="0"/>
            </w:tcBorders>
            <w:vAlign w:val="center"/>
          </w:tcPr>
          <w:p w14:paraId="65022E8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1FBF0D3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201</w:t>
            </w:r>
          </w:p>
        </w:tc>
        <w:tc>
          <w:tcPr>
            <w:tcW w:w="1587" w:type="pct"/>
            <w:tcBorders>
              <w:top w:val="nil"/>
              <w:left w:val="nil"/>
              <w:bottom w:val="single" w:color="auto" w:sz="4" w:space="0"/>
              <w:right w:val="single" w:color="auto" w:sz="4" w:space="0"/>
            </w:tcBorders>
            <w:vAlign w:val="center"/>
          </w:tcPr>
          <w:p w14:paraId="7F6BB91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变频器晶闸管IGBT SKM100GAL-123D</w:t>
            </w:r>
          </w:p>
        </w:tc>
        <w:tc>
          <w:tcPr>
            <w:tcW w:w="592" w:type="pct"/>
            <w:tcBorders>
              <w:top w:val="nil"/>
              <w:left w:val="nil"/>
              <w:bottom w:val="single" w:color="auto" w:sz="4" w:space="0"/>
              <w:right w:val="single" w:color="auto" w:sz="4" w:space="0"/>
            </w:tcBorders>
            <w:vAlign w:val="center"/>
          </w:tcPr>
          <w:p w14:paraId="62A8C90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7229EDAE">
        <w:tblPrEx>
          <w:tblCellMar>
            <w:top w:w="0" w:type="dxa"/>
            <w:left w:w="108" w:type="dxa"/>
            <w:bottom w:w="0" w:type="dxa"/>
            <w:right w:w="108" w:type="dxa"/>
          </w:tblCellMar>
        </w:tblPrEx>
        <w:trPr>
          <w:trHeight w:val="480" w:hRule="atLeast"/>
        </w:trPr>
        <w:tc>
          <w:tcPr>
            <w:tcW w:w="400" w:type="pct"/>
            <w:tcBorders>
              <w:top w:val="nil"/>
              <w:left w:val="single" w:color="auto" w:sz="4" w:space="0"/>
              <w:bottom w:val="single" w:color="auto" w:sz="4" w:space="0"/>
              <w:right w:val="single" w:color="auto" w:sz="4" w:space="0"/>
            </w:tcBorders>
            <w:vAlign w:val="center"/>
          </w:tcPr>
          <w:p w14:paraId="2B9E540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48</w:t>
            </w:r>
          </w:p>
        </w:tc>
        <w:tc>
          <w:tcPr>
            <w:tcW w:w="1420" w:type="pct"/>
            <w:tcBorders>
              <w:top w:val="nil"/>
              <w:left w:val="nil"/>
              <w:bottom w:val="single" w:color="auto" w:sz="4" w:space="0"/>
              <w:right w:val="single" w:color="auto" w:sz="4" w:space="0"/>
            </w:tcBorders>
            <w:vAlign w:val="center"/>
          </w:tcPr>
          <w:p w14:paraId="740A17C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SLG20导靴,9.5MM</w:t>
            </w:r>
          </w:p>
        </w:tc>
        <w:tc>
          <w:tcPr>
            <w:tcW w:w="578" w:type="pct"/>
            <w:tcBorders>
              <w:top w:val="nil"/>
              <w:left w:val="nil"/>
              <w:bottom w:val="single" w:color="auto" w:sz="4" w:space="0"/>
              <w:right w:val="single" w:color="auto" w:sz="4" w:space="0"/>
            </w:tcBorders>
            <w:vAlign w:val="center"/>
          </w:tcPr>
          <w:p w14:paraId="4240602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PAC</w:t>
            </w:r>
          </w:p>
        </w:tc>
        <w:tc>
          <w:tcPr>
            <w:tcW w:w="420" w:type="pct"/>
            <w:tcBorders>
              <w:top w:val="nil"/>
              <w:left w:val="nil"/>
              <w:bottom w:val="single" w:color="auto" w:sz="4" w:space="0"/>
              <w:right w:val="single" w:color="auto" w:sz="4" w:space="0"/>
            </w:tcBorders>
            <w:vAlign w:val="center"/>
          </w:tcPr>
          <w:p w14:paraId="3AB6817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202</w:t>
            </w:r>
          </w:p>
        </w:tc>
        <w:tc>
          <w:tcPr>
            <w:tcW w:w="1587" w:type="pct"/>
            <w:tcBorders>
              <w:top w:val="nil"/>
              <w:left w:val="nil"/>
              <w:bottom w:val="single" w:color="auto" w:sz="4" w:space="0"/>
              <w:right w:val="single" w:color="auto" w:sz="4" w:space="0"/>
            </w:tcBorders>
            <w:vAlign w:val="center"/>
          </w:tcPr>
          <w:p w14:paraId="06920B1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ELECTRONIC SHAFT SWITCH OSCILLATOR</w:t>
            </w:r>
          </w:p>
        </w:tc>
        <w:tc>
          <w:tcPr>
            <w:tcW w:w="592" w:type="pct"/>
            <w:tcBorders>
              <w:top w:val="nil"/>
              <w:left w:val="nil"/>
              <w:bottom w:val="single" w:color="auto" w:sz="4" w:space="0"/>
              <w:right w:val="single" w:color="auto" w:sz="4" w:space="0"/>
            </w:tcBorders>
            <w:vAlign w:val="center"/>
          </w:tcPr>
          <w:p w14:paraId="2BBFA50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059BF016">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4D900FA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49</w:t>
            </w:r>
          </w:p>
        </w:tc>
        <w:tc>
          <w:tcPr>
            <w:tcW w:w="1420" w:type="pct"/>
            <w:tcBorders>
              <w:top w:val="nil"/>
              <w:left w:val="nil"/>
              <w:bottom w:val="single" w:color="auto" w:sz="4" w:space="0"/>
              <w:right w:val="single" w:color="auto" w:sz="4" w:space="0"/>
            </w:tcBorders>
            <w:vAlign w:val="center"/>
          </w:tcPr>
          <w:p w14:paraId="2AB4E1E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AUGUSTA CORE HANGER ROLLER</w:t>
            </w:r>
          </w:p>
        </w:tc>
        <w:tc>
          <w:tcPr>
            <w:tcW w:w="578" w:type="pct"/>
            <w:tcBorders>
              <w:top w:val="nil"/>
              <w:left w:val="nil"/>
              <w:bottom w:val="single" w:color="auto" w:sz="4" w:space="0"/>
              <w:right w:val="single" w:color="auto" w:sz="4" w:space="0"/>
            </w:tcBorders>
            <w:vAlign w:val="center"/>
          </w:tcPr>
          <w:p w14:paraId="784BB7F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0BDD05B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203</w:t>
            </w:r>
          </w:p>
        </w:tc>
        <w:tc>
          <w:tcPr>
            <w:tcW w:w="1587" w:type="pct"/>
            <w:tcBorders>
              <w:top w:val="nil"/>
              <w:left w:val="nil"/>
              <w:bottom w:val="single" w:color="auto" w:sz="4" w:space="0"/>
              <w:right w:val="single" w:color="auto" w:sz="4" w:space="0"/>
            </w:tcBorders>
            <w:vAlign w:val="center"/>
          </w:tcPr>
          <w:p w14:paraId="393079D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关门钢丝绳,D1.6MM L=5000MM</w:t>
            </w:r>
          </w:p>
        </w:tc>
        <w:tc>
          <w:tcPr>
            <w:tcW w:w="592" w:type="pct"/>
            <w:tcBorders>
              <w:top w:val="nil"/>
              <w:left w:val="nil"/>
              <w:bottom w:val="single" w:color="auto" w:sz="4" w:space="0"/>
              <w:right w:val="single" w:color="auto" w:sz="4" w:space="0"/>
            </w:tcBorders>
            <w:vAlign w:val="center"/>
          </w:tcPr>
          <w:p w14:paraId="13BE464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123A3826">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4A5635F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50</w:t>
            </w:r>
          </w:p>
        </w:tc>
        <w:tc>
          <w:tcPr>
            <w:tcW w:w="1420" w:type="pct"/>
            <w:tcBorders>
              <w:top w:val="nil"/>
              <w:left w:val="nil"/>
              <w:bottom w:val="single" w:color="auto" w:sz="4" w:space="0"/>
              <w:right w:val="single" w:color="auto" w:sz="4" w:space="0"/>
            </w:tcBorders>
            <w:vAlign w:val="center"/>
          </w:tcPr>
          <w:p w14:paraId="6861F50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风扇左 50 HZ</w:t>
            </w:r>
          </w:p>
        </w:tc>
        <w:tc>
          <w:tcPr>
            <w:tcW w:w="578" w:type="pct"/>
            <w:tcBorders>
              <w:top w:val="nil"/>
              <w:left w:val="nil"/>
              <w:bottom w:val="single" w:color="auto" w:sz="4" w:space="0"/>
              <w:right w:val="single" w:color="auto" w:sz="4" w:space="0"/>
            </w:tcBorders>
            <w:vAlign w:val="center"/>
          </w:tcPr>
          <w:p w14:paraId="1101669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7DC92A9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204</w:t>
            </w:r>
          </w:p>
        </w:tc>
        <w:tc>
          <w:tcPr>
            <w:tcW w:w="1587" w:type="pct"/>
            <w:tcBorders>
              <w:top w:val="nil"/>
              <w:left w:val="nil"/>
              <w:bottom w:val="single" w:color="auto" w:sz="4" w:space="0"/>
              <w:right w:val="single" w:color="auto" w:sz="4" w:space="0"/>
            </w:tcBorders>
            <w:vAlign w:val="center"/>
          </w:tcPr>
          <w:p w14:paraId="297388C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AMD厅门同步钢丝绳L=4000MM</w:t>
            </w:r>
          </w:p>
        </w:tc>
        <w:tc>
          <w:tcPr>
            <w:tcW w:w="592" w:type="pct"/>
            <w:tcBorders>
              <w:top w:val="nil"/>
              <w:left w:val="nil"/>
              <w:bottom w:val="single" w:color="auto" w:sz="4" w:space="0"/>
              <w:right w:val="single" w:color="auto" w:sz="4" w:space="0"/>
            </w:tcBorders>
            <w:vAlign w:val="center"/>
          </w:tcPr>
          <w:p w14:paraId="5052C41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058A6DBB">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5E88B25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51</w:t>
            </w:r>
          </w:p>
        </w:tc>
        <w:tc>
          <w:tcPr>
            <w:tcW w:w="1420" w:type="pct"/>
            <w:tcBorders>
              <w:top w:val="nil"/>
              <w:left w:val="nil"/>
              <w:bottom w:val="single" w:color="auto" w:sz="4" w:space="0"/>
              <w:right w:val="single" w:color="auto" w:sz="4" w:space="0"/>
            </w:tcBorders>
            <w:vAlign w:val="center"/>
          </w:tcPr>
          <w:p w14:paraId="3D2E97B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SLG6导靴，T75</w:t>
            </w:r>
          </w:p>
        </w:tc>
        <w:tc>
          <w:tcPr>
            <w:tcW w:w="578" w:type="pct"/>
            <w:tcBorders>
              <w:top w:val="nil"/>
              <w:left w:val="nil"/>
              <w:bottom w:val="single" w:color="auto" w:sz="4" w:space="0"/>
              <w:right w:val="single" w:color="auto" w:sz="4" w:space="0"/>
            </w:tcBorders>
            <w:vAlign w:val="center"/>
          </w:tcPr>
          <w:p w14:paraId="3F7EEE5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038B706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205</w:t>
            </w:r>
          </w:p>
        </w:tc>
        <w:tc>
          <w:tcPr>
            <w:tcW w:w="1587" w:type="pct"/>
            <w:tcBorders>
              <w:top w:val="nil"/>
              <w:left w:val="nil"/>
              <w:bottom w:val="single" w:color="auto" w:sz="4" w:space="0"/>
              <w:right w:val="single" w:color="auto" w:sz="4" w:space="0"/>
            </w:tcBorders>
            <w:vAlign w:val="center"/>
          </w:tcPr>
          <w:p w14:paraId="1763FA9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楼层控制板固定件</w:t>
            </w:r>
          </w:p>
        </w:tc>
        <w:tc>
          <w:tcPr>
            <w:tcW w:w="592" w:type="pct"/>
            <w:tcBorders>
              <w:top w:val="nil"/>
              <w:left w:val="nil"/>
              <w:bottom w:val="single" w:color="auto" w:sz="4" w:space="0"/>
              <w:right w:val="single" w:color="auto" w:sz="4" w:space="0"/>
            </w:tcBorders>
            <w:vAlign w:val="center"/>
          </w:tcPr>
          <w:p w14:paraId="7191E85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4FD03A7C">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2AA04D9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52</w:t>
            </w:r>
          </w:p>
        </w:tc>
        <w:tc>
          <w:tcPr>
            <w:tcW w:w="1420" w:type="pct"/>
            <w:tcBorders>
              <w:top w:val="nil"/>
              <w:left w:val="nil"/>
              <w:bottom w:val="single" w:color="auto" w:sz="4" w:space="0"/>
              <w:right w:val="single" w:color="auto" w:sz="4" w:space="0"/>
            </w:tcBorders>
            <w:vAlign w:val="center"/>
          </w:tcPr>
          <w:p w14:paraId="62CE601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门挂轮D94MM W=19MM</w:t>
            </w:r>
          </w:p>
        </w:tc>
        <w:tc>
          <w:tcPr>
            <w:tcW w:w="578" w:type="pct"/>
            <w:tcBorders>
              <w:top w:val="nil"/>
              <w:left w:val="nil"/>
              <w:bottom w:val="single" w:color="auto" w:sz="4" w:space="0"/>
              <w:right w:val="single" w:color="auto" w:sz="4" w:space="0"/>
            </w:tcBorders>
            <w:vAlign w:val="center"/>
          </w:tcPr>
          <w:p w14:paraId="22494D5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7127D2A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206</w:t>
            </w:r>
          </w:p>
        </w:tc>
        <w:tc>
          <w:tcPr>
            <w:tcW w:w="1587" w:type="pct"/>
            <w:tcBorders>
              <w:top w:val="nil"/>
              <w:left w:val="nil"/>
              <w:bottom w:val="single" w:color="auto" w:sz="4" w:space="0"/>
              <w:right w:val="single" w:color="auto" w:sz="4" w:space="0"/>
            </w:tcBorders>
            <w:vAlign w:val="center"/>
          </w:tcPr>
          <w:p w14:paraId="1FC9FDC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SLG8靴衬，导轨宽度10mm</w:t>
            </w:r>
          </w:p>
        </w:tc>
        <w:tc>
          <w:tcPr>
            <w:tcW w:w="592" w:type="pct"/>
            <w:tcBorders>
              <w:top w:val="nil"/>
              <w:left w:val="nil"/>
              <w:bottom w:val="single" w:color="auto" w:sz="4" w:space="0"/>
              <w:right w:val="single" w:color="auto" w:sz="4" w:space="0"/>
            </w:tcBorders>
            <w:vAlign w:val="center"/>
          </w:tcPr>
          <w:p w14:paraId="231AA24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480E10B1">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026085D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53</w:t>
            </w:r>
          </w:p>
        </w:tc>
        <w:tc>
          <w:tcPr>
            <w:tcW w:w="1420" w:type="pct"/>
            <w:tcBorders>
              <w:top w:val="nil"/>
              <w:left w:val="nil"/>
              <w:bottom w:val="single" w:color="auto" w:sz="4" w:space="0"/>
              <w:right w:val="single" w:color="auto" w:sz="4" w:space="0"/>
            </w:tcBorders>
            <w:vAlign w:val="center"/>
          </w:tcPr>
          <w:p w14:paraId="4BFB0D9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eastAsia="zh-TW"/>
              </w:rPr>
            </w:pPr>
            <w:r>
              <w:rPr>
                <w:rFonts w:hint="eastAsia" w:ascii="宋体" w:hAnsi="宋体" w:eastAsia="宋体" w:cs="宋体"/>
                <w:sz w:val="21"/>
                <w:szCs w:val="21"/>
                <w:highlight w:val="none"/>
                <w:lang w:eastAsia="zh-TW"/>
              </w:rPr>
              <w:t>導靴 L=140MM 導軌闊度16MM</w:t>
            </w:r>
          </w:p>
        </w:tc>
        <w:tc>
          <w:tcPr>
            <w:tcW w:w="578" w:type="pct"/>
            <w:tcBorders>
              <w:top w:val="nil"/>
              <w:left w:val="nil"/>
              <w:bottom w:val="single" w:color="auto" w:sz="4" w:space="0"/>
              <w:right w:val="single" w:color="auto" w:sz="4" w:space="0"/>
            </w:tcBorders>
            <w:vAlign w:val="center"/>
          </w:tcPr>
          <w:p w14:paraId="7945A2E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PAC</w:t>
            </w:r>
          </w:p>
        </w:tc>
        <w:tc>
          <w:tcPr>
            <w:tcW w:w="420" w:type="pct"/>
            <w:tcBorders>
              <w:top w:val="nil"/>
              <w:left w:val="nil"/>
              <w:bottom w:val="single" w:color="auto" w:sz="4" w:space="0"/>
              <w:right w:val="single" w:color="auto" w:sz="4" w:space="0"/>
            </w:tcBorders>
            <w:vAlign w:val="center"/>
          </w:tcPr>
          <w:p w14:paraId="7F86DC6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207</w:t>
            </w:r>
          </w:p>
        </w:tc>
        <w:tc>
          <w:tcPr>
            <w:tcW w:w="1587" w:type="pct"/>
            <w:tcBorders>
              <w:top w:val="nil"/>
              <w:left w:val="nil"/>
              <w:bottom w:val="single" w:color="auto" w:sz="4" w:space="0"/>
              <w:right w:val="single" w:color="auto" w:sz="4" w:space="0"/>
            </w:tcBorders>
            <w:vAlign w:val="center"/>
          </w:tcPr>
          <w:p w14:paraId="73C2DBB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阻容元件，127-240VAC 150-250VDC</w:t>
            </w:r>
          </w:p>
        </w:tc>
        <w:tc>
          <w:tcPr>
            <w:tcW w:w="592" w:type="pct"/>
            <w:tcBorders>
              <w:top w:val="nil"/>
              <w:left w:val="nil"/>
              <w:bottom w:val="single" w:color="auto" w:sz="4" w:space="0"/>
              <w:right w:val="single" w:color="auto" w:sz="4" w:space="0"/>
            </w:tcBorders>
            <w:vAlign w:val="center"/>
          </w:tcPr>
          <w:p w14:paraId="1575175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121CE0FD">
        <w:tblPrEx>
          <w:tblCellMar>
            <w:top w:w="0" w:type="dxa"/>
            <w:left w:w="108" w:type="dxa"/>
            <w:bottom w:w="0" w:type="dxa"/>
            <w:right w:w="108" w:type="dxa"/>
          </w:tblCellMar>
        </w:tblPrEx>
        <w:trPr>
          <w:trHeight w:val="480" w:hRule="atLeast"/>
        </w:trPr>
        <w:tc>
          <w:tcPr>
            <w:tcW w:w="400" w:type="pct"/>
            <w:tcBorders>
              <w:top w:val="nil"/>
              <w:left w:val="single" w:color="auto" w:sz="4" w:space="0"/>
              <w:bottom w:val="single" w:color="auto" w:sz="4" w:space="0"/>
              <w:right w:val="single" w:color="auto" w:sz="4" w:space="0"/>
            </w:tcBorders>
            <w:vAlign w:val="center"/>
          </w:tcPr>
          <w:p w14:paraId="5EA3423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54</w:t>
            </w:r>
          </w:p>
        </w:tc>
        <w:tc>
          <w:tcPr>
            <w:tcW w:w="1420" w:type="pct"/>
            <w:tcBorders>
              <w:top w:val="nil"/>
              <w:left w:val="nil"/>
              <w:bottom w:val="single" w:color="auto" w:sz="4" w:space="0"/>
              <w:right w:val="single" w:color="auto" w:sz="4" w:space="0"/>
            </w:tcBorders>
            <w:vAlign w:val="center"/>
          </w:tcPr>
          <w:p w14:paraId="382F679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钢丝绳 16NAT8x19S+FC1370/1770 RIGHT HANDED</w:t>
            </w:r>
          </w:p>
        </w:tc>
        <w:tc>
          <w:tcPr>
            <w:tcW w:w="578" w:type="pct"/>
            <w:tcBorders>
              <w:top w:val="nil"/>
              <w:left w:val="nil"/>
              <w:bottom w:val="single" w:color="auto" w:sz="4" w:space="0"/>
              <w:right w:val="single" w:color="auto" w:sz="4" w:space="0"/>
            </w:tcBorders>
            <w:vAlign w:val="center"/>
          </w:tcPr>
          <w:p w14:paraId="0DA59CC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M</w:t>
            </w:r>
          </w:p>
        </w:tc>
        <w:tc>
          <w:tcPr>
            <w:tcW w:w="420" w:type="pct"/>
            <w:tcBorders>
              <w:top w:val="nil"/>
              <w:left w:val="nil"/>
              <w:bottom w:val="single" w:color="auto" w:sz="4" w:space="0"/>
              <w:right w:val="single" w:color="auto" w:sz="4" w:space="0"/>
            </w:tcBorders>
            <w:vAlign w:val="center"/>
          </w:tcPr>
          <w:p w14:paraId="257CCD2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208</w:t>
            </w:r>
          </w:p>
        </w:tc>
        <w:tc>
          <w:tcPr>
            <w:tcW w:w="1587" w:type="pct"/>
            <w:tcBorders>
              <w:top w:val="nil"/>
              <w:left w:val="nil"/>
              <w:bottom w:val="single" w:color="auto" w:sz="4" w:space="0"/>
              <w:right w:val="single" w:color="auto" w:sz="4" w:space="0"/>
            </w:tcBorders>
            <w:vAlign w:val="center"/>
          </w:tcPr>
          <w:p w14:paraId="3FD7D80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尼龙固定支架板</w:t>
            </w:r>
          </w:p>
        </w:tc>
        <w:tc>
          <w:tcPr>
            <w:tcW w:w="592" w:type="pct"/>
            <w:tcBorders>
              <w:top w:val="nil"/>
              <w:left w:val="nil"/>
              <w:bottom w:val="single" w:color="auto" w:sz="4" w:space="0"/>
              <w:right w:val="single" w:color="auto" w:sz="4" w:space="0"/>
            </w:tcBorders>
            <w:vAlign w:val="center"/>
          </w:tcPr>
          <w:p w14:paraId="5686F2C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15C8CA61">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78F006D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55</w:t>
            </w:r>
          </w:p>
        </w:tc>
        <w:tc>
          <w:tcPr>
            <w:tcW w:w="1420" w:type="pct"/>
            <w:tcBorders>
              <w:top w:val="nil"/>
              <w:left w:val="nil"/>
              <w:bottom w:val="single" w:color="auto" w:sz="4" w:space="0"/>
              <w:right w:val="single" w:color="auto" w:sz="4" w:space="0"/>
            </w:tcBorders>
            <w:vAlign w:val="center"/>
          </w:tcPr>
          <w:p w14:paraId="2B42C05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行程开关</w:t>
            </w:r>
          </w:p>
        </w:tc>
        <w:tc>
          <w:tcPr>
            <w:tcW w:w="578" w:type="pct"/>
            <w:tcBorders>
              <w:top w:val="nil"/>
              <w:left w:val="nil"/>
              <w:bottom w:val="single" w:color="auto" w:sz="4" w:space="0"/>
              <w:right w:val="single" w:color="auto" w:sz="4" w:space="0"/>
            </w:tcBorders>
            <w:vAlign w:val="center"/>
          </w:tcPr>
          <w:p w14:paraId="3AD9B4D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4CFB001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209</w:t>
            </w:r>
          </w:p>
        </w:tc>
        <w:tc>
          <w:tcPr>
            <w:tcW w:w="1587" w:type="pct"/>
            <w:tcBorders>
              <w:top w:val="nil"/>
              <w:left w:val="nil"/>
              <w:bottom w:val="single" w:color="auto" w:sz="4" w:space="0"/>
              <w:right w:val="single" w:color="auto" w:sz="4" w:space="0"/>
            </w:tcBorders>
            <w:vAlign w:val="center"/>
          </w:tcPr>
          <w:p w14:paraId="543F020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集油盒(导轨 TK5A)</w:t>
            </w:r>
          </w:p>
        </w:tc>
        <w:tc>
          <w:tcPr>
            <w:tcW w:w="592" w:type="pct"/>
            <w:tcBorders>
              <w:top w:val="nil"/>
              <w:left w:val="nil"/>
              <w:bottom w:val="single" w:color="auto" w:sz="4" w:space="0"/>
              <w:right w:val="single" w:color="auto" w:sz="4" w:space="0"/>
            </w:tcBorders>
            <w:vAlign w:val="center"/>
          </w:tcPr>
          <w:p w14:paraId="103D2BD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47E97A6F">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53089FD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56</w:t>
            </w:r>
          </w:p>
        </w:tc>
        <w:tc>
          <w:tcPr>
            <w:tcW w:w="1420" w:type="pct"/>
            <w:tcBorders>
              <w:top w:val="nil"/>
              <w:left w:val="nil"/>
              <w:bottom w:val="single" w:color="auto" w:sz="4" w:space="0"/>
              <w:right w:val="single" w:color="auto" w:sz="4" w:space="0"/>
            </w:tcBorders>
            <w:vAlign w:val="center"/>
          </w:tcPr>
          <w:p w14:paraId="0CE8C23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门滑块</w:t>
            </w:r>
          </w:p>
        </w:tc>
        <w:tc>
          <w:tcPr>
            <w:tcW w:w="578" w:type="pct"/>
            <w:tcBorders>
              <w:top w:val="nil"/>
              <w:left w:val="nil"/>
              <w:bottom w:val="single" w:color="auto" w:sz="4" w:space="0"/>
              <w:right w:val="single" w:color="auto" w:sz="4" w:space="0"/>
            </w:tcBorders>
            <w:vAlign w:val="center"/>
          </w:tcPr>
          <w:p w14:paraId="586F79E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47A5003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210</w:t>
            </w:r>
          </w:p>
        </w:tc>
        <w:tc>
          <w:tcPr>
            <w:tcW w:w="1587" w:type="pct"/>
            <w:tcBorders>
              <w:top w:val="nil"/>
              <w:left w:val="nil"/>
              <w:bottom w:val="single" w:color="auto" w:sz="4" w:space="0"/>
              <w:right w:val="single" w:color="auto" w:sz="4" w:space="0"/>
            </w:tcBorders>
            <w:vAlign w:val="center"/>
          </w:tcPr>
          <w:p w14:paraId="200621A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底坑对讲机 KON12A2</w:t>
            </w:r>
          </w:p>
        </w:tc>
        <w:tc>
          <w:tcPr>
            <w:tcW w:w="592" w:type="pct"/>
            <w:tcBorders>
              <w:top w:val="nil"/>
              <w:left w:val="nil"/>
              <w:bottom w:val="single" w:color="auto" w:sz="4" w:space="0"/>
              <w:right w:val="single" w:color="auto" w:sz="4" w:space="0"/>
            </w:tcBorders>
            <w:vAlign w:val="center"/>
          </w:tcPr>
          <w:p w14:paraId="2645340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6E3F285D">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630ACD4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57</w:t>
            </w:r>
          </w:p>
        </w:tc>
        <w:tc>
          <w:tcPr>
            <w:tcW w:w="1420" w:type="pct"/>
            <w:tcBorders>
              <w:top w:val="nil"/>
              <w:left w:val="nil"/>
              <w:bottom w:val="single" w:color="auto" w:sz="4" w:space="0"/>
              <w:right w:val="single" w:color="auto" w:sz="4" w:space="0"/>
            </w:tcBorders>
            <w:vAlign w:val="center"/>
          </w:tcPr>
          <w:p w14:paraId="3071747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SLG21导靴靴衬，导轨宽度16mm</w:t>
            </w:r>
          </w:p>
        </w:tc>
        <w:tc>
          <w:tcPr>
            <w:tcW w:w="578" w:type="pct"/>
            <w:tcBorders>
              <w:top w:val="nil"/>
              <w:left w:val="nil"/>
              <w:bottom w:val="single" w:color="auto" w:sz="4" w:space="0"/>
              <w:right w:val="single" w:color="auto" w:sz="4" w:space="0"/>
            </w:tcBorders>
            <w:vAlign w:val="center"/>
          </w:tcPr>
          <w:p w14:paraId="0B8E772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737E4FF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211</w:t>
            </w:r>
          </w:p>
        </w:tc>
        <w:tc>
          <w:tcPr>
            <w:tcW w:w="1587" w:type="pct"/>
            <w:tcBorders>
              <w:top w:val="nil"/>
              <w:left w:val="nil"/>
              <w:bottom w:val="single" w:color="auto" w:sz="4" w:space="0"/>
              <w:right w:val="single" w:color="auto" w:sz="4" w:space="0"/>
            </w:tcBorders>
            <w:vAlign w:val="center"/>
          </w:tcPr>
          <w:p w14:paraId="4FCF6C8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按钮片,开门</w:t>
            </w:r>
          </w:p>
        </w:tc>
        <w:tc>
          <w:tcPr>
            <w:tcW w:w="592" w:type="pct"/>
            <w:tcBorders>
              <w:top w:val="nil"/>
              <w:left w:val="nil"/>
              <w:bottom w:val="single" w:color="auto" w:sz="4" w:space="0"/>
              <w:right w:val="single" w:color="auto" w:sz="4" w:space="0"/>
            </w:tcBorders>
            <w:vAlign w:val="center"/>
          </w:tcPr>
          <w:p w14:paraId="6384871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132BD87A">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07FC5BA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58</w:t>
            </w:r>
          </w:p>
        </w:tc>
        <w:tc>
          <w:tcPr>
            <w:tcW w:w="1420" w:type="pct"/>
            <w:tcBorders>
              <w:top w:val="nil"/>
              <w:left w:val="nil"/>
              <w:bottom w:val="single" w:color="auto" w:sz="4" w:space="0"/>
              <w:right w:val="single" w:color="auto" w:sz="4" w:space="0"/>
            </w:tcBorders>
            <w:vAlign w:val="center"/>
          </w:tcPr>
          <w:p w14:paraId="7755678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滚轮导靴 D150/32MM W=27MM</w:t>
            </w:r>
          </w:p>
        </w:tc>
        <w:tc>
          <w:tcPr>
            <w:tcW w:w="578" w:type="pct"/>
            <w:tcBorders>
              <w:top w:val="nil"/>
              <w:left w:val="nil"/>
              <w:bottom w:val="single" w:color="auto" w:sz="4" w:space="0"/>
              <w:right w:val="single" w:color="auto" w:sz="4" w:space="0"/>
            </w:tcBorders>
            <w:vAlign w:val="center"/>
          </w:tcPr>
          <w:p w14:paraId="227210B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0CF838C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212</w:t>
            </w:r>
          </w:p>
        </w:tc>
        <w:tc>
          <w:tcPr>
            <w:tcW w:w="1587" w:type="pct"/>
            <w:tcBorders>
              <w:top w:val="nil"/>
              <w:left w:val="nil"/>
              <w:bottom w:val="single" w:color="auto" w:sz="4" w:space="0"/>
              <w:right w:val="single" w:color="auto" w:sz="4" w:space="0"/>
            </w:tcBorders>
            <w:vAlign w:val="center"/>
          </w:tcPr>
          <w:p w14:paraId="29A75DF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LOCK HOOK BUFFER</w:t>
            </w:r>
          </w:p>
        </w:tc>
        <w:tc>
          <w:tcPr>
            <w:tcW w:w="592" w:type="pct"/>
            <w:tcBorders>
              <w:top w:val="nil"/>
              <w:left w:val="nil"/>
              <w:bottom w:val="single" w:color="auto" w:sz="4" w:space="0"/>
              <w:right w:val="single" w:color="auto" w:sz="4" w:space="0"/>
            </w:tcBorders>
            <w:vAlign w:val="center"/>
          </w:tcPr>
          <w:p w14:paraId="14CCE2F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7A88374B">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141C836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59</w:t>
            </w:r>
          </w:p>
        </w:tc>
        <w:tc>
          <w:tcPr>
            <w:tcW w:w="1420" w:type="pct"/>
            <w:tcBorders>
              <w:top w:val="nil"/>
              <w:left w:val="nil"/>
              <w:bottom w:val="single" w:color="auto" w:sz="4" w:space="0"/>
              <w:right w:val="single" w:color="auto" w:sz="4" w:space="0"/>
            </w:tcBorders>
            <w:vAlign w:val="center"/>
          </w:tcPr>
          <w:p w14:paraId="24E90FE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AUGUSTA中分800MM同步钢丝绳</w:t>
            </w:r>
          </w:p>
        </w:tc>
        <w:tc>
          <w:tcPr>
            <w:tcW w:w="578" w:type="pct"/>
            <w:tcBorders>
              <w:top w:val="nil"/>
              <w:left w:val="nil"/>
              <w:bottom w:val="single" w:color="auto" w:sz="4" w:space="0"/>
              <w:right w:val="single" w:color="auto" w:sz="4" w:space="0"/>
            </w:tcBorders>
            <w:vAlign w:val="center"/>
          </w:tcPr>
          <w:p w14:paraId="1C131D4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245808C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213</w:t>
            </w:r>
          </w:p>
        </w:tc>
        <w:tc>
          <w:tcPr>
            <w:tcW w:w="1587" w:type="pct"/>
            <w:tcBorders>
              <w:top w:val="nil"/>
              <w:left w:val="nil"/>
              <w:bottom w:val="single" w:color="auto" w:sz="4" w:space="0"/>
              <w:right w:val="single" w:color="auto" w:sz="4" w:space="0"/>
            </w:tcBorders>
            <w:vAlign w:val="center"/>
          </w:tcPr>
          <w:p w14:paraId="6054E8F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BEARING, BALL 6313-2RS1-C3</w:t>
            </w:r>
          </w:p>
        </w:tc>
        <w:tc>
          <w:tcPr>
            <w:tcW w:w="592" w:type="pct"/>
            <w:tcBorders>
              <w:top w:val="nil"/>
              <w:left w:val="nil"/>
              <w:bottom w:val="single" w:color="auto" w:sz="4" w:space="0"/>
              <w:right w:val="single" w:color="auto" w:sz="4" w:space="0"/>
            </w:tcBorders>
            <w:vAlign w:val="center"/>
          </w:tcPr>
          <w:p w14:paraId="347B556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23CD8B84">
        <w:tblPrEx>
          <w:tblCellMar>
            <w:top w:w="0" w:type="dxa"/>
            <w:left w:w="108" w:type="dxa"/>
            <w:bottom w:w="0" w:type="dxa"/>
            <w:right w:w="108" w:type="dxa"/>
          </w:tblCellMar>
        </w:tblPrEx>
        <w:trPr>
          <w:trHeight w:val="480" w:hRule="atLeast"/>
        </w:trPr>
        <w:tc>
          <w:tcPr>
            <w:tcW w:w="400" w:type="pct"/>
            <w:tcBorders>
              <w:top w:val="nil"/>
              <w:left w:val="single" w:color="auto" w:sz="4" w:space="0"/>
              <w:bottom w:val="single" w:color="auto" w:sz="4" w:space="0"/>
              <w:right w:val="single" w:color="auto" w:sz="4" w:space="0"/>
            </w:tcBorders>
            <w:vAlign w:val="center"/>
          </w:tcPr>
          <w:p w14:paraId="56BE212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60</w:t>
            </w:r>
          </w:p>
        </w:tc>
        <w:tc>
          <w:tcPr>
            <w:tcW w:w="1420" w:type="pct"/>
            <w:tcBorders>
              <w:top w:val="nil"/>
              <w:left w:val="nil"/>
              <w:bottom w:val="single" w:color="auto" w:sz="4" w:space="0"/>
              <w:right w:val="single" w:color="auto" w:sz="4" w:space="0"/>
            </w:tcBorders>
            <w:vAlign w:val="center"/>
          </w:tcPr>
          <w:p w14:paraId="570A6DA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SLG8导靴，导轨宽度15.88/16 mm</w:t>
            </w:r>
          </w:p>
        </w:tc>
        <w:tc>
          <w:tcPr>
            <w:tcW w:w="578" w:type="pct"/>
            <w:tcBorders>
              <w:top w:val="nil"/>
              <w:left w:val="nil"/>
              <w:bottom w:val="single" w:color="auto" w:sz="4" w:space="0"/>
              <w:right w:val="single" w:color="auto" w:sz="4" w:space="0"/>
            </w:tcBorders>
            <w:vAlign w:val="center"/>
          </w:tcPr>
          <w:p w14:paraId="461E222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0D11BEC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214</w:t>
            </w:r>
          </w:p>
        </w:tc>
        <w:tc>
          <w:tcPr>
            <w:tcW w:w="1587" w:type="pct"/>
            <w:tcBorders>
              <w:top w:val="nil"/>
              <w:left w:val="nil"/>
              <w:bottom w:val="single" w:color="auto" w:sz="4" w:space="0"/>
              <w:right w:val="single" w:color="auto" w:sz="4" w:space="0"/>
            </w:tcBorders>
            <w:vAlign w:val="center"/>
          </w:tcPr>
          <w:p w14:paraId="7CD105D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CPU程序芯片,6.12.8 ROW for LCECPU40 with KRM</w:t>
            </w:r>
          </w:p>
        </w:tc>
        <w:tc>
          <w:tcPr>
            <w:tcW w:w="592" w:type="pct"/>
            <w:tcBorders>
              <w:top w:val="nil"/>
              <w:left w:val="nil"/>
              <w:bottom w:val="single" w:color="auto" w:sz="4" w:space="0"/>
              <w:right w:val="single" w:color="auto" w:sz="4" w:space="0"/>
            </w:tcBorders>
            <w:vAlign w:val="center"/>
          </w:tcPr>
          <w:p w14:paraId="79D9639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18EF1B64">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1F6E18B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61</w:t>
            </w:r>
          </w:p>
        </w:tc>
        <w:tc>
          <w:tcPr>
            <w:tcW w:w="1420" w:type="pct"/>
            <w:tcBorders>
              <w:top w:val="nil"/>
              <w:left w:val="nil"/>
              <w:bottom w:val="single" w:color="auto" w:sz="4" w:space="0"/>
              <w:right w:val="single" w:color="auto" w:sz="4" w:space="0"/>
            </w:tcBorders>
            <w:vAlign w:val="center"/>
          </w:tcPr>
          <w:p w14:paraId="5DB66B6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KDS外呼上下按钮连线</w:t>
            </w:r>
          </w:p>
        </w:tc>
        <w:tc>
          <w:tcPr>
            <w:tcW w:w="578" w:type="pct"/>
            <w:tcBorders>
              <w:top w:val="nil"/>
              <w:left w:val="nil"/>
              <w:bottom w:val="single" w:color="auto" w:sz="4" w:space="0"/>
              <w:right w:val="single" w:color="auto" w:sz="4" w:space="0"/>
            </w:tcBorders>
            <w:vAlign w:val="center"/>
          </w:tcPr>
          <w:p w14:paraId="3A427F1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2411A1A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215</w:t>
            </w:r>
          </w:p>
        </w:tc>
        <w:tc>
          <w:tcPr>
            <w:tcW w:w="1587" w:type="pct"/>
            <w:tcBorders>
              <w:top w:val="nil"/>
              <w:left w:val="nil"/>
              <w:bottom w:val="single" w:color="auto" w:sz="4" w:space="0"/>
              <w:right w:val="single" w:color="auto" w:sz="4" w:space="0"/>
            </w:tcBorders>
            <w:vAlign w:val="center"/>
          </w:tcPr>
          <w:p w14:paraId="5373E59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AVDEML 应急灯板</w:t>
            </w:r>
          </w:p>
        </w:tc>
        <w:tc>
          <w:tcPr>
            <w:tcW w:w="592" w:type="pct"/>
            <w:tcBorders>
              <w:top w:val="nil"/>
              <w:left w:val="nil"/>
              <w:bottom w:val="single" w:color="auto" w:sz="4" w:space="0"/>
              <w:right w:val="single" w:color="auto" w:sz="4" w:space="0"/>
            </w:tcBorders>
            <w:vAlign w:val="center"/>
          </w:tcPr>
          <w:p w14:paraId="203B2B0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52871663">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27FA8F5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62</w:t>
            </w:r>
          </w:p>
        </w:tc>
        <w:tc>
          <w:tcPr>
            <w:tcW w:w="1420" w:type="pct"/>
            <w:tcBorders>
              <w:top w:val="nil"/>
              <w:left w:val="nil"/>
              <w:bottom w:val="single" w:color="auto" w:sz="4" w:space="0"/>
              <w:right w:val="single" w:color="auto" w:sz="4" w:space="0"/>
            </w:tcBorders>
            <w:vAlign w:val="center"/>
          </w:tcPr>
          <w:p w14:paraId="525AB9E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滚轮导靴 D153MM W=38MM</w:t>
            </w:r>
          </w:p>
        </w:tc>
        <w:tc>
          <w:tcPr>
            <w:tcW w:w="578" w:type="pct"/>
            <w:tcBorders>
              <w:top w:val="nil"/>
              <w:left w:val="nil"/>
              <w:bottom w:val="single" w:color="auto" w:sz="4" w:space="0"/>
              <w:right w:val="single" w:color="auto" w:sz="4" w:space="0"/>
            </w:tcBorders>
            <w:vAlign w:val="center"/>
          </w:tcPr>
          <w:p w14:paraId="7D9B9C7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55CDE26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216</w:t>
            </w:r>
          </w:p>
        </w:tc>
        <w:tc>
          <w:tcPr>
            <w:tcW w:w="1587" w:type="pct"/>
            <w:tcBorders>
              <w:top w:val="nil"/>
              <w:left w:val="nil"/>
              <w:bottom w:val="single" w:color="auto" w:sz="4" w:space="0"/>
              <w:right w:val="single" w:color="auto" w:sz="4" w:space="0"/>
            </w:tcBorders>
            <w:vAlign w:val="center"/>
          </w:tcPr>
          <w:p w14:paraId="5674A38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同步钢丝绳,AMDC L=4280MM</w:t>
            </w:r>
          </w:p>
        </w:tc>
        <w:tc>
          <w:tcPr>
            <w:tcW w:w="592" w:type="pct"/>
            <w:tcBorders>
              <w:top w:val="nil"/>
              <w:left w:val="nil"/>
              <w:bottom w:val="single" w:color="auto" w:sz="4" w:space="0"/>
              <w:right w:val="single" w:color="auto" w:sz="4" w:space="0"/>
            </w:tcBorders>
            <w:vAlign w:val="center"/>
          </w:tcPr>
          <w:p w14:paraId="53B143E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7A56C3E1">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2372BE8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63</w:t>
            </w:r>
          </w:p>
        </w:tc>
        <w:tc>
          <w:tcPr>
            <w:tcW w:w="1420" w:type="pct"/>
            <w:tcBorders>
              <w:top w:val="nil"/>
              <w:left w:val="nil"/>
              <w:bottom w:val="single" w:color="auto" w:sz="4" w:space="0"/>
              <w:right w:val="single" w:color="auto" w:sz="4" w:space="0"/>
            </w:tcBorders>
            <w:vAlign w:val="center"/>
          </w:tcPr>
          <w:p w14:paraId="04038CA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西门子辅助触点，3NO+1NC</w:t>
            </w:r>
          </w:p>
        </w:tc>
        <w:tc>
          <w:tcPr>
            <w:tcW w:w="578" w:type="pct"/>
            <w:tcBorders>
              <w:top w:val="nil"/>
              <w:left w:val="nil"/>
              <w:bottom w:val="single" w:color="auto" w:sz="4" w:space="0"/>
              <w:right w:val="single" w:color="auto" w:sz="4" w:space="0"/>
            </w:tcBorders>
            <w:vAlign w:val="center"/>
          </w:tcPr>
          <w:p w14:paraId="1738573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67776DD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217</w:t>
            </w:r>
          </w:p>
        </w:tc>
        <w:tc>
          <w:tcPr>
            <w:tcW w:w="1587" w:type="pct"/>
            <w:tcBorders>
              <w:top w:val="nil"/>
              <w:left w:val="nil"/>
              <w:bottom w:val="single" w:color="auto" w:sz="4" w:space="0"/>
              <w:right w:val="single" w:color="auto" w:sz="4" w:space="0"/>
            </w:tcBorders>
            <w:vAlign w:val="center"/>
          </w:tcPr>
          <w:p w14:paraId="6BBDB12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线束,V3F18/V3F25 X7A X7C X7E</w:t>
            </w:r>
          </w:p>
        </w:tc>
        <w:tc>
          <w:tcPr>
            <w:tcW w:w="592" w:type="pct"/>
            <w:tcBorders>
              <w:top w:val="nil"/>
              <w:left w:val="nil"/>
              <w:bottom w:val="single" w:color="auto" w:sz="4" w:space="0"/>
              <w:right w:val="single" w:color="auto" w:sz="4" w:space="0"/>
            </w:tcBorders>
            <w:vAlign w:val="center"/>
          </w:tcPr>
          <w:p w14:paraId="67426CD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61694A26">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6DA5830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64</w:t>
            </w:r>
          </w:p>
        </w:tc>
        <w:tc>
          <w:tcPr>
            <w:tcW w:w="1420" w:type="pct"/>
            <w:tcBorders>
              <w:top w:val="nil"/>
              <w:left w:val="nil"/>
              <w:bottom w:val="single" w:color="auto" w:sz="4" w:space="0"/>
              <w:right w:val="single" w:color="auto" w:sz="4" w:space="0"/>
            </w:tcBorders>
            <w:vAlign w:val="center"/>
          </w:tcPr>
          <w:p w14:paraId="01A079C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16MM钢丝绳, PAWO F7, D=16MM</w:t>
            </w:r>
          </w:p>
        </w:tc>
        <w:tc>
          <w:tcPr>
            <w:tcW w:w="578" w:type="pct"/>
            <w:tcBorders>
              <w:top w:val="nil"/>
              <w:left w:val="nil"/>
              <w:bottom w:val="single" w:color="auto" w:sz="4" w:space="0"/>
              <w:right w:val="single" w:color="auto" w:sz="4" w:space="0"/>
            </w:tcBorders>
            <w:vAlign w:val="center"/>
          </w:tcPr>
          <w:p w14:paraId="046CF08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M</w:t>
            </w:r>
          </w:p>
        </w:tc>
        <w:tc>
          <w:tcPr>
            <w:tcW w:w="420" w:type="pct"/>
            <w:tcBorders>
              <w:top w:val="nil"/>
              <w:left w:val="nil"/>
              <w:bottom w:val="single" w:color="auto" w:sz="4" w:space="0"/>
              <w:right w:val="single" w:color="auto" w:sz="4" w:space="0"/>
            </w:tcBorders>
            <w:vAlign w:val="center"/>
          </w:tcPr>
          <w:p w14:paraId="62555DF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218</w:t>
            </w:r>
          </w:p>
        </w:tc>
        <w:tc>
          <w:tcPr>
            <w:tcW w:w="1587" w:type="pct"/>
            <w:tcBorders>
              <w:top w:val="nil"/>
              <w:left w:val="nil"/>
              <w:bottom w:val="single" w:color="auto" w:sz="4" w:space="0"/>
              <w:right w:val="single" w:color="auto" w:sz="4" w:space="0"/>
            </w:tcBorders>
            <w:vAlign w:val="center"/>
          </w:tcPr>
          <w:p w14:paraId="0001AA2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滚珠深沟轴承，6315-2RS C3 LL5</w:t>
            </w:r>
          </w:p>
        </w:tc>
        <w:tc>
          <w:tcPr>
            <w:tcW w:w="592" w:type="pct"/>
            <w:tcBorders>
              <w:top w:val="nil"/>
              <w:left w:val="nil"/>
              <w:bottom w:val="single" w:color="auto" w:sz="4" w:space="0"/>
              <w:right w:val="single" w:color="auto" w:sz="4" w:space="0"/>
            </w:tcBorders>
            <w:vAlign w:val="center"/>
          </w:tcPr>
          <w:p w14:paraId="5AEA166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53CC7A27">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1F4E836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65</w:t>
            </w:r>
          </w:p>
        </w:tc>
        <w:tc>
          <w:tcPr>
            <w:tcW w:w="1420" w:type="pct"/>
            <w:tcBorders>
              <w:top w:val="nil"/>
              <w:left w:val="nil"/>
              <w:bottom w:val="single" w:color="auto" w:sz="4" w:space="0"/>
              <w:right w:val="single" w:color="auto" w:sz="4" w:space="0"/>
            </w:tcBorders>
            <w:vAlign w:val="center"/>
          </w:tcPr>
          <w:p w14:paraId="2212BF1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厅门开门装置</w:t>
            </w:r>
          </w:p>
        </w:tc>
        <w:tc>
          <w:tcPr>
            <w:tcW w:w="578" w:type="pct"/>
            <w:tcBorders>
              <w:top w:val="nil"/>
              <w:left w:val="nil"/>
              <w:bottom w:val="single" w:color="auto" w:sz="4" w:space="0"/>
              <w:right w:val="single" w:color="auto" w:sz="4" w:space="0"/>
            </w:tcBorders>
            <w:vAlign w:val="center"/>
          </w:tcPr>
          <w:p w14:paraId="443A68B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0FD022A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219</w:t>
            </w:r>
          </w:p>
        </w:tc>
        <w:tc>
          <w:tcPr>
            <w:tcW w:w="1587" w:type="pct"/>
            <w:tcBorders>
              <w:top w:val="nil"/>
              <w:left w:val="nil"/>
              <w:bottom w:val="single" w:color="auto" w:sz="4" w:space="0"/>
              <w:right w:val="single" w:color="auto" w:sz="4" w:space="0"/>
            </w:tcBorders>
            <w:vAlign w:val="center"/>
          </w:tcPr>
          <w:p w14:paraId="3ECD2E6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AUGUSTA关门弹簧组件</w:t>
            </w:r>
          </w:p>
        </w:tc>
        <w:tc>
          <w:tcPr>
            <w:tcW w:w="592" w:type="pct"/>
            <w:tcBorders>
              <w:top w:val="nil"/>
              <w:left w:val="nil"/>
              <w:bottom w:val="single" w:color="auto" w:sz="4" w:space="0"/>
              <w:right w:val="single" w:color="auto" w:sz="4" w:space="0"/>
            </w:tcBorders>
            <w:vAlign w:val="center"/>
          </w:tcPr>
          <w:p w14:paraId="607A6DA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749C3921">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6676FAA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66</w:t>
            </w:r>
          </w:p>
        </w:tc>
        <w:tc>
          <w:tcPr>
            <w:tcW w:w="1420" w:type="pct"/>
            <w:tcBorders>
              <w:top w:val="nil"/>
              <w:left w:val="nil"/>
              <w:bottom w:val="single" w:color="auto" w:sz="4" w:space="0"/>
              <w:right w:val="single" w:color="auto" w:sz="4" w:space="0"/>
            </w:tcBorders>
            <w:vAlign w:val="center"/>
          </w:tcPr>
          <w:p w14:paraId="7D7A429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底坑对讲机 TW-2</w:t>
            </w:r>
          </w:p>
        </w:tc>
        <w:tc>
          <w:tcPr>
            <w:tcW w:w="578" w:type="pct"/>
            <w:tcBorders>
              <w:top w:val="nil"/>
              <w:left w:val="nil"/>
              <w:bottom w:val="single" w:color="auto" w:sz="4" w:space="0"/>
              <w:right w:val="single" w:color="auto" w:sz="4" w:space="0"/>
            </w:tcBorders>
            <w:vAlign w:val="center"/>
          </w:tcPr>
          <w:p w14:paraId="5658781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1B04B64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220</w:t>
            </w:r>
          </w:p>
        </w:tc>
        <w:tc>
          <w:tcPr>
            <w:tcW w:w="1587" w:type="pct"/>
            <w:tcBorders>
              <w:top w:val="nil"/>
              <w:left w:val="nil"/>
              <w:bottom w:val="single" w:color="auto" w:sz="4" w:space="0"/>
              <w:right w:val="single" w:color="auto" w:sz="4" w:space="0"/>
            </w:tcBorders>
            <w:vAlign w:val="center"/>
          </w:tcPr>
          <w:p w14:paraId="1ED2393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厅门门轮,锁在右侧</w:t>
            </w:r>
          </w:p>
        </w:tc>
        <w:tc>
          <w:tcPr>
            <w:tcW w:w="592" w:type="pct"/>
            <w:tcBorders>
              <w:top w:val="nil"/>
              <w:left w:val="nil"/>
              <w:bottom w:val="single" w:color="auto" w:sz="4" w:space="0"/>
              <w:right w:val="single" w:color="auto" w:sz="4" w:space="0"/>
            </w:tcBorders>
            <w:vAlign w:val="center"/>
          </w:tcPr>
          <w:p w14:paraId="01E9778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114C470F">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2848B03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67</w:t>
            </w:r>
          </w:p>
        </w:tc>
        <w:tc>
          <w:tcPr>
            <w:tcW w:w="1420" w:type="pct"/>
            <w:tcBorders>
              <w:top w:val="nil"/>
              <w:left w:val="nil"/>
              <w:bottom w:val="single" w:color="auto" w:sz="4" w:space="0"/>
              <w:right w:val="single" w:color="auto" w:sz="4" w:space="0"/>
            </w:tcBorders>
            <w:vAlign w:val="center"/>
          </w:tcPr>
          <w:p w14:paraId="079BDBF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KDS选层按钮线</w:t>
            </w:r>
          </w:p>
        </w:tc>
        <w:tc>
          <w:tcPr>
            <w:tcW w:w="578" w:type="pct"/>
            <w:tcBorders>
              <w:top w:val="nil"/>
              <w:left w:val="nil"/>
              <w:bottom w:val="single" w:color="auto" w:sz="4" w:space="0"/>
              <w:right w:val="single" w:color="auto" w:sz="4" w:space="0"/>
            </w:tcBorders>
            <w:vAlign w:val="center"/>
          </w:tcPr>
          <w:p w14:paraId="01521A8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45D05C5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221</w:t>
            </w:r>
          </w:p>
        </w:tc>
        <w:tc>
          <w:tcPr>
            <w:tcW w:w="1587" w:type="pct"/>
            <w:tcBorders>
              <w:top w:val="nil"/>
              <w:left w:val="nil"/>
              <w:bottom w:val="single" w:color="auto" w:sz="4" w:space="0"/>
              <w:right w:val="single" w:color="auto" w:sz="4" w:space="0"/>
            </w:tcBorders>
            <w:vAlign w:val="center"/>
          </w:tcPr>
          <w:p w14:paraId="6572A73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总线制对讲解码器 KON12AC</w:t>
            </w:r>
          </w:p>
        </w:tc>
        <w:tc>
          <w:tcPr>
            <w:tcW w:w="592" w:type="pct"/>
            <w:tcBorders>
              <w:top w:val="nil"/>
              <w:left w:val="nil"/>
              <w:bottom w:val="single" w:color="auto" w:sz="4" w:space="0"/>
              <w:right w:val="single" w:color="auto" w:sz="4" w:space="0"/>
            </w:tcBorders>
            <w:vAlign w:val="center"/>
          </w:tcPr>
          <w:p w14:paraId="7A8667E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240FBF45">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364ECAF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68</w:t>
            </w:r>
          </w:p>
        </w:tc>
        <w:tc>
          <w:tcPr>
            <w:tcW w:w="1420" w:type="pct"/>
            <w:tcBorders>
              <w:top w:val="nil"/>
              <w:left w:val="nil"/>
              <w:bottom w:val="single" w:color="auto" w:sz="4" w:space="0"/>
              <w:right w:val="single" w:color="auto" w:sz="4" w:space="0"/>
            </w:tcBorders>
            <w:vAlign w:val="center"/>
          </w:tcPr>
          <w:p w14:paraId="07CD284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SLG6导靴，TK5A</w:t>
            </w:r>
          </w:p>
        </w:tc>
        <w:tc>
          <w:tcPr>
            <w:tcW w:w="578" w:type="pct"/>
            <w:tcBorders>
              <w:top w:val="nil"/>
              <w:left w:val="nil"/>
              <w:bottom w:val="single" w:color="auto" w:sz="4" w:space="0"/>
              <w:right w:val="single" w:color="auto" w:sz="4" w:space="0"/>
            </w:tcBorders>
            <w:vAlign w:val="center"/>
          </w:tcPr>
          <w:p w14:paraId="648E9DE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4E4D9C8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222</w:t>
            </w:r>
          </w:p>
        </w:tc>
        <w:tc>
          <w:tcPr>
            <w:tcW w:w="1587" w:type="pct"/>
            <w:tcBorders>
              <w:top w:val="nil"/>
              <w:left w:val="nil"/>
              <w:bottom w:val="single" w:color="auto" w:sz="4" w:space="0"/>
              <w:right w:val="single" w:color="auto" w:sz="4" w:space="0"/>
            </w:tcBorders>
            <w:vAlign w:val="center"/>
          </w:tcPr>
          <w:p w14:paraId="127A1A6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电子板，KDSILCD</w:t>
            </w:r>
          </w:p>
        </w:tc>
        <w:tc>
          <w:tcPr>
            <w:tcW w:w="592" w:type="pct"/>
            <w:tcBorders>
              <w:top w:val="nil"/>
              <w:left w:val="nil"/>
              <w:bottom w:val="single" w:color="auto" w:sz="4" w:space="0"/>
              <w:right w:val="single" w:color="auto" w:sz="4" w:space="0"/>
            </w:tcBorders>
            <w:vAlign w:val="center"/>
          </w:tcPr>
          <w:p w14:paraId="71534F2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1916AAD3">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0B296D8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69</w:t>
            </w:r>
          </w:p>
        </w:tc>
        <w:tc>
          <w:tcPr>
            <w:tcW w:w="1420" w:type="pct"/>
            <w:tcBorders>
              <w:top w:val="nil"/>
              <w:left w:val="nil"/>
              <w:bottom w:val="single" w:color="auto" w:sz="4" w:space="0"/>
              <w:right w:val="single" w:color="auto" w:sz="4" w:space="0"/>
            </w:tcBorders>
            <w:vAlign w:val="center"/>
          </w:tcPr>
          <w:p w14:paraId="4F5C3F2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AMD轿门反绳轮，含2*螺钉2*螺母</w:t>
            </w:r>
          </w:p>
        </w:tc>
        <w:tc>
          <w:tcPr>
            <w:tcW w:w="578" w:type="pct"/>
            <w:tcBorders>
              <w:top w:val="nil"/>
              <w:left w:val="nil"/>
              <w:bottom w:val="single" w:color="auto" w:sz="4" w:space="0"/>
              <w:right w:val="single" w:color="auto" w:sz="4" w:space="0"/>
            </w:tcBorders>
            <w:vAlign w:val="center"/>
          </w:tcPr>
          <w:p w14:paraId="20F02E0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3921F75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223</w:t>
            </w:r>
          </w:p>
        </w:tc>
        <w:tc>
          <w:tcPr>
            <w:tcW w:w="1587" w:type="pct"/>
            <w:tcBorders>
              <w:top w:val="nil"/>
              <w:left w:val="nil"/>
              <w:bottom w:val="single" w:color="auto" w:sz="4" w:space="0"/>
              <w:right w:val="single" w:color="auto" w:sz="4" w:space="0"/>
            </w:tcBorders>
            <w:vAlign w:val="center"/>
          </w:tcPr>
          <w:p w14:paraId="6719AA2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限位开关 SND4173-SL-C-SR</w:t>
            </w:r>
          </w:p>
        </w:tc>
        <w:tc>
          <w:tcPr>
            <w:tcW w:w="592" w:type="pct"/>
            <w:tcBorders>
              <w:top w:val="nil"/>
              <w:left w:val="nil"/>
              <w:bottom w:val="single" w:color="auto" w:sz="4" w:space="0"/>
              <w:right w:val="single" w:color="auto" w:sz="4" w:space="0"/>
            </w:tcBorders>
            <w:vAlign w:val="center"/>
          </w:tcPr>
          <w:p w14:paraId="5EA272B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37978481">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15A40ED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70</w:t>
            </w:r>
          </w:p>
        </w:tc>
        <w:tc>
          <w:tcPr>
            <w:tcW w:w="1420" w:type="pct"/>
            <w:tcBorders>
              <w:top w:val="nil"/>
              <w:left w:val="nil"/>
              <w:bottom w:val="single" w:color="auto" w:sz="4" w:space="0"/>
              <w:right w:val="single" w:color="auto" w:sz="4" w:space="0"/>
            </w:tcBorders>
            <w:vAlign w:val="center"/>
          </w:tcPr>
          <w:p w14:paraId="51D8F0D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AMD轿门反绳轮，含2*螺钉2*螺母</w:t>
            </w:r>
          </w:p>
        </w:tc>
        <w:tc>
          <w:tcPr>
            <w:tcW w:w="578" w:type="pct"/>
            <w:tcBorders>
              <w:top w:val="nil"/>
              <w:left w:val="nil"/>
              <w:bottom w:val="single" w:color="auto" w:sz="4" w:space="0"/>
              <w:right w:val="single" w:color="auto" w:sz="4" w:space="0"/>
            </w:tcBorders>
            <w:vAlign w:val="center"/>
          </w:tcPr>
          <w:p w14:paraId="0A9C598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2B2429D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224</w:t>
            </w:r>
          </w:p>
        </w:tc>
        <w:tc>
          <w:tcPr>
            <w:tcW w:w="1587" w:type="pct"/>
            <w:tcBorders>
              <w:top w:val="nil"/>
              <w:left w:val="nil"/>
              <w:bottom w:val="single" w:color="auto" w:sz="4" w:space="0"/>
              <w:right w:val="single" w:color="auto" w:sz="4" w:space="0"/>
            </w:tcBorders>
            <w:vAlign w:val="center"/>
          </w:tcPr>
          <w:p w14:paraId="2566497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马达减震垫,MX10</w:t>
            </w:r>
          </w:p>
        </w:tc>
        <w:tc>
          <w:tcPr>
            <w:tcW w:w="592" w:type="pct"/>
            <w:tcBorders>
              <w:top w:val="nil"/>
              <w:left w:val="nil"/>
              <w:bottom w:val="single" w:color="auto" w:sz="4" w:space="0"/>
              <w:right w:val="single" w:color="auto" w:sz="4" w:space="0"/>
            </w:tcBorders>
            <w:vAlign w:val="center"/>
          </w:tcPr>
          <w:p w14:paraId="601C453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67BC0044">
        <w:tblPrEx>
          <w:tblCellMar>
            <w:top w:w="0" w:type="dxa"/>
            <w:left w:w="108" w:type="dxa"/>
            <w:bottom w:w="0" w:type="dxa"/>
            <w:right w:w="108" w:type="dxa"/>
          </w:tblCellMar>
        </w:tblPrEx>
        <w:trPr>
          <w:trHeight w:val="480" w:hRule="atLeast"/>
        </w:trPr>
        <w:tc>
          <w:tcPr>
            <w:tcW w:w="400" w:type="pct"/>
            <w:tcBorders>
              <w:top w:val="nil"/>
              <w:left w:val="single" w:color="auto" w:sz="4" w:space="0"/>
              <w:bottom w:val="single" w:color="auto" w:sz="4" w:space="0"/>
              <w:right w:val="single" w:color="auto" w:sz="4" w:space="0"/>
            </w:tcBorders>
            <w:vAlign w:val="center"/>
          </w:tcPr>
          <w:p w14:paraId="4AC30D9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71</w:t>
            </w:r>
          </w:p>
        </w:tc>
        <w:tc>
          <w:tcPr>
            <w:tcW w:w="1420" w:type="pct"/>
            <w:tcBorders>
              <w:top w:val="nil"/>
              <w:left w:val="nil"/>
              <w:bottom w:val="single" w:color="auto" w:sz="4" w:space="0"/>
              <w:right w:val="single" w:color="auto" w:sz="4" w:space="0"/>
            </w:tcBorders>
            <w:vAlign w:val="center"/>
          </w:tcPr>
          <w:p w14:paraId="37EC898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限位开关 SND4111-SP-C LAT01(ELK ONLY)</w:t>
            </w:r>
          </w:p>
        </w:tc>
        <w:tc>
          <w:tcPr>
            <w:tcW w:w="578" w:type="pct"/>
            <w:tcBorders>
              <w:top w:val="nil"/>
              <w:left w:val="nil"/>
              <w:bottom w:val="single" w:color="auto" w:sz="4" w:space="0"/>
              <w:right w:val="single" w:color="auto" w:sz="4" w:space="0"/>
            </w:tcBorders>
            <w:vAlign w:val="center"/>
          </w:tcPr>
          <w:p w14:paraId="08650B0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27652FF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225</w:t>
            </w:r>
          </w:p>
        </w:tc>
        <w:tc>
          <w:tcPr>
            <w:tcW w:w="1587" w:type="pct"/>
            <w:tcBorders>
              <w:top w:val="nil"/>
              <w:left w:val="nil"/>
              <w:bottom w:val="single" w:color="auto" w:sz="4" w:space="0"/>
              <w:right w:val="single" w:color="auto" w:sz="4" w:space="0"/>
            </w:tcBorders>
            <w:vAlign w:val="center"/>
          </w:tcPr>
          <w:p w14:paraId="6FECD19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限位开关237-TP-11</w:t>
            </w:r>
          </w:p>
        </w:tc>
        <w:tc>
          <w:tcPr>
            <w:tcW w:w="592" w:type="pct"/>
            <w:tcBorders>
              <w:top w:val="nil"/>
              <w:left w:val="nil"/>
              <w:bottom w:val="single" w:color="auto" w:sz="4" w:space="0"/>
              <w:right w:val="single" w:color="auto" w:sz="4" w:space="0"/>
            </w:tcBorders>
            <w:vAlign w:val="center"/>
          </w:tcPr>
          <w:p w14:paraId="6B31920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6299174C">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326315E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72</w:t>
            </w:r>
          </w:p>
        </w:tc>
        <w:tc>
          <w:tcPr>
            <w:tcW w:w="1420" w:type="pct"/>
            <w:tcBorders>
              <w:top w:val="nil"/>
              <w:left w:val="nil"/>
              <w:bottom w:val="single" w:color="auto" w:sz="4" w:space="0"/>
              <w:right w:val="single" w:color="auto" w:sz="4" w:space="0"/>
            </w:tcBorders>
            <w:vAlign w:val="center"/>
          </w:tcPr>
          <w:p w14:paraId="1E4D348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SIRIUS 2侧装辅助触点，2常闭</w:t>
            </w:r>
          </w:p>
        </w:tc>
        <w:tc>
          <w:tcPr>
            <w:tcW w:w="578" w:type="pct"/>
            <w:tcBorders>
              <w:top w:val="nil"/>
              <w:left w:val="nil"/>
              <w:bottom w:val="single" w:color="auto" w:sz="4" w:space="0"/>
              <w:right w:val="single" w:color="auto" w:sz="4" w:space="0"/>
            </w:tcBorders>
            <w:vAlign w:val="center"/>
          </w:tcPr>
          <w:p w14:paraId="12E4526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5C39A72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226</w:t>
            </w:r>
          </w:p>
        </w:tc>
        <w:tc>
          <w:tcPr>
            <w:tcW w:w="1587" w:type="pct"/>
            <w:tcBorders>
              <w:top w:val="nil"/>
              <w:left w:val="nil"/>
              <w:bottom w:val="single" w:color="auto" w:sz="4" w:space="0"/>
              <w:right w:val="single" w:color="auto" w:sz="4" w:space="0"/>
            </w:tcBorders>
            <w:vAlign w:val="center"/>
          </w:tcPr>
          <w:p w14:paraId="2ACDB74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NBSL门球</w:t>
            </w:r>
          </w:p>
        </w:tc>
        <w:tc>
          <w:tcPr>
            <w:tcW w:w="592" w:type="pct"/>
            <w:tcBorders>
              <w:top w:val="nil"/>
              <w:left w:val="nil"/>
              <w:bottom w:val="single" w:color="auto" w:sz="4" w:space="0"/>
              <w:right w:val="single" w:color="auto" w:sz="4" w:space="0"/>
            </w:tcBorders>
            <w:vAlign w:val="center"/>
          </w:tcPr>
          <w:p w14:paraId="30FC857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777E230B">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261F9C1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73</w:t>
            </w:r>
          </w:p>
        </w:tc>
        <w:tc>
          <w:tcPr>
            <w:tcW w:w="1420" w:type="pct"/>
            <w:tcBorders>
              <w:top w:val="nil"/>
              <w:left w:val="nil"/>
              <w:bottom w:val="single" w:color="auto" w:sz="4" w:space="0"/>
              <w:right w:val="single" w:color="auto" w:sz="4" w:space="0"/>
            </w:tcBorders>
            <w:vAlign w:val="center"/>
          </w:tcPr>
          <w:p w14:paraId="25B51F1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解码适配器 DR-1TG</w:t>
            </w:r>
          </w:p>
        </w:tc>
        <w:tc>
          <w:tcPr>
            <w:tcW w:w="578" w:type="pct"/>
            <w:tcBorders>
              <w:top w:val="nil"/>
              <w:left w:val="nil"/>
              <w:bottom w:val="single" w:color="auto" w:sz="4" w:space="0"/>
              <w:right w:val="single" w:color="auto" w:sz="4" w:space="0"/>
            </w:tcBorders>
            <w:vAlign w:val="center"/>
          </w:tcPr>
          <w:p w14:paraId="30776AD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704967C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227</w:t>
            </w:r>
          </w:p>
        </w:tc>
        <w:tc>
          <w:tcPr>
            <w:tcW w:w="1587" w:type="pct"/>
            <w:tcBorders>
              <w:top w:val="nil"/>
              <w:left w:val="nil"/>
              <w:bottom w:val="single" w:color="auto" w:sz="4" w:space="0"/>
              <w:right w:val="single" w:color="auto" w:sz="4" w:space="0"/>
            </w:tcBorders>
            <w:vAlign w:val="center"/>
          </w:tcPr>
          <w:p w14:paraId="4B1F42A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七段码带显示外呼层站板</w:t>
            </w:r>
          </w:p>
        </w:tc>
        <w:tc>
          <w:tcPr>
            <w:tcW w:w="592" w:type="pct"/>
            <w:tcBorders>
              <w:top w:val="nil"/>
              <w:left w:val="nil"/>
              <w:bottom w:val="single" w:color="auto" w:sz="4" w:space="0"/>
              <w:right w:val="single" w:color="auto" w:sz="4" w:space="0"/>
            </w:tcBorders>
            <w:vAlign w:val="center"/>
          </w:tcPr>
          <w:p w14:paraId="094D59E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663C2378">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3D13451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74</w:t>
            </w:r>
          </w:p>
        </w:tc>
        <w:tc>
          <w:tcPr>
            <w:tcW w:w="1420" w:type="pct"/>
            <w:tcBorders>
              <w:top w:val="nil"/>
              <w:left w:val="nil"/>
              <w:bottom w:val="single" w:color="auto" w:sz="4" w:space="0"/>
              <w:right w:val="single" w:color="auto" w:sz="4" w:space="0"/>
            </w:tcBorders>
            <w:vAlign w:val="center"/>
          </w:tcPr>
          <w:p w14:paraId="274DA8E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KDS中间层6芯按钮线</w:t>
            </w:r>
          </w:p>
        </w:tc>
        <w:tc>
          <w:tcPr>
            <w:tcW w:w="578" w:type="pct"/>
            <w:tcBorders>
              <w:top w:val="nil"/>
              <w:left w:val="nil"/>
              <w:bottom w:val="single" w:color="auto" w:sz="4" w:space="0"/>
              <w:right w:val="single" w:color="auto" w:sz="4" w:space="0"/>
            </w:tcBorders>
            <w:vAlign w:val="center"/>
          </w:tcPr>
          <w:p w14:paraId="69560FF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25B06E3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228</w:t>
            </w:r>
          </w:p>
        </w:tc>
        <w:tc>
          <w:tcPr>
            <w:tcW w:w="1587" w:type="pct"/>
            <w:tcBorders>
              <w:top w:val="nil"/>
              <w:left w:val="nil"/>
              <w:bottom w:val="single" w:color="auto" w:sz="4" w:space="0"/>
              <w:right w:val="single" w:color="auto" w:sz="4" w:space="0"/>
            </w:tcBorders>
            <w:vAlign w:val="center"/>
          </w:tcPr>
          <w:p w14:paraId="7C8055B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厅门开门装置</w:t>
            </w:r>
          </w:p>
        </w:tc>
        <w:tc>
          <w:tcPr>
            <w:tcW w:w="592" w:type="pct"/>
            <w:tcBorders>
              <w:top w:val="nil"/>
              <w:left w:val="nil"/>
              <w:bottom w:val="single" w:color="auto" w:sz="4" w:space="0"/>
              <w:right w:val="single" w:color="auto" w:sz="4" w:space="0"/>
            </w:tcBorders>
            <w:vAlign w:val="center"/>
          </w:tcPr>
          <w:p w14:paraId="626560B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735EF50D">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2C29AE6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75</w:t>
            </w:r>
          </w:p>
        </w:tc>
        <w:tc>
          <w:tcPr>
            <w:tcW w:w="1420" w:type="pct"/>
            <w:tcBorders>
              <w:top w:val="nil"/>
              <w:left w:val="nil"/>
              <w:bottom w:val="single" w:color="auto" w:sz="4" w:space="0"/>
              <w:right w:val="single" w:color="auto" w:sz="4" w:space="0"/>
            </w:tcBorders>
            <w:vAlign w:val="center"/>
          </w:tcPr>
          <w:p w14:paraId="5613756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门触点</w:t>
            </w:r>
          </w:p>
        </w:tc>
        <w:tc>
          <w:tcPr>
            <w:tcW w:w="578" w:type="pct"/>
            <w:tcBorders>
              <w:top w:val="nil"/>
              <w:left w:val="nil"/>
              <w:bottom w:val="single" w:color="auto" w:sz="4" w:space="0"/>
              <w:right w:val="single" w:color="auto" w:sz="4" w:space="0"/>
            </w:tcBorders>
            <w:vAlign w:val="center"/>
          </w:tcPr>
          <w:p w14:paraId="438C237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723A9D9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229</w:t>
            </w:r>
          </w:p>
        </w:tc>
        <w:tc>
          <w:tcPr>
            <w:tcW w:w="1587" w:type="pct"/>
            <w:tcBorders>
              <w:top w:val="nil"/>
              <w:left w:val="nil"/>
              <w:bottom w:val="single" w:color="auto" w:sz="4" w:space="0"/>
              <w:right w:val="single" w:color="auto" w:sz="4" w:space="0"/>
            </w:tcBorders>
            <w:vAlign w:val="center"/>
          </w:tcPr>
          <w:p w14:paraId="4DBDB87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橡胶缓冲器</w:t>
            </w:r>
          </w:p>
        </w:tc>
        <w:tc>
          <w:tcPr>
            <w:tcW w:w="592" w:type="pct"/>
            <w:tcBorders>
              <w:top w:val="nil"/>
              <w:left w:val="nil"/>
              <w:bottom w:val="single" w:color="auto" w:sz="4" w:space="0"/>
              <w:right w:val="single" w:color="auto" w:sz="4" w:space="0"/>
            </w:tcBorders>
            <w:vAlign w:val="center"/>
          </w:tcPr>
          <w:p w14:paraId="025AE06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1FA98BED">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1CEBF1A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76</w:t>
            </w:r>
          </w:p>
        </w:tc>
        <w:tc>
          <w:tcPr>
            <w:tcW w:w="1420" w:type="pct"/>
            <w:tcBorders>
              <w:top w:val="nil"/>
              <w:left w:val="nil"/>
              <w:bottom w:val="single" w:color="auto" w:sz="4" w:space="0"/>
              <w:right w:val="single" w:color="auto" w:sz="4" w:space="0"/>
            </w:tcBorders>
            <w:vAlign w:val="center"/>
          </w:tcPr>
          <w:p w14:paraId="22A377A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LCEFCB ASSEMBLY</w:t>
            </w:r>
          </w:p>
        </w:tc>
        <w:tc>
          <w:tcPr>
            <w:tcW w:w="578" w:type="pct"/>
            <w:tcBorders>
              <w:top w:val="nil"/>
              <w:left w:val="nil"/>
              <w:bottom w:val="single" w:color="auto" w:sz="4" w:space="0"/>
              <w:right w:val="single" w:color="auto" w:sz="4" w:space="0"/>
            </w:tcBorders>
            <w:vAlign w:val="center"/>
          </w:tcPr>
          <w:p w14:paraId="74321A8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4130BD9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230</w:t>
            </w:r>
          </w:p>
        </w:tc>
        <w:tc>
          <w:tcPr>
            <w:tcW w:w="1587" w:type="pct"/>
            <w:tcBorders>
              <w:top w:val="nil"/>
              <w:left w:val="nil"/>
              <w:bottom w:val="single" w:color="auto" w:sz="4" w:space="0"/>
              <w:right w:val="single" w:color="auto" w:sz="4" w:space="0"/>
            </w:tcBorders>
            <w:vAlign w:val="center"/>
          </w:tcPr>
          <w:p w14:paraId="05E5BF7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辅助接触块 LA1-KN11</w:t>
            </w:r>
          </w:p>
        </w:tc>
        <w:tc>
          <w:tcPr>
            <w:tcW w:w="592" w:type="pct"/>
            <w:tcBorders>
              <w:top w:val="nil"/>
              <w:left w:val="nil"/>
              <w:bottom w:val="single" w:color="auto" w:sz="4" w:space="0"/>
              <w:right w:val="single" w:color="auto" w:sz="4" w:space="0"/>
            </w:tcBorders>
            <w:vAlign w:val="center"/>
          </w:tcPr>
          <w:p w14:paraId="59EE225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3A0ABE7E">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4669CEC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77</w:t>
            </w:r>
          </w:p>
        </w:tc>
        <w:tc>
          <w:tcPr>
            <w:tcW w:w="1420" w:type="pct"/>
            <w:tcBorders>
              <w:top w:val="nil"/>
              <w:left w:val="nil"/>
              <w:bottom w:val="single" w:color="auto" w:sz="4" w:space="0"/>
              <w:right w:val="single" w:color="auto" w:sz="4" w:space="0"/>
            </w:tcBorders>
            <w:vAlign w:val="center"/>
          </w:tcPr>
          <w:p w14:paraId="642E6D4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关门钢丝绳, LL &lt;=1000 MM</w:t>
            </w:r>
          </w:p>
        </w:tc>
        <w:tc>
          <w:tcPr>
            <w:tcW w:w="578" w:type="pct"/>
            <w:tcBorders>
              <w:top w:val="nil"/>
              <w:left w:val="nil"/>
              <w:bottom w:val="single" w:color="auto" w:sz="4" w:space="0"/>
              <w:right w:val="single" w:color="auto" w:sz="4" w:space="0"/>
            </w:tcBorders>
            <w:vAlign w:val="center"/>
          </w:tcPr>
          <w:p w14:paraId="642407F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5552D5F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231</w:t>
            </w:r>
          </w:p>
        </w:tc>
        <w:tc>
          <w:tcPr>
            <w:tcW w:w="1587" w:type="pct"/>
            <w:tcBorders>
              <w:top w:val="nil"/>
              <w:left w:val="nil"/>
              <w:bottom w:val="single" w:color="auto" w:sz="4" w:space="0"/>
              <w:right w:val="single" w:color="auto" w:sz="4" w:space="0"/>
            </w:tcBorders>
            <w:vAlign w:val="center"/>
          </w:tcPr>
          <w:p w14:paraId="65E73DE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按钮片,1</w:t>
            </w:r>
          </w:p>
        </w:tc>
        <w:tc>
          <w:tcPr>
            <w:tcW w:w="592" w:type="pct"/>
            <w:tcBorders>
              <w:top w:val="nil"/>
              <w:left w:val="nil"/>
              <w:bottom w:val="single" w:color="auto" w:sz="4" w:space="0"/>
              <w:right w:val="single" w:color="auto" w:sz="4" w:space="0"/>
            </w:tcBorders>
            <w:vAlign w:val="center"/>
          </w:tcPr>
          <w:p w14:paraId="733E59D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1D86B1E4">
        <w:tblPrEx>
          <w:tblCellMar>
            <w:top w:w="0" w:type="dxa"/>
            <w:left w:w="108" w:type="dxa"/>
            <w:bottom w:w="0" w:type="dxa"/>
            <w:right w:w="108" w:type="dxa"/>
          </w:tblCellMar>
        </w:tblPrEx>
        <w:trPr>
          <w:trHeight w:val="480" w:hRule="atLeast"/>
        </w:trPr>
        <w:tc>
          <w:tcPr>
            <w:tcW w:w="400" w:type="pct"/>
            <w:tcBorders>
              <w:top w:val="nil"/>
              <w:left w:val="single" w:color="auto" w:sz="4" w:space="0"/>
              <w:bottom w:val="single" w:color="auto" w:sz="4" w:space="0"/>
              <w:right w:val="single" w:color="auto" w:sz="4" w:space="0"/>
            </w:tcBorders>
            <w:vAlign w:val="center"/>
          </w:tcPr>
          <w:p w14:paraId="493AB2A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78</w:t>
            </w:r>
          </w:p>
        </w:tc>
        <w:tc>
          <w:tcPr>
            <w:tcW w:w="1420" w:type="pct"/>
            <w:tcBorders>
              <w:top w:val="nil"/>
              <w:left w:val="nil"/>
              <w:bottom w:val="single" w:color="auto" w:sz="4" w:space="0"/>
              <w:right w:val="single" w:color="auto" w:sz="4" w:space="0"/>
            </w:tcBorders>
            <w:vAlign w:val="center"/>
          </w:tcPr>
          <w:p w14:paraId="6BE38F9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SIRIUS 2 CONTACTOR RELAY 3NO+1NC 230VAC</w:t>
            </w:r>
          </w:p>
        </w:tc>
        <w:tc>
          <w:tcPr>
            <w:tcW w:w="578" w:type="pct"/>
            <w:tcBorders>
              <w:top w:val="nil"/>
              <w:left w:val="nil"/>
              <w:bottom w:val="single" w:color="auto" w:sz="4" w:space="0"/>
              <w:right w:val="single" w:color="auto" w:sz="4" w:space="0"/>
            </w:tcBorders>
            <w:vAlign w:val="center"/>
          </w:tcPr>
          <w:p w14:paraId="1407C00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085E033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232</w:t>
            </w:r>
          </w:p>
        </w:tc>
        <w:tc>
          <w:tcPr>
            <w:tcW w:w="1587" w:type="pct"/>
            <w:tcBorders>
              <w:top w:val="nil"/>
              <w:left w:val="nil"/>
              <w:bottom w:val="single" w:color="auto" w:sz="4" w:space="0"/>
              <w:right w:val="single" w:color="auto" w:sz="4" w:space="0"/>
            </w:tcBorders>
            <w:vAlign w:val="center"/>
          </w:tcPr>
          <w:p w14:paraId="19AD28F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Augusta关门弹簧</w:t>
            </w:r>
          </w:p>
        </w:tc>
        <w:tc>
          <w:tcPr>
            <w:tcW w:w="592" w:type="pct"/>
            <w:tcBorders>
              <w:top w:val="nil"/>
              <w:left w:val="nil"/>
              <w:bottom w:val="single" w:color="auto" w:sz="4" w:space="0"/>
              <w:right w:val="single" w:color="auto" w:sz="4" w:space="0"/>
            </w:tcBorders>
            <w:vAlign w:val="center"/>
          </w:tcPr>
          <w:p w14:paraId="2308A3F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78B94FA7">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5363410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79</w:t>
            </w:r>
          </w:p>
        </w:tc>
        <w:tc>
          <w:tcPr>
            <w:tcW w:w="1420" w:type="pct"/>
            <w:tcBorders>
              <w:top w:val="nil"/>
              <w:left w:val="nil"/>
              <w:bottom w:val="single" w:color="auto" w:sz="4" w:space="0"/>
              <w:right w:val="single" w:color="auto" w:sz="4" w:space="0"/>
            </w:tcBorders>
            <w:vAlign w:val="center"/>
          </w:tcPr>
          <w:p w14:paraId="21C2BB8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AUGUSTA中分1000MM同步钢丝绳</w:t>
            </w:r>
          </w:p>
        </w:tc>
        <w:tc>
          <w:tcPr>
            <w:tcW w:w="578" w:type="pct"/>
            <w:tcBorders>
              <w:top w:val="nil"/>
              <w:left w:val="nil"/>
              <w:bottom w:val="single" w:color="auto" w:sz="4" w:space="0"/>
              <w:right w:val="single" w:color="auto" w:sz="4" w:space="0"/>
            </w:tcBorders>
            <w:vAlign w:val="center"/>
          </w:tcPr>
          <w:p w14:paraId="46A0176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06AEDEE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233</w:t>
            </w:r>
          </w:p>
        </w:tc>
        <w:tc>
          <w:tcPr>
            <w:tcW w:w="1587" w:type="pct"/>
            <w:tcBorders>
              <w:top w:val="nil"/>
              <w:left w:val="nil"/>
              <w:bottom w:val="single" w:color="auto" w:sz="4" w:space="0"/>
              <w:right w:val="single" w:color="auto" w:sz="4" w:space="0"/>
            </w:tcBorders>
            <w:vAlign w:val="center"/>
          </w:tcPr>
          <w:p w14:paraId="7DAB046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同步钢丝绳ADC2,总长9550mm</w:t>
            </w:r>
          </w:p>
        </w:tc>
        <w:tc>
          <w:tcPr>
            <w:tcW w:w="592" w:type="pct"/>
            <w:tcBorders>
              <w:top w:val="nil"/>
              <w:left w:val="nil"/>
              <w:bottom w:val="single" w:color="auto" w:sz="4" w:space="0"/>
              <w:right w:val="single" w:color="auto" w:sz="4" w:space="0"/>
            </w:tcBorders>
            <w:vAlign w:val="center"/>
          </w:tcPr>
          <w:p w14:paraId="24D41F1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12DCC8C5">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7831B08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80</w:t>
            </w:r>
          </w:p>
        </w:tc>
        <w:tc>
          <w:tcPr>
            <w:tcW w:w="1420" w:type="pct"/>
            <w:tcBorders>
              <w:top w:val="nil"/>
              <w:left w:val="nil"/>
              <w:bottom w:val="single" w:color="auto" w:sz="4" w:space="0"/>
              <w:right w:val="single" w:color="auto" w:sz="4" w:space="0"/>
            </w:tcBorders>
            <w:vAlign w:val="center"/>
          </w:tcPr>
          <w:p w14:paraId="254D220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按钮底座</w:t>
            </w:r>
          </w:p>
        </w:tc>
        <w:tc>
          <w:tcPr>
            <w:tcW w:w="578" w:type="pct"/>
            <w:tcBorders>
              <w:top w:val="nil"/>
              <w:left w:val="nil"/>
              <w:bottom w:val="single" w:color="auto" w:sz="4" w:space="0"/>
              <w:right w:val="single" w:color="auto" w:sz="4" w:space="0"/>
            </w:tcBorders>
            <w:vAlign w:val="center"/>
          </w:tcPr>
          <w:p w14:paraId="1B1E2B7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6F759F4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234</w:t>
            </w:r>
          </w:p>
        </w:tc>
        <w:tc>
          <w:tcPr>
            <w:tcW w:w="1587" w:type="pct"/>
            <w:tcBorders>
              <w:top w:val="nil"/>
              <w:left w:val="nil"/>
              <w:bottom w:val="single" w:color="auto" w:sz="4" w:space="0"/>
              <w:right w:val="single" w:color="auto" w:sz="4" w:space="0"/>
            </w:tcBorders>
            <w:vAlign w:val="center"/>
          </w:tcPr>
          <w:p w14:paraId="0E6BA7E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LF88 射灯组件</w:t>
            </w:r>
          </w:p>
        </w:tc>
        <w:tc>
          <w:tcPr>
            <w:tcW w:w="592" w:type="pct"/>
            <w:tcBorders>
              <w:top w:val="nil"/>
              <w:left w:val="nil"/>
              <w:bottom w:val="single" w:color="auto" w:sz="4" w:space="0"/>
              <w:right w:val="single" w:color="auto" w:sz="4" w:space="0"/>
            </w:tcBorders>
            <w:vAlign w:val="center"/>
          </w:tcPr>
          <w:p w14:paraId="5316202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725F28B0">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3B0EFB6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81</w:t>
            </w:r>
          </w:p>
        </w:tc>
        <w:tc>
          <w:tcPr>
            <w:tcW w:w="1420" w:type="pct"/>
            <w:tcBorders>
              <w:top w:val="nil"/>
              <w:left w:val="nil"/>
              <w:bottom w:val="single" w:color="auto" w:sz="4" w:space="0"/>
              <w:right w:val="single" w:color="auto" w:sz="4" w:space="0"/>
            </w:tcBorders>
            <w:vAlign w:val="center"/>
          </w:tcPr>
          <w:p w14:paraId="48D0072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辅助触点,LADN22</w:t>
            </w:r>
          </w:p>
        </w:tc>
        <w:tc>
          <w:tcPr>
            <w:tcW w:w="578" w:type="pct"/>
            <w:tcBorders>
              <w:top w:val="nil"/>
              <w:left w:val="nil"/>
              <w:bottom w:val="single" w:color="auto" w:sz="4" w:space="0"/>
              <w:right w:val="single" w:color="auto" w:sz="4" w:space="0"/>
            </w:tcBorders>
            <w:vAlign w:val="center"/>
          </w:tcPr>
          <w:p w14:paraId="6FAEF70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2647803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235</w:t>
            </w:r>
          </w:p>
        </w:tc>
        <w:tc>
          <w:tcPr>
            <w:tcW w:w="1587" w:type="pct"/>
            <w:tcBorders>
              <w:top w:val="nil"/>
              <w:left w:val="nil"/>
              <w:bottom w:val="single" w:color="auto" w:sz="4" w:space="0"/>
              <w:right w:val="single" w:color="auto" w:sz="4" w:space="0"/>
            </w:tcBorders>
            <w:vAlign w:val="center"/>
          </w:tcPr>
          <w:p w14:paraId="200D979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Sigma按钮 单选/集选 电缆</w:t>
            </w:r>
          </w:p>
        </w:tc>
        <w:tc>
          <w:tcPr>
            <w:tcW w:w="592" w:type="pct"/>
            <w:tcBorders>
              <w:top w:val="nil"/>
              <w:left w:val="nil"/>
              <w:bottom w:val="single" w:color="auto" w:sz="4" w:space="0"/>
              <w:right w:val="single" w:color="auto" w:sz="4" w:space="0"/>
            </w:tcBorders>
            <w:vAlign w:val="center"/>
          </w:tcPr>
          <w:p w14:paraId="447C5F4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18897C50">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47A8CD3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82</w:t>
            </w:r>
          </w:p>
        </w:tc>
        <w:tc>
          <w:tcPr>
            <w:tcW w:w="1420" w:type="pct"/>
            <w:tcBorders>
              <w:top w:val="nil"/>
              <w:left w:val="nil"/>
              <w:bottom w:val="single" w:color="auto" w:sz="4" w:space="0"/>
              <w:right w:val="single" w:color="auto" w:sz="4" w:space="0"/>
            </w:tcBorders>
            <w:vAlign w:val="center"/>
          </w:tcPr>
          <w:p w14:paraId="31D68D2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双位按钮电子板</w:t>
            </w:r>
          </w:p>
        </w:tc>
        <w:tc>
          <w:tcPr>
            <w:tcW w:w="578" w:type="pct"/>
            <w:tcBorders>
              <w:top w:val="nil"/>
              <w:left w:val="nil"/>
              <w:bottom w:val="single" w:color="auto" w:sz="4" w:space="0"/>
              <w:right w:val="single" w:color="auto" w:sz="4" w:space="0"/>
            </w:tcBorders>
            <w:vAlign w:val="center"/>
          </w:tcPr>
          <w:p w14:paraId="0EF2E66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177D6B8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236</w:t>
            </w:r>
          </w:p>
        </w:tc>
        <w:tc>
          <w:tcPr>
            <w:tcW w:w="1587" w:type="pct"/>
            <w:tcBorders>
              <w:top w:val="nil"/>
              <w:left w:val="nil"/>
              <w:bottom w:val="single" w:color="auto" w:sz="4" w:space="0"/>
              <w:right w:val="single" w:color="auto" w:sz="4" w:space="0"/>
            </w:tcBorders>
            <w:vAlign w:val="center"/>
          </w:tcPr>
          <w:p w14:paraId="41924A9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KCEFCB线路板</w:t>
            </w:r>
          </w:p>
        </w:tc>
        <w:tc>
          <w:tcPr>
            <w:tcW w:w="592" w:type="pct"/>
            <w:tcBorders>
              <w:top w:val="nil"/>
              <w:left w:val="nil"/>
              <w:bottom w:val="single" w:color="auto" w:sz="4" w:space="0"/>
              <w:right w:val="single" w:color="auto" w:sz="4" w:space="0"/>
            </w:tcBorders>
            <w:vAlign w:val="center"/>
          </w:tcPr>
          <w:p w14:paraId="24457AE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3D564413">
        <w:tblPrEx>
          <w:tblCellMar>
            <w:top w:w="0" w:type="dxa"/>
            <w:left w:w="108" w:type="dxa"/>
            <w:bottom w:w="0" w:type="dxa"/>
            <w:right w:w="108" w:type="dxa"/>
          </w:tblCellMar>
        </w:tblPrEx>
        <w:trPr>
          <w:trHeight w:val="480" w:hRule="atLeast"/>
        </w:trPr>
        <w:tc>
          <w:tcPr>
            <w:tcW w:w="400" w:type="pct"/>
            <w:tcBorders>
              <w:top w:val="nil"/>
              <w:left w:val="single" w:color="auto" w:sz="4" w:space="0"/>
              <w:bottom w:val="single" w:color="auto" w:sz="4" w:space="0"/>
              <w:right w:val="single" w:color="auto" w:sz="4" w:space="0"/>
            </w:tcBorders>
            <w:vAlign w:val="center"/>
          </w:tcPr>
          <w:p w14:paraId="6D72D4F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83</w:t>
            </w:r>
          </w:p>
        </w:tc>
        <w:tc>
          <w:tcPr>
            <w:tcW w:w="1420" w:type="pct"/>
            <w:tcBorders>
              <w:top w:val="nil"/>
              <w:left w:val="nil"/>
              <w:bottom w:val="single" w:color="auto" w:sz="4" w:space="0"/>
              <w:right w:val="single" w:color="auto" w:sz="4" w:space="0"/>
            </w:tcBorders>
            <w:vAlign w:val="center"/>
          </w:tcPr>
          <w:p w14:paraId="6960E1A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接触器 380/400VAC 3NO 1NC 220/230V</w:t>
            </w:r>
          </w:p>
        </w:tc>
        <w:tc>
          <w:tcPr>
            <w:tcW w:w="578" w:type="pct"/>
            <w:tcBorders>
              <w:top w:val="nil"/>
              <w:left w:val="nil"/>
              <w:bottom w:val="single" w:color="auto" w:sz="4" w:space="0"/>
              <w:right w:val="single" w:color="auto" w:sz="4" w:space="0"/>
            </w:tcBorders>
            <w:vAlign w:val="center"/>
          </w:tcPr>
          <w:p w14:paraId="44BD4F9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2DA2DC6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237</w:t>
            </w:r>
          </w:p>
        </w:tc>
        <w:tc>
          <w:tcPr>
            <w:tcW w:w="1587" w:type="pct"/>
            <w:tcBorders>
              <w:top w:val="nil"/>
              <w:left w:val="nil"/>
              <w:bottom w:val="single" w:color="auto" w:sz="4" w:space="0"/>
              <w:right w:val="single" w:color="auto" w:sz="4" w:space="0"/>
            </w:tcBorders>
            <w:vAlign w:val="center"/>
          </w:tcPr>
          <w:p w14:paraId="5BEE03A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按钮线路板</w:t>
            </w:r>
          </w:p>
        </w:tc>
        <w:tc>
          <w:tcPr>
            <w:tcW w:w="592" w:type="pct"/>
            <w:tcBorders>
              <w:top w:val="nil"/>
              <w:left w:val="nil"/>
              <w:bottom w:val="single" w:color="auto" w:sz="4" w:space="0"/>
              <w:right w:val="single" w:color="auto" w:sz="4" w:space="0"/>
            </w:tcBorders>
            <w:vAlign w:val="center"/>
          </w:tcPr>
          <w:p w14:paraId="550F0C4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3400C342">
        <w:tblPrEx>
          <w:tblCellMar>
            <w:top w:w="0" w:type="dxa"/>
            <w:left w:w="108" w:type="dxa"/>
            <w:bottom w:w="0" w:type="dxa"/>
            <w:right w:w="108" w:type="dxa"/>
          </w:tblCellMar>
        </w:tblPrEx>
        <w:trPr>
          <w:trHeight w:val="480" w:hRule="atLeast"/>
        </w:trPr>
        <w:tc>
          <w:tcPr>
            <w:tcW w:w="400" w:type="pct"/>
            <w:tcBorders>
              <w:top w:val="nil"/>
              <w:left w:val="single" w:color="auto" w:sz="4" w:space="0"/>
              <w:bottom w:val="single" w:color="auto" w:sz="4" w:space="0"/>
              <w:right w:val="single" w:color="auto" w:sz="4" w:space="0"/>
            </w:tcBorders>
            <w:vAlign w:val="center"/>
          </w:tcPr>
          <w:p w14:paraId="317E6FA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84</w:t>
            </w:r>
          </w:p>
        </w:tc>
        <w:tc>
          <w:tcPr>
            <w:tcW w:w="1420" w:type="pct"/>
            <w:tcBorders>
              <w:top w:val="nil"/>
              <w:left w:val="nil"/>
              <w:bottom w:val="single" w:color="auto" w:sz="4" w:space="0"/>
              <w:right w:val="single" w:color="auto" w:sz="4" w:space="0"/>
            </w:tcBorders>
            <w:vAlign w:val="center"/>
          </w:tcPr>
          <w:p w14:paraId="5A8E694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PCB, LCECEB COP EXTENSION BOARD, COATED</w:t>
            </w:r>
          </w:p>
        </w:tc>
        <w:tc>
          <w:tcPr>
            <w:tcW w:w="578" w:type="pct"/>
            <w:tcBorders>
              <w:top w:val="nil"/>
              <w:left w:val="nil"/>
              <w:bottom w:val="single" w:color="auto" w:sz="4" w:space="0"/>
              <w:right w:val="single" w:color="auto" w:sz="4" w:space="0"/>
            </w:tcBorders>
            <w:vAlign w:val="center"/>
          </w:tcPr>
          <w:p w14:paraId="246AB70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2CFCF57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238</w:t>
            </w:r>
          </w:p>
        </w:tc>
        <w:tc>
          <w:tcPr>
            <w:tcW w:w="1587" w:type="pct"/>
            <w:tcBorders>
              <w:top w:val="nil"/>
              <w:left w:val="nil"/>
              <w:bottom w:val="single" w:color="auto" w:sz="4" w:space="0"/>
              <w:right w:val="single" w:color="auto" w:sz="4" w:space="0"/>
            </w:tcBorders>
            <w:vAlign w:val="center"/>
          </w:tcPr>
          <w:p w14:paraId="7F60BEB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AMD DRIVE1门机皮带从动轮组件</w:t>
            </w:r>
          </w:p>
        </w:tc>
        <w:tc>
          <w:tcPr>
            <w:tcW w:w="592" w:type="pct"/>
            <w:tcBorders>
              <w:top w:val="nil"/>
              <w:left w:val="nil"/>
              <w:bottom w:val="single" w:color="auto" w:sz="4" w:space="0"/>
              <w:right w:val="single" w:color="auto" w:sz="4" w:space="0"/>
            </w:tcBorders>
            <w:vAlign w:val="center"/>
          </w:tcPr>
          <w:p w14:paraId="3D81B4C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202DF318">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1C4F7EB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85</w:t>
            </w:r>
          </w:p>
        </w:tc>
        <w:tc>
          <w:tcPr>
            <w:tcW w:w="1420" w:type="pct"/>
            <w:tcBorders>
              <w:top w:val="nil"/>
              <w:left w:val="nil"/>
              <w:bottom w:val="single" w:color="auto" w:sz="4" w:space="0"/>
              <w:right w:val="single" w:color="auto" w:sz="4" w:space="0"/>
            </w:tcBorders>
            <w:vAlign w:val="center"/>
          </w:tcPr>
          <w:p w14:paraId="30BCEDC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薄形中文锁梯锁,带5米线</w:t>
            </w:r>
          </w:p>
        </w:tc>
        <w:tc>
          <w:tcPr>
            <w:tcW w:w="578" w:type="pct"/>
            <w:tcBorders>
              <w:top w:val="nil"/>
              <w:left w:val="nil"/>
              <w:bottom w:val="single" w:color="auto" w:sz="4" w:space="0"/>
              <w:right w:val="single" w:color="auto" w:sz="4" w:space="0"/>
            </w:tcBorders>
            <w:vAlign w:val="center"/>
          </w:tcPr>
          <w:p w14:paraId="5AF9AC3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3750FFD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239</w:t>
            </w:r>
          </w:p>
        </w:tc>
        <w:tc>
          <w:tcPr>
            <w:tcW w:w="1587" w:type="pct"/>
            <w:tcBorders>
              <w:top w:val="nil"/>
              <w:left w:val="nil"/>
              <w:bottom w:val="single" w:color="auto" w:sz="4" w:space="0"/>
              <w:right w:val="single" w:color="auto" w:sz="4" w:space="0"/>
            </w:tcBorders>
            <w:vAlign w:val="center"/>
          </w:tcPr>
          <w:p w14:paraId="3974B67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LCECEB板</w:t>
            </w:r>
          </w:p>
        </w:tc>
        <w:tc>
          <w:tcPr>
            <w:tcW w:w="592" w:type="pct"/>
            <w:tcBorders>
              <w:top w:val="nil"/>
              <w:left w:val="nil"/>
              <w:bottom w:val="single" w:color="auto" w:sz="4" w:space="0"/>
              <w:right w:val="single" w:color="auto" w:sz="4" w:space="0"/>
            </w:tcBorders>
            <w:vAlign w:val="center"/>
          </w:tcPr>
          <w:p w14:paraId="4D891D1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1778709C">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1DD39D3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86</w:t>
            </w:r>
          </w:p>
        </w:tc>
        <w:tc>
          <w:tcPr>
            <w:tcW w:w="1420" w:type="pct"/>
            <w:tcBorders>
              <w:top w:val="nil"/>
              <w:left w:val="nil"/>
              <w:bottom w:val="single" w:color="auto" w:sz="4" w:space="0"/>
              <w:right w:val="single" w:color="auto" w:sz="4" w:space="0"/>
            </w:tcBorders>
            <w:vAlign w:val="center"/>
          </w:tcPr>
          <w:p w14:paraId="5A43E58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Delta单位按钮电子板</w:t>
            </w:r>
          </w:p>
        </w:tc>
        <w:tc>
          <w:tcPr>
            <w:tcW w:w="578" w:type="pct"/>
            <w:tcBorders>
              <w:top w:val="nil"/>
              <w:left w:val="nil"/>
              <w:bottom w:val="single" w:color="auto" w:sz="4" w:space="0"/>
              <w:right w:val="single" w:color="auto" w:sz="4" w:space="0"/>
            </w:tcBorders>
            <w:vAlign w:val="center"/>
          </w:tcPr>
          <w:p w14:paraId="79C8767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1A7626C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240</w:t>
            </w:r>
          </w:p>
        </w:tc>
        <w:tc>
          <w:tcPr>
            <w:tcW w:w="1587" w:type="pct"/>
            <w:tcBorders>
              <w:top w:val="nil"/>
              <w:left w:val="nil"/>
              <w:bottom w:val="single" w:color="auto" w:sz="4" w:space="0"/>
              <w:right w:val="single" w:color="auto" w:sz="4" w:space="0"/>
            </w:tcBorders>
            <w:vAlign w:val="center"/>
          </w:tcPr>
          <w:p w14:paraId="41B9541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A0800026,方油壶,L=97</w:t>
            </w:r>
          </w:p>
        </w:tc>
        <w:tc>
          <w:tcPr>
            <w:tcW w:w="592" w:type="pct"/>
            <w:tcBorders>
              <w:top w:val="nil"/>
              <w:left w:val="nil"/>
              <w:bottom w:val="single" w:color="auto" w:sz="4" w:space="0"/>
              <w:right w:val="single" w:color="auto" w:sz="4" w:space="0"/>
            </w:tcBorders>
            <w:vAlign w:val="center"/>
          </w:tcPr>
          <w:p w14:paraId="7DDCB77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226B4610">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0284D2B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87</w:t>
            </w:r>
          </w:p>
        </w:tc>
        <w:tc>
          <w:tcPr>
            <w:tcW w:w="1420" w:type="pct"/>
            <w:tcBorders>
              <w:top w:val="nil"/>
              <w:left w:val="nil"/>
              <w:bottom w:val="single" w:color="auto" w:sz="4" w:space="0"/>
              <w:right w:val="single" w:color="auto" w:sz="4" w:space="0"/>
            </w:tcBorders>
            <w:vAlign w:val="center"/>
          </w:tcPr>
          <w:p w14:paraId="3C935E6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轿厢副机 KON12B</w:t>
            </w:r>
          </w:p>
        </w:tc>
        <w:tc>
          <w:tcPr>
            <w:tcW w:w="578" w:type="pct"/>
            <w:tcBorders>
              <w:top w:val="nil"/>
              <w:left w:val="nil"/>
              <w:bottom w:val="single" w:color="auto" w:sz="4" w:space="0"/>
              <w:right w:val="single" w:color="auto" w:sz="4" w:space="0"/>
            </w:tcBorders>
            <w:vAlign w:val="center"/>
          </w:tcPr>
          <w:p w14:paraId="7C98DB7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0F299EA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241</w:t>
            </w:r>
          </w:p>
        </w:tc>
        <w:tc>
          <w:tcPr>
            <w:tcW w:w="1587" w:type="pct"/>
            <w:tcBorders>
              <w:top w:val="nil"/>
              <w:left w:val="nil"/>
              <w:bottom w:val="single" w:color="auto" w:sz="4" w:space="0"/>
              <w:right w:val="single" w:color="auto" w:sz="4" w:space="0"/>
            </w:tcBorders>
            <w:vAlign w:val="center"/>
          </w:tcPr>
          <w:p w14:paraId="4AB969A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轴承 6218-2RS</w:t>
            </w:r>
          </w:p>
        </w:tc>
        <w:tc>
          <w:tcPr>
            <w:tcW w:w="592" w:type="pct"/>
            <w:tcBorders>
              <w:top w:val="nil"/>
              <w:left w:val="nil"/>
              <w:bottom w:val="single" w:color="auto" w:sz="4" w:space="0"/>
              <w:right w:val="single" w:color="auto" w:sz="4" w:space="0"/>
            </w:tcBorders>
            <w:vAlign w:val="center"/>
          </w:tcPr>
          <w:p w14:paraId="4618045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4185D199">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086BA01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88</w:t>
            </w:r>
          </w:p>
        </w:tc>
        <w:tc>
          <w:tcPr>
            <w:tcW w:w="1420" w:type="pct"/>
            <w:tcBorders>
              <w:top w:val="nil"/>
              <w:left w:val="nil"/>
              <w:bottom w:val="single" w:color="auto" w:sz="4" w:space="0"/>
              <w:right w:val="single" w:color="auto" w:sz="4" w:space="0"/>
            </w:tcBorders>
            <w:vAlign w:val="center"/>
          </w:tcPr>
          <w:p w14:paraId="23E968C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SLG8导靴，导轨宽度10 mm</w:t>
            </w:r>
          </w:p>
        </w:tc>
        <w:tc>
          <w:tcPr>
            <w:tcW w:w="578" w:type="pct"/>
            <w:tcBorders>
              <w:top w:val="nil"/>
              <w:left w:val="nil"/>
              <w:bottom w:val="single" w:color="auto" w:sz="4" w:space="0"/>
              <w:right w:val="single" w:color="auto" w:sz="4" w:space="0"/>
            </w:tcBorders>
            <w:vAlign w:val="center"/>
          </w:tcPr>
          <w:p w14:paraId="4C6451C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3FA2632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242</w:t>
            </w:r>
          </w:p>
        </w:tc>
        <w:tc>
          <w:tcPr>
            <w:tcW w:w="1587" w:type="pct"/>
            <w:tcBorders>
              <w:top w:val="nil"/>
              <w:left w:val="nil"/>
              <w:bottom w:val="single" w:color="auto" w:sz="4" w:space="0"/>
              <w:right w:val="single" w:color="auto" w:sz="4" w:space="0"/>
            </w:tcBorders>
            <w:vAlign w:val="center"/>
          </w:tcPr>
          <w:p w14:paraId="53C2FF4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接触器 LC1-D8011P7-230VAC</w:t>
            </w:r>
          </w:p>
        </w:tc>
        <w:tc>
          <w:tcPr>
            <w:tcW w:w="592" w:type="pct"/>
            <w:tcBorders>
              <w:top w:val="nil"/>
              <w:left w:val="nil"/>
              <w:bottom w:val="single" w:color="auto" w:sz="4" w:space="0"/>
              <w:right w:val="single" w:color="auto" w:sz="4" w:space="0"/>
            </w:tcBorders>
            <w:vAlign w:val="center"/>
          </w:tcPr>
          <w:p w14:paraId="7AC70E8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5BA2B20D">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45C6B20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89</w:t>
            </w:r>
          </w:p>
        </w:tc>
        <w:tc>
          <w:tcPr>
            <w:tcW w:w="1420" w:type="pct"/>
            <w:tcBorders>
              <w:top w:val="nil"/>
              <w:left w:val="nil"/>
              <w:bottom w:val="single" w:color="auto" w:sz="4" w:space="0"/>
              <w:right w:val="single" w:color="auto" w:sz="4" w:space="0"/>
            </w:tcBorders>
            <w:vAlign w:val="center"/>
          </w:tcPr>
          <w:p w14:paraId="72A8690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保险丝6A</w:t>
            </w:r>
          </w:p>
        </w:tc>
        <w:tc>
          <w:tcPr>
            <w:tcW w:w="578" w:type="pct"/>
            <w:tcBorders>
              <w:top w:val="nil"/>
              <w:left w:val="nil"/>
              <w:bottom w:val="single" w:color="auto" w:sz="4" w:space="0"/>
              <w:right w:val="single" w:color="auto" w:sz="4" w:space="0"/>
            </w:tcBorders>
            <w:vAlign w:val="center"/>
          </w:tcPr>
          <w:p w14:paraId="41D2B52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4B7D1B4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243</w:t>
            </w:r>
          </w:p>
        </w:tc>
        <w:tc>
          <w:tcPr>
            <w:tcW w:w="1587" w:type="pct"/>
            <w:tcBorders>
              <w:top w:val="nil"/>
              <w:left w:val="nil"/>
              <w:bottom w:val="single" w:color="auto" w:sz="4" w:space="0"/>
              <w:right w:val="single" w:color="auto" w:sz="4" w:space="0"/>
            </w:tcBorders>
            <w:vAlign w:val="center"/>
          </w:tcPr>
          <w:p w14:paraId="198D02E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厅门钢丝绳轮左，含2*螺钉2*螺母</w:t>
            </w:r>
          </w:p>
        </w:tc>
        <w:tc>
          <w:tcPr>
            <w:tcW w:w="592" w:type="pct"/>
            <w:tcBorders>
              <w:top w:val="nil"/>
              <w:left w:val="nil"/>
              <w:bottom w:val="single" w:color="auto" w:sz="4" w:space="0"/>
              <w:right w:val="single" w:color="auto" w:sz="4" w:space="0"/>
            </w:tcBorders>
            <w:vAlign w:val="center"/>
          </w:tcPr>
          <w:p w14:paraId="51B659D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55F93CE2">
        <w:tblPrEx>
          <w:tblCellMar>
            <w:top w:w="0" w:type="dxa"/>
            <w:left w:w="108" w:type="dxa"/>
            <w:bottom w:w="0" w:type="dxa"/>
            <w:right w:w="108" w:type="dxa"/>
          </w:tblCellMar>
        </w:tblPrEx>
        <w:trPr>
          <w:trHeight w:val="480" w:hRule="atLeast"/>
        </w:trPr>
        <w:tc>
          <w:tcPr>
            <w:tcW w:w="400" w:type="pct"/>
            <w:tcBorders>
              <w:top w:val="nil"/>
              <w:left w:val="single" w:color="auto" w:sz="4" w:space="0"/>
              <w:bottom w:val="single" w:color="auto" w:sz="4" w:space="0"/>
              <w:right w:val="single" w:color="auto" w:sz="4" w:space="0"/>
            </w:tcBorders>
            <w:vAlign w:val="center"/>
          </w:tcPr>
          <w:p w14:paraId="0B95881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90</w:t>
            </w:r>
          </w:p>
        </w:tc>
        <w:tc>
          <w:tcPr>
            <w:tcW w:w="1420" w:type="pct"/>
            <w:tcBorders>
              <w:top w:val="nil"/>
              <w:left w:val="nil"/>
              <w:bottom w:val="single" w:color="auto" w:sz="4" w:space="0"/>
              <w:right w:val="single" w:color="auto" w:sz="4" w:space="0"/>
            </w:tcBorders>
            <w:vAlign w:val="center"/>
          </w:tcPr>
          <w:p w14:paraId="0292E5B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轴承,6003-2RSH</w:t>
            </w:r>
          </w:p>
        </w:tc>
        <w:tc>
          <w:tcPr>
            <w:tcW w:w="578" w:type="pct"/>
            <w:tcBorders>
              <w:top w:val="nil"/>
              <w:left w:val="nil"/>
              <w:bottom w:val="single" w:color="auto" w:sz="4" w:space="0"/>
              <w:right w:val="single" w:color="auto" w:sz="4" w:space="0"/>
            </w:tcBorders>
            <w:vAlign w:val="center"/>
          </w:tcPr>
          <w:p w14:paraId="5883BE5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512A5BD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244</w:t>
            </w:r>
          </w:p>
        </w:tc>
        <w:tc>
          <w:tcPr>
            <w:tcW w:w="1587" w:type="pct"/>
            <w:tcBorders>
              <w:top w:val="nil"/>
              <w:left w:val="nil"/>
              <w:bottom w:val="single" w:color="auto" w:sz="4" w:space="0"/>
              <w:right w:val="single" w:color="auto" w:sz="4" w:space="0"/>
            </w:tcBorders>
            <w:vAlign w:val="center"/>
          </w:tcPr>
          <w:p w14:paraId="6112FD9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CPU程序芯片,6.12.8 NC for LCECPUNC with KX99</w:t>
            </w:r>
          </w:p>
        </w:tc>
        <w:tc>
          <w:tcPr>
            <w:tcW w:w="592" w:type="pct"/>
            <w:tcBorders>
              <w:top w:val="nil"/>
              <w:left w:val="nil"/>
              <w:bottom w:val="single" w:color="auto" w:sz="4" w:space="0"/>
              <w:right w:val="single" w:color="auto" w:sz="4" w:space="0"/>
            </w:tcBorders>
            <w:vAlign w:val="center"/>
          </w:tcPr>
          <w:p w14:paraId="309818B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5CF95EEC">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55A1957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91</w:t>
            </w:r>
          </w:p>
        </w:tc>
        <w:tc>
          <w:tcPr>
            <w:tcW w:w="1420" w:type="pct"/>
            <w:tcBorders>
              <w:top w:val="nil"/>
              <w:left w:val="nil"/>
              <w:bottom w:val="single" w:color="auto" w:sz="4" w:space="0"/>
              <w:right w:val="single" w:color="auto" w:sz="4" w:space="0"/>
            </w:tcBorders>
            <w:vAlign w:val="center"/>
          </w:tcPr>
          <w:p w14:paraId="32F027F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触座611.6369.262</w:t>
            </w:r>
          </w:p>
        </w:tc>
        <w:tc>
          <w:tcPr>
            <w:tcW w:w="578" w:type="pct"/>
            <w:tcBorders>
              <w:top w:val="nil"/>
              <w:left w:val="nil"/>
              <w:bottom w:val="single" w:color="auto" w:sz="4" w:space="0"/>
              <w:right w:val="single" w:color="auto" w:sz="4" w:space="0"/>
            </w:tcBorders>
            <w:vAlign w:val="center"/>
          </w:tcPr>
          <w:p w14:paraId="4239DC8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40CD66C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245</w:t>
            </w:r>
          </w:p>
        </w:tc>
        <w:tc>
          <w:tcPr>
            <w:tcW w:w="1587" w:type="pct"/>
            <w:tcBorders>
              <w:top w:val="nil"/>
              <w:left w:val="nil"/>
              <w:bottom w:val="single" w:color="auto" w:sz="4" w:space="0"/>
              <w:right w:val="single" w:color="auto" w:sz="4" w:space="0"/>
            </w:tcBorders>
            <w:vAlign w:val="center"/>
          </w:tcPr>
          <w:p w14:paraId="22EBD9C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井道隔磁板组件</w:t>
            </w:r>
          </w:p>
        </w:tc>
        <w:tc>
          <w:tcPr>
            <w:tcW w:w="592" w:type="pct"/>
            <w:tcBorders>
              <w:top w:val="nil"/>
              <w:left w:val="nil"/>
              <w:bottom w:val="single" w:color="auto" w:sz="4" w:space="0"/>
              <w:right w:val="single" w:color="auto" w:sz="4" w:space="0"/>
            </w:tcBorders>
            <w:vAlign w:val="center"/>
          </w:tcPr>
          <w:p w14:paraId="4D0F3F3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02D869CB">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65BB6F2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92</w:t>
            </w:r>
          </w:p>
        </w:tc>
        <w:tc>
          <w:tcPr>
            <w:tcW w:w="1420" w:type="pct"/>
            <w:tcBorders>
              <w:top w:val="nil"/>
              <w:left w:val="nil"/>
              <w:bottom w:val="single" w:color="auto" w:sz="4" w:space="0"/>
              <w:right w:val="single" w:color="auto" w:sz="4" w:space="0"/>
            </w:tcBorders>
            <w:vAlign w:val="center"/>
          </w:tcPr>
          <w:p w14:paraId="62A523A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集油盒(导轨 T82&amp;T75)</w:t>
            </w:r>
          </w:p>
        </w:tc>
        <w:tc>
          <w:tcPr>
            <w:tcW w:w="578" w:type="pct"/>
            <w:tcBorders>
              <w:top w:val="nil"/>
              <w:left w:val="nil"/>
              <w:bottom w:val="single" w:color="auto" w:sz="4" w:space="0"/>
              <w:right w:val="single" w:color="auto" w:sz="4" w:space="0"/>
            </w:tcBorders>
            <w:vAlign w:val="center"/>
          </w:tcPr>
          <w:p w14:paraId="7456C09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3F27871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246</w:t>
            </w:r>
          </w:p>
        </w:tc>
        <w:tc>
          <w:tcPr>
            <w:tcW w:w="1587" w:type="pct"/>
            <w:tcBorders>
              <w:top w:val="nil"/>
              <w:left w:val="nil"/>
              <w:bottom w:val="single" w:color="auto" w:sz="4" w:space="0"/>
              <w:right w:val="single" w:color="auto" w:sz="4" w:space="0"/>
            </w:tcBorders>
            <w:vAlign w:val="center"/>
          </w:tcPr>
          <w:p w14:paraId="6A778C7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SLG1A滑动导靴，A=9.5MM</w:t>
            </w:r>
          </w:p>
        </w:tc>
        <w:tc>
          <w:tcPr>
            <w:tcW w:w="592" w:type="pct"/>
            <w:tcBorders>
              <w:top w:val="nil"/>
              <w:left w:val="nil"/>
              <w:bottom w:val="single" w:color="auto" w:sz="4" w:space="0"/>
              <w:right w:val="single" w:color="auto" w:sz="4" w:space="0"/>
            </w:tcBorders>
            <w:vAlign w:val="center"/>
          </w:tcPr>
          <w:p w14:paraId="0755D4F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5F7608DD">
        <w:tblPrEx>
          <w:tblCellMar>
            <w:top w:w="0" w:type="dxa"/>
            <w:left w:w="108" w:type="dxa"/>
            <w:bottom w:w="0" w:type="dxa"/>
            <w:right w:w="108" w:type="dxa"/>
          </w:tblCellMar>
        </w:tblPrEx>
        <w:trPr>
          <w:trHeight w:val="480" w:hRule="atLeast"/>
        </w:trPr>
        <w:tc>
          <w:tcPr>
            <w:tcW w:w="400" w:type="pct"/>
            <w:tcBorders>
              <w:top w:val="nil"/>
              <w:left w:val="single" w:color="auto" w:sz="4" w:space="0"/>
              <w:bottom w:val="single" w:color="auto" w:sz="4" w:space="0"/>
              <w:right w:val="single" w:color="auto" w:sz="4" w:space="0"/>
            </w:tcBorders>
            <w:vAlign w:val="center"/>
          </w:tcPr>
          <w:p w14:paraId="435F449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93</w:t>
            </w:r>
          </w:p>
        </w:tc>
        <w:tc>
          <w:tcPr>
            <w:tcW w:w="1420" w:type="pct"/>
            <w:tcBorders>
              <w:top w:val="nil"/>
              <w:left w:val="nil"/>
              <w:bottom w:val="single" w:color="auto" w:sz="4" w:space="0"/>
              <w:right w:val="single" w:color="auto" w:sz="4" w:space="0"/>
            </w:tcBorders>
            <w:vAlign w:val="center"/>
          </w:tcPr>
          <w:p w14:paraId="38D76FB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六角头全螺纹螺栓, M8X30MM ST DIN933 8.8</w:t>
            </w:r>
          </w:p>
        </w:tc>
        <w:tc>
          <w:tcPr>
            <w:tcW w:w="578" w:type="pct"/>
            <w:tcBorders>
              <w:top w:val="nil"/>
              <w:left w:val="nil"/>
              <w:bottom w:val="single" w:color="auto" w:sz="4" w:space="0"/>
              <w:right w:val="single" w:color="auto" w:sz="4" w:space="0"/>
            </w:tcBorders>
            <w:vAlign w:val="center"/>
          </w:tcPr>
          <w:p w14:paraId="3BE65B1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0F41220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247</w:t>
            </w:r>
          </w:p>
        </w:tc>
        <w:tc>
          <w:tcPr>
            <w:tcW w:w="1587" w:type="pct"/>
            <w:tcBorders>
              <w:top w:val="nil"/>
              <w:left w:val="nil"/>
              <w:bottom w:val="single" w:color="auto" w:sz="4" w:space="0"/>
              <w:right w:val="single" w:color="auto" w:sz="4" w:space="0"/>
            </w:tcBorders>
            <w:vAlign w:val="center"/>
          </w:tcPr>
          <w:p w14:paraId="50C3218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风扇,FB-9B-J</w:t>
            </w:r>
          </w:p>
        </w:tc>
        <w:tc>
          <w:tcPr>
            <w:tcW w:w="592" w:type="pct"/>
            <w:tcBorders>
              <w:top w:val="nil"/>
              <w:left w:val="nil"/>
              <w:bottom w:val="single" w:color="auto" w:sz="4" w:space="0"/>
              <w:right w:val="single" w:color="auto" w:sz="4" w:space="0"/>
            </w:tcBorders>
            <w:vAlign w:val="center"/>
          </w:tcPr>
          <w:p w14:paraId="68E9768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35A7E0A9">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4E3EF9F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94</w:t>
            </w:r>
          </w:p>
        </w:tc>
        <w:tc>
          <w:tcPr>
            <w:tcW w:w="1420" w:type="pct"/>
            <w:tcBorders>
              <w:top w:val="nil"/>
              <w:left w:val="nil"/>
              <w:bottom w:val="single" w:color="auto" w:sz="4" w:space="0"/>
              <w:right w:val="single" w:color="auto" w:sz="4" w:space="0"/>
            </w:tcBorders>
            <w:vAlign w:val="center"/>
          </w:tcPr>
          <w:p w14:paraId="6108B0A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SLG6导靴，T89</w:t>
            </w:r>
          </w:p>
        </w:tc>
        <w:tc>
          <w:tcPr>
            <w:tcW w:w="578" w:type="pct"/>
            <w:tcBorders>
              <w:top w:val="nil"/>
              <w:left w:val="nil"/>
              <w:bottom w:val="single" w:color="auto" w:sz="4" w:space="0"/>
              <w:right w:val="single" w:color="auto" w:sz="4" w:space="0"/>
            </w:tcBorders>
            <w:vAlign w:val="center"/>
          </w:tcPr>
          <w:p w14:paraId="256EDA4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28B8B22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248</w:t>
            </w:r>
          </w:p>
        </w:tc>
        <w:tc>
          <w:tcPr>
            <w:tcW w:w="1587" w:type="pct"/>
            <w:tcBorders>
              <w:top w:val="nil"/>
              <w:left w:val="nil"/>
              <w:bottom w:val="single" w:color="auto" w:sz="4" w:space="0"/>
              <w:right w:val="single" w:color="auto" w:sz="4" w:space="0"/>
            </w:tcBorders>
            <w:vAlign w:val="center"/>
          </w:tcPr>
          <w:p w14:paraId="5098672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集成块,128X8 70NS DIP32</w:t>
            </w:r>
          </w:p>
        </w:tc>
        <w:tc>
          <w:tcPr>
            <w:tcW w:w="592" w:type="pct"/>
            <w:tcBorders>
              <w:top w:val="nil"/>
              <w:left w:val="nil"/>
              <w:bottom w:val="single" w:color="auto" w:sz="4" w:space="0"/>
              <w:right w:val="single" w:color="auto" w:sz="4" w:space="0"/>
            </w:tcBorders>
            <w:vAlign w:val="center"/>
          </w:tcPr>
          <w:p w14:paraId="01B91D5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7CBE28C4">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04627A8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95</w:t>
            </w:r>
          </w:p>
        </w:tc>
        <w:tc>
          <w:tcPr>
            <w:tcW w:w="1420" w:type="pct"/>
            <w:tcBorders>
              <w:top w:val="nil"/>
              <w:left w:val="nil"/>
              <w:bottom w:val="single" w:color="auto" w:sz="4" w:space="0"/>
              <w:right w:val="single" w:color="auto" w:sz="4" w:space="0"/>
            </w:tcBorders>
            <w:vAlign w:val="center"/>
          </w:tcPr>
          <w:p w14:paraId="51027FC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辅助触点，LA1KN22</w:t>
            </w:r>
          </w:p>
        </w:tc>
        <w:tc>
          <w:tcPr>
            <w:tcW w:w="578" w:type="pct"/>
            <w:tcBorders>
              <w:top w:val="nil"/>
              <w:left w:val="nil"/>
              <w:bottom w:val="single" w:color="auto" w:sz="4" w:space="0"/>
              <w:right w:val="single" w:color="auto" w:sz="4" w:space="0"/>
            </w:tcBorders>
            <w:vAlign w:val="center"/>
          </w:tcPr>
          <w:p w14:paraId="67EDCC9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28CF878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249</w:t>
            </w:r>
          </w:p>
        </w:tc>
        <w:tc>
          <w:tcPr>
            <w:tcW w:w="1587" w:type="pct"/>
            <w:tcBorders>
              <w:top w:val="nil"/>
              <w:left w:val="nil"/>
              <w:bottom w:val="single" w:color="auto" w:sz="4" w:space="0"/>
              <w:right w:val="single" w:color="auto" w:sz="4" w:space="0"/>
            </w:tcBorders>
            <w:vAlign w:val="center"/>
          </w:tcPr>
          <w:p w14:paraId="3C8E9CA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厅门门轮,锁在右侧</w:t>
            </w:r>
          </w:p>
        </w:tc>
        <w:tc>
          <w:tcPr>
            <w:tcW w:w="592" w:type="pct"/>
            <w:tcBorders>
              <w:top w:val="nil"/>
              <w:left w:val="nil"/>
              <w:bottom w:val="single" w:color="auto" w:sz="4" w:space="0"/>
              <w:right w:val="single" w:color="auto" w:sz="4" w:space="0"/>
            </w:tcBorders>
            <w:vAlign w:val="center"/>
          </w:tcPr>
          <w:p w14:paraId="461DB53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5927C47D">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262ED7F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96</w:t>
            </w:r>
          </w:p>
        </w:tc>
        <w:tc>
          <w:tcPr>
            <w:tcW w:w="1420" w:type="pct"/>
            <w:tcBorders>
              <w:top w:val="nil"/>
              <w:left w:val="nil"/>
              <w:bottom w:val="single" w:color="auto" w:sz="4" w:space="0"/>
              <w:right w:val="single" w:color="auto" w:sz="4" w:space="0"/>
            </w:tcBorders>
            <w:vAlign w:val="center"/>
          </w:tcPr>
          <w:p w14:paraId="6E202D2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感应开关连接线</w:t>
            </w:r>
          </w:p>
        </w:tc>
        <w:tc>
          <w:tcPr>
            <w:tcW w:w="578" w:type="pct"/>
            <w:tcBorders>
              <w:top w:val="nil"/>
              <w:left w:val="nil"/>
              <w:bottom w:val="single" w:color="auto" w:sz="4" w:space="0"/>
              <w:right w:val="single" w:color="auto" w:sz="4" w:space="0"/>
            </w:tcBorders>
            <w:vAlign w:val="center"/>
          </w:tcPr>
          <w:p w14:paraId="6371AFE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1B76E0C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250</w:t>
            </w:r>
          </w:p>
        </w:tc>
        <w:tc>
          <w:tcPr>
            <w:tcW w:w="1587" w:type="pct"/>
            <w:tcBorders>
              <w:top w:val="nil"/>
              <w:left w:val="nil"/>
              <w:bottom w:val="single" w:color="auto" w:sz="4" w:space="0"/>
              <w:right w:val="single" w:color="auto" w:sz="4" w:space="0"/>
            </w:tcBorders>
            <w:vAlign w:val="center"/>
          </w:tcPr>
          <w:p w14:paraId="3A9914C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A-L厅门联动钢丝绳</w:t>
            </w:r>
          </w:p>
        </w:tc>
        <w:tc>
          <w:tcPr>
            <w:tcW w:w="592" w:type="pct"/>
            <w:tcBorders>
              <w:top w:val="nil"/>
              <w:left w:val="nil"/>
              <w:bottom w:val="single" w:color="auto" w:sz="4" w:space="0"/>
              <w:right w:val="single" w:color="auto" w:sz="4" w:space="0"/>
            </w:tcBorders>
            <w:vAlign w:val="center"/>
          </w:tcPr>
          <w:p w14:paraId="1DBF90E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124CD3F3">
        <w:tblPrEx>
          <w:tblCellMar>
            <w:top w:w="0" w:type="dxa"/>
            <w:left w:w="108" w:type="dxa"/>
            <w:bottom w:w="0" w:type="dxa"/>
            <w:right w:w="108" w:type="dxa"/>
          </w:tblCellMar>
        </w:tblPrEx>
        <w:trPr>
          <w:trHeight w:val="480" w:hRule="atLeast"/>
        </w:trPr>
        <w:tc>
          <w:tcPr>
            <w:tcW w:w="400" w:type="pct"/>
            <w:tcBorders>
              <w:top w:val="nil"/>
              <w:left w:val="single" w:color="auto" w:sz="4" w:space="0"/>
              <w:bottom w:val="single" w:color="auto" w:sz="4" w:space="0"/>
              <w:right w:val="single" w:color="auto" w:sz="4" w:space="0"/>
            </w:tcBorders>
            <w:vAlign w:val="center"/>
          </w:tcPr>
          <w:p w14:paraId="65A9DAE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97</w:t>
            </w:r>
          </w:p>
        </w:tc>
        <w:tc>
          <w:tcPr>
            <w:tcW w:w="1420" w:type="pct"/>
            <w:tcBorders>
              <w:top w:val="nil"/>
              <w:left w:val="nil"/>
              <w:bottom w:val="single" w:color="auto" w:sz="4" w:space="0"/>
              <w:right w:val="single" w:color="auto" w:sz="4" w:space="0"/>
            </w:tcBorders>
            <w:vAlign w:val="center"/>
          </w:tcPr>
          <w:p w14:paraId="4040CF6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SLG8靴衬，导轨宽度16.4mm</w:t>
            </w:r>
          </w:p>
        </w:tc>
        <w:tc>
          <w:tcPr>
            <w:tcW w:w="578" w:type="pct"/>
            <w:tcBorders>
              <w:top w:val="nil"/>
              <w:left w:val="nil"/>
              <w:bottom w:val="single" w:color="auto" w:sz="4" w:space="0"/>
              <w:right w:val="single" w:color="auto" w:sz="4" w:space="0"/>
            </w:tcBorders>
            <w:vAlign w:val="center"/>
          </w:tcPr>
          <w:p w14:paraId="11616E5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61D219B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251</w:t>
            </w:r>
          </w:p>
        </w:tc>
        <w:tc>
          <w:tcPr>
            <w:tcW w:w="1587" w:type="pct"/>
            <w:tcBorders>
              <w:top w:val="nil"/>
              <w:left w:val="nil"/>
              <w:bottom w:val="single" w:color="auto" w:sz="4" w:space="0"/>
              <w:right w:val="single" w:color="auto" w:sz="4" w:space="0"/>
            </w:tcBorders>
            <w:vAlign w:val="center"/>
          </w:tcPr>
          <w:p w14:paraId="5430E70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国产聚氨酯缓冲器HHP8113 (650-3500Kg)</w:t>
            </w:r>
          </w:p>
        </w:tc>
        <w:tc>
          <w:tcPr>
            <w:tcW w:w="592" w:type="pct"/>
            <w:tcBorders>
              <w:top w:val="nil"/>
              <w:left w:val="nil"/>
              <w:bottom w:val="single" w:color="auto" w:sz="4" w:space="0"/>
              <w:right w:val="single" w:color="auto" w:sz="4" w:space="0"/>
            </w:tcBorders>
            <w:vAlign w:val="center"/>
          </w:tcPr>
          <w:p w14:paraId="731BF32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37908DD1">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286BD99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98</w:t>
            </w:r>
          </w:p>
        </w:tc>
        <w:tc>
          <w:tcPr>
            <w:tcW w:w="1420" w:type="pct"/>
            <w:tcBorders>
              <w:top w:val="nil"/>
              <w:left w:val="nil"/>
              <w:bottom w:val="single" w:color="auto" w:sz="4" w:space="0"/>
              <w:right w:val="single" w:color="auto" w:sz="4" w:space="0"/>
            </w:tcBorders>
            <w:vAlign w:val="center"/>
          </w:tcPr>
          <w:p w14:paraId="4C870DD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CR600-NZ限位开关</w:t>
            </w:r>
          </w:p>
        </w:tc>
        <w:tc>
          <w:tcPr>
            <w:tcW w:w="578" w:type="pct"/>
            <w:tcBorders>
              <w:top w:val="nil"/>
              <w:left w:val="nil"/>
              <w:bottom w:val="single" w:color="auto" w:sz="4" w:space="0"/>
              <w:right w:val="single" w:color="auto" w:sz="4" w:space="0"/>
            </w:tcBorders>
            <w:vAlign w:val="center"/>
          </w:tcPr>
          <w:p w14:paraId="742A830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1DF0F3B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252</w:t>
            </w:r>
          </w:p>
        </w:tc>
        <w:tc>
          <w:tcPr>
            <w:tcW w:w="1587" w:type="pct"/>
            <w:tcBorders>
              <w:top w:val="nil"/>
              <w:left w:val="nil"/>
              <w:bottom w:val="single" w:color="auto" w:sz="4" w:space="0"/>
              <w:right w:val="single" w:color="auto" w:sz="4" w:space="0"/>
            </w:tcBorders>
            <w:vAlign w:val="center"/>
          </w:tcPr>
          <w:p w14:paraId="3FC377F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辅助触头 LA1-DN22C</w:t>
            </w:r>
          </w:p>
        </w:tc>
        <w:tc>
          <w:tcPr>
            <w:tcW w:w="592" w:type="pct"/>
            <w:tcBorders>
              <w:top w:val="nil"/>
              <w:left w:val="nil"/>
              <w:bottom w:val="single" w:color="auto" w:sz="4" w:space="0"/>
              <w:right w:val="single" w:color="auto" w:sz="4" w:space="0"/>
            </w:tcBorders>
            <w:vAlign w:val="center"/>
          </w:tcPr>
          <w:p w14:paraId="48DF3F6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5B25A6B3">
        <w:trPr>
          <w:trHeight w:val="276" w:hRule="atLeast"/>
        </w:trPr>
        <w:tc>
          <w:tcPr>
            <w:tcW w:w="400" w:type="pct"/>
            <w:tcBorders>
              <w:top w:val="nil"/>
              <w:left w:val="single" w:color="auto" w:sz="4" w:space="0"/>
              <w:bottom w:val="single" w:color="auto" w:sz="4" w:space="0"/>
              <w:right w:val="single" w:color="auto" w:sz="4" w:space="0"/>
            </w:tcBorders>
            <w:vAlign w:val="center"/>
          </w:tcPr>
          <w:p w14:paraId="3F9D494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99</w:t>
            </w:r>
          </w:p>
        </w:tc>
        <w:tc>
          <w:tcPr>
            <w:tcW w:w="1420" w:type="pct"/>
            <w:tcBorders>
              <w:top w:val="nil"/>
              <w:left w:val="nil"/>
              <w:bottom w:val="single" w:color="auto" w:sz="4" w:space="0"/>
              <w:right w:val="single" w:color="auto" w:sz="4" w:space="0"/>
            </w:tcBorders>
            <w:vAlign w:val="center"/>
          </w:tcPr>
          <w:p w14:paraId="1010945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接触器 CA-2KN40P7</w:t>
            </w:r>
          </w:p>
        </w:tc>
        <w:tc>
          <w:tcPr>
            <w:tcW w:w="578" w:type="pct"/>
            <w:tcBorders>
              <w:top w:val="nil"/>
              <w:left w:val="nil"/>
              <w:bottom w:val="single" w:color="auto" w:sz="4" w:space="0"/>
              <w:right w:val="single" w:color="auto" w:sz="4" w:space="0"/>
            </w:tcBorders>
            <w:vAlign w:val="center"/>
          </w:tcPr>
          <w:p w14:paraId="671790E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0E1E590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253</w:t>
            </w:r>
          </w:p>
        </w:tc>
        <w:tc>
          <w:tcPr>
            <w:tcW w:w="1587" w:type="pct"/>
            <w:tcBorders>
              <w:top w:val="nil"/>
              <w:left w:val="nil"/>
              <w:bottom w:val="single" w:color="auto" w:sz="4" w:space="0"/>
              <w:right w:val="single" w:color="auto" w:sz="4" w:space="0"/>
            </w:tcBorders>
            <w:vAlign w:val="center"/>
          </w:tcPr>
          <w:p w14:paraId="3D49AE4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接触器辅助触点，1NO+1NC</w:t>
            </w:r>
          </w:p>
        </w:tc>
        <w:tc>
          <w:tcPr>
            <w:tcW w:w="592" w:type="pct"/>
            <w:tcBorders>
              <w:top w:val="nil"/>
              <w:left w:val="nil"/>
              <w:bottom w:val="single" w:color="auto" w:sz="4" w:space="0"/>
              <w:right w:val="single" w:color="auto" w:sz="4" w:space="0"/>
            </w:tcBorders>
            <w:vAlign w:val="center"/>
          </w:tcPr>
          <w:p w14:paraId="4EB043C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559C8054">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4E7906B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100</w:t>
            </w:r>
          </w:p>
        </w:tc>
        <w:tc>
          <w:tcPr>
            <w:tcW w:w="1420" w:type="pct"/>
            <w:tcBorders>
              <w:top w:val="nil"/>
              <w:left w:val="nil"/>
              <w:bottom w:val="single" w:color="auto" w:sz="4" w:space="0"/>
              <w:right w:val="single" w:color="auto" w:sz="4" w:space="0"/>
            </w:tcBorders>
            <w:vAlign w:val="center"/>
          </w:tcPr>
          <w:p w14:paraId="140313E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同步钢丝绳,L=5005</w:t>
            </w:r>
          </w:p>
        </w:tc>
        <w:tc>
          <w:tcPr>
            <w:tcW w:w="578" w:type="pct"/>
            <w:tcBorders>
              <w:top w:val="nil"/>
              <w:left w:val="nil"/>
              <w:bottom w:val="single" w:color="auto" w:sz="4" w:space="0"/>
              <w:right w:val="single" w:color="auto" w:sz="4" w:space="0"/>
            </w:tcBorders>
            <w:vAlign w:val="center"/>
          </w:tcPr>
          <w:p w14:paraId="551EC5E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189B11F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254</w:t>
            </w:r>
          </w:p>
        </w:tc>
        <w:tc>
          <w:tcPr>
            <w:tcW w:w="1587" w:type="pct"/>
            <w:tcBorders>
              <w:top w:val="nil"/>
              <w:left w:val="nil"/>
              <w:bottom w:val="single" w:color="auto" w:sz="4" w:space="0"/>
              <w:right w:val="single" w:color="auto" w:sz="4" w:space="0"/>
            </w:tcBorders>
            <w:vAlign w:val="center"/>
          </w:tcPr>
          <w:p w14:paraId="100D5C3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应急照明维修包，EN81-20,L=3000</w:t>
            </w:r>
          </w:p>
        </w:tc>
        <w:tc>
          <w:tcPr>
            <w:tcW w:w="592" w:type="pct"/>
            <w:tcBorders>
              <w:top w:val="nil"/>
              <w:left w:val="nil"/>
              <w:bottom w:val="single" w:color="auto" w:sz="4" w:space="0"/>
              <w:right w:val="single" w:color="auto" w:sz="4" w:space="0"/>
            </w:tcBorders>
            <w:vAlign w:val="center"/>
          </w:tcPr>
          <w:p w14:paraId="6B9887B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60088B41">
        <w:tblPrEx>
          <w:tblCellMar>
            <w:top w:w="0" w:type="dxa"/>
            <w:left w:w="108" w:type="dxa"/>
            <w:bottom w:w="0" w:type="dxa"/>
            <w:right w:w="108" w:type="dxa"/>
          </w:tblCellMar>
        </w:tblPrEx>
        <w:trPr>
          <w:trHeight w:val="480" w:hRule="atLeast"/>
        </w:trPr>
        <w:tc>
          <w:tcPr>
            <w:tcW w:w="400" w:type="pct"/>
            <w:tcBorders>
              <w:top w:val="nil"/>
              <w:left w:val="single" w:color="auto" w:sz="4" w:space="0"/>
              <w:bottom w:val="single" w:color="auto" w:sz="4" w:space="0"/>
              <w:right w:val="single" w:color="auto" w:sz="4" w:space="0"/>
            </w:tcBorders>
            <w:vAlign w:val="center"/>
          </w:tcPr>
          <w:p w14:paraId="6FF3FD8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101</w:t>
            </w:r>
          </w:p>
        </w:tc>
        <w:tc>
          <w:tcPr>
            <w:tcW w:w="1420" w:type="pct"/>
            <w:tcBorders>
              <w:top w:val="nil"/>
              <w:left w:val="nil"/>
              <w:bottom w:val="single" w:color="auto" w:sz="4" w:space="0"/>
              <w:right w:val="single" w:color="auto" w:sz="4" w:space="0"/>
            </w:tcBorders>
            <w:vAlign w:val="center"/>
          </w:tcPr>
          <w:p w14:paraId="7E528DF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轴承 D50/90MM W=20MM 6210 2RS1</w:t>
            </w:r>
          </w:p>
        </w:tc>
        <w:tc>
          <w:tcPr>
            <w:tcW w:w="578" w:type="pct"/>
            <w:tcBorders>
              <w:top w:val="nil"/>
              <w:left w:val="nil"/>
              <w:bottom w:val="single" w:color="auto" w:sz="4" w:space="0"/>
              <w:right w:val="single" w:color="auto" w:sz="4" w:space="0"/>
            </w:tcBorders>
            <w:vAlign w:val="center"/>
          </w:tcPr>
          <w:p w14:paraId="401D403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3D35E8E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255</w:t>
            </w:r>
          </w:p>
        </w:tc>
        <w:tc>
          <w:tcPr>
            <w:tcW w:w="1587" w:type="pct"/>
            <w:tcBorders>
              <w:top w:val="nil"/>
              <w:left w:val="nil"/>
              <w:bottom w:val="single" w:color="auto" w:sz="4" w:space="0"/>
              <w:right w:val="single" w:color="auto" w:sz="4" w:space="0"/>
            </w:tcBorders>
            <w:vAlign w:val="center"/>
          </w:tcPr>
          <w:p w14:paraId="5833EA9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KDS300红光点阵楼层显示板</w:t>
            </w:r>
          </w:p>
        </w:tc>
        <w:tc>
          <w:tcPr>
            <w:tcW w:w="592" w:type="pct"/>
            <w:tcBorders>
              <w:top w:val="nil"/>
              <w:left w:val="nil"/>
              <w:bottom w:val="single" w:color="auto" w:sz="4" w:space="0"/>
              <w:right w:val="single" w:color="auto" w:sz="4" w:space="0"/>
            </w:tcBorders>
            <w:vAlign w:val="center"/>
          </w:tcPr>
          <w:p w14:paraId="5ABB571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50E1C1DC">
        <w:tblPrEx>
          <w:tblCellMar>
            <w:top w:w="0" w:type="dxa"/>
            <w:left w:w="108" w:type="dxa"/>
            <w:bottom w:w="0" w:type="dxa"/>
            <w:right w:w="108" w:type="dxa"/>
          </w:tblCellMar>
        </w:tblPrEx>
        <w:trPr>
          <w:trHeight w:val="480" w:hRule="atLeast"/>
        </w:trPr>
        <w:tc>
          <w:tcPr>
            <w:tcW w:w="400" w:type="pct"/>
            <w:tcBorders>
              <w:top w:val="nil"/>
              <w:left w:val="single" w:color="auto" w:sz="4" w:space="0"/>
              <w:bottom w:val="single" w:color="auto" w:sz="4" w:space="0"/>
              <w:right w:val="single" w:color="auto" w:sz="4" w:space="0"/>
            </w:tcBorders>
            <w:vAlign w:val="center"/>
          </w:tcPr>
          <w:p w14:paraId="42D3398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102</w:t>
            </w:r>
          </w:p>
        </w:tc>
        <w:tc>
          <w:tcPr>
            <w:tcW w:w="1420" w:type="pct"/>
            <w:tcBorders>
              <w:top w:val="nil"/>
              <w:left w:val="nil"/>
              <w:bottom w:val="single" w:color="auto" w:sz="4" w:space="0"/>
              <w:right w:val="single" w:color="auto" w:sz="4" w:space="0"/>
            </w:tcBorders>
            <w:vAlign w:val="center"/>
          </w:tcPr>
          <w:p w14:paraId="3C52754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新版KDS50单显外呼液晶显示板，蓝底</w:t>
            </w:r>
          </w:p>
        </w:tc>
        <w:tc>
          <w:tcPr>
            <w:tcW w:w="578" w:type="pct"/>
            <w:tcBorders>
              <w:top w:val="nil"/>
              <w:left w:val="nil"/>
              <w:bottom w:val="single" w:color="auto" w:sz="4" w:space="0"/>
              <w:right w:val="single" w:color="auto" w:sz="4" w:space="0"/>
            </w:tcBorders>
            <w:vAlign w:val="center"/>
          </w:tcPr>
          <w:p w14:paraId="426A66C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06F5EAC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256</w:t>
            </w:r>
          </w:p>
        </w:tc>
        <w:tc>
          <w:tcPr>
            <w:tcW w:w="1587" w:type="pct"/>
            <w:tcBorders>
              <w:top w:val="nil"/>
              <w:left w:val="nil"/>
              <w:bottom w:val="single" w:color="auto" w:sz="4" w:space="0"/>
              <w:right w:val="single" w:color="auto" w:sz="4" w:space="0"/>
            </w:tcBorders>
            <w:vAlign w:val="center"/>
          </w:tcPr>
          <w:p w14:paraId="233C081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LCECOB板</w:t>
            </w:r>
          </w:p>
        </w:tc>
        <w:tc>
          <w:tcPr>
            <w:tcW w:w="592" w:type="pct"/>
            <w:tcBorders>
              <w:top w:val="nil"/>
              <w:left w:val="nil"/>
              <w:bottom w:val="single" w:color="auto" w:sz="4" w:space="0"/>
              <w:right w:val="single" w:color="auto" w:sz="4" w:space="0"/>
            </w:tcBorders>
            <w:vAlign w:val="center"/>
          </w:tcPr>
          <w:p w14:paraId="510F3E9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3464B557">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7FD6F0E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103</w:t>
            </w:r>
          </w:p>
        </w:tc>
        <w:tc>
          <w:tcPr>
            <w:tcW w:w="1420" w:type="pct"/>
            <w:tcBorders>
              <w:top w:val="nil"/>
              <w:left w:val="nil"/>
              <w:bottom w:val="single" w:color="auto" w:sz="4" w:space="0"/>
              <w:right w:val="single" w:color="auto" w:sz="4" w:space="0"/>
            </w:tcBorders>
            <w:vAlign w:val="center"/>
          </w:tcPr>
          <w:p w14:paraId="73E5DCC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按钮片 上</w:t>
            </w:r>
          </w:p>
        </w:tc>
        <w:tc>
          <w:tcPr>
            <w:tcW w:w="578" w:type="pct"/>
            <w:tcBorders>
              <w:top w:val="nil"/>
              <w:left w:val="nil"/>
              <w:bottom w:val="single" w:color="auto" w:sz="4" w:space="0"/>
              <w:right w:val="single" w:color="auto" w:sz="4" w:space="0"/>
            </w:tcBorders>
            <w:vAlign w:val="center"/>
          </w:tcPr>
          <w:p w14:paraId="5452F9E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0E49333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257</w:t>
            </w:r>
          </w:p>
        </w:tc>
        <w:tc>
          <w:tcPr>
            <w:tcW w:w="1587" w:type="pct"/>
            <w:tcBorders>
              <w:top w:val="nil"/>
              <w:left w:val="nil"/>
              <w:bottom w:val="single" w:color="auto" w:sz="4" w:space="0"/>
              <w:right w:val="single" w:color="auto" w:sz="4" w:space="0"/>
            </w:tcBorders>
            <w:vAlign w:val="center"/>
          </w:tcPr>
          <w:p w14:paraId="293F605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549 LED灯管</w:t>
            </w:r>
          </w:p>
        </w:tc>
        <w:tc>
          <w:tcPr>
            <w:tcW w:w="592" w:type="pct"/>
            <w:tcBorders>
              <w:top w:val="nil"/>
              <w:left w:val="nil"/>
              <w:bottom w:val="single" w:color="auto" w:sz="4" w:space="0"/>
              <w:right w:val="single" w:color="auto" w:sz="4" w:space="0"/>
            </w:tcBorders>
            <w:vAlign w:val="center"/>
          </w:tcPr>
          <w:p w14:paraId="7F6081E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0140B15B">
        <w:tblPrEx>
          <w:tblCellMar>
            <w:top w:w="0" w:type="dxa"/>
            <w:left w:w="108" w:type="dxa"/>
            <w:bottom w:w="0" w:type="dxa"/>
            <w:right w:w="108" w:type="dxa"/>
          </w:tblCellMar>
        </w:tblPrEx>
        <w:trPr>
          <w:trHeight w:val="480" w:hRule="atLeast"/>
        </w:trPr>
        <w:tc>
          <w:tcPr>
            <w:tcW w:w="400" w:type="pct"/>
            <w:tcBorders>
              <w:top w:val="nil"/>
              <w:left w:val="single" w:color="auto" w:sz="4" w:space="0"/>
              <w:bottom w:val="single" w:color="auto" w:sz="4" w:space="0"/>
              <w:right w:val="single" w:color="auto" w:sz="4" w:space="0"/>
            </w:tcBorders>
            <w:vAlign w:val="center"/>
          </w:tcPr>
          <w:p w14:paraId="168DA17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104</w:t>
            </w:r>
          </w:p>
        </w:tc>
        <w:tc>
          <w:tcPr>
            <w:tcW w:w="1420" w:type="pct"/>
            <w:tcBorders>
              <w:top w:val="nil"/>
              <w:left w:val="nil"/>
              <w:bottom w:val="single" w:color="auto" w:sz="4" w:space="0"/>
              <w:right w:val="single" w:color="auto" w:sz="4" w:space="0"/>
            </w:tcBorders>
            <w:vAlign w:val="center"/>
          </w:tcPr>
          <w:p w14:paraId="5277804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KDS外呼点阵显示板，红光</w:t>
            </w:r>
          </w:p>
        </w:tc>
        <w:tc>
          <w:tcPr>
            <w:tcW w:w="578" w:type="pct"/>
            <w:tcBorders>
              <w:top w:val="nil"/>
              <w:left w:val="nil"/>
              <w:bottom w:val="single" w:color="auto" w:sz="4" w:space="0"/>
              <w:right w:val="single" w:color="auto" w:sz="4" w:space="0"/>
            </w:tcBorders>
            <w:vAlign w:val="center"/>
          </w:tcPr>
          <w:p w14:paraId="4D8048C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4D73F9B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258</w:t>
            </w:r>
          </w:p>
        </w:tc>
        <w:tc>
          <w:tcPr>
            <w:tcW w:w="1587" w:type="pct"/>
            <w:tcBorders>
              <w:top w:val="nil"/>
              <w:left w:val="nil"/>
              <w:bottom w:val="single" w:color="auto" w:sz="4" w:space="0"/>
              <w:right w:val="single" w:color="auto" w:sz="4" w:space="0"/>
            </w:tcBorders>
            <w:vAlign w:val="center"/>
          </w:tcPr>
          <w:p w14:paraId="753FC70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国产聚氨酯缓冲器HP8111-400, 250-1500KG</w:t>
            </w:r>
          </w:p>
        </w:tc>
        <w:tc>
          <w:tcPr>
            <w:tcW w:w="592" w:type="pct"/>
            <w:tcBorders>
              <w:top w:val="nil"/>
              <w:left w:val="nil"/>
              <w:bottom w:val="single" w:color="auto" w:sz="4" w:space="0"/>
              <w:right w:val="single" w:color="auto" w:sz="4" w:space="0"/>
            </w:tcBorders>
            <w:vAlign w:val="center"/>
          </w:tcPr>
          <w:p w14:paraId="2AC2764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206631B4">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29E0939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105</w:t>
            </w:r>
          </w:p>
        </w:tc>
        <w:tc>
          <w:tcPr>
            <w:tcW w:w="1420" w:type="pct"/>
            <w:tcBorders>
              <w:top w:val="nil"/>
              <w:left w:val="nil"/>
              <w:bottom w:val="single" w:color="auto" w:sz="4" w:space="0"/>
              <w:right w:val="single" w:color="auto" w:sz="4" w:space="0"/>
            </w:tcBorders>
            <w:vAlign w:val="center"/>
          </w:tcPr>
          <w:p w14:paraId="278A4BF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LCEFCB板</w:t>
            </w:r>
          </w:p>
        </w:tc>
        <w:tc>
          <w:tcPr>
            <w:tcW w:w="578" w:type="pct"/>
            <w:tcBorders>
              <w:top w:val="nil"/>
              <w:left w:val="nil"/>
              <w:bottom w:val="single" w:color="auto" w:sz="4" w:space="0"/>
              <w:right w:val="single" w:color="auto" w:sz="4" w:space="0"/>
            </w:tcBorders>
            <w:vAlign w:val="center"/>
          </w:tcPr>
          <w:p w14:paraId="7F92093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2078F63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259</w:t>
            </w:r>
          </w:p>
        </w:tc>
        <w:tc>
          <w:tcPr>
            <w:tcW w:w="1587" w:type="pct"/>
            <w:tcBorders>
              <w:top w:val="nil"/>
              <w:left w:val="nil"/>
              <w:bottom w:val="single" w:color="auto" w:sz="4" w:space="0"/>
              <w:right w:val="single" w:color="auto" w:sz="4" w:space="0"/>
            </w:tcBorders>
            <w:vAlign w:val="center"/>
          </w:tcPr>
          <w:p w14:paraId="5B8B3D4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电源模块 HF150W-SDR-26</w:t>
            </w:r>
          </w:p>
        </w:tc>
        <w:tc>
          <w:tcPr>
            <w:tcW w:w="592" w:type="pct"/>
            <w:tcBorders>
              <w:top w:val="nil"/>
              <w:left w:val="nil"/>
              <w:bottom w:val="single" w:color="auto" w:sz="4" w:space="0"/>
              <w:right w:val="single" w:color="auto" w:sz="4" w:space="0"/>
            </w:tcBorders>
            <w:vAlign w:val="center"/>
          </w:tcPr>
          <w:p w14:paraId="07BAB2B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25C4C5C2">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0B8D947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106</w:t>
            </w:r>
          </w:p>
        </w:tc>
        <w:tc>
          <w:tcPr>
            <w:tcW w:w="1420" w:type="pct"/>
            <w:tcBorders>
              <w:top w:val="nil"/>
              <w:left w:val="nil"/>
              <w:bottom w:val="single" w:color="auto" w:sz="4" w:space="0"/>
              <w:right w:val="single" w:color="auto" w:sz="4" w:space="0"/>
            </w:tcBorders>
            <w:vAlign w:val="center"/>
          </w:tcPr>
          <w:p w14:paraId="51857D6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轴承 6201-2Z</w:t>
            </w:r>
          </w:p>
        </w:tc>
        <w:tc>
          <w:tcPr>
            <w:tcW w:w="578" w:type="pct"/>
            <w:tcBorders>
              <w:top w:val="nil"/>
              <w:left w:val="nil"/>
              <w:bottom w:val="single" w:color="auto" w:sz="4" w:space="0"/>
              <w:right w:val="single" w:color="auto" w:sz="4" w:space="0"/>
            </w:tcBorders>
            <w:vAlign w:val="center"/>
          </w:tcPr>
          <w:p w14:paraId="0928F95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03F344E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260</w:t>
            </w:r>
          </w:p>
        </w:tc>
        <w:tc>
          <w:tcPr>
            <w:tcW w:w="1587" w:type="pct"/>
            <w:tcBorders>
              <w:top w:val="nil"/>
              <w:left w:val="nil"/>
              <w:bottom w:val="single" w:color="auto" w:sz="4" w:space="0"/>
              <w:right w:val="single" w:color="auto" w:sz="4" w:space="0"/>
            </w:tcBorders>
            <w:vAlign w:val="center"/>
          </w:tcPr>
          <w:p w14:paraId="26A7C6E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M型外呼按钮电子板</w:t>
            </w:r>
          </w:p>
        </w:tc>
        <w:tc>
          <w:tcPr>
            <w:tcW w:w="592" w:type="pct"/>
            <w:tcBorders>
              <w:top w:val="nil"/>
              <w:left w:val="nil"/>
              <w:bottom w:val="single" w:color="auto" w:sz="4" w:space="0"/>
              <w:right w:val="single" w:color="auto" w:sz="4" w:space="0"/>
            </w:tcBorders>
            <w:vAlign w:val="center"/>
          </w:tcPr>
          <w:p w14:paraId="0D87975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4BB30EFA">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08E37A5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107</w:t>
            </w:r>
          </w:p>
        </w:tc>
        <w:tc>
          <w:tcPr>
            <w:tcW w:w="1420" w:type="pct"/>
            <w:tcBorders>
              <w:top w:val="nil"/>
              <w:left w:val="nil"/>
              <w:bottom w:val="single" w:color="auto" w:sz="4" w:space="0"/>
              <w:right w:val="single" w:color="auto" w:sz="4" w:space="0"/>
            </w:tcBorders>
            <w:vAlign w:val="center"/>
          </w:tcPr>
          <w:p w14:paraId="19D8634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强迫关门弹簧L580</w:t>
            </w:r>
          </w:p>
        </w:tc>
        <w:tc>
          <w:tcPr>
            <w:tcW w:w="578" w:type="pct"/>
            <w:tcBorders>
              <w:top w:val="nil"/>
              <w:left w:val="nil"/>
              <w:bottom w:val="single" w:color="auto" w:sz="4" w:space="0"/>
              <w:right w:val="single" w:color="auto" w:sz="4" w:space="0"/>
            </w:tcBorders>
            <w:vAlign w:val="center"/>
          </w:tcPr>
          <w:p w14:paraId="1D6532D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4E5C6E1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261</w:t>
            </w:r>
          </w:p>
        </w:tc>
        <w:tc>
          <w:tcPr>
            <w:tcW w:w="1587" w:type="pct"/>
            <w:tcBorders>
              <w:top w:val="nil"/>
              <w:left w:val="nil"/>
              <w:bottom w:val="single" w:color="auto" w:sz="4" w:space="0"/>
              <w:right w:val="single" w:color="auto" w:sz="4" w:space="0"/>
            </w:tcBorders>
            <w:vAlign w:val="center"/>
          </w:tcPr>
          <w:p w14:paraId="4AF78E1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NBSL中分厅门同步绳轮</w:t>
            </w:r>
          </w:p>
        </w:tc>
        <w:tc>
          <w:tcPr>
            <w:tcW w:w="592" w:type="pct"/>
            <w:tcBorders>
              <w:top w:val="nil"/>
              <w:left w:val="nil"/>
              <w:bottom w:val="single" w:color="auto" w:sz="4" w:space="0"/>
              <w:right w:val="single" w:color="auto" w:sz="4" w:space="0"/>
            </w:tcBorders>
            <w:vAlign w:val="center"/>
          </w:tcPr>
          <w:p w14:paraId="161200B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143E3035">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2F526F2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108</w:t>
            </w:r>
          </w:p>
        </w:tc>
        <w:tc>
          <w:tcPr>
            <w:tcW w:w="1420" w:type="pct"/>
            <w:tcBorders>
              <w:top w:val="nil"/>
              <w:left w:val="nil"/>
              <w:bottom w:val="single" w:color="auto" w:sz="4" w:space="0"/>
              <w:right w:val="single" w:color="auto" w:sz="4" w:space="0"/>
            </w:tcBorders>
            <w:vAlign w:val="center"/>
          </w:tcPr>
          <w:p w14:paraId="087E047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SLG21导靴，导轨宽度16mm</w:t>
            </w:r>
          </w:p>
        </w:tc>
        <w:tc>
          <w:tcPr>
            <w:tcW w:w="578" w:type="pct"/>
            <w:tcBorders>
              <w:top w:val="nil"/>
              <w:left w:val="nil"/>
              <w:bottom w:val="single" w:color="auto" w:sz="4" w:space="0"/>
              <w:right w:val="single" w:color="auto" w:sz="4" w:space="0"/>
            </w:tcBorders>
            <w:vAlign w:val="center"/>
          </w:tcPr>
          <w:p w14:paraId="657DAA3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20F7ABD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262</w:t>
            </w:r>
          </w:p>
        </w:tc>
        <w:tc>
          <w:tcPr>
            <w:tcW w:w="1587" w:type="pct"/>
            <w:tcBorders>
              <w:top w:val="nil"/>
              <w:left w:val="nil"/>
              <w:bottom w:val="single" w:color="auto" w:sz="4" w:space="0"/>
              <w:right w:val="single" w:color="auto" w:sz="4" w:space="0"/>
            </w:tcBorders>
            <w:vAlign w:val="center"/>
          </w:tcPr>
          <w:p w14:paraId="58872E5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COP 按键开关集合 ATS(CN)</w:t>
            </w:r>
          </w:p>
        </w:tc>
        <w:tc>
          <w:tcPr>
            <w:tcW w:w="592" w:type="pct"/>
            <w:tcBorders>
              <w:top w:val="nil"/>
              <w:left w:val="nil"/>
              <w:bottom w:val="single" w:color="auto" w:sz="4" w:space="0"/>
              <w:right w:val="single" w:color="auto" w:sz="4" w:space="0"/>
            </w:tcBorders>
            <w:vAlign w:val="center"/>
          </w:tcPr>
          <w:p w14:paraId="550AA3E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13967E34">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30CC149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109</w:t>
            </w:r>
          </w:p>
        </w:tc>
        <w:tc>
          <w:tcPr>
            <w:tcW w:w="1420" w:type="pct"/>
            <w:tcBorders>
              <w:top w:val="nil"/>
              <w:left w:val="nil"/>
              <w:bottom w:val="single" w:color="auto" w:sz="4" w:space="0"/>
              <w:right w:val="single" w:color="auto" w:sz="4" w:space="0"/>
            </w:tcBorders>
            <w:vAlign w:val="center"/>
          </w:tcPr>
          <w:p w14:paraId="203E5BD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按钮片,下</w:t>
            </w:r>
          </w:p>
        </w:tc>
        <w:tc>
          <w:tcPr>
            <w:tcW w:w="578" w:type="pct"/>
            <w:tcBorders>
              <w:top w:val="nil"/>
              <w:left w:val="nil"/>
              <w:bottom w:val="single" w:color="auto" w:sz="4" w:space="0"/>
              <w:right w:val="single" w:color="auto" w:sz="4" w:space="0"/>
            </w:tcBorders>
            <w:vAlign w:val="center"/>
          </w:tcPr>
          <w:p w14:paraId="13570EE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0DE41AD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263</w:t>
            </w:r>
          </w:p>
        </w:tc>
        <w:tc>
          <w:tcPr>
            <w:tcW w:w="1587" w:type="pct"/>
            <w:tcBorders>
              <w:top w:val="nil"/>
              <w:left w:val="nil"/>
              <w:bottom w:val="single" w:color="auto" w:sz="4" w:space="0"/>
              <w:right w:val="single" w:color="auto" w:sz="4" w:space="0"/>
            </w:tcBorders>
            <w:vAlign w:val="center"/>
          </w:tcPr>
          <w:p w14:paraId="02E6C9A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门触点垫片,TA060-847G01</w:t>
            </w:r>
          </w:p>
        </w:tc>
        <w:tc>
          <w:tcPr>
            <w:tcW w:w="592" w:type="pct"/>
            <w:tcBorders>
              <w:top w:val="nil"/>
              <w:left w:val="nil"/>
              <w:bottom w:val="single" w:color="auto" w:sz="4" w:space="0"/>
              <w:right w:val="single" w:color="auto" w:sz="4" w:space="0"/>
            </w:tcBorders>
            <w:vAlign w:val="center"/>
          </w:tcPr>
          <w:p w14:paraId="6AD1F45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5B960397">
        <w:tblPrEx>
          <w:tblCellMar>
            <w:top w:w="0" w:type="dxa"/>
            <w:left w:w="108" w:type="dxa"/>
            <w:bottom w:w="0" w:type="dxa"/>
            <w:right w:w="108" w:type="dxa"/>
          </w:tblCellMar>
        </w:tblPrEx>
        <w:trPr>
          <w:trHeight w:val="480" w:hRule="atLeast"/>
        </w:trPr>
        <w:tc>
          <w:tcPr>
            <w:tcW w:w="400" w:type="pct"/>
            <w:tcBorders>
              <w:top w:val="nil"/>
              <w:left w:val="single" w:color="auto" w:sz="4" w:space="0"/>
              <w:bottom w:val="single" w:color="auto" w:sz="4" w:space="0"/>
              <w:right w:val="single" w:color="auto" w:sz="4" w:space="0"/>
            </w:tcBorders>
            <w:vAlign w:val="center"/>
          </w:tcPr>
          <w:p w14:paraId="0F7452E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110</w:t>
            </w:r>
          </w:p>
        </w:tc>
        <w:tc>
          <w:tcPr>
            <w:tcW w:w="1420" w:type="pct"/>
            <w:tcBorders>
              <w:top w:val="nil"/>
              <w:left w:val="nil"/>
              <w:bottom w:val="single" w:color="auto" w:sz="4" w:space="0"/>
              <w:right w:val="single" w:color="auto" w:sz="4" w:space="0"/>
            </w:tcBorders>
            <w:vAlign w:val="center"/>
          </w:tcPr>
          <w:p w14:paraId="7C9D42B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辅助触头230VAC 6A 1NO 1NC</w:t>
            </w:r>
          </w:p>
        </w:tc>
        <w:tc>
          <w:tcPr>
            <w:tcW w:w="578" w:type="pct"/>
            <w:tcBorders>
              <w:top w:val="nil"/>
              <w:left w:val="nil"/>
              <w:bottom w:val="single" w:color="auto" w:sz="4" w:space="0"/>
              <w:right w:val="single" w:color="auto" w:sz="4" w:space="0"/>
            </w:tcBorders>
            <w:vAlign w:val="center"/>
          </w:tcPr>
          <w:p w14:paraId="3815DF7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3A2AC8D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264</w:t>
            </w:r>
          </w:p>
        </w:tc>
        <w:tc>
          <w:tcPr>
            <w:tcW w:w="1587" w:type="pct"/>
            <w:tcBorders>
              <w:top w:val="nil"/>
              <w:left w:val="nil"/>
              <w:bottom w:val="single" w:color="auto" w:sz="4" w:space="0"/>
              <w:right w:val="single" w:color="auto" w:sz="4" w:space="0"/>
            </w:tcBorders>
            <w:vAlign w:val="center"/>
          </w:tcPr>
          <w:p w14:paraId="166806E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新版KDS330单显外呼液晶显示板，黑底</w:t>
            </w:r>
          </w:p>
        </w:tc>
        <w:tc>
          <w:tcPr>
            <w:tcW w:w="592" w:type="pct"/>
            <w:tcBorders>
              <w:top w:val="nil"/>
              <w:left w:val="nil"/>
              <w:bottom w:val="single" w:color="auto" w:sz="4" w:space="0"/>
              <w:right w:val="single" w:color="auto" w:sz="4" w:space="0"/>
            </w:tcBorders>
            <w:vAlign w:val="center"/>
          </w:tcPr>
          <w:p w14:paraId="2FDD65C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64D71C16">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2514AD9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111</w:t>
            </w:r>
          </w:p>
        </w:tc>
        <w:tc>
          <w:tcPr>
            <w:tcW w:w="1420" w:type="pct"/>
            <w:tcBorders>
              <w:top w:val="nil"/>
              <w:left w:val="nil"/>
              <w:bottom w:val="single" w:color="auto" w:sz="4" w:space="0"/>
              <w:right w:val="single" w:color="auto" w:sz="4" w:space="0"/>
            </w:tcBorders>
            <w:vAlign w:val="center"/>
          </w:tcPr>
          <w:p w14:paraId="25537B3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A0800031,方油壶,L=120</w:t>
            </w:r>
          </w:p>
        </w:tc>
        <w:tc>
          <w:tcPr>
            <w:tcW w:w="578" w:type="pct"/>
            <w:tcBorders>
              <w:top w:val="nil"/>
              <w:left w:val="nil"/>
              <w:bottom w:val="single" w:color="auto" w:sz="4" w:space="0"/>
              <w:right w:val="single" w:color="auto" w:sz="4" w:space="0"/>
            </w:tcBorders>
            <w:vAlign w:val="center"/>
          </w:tcPr>
          <w:p w14:paraId="0EAB3AF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5A01AF8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265</w:t>
            </w:r>
          </w:p>
        </w:tc>
        <w:tc>
          <w:tcPr>
            <w:tcW w:w="1587" w:type="pct"/>
            <w:tcBorders>
              <w:top w:val="nil"/>
              <w:left w:val="nil"/>
              <w:bottom w:val="single" w:color="auto" w:sz="4" w:space="0"/>
              <w:right w:val="single" w:color="auto" w:sz="4" w:space="0"/>
            </w:tcBorders>
            <w:vAlign w:val="center"/>
          </w:tcPr>
          <w:p w14:paraId="0DB6D44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新版KDS50双显外呼液晶显示板，蓝底</w:t>
            </w:r>
          </w:p>
        </w:tc>
        <w:tc>
          <w:tcPr>
            <w:tcW w:w="592" w:type="pct"/>
            <w:tcBorders>
              <w:top w:val="nil"/>
              <w:left w:val="nil"/>
              <w:bottom w:val="single" w:color="auto" w:sz="4" w:space="0"/>
              <w:right w:val="single" w:color="auto" w:sz="4" w:space="0"/>
            </w:tcBorders>
            <w:vAlign w:val="center"/>
          </w:tcPr>
          <w:p w14:paraId="39FAC7F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4E07DF78">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2B5D566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112</w:t>
            </w:r>
          </w:p>
        </w:tc>
        <w:tc>
          <w:tcPr>
            <w:tcW w:w="1420" w:type="pct"/>
            <w:tcBorders>
              <w:top w:val="nil"/>
              <w:left w:val="nil"/>
              <w:bottom w:val="single" w:color="auto" w:sz="4" w:space="0"/>
              <w:right w:val="single" w:color="auto" w:sz="4" w:space="0"/>
            </w:tcBorders>
            <w:vAlign w:val="center"/>
          </w:tcPr>
          <w:p w14:paraId="36C8822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轿厢导靴垫片</w:t>
            </w:r>
          </w:p>
        </w:tc>
        <w:tc>
          <w:tcPr>
            <w:tcW w:w="578" w:type="pct"/>
            <w:tcBorders>
              <w:top w:val="nil"/>
              <w:left w:val="nil"/>
              <w:bottom w:val="single" w:color="auto" w:sz="4" w:space="0"/>
              <w:right w:val="single" w:color="auto" w:sz="4" w:space="0"/>
            </w:tcBorders>
            <w:vAlign w:val="center"/>
          </w:tcPr>
          <w:p w14:paraId="4536497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4EAC592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266</w:t>
            </w:r>
          </w:p>
        </w:tc>
        <w:tc>
          <w:tcPr>
            <w:tcW w:w="1587" w:type="pct"/>
            <w:tcBorders>
              <w:top w:val="nil"/>
              <w:left w:val="nil"/>
              <w:bottom w:val="single" w:color="auto" w:sz="4" w:space="0"/>
              <w:right w:val="single" w:color="auto" w:sz="4" w:space="0"/>
            </w:tcBorders>
            <w:vAlign w:val="center"/>
          </w:tcPr>
          <w:p w14:paraId="44E4221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电源变压器，LED照明灯</w:t>
            </w:r>
          </w:p>
        </w:tc>
        <w:tc>
          <w:tcPr>
            <w:tcW w:w="592" w:type="pct"/>
            <w:tcBorders>
              <w:top w:val="nil"/>
              <w:left w:val="nil"/>
              <w:bottom w:val="single" w:color="auto" w:sz="4" w:space="0"/>
              <w:right w:val="single" w:color="auto" w:sz="4" w:space="0"/>
            </w:tcBorders>
            <w:vAlign w:val="center"/>
          </w:tcPr>
          <w:p w14:paraId="7EFD147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4A73EA8C">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1F14D35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113</w:t>
            </w:r>
          </w:p>
        </w:tc>
        <w:tc>
          <w:tcPr>
            <w:tcW w:w="1420" w:type="pct"/>
            <w:tcBorders>
              <w:top w:val="nil"/>
              <w:left w:val="nil"/>
              <w:bottom w:val="single" w:color="auto" w:sz="4" w:space="0"/>
              <w:right w:val="single" w:color="auto" w:sz="4" w:space="0"/>
            </w:tcBorders>
            <w:vAlign w:val="center"/>
          </w:tcPr>
          <w:p w14:paraId="7CFC74C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ADL门球,D31.5/D12X19.5MM</w:t>
            </w:r>
          </w:p>
        </w:tc>
        <w:tc>
          <w:tcPr>
            <w:tcW w:w="578" w:type="pct"/>
            <w:tcBorders>
              <w:top w:val="nil"/>
              <w:left w:val="nil"/>
              <w:bottom w:val="single" w:color="auto" w:sz="4" w:space="0"/>
              <w:right w:val="single" w:color="auto" w:sz="4" w:space="0"/>
            </w:tcBorders>
            <w:vAlign w:val="center"/>
          </w:tcPr>
          <w:p w14:paraId="7C194E7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71E3E00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267</w:t>
            </w:r>
          </w:p>
        </w:tc>
        <w:tc>
          <w:tcPr>
            <w:tcW w:w="1587" w:type="pct"/>
            <w:tcBorders>
              <w:top w:val="nil"/>
              <w:left w:val="nil"/>
              <w:bottom w:val="single" w:color="auto" w:sz="4" w:space="0"/>
              <w:right w:val="single" w:color="auto" w:sz="4" w:space="0"/>
            </w:tcBorders>
            <w:vAlign w:val="center"/>
          </w:tcPr>
          <w:p w14:paraId="4E17552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轿厢第二副机</w:t>
            </w:r>
          </w:p>
        </w:tc>
        <w:tc>
          <w:tcPr>
            <w:tcW w:w="592" w:type="pct"/>
            <w:tcBorders>
              <w:top w:val="nil"/>
              <w:left w:val="nil"/>
              <w:bottom w:val="single" w:color="auto" w:sz="4" w:space="0"/>
              <w:right w:val="single" w:color="auto" w:sz="4" w:space="0"/>
            </w:tcBorders>
            <w:vAlign w:val="center"/>
          </w:tcPr>
          <w:p w14:paraId="702B5BF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7BCC6675">
        <w:tblPrEx>
          <w:tblCellMar>
            <w:top w:w="0" w:type="dxa"/>
            <w:left w:w="108" w:type="dxa"/>
            <w:bottom w:w="0" w:type="dxa"/>
            <w:right w:w="108" w:type="dxa"/>
          </w:tblCellMar>
        </w:tblPrEx>
        <w:trPr>
          <w:trHeight w:val="480" w:hRule="atLeast"/>
        </w:trPr>
        <w:tc>
          <w:tcPr>
            <w:tcW w:w="400" w:type="pct"/>
            <w:tcBorders>
              <w:top w:val="nil"/>
              <w:left w:val="single" w:color="auto" w:sz="4" w:space="0"/>
              <w:bottom w:val="single" w:color="auto" w:sz="4" w:space="0"/>
              <w:right w:val="single" w:color="auto" w:sz="4" w:space="0"/>
            </w:tcBorders>
            <w:vAlign w:val="center"/>
          </w:tcPr>
          <w:p w14:paraId="5BF9D23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114</w:t>
            </w:r>
          </w:p>
        </w:tc>
        <w:tc>
          <w:tcPr>
            <w:tcW w:w="1420" w:type="pct"/>
            <w:tcBorders>
              <w:top w:val="nil"/>
              <w:left w:val="nil"/>
              <w:bottom w:val="single" w:color="auto" w:sz="4" w:space="0"/>
              <w:right w:val="single" w:color="auto" w:sz="4" w:space="0"/>
            </w:tcBorders>
            <w:vAlign w:val="center"/>
          </w:tcPr>
          <w:p w14:paraId="1A01EA7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滚珠轴承,D90/50MM W=20MM 6210 2RS1C3</w:t>
            </w:r>
          </w:p>
        </w:tc>
        <w:tc>
          <w:tcPr>
            <w:tcW w:w="578" w:type="pct"/>
            <w:tcBorders>
              <w:top w:val="nil"/>
              <w:left w:val="nil"/>
              <w:bottom w:val="single" w:color="auto" w:sz="4" w:space="0"/>
              <w:right w:val="single" w:color="auto" w:sz="4" w:space="0"/>
            </w:tcBorders>
            <w:vAlign w:val="center"/>
          </w:tcPr>
          <w:p w14:paraId="568C74F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657078E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268</w:t>
            </w:r>
          </w:p>
        </w:tc>
        <w:tc>
          <w:tcPr>
            <w:tcW w:w="1587" w:type="pct"/>
            <w:tcBorders>
              <w:top w:val="nil"/>
              <w:left w:val="nil"/>
              <w:bottom w:val="single" w:color="auto" w:sz="4" w:space="0"/>
              <w:right w:val="single" w:color="auto" w:sz="4" w:space="0"/>
            </w:tcBorders>
            <w:vAlign w:val="center"/>
          </w:tcPr>
          <w:p w14:paraId="26DC21B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轿厢显示板，红光</w:t>
            </w:r>
          </w:p>
        </w:tc>
        <w:tc>
          <w:tcPr>
            <w:tcW w:w="592" w:type="pct"/>
            <w:tcBorders>
              <w:top w:val="nil"/>
              <w:left w:val="nil"/>
              <w:bottom w:val="single" w:color="auto" w:sz="4" w:space="0"/>
              <w:right w:val="single" w:color="auto" w:sz="4" w:space="0"/>
            </w:tcBorders>
            <w:vAlign w:val="center"/>
          </w:tcPr>
          <w:p w14:paraId="66057E5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0AEA17D2">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6B837FB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115</w:t>
            </w:r>
          </w:p>
        </w:tc>
        <w:tc>
          <w:tcPr>
            <w:tcW w:w="1420" w:type="pct"/>
            <w:tcBorders>
              <w:top w:val="nil"/>
              <w:left w:val="nil"/>
              <w:bottom w:val="single" w:color="auto" w:sz="4" w:space="0"/>
              <w:right w:val="single" w:color="auto" w:sz="4" w:space="0"/>
            </w:tcBorders>
            <w:vAlign w:val="center"/>
          </w:tcPr>
          <w:p w14:paraId="2EC6F72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联动钢丝绳D2.0</w:t>
            </w:r>
          </w:p>
        </w:tc>
        <w:tc>
          <w:tcPr>
            <w:tcW w:w="578" w:type="pct"/>
            <w:tcBorders>
              <w:top w:val="nil"/>
              <w:left w:val="nil"/>
              <w:bottom w:val="single" w:color="auto" w:sz="4" w:space="0"/>
              <w:right w:val="single" w:color="auto" w:sz="4" w:space="0"/>
            </w:tcBorders>
            <w:vAlign w:val="center"/>
          </w:tcPr>
          <w:p w14:paraId="220385A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7C2A46C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269</w:t>
            </w:r>
          </w:p>
        </w:tc>
        <w:tc>
          <w:tcPr>
            <w:tcW w:w="1587" w:type="pct"/>
            <w:tcBorders>
              <w:top w:val="nil"/>
              <w:left w:val="nil"/>
              <w:bottom w:val="single" w:color="auto" w:sz="4" w:space="0"/>
              <w:right w:val="single" w:color="auto" w:sz="4" w:space="0"/>
            </w:tcBorders>
            <w:vAlign w:val="center"/>
          </w:tcPr>
          <w:p w14:paraId="7CE94F1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线束,V3F18/V3F25 X7B X7D X7F</w:t>
            </w:r>
          </w:p>
        </w:tc>
        <w:tc>
          <w:tcPr>
            <w:tcW w:w="592" w:type="pct"/>
            <w:tcBorders>
              <w:top w:val="nil"/>
              <w:left w:val="nil"/>
              <w:bottom w:val="single" w:color="auto" w:sz="4" w:space="0"/>
              <w:right w:val="single" w:color="auto" w:sz="4" w:space="0"/>
            </w:tcBorders>
            <w:vAlign w:val="center"/>
          </w:tcPr>
          <w:p w14:paraId="1D8B7A9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2FD3B387">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51A0928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116</w:t>
            </w:r>
          </w:p>
        </w:tc>
        <w:tc>
          <w:tcPr>
            <w:tcW w:w="1420" w:type="pct"/>
            <w:tcBorders>
              <w:top w:val="nil"/>
              <w:left w:val="nil"/>
              <w:bottom w:val="single" w:color="auto" w:sz="4" w:space="0"/>
              <w:right w:val="single" w:color="auto" w:sz="4" w:space="0"/>
            </w:tcBorders>
            <w:vAlign w:val="center"/>
          </w:tcPr>
          <w:p w14:paraId="18222A9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厅站操纵盒端头(KM662431)</w:t>
            </w:r>
          </w:p>
        </w:tc>
        <w:tc>
          <w:tcPr>
            <w:tcW w:w="578" w:type="pct"/>
            <w:tcBorders>
              <w:top w:val="nil"/>
              <w:left w:val="nil"/>
              <w:bottom w:val="single" w:color="auto" w:sz="4" w:space="0"/>
              <w:right w:val="single" w:color="auto" w:sz="4" w:space="0"/>
            </w:tcBorders>
            <w:vAlign w:val="center"/>
          </w:tcPr>
          <w:p w14:paraId="71C8019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PAC</w:t>
            </w:r>
          </w:p>
        </w:tc>
        <w:tc>
          <w:tcPr>
            <w:tcW w:w="420" w:type="pct"/>
            <w:tcBorders>
              <w:top w:val="nil"/>
              <w:left w:val="nil"/>
              <w:bottom w:val="single" w:color="auto" w:sz="4" w:space="0"/>
              <w:right w:val="single" w:color="auto" w:sz="4" w:space="0"/>
            </w:tcBorders>
            <w:vAlign w:val="center"/>
          </w:tcPr>
          <w:p w14:paraId="20F22D4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270</w:t>
            </w:r>
          </w:p>
        </w:tc>
        <w:tc>
          <w:tcPr>
            <w:tcW w:w="1587" w:type="pct"/>
            <w:tcBorders>
              <w:top w:val="nil"/>
              <w:left w:val="nil"/>
              <w:bottom w:val="single" w:color="auto" w:sz="4" w:space="0"/>
              <w:right w:val="single" w:color="auto" w:sz="4" w:space="0"/>
            </w:tcBorders>
            <w:vAlign w:val="center"/>
          </w:tcPr>
          <w:p w14:paraId="05BF45B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轿门同步钢丝绳,L=6700MM</w:t>
            </w:r>
          </w:p>
        </w:tc>
        <w:tc>
          <w:tcPr>
            <w:tcW w:w="592" w:type="pct"/>
            <w:tcBorders>
              <w:top w:val="nil"/>
              <w:left w:val="nil"/>
              <w:bottom w:val="single" w:color="auto" w:sz="4" w:space="0"/>
              <w:right w:val="single" w:color="auto" w:sz="4" w:space="0"/>
            </w:tcBorders>
            <w:vAlign w:val="center"/>
          </w:tcPr>
          <w:p w14:paraId="15E290A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422D9255">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679B149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117</w:t>
            </w:r>
          </w:p>
        </w:tc>
        <w:tc>
          <w:tcPr>
            <w:tcW w:w="1420" w:type="pct"/>
            <w:tcBorders>
              <w:top w:val="nil"/>
              <w:left w:val="nil"/>
              <w:bottom w:val="single" w:color="auto" w:sz="4" w:space="0"/>
              <w:right w:val="single" w:color="auto" w:sz="4" w:space="0"/>
            </w:tcBorders>
            <w:vAlign w:val="center"/>
          </w:tcPr>
          <w:p w14:paraId="4372AB5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开关，单稳态 61U/N 30 L=3M</w:t>
            </w:r>
          </w:p>
        </w:tc>
        <w:tc>
          <w:tcPr>
            <w:tcW w:w="578" w:type="pct"/>
            <w:tcBorders>
              <w:top w:val="nil"/>
              <w:left w:val="nil"/>
              <w:bottom w:val="single" w:color="auto" w:sz="4" w:space="0"/>
              <w:right w:val="single" w:color="auto" w:sz="4" w:space="0"/>
            </w:tcBorders>
            <w:vAlign w:val="center"/>
          </w:tcPr>
          <w:p w14:paraId="21232BE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5D58F35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271</w:t>
            </w:r>
          </w:p>
        </w:tc>
        <w:tc>
          <w:tcPr>
            <w:tcW w:w="1587" w:type="pct"/>
            <w:tcBorders>
              <w:top w:val="nil"/>
              <w:left w:val="nil"/>
              <w:bottom w:val="single" w:color="auto" w:sz="4" w:space="0"/>
              <w:right w:val="single" w:color="auto" w:sz="4" w:space="0"/>
            </w:tcBorders>
            <w:vAlign w:val="center"/>
          </w:tcPr>
          <w:p w14:paraId="387C656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右绳轮组件含2*螺钉和2*螺母</w:t>
            </w:r>
          </w:p>
        </w:tc>
        <w:tc>
          <w:tcPr>
            <w:tcW w:w="592" w:type="pct"/>
            <w:tcBorders>
              <w:top w:val="nil"/>
              <w:left w:val="nil"/>
              <w:bottom w:val="single" w:color="auto" w:sz="4" w:space="0"/>
              <w:right w:val="single" w:color="auto" w:sz="4" w:space="0"/>
            </w:tcBorders>
            <w:vAlign w:val="center"/>
          </w:tcPr>
          <w:p w14:paraId="174B634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430E587D">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6953AF6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118</w:t>
            </w:r>
          </w:p>
        </w:tc>
        <w:tc>
          <w:tcPr>
            <w:tcW w:w="1420" w:type="pct"/>
            <w:tcBorders>
              <w:top w:val="nil"/>
              <w:left w:val="nil"/>
              <w:bottom w:val="single" w:color="auto" w:sz="4" w:space="0"/>
              <w:right w:val="single" w:color="auto" w:sz="4" w:space="0"/>
            </w:tcBorders>
            <w:vAlign w:val="center"/>
          </w:tcPr>
          <w:p w14:paraId="4A7CEB2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KDS50LCI液晶显示板，蓝底</w:t>
            </w:r>
          </w:p>
        </w:tc>
        <w:tc>
          <w:tcPr>
            <w:tcW w:w="578" w:type="pct"/>
            <w:tcBorders>
              <w:top w:val="nil"/>
              <w:left w:val="nil"/>
              <w:bottom w:val="single" w:color="auto" w:sz="4" w:space="0"/>
              <w:right w:val="single" w:color="auto" w:sz="4" w:space="0"/>
            </w:tcBorders>
            <w:vAlign w:val="center"/>
          </w:tcPr>
          <w:p w14:paraId="3556A7E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587486E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272</w:t>
            </w:r>
          </w:p>
        </w:tc>
        <w:tc>
          <w:tcPr>
            <w:tcW w:w="1587" w:type="pct"/>
            <w:tcBorders>
              <w:top w:val="nil"/>
              <w:left w:val="nil"/>
              <w:bottom w:val="single" w:color="auto" w:sz="4" w:space="0"/>
              <w:right w:val="single" w:color="auto" w:sz="4" w:space="0"/>
            </w:tcBorders>
            <w:vAlign w:val="center"/>
          </w:tcPr>
          <w:p w14:paraId="0969713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NBSL厅门钩锁MKG161-16</w:t>
            </w:r>
          </w:p>
        </w:tc>
        <w:tc>
          <w:tcPr>
            <w:tcW w:w="592" w:type="pct"/>
            <w:tcBorders>
              <w:top w:val="nil"/>
              <w:left w:val="nil"/>
              <w:bottom w:val="single" w:color="auto" w:sz="4" w:space="0"/>
              <w:right w:val="single" w:color="auto" w:sz="4" w:space="0"/>
            </w:tcBorders>
            <w:vAlign w:val="center"/>
          </w:tcPr>
          <w:p w14:paraId="2D2A190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6D9F8B9E">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1865896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119</w:t>
            </w:r>
          </w:p>
        </w:tc>
        <w:tc>
          <w:tcPr>
            <w:tcW w:w="1420" w:type="pct"/>
            <w:tcBorders>
              <w:top w:val="nil"/>
              <w:left w:val="nil"/>
              <w:bottom w:val="single" w:color="auto" w:sz="4" w:space="0"/>
              <w:right w:val="single" w:color="auto" w:sz="4" w:space="0"/>
            </w:tcBorders>
            <w:vAlign w:val="center"/>
          </w:tcPr>
          <w:p w14:paraId="0A56088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同步钢丝绳 长度5800MM</w:t>
            </w:r>
          </w:p>
        </w:tc>
        <w:tc>
          <w:tcPr>
            <w:tcW w:w="578" w:type="pct"/>
            <w:tcBorders>
              <w:top w:val="nil"/>
              <w:left w:val="nil"/>
              <w:bottom w:val="single" w:color="auto" w:sz="4" w:space="0"/>
              <w:right w:val="single" w:color="auto" w:sz="4" w:space="0"/>
            </w:tcBorders>
            <w:vAlign w:val="center"/>
          </w:tcPr>
          <w:p w14:paraId="21919BB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6A0F038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273</w:t>
            </w:r>
          </w:p>
        </w:tc>
        <w:tc>
          <w:tcPr>
            <w:tcW w:w="1587" w:type="pct"/>
            <w:tcBorders>
              <w:top w:val="nil"/>
              <w:left w:val="nil"/>
              <w:bottom w:val="single" w:color="auto" w:sz="4" w:space="0"/>
              <w:right w:val="single" w:color="auto" w:sz="4" w:space="0"/>
            </w:tcBorders>
            <w:vAlign w:val="center"/>
          </w:tcPr>
          <w:p w14:paraId="5D06782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开关, GREY 250VAC 16A</w:t>
            </w:r>
          </w:p>
        </w:tc>
        <w:tc>
          <w:tcPr>
            <w:tcW w:w="592" w:type="pct"/>
            <w:tcBorders>
              <w:top w:val="nil"/>
              <w:left w:val="nil"/>
              <w:bottom w:val="single" w:color="auto" w:sz="4" w:space="0"/>
              <w:right w:val="single" w:color="auto" w:sz="4" w:space="0"/>
            </w:tcBorders>
            <w:vAlign w:val="center"/>
          </w:tcPr>
          <w:p w14:paraId="5C3B650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3C413474">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1CBC109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120</w:t>
            </w:r>
          </w:p>
        </w:tc>
        <w:tc>
          <w:tcPr>
            <w:tcW w:w="1420" w:type="pct"/>
            <w:tcBorders>
              <w:top w:val="nil"/>
              <w:left w:val="nil"/>
              <w:bottom w:val="single" w:color="auto" w:sz="4" w:space="0"/>
              <w:right w:val="single" w:color="auto" w:sz="4" w:space="0"/>
            </w:tcBorders>
            <w:vAlign w:val="center"/>
          </w:tcPr>
          <w:p w14:paraId="75D4D20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门触点 24VDC</w:t>
            </w:r>
          </w:p>
        </w:tc>
        <w:tc>
          <w:tcPr>
            <w:tcW w:w="578" w:type="pct"/>
            <w:tcBorders>
              <w:top w:val="nil"/>
              <w:left w:val="nil"/>
              <w:bottom w:val="single" w:color="auto" w:sz="4" w:space="0"/>
              <w:right w:val="single" w:color="auto" w:sz="4" w:space="0"/>
            </w:tcBorders>
            <w:vAlign w:val="center"/>
          </w:tcPr>
          <w:p w14:paraId="008B708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0069A8A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274</w:t>
            </w:r>
          </w:p>
        </w:tc>
        <w:tc>
          <w:tcPr>
            <w:tcW w:w="1587" w:type="pct"/>
            <w:tcBorders>
              <w:top w:val="nil"/>
              <w:left w:val="nil"/>
              <w:bottom w:val="single" w:color="auto" w:sz="4" w:space="0"/>
              <w:right w:val="single" w:color="auto" w:sz="4" w:space="0"/>
            </w:tcBorders>
            <w:vAlign w:val="center"/>
          </w:tcPr>
          <w:p w14:paraId="70785A9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缓冲器开关电缆，L=8M</w:t>
            </w:r>
          </w:p>
        </w:tc>
        <w:tc>
          <w:tcPr>
            <w:tcW w:w="592" w:type="pct"/>
            <w:tcBorders>
              <w:top w:val="nil"/>
              <w:left w:val="nil"/>
              <w:bottom w:val="single" w:color="auto" w:sz="4" w:space="0"/>
              <w:right w:val="single" w:color="auto" w:sz="4" w:space="0"/>
            </w:tcBorders>
            <w:vAlign w:val="center"/>
          </w:tcPr>
          <w:p w14:paraId="54397B6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12327052">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2C862BE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121</w:t>
            </w:r>
          </w:p>
        </w:tc>
        <w:tc>
          <w:tcPr>
            <w:tcW w:w="1420" w:type="pct"/>
            <w:tcBorders>
              <w:top w:val="nil"/>
              <w:left w:val="nil"/>
              <w:bottom w:val="single" w:color="auto" w:sz="4" w:space="0"/>
              <w:right w:val="single" w:color="auto" w:sz="4" w:space="0"/>
            </w:tcBorders>
            <w:vAlign w:val="center"/>
          </w:tcPr>
          <w:p w14:paraId="324EBD4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接触器 230VAC 18A 1NC</w:t>
            </w:r>
          </w:p>
        </w:tc>
        <w:tc>
          <w:tcPr>
            <w:tcW w:w="578" w:type="pct"/>
            <w:tcBorders>
              <w:top w:val="nil"/>
              <w:left w:val="nil"/>
              <w:bottom w:val="single" w:color="auto" w:sz="4" w:space="0"/>
              <w:right w:val="single" w:color="auto" w:sz="4" w:space="0"/>
            </w:tcBorders>
            <w:vAlign w:val="center"/>
          </w:tcPr>
          <w:p w14:paraId="11C0BC9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2A0EC3B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275</w:t>
            </w:r>
          </w:p>
        </w:tc>
        <w:tc>
          <w:tcPr>
            <w:tcW w:w="1587" w:type="pct"/>
            <w:tcBorders>
              <w:top w:val="nil"/>
              <w:left w:val="nil"/>
              <w:bottom w:val="single" w:color="auto" w:sz="4" w:space="0"/>
              <w:right w:val="single" w:color="auto" w:sz="4" w:space="0"/>
            </w:tcBorders>
            <w:vAlign w:val="center"/>
          </w:tcPr>
          <w:p w14:paraId="13782B4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门滑块111.02.215G1</w:t>
            </w:r>
          </w:p>
        </w:tc>
        <w:tc>
          <w:tcPr>
            <w:tcW w:w="592" w:type="pct"/>
            <w:tcBorders>
              <w:top w:val="nil"/>
              <w:left w:val="nil"/>
              <w:bottom w:val="single" w:color="auto" w:sz="4" w:space="0"/>
              <w:right w:val="single" w:color="auto" w:sz="4" w:space="0"/>
            </w:tcBorders>
            <w:vAlign w:val="center"/>
          </w:tcPr>
          <w:p w14:paraId="0421728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19352AC5">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340BA8C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122</w:t>
            </w:r>
          </w:p>
        </w:tc>
        <w:tc>
          <w:tcPr>
            <w:tcW w:w="1420" w:type="pct"/>
            <w:tcBorders>
              <w:top w:val="nil"/>
              <w:left w:val="nil"/>
              <w:bottom w:val="single" w:color="auto" w:sz="4" w:space="0"/>
              <w:right w:val="single" w:color="auto" w:sz="4" w:space="0"/>
            </w:tcBorders>
            <w:vAlign w:val="center"/>
          </w:tcPr>
          <w:p w14:paraId="3E56632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测速发电机轮,D75</w:t>
            </w:r>
          </w:p>
        </w:tc>
        <w:tc>
          <w:tcPr>
            <w:tcW w:w="578" w:type="pct"/>
            <w:tcBorders>
              <w:top w:val="nil"/>
              <w:left w:val="nil"/>
              <w:bottom w:val="single" w:color="auto" w:sz="4" w:space="0"/>
              <w:right w:val="single" w:color="auto" w:sz="4" w:space="0"/>
            </w:tcBorders>
            <w:vAlign w:val="center"/>
          </w:tcPr>
          <w:p w14:paraId="1325F9D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32EDF1C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276</w:t>
            </w:r>
          </w:p>
        </w:tc>
        <w:tc>
          <w:tcPr>
            <w:tcW w:w="1587" w:type="pct"/>
            <w:tcBorders>
              <w:top w:val="nil"/>
              <w:left w:val="nil"/>
              <w:bottom w:val="single" w:color="auto" w:sz="4" w:space="0"/>
              <w:right w:val="single" w:color="auto" w:sz="4" w:space="0"/>
            </w:tcBorders>
            <w:vAlign w:val="center"/>
          </w:tcPr>
          <w:p w14:paraId="6D60A51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控制开关 250VAC 16A 2NO 2NC</w:t>
            </w:r>
          </w:p>
        </w:tc>
        <w:tc>
          <w:tcPr>
            <w:tcW w:w="592" w:type="pct"/>
            <w:tcBorders>
              <w:top w:val="nil"/>
              <w:left w:val="nil"/>
              <w:bottom w:val="single" w:color="auto" w:sz="4" w:space="0"/>
              <w:right w:val="single" w:color="auto" w:sz="4" w:space="0"/>
            </w:tcBorders>
            <w:vAlign w:val="center"/>
          </w:tcPr>
          <w:p w14:paraId="2FA99E9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7E0678B6">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27B6985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123</w:t>
            </w:r>
          </w:p>
        </w:tc>
        <w:tc>
          <w:tcPr>
            <w:tcW w:w="1420" w:type="pct"/>
            <w:tcBorders>
              <w:top w:val="nil"/>
              <w:left w:val="nil"/>
              <w:bottom w:val="single" w:color="auto" w:sz="4" w:space="0"/>
              <w:right w:val="single" w:color="auto" w:sz="4" w:space="0"/>
            </w:tcBorders>
            <w:vAlign w:val="center"/>
          </w:tcPr>
          <w:p w14:paraId="22FF141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SLG8靴衬，导轨宽度15.88/16 mm</w:t>
            </w:r>
          </w:p>
        </w:tc>
        <w:tc>
          <w:tcPr>
            <w:tcW w:w="578" w:type="pct"/>
            <w:tcBorders>
              <w:top w:val="nil"/>
              <w:left w:val="nil"/>
              <w:bottom w:val="single" w:color="auto" w:sz="4" w:space="0"/>
              <w:right w:val="single" w:color="auto" w:sz="4" w:space="0"/>
            </w:tcBorders>
            <w:vAlign w:val="center"/>
          </w:tcPr>
          <w:p w14:paraId="2EB302C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247DBA1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277</w:t>
            </w:r>
          </w:p>
        </w:tc>
        <w:tc>
          <w:tcPr>
            <w:tcW w:w="1587" w:type="pct"/>
            <w:tcBorders>
              <w:top w:val="nil"/>
              <w:left w:val="nil"/>
              <w:bottom w:val="single" w:color="auto" w:sz="4" w:space="0"/>
              <w:right w:val="single" w:color="auto" w:sz="4" w:space="0"/>
            </w:tcBorders>
            <w:vAlign w:val="center"/>
          </w:tcPr>
          <w:p w14:paraId="065920F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OL35张紧轮,D266mm,d8</w:t>
            </w:r>
          </w:p>
        </w:tc>
        <w:tc>
          <w:tcPr>
            <w:tcW w:w="592" w:type="pct"/>
            <w:tcBorders>
              <w:top w:val="nil"/>
              <w:left w:val="nil"/>
              <w:bottom w:val="single" w:color="auto" w:sz="4" w:space="0"/>
              <w:right w:val="single" w:color="auto" w:sz="4" w:space="0"/>
            </w:tcBorders>
            <w:vAlign w:val="center"/>
          </w:tcPr>
          <w:p w14:paraId="2452229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757D7196">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5951C73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124</w:t>
            </w:r>
          </w:p>
        </w:tc>
        <w:tc>
          <w:tcPr>
            <w:tcW w:w="1420" w:type="pct"/>
            <w:tcBorders>
              <w:top w:val="nil"/>
              <w:left w:val="nil"/>
              <w:bottom w:val="single" w:color="auto" w:sz="4" w:space="0"/>
              <w:right w:val="single" w:color="auto" w:sz="4" w:space="0"/>
            </w:tcBorders>
            <w:vAlign w:val="center"/>
          </w:tcPr>
          <w:p w14:paraId="3155695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AMD Drive2门机皮带从动轮组件</w:t>
            </w:r>
          </w:p>
        </w:tc>
        <w:tc>
          <w:tcPr>
            <w:tcW w:w="578" w:type="pct"/>
            <w:tcBorders>
              <w:top w:val="nil"/>
              <w:left w:val="nil"/>
              <w:bottom w:val="single" w:color="auto" w:sz="4" w:space="0"/>
              <w:right w:val="single" w:color="auto" w:sz="4" w:space="0"/>
            </w:tcBorders>
            <w:vAlign w:val="center"/>
          </w:tcPr>
          <w:p w14:paraId="34B81EC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16828EA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278</w:t>
            </w:r>
          </w:p>
        </w:tc>
        <w:tc>
          <w:tcPr>
            <w:tcW w:w="1587" w:type="pct"/>
            <w:tcBorders>
              <w:top w:val="nil"/>
              <w:left w:val="nil"/>
              <w:bottom w:val="single" w:color="auto" w:sz="4" w:space="0"/>
              <w:right w:val="single" w:color="auto" w:sz="4" w:space="0"/>
            </w:tcBorders>
            <w:vAlign w:val="center"/>
          </w:tcPr>
          <w:p w14:paraId="29A7003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DELTA COP PCB板 四按钮</w:t>
            </w:r>
          </w:p>
        </w:tc>
        <w:tc>
          <w:tcPr>
            <w:tcW w:w="592" w:type="pct"/>
            <w:tcBorders>
              <w:top w:val="nil"/>
              <w:left w:val="nil"/>
              <w:bottom w:val="single" w:color="auto" w:sz="4" w:space="0"/>
              <w:right w:val="single" w:color="auto" w:sz="4" w:space="0"/>
            </w:tcBorders>
            <w:vAlign w:val="center"/>
          </w:tcPr>
          <w:p w14:paraId="06BF571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7A067262">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687B6BF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125</w:t>
            </w:r>
          </w:p>
        </w:tc>
        <w:tc>
          <w:tcPr>
            <w:tcW w:w="1420" w:type="pct"/>
            <w:tcBorders>
              <w:top w:val="nil"/>
              <w:left w:val="nil"/>
              <w:bottom w:val="single" w:color="auto" w:sz="4" w:space="0"/>
              <w:right w:val="single" w:color="auto" w:sz="4" w:space="0"/>
            </w:tcBorders>
            <w:vAlign w:val="center"/>
          </w:tcPr>
          <w:p w14:paraId="61E9F94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导靴大油杯，ABS,K=10 MM</w:t>
            </w:r>
          </w:p>
        </w:tc>
        <w:tc>
          <w:tcPr>
            <w:tcW w:w="578" w:type="pct"/>
            <w:tcBorders>
              <w:top w:val="nil"/>
              <w:left w:val="nil"/>
              <w:bottom w:val="single" w:color="auto" w:sz="4" w:space="0"/>
              <w:right w:val="single" w:color="auto" w:sz="4" w:space="0"/>
            </w:tcBorders>
            <w:vAlign w:val="center"/>
          </w:tcPr>
          <w:p w14:paraId="680C55F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3C4A70F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279</w:t>
            </w:r>
          </w:p>
        </w:tc>
        <w:tc>
          <w:tcPr>
            <w:tcW w:w="1587" w:type="pct"/>
            <w:tcBorders>
              <w:top w:val="nil"/>
              <w:left w:val="nil"/>
              <w:bottom w:val="single" w:color="auto" w:sz="4" w:space="0"/>
              <w:right w:val="single" w:color="auto" w:sz="4" w:space="0"/>
            </w:tcBorders>
            <w:vAlign w:val="center"/>
          </w:tcPr>
          <w:p w14:paraId="0EDBBEB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门触点 AZ07I</w:t>
            </w:r>
          </w:p>
        </w:tc>
        <w:tc>
          <w:tcPr>
            <w:tcW w:w="592" w:type="pct"/>
            <w:tcBorders>
              <w:top w:val="nil"/>
              <w:left w:val="nil"/>
              <w:bottom w:val="single" w:color="auto" w:sz="4" w:space="0"/>
              <w:right w:val="single" w:color="auto" w:sz="4" w:space="0"/>
            </w:tcBorders>
            <w:vAlign w:val="center"/>
          </w:tcPr>
          <w:p w14:paraId="1F2F70C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337A1B44">
        <w:tblPrEx>
          <w:tblCellMar>
            <w:top w:w="0" w:type="dxa"/>
            <w:left w:w="108" w:type="dxa"/>
            <w:bottom w:w="0" w:type="dxa"/>
            <w:right w:w="108" w:type="dxa"/>
          </w:tblCellMar>
        </w:tblPrEx>
        <w:trPr>
          <w:trHeight w:val="480" w:hRule="atLeast"/>
        </w:trPr>
        <w:tc>
          <w:tcPr>
            <w:tcW w:w="400" w:type="pct"/>
            <w:tcBorders>
              <w:top w:val="nil"/>
              <w:left w:val="single" w:color="auto" w:sz="4" w:space="0"/>
              <w:bottom w:val="single" w:color="auto" w:sz="4" w:space="0"/>
              <w:right w:val="single" w:color="auto" w:sz="4" w:space="0"/>
            </w:tcBorders>
            <w:vAlign w:val="center"/>
          </w:tcPr>
          <w:p w14:paraId="645F0F9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126</w:t>
            </w:r>
          </w:p>
        </w:tc>
        <w:tc>
          <w:tcPr>
            <w:tcW w:w="1420" w:type="pct"/>
            <w:tcBorders>
              <w:top w:val="nil"/>
              <w:left w:val="nil"/>
              <w:bottom w:val="single" w:color="auto" w:sz="4" w:space="0"/>
              <w:right w:val="single" w:color="auto" w:sz="4" w:space="0"/>
            </w:tcBorders>
            <w:vAlign w:val="center"/>
          </w:tcPr>
          <w:p w14:paraId="2DE6D72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PCB, LCECOB COP, NEW LON, COATED</w:t>
            </w:r>
          </w:p>
        </w:tc>
        <w:tc>
          <w:tcPr>
            <w:tcW w:w="578" w:type="pct"/>
            <w:tcBorders>
              <w:top w:val="nil"/>
              <w:left w:val="nil"/>
              <w:bottom w:val="single" w:color="auto" w:sz="4" w:space="0"/>
              <w:right w:val="single" w:color="auto" w:sz="4" w:space="0"/>
            </w:tcBorders>
            <w:vAlign w:val="center"/>
          </w:tcPr>
          <w:p w14:paraId="0BD9845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32B77AF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280</w:t>
            </w:r>
          </w:p>
        </w:tc>
        <w:tc>
          <w:tcPr>
            <w:tcW w:w="1587" w:type="pct"/>
            <w:tcBorders>
              <w:top w:val="nil"/>
              <w:left w:val="nil"/>
              <w:bottom w:val="single" w:color="auto" w:sz="4" w:space="0"/>
              <w:right w:val="single" w:color="auto" w:sz="4" w:space="0"/>
            </w:tcBorders>
            <w:vAlign w:val="center"/>
          </w:tcPr>
          <w:p w14:paraId="43F427E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对重导靴垫片</w:t>
            </w:r>
          </w:p>
        </w:tc>
        <w:tc>
          <w:tcPr>
            <w:tcW w:w="592" w:type="pct"/>
            <w:tcBorders>
              <w:top w:val="nil"/>
              <w:left w:val="nil"/>
              <w:bottom w:val="single" w:color="auto" w:sz="4" w:space="0"/>
              <w:right w:val="single" w:color="auto" w:sz="4" w:space="0"/>
            </w:tcBorders>
            <w:vAlign w:val="center"/>
          </w:tcPr>
          <w:p w14:paraId="08AB6CD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417B81FF">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6E74BFE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127</w:t>
            </w:r>
          </w:p>
        </w:tc>
        <w:tc>
          <w:tcPr>
            <w:tcW w:w="1420" w:type="pct"/>
            <w:tcBorders>
              <w:top w:val="nil"/>
              <w:left w:val="nil"/>
              <w:bottom w:val="single" w:color="auto" w:sz="4" w:space="0"/>
              <w:right w:val="single" w:color="auto" w:sz="4" w:space="0"/>
            </w:tcBorders>
            <w:vAlign w:val="center"/>
          </w:tcPr>
          <w:p w14:paraId="0FF3676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免提对讲机 TF-2</w:t>
            </w:r>
          </w:p>
        </w:tc>
        <w:tc>
          <w:tcPr>
            <w:tcW w:w="578" w:type="pct"/>
            <w:tcBorders>
              <w:top w:val="nil"/>
              <w:left w:val="nil"/>
              <w:bottom w:val="single" w:color="auto" w:sz="4" w:space="0"/>
              <w:right w:val="single" w:color="auto" w:sz="4" w:space="0"/>
            </w:tcBorders>
            <w:vAlign w:val="center"/>
          </w:tcPr>
          <w:p w14:paraId="07D2836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3207EDF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281</w:t>
            </w:r>
          </w:p>
        </w:tc>
        <w:tc>
          <w:tcPr>
            <w:tcW w:w="1587" w:type="pct"/>
            <w:tcBorders>
              <w:top w:val="nil"/>
              <w:left w:val="nil"/>
              <w:bottom w:val="single" w:color="auto" w:sz="4" w:space="0"/>
              <w:right w:val="single" w:color="auto" w:sz="4" w:space="0"/>
            </w:tcBorders>
            <w:vAlign w:val="center"/>
          </w:tcPr>
          <w:p w14:paraId="75411DF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DOOR CONTACT,230VAC 2A</w:t>
            </w:r>
          </w:p>
        </w:tc>
        <w:tc>
          <w:tcPr>
            <w:tcW w:w="592" w:type="pct"/>
            <w:tcBorders>
              <w:top w:val="nil"/>
              <w:left w:val="nil"/>
              <w:bottom w:val="single" w:color="auto" w:sz="4" w:space="0"/>
              <w:right w:val="single" w:color="auto" w:sz="4" w:space="0"/>
            </w:tcBorders>
            <w:vAlign w:val="center"/>
          </w:tcPr>
          <w:p w14:paraId="5E280CA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36A18C08">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3A36E71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128</w:t>
            </w:r>
          </w:p>
        </w:tc>
        <w:tc>
          <w:tcPr>
            <w:tcW w:w="1420" w:type="pct"/>
            <w:tcBorders>
              <w:top w:val="nil"/>
              <w:left w:val="nil"/>
              <w:bottom w:val="single" w:color="auto" w:sz="4" w:space="0"/>
              <w:right w:val="single" w:color="auto" w:sz="4" w:space="0"/>
            </w:tcBorders>
            <w:vAlign w:val="center"/>
          </w:tcPr>
          <w:p w14:paraId="674CDDF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开关电源 EDP-150D-24</w:t>
            </w:r>
          </w:p>
        </w:tc>
        <w:tc>
          <w:tcPr>
            <w:tcW w:w="578" w:type="pct"/>
            <w:tcBorders>
              <w:top w:val="nil"/>
              <w:left w:val="nil"/>
              <w:bottom w:val="single" w:color="auto" w:sz="4" w:space="0"/>
              <w:right w:val="single" w:color="auto" w:sz="4" w:space="0"/>
            </w:tcBorders>
            <w:vAlign w:val="center"/>
          </w:tcPr>
          <w:p w14:paraId="0AECEAF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3DFE8DC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282</w:t>
            </w:r>
          </w:p>
        </w:tc>
        <w:tc>
          <w:tcPr>
            <w:tcW w:w="1587" w:type="pct"/>
            <w:tcBorders>
              <w:top w:val="nil"/>
              <w:left w:val="nil"/>
              <w:bottom w:val="single" w:color="auto" w:sz="4" w:space="0"/>
              <w:right w:val="single" w:color="auto" w:sz="4" w:space="0"/>
            </w:tcBorders>
            <w:vAlign w:val="center"/>
          </w:tcPr>
          <w:p w14:paraId="6990C2E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同步钢丝绳,AMDL,L=4400MM</w:t>
            </w:r>
          </w:p>
        </w:tc>
        <w:tc>
          <w:tcPr>
            <w:tcW w:w="592" w:type="pct"/>
            <w:tcBorders>
              <w:top w:val="nil"/>
              <w:left w:val="nil"/>
              <w:bottom w:val="single" w:color="auto" w:sz="4" w:space="0"/>
              <w:right w:val="single" w:color="auto" w:sz="4" w:space="0"/>
            </w:tcBorders>
            <w:vAlign w:val="center"/>
          </w:tcPr>
          <w:p w14:paraId="71932FE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2B4E97C1">
        <w:tblPrEx>
          <w:tblCellMar>
            <w:top w:w="0" w:type="dxa"/>
            <w:left w:w="108" w:type="dxa"/>
            <w:bottom w:w="0" w:type="dxa"/>
            <w:right w:w="108" w:type="dxa"/>
          </w:tblCellMar>
        </w:tblPrEx>
        <w:trPr>
          <w:trHeight w:val="480" w:hRule="atLeast"/>
        </w:trPr>
        <w:tc>
          <w:tcPr>
            <w:tcW w:w="400" w:type="pct"/>
            <w:tcBorders>
              <w:top w:val="nil"/>
              <w:left w:val="single" w:color="auto" w:sz="4" w:space="0"/>
              <w:bottom w:val="single" w:color="auto" w:sz="4" w:space="0"/>
              <w:right w:val="single" w:color="auto" w:sz="4" w:space="0"/>
            </w:tcBorders>
            <w:vAlign w:val="center"/>
          </w:tcPr>
          <w:p w14:paraId="6E85E3F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129</w:t>
            </w:r>
          </w:p>
        </w:tc>
        <w:tc>
          <w:tcPr>
            <w:tcW w:w="1420" w:type="pct"/>
            <w:tcBorders>
              <w:top w:val="nil"/>
              <w:left w:val="nil"/>
              <w:bottom w:val="single" w:color="auto" w:sz="4" w:space="0"/>
              <w:right w:val="single" w:color="auto" w:sz="4" w:space="0"/>
            </w:tcBorders>
            <w:vAlign w:val="center"/>
          </w:tcPr>
          <w:p w14:paraId="2186C15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补偿链导向圈</w:t>
            </w:r>
          </w:p>
        </w:tc>
        <w:tc>
          <w:tcPr>
            <w:tcW w:w="578" w:type="pct"/>
            <w:tcBorders>
              <w:top w:val="nil"/>
              <w:left w:val="nil"/>
              <w:bottom w:val="single" w:color="auto" w:sz="4" w:space="0"/>
              <w:right w:val="single" w:color="auto" w:sz="4" w:space="0"/>
            </w:tcBorders>
            <w:vAlign w:val="center"/>
          </w:tcPr>
          <w:p w14:paraId="49B3D4F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12FEB21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283</w:t>
            </w:r>
          </w:p>
        </w:tc>
        <w:tc>
          <w:tcPr>
            <w:tcW w:w="1587" w:type="pct"/>
            <w:tcBorders>
              <w:top w:val="nil"/>
              <w:left w:val="nil"/>
              <w:bottom w:val="single" w:color="auto" w:sz="4" w:space="0"/>
              <w:right w:val="single" w:color="auto" w:sz="4" w:space="0"/>
            </w:tcBorders>
            <w:vAlign w:val="center"/>
          </w:tcPr>
          <w:p w14:paraId="500327C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DEEP GROOVE BALL BEARING,6305-2RS C3</w:t>
            </w:r>
          </w:p>
        </w:tc>
        <w:tc>
          <w:tcPr>
            <w:tcW w:w="592" w:type="pct"/>
            <w:tcBorders>
              <w:top w:val="nil"/>
              <w:left w:val="nil"/>
              <w:bottom w:val="single" w:color="auto" w:sz="4" w:space="0"/>
              <w:right w:val="single" w:color="auto" w:sz="4" w:space="0"/>
            </w:tcBorders>
            <w:vAlign w:val="center"/>
          </w:tcPr>
          <w:p w14:paraId="241A983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1065CCB5">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012080D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130</w:t>
            </w:r>
          </w:p>
        </w:tc>
        <w:tc>
          <w:tcPr>
            <w:tcW w:w="1420" w:type="pct"/>
            <w:tcBorders>
              <w:top w:val="nil"/>
              <w:left w:val="nil"/>
              <w:bottom w:val="single" w:color="auto" w:sz="4" w:space="0"/>
              <w:right w:val="single" w:color="auto" w:sz="4" w:space="0"/>
            </w:tcBorders>
            <w:vAlign w:val="center"/>
          </w:tcPr>
          <w:p w14:paraId="56FA59C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AUGUSTA门球架组件</w:t>
            </w:r>
          </w:p>
        </w:tc>
        <w:tc>
          <w:tcPr>
            <w:tcW w:w="578" w:type="pct"/>
            <w:tcBorders>
              <w:top w:val="nil"/>
              <w:left w:val="nil"/>
              <w:bottom w:val="single" w:color="auto" w:sz="4" w:space="0"/>
              <w:right w:val="single" w:color="auto" w:sz="4" w:space="0"/>
            </w:tcBorders>
            <w:vAlign w:val="center"/>
          </w:tcPr>
          <w:p w14:paraId="5D539D5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6BC8A4D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284</w:t>
            </w:r>
          </w:p>
        </w:tc>
        <w:tc>
          <w:tcPr>
            <w:tcW w:w="1587" w:type="pct"/>
            <w:tcBorders>
              <w:top w:val="nil"/>
              <w:left w:val="nil"/>
              <w:bottom w:val="single" w:color="auto" w:sz="4" w:space="0"/>
              <w:right w:val="single" w:color="auto" w:sz="4" w:space="0"/>
            </w:tcBorders>
            <w:vAlign w:val="center"/>
          </w:tcPr>
          <w:p w14:paraId="0B68C4D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对重导靴垫片</w:t>
            </w:r>
          </w:p>
        </w:tc>
        <w:tc>
          <w:tcPr>
            <w:tcW w:w="592" w:type="pct"/>
            <w:tcBorders>
              <w:top w:val="nil"/>
              <w:left w:val="nil"/>
              <w:bottom w:val="single" w:color="auto" w:sz="4" w:space="0"/>
              <w:right w:val="single" w:color="auto" w:sz="4" w:space="0"/>
            </w:tcBorders>
            <w:vAlign w:val="center"/>
          </w:tcPr>
          <w:p w14:paraId="4D53516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29BF0582">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2C6B06C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131</w:t>
            </w:r>
          </w:p>
        </w:tc>
        <w:tc>
          <w:tcPr>
            <w:tcW w:w="1420" w:type="pct"/>
            <w:tcBorders>
              <w:top w:val="nil"/>
              <w:left w:val="nil"/>
              <w:bottom w:val="single" w:color="auto" w:sz="4" w:space="0"/>
              <w:right w:val="single" w:color="auto" w:sz="4" w:space="0"/>
            </w:tcBorders>
            <w:vAlign w:val="center"/>
          </w:tcPr>
          <w:p w14:paraId="20EF138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SLG21导靴靴衬，导轨宽度9mm</w:t>
            </w:r>
          </w:p>
        </w:tc>
        <w:tc>
          <w:tcPr>
            <w:tcW w:w="578" w:type="pct"/>
            <w:tcBorders>
              <w:top w:val="nil"/>
              <w:left w:val="nil"/>
              <w:bottom w:val="single" w:color="auto" w:sz="4" w:space="0"/>
              <w:right w:val="single" w:color="auto" w:sz="4" w:space="0"/>
            </w:tcBorders>
            <w:vAlign w:val="center"/>
          </w:tcPr>
          <w:p w14:paraId="0ECBD2D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3C655F6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285</w:t>
            </w:r>
          </w:p>
        </w:tc>
        <w:tc>
          <w:tcPr>
            <w:tcW w:w="1587" w:type="pct"/>
            <w:tcBorders>
              <w:top w:val="nil"/>
              <w:left w:val="nil"/>
              <w:bottom w:val="single" w:color="auto" w:sz="4" w:space="0"/>
              <w:right w:val="single" w:color="auto" w:sz="4" w:space="0"/>
            </w:tcBorders>
            <w:vAlign w:val="center"/>
          </w:tcPr>
          <w:p w14:paraId="180A84B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控制柜锁（弹簧式）</w:t>
            </w:r>
          </w:p>
        </w:tc>
        <w:tc>
          <w:tcPr>
            <w:tcW w:w="592" w:type="pct"/>
            <w:tcBorders>
              <w:top w:val="nil"/>
              <w:left w:val="nil"/>
              <w:bottom w:val="single" w:color="auto" w:sz="4" w:space="0"/>
              <w:right w:val="single" w:color="auto" w:sz="4" w:space="0"/>
            </w:tcBorders>
            <w:vAlign w:val="center"/>
          </w:tcPr>
          <w:p w14:paraId="6692D33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425CBB70">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20431C1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132</w:t>
            </w:r>
          </w:p>
        </w:tc>
        <w:tc>
          <w:tcPr>
            <w:tcW w:w="1420" w:type="pct"/>
            <w:tcBorders>
              <w:top w:val="nil"/>
              <w:left w:val="nil"/>
              <w:bottom w:val="single" w:color="auto" w:sz="4" w:space="0"/>
              <w:right w:val="single" w:color="auto" w:sz="4" w:space="0"/>
            </w:tcBorders>
            <w:vAlign w:val="center"/>
          </w:tcPr>
          <w:p w14:paraId="4999DD0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靴衬10mm</w:t>
            </w:r>
          </w:p>
        </w:tc>
        <w:tc>
          <w:tcPr>
            <w:tcW w:w="578" w:type="pct"/>
            <w:tcBorders>
              <w:top w:val="nil"/>
              <w:left w:val="nil"/>
              <w:bottom w:val="single" w:color="auto" w:sz="4" w:space="0"/>
              <w:right w:val="single" w:color="auto" w:sz="4" w:space="0"/>
            </w:tcBorders>
            <w:vAlign w:val="center"/>
          </w:tcPr>
          <w:p w14:paraId="2EC1F9C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629796F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286</w:t>
            </w:r>
          </w:p>
        </w:tc>
        <w:tc>
          <w:tcPr>
            <w:tcW w:w="1587" w:type="pct"/>
            <w:tcBorders>
              <w:top w:val="nil"/>
              <w:left w:val="nil"/>
              <w:bottom w:val="single" w:color="auto" w:sz="4" w:space="0"/>
              <w:right w:val="single" w:color="auto" w:sz="4" w:space="0"/>
            </w:tcBorders>
            <w:vAlign w:val="center"/>
          </w:tcPr>
          <w:p w14:paraId="6C87557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深沟槽滚珠轴承 6210-2Z</w:t>
            </w:r>
          </w:p>
        </w:tc>
        <w:tc>
          <w:tcPr>
            <w:tcW w:w="592" w:type="pct"/>
            <w:tcBorders>
              <w:top w:val="nil"/>
              <w:left w:val="nil"/>
              <w:bottom w:val="single" w:color="auto" w:sz="4" w:space="0"/>
              <w:right w:val="single" w:color="auto" w:sz="4" w:space="0"/>
            </w:tcBorders>
            <w:vAlign w:val="center"/>
          </w:tcPr>
          <w:p w14:paraId="1EE7EC3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25CBDCF4">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7A8F94E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133</w:t>
            </w:r>
          </w:p>
        </w:tc>
        <w:tc>
          <w:tcPr>
            <w:tcW w:w="1420" w:type="pct"/>
            <w:tcBorders>
              <w:top w:val="nil"/>
              <w:left w:val="nil"/>
              <w:bottom w:val="single" w:color="auto" w:sz="4" w:space="0"/>
              <w:right w:val="single" w:color="auto" w:sz="4" w:space="0"/>
            </w:tcBorders>
            <w:vAlign w:val="center"/>
          </w:tcPr>
          <w:p w14:paraId="715013E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TENSION WEIGHT PULLEY</w:t>
            </w:r>
          </w:p>
        </w:tc>
        <w:tc>
          <w:tcPr>
            <w:tcW w:w="578" w:type="pct"/>
            <w:tcBorders>
              <w:top w:val="nil"/>
              <w:left w:val="nil"/>
              <w:bottom w:val="single" w:color="auto" w:sz="4" w:space="0"/>
              <w:right w:val="single" w:color="auto" w:sz="4" w:space="0"/>
            </w:tcBorders>
            <w:vAlign w:val="center"/>
          </w:tcPr>
          <w:p w14:paraId="2818180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3F5E844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287</w:t>
            </w:r>
          </w:p>
        </w:tc>
        <w:tc>
          <w:tcPr>
            <w:tcW w:w="1587" w:type="pct"/>
            <w:tcBorders>
              <w:top w:val="nil"/>
              <w:left w:val="nil"/>
              <w:bottom w:val="single" w:color="auto" w:sz="4" w:space="0"/>
              <w:right w:val="single" w:color="auto" w:sz="4" w:space="0"/>
            </w:tcBorders>
            <w:vAlign w:val="center"/>
          </w:tcPr>
          <w:p w14:paraId="2806944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LED电源，549/849 1X2</w:t>
            </w:r>
          </w:p>
        </w:tc>
        <w:tc>
          <w:tcPr>
            <w:tcW w:w="592" w:type="pct"/>
            <w:tcBorders>
              <w:top w:val="nil"/>
              <w:left w:val="nil"/>
              <w:bottom w:val="single" w:color="auto" w:sz="4" w:space="0"/>
              <w:right w:val="single" w:color="auto" w:sz="4" w:space="0"/>
            </w:tcBorders>
            <w:vAlign w:val="center"/>
          </w:tcPr>
          <w:p w14:paraId="1F734FD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792C490B">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18E8464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134</w:t>
            </w:r>
          </w:p>
        </w:tc>
        <w:tc>
          <w:tcPr>
            <w:tcW w:w="1420" w:type="pct"/>
            <w:tcBorders>
              <w:top w:val="nil"/>
              <w:left w:val="nil"/>
              <w:bottom w:val="single" w:color="auto" w:sz="4" w:space="0"/>
              <w:right w:val="single" w:color="auto" w:sz="4" w:space="0"/>
            </w:tcBorders>
            <w:vAlign w:val="center"/>
          </w:tcPr>
          <w:p w14:paraId="21DD9A4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KDS底层向上按钮4芯线</w:t>
            </w:r>
          </w:p>
        </w:tc>
        <w:tc>
          <w:tcPr>
            <w:tcW w:w="578" w:type="pct"/>
            <w:tcBorders>
              <w:top w:val="nil"/>
              <w:left w:val="nil"/>
              <w:bottom w:val="single" w:color="auto" w:sz="4" w:space="0"/>
              <w:right w:val="single" w:color="auto" w:sz="4" w:space="0"/>
            </w:tcBorders>
            <w:vAlign w:val="center"/>
          </w:tcPr>
          <w:p w14:paraId="4D74EA1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1944583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288</w:t>
            </w:r>
          </w:p>
        </w:tc>
        <w:tc>
          <w:tcPr>
            <w:tcW w:w="1587" w:type="pct"/>
            <w:tcBorders>
              <w:top w:val="nil"/>
              <w:left w:val="nil"/>
              <w:bottom w:val="single" w:color="auto" w:sz="4" w:space="0"/>
              <w:right w:val="single" w:color="auto" w:sz="4" w:space="0"/>
            </w:tcBorders>
            <w:vAlign w:val="center"/>
          </w:tcPr>
          <w:p w14:paraId="6DF8AE6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门球</w:t>
            </w:r>
          </w:p>
        </w:tc>
        <w:tc>
          <w:tcPr>
            <w:tcW w:w="592" w:type="pct"/>
            <w:tcBorders>
              <w:top w:val="nil"/>
              <w:left w:val="nil"/>
              <w:bottom w:val="single" w:color="auto" w:sz="4" w:space="0"/>
              <w:right w:val="single" w:color="auto" w:sz="4" w:space="0"/>
            </w:tcBorders>
            <w:vAlign w:val="center"/>
          </w:tcPr>
          <w:p w14:paraId="7847E51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3F5C2AFB">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32FB12E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135</w:t>
            </w:r>
          </w:p>
        </w:tc>
        <w:tc>
          <w:tcPr>
            <w:tcW w:w="1420" w:type="pct"/>
            <w:tcBorders>
              <w:top w:val="nil"/>
              <w:left w:val="nil"/>
              <w:bottom w:val="single" w:color="auto" w:sz="4" w:space="0"/>
              <w:right w:val="single" w:color="auto" w:sz="4" w:space="0"/>
            </w:tcBorders>
            <w:vAlign w:val="center"/>
          </w:tcPr>
          <w:p w14:paraId="6511BF2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AMD D1钢芯门机皮带,L=4400MM</w:t>
            </w:r>
          </w:p>
        </w:tc>
        <w:tc>
          <w:tcPr>
            <w:tcW w:w="578" w:type="pct"/>
            <w:tcBorders>
              <w:top w:val="nil"/>
              <w:left w:val="nil"/>
              <w:bottom w:val="single" w:color="auto" w:sz="4" w:space="0"/>
              <w:right w:val="single" w:color="auto" w:sz="4" w:space="0"/>
            </w:tcBorders>
            <w:vAlign w:val="center"/>
          </w:tcPr>
          <w:p w14:paraId="74DFFA3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4F8ED3C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289</w:t>
            </w:r>
          </w:p>
        </w:tc>
        <w:tc>
          <w:tcPr>
            <w:tcW w:w="1587" w:type="pct"/>
            <w:tcBorders>
              <w:top w:val="nil"/>
              <w:left w:val="nil"/>
              <w:bottom w:val="single" w:color="auto" w:sz="4" w:space="0"/>
              <w:right w:val="single" w:color="auto" w:sz="4" w:space="0"/>
            </w:tcBorders>
            <w:vAlign w:val="center"/>
          </w:tcPr>
          <w:p w14:paraId="355FD50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SLG8导靴，导轨宽度9 mm</w:t>
            </w:r>
          </w:p>
        </w:tc>
        <w:tc>
          <w:tcPr>
            <w:tcW w:w="592" w:type="pct"/>
            <w:tcBorders>
              <w:top w:val="nil"/>
              <w:left w:val="nil"/>
              <w:bottom w:val="single" w:color="auto" w:sz="4" w:space="0"/>
              <w:right w:val="single" w:color="auto" w:sz="4" w:space="0"/>
            </w:tcBorders>
            <w:vAlign w:val="center"/>
          </w:tcPr>
          <w:p w14:paraId="387D70C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37C71CA4">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4DE9AAD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136</w:t>
            </w:r>
          </w:p>
        </w:tc>
        <w:tc>
          <w:tcPr>
            <w:tcW w:w="1420" w:type="pct"/>
            <w:tcBorders>
              <w:top w:val="nil"/>
              <w:left w:val="nil"/>
              <w:bottom w:val="single" w:color="auto" w:sz="4" w:space="0"/>
              <w:right w:val="single" w:color="auto" w:sz="4" w:space="0"/>
            </w:tcBorders>
            <w:vAlign w:val="center"/>
          </w:tcPr>
          <w:p w14:paraId="184CA54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对讲机电源适配器 KON12P</w:t>
            </w:r>
          </w:p>
        </w:tc>
        <w:tc>
          <w:tcPr>
            <w:tcW w:w="578" w:type="pct"/>
            <w:tcBorders>
              <w:top w:val="nil"/>
              <w:left w:val="nil"/>
              <w:bottom w:val="single" w:color="auto" w:sz="4" w:space="0"/>
              <w:right w:val="single" w:color="auto" w:sz="4" w:space="0"/>
            </w:tcBorders>
            <w:vAlign w:val="center"/>
          </w:tcPr>
          <w:p w14:paraId="4F6E134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4CE5526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290</w:t>
            </w:r>
          </w:p>
        </w:tc>
        <w:tc>
          <w:tcPr>
            <w:tcW w:w="1587" w:type="pct"/>
            <w:tcBorders>
              <w:top w:val="nil"/>
              <w:left w:val="nil"/>
              <w:bottom w:val="single" w:color="auto" w:sz="4" w:space="0"/>
              <w:right w:val="single" w:color="auto" w:sz="4" w:space="0"/>
            </w:tcBorders>
            <w:vAlign w:val="center"/>
          </w:tcPr>
          <w:p w14:paraId="1496C5D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电子整流器,YZ28×2D-7</w:t>
            </w:r>
          </w:p>
        </w:tc>
        <w:tc>
          <w:tcPr>
            <w:tcW w:w="592" w:type="pct"/>
            <w:tcBorders>
              <w:top w:val="nil"/>
              <w:left w:val="nil"/>
              <w:bottom w:val="single" w:color="auto" w:sz="4" w:space="0"/>
              <w:right w:val="single" w:color="auto" w:sz="4" w:space="0"/>
            </w:tcBorders>
            <w:vAlign w:val="center"/>
          </w:tcPr>
          <w:p w14:paraId="7731423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41FD838B">
        <w:tblPrEx>
          <w:tblCellMar>
            <w:top w:w="0" w:type="dxa"/>
            <w:left w:w="108" w:type="dxa"/>
            <w:bottom w:w="0" w:type="dxa"/>
            <w:right w:w="108" w:type="dxa"/>
          </w:tblCellMar>
        </w:tblPrEx>
        <w:trPr>
          <w:trHeight w:val="480" w:hRule="atLeast"/>
        </w:trPr>
        <w:tc>
          <w:tcPr>
            <w:tcW w:w="400" w:type="pct"/>
            <w:tcBorders>
              <w:top w:val="nil"/>
              <w:left w:val="single" w:color="auto" w:sz="4" w:space="0"/>
              <w:bottom w:val="single" w:color="auto" w:sz="4" w:space="0"/>
              <w:right w:val="single" w:color="auto" w:sz="4" w:space="0"/>
            </w:tcBorders>
            <w:vAlign w:val="center"/>
          </w:tcPr>
          <w:p w14:paraId="6CA28A6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137</w:t>
            </w:r>
          </w:p>
        </w:tc>
        <w:tc>
          <w:tcPr>
            <w:tcW w:w="1420" w:type="pct"/>
            <w:tcBorders>
              <w:top w:val="nil"/>
              <w:left w:val="nil"/>
              <w:bottom w:val="single" w:color="auto" w:sz="4" w:space="0"/>
              <w:right w:val="single" w:color="auto" w:sz="4" w:space="0"/>
            </w:tcBorders>
            <w:vAlign w:val="center"/>
          </w:tcPr>
          <w:p w14:paraId="32A5896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风扇 V3F25 DRIVE 230VAC 0.25A 40W</w:t>
            </w:r>
          </w:p>
        </w:tc>
        <w:tc>
          <w:tcPr>
            <w:tcW w:w="578" w:type="pct"/>
            <w:tcBorders>
              <w:top w:val="nil"/>
              <w:left w:val="nil"/>
              <w:bottom w:val="single" w:color="auto" w:sz="4" w:space="0"/>
              <w:right w:val="single" w:color="auto" w:sz="4" w:space="0"/>
            </w:tcBorders>
            <w:vAlign w:val="center"/>
          </w:tcPr>
          <w:p w14:paraId="139546E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60CDE9E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291</w:t>
            </w:r>
          </w:p>
        </w:tc>
        <w:tc>
          <w:tcPr>
            <w:tcW w:w="1587" w:type="pct"/>
            <w:tcBorders>
              <w:top w:val="nil"/>
              <w:left w:val="nil"/>
              <w:bottom w:val="single" w:color="auto" w:sz="4" w:space="0"/>
              <w:right w:val="single" w:color="auto" w:sz="4" w:space="0"/>
            </w:tcBorders>
            <w:vAlign w:val="center"/>
          </w:tcPr>
          <w:p w14:paraId="56922E0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主对讲机 KON12A</w:t>
            </w:r>
          </w:p>
        </w:tc>
        <w:tc>
          <w:tcPr>
            <w:tcW w:w="592" w:type="pct"/>
            <w:tcBorders>
              <w:top w:val="nil"/>
              <w:left w:val="nil"/>
              <w:bottom w:val="single" w:color="auto" w:sz="4" w:space="0"/>
              <w:right w:val="single" w:color="auto" w:sz="4" w:space="0"/>
            </w:tcBorders>
            <w:vAlign w:val="center"/>
          </w:tcPr>
          <w:p w14:paraId="40FCEC2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0765CCC0">
        <w:tblPrEx>
          <w:tblCellMar>
            <w:top w:w="0" w:type="dxa"/>
            <w:left w:w="108" w:type="dxa"/>
            <w:bottom w:w="0" w:type="dxa"/>
            <w:right w:w="108" w:type="dxa"/>
          </w:tblCellMar>
        </w:tblPrEx>
        <w:trPr>
          <w:trHeight w:val="480" w:hRule="atLeast"/>
        </w:trPr>
        <w:tc>
          <w:tcPr>
            <w:tcW w:w="400" w:type="pct"/>
            <w:tcBorders>
              <w:top w:val="nil"/>
              <w:left w:val="single" w:color="auto" w:sz="4" w:space="0"/>
              <w:bottom w:val="single" w:color="auto" w:sz="4" w:space="0"/>
              <w:right w:val="single" w:color="auto" w:sz="4" w:space="0"/>
            </w:tcBorders>
            <w:vAlign w:val="center"/>
          </w:tcPr>
          <w:p w14:paraId="35AC356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138</w:t>
            </w:r>
          </w:p>
        </w:tc>
        <w:tc>
          <w:tcPr>
            <w:tcW w:w="1420" w:type="pct"/>
            <w:tcBorders>
              <w:top w:val="nil"/>
              <w:left w:val="nil"/>
              <w:bottom w:val="single" w:color="auto" w:sz="4" w:space="0"/>
              <w:right w:val="single" w:color="auto" w:sz="4" w:space="0"/>
            </w:tcBorders>
            <w:vAlign w:val="center"/>
          </w:tcPr>
          <w:p w14:paraId="2A88817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接触器 230/440VAC 32A 7.5/15KW</w:t>
            </w:r>
          </w:p>
        </w:tc>
        <w:tc>
          <w:tcPr>
            <w:tcW w:w="578" w:type="pct"/>
            <w:tcBorders>
              <w:top w:val="nil"/>
              <w:left w:val="nil"/>
              <w:bottom w:val="single" w:color="auto" w:sz="4" w:space="0"/>
              <w:right w:val="single" w:color="auto" w:sz="4" w:space="0"/>
            </w:tcBorders>
            <w:vAlign w:val="center"/>
          </w:tcPr>
          <w:p w14:paraId="51DB60A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68190B1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292</w:t>
            </w:r>
          </w:p>
        </w:tc>
        <w:tc>
          <w:tcPr>
            <w:tcW w:w="1587" w:type="pct"/>
            <w:tcBorders>
              <w:top w:val="nil"/>
              <w:left w:val="nil"/>
              <w:bottom w:val="single" w:color="auto" w:sz="4" w:space="0"/>
              <w:right w:val="single" w:color="auto" w:sz="4" w:space="0"/>
            </w:tcBorders>
            <w:vAlign w:val="center"/>
          </w:tcPr>
          <w:p w14:paraId="23CB525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滑动导靴, SLG1A A=16.5MM</w:t>
            </w:r>
          </w:p>
        </w:tc>
        <w:tc>
          <w:tcPr>
            <w:tcW w:w="592" w:type="pct"/>
            <w:tcBorders>
              <w:top w:val="nil"/>
              <w:left w:val="nil"/>
              <w:bottom w:val="single" w:color="auto" w:sz="4" w:space="0"/>
              <w:right w:val="single" w:color="auto" w:sz="4" w:space="0"/>
            </w:tcBorders>
            <w:vAlign w:val="center"/>
          </w:tcPr>
          <w:p w14:paraId="4A21A28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6E417D32">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676C86D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139</w:t>
            </w:r>
          </w:p>
        </w:tc>
        <w:tc>
          <w:tcPr>
            <w:tcW w:w="1420" w:type="pct"/>
            <w:tcBorders>
              <w:top w:val="nil"/>
              <w:left w:val="nil"/>
              <w:bottom w:val="single" w:color="auto" w:sz="4" w:space="0"/>
              <w:right w:val="single" w:color="auto" w:sz="4" w:space="0"/>
            </w:tcBorders>
            <w:vAlign w:val="center"/>
          </w:tcPr>
          <w:p w14:paraId="497DBC9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急停开关</w:t>
            </w:r>
          </w:p>
        </w:tc>
        <w:tc>
          <w:tcPr>
            <w:tcW w:w="578" w:type="pct"/>
            <w:tcBorders>
              <w:top w:val="nil"/>
              <w:left w:val="nil"/>
              <w:bottom w:val="single" w:color="auto" w:sz="4" w:space="0"/>
              <w:right w:val="single" w:color="auto" w:sz="4" w:space="0"/>
            </w:tcBorders>
            <w:vAlign w:val="center"/>
          </w:tcPr>
          <w:p w14:paraId="77B81E6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6D734EC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293</w:t>
            </w:r>
          </w:p>
        </w:tc>
        <w:tc>
          <w:tcPr>
            <w:tcW w:w="1587" w:type="pct"/>
            <w:tcBorders>
              <w:top w:val="nil"/>
              <w:left w:val="nil"/>
              <w:bottom w:val="single" w:color="auto" w:sz="4" w:space="0"/>
              <w:right w:val="single" w:color="auto" w:sz="4" w:space="0"/>
            </w:tcBorders>
            <w:vAlign w:val="center"/>
          </w:tcPr>
          <w:p w14:paraId="7BA2F23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COP 按键开关集合 OSS(CN)</w:t>
            </w:r>
          </w:p>
        </w:tc>
        <w:tc>
          <w:tcPr>
            <w:tcW w:w="592" w:type="pct"/>
            <w:tcBorders>
              <w:top w:val="nil"/>
              <w:left w:val="nil"/>
              <w:bottom w:val="single" w:color="auto" w:sz="4" w:space="0"/>
              <w:right w:val="single" w:color="auto" w:sz="4" w:space="0"/>
            </w:tcBorders>
            <w:vAlign w:val="center"/>
          </w:tcPr>
          <w:p w14:paraId="353285B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3F97CB07">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616CE9B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140</w:t>
            </w:r>
          </w:p>
        </w:tc>
        <w:tc>
          <w:tcPr>
            <w:tcW w:w="1420" w:type="pct"/>
            <w:tcBorders>
              <w:top w:val="nil"/>
              <w:left w:val="nil"/>
              <w:bottom w:val="single" w:color="auto" w:sz="4" w:space="0"/>
              <w:right w:val="single" w:color="auto" w:sz="4" w:space="0"/>
            </w:tcBorders>
            <w:vAlign w:val="center"/>
          </w:tcPr>
          <w:p w14:paraId="2A4DEEF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磁铁条 6x15x270</w:t>
            </w:r>
          </w:p>
        </w:tc>
        <w:tc>
          <w:tcPr>
            <w:tcW w:w="578" w:type="pct"/>
            <w:tcBorders>
              <w:top w:val="nil"/>
              <w:left w:val="nil"/>
              <w:bottom w:val="single" w:color="auto" w:sz="4" w:space="0"/>
              <w:right w:val="single" w:color="auto" w:sz="4" w:space="0"/>
            </w:tcBorders>
            <w:vAlign w:val="center"/>
          </w:tcPr>
          <w:p w14:paraId="0AD52E0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2F53BA8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294</w:t>
            </w:r>
          </w:p>
        </w:tc>
        <w:tc>
          <w:tcPr>
            <w:tcW w:w="1587" w:type="pct"/>
            <w:tcBorders>
              <w:top w:val="nil"/>
              <w:left w:val="nil"/>
              <w:bottom w:val="single" w:color="auto" w:sz="4" w:space="0"/>
              <w:right w:val="single" w:color="auto" w:sz="4" w:space="0"/>
            </w:tcBorders>
            <w:vAlign w:val="center"/>
          </w:tcPr>
          <w:p w14:paraId="3A26B94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滚珠轴承6310-2RS SPEC</w:t>
            </w:r>
          </w:p>
        </w:tc>
        <w:tc>
          <w:tcPr>
            <w:tcW w:w="592" w:type="pct"/>
            <w:tcBorders>
              <w:top w:val="nil"/>
              <w:left w:val="nil"/>
              <w:bottom w:val="single" w:color="auto" w:sz="4" w:space="0"/>
              <w:right w:val="single" w:color="auto" w:sz="4" w:space="0"/>
            </w:tcBorders>
            <w:vAlign w:val="center"/>
          </w:tcPr>
          <w:p w14:paraId="7A9EF7D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13A70A04">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3D549B3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141</w:t>
            </w:r>
          </w:p>
        </w:tc>
        <w:tc>
          <w:tcPr>
            <w:tcW w:w="1420" w:type="pct"/>
            <w:tcBorders>
              <w:top w:val="nil"/>
              <w:left w:val="nil"/>
              <w:bottom w:val="single" w:color="auto" w:sz="4" w:space="0"/>
              <w:right w:val="single" w:color="auto" w:sz="4" w:space="0"/>
            </w:tcBorders>
            <w:vAlign w:val="center"/>
          </w:tcPr>
          <w:p w14:paraId="71D283D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SLG21导靴，导轨宽度9mm</w:t>
            </w:r>
          </w:p>
        </w:tc>
        <w:tc>
          <w:tcPr>
            <w:tcW w:w="578" w:type="pct"/>
            <w:tcBorders>
              <w:top w:val="nil"/>
              <w:left w:val="nil"/>
              <w:bottom w:val="single" w:color="auto" w:sz="4" w:space="0"/>
              <w:right w:val="single" w:color="auto" w:sz="4" w:space="0"/>
            </w:tcBorders>
            <w:vAlign w:val="center"/>
          </w:tcPr>
          <w:p w14:paraId="34197FB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51446B0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295</w:t>
            </w:r>
          </w:p>
        </w:tc>
        <w:tc>
          <w:tcPr>
            <w:tcW w:w="1587" w:type="pct"/>
            <w:tcBorders>
              <w:top w:val="nil"/>
              <w:left w:val="nil"/>
              <w:bottom w:val="single" w:color="auto" w:sz="4" w:space="0"/>
              <w:right w:val="single" w:color="auto" w:sz="4" w:space="0"/>
            </w:tcBorders>
            <w:vAlign w:val="center"/>
          </w:tcPr>
          <w:p w14:paraId="48CA376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SLG21导靴靴衬，导轨宽度10mm</w:t>
            </w:r>
          </w:p>
        </w:tc>
        <w:tc>
          <w:tcPr>
            <w:tcW w:w="592" w:type="pct"/>
            <w:tcBorders>
              <w:top w:val="nil"/>
              <w:left w:val="nil"/>
              <w:bottom w:val="single" w:color="auto" w:sz="4" w:space="0"/>
              <w:right w:val="single" w:color="auto" w:sz="4" w:space="0"/>
            </w:tcBorders>
            <w:vAlign w:val="center"/>
          </w:tcPr>
          <w:p w14:paraId="10BBE75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05024CA1">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0A37F64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142</w:t>
            </w:r>
          </w:p>
        </w:tc>
        <w:tc>
          <w:tcPr>
            <w:tcW w:w="1420" w:type="pct"/>
            <w:tcBorders>
              <w:top w:val="nil"/>
              <w:left w:val="nil"/>
              <w:bottom w:val="single" w:color="auto" w:sz="4" w:space="0"/>
              <w:right w:val="single" w:color="auto" w:sz="4" w:space="0"/>
            </w:tcBorders>
            <w:vAlign w:val="center"/>
          </w:tcPr>
          <w:p w14:paraId="1FEFA57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LCEFCB板</w:t>
            </w:r>
          </w:p>
        </w:tc>
        <w:tc>
          <w:tcPr>
            <w:tcW w:w="578" w:type="pct"/>
            <w:tcBorders>
              <w:top w:val="nil"/>
              <w:left w:val="nil"/>
              <w:bottom w:val="single" w:color="auto" w:sz="4" w:space="0"/>
              <w:right w:val="single" w:color="auto" w:sz="4" w:space="0"/>
            </w:tcBorders>
            <w:vAlign w:val="center"/>
          </w:tcPr>
          <w:p w14:paraId="47AB650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154F8A1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296</w:t>
            </w:r>
          </w:p>
        </w:tc>
        <w:tc>
          <w:tcPr>
            <w:tcW w:w="1587" w:type="pct"/>
            <w:tcBorders>
              <w:top w:val="nil"/>
              <w:left w:val="nil"/>
              <w:bottom w:val="single" w:color="auto" w:sz="4" w:space="0"/>
              <w:right w:val="single" w:color="auto" w:sz="4" w:space="0"/>
            </w:tcBorders>
            <w:vAlign w:val="center"/>
          </w:tcPr>
          <w:p w14:paraId="2772932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限位开关 500V 10A</w:t>
            </w:r>
          </w:p>
        </w:tc>
        <w:tc>
          <w:tcPr>
            <w:tcW w:w="592" w:type="pct"/>
            <w:tcBorders>
              <w:top w:val="nil"/>
              <w:left w:val="nil"/>
              <w:bottom w:val="single" w:color="auto" w:sz="4" w:space="0"/>
              <w:right w:val="single" w:color="auto" w:sz="4" w:space="0"/>
            </w:tcBorders>
            <w:vAlign w:val="center"/>
          </w:tcPr>
          <w:p w14:paraId="71848C2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77BE9E19">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44426B7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143</w:t>
            </w:r>
          </w:p>
        </w:tc>
        <w:tc>
          <w:tcPr>
            <w:tcW w:w="1420" w:type="pct"/>
            <w:tcBorders>
              <w:top w:val="nil"/>
              <w:left w:val="nil"/>
              <w:bottom w:val="single" w:color="auto" w:sz="4" w:space="0"/>
              <w:right w:val="single" w:color="auto" w:sz="4" w:space="0"/>
            </w:tcBorders>
            <w:vAlign w:val="center"/>
          </w:tcPr>
          <w:p w14:paraId="4321B02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接触器 3RH11 31-1AP00</w:t>
            </w:r>
          </w:p>
        </w:tc>
        <w:tc>
          <w:tcPr>
            <w:tcW w:w="578" w:type="pct"/>
            <w:tcBorders>
              <w:top w:val="nil"/>
              <w:left w:val="nil"/>
              <w:bottom w:val="single" w:color="auto" w:sz="4" w:space="0"/>
              <w:right w:val="single" w:color="auto" w:sz="4" w:space="0"/>
            </w:tcBorders>
            <w:vAlign w:val="center"/>
          </w:tcPr>
          <w:p w14:paraId="7E6FFF5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29A4974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297</w:t>
            </w:r>
          </w:p>
        </w:tc>
        <w:tc>
          <w:tcPr>
            <w:tcW w:w="1587" w:type="pct"/>
            <w:tcBorders>
              <w:top w:val="nil"/>
              <w:left w:val="nil"/>
              <w:bottom w:val="single" w:color="auto" w:sz="4" w:space="0"/>
              <w:right w:val="single" w:color="auto" w:sz="4" w:space="0"/>
            </w:tcBorders>
            <w:vAlign w:val="center"/>
          </w:tcPr>
          <w:p w14:paraId="2A4B9E3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DIVERTING PULLEY SET</w:t>
            </w:r>
          </w:p>
        </w:tc>
        <w:tc>
          <w:tcPr>
            <w:tcW w:w="592" w:type="pct"/>
            <w:tcBorders>
              <w:top w:val="nil"/>
              <w:left w:val="nil"/>
              <w:bottom w:val="single" w:color="auto" w:sz="4" w:space="0"/>
              <w:right w:val="single" w:color="auto" w:sz="4" w:space="0"/>
            </w:tcBorders>
            <w:vAlign w:val="center"/>
          </w:tcPr>
          <w:p w14:paraId="3201524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04508CF6">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66C40E4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144</w:t>
            </w:r>
          </w:p>
        </w:tc>
        <w:tc>
          <w:tcPr>
            <w:tcW w:w="1420" w:type="pct"/>
            <w:tcBorders>
              <w:top w:val="nil"/>
              <w:left w:val="nil"/>
              <w:bottom w:val="single" w:color="auto" w:sz="4" w:space="0"/>
              <w:right w:val="single" w:color="auto" w:sz="4" w:space="0"/>
            </w:tcBorders>
            <w:vAlign w:val="center"/>
          </w:tcPr>
          <w:p w14:paraId="0A64BAE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NBSL中分厅门被动门触座</w:t>
            </w:r>
          </w:p>
        </w:tc>
        <w:tc>
          <w:tcPr>
            <w:tcW w:w="578" w:type="pct"/>
            <w:tcBorders>
              <w:top w:val="nil"/>
              <w:left w:val="nil"/>
              <w:bottom w:val="single" w:color="auto" w:sz="4" w:space="0"/>
              <w:right w:val="single" w:color="auto" w:sz="4" w:space="0"/>
            </w:tcBorders>
            <w:vAlign w:val="center"/>
          </w:tcPr>
          <w:p w14:paraId="5562BBC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47C9CFC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298</w:t>
            </w:r>
          </w:p>
        </w:tc>
        <w:tc>
          <w:tcPr>
            <w:tcW w:w="1587" w:type="pct"/>
            <w:tcBorders>
              <w:top w:val="nil"/>
              <w:left w:val="nil"/>
              <w:bottom w:val="single" w:color="auto" w:sz="4" w:space="0"/>
              <w:right w:val="single" w:color="auto" w:sz="4" w:space="0"/>
            </w:tcBorders>
            <w:vAlign w:val="center"/>
          </w:tcPr>
          <w:p w14:paraId="2434D80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新版KDS50单显外呼液晶显示板，黑底</w:t>
            </w:r>
          </w:p>
        </w:tc>
        <w:tc>
          <w:tcPr>
            <w:tcW w:w="592" w:type="pct"/>
            <w:tcBorders>
              <w:top w:val="nil"/>
              <w:left w:val="nil"/>
              <w:bottom w:val="single" w:color="auto" w:sz="4" w:space="0"/>
              <w:right w:val="single" w:color="auto" w:sz="4" w:space="0"/>
            </w:tcBorders>
            <w:vAlign w:val="center"/>
          </w:tcPr>
          <w:p w14:paraId="1A4FD95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73D0AE1D">
        <w:tblPrEx>
          <w:tblCellMar>
            <w:top w:w="0" w:type="dxa"/>
            <w:left w:w="108" w:type="dxa"/>
            <w:bottom w:w="0" w:type="dxa"/>
            <w:right w:w="108" w:type="dxa"/>
          </w:tblCellMar>
        </w:tblPrEx>
        <w:trPr>
          <w:trHeight w:val="480" w:hRule="atLeast"/>
        </w:trPr>
        <w:tc>
          <w:tcPr>
            <w:tcW w:w="400" w:type="pct"/>
            <w:tcBorders>
              <w:top w:val="nil"/>
              <w:left w:val="single" w:color="auto" w:sz="4" w:space="0"/>
              <w:bottom w:val="single" w:color="auto" w:sz="4" w:space="0"/>
              <w:right w:val="single" w:color="auto" w:sz="4" w:space="0"/>
            </w:tcBorders>
            <w:vAlign w:val="center"/>
          </w:tcPr>
          <w:p w14:paraId="213C640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145</w:t>
            </w:r>
          </w:p>
        </w:tc>
        <w:tc>
          <w:tcPr>
            <w:tcW w:w="1420" w:type="pct"/>
            <w:tcBorders>
              <w:top w:val="nil"/>
              <w:left w:val="nil"/>
              <w:bottom w:val="single" w:color="auto" w:sz="4" w:space="0"/>
              <w:right w:val="single" w:color="auto" w:sz="4" w:space="0"/>
            </w:tcBorders>
            <w:vAlign w:val="center"/>
          </w:tcPr>
          <w:p w14:paraId="24D53B6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AUGUSTA同步绳轮</w:t>
            </w:r>
          </w:p>
        </w:tc>
        <w:tc>
          <w:tcPr>
            <w:tcW w:w="578" w:type="pct"/>
            <w:tcBorders>
              <w:top w:val="nil"/>
              <w:left w:val="nil"/>
              <w:bottom w:val="single" w:color="auto" w:sz="4" w:space="0"/>
              <w:right w:val="single" w:color="auto" w:sz="4" w:space="0"/>
            </w:tcBorders>
            <w:vAlign w:val="center"/>
          </w:tcPr>
          <w:p w14:paraId="2354AB5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023F23E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299</w:t>
            </w:r>
          </w:p>
        </w:tc>
        <w:tc>
          <w:tcPr>
            <w:tcW w:w="1587" w:type="pct"/>
            <w:tcBorders>
              <w:top w:val="nil"/>
              <w:left w:val="nil"/>
              <w:bottom w:val="single" w:color="auto" w:sz="4" w:space="0"/>
              <w:right w:val="single" w:color="auto" w:sz="4" w:space="0"/>
            </w:tcBorders>
            <w:vAlign w:val="center"/>
          </w:tcPr>
          <w:p w14:paraId="4B50CD8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4.3 INCH STN LCD 段码液晶,黑底白字</w:t>
            </w:r>
          </w:p>
        </w:tc>
        <w:tc>
          <w:tcPr>
            <w:tcW w:w="592" w:type="pct"/>
            <w:tcBorders>
              <w:top w:val="nil"/>
              <w:left w:val="nil"/>
              <w:bottom w:val="single" w:color="auto" w:sz="4" w:space="0"/>
              <w:right w:val="single" w:color="auto" w:sz="4" w:space="0"/>
            </w:tcBorders>
            <w:vAlign w:val="center"/>
          </w:tcPr>
          <w:p w14:paraId="75E8820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4E8B24D1">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27B486A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146</w:t>
            </w:r>
          </w:p>
        </w:tc>
        <w:tc>
          <w:tcPr>
            <w:tcW w:w="1420" w:type="pct"/>
            <w:tcBorders>
              <w:top w:val="nil"/>
              <w:left w:val="nil"/>
              <w:bottom w:val="single" w:color="auto" w:sz="4" w:space="0"/>
              <w:right w:val="single" w:color="auto" w:sz="4" w:space="0"/>
            </w:tcBorders>
            <w:vAlign w:val="center"/>
          </w:tcPr>
          <w:p w14:paraId="539E486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导靴大油杯，ABS,K=9 MM</w:t>
            </w:r>
          </w:p>
        </w:tc>
        <w:tc>
          <w:tcPr>
            <w:tcW w:w="578" w:type="pct"/>
            <w:tcBorders>
              <w:top w:val="nil"/>
              <w:left w:val="nil"/>
              <w:bottom w:val="single" w:color="auto" w:sz="4" w:space="0"/>
              <w:right w:val="single" w:color="auto" w:sz="4" w:space="0"/>
            </w:tcBorders>
            <w:vAlign w:val="center"/>
          </w:tcPr>
          <w:p w14:paraId="7A4B5BF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3813414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300</w:t>
            </w:r>
          </w:p>
        </w:tc>
        <w:tc>
          <w:tcPr>
            <w:tcW w:w="1587" w:type="pct"/>
            <w:tcBorders>
              <w:top w:val="nil"/>
              <w:left w:val="nil"/>
              <w:bottom w:val="single" w:color="auto" w:sz="4" w:space="0"/>
              <w:right w:val="single" w:color="auto" w:sz="4" w:space="0"/>
            </w:tcBorders>
            <w:vAlign w:val="center"/>
          </w:tcPr>
          <w:p w14:paraId="55BC566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ZJZ116-05涨紧轮</w:t>
            </w:r>
          </w:p>
        </w:tc>
        <w:tc>
          <w:tcPr>
            <w:tcW w:w="592" w:type="pct"/>
            <w:tcBorders>
              <w:top w:val="nil"/>
              <w:left w:val="nil"/>
              <w:bottom w:val="single" w:color="auto" w:sz="4" w:space="0"/>
              <w:right w:val="single" w:color="auto" w:sz="4" w:space="0"/>
            </w:tcBorders>
            <w:vAlign w:val="center"/>
          </w:tcPr>
          <w:p w14:paraId="354C635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326AA8E6">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4B10529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147</w:t>
            </w:r>
          </w:p>
        </w:tc>
        <w:tc>
          <w:tcPr>
            <w:tcW w:w="1420" w:type="pct"/>
            <w:tcBorders>
              <w:top w:val="nil"/>
              <w:left w:val="nil"/>
              <w:bottom w:val="single" w:color="auto" w:sz="4" w:space="0"/>
              <w:right w:val="single" w:color="auto" w:sz="4" w:space="0"/>
            </w:tcBorders>
            <w:vAlign w:val="center"/>
          </w:tcPr>
          <w:p w14:paraId="4C3C936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靴衬 9 MM</w:t>
            </w:r>
          </w:p>
        </w:tc>
        <w:tc>
          <w:tcPr>
            <w:tcW w:w="578" w:type="pct"/>
            <w:tcBorders>
              <w:top w:val="nil"/>
              <w:left w:val="nil"/>
              <w:bottom w:val="single" w:color="auto" w:sz="4" w:space="0"/>
              <w:right w:val="single" w:color="auto" w:sz="4" w:space="0"/>
            </w:tcBorders>
            <w:vAlign w:val="center"/>
          </w:tcPr>
          <w:p w14:paraId="4AF0245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79AE3D5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301</w:t>
            </w:r>
          </w:p>
        </w:tc>
        <w:tc>
          <w:tcPr>
            <w:tcW w:w="1587" w:type="pct"/>
            <w:tcBorders>
              <w:top w:val="nil"/>
              <w:left w:val="nil"/>
              <w:bottom w:val="single" w:color="auto" w:sz="4" w:space="0"/>
              <w:right w:val="single" w:color="auto" w:sz="4" w:space="0"/>
            </w:tcBorders>
            <w:vAlign w:val="center"/>
          </w:tcPr>
          <w:p w14:paraId="2C73635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LCECOB与LCECEB连接电缆 0.3米</w:t>
            </w:r>
          </w:p>
        </w:tc>
        <w:tc>
          <w:tcPr>
            <w:tcW w:w="592" w:type="pct"/>
            <w:tcBorders>
              <w:top w:val="nil"/>
              <w:left w:val="nil"/>
              <w:bottom w:val="single" w:color="auto" w:sz="4" w:space="0"/>
              <w:right w:val="single" w:color="auto" w:sz="4" w:space="0"/>
            </w:tcBorders>
            <w:vAlign w:val="center"/>
          </w:tcPr>
          <w:p w14:paraId="61B6871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167626F0">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40DE43F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148</w:t>
            </w:r>
          </w:p>
        </w:tc>
        <w:tc>
          <w:tcPr>
            <w:tcW w:w="1420" w:type="pct"/>
            <w:tcBorders>
              <w:top w:val="nil"/>
              <w:left w:val="nil"/>
              <w:bottom w:val="single" w:color="auto" w:sz="4" w:space="0"/>
              <w:right w:val="single" w:color="auto" w:sz="4" w:space="0"/>
            </w:tcBorders>
            <w:vAlign w:val="center"/>
          </w:tcPr>
          <w:p w14:paraId="29E22E5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磁条,80X20X12MM</w:t>
            </w:r>
          </w:p>
        </w:tc>
        <w:tc>
          <w:tcPr>
            <w:tcW w:w="578" w:type="pct"/>
            <w:tcBorders>
              <w:top w:val="nil"/>
              <w:left w:val="nil"/>
              <w:bottom w:val="single" w:color="auto" w:sz="4" w:space="0"/>
              <w:right w:val="single" w:color="auto" w:sz="4" w:space="0"/>
            </w:tcBorders>
            <w:vAlign w:val="center"/>
          </w:tcPr>
          <w:p w14:paraId="6519017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0B59489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302</w:t>
            </w:r>
          </w:p>
        </w:tc>
        <w:tc>
          <w:tcPr>
            <w:tcW w:w="1587" w:type="pct"/>
            <w:tcBorders>
              <w:top w:val="nil"/>
              <w:left w:val="nil"/>
              <w:bottom w:val="single" w:color="auto" w:sz="4" w:space="0"/>
              <w:right w:val="single" w:color="auto" w:sz="4" w:space="0"/>
            </w:tcBorders>
            <w:vAlign w:val="center"/>
          </w:tcPr>
          <w:p w14:paraId="7B42519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手动松闸控制杆</w:t>
            </w:r>
          </w:p>
        </w:tc>
        <w:tc>
          <w:tcPr>
            <w:tcW w:w="592" w:type="pct"/>
            <w:tcBorders>
              <w:top w:val="nil"/>
              <w:left w:val="nil"/>
              <w:bottom w:val="single" w:color="auto" w:sz="4" w:space="0"/>
              <w:right w:val="single" w:color="auto" w:sz="4" w:space="0"/>
            </w:tcBorders>
            <w:vAlign w:val="center"/>
          </w:tcPr>
          <w:p w14:paraId="3A42244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04695234">
        <w:tblPrEx>
          <w:tblCellMar>
            <w:top w:w="0" w:type="dxa"/>
            <w:left w:w="108" w:type="dxa"/>
            <w:bottom w:w="0" w:type="dxa"/>
            <w:right w:w="108" w:type="dxa"/>
          </w:tblCellMar>
        </w:tblPrEx>
        <w:trPr>
          <w:trHeight w:val="480" w:hRule="atLeast"/>
        </w:trPr>
        <w:tc>
          <w:tcPr>
            <w:tcW w:w="400" w:type="pct"/>
            <w:tcBorders>
              <w:top w:val="nil"/>
              <w:left w:val="single" w:color="auto" w:sz="4" w:space="0"/>
              <w:bottom w:val="single" w:color="auto" w:sz="4" w:space="0"/>
              <w:right w:val="single" w:color="auto" w:sz="4" w:space="0"/>
            </w:tcBorders>
            <w:vAlign w:val="center"/>
          </w:tcPr>
          <w:p w14:paraId="4DC07DA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149</w:t>
            </w:r>
          </w:p>
        </w:tc>
        <w:tc>
          <w:tcPr>
            <w:tcW w:w="1420" w:type="pct"/>
            <w:tcBorders>
              <w:top w:val="nil"/>
              <w:left w:val="nil"/>
              <w:bottom w:val="single" w:color="auto" w:sz="4" w:space="0"/>
              <w:right w:val="single" w:color="auto" w:sz="4" w:space="0"/>
            </w:tcBorders>
            <w:vAlign w:val="center"/>
          </w:tcPr>
          <w:p w14:paraId="6CA27AC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辅助触头LA1DN111NO+1NC</w:t>
            </w:r>
          </w:p>
        </w:tc>
        <w:tc>
          <w:tcPr>
            <w:tcW w:w="578" w:type="pct"/>
            <w:tcBorders>
              <w:top w:val="nil"/>
              <w:left w:val="nil"/>
              <w:bottom w:val="single" w:color="auto" w:sz="4" w:space="0"/>
              <w:right w:val="single" w:color="auto" w:sz="4" w:space="0"/>
            </w:tcBorders>
            <w:vAlign w:val="center"/>
          </w:tcPr>
          <w:p w14:paraId="304C830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024B648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303</w:t>
            </w:r>
          </w:p>
        </w:tc>
        <w:tc>
          <w:tcPr>
            <w:tcW w:w="1587" w:type="pct"/>
            <w:tcBorders>
              <w:top w:val="nil"/>
              <w:left w:val="nil"/>
              <w:bottom w:val="single" w:color="auto" w:sz="4" w:space="0"/>
              <w:right w:val="single" w:color="auto" w:sz="4" w:space="0"/>
            </w:tcBorders>
            <w:vAlign w:val="center"/>
          </w:tcPr>
          <w:p w14:paraId="215B953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COMPENSATION CHAIN, D35MM WFQS150</w:t>
            </w:r>
          </w:p>
        </w:tc>
        <w:tc>
          <w:tcPr>
            <w:tcW w:w="592" w:type="pct"/>
            <w:tcBorders>
              <w:top w:val="nil"/>
              <w:left w:val="nil"/>
              <w:bottom w:val="single" w:color="auto" w:sz="4" w:space="0"/>
              <w:right w:val="single" w:color="auto" w:sz="4" w:space="0"/>
            </w:tcBorders>
            <w:vAlign w:val="center"/>
          </w:tcPr>
          <w:p w14:paraId="5178051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M</w:t>
            </w:r>
          </w:p>
        </w:tc>
      </w:tr>
      <w:tr w14:paraId="2302AF63">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5783437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150</w:t>
            </w:r>
          </w:p>
        </w:tc>
        <w:tc>
          <w:tcPr>
            <w:tcW w:w="1420" w:type="pct"/>
            <w:tcBorders>
              <w:top w:val="nil"/>
              <w:left w:val="nil"/>
              <w:bottom w:val="single" w:color="auto" w:sz="4" w:space="0"/>
              <w:right w:val="single" w:color="auto" w:sz="4" w:space="0"/>
            </w:tcBorders>
            <w:vAlign w:val="center"/>
          </w:tcPr>
          <w:p w14:paraId="61C1383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轿顶检修盒上行按钮</w:t>
            </w:r>
          </w:p>
        </w:tc>
        <w:tc>
          <w:tcPr>
            <w:tcW w:w="578" w:type="pct"/>
            <w:tcBorders>
              <w:top w:val="nil"/>
              <w:left w:val="nil"/>
              <w:bottom w:val="single" w:color="auto" w:sz="4" w:space="0"/>
              <w:right w:val="single" w:color="auto" w:sz="4" w:space="0"/>
            </w:tcBorders>
            <w:vAlign w:val="center"/>
          </w:tcPr>
          <w:p w14:paraId="4C96E1C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5360B84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304</w:t>
            </w:r>
          </w:p>
        </w:tc>
        <w:tc>
          <w:tcPr>
            <w:tcW w:w="1587" w:type="pct"/>
            <w:tcBorders>
              <w:top w:val="nil"/>
              <w:left w:val="nil"/>
              <w:bottom w:val="single" w:color="auto" w:sz="4" w:space="0"/>
              <w:right w:val="single" w:color="auto" w:sz="4" w:space="0"/>
            </w:tcBorders>
            <w:vAlign w:val="center"/>
          </w:tcPr>
          <w:p w14:paraId="4089867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密封圈,115X5.0 NBR70</w:t>
            </w:r>
          </w:p>
        </w:tc>
        <w:tc>
          <w:tcPr>
            <w:tcW w:w="592" w:type="pct"/>
            <w:tcBorders>
              <w:top w:val="nil"/>
              <w:left w:val="nil"/>
              <w:bottom w:val="single" w:color="auto" w:sz="4" w:space="0"/>
              <w:right w:val="single" w:color="auto" w:sz="4" w:space="0"/>
            </w:tcBorders>
            <w:vAlign w:val="center"/>
          </w:tcPr>
          <w:p w14:paraId="76F7FF1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00F8D646">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390F371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151</w:t>
            </w:r>
          </w:p>
        </w:tc>
        <w:tc>
          <w:tcPr>
            <w:tcW w:w="1420" w:type="pct"/>
            <w:tcBorders>
              <w:top w:val="nil"/>
              <w:left w:val="nil"/>
              <w:bottom w:val="single" w:color="auto" w:sz="4" w:space="0"/>
              <w:right w:val="single" w:color="auto" w:sz="4" w:space="0"/>
            </w:tcBorders>
            <w:vAlign w:val="center"/>
          </w:tcPr>
          <w:p w14:paraId="17C23EA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SLIDING INSERT T75</w:t>
            </w:r>
          </w:p>
        </w:tc>
        <w:tc>
          <w:tcPr>
            <w:tcW w:w="578" w:type="pct"/>
            <w:tcBorders>
              <w:top w:val="nil"/>
              <w:left w:val="nil"/>
              <w:bottom w:val="single" w:color="auto" w:sz="4" w:space="0"/>
              <w:right w:val="single" w:color="auto" w:sz="4" w:space="0"/>
            </w:tcBorders>
            <w:vAlign w:val="center"/>
          </w:tcPr>
          <w:p w14:paraId="11EB8FA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PAC</w:t>
            </w:r>
          </w:p>
        </w:tc>
        <w:tc>
          <w:tcPr>
            <w:tcW w:w="420" w:type="pct"/>
            <w:tcBorders>
              <w:top w:val="nil"/>
              <w:left w:val="nil"/>
              <w:bottom w:val="single" w:color="auto" w:sz="4" w:space="0"/>
              <w:right w:val="single" w:color="auto" w:sz="4" w:space="0"/>
            </w:tcBorders>
            <w:vAlign w:val="center"/>
          </w:tcPr>
          <w:p w14:paraId="14F399F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305</w:t>
            </w:r>
          </w:p>
        </w:tc>
        <w:tc>
          <w:tcPr>
            <w:tcW w:w="1587" w:type="pct"/>
            <w:tcBorders>
              <w:top w:val="nil"/>
              <w:left w:val="nil"/>
              <w:bottom w:val="single" w:color="auto" w:sz="4" w:space="0"/>
              <w:right w:val="single" w:color="auto" w:sz="4" w:space="0"/>
            </w:tcBorders>
            <w:vAlign w:val="center"/>
          </w:tcPr>
          <w:p w14:paraId="60677D5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对重油杯 K=10MM</w:t>
            </w:r>
          </w:p>
        </w:tc>
        <w:tc>
          <w:tcPr>
            <w:tcW w:w="592" w:type="pct"/>
            <w:tcBorders>
              <w:top w:val="nil"/>
              <w:left w:val="nil"/>
              <w:bottom w:val="single" w:color="auto" w:sz="4" w:space="0"/>
              <w:right w:val="single" w:color="auto" w:sz="4" w:space="0"/>
            </w:tcBorders>
            <w:vAlign w:val="center"/>
          </w:tcPr>
          <w:p w14:paraId="7D3F504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09B9EA0A">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6540DA6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152</w:t>
            </w:r>
          </w:p>
        </w:tc>
        <w:tc>
          <w:tcPr>
            <w:tcW w:w="1420" w:type="pct"/>
            <w:tcBorders>
              <w:top w:val="nil"/>
              <w:left w:val="nil"/>
              <w:bottom w:val="single" w:color="auto" w:sz="4" w:space="0"/>
              <w:right w:val="single" w:color="auto" w:sz="4" w:space="0"/>
            </w:tcBorders>
            <w:vAlign w:val="center"/>
          </w:tcPr>
          <w:p w14:paraId="04066F6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电源模块,ST-230/24</w:t>
            </w:r>
          </w:p>
        </w:tc>
        <w:tc>
          <w:tcPr>
            <w:tcW w:w="578" w:type="pct"/>
            <w:tcBorders>
              <w:top w:val="nil"/>
              <w:left w:val="nil"/>
              <w:bottom w:val="single" w:color="auto" w:sz="4" w:space="0"/>
              <w:right w:val="single" w:color="auto" w:sz="4" w:space="0"/>
            </w:tcBorders>
            <w:vAlign w:val="center"/>
          </w:tcPr>
          <w:p w14:paraId="05EC1E7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4E591AC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306</w:t>
            </w:r>
          </w:p>
        </w:tc>
        <w:tc>
          <w:tcPr>
            <w:tcW w:w="1587" w:type="pct"/>
            <w:tcBorders>
              <w:top w:val="nil"/>
              <w:left w:val="nil"/>
              <w:bottom w:val="single" w:color="auto" w:sz="4" w:space="0"/>
              <w:right w:val="single" w:color="auto" w:sz="4" w:space="0"/>
            </w:tcBorders>
            <w:vAlign w:val="center"/>
          </w:tcPr>
          <w:p w14:paraId="4B65784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急停开关</w:t>
            </w:r>
          </w:p>
        </w:tc>
        <w:tc>
          <w:tcPr>
            <w:tcW w:w="592" w:type="pct"/>
            <w:tcBorders>
              <w:top w:val="nil"/>
              <w:left w:val="nil"/>
              <w:bottom w:val="single" w:color="auto" w:sz="4" w:space="0"/>
              <w:right w:val="single" w:color="auto" w:sz="4" w:space="0"/>
            </w:tcBorders>
            <w:vAlign w:val="center"/>
          </w:tcPr>
          <w:p w14:paraId="0EC3D47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013A1B5A">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3C54463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153</w:t>
            </w:r>
          </w:p>
        </w:tc>
        <w:tc>
          <w:tcPr>
            <w:tcW w:w="1420" w:type="pct"/>
            <w:tcBorders>
              <w:top w:val="nil"/>
              <w:left w:val="nil"/>
              <w:bottom w:val="single" w:color="auto" w:sz="4" w:space="0"/>
              <w:right w:val="single" w:color="auto" w:sz="4" w:space="0"/>
            </w:tcBorders>
            <w:vAlign w:val="center"/>
          </w:tcPr>
          <w:p w14:paraId="0815A75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导轨垫片</w:t>
            </w:r>
          </w:p>
        </w:tc>
        <w:tc>
          <w:tcPr>
            <w:tcW w:w="578" w:type="pct"/>
            <w:tcBorders>
              <w:top w:val="nil"/>
              <w:left w:val="nil"/>
              <w:bottom w:val="single" w:color="auto" w:sz="4" w:space="0"/>
              <w:right w:val="single" w:color="auto" w:sz="4" w:space="0"/>
            </w:tcBorders>
            <w:vAlign w:val="center"/>
          </w:tcPr>
          <w:p w14:paraId="41C23AE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535B936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307</w:t>
            </w:r>
          </w:p>
        </w:tc>
        <w:tc>
          <w:tcPr>
            <w:tcW w:w="1587" w:type="pct"/>
            <w:tcBorders>
              <w:top w:val="nil"/>
              <w:left w:val="nil"/>
              <w:bottom w:val="single" w:color="auto" w:sz="4" w:space="0"/>
              <w:right w:val="single" w:color="auto" w:sz="4" w:space="0"/>
            </w:tcBorders>
            <w:vAlign w:val="center"/>
          </w:tcPr>
          <w:p w14:paraId="7B31BEA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LCECAN终端电阻</w:t>
            </w:r>
          </w:p>
        </w:tc>
        <w:tc>
          <w:tcPr>
            <w:tcW w:w="592" w:type="pct"/>
            <w:tcBorders>
              <w:top w:val="nil"/>
              <w:left w:val="nil"/>
              <w:bottom w:val="single" w:color="auto" w:sz="4" w:space="0"/>
              <w:right w:val="single" w:color="auto" w:sz="4" w:space="0"/>
            </w:tcBorders>
            <w:vAlign w:val="center"/>
          </w:tcPr>
          <w:p w14:paraId="3E6D469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773BA0D8">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center"/>
          </w:tcPr>
          <w:p w14:paraId="2D37EEE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154</w:t>
            </w:r>
          </w:p>
        </w:tc>
        <w:tc>
          <w:tcPr>
            <w:tcW w:w="1420" w:type="pct"/>
            <w:tcBorders>
              <w:top w:val="nil"/>
              <w:left w:val="nil"/>
              <w:bottom w:val="single" w:color="auto" w:sz="4" w:space="0"/>
              <w:right w:val="single" w:color="auto" w:sz="4" w:space="0"/>
            </w:tcBorders>
            <w:vAlign w:val="center"/>
          </w:tcPr>
          <w:p w14:paraId="55D548B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烟杆型双稳态开关77S，线长3米</w:t>
            </w:r>
          </w:p>
        </w:tc>
        <w:tc>
          <w:tcPr>
            <w:tcW w:w="578" w:type="pct"/>
            <w:tcBorders>
              <w:top w:val="nil"/>
              <w:left w:val="nil"/>
              <w:bottom w:val="single" w:color="auto" w:sz="4" w:space="0"/>
              <w:right w:val="single" w:color="auto" w:sz="4" w:space="0"/>
            </w:tcBorders>
            <w:vAlign w:val="center"/>
          </w:tcPr>
          <w:p w14:paraId="7253ABA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c>
          <w:tcPr>
            <w:tcW w:w="420" w:type="pct"/>
            <w:tcBorders>
              <w:top w:val="nil"/>
              <w:left w:val="nil"/>
              <w:bottom w:val="single" w:color="auto" w:sz="4" w:space="0"/>
              <w:right w:val="single" w:color="auto" w:sz="4" w:space="0"/>
            </w:tcBorders>
            <w:vAlign w:val="center"/>
          </w:tcPr>
          <w:p w14:paraId="0EECD79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308</w:t>
            </w:r>
          </w:p>
        </w:tc>
        <w:tc>
          <w:tcPr>
            <w:tcW w:w="1587" w:type="pct"/>
            <w:tcBorders>
              <w:top w:val="nil"/>
              <w:left w:val="nil"/>
              <w:bottom w:val="single" w:color="auto" w:sz="4" w:space="0"/>
              <w:right w:val="single" w:color="auto" w:sz="4" w:space="0"/>
            </w:tcBorders>
            <w:vAlign w:val="center"/>
          </w:tcPr>
          <w:p w14:paraId="2F16D4F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轿顶免提主机 KON12A3</w:t>
            </w:r>
          </w:p>
        </w:tc>
        <w:tc>
          <w:tcPr>
            <w:tcW w:w="592" w:type="pct"/>
            <w:tcBorders>
              <w:top w:val="nil"/>
              <w:left w:val="nil"/>
              <w:bottom w:val="single" w:color="auto" w:sz="4" w:space="0"/>
              <w:right w:val="single" w:color="auto" w:sz="4" w:space="0"/>
            </w:tcBorders>
            <w:vAlign w:val="center"/>
          </w:tcPr>
          <w:p w14:paraId="19F56BF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r w14:paraId="3F5FC5D6">
        <w:tblPrEx>
          <w:tblCellMar>
            <w:top w:w="0" w:type="dxa"/>
            <w:left w:w="108" w:type="dxa"/>
            <w:bottom w:w="0" w:type="dxa"/>
            <w:right w:w="108" w:type="dxa"/>
          </w:tblCellMar>
        </w:tblPrEx>
        <w:trPr>
          <w:trHeight w:val="276" w:hRule="atLeast"/>
        </w:trPr>
        <w:tc>
          <w:tcPr>
            <w:tcW w:w="400" w:type="pct"/>
            <w:tcBorders>
              <w:top w:val="nil"/>
              <w:left w:val="single" w:color="auto" w:sz="4" w:space="0"/>
              <w:bottom w:val="single" w:color="auto" w:sz="4" w:space="0"/>
              <w:right w:val="single" w:color="auto" w:sz="4" w:space="0"/>
            </w:tcBorders>
            <w:vAlign w:val="bottom"/>
          </w:tcPr>
          <w:p w14:paraId="45966E90">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1420" w:type="pct"/>
            <w:tcBorders>
              <w:top w:val="nil"/>
              <w:left w:val="nil"/>
              <w:bottom w:val="single" w:color="auto" w:sz="4" w:space="0"/>
              <w:right w:val="single" w:color="auto" w:sz="4" w:space="0"/>
            </w:tcBorders>
            <w:vAlign w:val="bottom"/>
          </w:tcPr>
          <w:p w14:paraId="371C59F6">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578" w:type="pct"/>
            <w:tcBorders>
              <w:top w:val="nil"/>
              <w:left w:val="nil"/>
              <w:bottom w:val="single" w:color="auto" w:sz="4" w:space="0"/>
              <w:right w:val="single" w:color="auto" w:sz="4" w:space="0"/>
            </w:tcBorders>
            <w:vAlign w:val="bottom"/>
          </w:tcPr>
          <w:p w14:paraId="55B40F6D">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420" w:type="pct"/>
            <w:tcBorders>
              <w:top w:val="nil"/>
              <w:left w:val="nil"/>
              <w:bottom w:val="single" w:color="auto" w:sz="4" w:space="0"/>
              <w:right w:val="single" w:color="auto" w:sz="4" w:space="0"/>
            </w:tcBorders>
            <w:vAlign w:val="center"/>
          </w:tcPr>
          <w:p w14:paraId="77C0B95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309</w:t>
            </w:r>
          </w:p>
        </w:tc>
        <w:tc>
          <w:tcPr>
            <w:tcW w:w="1587" w:type="pct"/>
            <w:tcBorders>
              <w:top w:val="nil"/>
              <w:left w:val="nil"/>
              <w:bottom w:val="single" w:color="auto" w:sz="4" w:space="0"/>
              <w:right w:val="single" w:color="auto" w:sz="4" w:space="0"/>
            </w:tcBorders>
            <w:vAlign w:val="center"/>
          </w:tcPr>
          <w:p w14:paraId="37940CC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声光报警单元</w:t>
            </w:r>
          </w:p>
        </w:tc>
        <w:tc>
          <w:tcPr>
            <w:tcW w:w="592" w:type="pct"/>
            <w:tcBorders>
              <w:top w:val="nil"/>
              <w:left w:val="nil"/>
              <w:bottom w:val="single" w:color="auto" w:sz="4" w:space="0"/>
              <w:right w:val="single" w:color="auto" w:sz="4" w:space="0"/>
            </w:tcBorders>
            <w:vAlign w:val="center"/>
          </w:tcPr>
          <w:p w14:paraId="45BB595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PC</w:t>
            </w:r>
          </w:p>
        </w:tc>
      </w:tr>
    </w:tbl>
    <w:p w14:paraId="523AA9C3">
      <w:pPr>
        <w:overflowPunct w:val="0"/>
        <w:spacing w:line="360" w:lineRule="auto"/>
        <w:jc w:val="center"/>
        <w:rPr>
          <w:rFonts w:hint="eastAsia" w:ascii="宋体" w:hAnsi="宋体"/>
          <w:b/>
          <w:bCs/>
          <w:sz w:val="32"/>
          <w:szCs w:val="32"/>
        </w:rPr>
      </w:pPr>
      <w:r>
        <w:rPr>
          <w:rFonts w:hint="eastAsia" w:ascii="宋体" w:hAnsi="宋体"/>
          <w:b/>
          <w:bCs/>
          <w:sz w:val="32"/>
          <w:szCs w:val="32"/>
        </w:rPr>
        <w:br w:type="page"/>
      </w:r>
      <w:r>
        <w:rPr>
          <w:rFonts w:hint="eastAsia" w:ascii="宋体" w:hAnsi="宋体"/>
          <w:b/>
          <w:bCs/>
          <w:sz w:val="32"/>
          <w:szCs w:val="32"/>
        </w:rPr>
        <w:t>第五章 合同主要条款</w:t>
      </w:r>
      <w:bookmarkEnd w:id="81"/>
    </w:p>
    <w:bookmarkEnd w:id="74"/>
    <w:bookmarkEnd w:id="75"/>
    <w:bookmarkEnd w:id="76"/>
    <w:bookmarkEnd w:id="77"/>
    <w:bookmarkEnd w:id="78"/>
    <w:bookmarkEnd w:id="79"/>
    <w:p w14:paraId="2F8F865E">
      <w:pPr>
        <w:spacing w:line="600" w:lineRule="exact"/>
        <w:jc w:val="center"/>
        <w:rPr>
          <w:rFonts w:hint="eastAsia" w:ascii="宋体" w:hAnsi="宋体" w:cs="宋体"/>
          <w:b/>
          <w:bCs/>
          <w:sz w:val="24"/>
          <w:szCs w:val="24"/>
        </w:rPr>
      </w:pPr>
    </w:p>
    <w:p w14:paraId="30229D8A">
      <w:pPr>
        <w:spacing w:line="600" w:lineRule="exact"/>
        <w:jc w:val="center"/>
        <w:rPr>
          <w:rFonts w:hint="eastAsia" w:ascii="宋体" w:hAnsi="宋体" w:cs="宋体"/>
          <w:b/>
          <w:bCs/>
          <w:sz w:val="24"/>
          <w:szCs w:val="24"/>
        </w:rPr>
      </w:pPr>
    </w:p>
    <w:p w14:paraId="3B02855C">
      <w:pPr>
        <w:spacing w:line="600" w:lineRule="exact"/>
        <w:jc w:val="center"/>
        <w:rPr>
          <w:rFonts w:hint="eastAsia" w:ascii="宋体" w:hAnsi="宋体" w:cs="宋体"/>
          <w:b/>
          <w:bCs/>
          <w:sz w:val="24"/>
          <w:szCs w:val="24"/>
        </w:rPr>
      </w:pPr>
    </w:p>
    <w:p w14:paraId="5200BB77">
      <w:pPr>
        <w:spacing w:line="600" w:lineRule="exact"/>
        <w:jc w:val="center"/>
        <w:rPr>
          <w:rFonts w:hint="eastAsia" w:ascii="宋体" w:hAnsi="宋体" w:cs="宋体"/>
          <w:b/>
          <w:bCs/>
          <w:sz w:val="24"/>
          <w:szCs w:val="24"/>
        </w:rPr>
      </w:pPr>
    </w:p>
    <w:p w14:paraId="787924AB">
      <w:pPr>
        <w:spacing w:line="600" w:lineRule="exact"/>
        <w:jc w:val="center"/>
        <w:rPr>
          <w:rFonts w:hint="eastAsia" w:ascii="宋体" w:hAnsi="宋体" w:cs="宋体"/>
          <w:b/>
          <w:bCs/>
          <w:sz w:val="24"/>
          <w:szCs w:val="24"/>
        </w:rPr>
      </w:pPr>
    </w:p>
    <w:p w14:paraId="52051853">
      <w:pPr>
        <w:spacing w:line="600" w:lineRule="exact"/>
        <w:rPr>
          <w:rFonts w:hint="eastAsia" w:ascii="宋体" w:hAnsi="宋体" w:cs="宋体"/>
          <w:sz w:val="24"/>
          <w:szCs w:val="24"/>
        </w:rPr>
      </w:pPr>
    </w:p>
    <w:p w14:paraId="28830909">
      <w:pPr>
        <w:spacing w:line="600" w:lineRule="exact"/>
        <w:rPr>
          <w:rFonts w:hint="eastAsia" w:ascii="宋体" w:hAnsi="宋体" w:cs="宋体"/>
          <w:sz w:val="24"/>
          <w:szCs w:val="24"/>
        </w:rPr>
      </w:pPr>
    </w:p>
    <w:p w14:paraId="5787CD2A">
      <w:pPr>
        <w:spacing w:line="700" w:lineRule="exact"/>
        <w:ind w:left="1050" w:leftChars="500"/>
        <w:sectPr>
          <w:headerReference r:id="rId9" w:type="default"/>
          <w:footerReference r:id="rId10" w:type="default"/>
          <w:pgSz w:w="11907" w:h="16839"/>
          <w:pgMar w:top="1118" w:right="1769" w:bottom="1233" w:left="1771" w:header="624" w:footer="1020" w:gutter="0"/>
          <w:cols w:space="720" w:num="1"/>
        </w:sectPr>
      </w:pPr>
    </w:p>
    <w:p w14:paraId="0FD6AAB0">
      <w:pPr>
        <w:tabs>
          <w:tab w:val="left" w:pos="5920"/>
        </w:tabs>
        <w:spacing w:line="520" w:lineRule="exact"/>
        <w:rPr>
          <w:rFonts w:hint="eastAsia" w:ascii="宋体" w:hAnsi="宋体" w:eastAsia="宋体" w:cs="宋体"/>
          <w:sz w:val="24"/>
          <w:szCs w:val="24"/>
          <w:u w:val="single"/>
          <w:lang w:eastAsia="zh-CN"/>
        </w:rPr>
      </w:pPr>
    </w:p>
    <w:p w14:paraId="34DE561A">
      <w:pPr>
        <w:spacing w:line="360" w:lineRule="auto"/>
        <w:rPr>
          <w:rFonts w:ascii="宋体" w:hAnsi="宋体"/>
        </w:rPr>
      </w:pPr>
      <w:r>
        <w:rPr>
          <w:rFonts w:hint="eastAsia" w:ascii="宋体" w:hAnsi="宋体"/>
        </w:rPr>
        <w:t>合同编号：</w:t>
      </w:r>
    </w:p>
    <w:tbl>
      <w:tblPr>
        <w:tblStyle w:val="39"/>
        <w:tblW w:w="9178" w:type="dxa"/>
        <w:tblInd w:w="0" w:type="dxa"/>
        <w:tblLayout w:type="fixed"/>
        <w:tblCellMar>
          <w:top w:w="0" w:type="dxa"/>
          <w:left w:w="0" w:type="dxa"/>
          <w:bottom w:w="0" w:type="dxa"/>
          <w:right w:w="0" w:type="dxa"/>
        </w:tblCellMar>
      </w:tblPr>
      <w:tblGrid>
        <w:gridCol w:w="4535"/>
        <w:gridCol w:w="4643"/>
      </w:tblGrid>
      <w:tr w14:paraId="20C1FDC1">
        <w:tblPrEx>
          <w:tblCellMar>
            <w:top w:w="0" w:type="dxa"/>
            <w:left w:w="0" w:type="dxa"/>
            <w:bottom w:w="0" w:type="dxa"/>
            <w:right w:w="0" w:type="dxa"/>
          </w:tblCellMar>
        </w:tblPrEx>
        <w:tc>
          <w:tcPr>
            <w:tcW w:w="4535" w:type="dxa"/>
            <w:tcBorders>
              <w:top w:val="nil"/>
              <w:left w:val="nil"/>
              <w:bottom w:val="nil"/>
              <w:right w:val="nil"/>
            </w:tcBorders>
          </w:tcPr>
          <w:p w14:paraId="09891690">
            <w:pPr>
              <w:autoSpaceDE w:val="0"/>
              <w:autoSpaceDN w:val="0"/>
              <w:adjustRightInd w:val="0"/>
              <w:spacing w:line="360" w:lineRule="auto"/>
              <w:rPr>
                <w:rFonts w:ascii="宋体" w:hAnsi="宋体"/>
                <w:lang w:eastAsia="zh-CN"/>
              </w:rPr>
            </w:pPr>
            <w:r>
              <w:rPr>
                <w:rFonts w:hint="eastAsia" w:ascii="宋体" w:hAnsi="宋体"/>
                <w:lang w:eastAsia="zh-CN"/>
              </w:rPr>
              <w:t>招标人：</w:t>
            </w:r>
          </w:p>
        </w:tc>
        <w:tc>
          <w:tcPr>
            <w:tcW w:w="4643" w:type="dxa"/>
            <w:tcBorders>
              <w:top w:val="nil"/>
              <w:left w:val="nil"/>
              <w:bottom w:val="nil"/>
              <w:right w:val="nil"/>
            </w:tcBorders>
          </w:tcPr>
          <w:p w14:paraId="6FF49B0D">
            <w:pPr>
              <w:autoSpaceDE w:val="0"/>
              <w:autoSpaceDN w:val="0"/>
              <w:adjustRightInd w:val="0"/>
              <w:spacing w:line="360" w:lineRule="auto"/>
              <w:rPr>
                <w:rFonts w:ascii="宋体" w:hAnsi="宋体"/>
                <w:lang w:eastAsia="zh-CN"/>
              </w:rPr>
            </w:pPr>
            <w:r>
              <w:rPr>
                <w:rFonts w:hint="eastAsia" w:ascii="宋体" w:hAnsi="宋体"/>
                <w:lang w:eastAsia="zh-CN"/>
              </w:rPr>
              <w:t>中标人：</w:t>
            </w:r>
          </w:p>
        </w:tc>
      </w:tr>
      <w:tr w14:paraId="49C0FE58">
        <w:tblPrEx>
          <w:tblCellMar>
            <w:top w:w="0" w:type="dxa"/>
            <w:left w:w="0" w:type="dxa"/>
            <w:bottom w:w="0" w:type="dxa"/>
            <w:right w:w="0" w:type="dxa"/>
          </w:tblCellMar>
        </w:tblPrEx>
        <w:tc>
          <w:tcPr>
            <w:tcW w:w="4535" w:type="dxa"/>
            <w:tcBorders>
              <w:top w:val="nil"/>
              <w:left w:val="nil"/>
              <w:bottom w:val="nil"/>
              <w:right w:val="nil"/>
            </w:tcBorders>
          </w:tcPr>
          <w:p w14:paraId="521D5EEF">
            <w:pPr>
              <w:autoSpaceDE w:val="0"/>
              <w:autoSpaceDN w:val="0"/>
              <w:adjustRightInd w:val="0"/>
              <w:spacing w:line="360" w:lineRule="auto"/>
              <w:rPr>
                <w:rFonts w:ascii="宋体" w:hAnsi="宋体"/>
                <w:lang w:eastAsia="zh-CN"/>
              </w:rPr>
            </w:pPr>
            <w:r>
              <w:rPr>
                <w:rFonts w:hint="eastAsia" w:ascii="宋体" w:hAnsi="宋体"/>
                <w:lang w:eastAsia="zh-CN"/>
              </w:rPr>
              <w:t>住所地：</w:t>
            </w:r>
          </w:p>
        </w:tc>
        <w:tc>
          <w:tcPr>
            <w:tcW w:w="4643" w:type="dxa"/>
            <w:tcBorders>
              <w:top w:val="nil"/>
              <w:left w:val="nil"/>
              <w:bottom w:val="nil"/>
              <w:right w:val="nil"/>
            </w:tcBorders>
          </w:tcPr>
          <w:p w14:paraId="0D4763A2">
            <w:pPr>
              <w:autoSpaceDE w:val="0"/>
              <w:autoSpaceDN w:val="0"/>
              <w:adjustRightInd w:val="0"/>
              <w:spacing w:line="360" w:lineRule="auto"/>
              <w:rPr>
                <w:rFonts w:ascii="宋体" w:hAnsi="宋体"/>
                <w:lang w:eastAsia="zh-CN"/>
              </w:rPr>
            </w:pPr>
            <w:r>
              <w:rPr>
                <w:rFonts w:hint="eastAsia" w:ascii="宋体" w:hAnsi="宋体"/>
                <w:lang w:eastAsia="zh-CN"/>
              </w:rPr>
              <w:t>住所地：</w:t>
            </w:r>
          </w:p>
        </w:tc>
      </w:tr>
    </w:tbl>
    <w:p w14:paraId="2164C57D">
      <w:pPr>
        <w:autoSpaceDE w:val="0"/>
        <w:autoSpaceDN w:val="0"/>
        <w:adjustRightInd w:val="0"/>
        <w:spacing w:line="360" w:lineRule="auto"/>
        <w:rPr>
          <w:rFonts w:ascii="宋体" w:hAnsi="宋体"/>
          <w:lang w:eastAsia="zh-CN"/>
        </w:rPr>
      </w:pPr>
      <w:r>
        <w:rPr>
          <w:rFonts w:hint="eastAsia" w:ascii="宋体" w:hAnsi="宋体"/>
          <w:lang w:eastAsia="zh-CN"/>
        </w:rPr>
        <w:t xml:space="preserve">    根据《中华人民共和国民法典》等法律法规的规定，甲乙双方按照招标代理机构的竞争性磋商结果签订本合同。</w:t>
      </w:r>
    </w:p>
    <w:p w14:paraId="4DAADA68">
      <w:pPr>
        <w:autoSpaceDE w:val="0"/>
        <w:autoSpaceDN w:val="0"/>
        <w:adjustRightInd w:val="0"/>
        <w:spacing w:line="360" w:lineRule="auto"/>
        <w:ind w:firstLine="422" w:firstLineChars="200"/>
        <w:rPr>
          <w:rFonts w:ascii="宋体" w:hAnsi="宋体"/>
          <w:b/>
          <w:bCs/>
          <w:lang w:eastAsia="zh-CN"/>
        </w:rPr>
      </w:pPr>
      <w:r>
        <w:rPr>
          <w:rFonts w:hint="eastAsia" w:ascii="宋体" w:hAnsi="宋体"/>
          <w:b/>
          <w:bCs/>
          <w:lang w:eastAsia="zh-CN"/>
        </w:rPr>
        <w:t>第一条 合同标的</w:t>
      </w:r>
    </w:p>
    <w:p w14:paraId="2E3285AA">
      <w:pPr>
        <w:autoSpaceDE w:val="0"/>
        <w:autoSpaceDN w:val="0"/>
        <w:adjustRightInd w:val="0"/>
        <w:spacing w:line="360" w:lineRule="auto"/>
        <w:ind w:firstLine="420" w:firstLineChars="200"/>
        <w:rPr>
          <w:rFonts w:ascii="宋体" w:hAnsi="宋体"/>
          <w:u w:val="single"/>
          <w:lang w:eastAsia="zh-CN"/>
        </w:rPr>
      </w:pPr>
      <w:r>
        <w:rPr>
          <w:rFonts w:hint="eastAsia" w:ascii="宋体" w:hAnsi="宋体"/>
          <w:lang w:eastAsia="zh-CN"/>
        </w:rPr>
        <w:t>1、乙方根据甲方需求提供下列服务：</w:t>
      </w:r>
      <w:r>
        <w:rPr>
          <w:rFonts w:hint="eastAsia" w:ascii="宋体" w:hAnsi="宋体"/>
          <w:u w:val="single"/>
          <w:lang w:eastAsia="zh-CN"/>
        </w:rPr>
        <w:t>南京机电职业技术学院电梯维保服务</w:t>
      </w:r>
      <w:r>
        <w:rPr>
          <w:rFonts w:hint="eastAsia" w:ascii="宋体" w:hAnsi="宋体"/>
          <w:lang w:eastAsia="zh-CN"/>
        </w:rPr>
        <w:t>。</w:t>
      </w:r>
    </w:p>
    <w:p w14:paraId="1BFF247C">
      <w:pPr>
        <w:autoSpaceDE w:val="0"/>
        <w:autoSpaceDN w:val="0"/>
        <w:adjustRightInd w:val="0"/>
        <w:spacing w:line="360" w:lineRule="auto"/>
        <w:ind w:firstLine="420" w:firstLineChars="200"/>
        <w:rPr>
          <w:rFonts w:ascii="宋体" w:hAnsi="宋体"/>
          <w:lang w:eastAsia="zh-CN"/>
        </w:rPr>
      </w:pPr>
      <w:r>
        <w:rPr>
          <w:rFonts w:hint="eastAsia" w:ascii="宋体" w:hAnsi="宋体"/>
          <w:lang w:eastAsia="zh-CN"/>
        </w:rPr>
        <w:t>2、具体服务执行要求详见乙方响应文件。</w:t>
      </w:r>
    </w:p>
    <w:p w14:paraId="2E0EC908">
      <w:pPr>
        <w:autoSpaceDE w:val="0"/>
        <w:autoSpaceDN w:val="0"/>
        <w:adjustRightInd w:val="0"/>
        <w:spacing w:line="360" w:lineRule="auto"/>
        <w:ind w:firstLine="422" w:firstLineChars="200"/>
        <w:rPr>
          <w:rFonts w:ascii="宋体" w:hAnsi="宋体"/>
          <w:b/>
          <w:bCs/>
          <w:lang w:eastAsia="zh-CN"/>
        </w:rPr>
      </w:pPr>
      <w:r>
        <w:rPr>
          <w:rFonts w:hint="eastAsia" w:ascii="宋体" w:hAnsi="宋体"/>
          <w:b/>
          <w:bCs/>
          <w:lang w:eastAsia="zh-CN"/>
        </w:rPr>
        <w:t>第二条 合同总价款</w:t>
      </w:r>
    </w:p>
    <w:p w14:paraId="31C563B0">
      <w:pPr>
        <w:autoSpaceDE w:val="0"/>
        <w:autoSpaceDN w:val="0"/>
        <w:adjustRightInd w:val="0"/>
        <w:spacing w:line="360" w:lineRule="auto"/>
        <w:ind w:firstLine="420" w:firstLineChars="200"/>
        <w:rPr>
          <w:rFonts w:ascii="宋体" w:hAnsi="宋体"/>
          <w:lang w:eastAsia="zh-CN"/>
        </w:rPr>
      </w:pPr>
      <w:r>
        <w:rPr>
          <w:rFonts w:hint="eastAsia" w:ascii="宋体" w:hAnsi="宋体"/>
          <w:lang w:eastAsia="zh-CN"/>
        </w:rPr>
        <w:t>1、本合同项下总价款为</w:t>
      </w:r>
      <w:r>
        <w:rPr>
          <w:rFonts w:hint="eastAsia" w:ascii="宋体" w:hAnsi="宋体"/>
          <w:b/>
          <w:bCs/>
          <w:u w:val="single"/>
          <w:lang w:val="en-US" w:eastAsia="zh-CN"/>
        </w:rPr>
        <w:t xml:space="preserve">           </w:t>
      </w:r>
      <w:r>
        <w:rPr>
          <w:rFonts w:hint="eastAsia" w:ascii="宋体" w:hAnsi="宋体"/>
          <w:lang w:eastAsia="zh-CN"/>
        </w:rPr>
        <w:t>（大写）人民币，分项价款在乙方“分项报价表”中有明确规定。</w:t>
      </w:r>
    </w:p>
    <w:p w14:paraId="2CE83943">
      <w:pPr>
        <w:spacing w:line="360" w:lineRule="auto"/>
        <w:ind w:firstLine="420" w:firstLineChars="200"/>
        <w:rPr>
          <w:rFonts w:ascii="宋体" w:hAnsi="宋体"/>
          <w:b/>
          <w:lang w:eastAsia="zh-CN"/>
        </w:rPr>
      </w:pPr>
      <w:r>
        <w:rPr>
          <w:rFonts w:hint="eastAsia" w:ascii="宋体" w:hAnsi="宋体"/>
          <w:lang w:eastAsia="zh-CN"/>
        </w:rPr>
        <w:t>2、本合同总价款是完成本项目所发生的所有含税费用、支付给员工的工资和国家强制缴纳的各种社会保障资金</w:t>
      </w:r>
      <w:r>
        <w:rPr>
          <w:rFonts w:hint="eastAsia" w:ascii="宋体" w:hAnsi="宋体"/>
          <w:bCs/>
          <w:lang w:eastAsia="zh-CN"/>
        </w:rPr>
        <w:t>，以</w:t>
      </w:r>
      <w:r>
        <w:rPr>
          <w:rFonts w:hint="eastAsia" w:ascii="宋体" w:hAnsi="宋体"/>
          <w:lang w:eastAsia="zh-CN"/>
        </w:rPr>
        <w:t>及乙方认为需要的其他费用等，包含1</w:t>
      </w:r>
      <w:r>
        <w:rPr>
          <w:rFonts w:ascii="宋体" w:hAnsi="宋体"/>
          <w:lang w:eastAsia="zh-CN"/>
        </w:rPr>
        <w:t>000</w:t>
      </w:r>
      <w:r>
        <w:rPr>
          <w:rFonts w:hint="eastAsia" w:ascii="宋体" w:hAnsi="宋体"/>
          <w:lang w:eastAsia="zh-CN"/>
        </w:rPr>
        <w:t>元及以下的免费配件（包含照明）。</w:t>
      </w:r>
    </w:p>
    <w:p w14:paraId="5E8858DC">
      <w:pPr>
        <w:autoSpaceDE w:val="0"/>
        <w:autoSpaceDN w:val="0"/>
        <w:adjustRightInd w:val="0"/>
        <w:spacing w:line="360" w:lineRule="auto"/>
        <w:ind w:firstLine="420" w:firstLineChars="200"/>
        <w:rPr>
          <w:rFonts w:ascii="宋体" w:hAnsi="宋体"/>
          <w:lang w:eastAsia="zh-CN"/>
        </w:rPr>
      </w:pPr>
      <w:r>
        <w:rPr>
          <w:rFonts w:hint="eastAsia" w:ascii="宋体" w:hAnsi="宋体"/>
          <w:lang w:eastAsia="zh-CN"/>
        </w:rPr>
        <w:t>3、本合同执行期间合同总价不变。</w:t>
      </w:r>
    </w:p>
    <w:p w14:paraId="62CAA7D0">
      <w:pPr>
        <w:autoSpaceDE w:val="0"/>
        <w:autoSpaceDN w:val="0"/>
        <w:adjustRightInd w:val="0"/>
        <w:spacing w:line="360" w:lineRule="auto"/>
        <w:ind w:firstLine="420" w:firstLineChars="200"/>
        <w:rPr>
          <w:rFonts w:ascii="宋体" w:hAnsi="宋体"/>
          <w:lang w:eastAsia="zh-CN"/>
        </w:rPr>
      </w:pPr>
      <w:r>
        <w:rPr>
          <w:rFonts w:ascii="宋体" w:hAnsi="宋体"/>
          <w:lang w:eastAsia="zh-CN"/>
        </w:rPr>
        <w:t>4</w:t>
      </w:r>
      <w:r>
        <w:rPr>
          <w:rFonts w:hint="eastAsia" w:ascii="宋体" w:hAnsi="宋体"/>
          <w:lang w:eastAsia="zh-CN"/>
        </w:rPr>
        <w:t>、</w:t>
      </w:r>
      <w:r>
        <w:rPr>
          <w:rFonts w:hint="eastAsia"/>
          <w:lang w:eastAsia="zh-CN"/>
        </w:rPr>
        <w:t>付款方式具体描述为：自合同签订十日内支付合同总额的50%，服务期满后支付剩余的50%。</w:t>
      </w:r>
    </w:p>
    <w:p w14:paraId="3E7043C2">
      <w:pPr>
        <w:autoSpaceDE w:val="0"/>
        <w:autoSpaceDN w:val="0"/>
        <w:adjustRightInd w:val="0"/>
        <w:spacing w:line="360" w:lineRule="auto"/>
        <w:ind w:firstLine="422" w:firstLineChars="200"/>
        <w:rPr>
          <w:rFonts w:ascii="宋体" w:hAnsi="宋体"/>
          <w:lang w:eastAsia="zh-CN"/>
        </w:rPr>
      </w:pPr>
      <w:r>
        <w:rPr>
          <w:rFonts w:hint="eastAsia" w:ascii="宋体" w:hAnsi="宋体"/>
          <w:b/>
          <w:bCs/>
          <w:lang w:eastAsia="zh-CN"/>
        </w:rPr>
        <w:t>第三条 组成本合同的有关文件</w:t>
      </w:r>
      <w:r>
        <w:rPr>
          <w:rFonts w:hint="eastAsia" w:ascii="宋体" w:hAnsi="宋体"/>
          <w:lang w:eastAsia="zh-CN"/>
        </w:rPr>
        <w:t xml:space="preserve">  </w:t>
      </w:r>
    </w:p>
    <w:p w14:paraId="5C67D015">
      <w:pPr>
        <w:autoSpaceDE w:val="0"/>
        <w:autoSpaceDN w:val="0"/>
        <w:adjustRightInd w:val="0"/>
        <w:spacing w:line="360" w:lineRule="auto"/>
        <w:ind w:firstLine="420" w:firstLineChars="200"/>
        <w:rPr>
          <w:rFonts w:ascii="宋体" w:hAnsi="宋体"/>
          <w:lang w:eastAsia="zh-CN"/>
        </w:rPr>
      </w:pPr>
      <w:r>
        <w:rPr>
          <w:rFonts w:hint="eastAsia" w:ascii="宋体" w:hAnsi="宋体"/>
          <w:lang w:eastAsia="zh-CN"/>
        </w:rPr>
        <w:t>下列关于</w:t>
      </w:r>
      <w:r>
        <w:rPr>
          <w:rFonts w:hint="eastAsia" w:ascii="宋体" w:hAnsi="宋体"/>
          <w:bCs/>
          <w:u w:val="single"/>
          <w:lang w:val="en-US" w:eastAsia="zh-CN"/>
        </w:rPr>
        <w:t xml:space="preserve">          </w:t>
      </w:r>
      <w:r>
        <w:rPr>
          <w:rFonts w:hint="eastAsia" w:ascii="宋体" w:hAnsi="宋体"/>
          <w:lang w:eastAsia="zh-CN"/>
        </w:rPr>
        <w:t>的竞争性磋商文件、投标人响应文件，或与本次磋商活动方式相适应的文件，以及有关附件是本合同不可分割的组成部分，与本合同具有同等法律效力，这些文件包括但不限于：</w:t>
      </w:r>
    </w:p>
    <w:p w14:paraId="249706B2">
      <w:pPr>
        <w:autoSpaceDE w:val="0"/>
        <w:autoSpaceDN w:val="0"/>
        <w:adjustRightInd w:val="0"/>
        <w:spacing w:line="360" w:lineRule="auto"/>
        <w:ind w:firstLine="420" w:firstLineChars="200"/>
        <w:rPr>
          <w:rFonts w:ascii="宋体" w:hAnsi="宋体"/>
          <w:lang w:eastAsia="zh-CN"/>
        </w:rPr>
      </w:pPr>
      <w:r>
        <w:rPr>
          <w:rFonts w:hint="eastAsia" w:ascii="宋体" w:hAnsi="宋体"/>
          <w:lang w:eastAsia="zh-CN"/>
        </w:rPr>
        <w:t>1、乙方提供的响应文件和报价表；</w:t>
      </w:r>
    </w:p>
    <w:p w14:paraId="10260FB7">
      <w:pPr>
        <w:autoSpaceDE w:val="0"/>
        <w:autoSpaceDN w:val="0"/>
        <w:adjustRightInd w:val="0"/>
        <w:spacing w:line="360" w:lineRule="auto"/>
        <w:ind w:firstLine="420" w:firstLineChars="200"/>
        <w:rPr>
          <w:rFonts w:ascii="宋体" w:hAnsi="宋体"/>
          <w:lang w:eastAsia="zh-CN"/>
        </w:rPr>
      </w:pPr>
      <w:r>
        <w:rPr>
          <w:rFonts w:hint="eastAsia" w:ascii="宋体" w:hAnsi="宋体"/>
          <w:lang w:eastAsia="zh-CN"/>
        </w:rPr>
        <w:t>2、技术条款偏离表；</w:t>
      </w:r>
    </w:p>
    <w:p w14:paraId="3944160D">
      <w:pPr>
        <w:autoSpaceDE w:val="0"/>
        <w:autoSpaceDN w:val="0"/>
        <w:adjustRightInd w:val="0"/>
        <w:spacing w:line="360" w:lineRule="auto"/>
        <w:ind w:firstLine="420" w:firstLineChars="200"/>
        <w:rPr>
          <w:rFonts w:ascii="宋体" w:hAnsi="宋体"/>
          <w:lang w:eastAsia="zh-CN"/>
        </w:rPr>
      </w:pPr>
      <w:r>
        <w:rPr>
          <w:rFonts w:hint="eastAsia" w:ascii="宋体" w:hAnsi="宋体"/>
          <w:lang w:eastAsia="zh-CN"/>
        </w:rPr>
        <w:t>3、磋商承诺/服务承诺；</w:t>
      </w:r>
    </w:p>
    <w:p w14:paraId="0966AF16">
      <w:pPr>
        <w:autoSpaceDE w:val="0"/>
        <w:autoSpaceDN w:val="0"/>
        <w:adjustRightInd w:val="0"/>
        <w:spacing w:line="360" w:lineRule="auto"/>
        <w:ind w:firstLine="420" w:firstLineChars="200"/>
        <w:rPr>
          <w:rFonts w:ascii="宋体" w:hAnsi="宋体"/>
          <w:lang w:eastAsia="zh-CN"/>
        </w:rPr>
      </w:pPr>
      <w:r>
        <w:rPr>
          <w:rFonts w:hint="eastAsia" w:ascii="宋体" w:hAnsi="宋体"/>
          <w:lang w:eastAsia="zh-CN"/>
        </w:rPr>
        <w:t>4、成交通知书；</w:t>
      </w:r>
    </w:p>
    <w:p w14:paraId="39A6C447">
      <w:pPr>
        <w:autoSpaceDE w:val="0"/>
        <w:autoSpaceDN w:val="0"/>
        <w:adjustRightInd w:val="0"/>
        <w:spacing w:line="360" w:lineRule="auto"/>
        <w:ind w:firstLine="420" w:firstLineChars="200"/>
        <w:rPr>
          <w:rFonts w:ascii="宋体" w:hAnsi="宋体"/>
          <w:lang w:eastAsia="zh-CN"/>
        </w:rPr>
      </w:pPr>
      <w:r>
        <w:rPr>
          <w:rFonts w:hint="eastAsia" w:ascii="宋体" w:hAnsi="宋体"/>
          <w:lang w:eastAsia="zh-CN"/>
        </w:rPr>
        <w:t>5、甲乙双方商定的其他文件等。</w:t>
      </w:r>
    </w:p>
    <w:p w14:paraId="340B5E9B">
      <w:pPr>
        <w:autoSpaceDE w:val="0"/>
        <w:autoSpaceDN w:val="0"/>
        <w:adjustRightInd w:val="0"/>
        <w:spacing w:line="360" w:lineRule="auto"/>
        <w:ind w:firstLine="422" w:firstLineChars="200"/>
        <w:rPr>
          <w:rFonts w:ascii="宋体" w:hAnsi="宋体"/>
          <w:b/>
          <w:bCs/>
          <w:lang w:eastAsia="zh-CN"/>
        </w:rPr>
      </w:pPr>
      <w:r>
        <w:rPr>
          <w:rFonts w:hint="eastAsia" w:ascii="宋体" w:hAnsi="宋体"/>
          <w:b/>
          <w:bCs/>
          <w:lang w:eastAsia="zh-CN"/>
        </w:rPr>
        <w:t>第四条 权利保证</w:t>
      </w:r>
    </w:p>
    <w:p w14:paraId="168B343B">
      <w:pPr>
        <w:autoSpaceDE w:val="0"/>
        <w:autoSpaceDN w:val="0"/>
        <w:adjustRightInd w:val="0"/>
        <w:spacing w:line="360" w:lineRule="auto"/>
        <w:ind w:firstLine="420" w:firstLineChars="200"/>
        <w:rPr>
          <w:rFonts w:ascii="宋体" w:hAnsi="宋体"/>
          <w:lang w:eastAsia="zh-CN"/>
        </w:rPr>
      </w:pPr>
      <w:r>
        <w:rPr>
          <w:rFonts w:hint="eastAsia" w:ascii="宋体" w:hAnsi="宋体"/>
          <w:lang w:eastAsia="zh-CN"/>
        </w:rPr>
        <w:t>乙方应保证甲方在使用该服务或其任何一部分时不受第三方提出侵犯其专利权、版权、商标权或其他权利的起诉。一旦出现侵权，乙方应承担全部责任。</w:t>
      </w:r>
    </w:p>
    <w:p w14:paraId="0A886C7E">
      <w:pPr>
        <w:autoSpaceDE w:val="0"/>
        <w:autoSpaceDN w:val="0"/>
        <w:adjustRightInd w:val="0"/>
        <w:spacing w:line="360" w:lineRule="auto"/>
        <w:ind w:firstLine="422" w:firstLineChars="200"/>
        <w:rPr>
          <w:rFonts w:ascii="宋体" w:hAnsi="宋体"/>
          <w:b/>
          <w:bCs/>
          <w:lang w:eastAsia="zh-CN"/>
        </w:rPr>
      </w:pPr>
      <w:r>
        <w:rPr>
          <w:rFonts w:hint="eastAsia" w:ascii="宋体" w:hAnsi="宋体"/>
          <w:b/>
          <w:bCs/>
          <w:lang w:eastAsia="zh-CN"/>
        </w:rPr>
        <w:t>第五条 质量保证</w:t>
      </w:r>
    </w:p>
    <w:p w14:paraId="788A3E7C">
      <w:pPr>
        <w:autoSpaceDE w:val="0"/>
        <w:autoSpaceDN w:val="0"/>
        <w:adjustRightInd w:val="0"/>
        <w:spacing w:line="360" w:lineRule="auto"/>
        <w:ind w:firstLine="420" w:firstLineChars="200"/>
        <w:rPr>
          <w:rFonts w:ascii="宋体" w:hAnsi="宋体"/>
          <w:lang w:eastAsia="zh-CN"/>
        </w:rPr>
      </w:pPr>
      <w:r>
        <w:rPr>
          <w:rFonts w:hint="eastAsia" w:ascii="宋体" w:hAnsi="宋体"/>
          <w:lang w:eastAsia="zh-CN"/>
        </w:rPr>
        <w:t>乙方所提供的服务的技术规格应与磋商文件规定的技术规格及响应文件所附的“技术条款偏离表”相一致；若技术性能无特殊说明，则按国家有关部门最新颁布的标准及规范为准。</w:t>
      </w:r>
    </w:p>
    <w:p w14:paraId="30EEE7A0">
      <w:pPr>
        <w:autoSpaceDE w:val="0"/>
        <w:autoSpaceDN w:val="0"/>
        <w:adjustRightInd w:val="0"/>
        <w:spacing w:line="360" w:lineRule="auto"/>
        <w:ind w:firstLine="422" w:firstLineChars="200"/>
        <w:rPr>
          <w:rFonts w:ascii="宋体" w:hAnsi="宋体"/>
          <w:b/>
          <w:bCs/>
          <w:lang w:eastAsia="zh-CN"/>
        </w:rPr>
      </w:pPr>
      <w:r>
        <w:rPr>
          <w:rFonts w:hint="eastAsia" w:ascii="宋体" w:hAnsi="宋体"/>
          <w:b/>
          <w:bCs/>
          <w:lang w:eastAsia="zh-CN"/>
        </w:rPr>
        <w:t>第六条 交付和验收</w:t>
      </w:r>
    </w:p>
    <w:p w14:paraId="04D9ECA5">
      <w:pPr>
        <w:autoSpaceDE w:val="0"/>
        <w:autoSpaceDN w:val="0"/>
        <w:adjustRightInd w:val="0"/>
        <w:spacing w:line="360" w:lineRule="auto"/>
        <w:ind w:firstLine="420" w:firstLineChars="200"/>
        <w:rPr>
          <w:rFonts w:ascii="宋体" w:hAnsi="宋体"/>
          <w:u w:val="single"/>
          <w:lang w:eastAsia="zh-CN"/>
        </w:rPr>
      </w:pPr>
      <w:r>
        <w:rPr>
          <w:rFonts w:hint="eastAsia" w:ascii="宋体" w:hAnsi="宋体"/>
          <w:lang w:eastAsia="zh-CN"/>
        </w:rPr>
        <w:t>1、本合同服务期限为三年</w:t>
      </w:r>
      <w:r>
        <w:rPr>
          <w:rFonts w:hint="eastAsia" w:ascii="宋体" w:hAnsi="宋体"/>
          <w:highlight w:val="none"/>
          <w:lang w:eastAsia="zh-CN"/>
        </w:rPr>
        <w:t>，自【20</w:t>
      </w:r>
      <w:r>
        <w:rPr>
          <w:rFonts w:hint="eastAsia" w:ascii="宋体" w:hAnsi="宋体"/>
          <w:highlight w:val="none"/>
          <w:lang w:val="en-US" w:eastAsia="zh-CN"/>
        </w:rPr>
        <w:t>26</w:t>
      </w:r>
      <w:r>
        <w:rPr>
          <w:rFonts w:hint="eastAsia" w:ascii="宋体" w:hAnsi="宋体"/>
          <w:highlight w:val="none"/>
          <w:lang w:eastAsia="zh-CN"/>
        </w:rPr>
        <w:t>年</w:t>
      </w:r>
      <w:r>
        <w:rPr>
          <w:rFonts w:hint="eastAsia" w:ascii="宋体" w:hAnsi="宋体"/>
          <w:highlight w:val="none"/>
          <w:lang w:val="en-US" w:eastAsia="zh-CN"/>
        </w:rPr>
        <w:t>1</w:t>
      </w:r>
      <w:r>
        <w:rPr>
          <w:rFonts w:hint="eastAsia" w:ascii="宋体" w:hAnsi="宋体"/>
          <w:highlight w:val="none"/>
          <w:lang w:eastAsia="zh-CN"/>
        </w:rPr>
        <w:t>月</w:t>
      </w:r>
      <w:r>
        <w:rPr>
          <w:rFonts w:hint="eastAsia" w:ascii="宋体" w:hAnsi="宋体"/>
          <w:highlight w:val="none"/>
          <w:lang w:val="en-US" w:eastAsia="zh-CN"/>
        </w:rPr>
        <w:t>1</w:t>
      </w:r>
      <w:r>
        <w:rPr>
          <w:rFonts w:hint="eastAsia" w:ascii="宋体" w:hAnsi="宋体"/>
          <w:highlight w:val="none"/>
          <w:lang w:eastAsia="zh-CN"/>
        </w:rPr>
        <w:t>日】起至【</w:t>
      </w:r>
      <w:r>
        <w:rPr>
          <w:rFonts w:hint="eastAsia" w:ascii="宋体" w:hAnsi="宋体"/>
          <w:highlight w:val="none"/>
          <w:lang w:val="en-US" w:eastAsia="zh-CN"/>
        </w:rPr>
        <w:t>2026</w:t>
      </w:r>
      <w:r>
        <w:rPr>
          <w:rFonts w:hint="eastAsia" w:ascii="宋体" w:hAnsi="宋体"/>
          <w:highlight w:val="none"/>
          <w:lang w:eastAsia="zh-CN"/>
        </w:rPr>
        <w:t>年</w:t>
      </w:r>
      <w:r>
        <w:rPr>
          <w:rFonts w:hint="eastAsia" w:ascii="宋体" w:hAnsi="宋体"/>
          <w:highlight w:val="none"/>
          <w:lang w:val="en-US" w:eastAsia="zh-CN"/>
        </w:rPr>
        <w:t>12</w:t>
      </w:r>
      <w:r>
        <w:rPr>
          <w:rFonts w:hint="eastAsia" w:ascii="宋体" w:hAnsi="宋体"/>
          <w:highlight w:val="none"/>
          <w:lang w:eastAsia="zh-CN"/>
        </w:rPr>
        <w:t>月</w:t>
      </w:r>
      <w:r>
        <w:rPr>
          <w:rFonts w:hint="eastAsia" w:ascii="宋体" w:hAnsi="宋体"/>
          <w:highlight w:val="none"/>
          <w:lang w:val="en-US" w:eastAsia="zh-CN"/>
        </w:rPr>
        <w:t>31</w:t>
      </w:r>
      <w:r>
        <w:rPr>
          <w:rFonts w:hint="eastAsia" w:ascii="宋体" w:hAnsi="宋体"/>
          <w:highlight w:val="none"/>
          <w:lang w:eastAsia="zh-CN"/>
        </w:rPr>
        <w:t>日】止。</w:t>
      </w:r>
      <w:r>
        <w:rPr>
          <w:rFonts w:hint="eastAsia" w:ascii="宋体" w:hAnsi="宋体"/>
          <w:lang w:eastAsia="zh-CN"/>
        </w:rPr>
        <w:t>合同实行一年一考核一续签机制。首年服务期满后,委托单位有权决定是否与中标单位签订后续服务合同，总服务期限最多不超过三年。</w:t>
      </w:r>
    </w:p>
    <w:p w14:paraId="2DCCC71B">
      <w:pPr>
        <w:autoSpaceDE w:val="0"/>
        <w:autoSpaceDN w:val="0"/>
        <w:adjustRightInd w:val="0"/>
        <w:spacing w:line="360" w:lineRule="auto"/>
        <w:ind w:firstLine="420" w:firstLineChars="200"/>
        <w:rPr>
          <w:rFonts w:ascii="宋体" w:hAnsi="宋体"/>
          <w:lang w:eastAsia="zh-CN"/>
        </w:rPr>
      </w:pPr>
      <w:r>
        <w:rPr>
          <w:rFonts w:hint="eastAsia" w:ascii="宋体" w:hAnsi="宋体"/>
          <w:lang w:eastAsia="zh-CN"/>
        </w:rPr>
        <w:t>2、验收标准：按行业通行标准和乙方响应文件的承诺（不低于国家相关标准）。</w:t>
      </w:r>
    </w:p>
    <w:p w14:paraId="6F64C496">
      <w:pPr>
        <w:spacing w:line="360" w:lineRule="auto"/>
        <w:rPr>
          <w:rFonts w:ascii="宋体" w:hAnsi="宋体"/>
          <w:bCs/>
          <w:lang w:eastAsia="zh-CN"/>
        </w:rPr>
      </w:pPr>
      <w:r>
        <w:rPr>
          <w:rFonts w:hint="eastAsia" w:ascii="宋体" w:hAnsi="宋体"/>
          <w:b/>
          <w:bCs/>
          <w:lang w:eastAsia="zh-CN"/>
        </w:rPr>
        <w:t xml:space="preserve">    第七条 履约保证金：</w:t>
      </w:r>
      <w:r>
        <w:rPr>
          <w:rFonts w:hint="eastAsia" w:ascii="宋体" w:hAnsi="宋体"/>
          <w:bCs/>
          <w:lang w:eastAsia="zh-CN"/>
        </w:rPr>
        <w:t>无。</w:t>
      </w:r>
    </w:p>
    <w:p w14:paraId="11936CC6">
      <w:pPr>
        <w:autoSpaceDE w:val="0"/>
        <w:autoSpaceDN w:val="0"/>
        <w:adjustRightInd w:val="0"/>
        <w:spacing w:line="360" w:lineRule="auto"/>
        <w:ind w:firstLine="422" w:firstLineChars="200"/>
        <w:rPr>
          <w:rFonts w:ascii="宋体" w:hAnsi="宋体"/>
          <w:b/>
          <w:bCs/>
          <w:i/>
          <w:iCs/>
          <w:lang w:eastAsia="zh-CN"/>
        </w:rPr>
      </w:pPr>
      <w:r>
        <w:rPr>
          <w:rFonts w:hint="eastAsia" w:ascii="宋体" w:hAnsi="宋体"/>
          <w:b/>
          <w:bCs/>
          <w:lang w:eastAsia="zh-CN"/>
        </w:rPr>
        <w:t>第八条 合同款支付</w:t>
      </w:r>
    </w:p>
    <w:p w14:paraId="3826B575">
      <w:pPr>
        <w:autoSpaceDE w:val="0"/>
        <w:autoSpaceDN w:val="0"/>
        <w:adjustRightInd w:val="0"/>
        <w:spacing w:line="360" w:lineRule="auto"/>
        <w:ind w:firstLine="420" w:firstLineChars="200"/>
        <w:rPr>
          <w:rFonts w:hint="eastAsia" w:ascii="宋体" w:hAnsi="宋体"/>
          <w:lang w:eastAsia="zh-CN"/>
        </w:rPr>
      </w:pPr>
    </w:p>
    <w:p w14:paraId="6706EC8D">
      <w:pPr>
        <w:autoSpaceDE w:val="0"/>
        <w:autoSpaceDN w:val="0"/>
        <w:adjustRightInd w:val="0"/>
        <w:spacing w:line="360" w:lineRule="auto"/>
        <w:ind w:firstLine="420" w:firstLineChars="200"/>
        <w:rPr>
          <w:rFonts w:hint="eastAsia" w:ascii="宋体" w:hAnsi="宋体"/>
          <w:lang w:eastAsia="zh-CN"/>
        </w:rPr>
      </w:pPr>
    </w:p>
    <w:p w14:paraId="4F80531C">
      <w:pPr>
        <w:autoSpaceDE w:val="0"/>
        <w:autoSpaceDN w:val="0"/>
        <w:adjustRightInd w:val="0"/>
        <w:spacing w:line="360" w:lineRule="auto"/>
        <w:ind w:firstLine="420" w:firstLineChars="200"/>
        <w:rPr>
          <w:rFonts w:ascii="宋体" w:hAnsi="宋体"/>
          <w:lang w:eastAsia="zh-CN"/>
        </w:rPr>
      </w:pPr>
      <w:r>
        <w:rPr>
          <w:rFonts w:hint="eastAsia" w:ascii="宋体" w:hAnsi="宋体"/>
          <w:lang w:eastAsia="zh-CN"/>
        </w:rPr>
        <w:t>1、本合同项下所有款项均以人民币支付。</w:t>
      </w:r>
    </w:p>
    <w:p w14:paraId="2501462A">
      <w:pPr>
        <w:autoSpaceDE w:val="0"/>
        <w:autoSpaceDN w:val="0"/>
        <w:adjustRightInd w:val="0"/>
        <w:spacing w:line="360" w:lineRule="auto"/>
        <w:ind w:firstLine="420" w:firstLineChars="200"/>
        <w:rPr>
          <w:rFonts w:hint="eastAsia" w:ascii="宋体" w:hAnsi="宋体"/>
          <w:lang w:eastAsia="zh-CN"/>
        </w:rPr>
      </w:pPr>
      <w:r>
        <w:rPr>
          <w:rFonts w:hint="eastAsia" w:ascii="宋体" w:hAnsi="宋体"/>
          <w:lang w:eastAsia="zh-CN"/>
        </w:rPr>
        <w:t>2、本合同项下的项目资金由国库集中支付或甲方自行支付，乙方向甲方开具发票。</w:t>
      </w:r>
    </w:p>
    <w:p w14:paraId="7FA409A7">
      <w:pPr>
        <w:autoSpaceDE w:val="0"/>
        <w:autoSpaceDN w:val="0"/>
        <w:adjustRightInd w:val="0"/>
        <w:spacing w:line="360" w:lineRule="auto"/>
        <w:ind w:firstLine="420" w:firstLineChars="200"/>
        <w:rPr>
          <w:rFonts w:ascii="宋体" w:hAnsi="宋体"/>
          <w:bCs/>
          <w:lang w:eastAsia="zh-CN"/>
        </w:rPr>
      </w:pPr>
      <w:r>
        <w:rPr>
          <w:rFonts w:hint="eastAsia" w:ascii="宋体" w:hAnsi="宋体"/>
          <w:bCs/>
          <w:lang w:eastAsia="zh-CN"/>
        </w:rPr>
        <w:t>3、付款条件：详见采购文件。</w:t>
      </w:r>
    </w:p>
    <w:p w14:paraId="03AD58D5">
      <w:pPr>
        <w:spacing w:line="360" w:lineRule="auto"/>
        <w:ind w:firstLine="480"/>
        <w:rPr>
          <w:rFonts w:ascii="宋体" w:hAnsi="宋体"/>
          <w:b/>
          <w:bCs/>
          <w:lang w:eastAsia="zh-CN"/>
        </w:rPr>
      </w:pPr>
      <w:r>
        <w:rPr>
          <w:rFonts w:hint="eastAsia" w:ascii="宋体" w:hAnsi="宋体"/>
          <w:b/>
          <w:bCs/>
          <w:lang w:eastAsia="zh-CN"/>
        </w:rPr>
        <w:t>第九条 违约责任</w:t>
      </w:r>
    </w:p>
    <w:p w14:paraId="06873C09">
      <w:pPr>
        <w:adjustRightInd w:val="0"/>
        <w:spacing w:line="360" w:lineRule="auto"/>
        <w:ind w:firstLine="420" w:firstLineChars="200"/>
        <w:rPr>
          <w:rFonts w:ascii="宋体" w:hAnsi="宋体"/>
          <w:lang w:eastAsia="zh-CN"/>
        </w:rPr>
      </w:pPr>
      <w:r>
        <w:rPr>
          <w:rFonts w:hint="eastAsia" w:ascii="宋体" w:hAnsi="宋体"/>
          <w:lang w:eastAsia="zh-CN"/>
        </w:rPr>
        <w:t>1、甲方无正当理由拒收服务、拒付服务款的，甲方向乙方偿付合同总价的5%违约金。</w:t>
      </w:r>
    </w:p>
    <w:p w14:paraId="74D6EACE">
      <w:pPr>
        <w:adjustRightInd w:val="0"/>
        <w:spacing w:line="360" w:lineRule="auto"/>
        <w:ind w:firstLine="420" w:firstLineChars="200"/>
        <w:rPr>
          <w:rFonts w:ascii="宋体" w:hAnsi="宋体"/>
          <w:lang w:eastAsia="zh-CN"/>
        </w:rPr>
      </w:pPr>
      <w:r>
        <w:rPr>
          <w:rFonts w:hint="eastAsia" w:ascii="宋体" w:hAnsi="宋体"/>
          <w:lang w:eastAsia="zh-CN"/>
        </w:rPr>
        <w:t>2、甲方未按合同规定的期限向乙方支付货款的，每逾期1天甲方向乙方偿付欠款总额的5‰滞纳金，但累计滞纳金总额不超过欠款总额的5%。</w:t>
      </w:r>
    </w:p>
    <w:p w14:paraId="663145E8">
      <w:pPr>
        <w:adjustRightInd w:val="0"/>
        <w:spacing w:line="360" w:lineRule="auto"/>
        <w:ind w:firstLine="420" w:firstLineChars="200"/>
        <w:rPr>
          <w:rFonts w:ascii="宋体" w:hAnsi="宋体"/>
          <w:lang w:eastAsia="zh-CN"/>
        </w:rPr>
      </w:pPr>
      <w:r>
        <w:rPr>
          <w:rFonts w:hint="eastAsia" w:ascii="宋体" w:hAnsi="宋体"/>
          <w:lang w:eastAsia="zh-CN"/>
        </w:rPr>
        <w:t>3、如乙方不能交付服务的，乙方应向甲方支付合同总价5%的违约金。</w:t>
      </w:r>
    </w:p>
    <w:p w14:paraId="055D0119">
      <w:pPr>
        <w:adjustRightInd w:val="0"/>
        <w:spacing w:line="360" w:lineRule="auto"/>
        <w:ind w:firstLine="420" w:firstLineChars="200"/>
        <w:rPr>
          <w:rFonts w:ascii="宋体" w:hAnsi="宋体"/>
          <w:lang w:eastAsia="zh-CN"/>
        </w:rPr>
      </w:pPr>
      <w:r>
        <w:rPr>
          <w:rFonts w:hint="eastAsia" w:ascii="宋体" w:hAnsi="宋体"/>
          <w:lang w:eastAsia="zh-CN"/>
        </w:rPr>
        <w:t>4、乙方逾期交付的，每逾期1天，乙方向甲方偿付合同总额的5‰的滞纳金。如乙方逾期交付达10天，甲方有权解除合同，解除合同的通知自到达乙方时生效。</w:t>
      </w:r>
    </w:p>
    <w:p w14:paraId="7E965158">
      <w:pPr>
        <w:adjustRightInd w:val="0"/>
        <w:spacing w:line="360" w:lineRule="auto"/>
        <w:ind w:firstLine="420" w:firstLineChars="200"/>
        <w:rPr>
          <w:rFonts w:ascii="宋体" w:hAnsi="宋体"/>
          <w:lang w:eastAsia="zh-CN"/>
        </w:rPr>
      </w:pPr>
      <w:r>
        <w:rPr>
          <w:rFonts w:hint="eastAsia" w:ascii="宋体" w:hAnsi="宋体"/>
          <w:lang w:eastAsia="zh-CN"/>
        </w:rPr>
        <w:t>5、乙方所交付的服务不符合合同规定的，甲方有权拒收。甲方拒收的，乙方应向甲方支付合同总款5%的违约金。甲方未拒收的，招标代理机构发现后将向有关部门反映，并责成乙方按照磋商结果提供服务。</w:t>
      </w:r>
    </w:p>
    <w:p w14:paraId="3D27BC1A">
      <w:pPr>
        <w:adjustRightInd w:val="0"/>
        <w:spacing w:line="360" w:lineRule="auto"/>
        <w:ind w:firstLine="420" w:firstLineChars="200"/>
        <w:rPr>
          <w:rFonts w:ascii="宋体" w:hAnsi="宋体"/>
          <w:lang w:eastAsia="zh-CN"/>
        </w:rPr>
      </w:pPr>
      <w:r>
        <w:rPr>
          <w:rFonts w:hint="eastAsia" w:ascii="宋体" w:hAnsi="宋体"/>
          <w:lang w:eastAsia="zh-CN"/>
        </w:rPr>
        <w:t>6、在乙方承诺的或国家规定的质量保证期内（取两者中最长的期限），如经乙方两次整改仍不能达到合同约定的质量标准，乙方应退回全部合同价款，并按第3款处理，同时，乙方还须赔偿甲方因此遭受的损失。</w:t>
      </w:r>
    </w:p>
    <w:p w14:paraId="5F950117">
      <w:pPr>
        <w:adjustRightInd w:val="0"/>
        <w:spacing w:line="360" w:lineRule="auto"/>
        <w:ind w:firstLine="420" w:firstLineChars="200"/>
        <w:rPr>
          <w:rFonts w:ascii="宋体" w:hAnsi="宋体"/>
          <w:lang w:eastAsia="zh-CN"/>
        </w:rPr>
      </w:pPr>
      <w:r>
        <w:rPr>
          <w:rFonts w:hint="eastAsia" w:ascii="宋体" w:hAnsi="宋体"/>
          <w:lang w:eastAsia="zh-CN"/>
        </w:rPr>
        <w:t>7、乙方未按本合同的规定和“服务承诺”提供伴随服务/售后服务的，应按合同总价款的5%向甲方承担违约责任。</w:t>
      </w:r>
    </w:p>
    <w:p w14:paraId="0A486084">
      <w:pPr>
        <w:adjustRightInd w:val="0"/>
        <w:spacing w:line="360" w:lineRule="auto"/>
        <w:ind w:firstLine="420" w:firstLineChars="200"/>
        <w:rPr>
          <w:rFonts w:ascii="宋体" w:hAnsi="宋体"/>
          <w:lang w:eastAsia="zh-CN"/>
        </w:rPr>
      </w:pPr>
      <w:r>
        <w:rPr>
          <w:rFonts w:hint="eastAsia" w:ascii="宋体" w:hAnsi="宋体"/>
          <w:lang w:eastAsia="zh-CN"/>
        </w:rPr>
        <w:t>8、乙方在承担上述4-7款一项或多项违约责任后，仍应继续履行合同规定的义务（甲方解除合同的除外）。甲方未能及时追究乙方的任何一项违约责任并不表明甲方放弃追究乙方该项或其他违约责任。</w:t>
      </w:r>
    </w:p>
    <w:p w14:paraId="1F380BCF">
      <w:pPr>
        <w:adjustRightInd w:val="0"/>
        <w:spacing w:line="360" w:lineRule="auto"/>
        <w:ind w:firstLine="420" w:firstLineChars="200"/>
        <w:rPr>
          <w:rFonts w:ascii="宋体" w:hAnsi="宋体"/>
          <w:lang w:eastAsia="zh-CN"/>
        </w:rPr>
      </w:pPr>
      <w:r>
        <w:rPr>
          <w:rFonts w:hint="eastAsia" w:ascii="宋体" w:hAnsi="宋体"/>
          <w:lang w:eastAsia="zh-CN"/>
        </w:rPr>
        <w:t>9、乙方响应属虚假承诺，或经权威部门监测提供的服务不能满足竞争性磋商文件要求，或是由于乙方的过错造成合同无法继续履行的，乙方应向甲方支付不少于合同总价30%赔偿金。</w:t>
      </w:r>
    </w:p>
    <w:p w14:paraId="619DED92">
      <w:pPr>
        <w:adjustRightInd w:val="0"/>
        <w:spacing w:line="360" w:lineRule="auto"/>
        <w:ind w:firstLine="422" w:firstLineChars="200"/>
        <w:rPr>
          <w:rFonts w:ascii="宋体" w:hAnsi="宋体"/>
          <w:b/>
          <w:bCs/>
          <w:lang w:eastAsia="zh-CN"/>
        </w:rPr>
      </w:pPr>
      <w:r>
        <w:rPr>
          <w:rFonts w:hint="eastAsia" w:ascii="宋体" w:hAnsi="宋体"/>
          <w:b/>
          <w:bCs/>
          <w:lang w:eastAsia="zh-CN"/>
        </w:rPr>
        <w:t>第十条 项目履约验收</w:t>
      </w:r>
    </w:p>
    <w:p w14:paraId="0D4550FF">
      <w:pPr>
        <w:adjustRightInd w:val="0"/>
        <w:spacing w:line="360" w:lineRule="auto"/>
        <w:ind w:firstLine="420" w:firstLineChars="200"/>
        <w:rPr>
          <w:rFonts w:ascii="宋体" w:hAnsi="宋体"/>
          <w:lang w:eastAsia="zh-CN"/>
        </w:rPr>
      </w:pPr>
      <w:r>
        <w:rPr>
          <w:rFonts w:hint="eastAsia" w:ascii="宋体" w:hAnsi="宋体"/>
          <w:lang w:eastAsia="zh-CN"/>
        </w:rPr>
        <w:t>1、甲方有权对乙方项目实施执行过程及完成结果进行履约验收；</w:t>
      </w:r>
    </w:p>
    <w:p w14:paraId="2EC5C2C5">
      <w:pPr>
        <w:adjustRightInd w:val="0"/>
        <w:spacing w:line="360" w:lineRule="auto"/>
        <w:ind w:firstLine="420" w:firstLineChars="200"/>
        <w:rPr>
          <w:rFonts w:ascii="宋体" w:hAnsi="宋体"/>
          <w:lang w:eastAsia="zh-CN"/>
        </w:rPr>
      </w:pPr>
      <w:r>
        <w:rPr>
          <w:rFonts w:hint="eastAsia" w:ascii="宋体" w:hAnsi="宋体"/>
          <w:lang w:eastAsia="zh-CN"/>
        </w:rPr>
        <w:t>2、甲方可以邀请参加本项目的其他投标人或者第三方机构参与验收，乙方应积极配合并响应；</w:t>
      </w:r>
    </w:p>
    <w:p w14:paraId="6C736B23">
      <w:pPr>
        <w:adjustRightInd w:val="0"/>
        <w:spacing w:line="360" w:lineRule="auto"/>
        <w:ind w:firstLine="420" w:firstLineChars="200"/>
        <w:rPr>
          <w:rFonts w:ascii="宋体" w:hAnsi="宋体"/>
          <w:b/>
          <w:bCs/>
          <w:lang w:eastAsia="zh-CN"/>
        </w:rPr>
      </w:pPr>
      <w:r>
        <w:rPr>
          <w:rFonts w:hint="eastAsia" w:ascii="宋体" w:hAnsi="宋体"/>
          <w:lang w:eastAsia="zh-CN"/>
        </w:rPr>
        <w:t>3、参与验收的投标人或者第三方机构的意见作为验收书的参考资料一并存档。</w:t>
      </w:r>
    </w:p>
    <w:p w14:paraId="68094E86">
      <w:pPr>
        <w:adjustRightInd w:val="0"/>
        <w:spacing w:line="360" w:lineRule="auto"/>
        <w:ind w:firstLine="422" w:firstLineChars="200"/>
        <w:rPr>
          <w:rFonts w:ascii="宋体" w:hAnsi="宋体"/>
          <w:b/>
          <w:bCs/>
          <w:lang w:eastAsia="zh-CN"/>
        </w:rPr>
      </w:pPr>
      <w:r>
        <w:rPr>
          <w:rFonts w:hint="eastAsia" w:ascii="宋体" w:hAnsi="宋体"/>
          <w:b/>
          <w:bCs/>
          <w:lang w:eastAsia="zh-CN"/>
        </w:rPr>
        <w:t>第十一条 合同的变更和终止</w:t>
      </w:r>
    </w:p>
    <w:p w14:paraId="69AADB30">
      <w:pPr>
        <w:adjustRightInd w:val="0"/>
        <w:spacing w:line="360" w:lineRule="auto"/>
        <w:ind w:firstLine="420" w:firstLineChars="200"/>
        <w:rPr>
          <w:rFonts w:ascii="宋体" w:hAnsi="宋体"/>
          <w:lang w:eastAsia="zh-CN"/>
        </w:rPr>
      </w:pPr>
      <w:r>
        <w:rPr>
          <w:rFonts w:hint="eastAsia" w:ascii="宋体" w:hAnsi="宋体"/>
          <w:lang w:eastAsia="zh-CN"/>
        </w:rPr>
        <w:t>1、本合同一经签订，甲乙双方不得擅自变更、中止或终止合同。</w:t>
      </w:r>
    </w:p>
    <w:p w14:paraId="0873E386">
      <w:pPr>
        <w:adjustRightInd w:val="0"/>
        <w:spacing w:line="360" w:lineRule="auto"/>
        <w:ind w:firstLine="420" w:firstLineChars="200"/>
        <w:rPr>
          <w:rFonts w:ascii="宋体" w:hAnsi="宋体"/>
          <w:lang w:eastAsia="zh-CN"/>
        </w:rPr>
      </w:pPr>
      <w:r>
        <w:rPr>
          <w:rFonts w:hint="eastAsia" w:ascii="宋体" w:hAnsi="宋体"/>
          <w:lang w:eastAsia="zh-CN"/>
        </w:rPr>
        <w:t>2、除发生法律规定的不能预见、不能避免并不能克服的客观情况外，甲乙双方不得放弃或拒绝履行合同。</w:t>
      </w:r>
    </w:p>
    <w:p w14:paraId="65CD2ECD">
      <w:pPr>
        <w:adjustRightInd w:val="0"/>
        <w:spacing w:line="360" w:lineRule="auto"/>
        <w:ind w:firstLine="422" w:firstLineChars="200"/>
        <w:rPr>
          <w:rFonts w:ascii="宋体" w:hAnsi="宋体"/>
          <w:b/>
          <w:bCs/>
          <w:lang w:eastAsia="zh-CN"/>
        </w:rPr>
      </w:pPr>
      <w:r>
        <w:rPr>
          <w:rFonts w:hint="eastAsia" w:ascii="宋体" w:hAnsi="宋体"/>
          <w:b/>
          <w:bCs/>
          <w:lang w:eastAsia="zh-CN"/>
        </w:rPr>
        <w:t>第十二条 合同的转让</w:t>
      </w:r>
    </w:p>
    <w:p w14:paraId="283E0EDB">
      <w:pPr>
        <w:adjustRightInd w:val="0"/>
        <w:spacing w:line="360" w:lineRule="auto"/>
        <w:ind w:firstLine="420" w:firstLineChars="200"/>
        <w:rPr>
          <w:rFonts w:ascii="宋体" w:hAnsi="宋体"/>
          <w:lang w:eastAsia="zh-CN"/>
        </w:rPr>
      </w:pPr>
      <w:r>
        <w:rPr>
          <w:rFonts w:hint="eastAsia" w:ascii="宋体" w:hAnsi="宋体"/>
          <w:lang w:eastAsia="zh-CN"/>
        </w:rPr>
        <w:t>乙方不得擅自部分或全部转让其应履行的合同义务。</w:t>
      </w:r>
    </w:p>
    <w:p w14:paraId="2B795781">
      <w:pPr>
        <w:adjustRightInd w:val="0"/>
        <w:spacing w:line="360" w:lineRule="auto"/>
        <w:ind w:firstLine="422" w:firstLineChars="200"/>
        <w:rPr>
          <w:rFonts w:ascii="宋体" w:hAnsi="宋体"/>
          <w:b/>
          <w:bCs/>
          <w:lang w:eastAsia="zh-CN"/>
        </w:rPr>
      </w:pPr>
      <w:r>
        <w:rPr>
          <w:rFonts w:hint="eastAsia" w:ascii="宋体" w:hAnsi="宋体"/>
          <w:b/>
          <w:bCs/>
          <w:lang w:eastAsia="zh-CN"/>
        </w:rPr>
        <w:t>第十三条 争议的解决</w:t>
      </w:r>
    </w:p>
    <w:p w14:paraId="5C1D47D2">
      <w:pPr>
        <w:adjustRightInd w:val="0"/>
        <w:spacing w:line="360" w:lineRule="auto"/>
        <w:ind w:firstLine="420" w:firstLineChars="200"/>
        <w:rPr>
          <w:rFonts w:ascii="宋体" w:hAnsi="宋体"/>
          <w:lang w:eastAsia="zh-CN"/>
        </w:rPr>
      </w:pPr>
      <w:r>
        <w:rPr>
          <w:rFonts w:hint="eastAsia" w:ascii="宋体" w:hAnsi="宋体"/>
          <w:lang w:eastAsia="zh-CN"/>
        </w:rPr>
        <w:t>1、因服务的质量问题发生争议的，应当邀请国家认可的质量检测机构对服务质量进行鉴定。符合标准的，鉴定费由甲方承担；不符合质量标准的，鉴定费由乙方承担。</w:t>
      </w:r>
    </w:p>
    <w:p w14:paraId="194EB9D5">
      <w:pPr>
        <w:adjustRightInd w:val="0"/>
        <w:spacing w:line="360" w:lineRule="auto"/>
        <w:ind w:firstLine="420" w:firstLineChars="200"/>
        <w:rPr>
          <w:rFonts w:ascii="宋体" w:hAnsi="宋体"/>
          <w:lang w:eastAsia="zh-CN"/>
        </w:rPr>
      </w:pPr>
      <w:r>
        <w:rPr>
          <w:rFonts w:hint="eastAsia" w:ascii="宋体" w:hAnsi="宋体"/>
          <w:lang w:eastAsia="zh-CN"/>
        </w:rPr>
        <w:t>2、因履行本合同引起的或与本合同有关的争议，甲、乙双方应首先通过友好协商解决，如果协商不能解决争议，则采取以下第（ ）种方式解决争议：</w:t>
      </w:r>
    </w:p>
    <w:p w14:paraId="70518BC9">
      <w:pPr>
        <w:adjustRightInd w:val="0"/>
        <w:spacing w:line="360" w:lineRule="auto"/>
        <w:ind w:firstLine="420" w:firstLineChars="200"/>
        <w:rPr>
          <w:rFonts w:ascii="宋体" w:hAnsi="宋体"/>
          <w:lang w:eastAsia="zh-CN"/>
        </w:rPr>
      </w:pPr>
      <w:r>
        <w:rPr>
          <w:rFonts w:hint="eastAsia" w:ascii="宋体" w:hAnsi="宋体"/>
          <w:lang w:eastAsia="zh-CN"/>
        </w:rPr>
        <w:t>（1）向甲方所在地有管辖权的人民法院提起诉讼；</w:t>
      </w:r>
    </w:p>
    <w:p w14:paraId="632A44B2">
      <w:pPr>
        <w:adjustRightInd w:val="0"/>
        <w:spacing w:line="360" w:lineRule="auto"/>
        <w:ind w:firstLine="420" w:firstLineChars="200"/>
        <w:rPr>
          <w:rFonts w:ascii="宋体" w:hAnsi="宋体"/>
          <w:lang w:eastAsia="zh-CN"/>
        </w:rPr>
      </w:pPr>
      <w:r>
        <w:rPr>
          <w:rFonts w:hint="eastAsia" w:ascii="宋体" w:hAnsi="宋体"/>
          <w:lang w:eastAsia="zh-CN"/>
        </w:rPr>
        <w:t>（2）向南京仲裁委员会按其仲裁规则申请仲裁。</w:t>
      </w:r>
    </w:p>
    <w:p w14:paraId="3231C037">
      <w:pPr>
        <w:adjustRightInd w:val="0"/>
        <w:spacing w:line="360" w:lineRule="auto"/>
        <w:ind w:firstLine="420" w:firstLineChars="200"/>
        <w:rPr>
          <w:rFonts w:hint="eastAsia" w:ascii="宋体" w:hAnsi="宋体"/>
          <w:lang w:eastAsia="zh-CN"/>
        </w:rPr>
      </w:pPr>
    </w:p>
    <w:p w14:paraId="2CB4EEA7">
      <w:pPr>
        <w:adjustRightInd w:val="0"/>
        <w:spacing w:line="360" w:lineRule="auto"/>
        <w:ind w:firstLine="420" w:firstLineChars="200"/>
        <w:rPr>
          <w:rFonts w:ascii="宋体" w:hAnsi="宋体"/>
          <w:lang w:eastAsia="zh-CN"/>
        </w:rPr>
      </w:pPr>
      <w:r>
        <w:rPr>
          <w:rFonts w:hint="eastAsia" w:ascii="宋体" w:hAnsi="宋体"/>
          <w:lang w:eastAsia="zh-CN"/>
        </w:rPr>
        <w:t>如没有约定，默认采取第2种方式解决争议。</w:t>
      </w:r>
    </w:p>
    <w:p w14:paraId="6F096CF1">
      <w:pPr>
        <w:adjustRightInd w:val="0"/>
        <w:spacing w:line="360" w:lineRule="auto"/>
        <w:ind w:firstLine="420" w:firstLineChars="200"/>
        <w:rPr>
          <w:rFonts w:ascii="宋体" w:hAnsi="宋体"/>
          <w:lang w:eastAsia="zh-CN"/>
        </w:rPr>
      </w:pPr>
      <w:r>
        <w:rPr>
          <w:rFonts w:hint="eastAsia" w:ascii="宋体" w:hAnsi="宋体"/>
          <w:lang w:eastAsia="zh-CN"/>
        </w:rPr>
        <w:t>3、在仲裁期间，本合同应继续履行。</w:t>
      </w:r>
    </w:p>
    <w:p w14:paraId="18A59D46">
      <w:pPr>
        <w:adjustRightInd w:val="0"/>
        <w:spacing w:line="360" w:lineRule="auto"/>
        <w:ind w:firstLine="422" w:firstLineChars="200"/>
        <w:rPr>
          <w:rFonts w:ascii="宋体" w:hAnsi="宋体"/>
          <w:b/>
          <w:bCs/>
          <w:lang w:eastAsia="zh-CN"/>
        </w:rPr>
      </w:pPr>
      <w:r>
        <w:rPr>
          <w:rFonts w:hint="eastAsia" w:ascii="宋体" w:hAnsi="宋体"/>
          <w:b/>
          <w:bCs/>
          <w:lang w:eastAsia="zh-CN"/>
        </w:rPr>
        <w:t xml:space="preserve">第十四条 诚实信用 </w:t>
      </w:r>
    </w:p>
    <w:p w14:paraId="7558EBA7">
      <w:pPr>
        <w:adjustRightInd w:val="0"/>
        <w:spacing w:line="360" w:lineRule="auto"/>
        <w:ind w:firstLine="420" w:firstLineChars="200"/>
        <w:rPr>
          <w:rFonts w:ascii="宋体" w:hAnsi="宋体"/>
          <w:lang w:eastAsia="zh-CN"/>
        </w:rPr>
      </w:pPr>
      <w:r>
        <w:rPr>
          <w:rFonts w:hint="eastAsia" w:ascii="宋体" w:hAnsi="宋体"/>
          <w:lang w:eastAsia="zh-CN"/>
        </w:rPr>
        <w:t>乙方应诚实信用，严格按照磋商文件要求和服务承诺履行合同，不向甲方进行商业贿赂或者提供不正当利益。</w:t>
      </w:r>
    </w:p>
    <w:p w14:paraId="5B9B554B">
      <w:pPr>
        <w:adjustRightInd w:val="0"/>
        <w:spacing w:line="360" w:lineRule="auto"/>
        <w:ind w:firstLine="422" w:firstLineChars="200"/>
        <w:rPr>
          <w:rFonts w:ascii="宋体" w:hAnsi="宋体"/>
          <w:b/>
          <w:bCs/>
          <w:lang w:eastAsia="zh-CN"/>
        </w:rPr>
      </w:pPr>
      <w:r>
        <w:rPr>
          <w:rFonts w:hint="eastAsia" w:ascii="宋体" w:hAnsi="宋体"/>
          <w:b/>
          <w:bCs/>
          <w:lang w:eastAsia="zh-CN"/>
        </w:rPr>
        <w:t>第十五条 合同生效及其他</w:t>
      </w:r>
    </w:p>
    <w:p w14:paraId="68FE2B6F">
      <w:pPr>
        <w:adjustRightInd w:val="0"/>
        <w:spacing w:line="360" w:lineRule="auto"/>
        <w:ind w:firstLine="420" w:firstLineChars="200"/>
        <w:rPr>
          <w:rFonts w:ascii="宋体" w:hAnsi="宋体"/>
          <w:lang w:eastAsia="zh-CN"/>
        </w:rPr>
      </w:pPr>
      <w:r>
        <w:rPr>
          <w:rFonts w:hint="eastAsia" w:ascii="宋体" w:hAnsi="宋体"/>
          <w:lang w:eastAsia="zh-CN"/>
        </w:rPr>
        <w:t>1、本合同自签订之日起生效。</w:t>
      </w:r>
    </w:p>
    <w:p w14:paraId="5B8CA281">
      <w:pPr>
        <w:adjustRightInd w:val="0"/>
        <w:spacing w:line="360" w:lineRule="auto"/>
        <w:ind w:firstLine="420" w:firstLineChars="200"/>
        <w:rPr>
          <w:rFonts w:hint="eastAsia" w:ascii="宋体" w:hAnsi="宋体"/>
          <w:lang w:val="en-US" w:eastAsia="zh-CN"/>
        </w:rPr>
      </w:pPr>
      <w:r>
        <w:rPr>
          <w:rFonts w:hint="eastAsia" w:ascii="宋体" w:hAnsi="宋体"/>
          <w:lang w:eastAsia="zh-CN"/>
        </w:rPr>
        <w:t>2、本合同一式</w:t>
      </w:r>
      <w:r>
        <w:rPr>
          <w:rFonts w:hint="eastAsia" w:ascii="宋体" w:hAnsi="宋体"/>
          <w:lang w:val="en-US" w:eastAsia="zh-CN"/>
        </w:rPr>
        <w:t>陆</w:t>
      </w:r>
      <w:r>
        <w:rPr>
          <w:rFonts w:hint="eastAsia" w:ascii="宋体" w:hAnsi="宋体"/>
          <w:lang w:eastAsia="zh-CN"/>
        </w:rPr>
        <w:t>份，</w:t>
      </w:r>
      <w:r>
        <w:rPr>
          <w:rFonts w:hint="eastAsia" w:ascii="宋体" w:hAnsi="宋体"/>
          <w:lang w:val="en-US" w:eastAsia="zh-CN"/>
        </w:rPr>
        <w:t>甲方执肆份，乙方执贰份。</w:t>
      </w:r>
    </w:p>
    <w:p w14:paraId="23FB9DD7">
      <w:pPr>
        <w:adjustRightInd w:val="0"/>
        <w:spacing w:line="360" w:lineRule="auto"/>
        <w:ind w:firstLine="420" w:firstLineChars="200"/>
        <w:rPr>
          <w:rFonts w:ascii="宋体" w:hAnsi="宋体"/>
          <w:lang w:eastAsia="zh-CN"/>
        </w:rPr>
      </w:pPr>
      <w:r>
        <w:rPr>
          <w:rFonts w:hint="eastAsia" w:ascii="宋体" w:hAnsi="宋体"/>
          <w:lang w:eastAsia="zh-CN"/>
        </w:rPr>
        <w:t>3、本合同应按照中华人民共和国的现行法律进行解释。</w:t>
      </w:r>
    </w:p>
    <w:p w14:paraId="634D14AA">
      <w:pPr>
        <w:adjustRightInd w:val="0"/>
        <w:spacing w:line="360" w:lineRule="auto"/>
        <w:ind w:firstLine="420" w:firstLineChars="200"/>
        <w:rPr>
          <w:rFonts w:ascii="宋体" w:hAnsi="宋体"/>
          <w:lang w:eastAsia="zh-CN"/>
        </w:rPr>
      </w:pPr>
      <w:r>
        <w:rPr>
          <w:rFonts w:hint="eastAsia" w:ascii="宋体" w:hAnsi="宋体"/>
          <w:lang w:eastAsia="zh-CN"/>
        </w:rPr>
        <w:t>4、乙方负责协助电扶梯的政府定期检验工作，政府电梯定期检验费用由乙方承担，超载重测试相关费用由乙方承担。国家有关安全标准的法律规定发生改变时，乙方将及时书面通知甲方，并为甲方进行此安全设备的安装、调试工作，使其符合新的安全标准,相关人工、材料费用由甲方承担。</w:t>
      </w:r>
    </w:p>
    <w:p w14:paraId="49AE7A00">
      <w:pPr>
        <w:adjustRightInd w:val="0"/>
        <w:spacing w:line="360" w:lineRule="auto"/>
        <w:ind w:firstLine="420" w:firstLineChars="200"/>
        <w:rPr>
          <w:rFonts w:ascii="宋体" w:hAnsi="宋体"/>
          <w:lang w:eastAsia="zh-CN"/>
        </w:rPr>
      </w:pPr>
    </w:p>
    <w:tbl>
      <w:tblPr>
        <w:tblStyle w:val="39"/>
        <w:tblW w:w="4999" w:type="pct"/>
        <w:tblInd w:w="0" w:type="dxa"/>
        <w:tblLayout w:type="autofit"/>
        <w:tblCellMar>
          <w:top w:w="0" w:type="dxa"/>
          <w:left w:w="0" w:type="dxa"/>
          <w:bottom w:w="0" w:type="dxa"/>
          <w:right w:w="0" w:type="dxa"/>
        </w:tblCellMar>
      </w:tblPr>
      <w:tblGrid>
        <w:gridCol w:w="4882"/>
        <w:gridCol w:w="5039"/>
      </w:tblGrid>
      <w:tr w14:paraId="22F80C16">
        <w:tblPrEx>
          <w:tblCellMar>
            <w:top w:w="0" w:type="dxa"/>
            <w:left w:w="0" w:type="dxa"/>
            <w:bottom w:w="0" w:type="dxa"/>
            <w:right w:w="0" w:type="dxa"/>
          </w:tblCellMar>
        </w:tblPrEx>
        <w:tc>
          <w:tcPr>
            <w:tcW w:w="2460" w:type="pct"/>
            <w:tcBorders>
              <w:top w:val="nil"/>
              <w:left w:val="nil"/>
              <w:bottom w:val="nil"/>
              <w:right w:val="nil"/>
            </w:tcBorders>
          </w:tcPr>
          <w:p w14:paraId="74AAD244">
            <w:pPr>
              <w:adjustRightInd w:val="0"/>
              <w:spacing w:line="360" w:lineRule="auto"/>
              <w:rPr>
                <w:rFonts w:ascii="宋体" w:hAnsi="宋体"/>
                <w:lang w:eastAsia="zh-CN"/>
              </w:rPr>
            </w:pPr>
            <w:r>
              <w:rPr>
                <w:rFonts w:hint="eastAsia" w:ascii="宋体" w:hAnsi="宋体"/>
                <w:lang w:eastAsia="zh-CN"/>
              </w:rPr>
              <w:t>甲方（招标人）：</w:t>
            </w:r>
          </w:p>
        </w:tc>
        <w:tc>
          <w:tcPr>
            <w:tcW w:w="2539" w:type="pct"/>
            <w:tcBorders>
              <w:top w:val="nil"/>
              <w:left w:val="nil"/>
              <w:bottom w:val="nil"/>
              <w:right w:val="nil"/>
            </w:tcBorders>
          </w:tcPr>
          <w:p w14:paraId="5E71CFCE">
            <w:pPr>
              <w:adjustRightInd w:val="0"/>
              <w:spacing w:line="360" w:lineRule="auto"/>
              <w:rPr>
                <w:rFonts w:ascii="宋体" w:hAnsi="宋体"/>
                <w:lang w:eastAsia="zh-CN"/>
              </w:rPr>
            </w:pPr>
            <w:r>
              <w:rPr>
                <w:rFonts w:hint="eastAsia" w:ascii="宋体" w:hAnsi="宋体"/>
                <w:lang w:eastAsia="zh-CN"/>
              </w:rPr>
              <w:t>乙方（中标人）：</w:t>
            </w:r>
          </w:p>
        </w:tc>
      </w:tr>
      <w:tr w14:paraId="616EB266">
        <w:tblPrEx>
          <w:tblCellMar>
            <w:top w:w="0" w:type="dxa"/>
            <w:left w:w="0" w:type="dxa"/>
            <w:bottom w:w="0" w:type="dxa"/>
            <w:right w:w="0" w:type="dxa"/>
          </w:tblCellMar>
        </w:tblPrEx>
        <w:tc>
          <w:tcPr>
            <w:tcW w:w="2460" w:type="pct"/>
            <w:tcBorders>
              <w:top w:val="nil"/>
              <w:left w:val="nil"/>
              <w:bottom w:val="nil"/>
              <w:right w:val="nil"/>
            </w:tcBorders>
          </w:tcPr>
          <w:p w14:paraId="0ABE4A4A">
            <w:pPr>
              <w:adjustRightInd w:val="0"/>
              <w:spacing w:line="360" w:lineRule="auto"/>
              <w:rPr>
                <w:rFonts w:ascii="宋体" w:hAnsi="宋体"/>
              </w:rPr>
            </w:pPr>
            <w:r>
              <w:rPr>
                <w:rFonts w:hint="eastAsia" w:ascii="宋体" w:hAnsi="宋体"/>
              </w:rPr>
              <w:t>代表人：</w:t>
            </w:r>
          </w:p>
        </w:tc>
        <w:tc>
          <w:tcPr>
            <w:tcW w:w="2539" w:type="pct"/>
            <w:tcBorders>
              <w:top w:val="nil"/>
              <w:left w:val="nil"/>
              <w:bottom w:val="nil"/>
              <w:right w:val="nil"/>
            </w:tcBorders>
          </w:tcPr>
          <w:p w14:paraId="7B3FE0B6">
            <w:pPr>
              <w:adjustRightInd w:val="0"/>
              <w:spacing w:line="360" w:lineRule="auto"/>
              <w:rPr>
                <w:rFonts w:ascii="宋体" w:hAnsi="宋体"/>
              </w:rPr>
            </w:pPr>
            <w:r>
              <w:rPr>
                <w:rFonts w:hint="eastAsia" w:ascii="宋体" w:hAnsi="宋体"/>
              </w:rPr>
              <w:t>代表人：</w:t>
            </w:r>
          </w:p>
        </w:tc>
      </w:tr>
      <w:tr w14:paraId="744CD17D">
        <w:tblPrEx>
          <w:tblCellMar>
            <w:top w:w="0" w:type="dxa"/>
            <w:left w:w="0" w:type="dxa"/>
            <w:bottom w:w="0" w:type="dxa"/>
            <w:right w:w="0" w:type="dxa"/>
          </w:tblCellMar>
        </w:tblPrEx>
        <w:tc>
          <w:tcPr>
            <w:tcW w:w="2460" w:type="pct"/>
            <w:tcBorders>
              <w:top w:val="nil"/>
              <w:left w:val="nil"/>
              <w:bottom w:val="nil"/>
              <w:right w:val="nil"/>
            </w:tcBorders>
          </w:tcPr>
          <w:p w14:paraId="4A1813E6">
            <w:pPr>
              <w:adjustRightInd w:val="0"/>
              <w:spacing w:line="360" w:lineRule="auto"/>
              <w:rPr>
                <w:rFonts w:ascii="宋体" w:hAnsi="宋体"/>
                <w:lang w:eastAsia="zh-CN"/>
              </w:rPr>
            </w:pPr>
            <w:r>
              <w:rPr>
                <w:rFonts w:hint="eastAsia" w:ascii="宋体" w:hAnsi="宋体"/>
              </w:rPr>
              <w:t>电    话：</w:t>
            </w:r>
          </w:p>
        </w:tc>
        <w:tc>
          <w:tcPr>
            <w:tcW w:w="2539" w:type="pct"/>
            <w:tcBorders>
              <w:top w:val="nil"/>
              <w:left w:val="nil"/>
              <w:bottom w:val="nil"/>
              <w:right w:val="nil"/>
            </w:tcBorders>
          </w:tcPr>
          <w:p w14:paraId="122AF6E9">
            <w:pPr>
              <w:adjustRightInd w:val="0"/>
              <w:spacing w:line="360" w:lineRule="auto"/>
              <w:rPr>
                <w:rFonts w:ascii="宋体" w:hAnsi="宋体"/>
              </w:rPr>
            </w:pPr>
            <w:r>
              <w:rPr>
                <w:rFonts w:hint="eastAsia" w:ascii="宋体" w:hAnsi="宋体"/>
              </w:rPr>
              <w:t>电    话：</w:t>
            </w:r>
          </w:p>
        </w:tc>
      </w:tr>
      <w:tr w14:paraId="56FEF2E5">
        <w:tblPrEx>
          <w:tblCellMar>
            <w:top w:w="0" w:type="dxa"/>
            <w:left w:w="0" w:type="dxa"/>
            <w:bottom w:w="0" w:type="dxa"/>
            <w:right w:w="0" w:type="dxa"/>
          </w:tblCellMar>
        </w:tblPrEx>
        <w:tc>
          <w:tcPr>
            <w:tcW w:w="2460" w:type="pct"/>
            <w:tcBorders>
              <w:top w:val="nil"/>
              <w:left w:val="nil"/>
              <w:bottom w:val="nil"/>
              <w:right w:val="nil"/>
            </w:tcBorders>
          </w:tcPr>
          <w:p w14:paraId="30B4057F">
            <w:pPr>
              <w:adjustRightInd w:val="0"/>
              <w:spacing w:line="360" w:lineRule="auto"/>
              <w:ind w:left="1200" w:hanging="1050" w:hangingChars="500"/>
              <w:rPr>
                <w:rFonts w:ascii="宋体" w:hAnsi="宋体"/>
                <w:lang w:eastAsia="zh-CN"/>
              </w:rPr>
            </w:pPr>
          </w:p>
        </w:tc>
        <w:tc>
          <w:tcPr>
            <w:tcW w:w="2539" w:type="pct"/>
            <w:tcBorders>
              <w:top w:val="nil"/>
              <w:left w:val="nil"/>
              <w:bottom w:val="nil"/>
              <w:right w:val="nil"/>
            </w:tcBorders>
          </w:tcPr>
          <w:p w14:paraId="189C4A6C">
            <w:pPr>
              <w:adjustRightInd w:val="0"/>
              <w:spacing w:line="360" w:lineRule="auto"/>
              <w:rPr>
                <w:rFonts w:ascii="宋体" w:hAnsi="宋体"/>
                <w:lang w:eastAsia="zh-CN"/>
              </w:rPr>
            </w:pPr>
            <w:r>
              <w:rPr>
                <w:rFonts w:hint="eastAsia" w:ascii="宋体" w:hAnsi="宋体"/>
                <w:lang w:eastAsia="zh-CN"/>
              </w:rPr>
              <w:t>开户银行：</w:t>
            </w:r>
          </w:p>
        </w:tc>
      </w:tr>
      <w:tr w14:paraId="6FC63EC6">
        <w:tblPrEx>
          <w:tblCellMar>
            <w:top w:w="0" w:type="dxa"/>
            <w:left w:w="0" w:type="dxa"/>
            <w:bottom w:w="0" w:type="dxa"/>
            <w:right w:w="0" w:type="dxa"/>
          </w:tblCellMar>
        </w:tblPrEx>
        <w:tc>
          <w:tcPr>
            <w:tcW w:w="2460" w:type="pct"/>
            <w:tcBorders>
              <w:top w:val="nil"/>
              <w:left w:val="nil"/>
              <w:bottom w:val="nil"/>
              <w:right w:val="nil"/>
            </w:tcBorders>
          </w:tcPr>
          <w:p w14:paraId="394EDF5B">
            <w:pPr>
              <w:adjustRightInd w:val="0"/>
              <w:spacing w:line="360" w:lineRule="auto"/>
              <w:rPr>
                <w:rFonts w:ascii="宋体" w:hAnsi="宋体"/>
                <w:lang w:eastAsia="zh-CN"/>
              </w:rPr>
            </w:pPr>
          </w:p>
        </w:tc>
        <w:tc>
          <w:tcPr>
            <w:tcW w:w="2539" w:type="pct"/>
            <w:tcBorders>
              <w:top w:val="nil"/>
              <w:left w:val="nil"/>
              <w:bottom w:val="nil"/>
              <w:right w:val="nil"/>
            </w:tcBorders>
          </w:tcPr>
          <w:p w14:paraId="39004D68">
            <w:pPr>
              <w:adjustRightInd w:val="0"/>
              <w:spacing w:line="360" w:lineRule="auto"/>
              <w:rPr>
                <w:rFonts w:ascii="宋体" w:hAnsi="宋体"/>
              </w:rPr>
            </w:pPr>
            <w:r>
              <w:rPr>
                <w:rFonts w:hint="eastAsia" w:ascii="宋体" w:hAnsi="宋体"/>
              </w:rPr>
              <w:t>帐    号：</w:t>
            </w:r>
          </w:p>
        </w:tc>
      </w:tr>
    </w:tbl>
    <w:p w14:paraId="1EEAC1A3">
      <w:pPr>
        <w:spacing w:line="520" w:lineRule="exact"/>
        <w:ind w:firstLine="480" w:firstLineChars="200"/>
        <w:rPr>
          <w:rFonts w:hint="eastAsia" w:ascii="宋体" w:hAnsi="宋体" w:cs="宋体"/>
          <w:sz w:val="24"/>
          <w:szCs w:val="24"/>
        </w:rPr>
      </w:pPr>
    </w:p>
    <w:p w14:paraId="66C0F496">
      <w:pPr>
        <w:spacing w:line="272" w:lineRule="auto"/>
      </w:pPr>
    </w:p>
    <w:p w14:paraId="137404FF">
      <w:r>
        <w:br w:type="page"/>
      </w:r>
    </w:p>
    <w:p w14:paraId="0C728445">
      <w:pPr>
        <w:rPr>
          <w:rFonts w:hint="eastAsia" w:ascii="宋体" w:hAnsi="宋体" w:cs="宋体"/>
          <w:sz w:val="24"/>
          <w:szCs w:val="24"/>
        </w:rPr>
        <w:sectPr>
          <w:headerReference r:id="rId11" w:type="default"/>
          <w:footerReference r:id="rId12" w:type="default"/>
          <w:pgSz w:w="11906" w:h="16839"/>
          <w:pgMar w:top="874" w:right="991" w:bottom="934" w:left="991" w:header="599" w:footer="773" w:gutter="0"/>
          <w:cols w:equalWidth="0" w:num="1">
            <w:col w:w="9923"/>
          </w:cols>
        </w:sectPr>
      </w:pPr>
    </w:p>
    <w:p w14:paraId="2048FE3F">
      <w:pPr>
        <w:pStyle w:val="2"/>
        <w:rPr>
          <w:rFonts w:ascii="黑体" w:eastAsia="黑体"/>
          <w:bCs/>
          <w:sz w:val="44"/>
        </w:rPr>
      </w:pPr>
      <w:bookmarkStart w:id="83" w:name="_Toc24962239"/>
      <w:r>
        <w:rPr>
          <w:rFonts w:hint="eastAsia" w:ascii="宋体" w:hAnsi="宋体" w:eastAsia="宋体"/>
          <w:b/>
          <w:bCs/>
          <w:sz w:val="32"/>
          <w:szCs w:val="32"/>
        </w:rPr>
        <w:t>第六章 竞争性磋商响应文件格式</w:t>
      </w:r>
      <w:bookmarkEnd w:id="83"/>
    </w:p>
    <w:p w14:paraId="2B4E6CB0">
      <w:pPr>
        <w:pStyle w:val="17"/>
        <w:kinsoku w:val="0"/>
        <w:overflowPunct w:val="0"/>
        <w:spacing w:before="37"/>
        <w:ind w:left="99"/>
        <w:jc w:val="center"/>
        <w:rPr>
          <w:sz w:val="20"/>
          <w:szCs w:val="20"/>
        </w:rPr>
      </w:pPr>
      <w:bookmarkStart w:id="84" w:name="_Hlt26671244"/>
      <w:bookmarkEnd w:id="84"/>
      <w:bookmarkStart w:id="85" w:name="_Hlt26955039"/>
      <w:bookmarkEnd w:id="85"/>
      <w:bookmarkStart w:id="86" w:name="_Toc120614282"/>
      <w:bookmarkStart w:id="87" w:name="_Toc26554094"/>
      <w:bookmarkStart w:id="88" w:name="_Toc49090576"/>
      <w:r>
        <mc:AlternateContent>
          <mc:Choice Requires="wps">
            <w:drawing>
              <wp:anchor distT="0" distB="0" distL="114300" distR="114300" simplePos="0" relativeHeight="251659264" behindDoc="0" locked="0" layoutInCell="1" allowOverlap="1">
                <wp:simplePos x="0" y="0"/>
                <wp:positionH relativeFrom="column">
                  <wp:posOffset>4608830</wp:posOffset>
                </wp:positionH>
                <wp:positionV relativeFrom="paragraph">
                  <wp:posOffset>476250</wp:posOffset>
                </wp:positionV>
                <wp:extent cx="1129030" cy="445135"/>
                <wp:effectExtent l="0" t="0" r="13970" b="12065"/>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1129030" cy="445135"/>
                        </a:xfrm>
                        <a:prstGeom prst="rect">
                          <a:avLst/>
                        </a:prstGeom>
                        <a:gradFill rotWithShape="0">
                          <a:gsLst>
                            <a:gs pos="0">
                              <a:srgbClr val="FFFFFF"/>
                            </a:gs>
                            <a:gs pos="100000">
                              <a:srgbClr val="FFFFFF"/>
                            </a:gs>
                          </a:gsLst>
                          <a:lin ang="0"/>
                        </a:gradFill>
                        <a:ln w="15875">
                          <a:solidFill>
                            <a:srgbClr val="739CC3"/>
                          </a:solidFill>
                          <a:miter lim="800000"/>
                        </a:ln>
                      </wps:spPr>
                      <wps:txbx>
                        <w:txbxContent>
                          <w:p w14:paraId="1CC53248">
                            <w:pPr>
                              <w:rPr>
                                <w:rFonts w:hint="eastAsia" w:ascii="黑体" w:hAnsi="黑体" w:eastAsia="黑体"/>
                                <w:b/>
                                <w:sz w:val="28"/>
                              </w:rPr>
                            </w:pPr>
                            <w:r>
                              <w:rPr>
                                <w:rFonts w:hint="eastAsia" w:ascii="黑体" w:hAnsi="黑体" w:eastAsia="黑体"/>
                                <w:b/>
                                <w:sz w:val="28"/>
                              </w:rPr>
                              <w:t>正本/副本</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62.9pt;margin-top:37.5pt;height:35.05pt;width:88.9pt;z-index:251659264;mso-width-relative:page;mso-height-relative:page;" fillcolor="#FFFFFF" filled="t" stroked="t" coordsize="21600,21600" o:gfxdata="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K9SMirXAAAACgEAAA8AAAAAAAAAAQAgAAAAIgAAAGRycy9kb3ducmV2&#10;LnhtbFBLAQIUABQAAAAIAIdO4kDBCXLvbwIAAPUEAAAOAAAAAAAAAAEAIAAAACYBAABkcnMvZTJv&#10;RG9jLnhtbFBLBQYAAAAABgAGAFkBAAAHBgAAAAA=&#10;">
                <v:fill type="gradient" on="t" color2="#FFFFFF" angle="90" focus="100%" focussize="0,0">
                  <o:fill type="gradientUnscaled" v:ext="backwardCompatible"/>
                </v:fill>
                <v:stroke weight="1.25pt" color="#739CC3" miterlimit="8" joinstyle="miter"/>
                <v:imagedata o:title=""/>
                <o:lock v:ext="edit" aspectratio="f"/>
                <v:textbox>
                  <w:txbxContent>
                    <w:p w14:paraId="1CC53248">
                      <w:pPr>
                        <w:rPr>
                          <w:rFonts w:hint="eastAsia" w:ascii="黑体" w:hAnsi="黑体" w:eastAsia="黑体"/>
                          <w:b/>
                          <w:sz w:val="28"/>
                        </w:rPr>
                      </w:pPr>
                      <w:r>
                        <w:rPr>
                          <w:rFonts w:hint="eastAsia" w:ascii="黑体" w:hAnsi="黑体" w:eastAsia="黑体"/>
                          <w:b/>
                          <w:sz w:val="28"/>
                        </w:rPr>
                        <w:t>正本/副本</w:t>
                      </w:r>
                    </w:p>
                  </w:txbxContent>
                </v:textbox>
              </v:rect>
            </w:pict>
          </mc:Fallback>
        </mc:AlternateContent>
      </w:r>
    </w:p>
    <w:p w14:paraId="7AAC5F72">
      <w:pPr>
        <w:pStyle w:val="17"/>
        <w:kinsoku w:val="0"/>
        <w:overflowPunct w:val="0"/>
        <w:spacing w:line="366" w:lineRule="exact"/>
        <w:ind w:left="139"/>
        <w:jc w:val="center"/>
      </w:pPr>
      <w:r>
        <w:t xml:space="preserve"> </w:t>
      </w:r>
    </w:p>
    <w:p w14:paraId="41D68B81">
      <w:pPr>
        <w:pStyle w:val="17"/>
        <w:kinsoku w:val="0"/>
        <w:overflowPunct w:val="0"/>
        <w:spacing w:line="364" w:lineRule="exact"/>
        <w:ind w:left="139"/>
        <w:jc w:val="center"/>
      </w:pPr>
      <w:r>
        <w:t xml:space="preserve"> </w:t>
      </w:r>
    </w:p>
    <w:p w14:paraId="5EB2ADB3">
      <w:pPr>
        <w:pStyle w:val="17"/>
        <w:kinsoku w:val="0"/>
        <w:overflowPunct w:val="0"/>
        <w:spacing w:line="362" w:lineRule="exact"/>
        <w:ind w:left="139"/>
        <w:jc w:val="center"/>
      </w:pPr>
      <w:r>
        <w:t xml:space="preserve"> </w:t>
      </w:r>
    </w:p>
    <w:p w14:paraId="07BEA411">
      <w:pPr>
        <w:pStyle w:val="17"/>
        <w:kinsoku w:val="0"/>
        <w:overflowPunct w:val="0"/>
        <w:spacing w:line="364" w:lineRule="exact"/>
        <w:ind w:left="139"/>
        <w:jc w:val="center"/>
      </w:pPr>
      <w:r>
        <w:t xml:space="preserve"> </w:t>
      </w:r>
    </w:p>
    <w:p w14:paraId="37A8D334">
      <w:pPr>
        <w:pStyle w:val="17"/>
        <w:kinsoku w:val="0"/>
        <w:overflowPunct w:val="0"/>
        <w:spacing w:line="366" w:lineRule="exact"/>
        <w:ind w:left="140"/>
        <w:jc w:val="center"/>
        <w:rPr>
          <w:rFonts w:ascii="Times New Roman" w:hAnsi="Times New Roman" w:eastAsia="宋体"/>
        </w:rPr>
      </w:pPr>
    </w:p>
    <w:p w14:paraId="62BB401D">
      <w:pPr>
        <w:pStyle w:val="17"/>
        <w:kinsoku w:val="0"/>
        <w:overflowPunct w:val="0"/>
        <w:spacing w:before="10" w:line="261" w:lineRule="exact"/>
        <w:ind w:left="99"/>
        <w:jc w:val="center"/>
        <w:rPr>
          <w:rFonts w:ascii="Times New Roman" w:hAnsi="Times New Roman" w:eastAsia="宋体"/>
          <w:w w:val="99"/>
          <w:sz w:val="20"/>
          <w:szCs w:val="20"/>
        </w:rPr>
      </w:pPr>
      <w:r>
        <w:rPr>
          <w:rFonts w:ascii="Times New Roman" w:hAnsi="Times New Roman" w:eastAsia="宋体"/>
          <w:w w:val="99"/>
          <w:sz w:val="20"/>
          <w:szCs w:val="20"/>
        </w:rPr>
        <w:t xml:space="preserve"> </w:t>
      </w:r>
    </w:p>
    <w:p w14:paraId="44978AA7">
      <w:pPr>
        <w:pStyle w:val="17"/>
        <w:kinsoku w:val="0"/>
        <w:overflowPunct w:val="0"/>
        <w:spacing w:before="10" w:line="261" w:lineRule="exact"/>
        <w:ind w:left="99"/>
        <w:jc w:val="center"/>
        <w:rPr>
          <w:rFonts w:ascii="Times New Roman" w:hAnsi="Times New Roman" w:eastAsia="宋体"/>
          <w:sz w:val="20"/>
          <w:szCs w:val="20"/>
        </w:rPr>
      </w:pPr>
    </w:p>
    <w:p w14:paraId="04AEF4A6">
      <w:pPr>
        <w:pStyle w:val="17"/>
        <w:kinsoku w:val="0"/>
        <w:overflowPunct w:val="0"/>
        <w:spacing w:line="241" w:lineRule="exact"/>
        <w:ind w:left="99"/>
        <w:jc w:val="center"/>
        <w:rPr>
          <w:rFonts w:ascii="Times New Roman" w:hAnsi="Times New Roman" w:eastAsia="宋体"/>
          <w:sz w:val="20"/>
          <w:szCs w:val="20"/>
        </w:rPr>
      </w:pPr>
      <w:r>
        <w:rPr>
          <w:rFonts w:ascii="Times New Roman" w:hAnsi="Times New Roman" w:eastAsia="宋体"/>
          <w:w w:val="99"/>
          <w:sz w:val="20"/>
          <w:szCs w:val="20"/>
        </w:rPr>
        <w:t xml:space="preserve"> </w:t>
      </w:r>
    </w:p>
    <w:p w14:paraId="46EC3ED3">
      <w:pPr>
        <w:pStyle w:val="17"/>
        <w:jc w:val="center"/>
        <w:rPr>
          <w:rFonts w:ascii="Times New Roman" w:hAnsi="Times New Roman" w:eastAsia="宋体"/>
          <w:sz w:val="48"/>
          <w:szCs w:val="48"/>
        </w:rPr>
      </w:pPr>
      <w:r>
        <w:rPr>
          <w:rFonts w:ascii="Times New Roman" w:hAnsi="Times New Roman" w:eastAsia="宋体"/>
          <w:sz w:val="48"/>
          <w:szCs w:val="48"/>
        </w:rPr>
        <w:t>竞争性磋商响应文件</w:t>
      </w:r>
    </w:p>
    <w:p w14:paraId="6E8DE2A0">
      <w:pPr>
        <w:pStyle w:val="17"/>
        <w:kinsoku w:val="0"/>
        <w:overflowPunct w:val="0"/>
        <w:jc w:val="center"/>
        <w:rPr>
          <w:rFonts w:ascii="Times New Roman" w:hAnsi="Times New Roman" w:eastAsia="宋体"/>
        </w:rPr>
      </w:pPr>
      <w:r>
        <w:rPr>
          <w:rFonts w:ascii="Times New Roman" w:hAnsi="Times New Roman" w:eastAsia="宋体"/>
          <w:sz w:val="32"/>
          <w:szCs w:val="32"/>
        </w:rPr>
        <w:t>项目名称</w:t>
      </w:r>
      <w:r>
        <w:rPr>
          <w:rFonts w:hint="eastAsia" w:ascii="Times New Roman" w:hAnsi="Times New Roman" w:eastAsia="宋体"/>
          <w:sz w:val="32"/>
          <w:szCs w:val="32"/>
        </w:rPr>
        <w:t>：南京机电职业技术学院电梯维保服务项目</w:t>
      </w:r>
    </w:p>
    <w:p w14:paraId="543C05A4">
      <w:pPr>
        <w:pStyle w:val="17"/>
        <w:kinsoku w:val="0"/>
        <w:overflowPunct w:val="0"/>
        <w:rPr>
          <w:rFonts w:ascii="Times New Roman" w:hAnsi="Times New Roman" w:eastAsia="宋体"/>
          <w:sz w:val="44"/>
          <w:szCs w:val="44"/>
        </w:rPr>
      </w:pPr>
    </w:p>
    <w:p w14:paraId="1DB1459D">
      <w:pPr>
        <w:pStyle w:val="17"/>
        <w:kinsoku w:val="0"/>
        <w:overflowPunct w:val="0"/>
        <w:rPr>
          <w:rFonts w:ascii="Times New Roman" w:hAnsi="Times New Roman" w:eastAsia="宋体"/>
          <w:sz w:val="44"/>
          <w:szCs w:val="44"/>
        </w:rPr>
      </w:pPr>
    </w:p>
    <w:p w14:paraId="34C85421">
      <w:pPr>
        <w:pStyle w:val="17"/>
        <w:kinsoku w:val="0"/>
        <w:overflowPunct w:val="0"/>
        <w:rPr>
          <w:rFonts w:ascii="Times New Roman" w:hAnsi="Times New Roman" w:eastAsia="宋体"/>
          <w:sz w:val="44"/>
          <w:szCs w:val="44"/>
        </w:rPr>
      </w:pPr>
    </w:p>
    <w:p w14:paraId="04504365">
      <w:pPr>
        <w:pStyle w:val="17"/>
        <w:kinsoku w:val="0"/>
        <w:overflowPunct w:val="0"/>
        <w:rPr>
          <w:rFonts w:ascii="Times New Roman" w:hAnsi="Times New Roman" w:eastAsia="宋体"/>
          <w:sz w:val="44"/>
          <w:szCs w:val="44"/>
        </w:rPr>
      </w:pPr>
    </w:p>
    <w:p w14:paraId="16361F29">
      <w:pPr>
        <w:pStyle w:val="17"/>
        <w:kinsoku w:val="0"/>
        <w:overflowPunct w:val="0"/>
        <w:rPr>
          <w:rFonts w:ascii="Times New Roman" w:hAnsi="Times New Roman" w:eastAsia="宋体"/>
          <w:sz w:val="44"/>
          <w:szCs w:val="44"/>
        </w:rPr>
      </w:pPr>
    </w:p>
    <w:p w14:paraId="3556147A">
      <w:pPr>
        <w:pStyle w:val="17"/>
        <w:kinsoku w:val="0"/>
        <w:overflowPunct w:val="0"/>
        <w:rPr>
          <w:rFonts w:ascii="Times New Roman" w:hAnsi="Times New Roman" w:eastAsia="宋体"/>
          <w:sz w:val="44"/>
          <w:szCs w:val="44"/>
        </w:rPr>
      </w:pPr>
    </w:p>
    <w:p w14:paraId="425C6915">
      <w:pPr>
        <w:pStyle w:val="17"/>
        <w:kinsoku w:val="0"/>
        <w:overflowPunct w:val="0"/>
        <w:rPr>
          <w:rFonts w:ascii="Times New Roman" w:hAnsi="Times New Roman" w:eastAsia="宋体"/>
          <w:sz w:val="44"/>
          <w:szCs w:val="44"/>
        </w:rPr>
      </w:pPr>
    </w:p>
    <w:p w14:paraId="6E381F85">
      <w:pPr>
        <w:pStyle w:val="17"/>
        <w:kinsoku w:val="0"/>
        <w:overflowPunct w:val="0"/>
        <w:rPr>
          <w:rFonts w:ascii="Times New Roman" w:hAnsi="Times New Roman" w:eastAsia="宋体"/>
          <w:sz w:val="44"/>
          <w:szCs w:val="44"/>
        </w:rPr>
      </w:pPr>
    </w:p>
    <w:p w14:paraId="7A1E29CC">
      <w:pPr>
        <w:pStyle w:val="17"/>
        <w:kinsoku w:val="0"/>
        <w:overflowPunct w:val="0"/>
        <w:spacing w:before="3"/>
        <w:rPr>
          <w:rFonts w:ascii="Times New Roman" w:hAnsi="Times New Roman" w:eastAsia="宋体"/>
          <w:sz w:val="61"/>
          <w:szCs w:val="61"/>
        </w:rPr>
      </w:pPr>
    </w:p>
    <w:p w14:paraId="72367A4E">
      <w:pPr>
        <w:pStyle w:val="17"/>
        <w:rPr>
          <w:rFonts w:ascii="Times New Roman" w:hAnsi="Times New Roman" w:eastAsia="宋体"/>
        </w:rPr>
      </w:pPr>
      <w:r>
        <w:rPr>
          <w:rFonts w:ascii="Times New Roman" w:hAnsi="Times New Roman" w:eastAsia="宋体"/>
        </w:rPr>
        <w:t xml:space="preserve">供应商：（盖单位章） </w:t>
      </w:r>
    </w:p>
    <w:p w14:paraId="2EFF04A3">
      <w:pPr>
        <w:pStyle w:val="17"/>
        <w:rPr>
          <w:rFonts w:ascii="Times New Roman" w:hAnsi="Times New Roman" w:eastAsia="宋体"/>
        </w:rPr>
      </w:pPr>
      <w:r>
        <w:rPr>
          <w:rFonts w:ascii="Times New Roman" w:hAnsi="Times New Roman" w:eastAsia="宋体"/>
        </w:rPr>
        <w:t xml:space="preserve">法定代表人或其委托代理人：（签字） </w:t>
      </w:r>
    </w:p>
    <w:p w14:paraId="0861B643">
      <w:pPr>
        <w:pStyle w:val="17"/>
        <w:rPr>
          <w:rFonts w:ascii="Times New Roman" w:hAnsi="Times New Roman" w:eastAsia="宋体"/>
        </w:rPr>
      </w:pPr>
      <w:r>
        <w:rPr>
          <w:rFonts w:ascii="Times New Roman" w:hAnsi="Times New Roman" w:eastAsia="宋体"/>
        </w:rPr>
        <w:t xml:space="preserve">年 </w:t>
      </w:r>
      <w:r>
        <w:rPr>
          <w:rFonts w:ascii="Times New Roman" w:hAnsi="Times New Roman" w:eastAsia="宋体"/>
          <w:spacing w:val="-3"/>
        </w:rPr>
        <w:t>月</w:t>
      </w:r>
      <w:r>
        <w:rPr>
          <w:rFonts w:ascii="Times New Roman" w:hAnsi="Times New Roman" w:eastAsia="宋体"/>
          <w:spacing w:val="3"/>
        </w:rPr>
        <w:t xml:space="preserve"> </w:t>
      </w:r>
      <w:r>
        <w:rPr>
          <w:rFonts w:ascii="Times New Roman" w:hAnsi="Times New Roman" w:eastAsia="宋体"/>
        </w:rPr>
        <w:t>日</w:t>
      </w:r>
    </w:p>
    <w:p w14:paraId="2799E209"/>
    <w:p w14:paraId="558147DD"/>
    <w:bookmarkEnd w:id="86"/>
    <w:bookmarkEnd w:id="87"/>
    <w:bookmarkEnd w:id="88"/>
    <w:p w14:paraId="5BAEC5E5">
      <w:pPr>
        <w:spacing w:line="44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目录</w:t>
      </w:r>
    </w:p>
    <w:p w14:paraId="5AEACF83">
      <w:pPr>
        <w:pStyle w:val="17"/>
        <w:kinsoku w:val="0"/>
        <w:overflowPunct w:val="0"/>
        <w:spacing w:before="1"/>
        <w:ind w:right="-9"/>
        <w:jc w:val="center"/>
        <w:rPr>
          <w:rFonts w:ascii="黑体" w:eastAsia="黑体" w:cs="黑体"/>
          <w:sz w:val="24"/>
          <w:szCs w:val="24"/>
        </w:rPr>
      </w:pPr>
      <w:r>
        <w:rPr>
          <w:rFonts w:hint="eastAsia" w:ascii="黑体" w:eastAsia="黑体" w:cs="黑体"/>
          <w:sz w:val="24"/>
          <w:szCs w:val="24"/>
        </w:rPr>
        <w:t>（注：供应商根据附件顺序编制磋商响应文件并制作目录（须生成页码））</w:t>
      </w:r>
    </w:p>
    <w:p w14:paraId="7D27AEF3">
      <w:pPr>
        <w:pStyle w:val="17"/>
        <w:kinsoku w:val="0"/>
        <w:overflowPunct w:val="0"/>
        <w:spacing w:before="1"/>
        <w:ind w:right="-9"/>
        <w:rPr>
          <w:rFonts w:ascii="黑体" w:eastAsia="黑体" w:cs="黑体"/>
          <w:sz w:val="24"/>
          <w:szCs w:val="24"/>
        </w:rPr>
      </w:pPr>
    </w:p>
    <w:p w14:paraId="766FA2B9">
      <w:pPr>
        <w:pStyle w:val="3"/>
        <w:spacing w:before="145" w:beforeLines="50" w:after="145" w:afterLines="50" w:line="360" w:lineRule="auto"/>
        <w:jc w:val="left"/>
        <w:rPr>
          <w:b w:val="0"/>
          <w:sz w:val="32"/>
          <w:szCs w:val="32"/>
        </w:rPr>
      </w:pPr>
      <w:r>
        <w:rPr>
          <w:rFonts w:ascii="宋体" w:hAnsi="宋体"/>
          <w:b w:val="0"/>
          <w:sz w:val="32"/>
          <w:szCs w:val="32"/>
        </w:rPr>
        <w:br w:type="page"/>
      </w:r>
      <w:bookmarkStart w:id="89" w:name="_Toc24962240"/>
      <w:bookmarkStart w:id="90" w:name="_Toc21781755"/>
      <w:r>
        <w:rPr>
          <w:rFonts w:hint="eastAsia" w:ascii="宋体" w:hAnsi="宋体" w:eastAsia="宋体"/>
          <w:sz w:val="28"/>
          <w:szCs w:val="28"/>
        </w:rPr>
        <w:t>附件一、</w:t>
      </w:r>
      <w:bookmarkStart w:id="91" w:name="_Hlk21784954"/>
      <w:r>
        <w:rPr>
          <w:rFonts w:hint="eastAsia" w:ascii="宋体" w:hAnsi="宋体" w:eastAsia="宋体"/>
          <w:sz w:val="28"/>
          <w:szCs w:val="28"/>
        </w:rPr>
        <w:t>竞争性磋商申请及声明</w:t>
      </w:r>
      <w:bookmarkEnd w:id="89"/>
      <w:bookmarkEnd w:id="90"/>
      <w:bookmarkEnd w:id="91"/>
    </w:p>
    <w:p w14:paraId="33C29C8D">
      <w:pPr>
        <w:pStyle w:val="174"/>
        <w:spacing w:before="0" w:after="0" w:line="400" w:lineRule="exact"/>
        <w:ind w:firstLine="0"/>
        <w:jc w:val="center"/>
        <w:rPr>
          <w:rFonts w:ascii="Times New Roman" w:hAnsi="Times New Roman"/>
          <w:b/>
          <w:bCs/>
          <w:kern w:val="2"/>
          <w:sz w:val="28"/>
          <w:szCs w:val="22"/>
        </w:rPr>
      </w:pPr>
      <w:r>
        <w:rPr>
          <w:rFonts w:hint="eastAsia" w:ascii="Times New Roman" w:hAnsi="Times New Roman"/>
          <w:b/>
          <w:bCs/>
          <w:kern w:val="2"/>
          <w:sz w:val="28"/>
          <w:szCs w:val="22"/>
        </w:rPr>
        <w:t>竞争性磋商申请及声明</w:t>
      </w:r>
    </w:p>
    <w:p w14:paraId="4BFCA51D">
      <w:pPr>
        <w:pStyle w:val="174"/>
        <w:spacing w:before="0" w:after="0" w:line="400" w:lineRule="exact"/>
        <w:ind w:firstLine="0"/>
        <w:jc w:val="center"/>
        <w:rPr>
          <w:rFonts w:ascii="Times New Roman" w:hAnsi="Times New Roman"/>
          <w:b/>
          <w:bCs/>
          <w:kern w:val="2"/>
          <w:sz w:val="28"/>
          <w:szCs w:val="22"/>
        </w:rPr>
      </w:pPr>
    </w:p>
    <w:p w14:paraId="365725D9">
      <w:pPr>
        <w:pStyle w:val="174"/>
        <w:spacing w:before="0" w:after="0" w:line="400" w:lineRule="exact"/>
        <w:ind w:firstLine="482"/>
        <w:rPr>
          <w:rFonts w:ascii="Times New Roman" w:hAnsi="Times New Roman"/>
          <w:kern w:val="2"/>
          <w:szCs w:val="21"/>
        </w:rPr>
      </w:pPr>
      <w:r>
        <w:rPr>
          <w:rFonts w:hint="eastAsia" w:ascii="Times New Roman" w:hAnsi="Times New Roman"/>
          <w:kern w:val="2"/>
          <w:szCs w:val="21"/>
        </w:rPr>
        <w:t>致：南京机电职业技术学院</w:t>
      </w:r>
    </w:p>
    <w:p w14:paraId="4853C747">
      <w:pPr>
        <w:pStyle w:val="174"/>
        <w:spacing w:before="0" w:after="0" w:line="400" w:lineRule="exact"/>
        <w:ind w:firstLine="482"/>
        <w:rPr>
          <w:rFonts w:ascii="Times New Roman" w:hAnsi="Times New Roman"/>
          <w:kern w:val="2"/>
          <w:szCs w:val="21"/>
        </w:rPr>
      </w:pPr>
      <w:r>
        <w:rPr>
          <w:rFonts w:hint="eastAsia" w:ascii="Times New Roman" w:hAnsi="Times New Roman"/>
          <w:kern w:val="2"/>
          <w:szCs w:val="21"/>
        </w:rPr>
        <w:t>根据贵方</w:t>
      </w:r>
      <w:r>
        <w:rPr>
          <w:rFonts w:hint="eastAsia" w:ascii="Times New Roman" w:hAnsi="Times New Roman"/>
          <w:kern w:val="2"/>
          <w:szCs w:val="21"/>
          <w:u w:val="single"/>
        </w:rPr>
        <w:t xml:space="preserve">                            </w:t>
      </w:r>
      <w:r>
        <w:rPr>
          <w:rFonts w:hint="eastAsia" w:ascii="Times New Roman" w:hAnsi="Times New Roman"/>
          <w:kern w:val="2"/>
          <w:szCs w:val="21"/>
        </w:rPr>
        <w:t>（项目名称）</w:t>
      </w:r>
      <w:r>
        <w:rPr>
          <w:rFonts w:hint="eastAsia" w:ascii="Times New Roman" w:hAnsi="Times New Roman"/>
          <w:kern w:val="2"/>
          <w:szCs w:val="21"/>
          <w:u w:val="single"/>
        </w:rPr>
        <w:t xml:space="preserve">           </w:t>
      </w:r>
      <w:r>
        <w:rPr>
          <w:rFonts w:hint="eastAsia" w:ascii="Times New Roman" w:hAnsi="Times New Roman"/>
          <w:kern w:val="2"/>
          <w:szCs w:val="21"/>
        </w:rPr>
        <w:t>（项目编号）竞争性磋商公告，正式授权下述签字人</w:t>
      </w:r>
      <w:r>
        <w:rPr>
          <w:rFonts w:hint="eastAsia" w:ascii="Times New Roman" w:hAnsi="Times New Roman"/>
          <w:kern w:val="2"/>
          <w:szCs w:val="21"/>
          <w:u w:val="single"/>
        </w:rPr>
        <w:t xml:space="preserve">                 </w:t>
      </w:r>
      <w:r>
        <w:rPr>
          <w:rFonts w:hint="eastAsia" w:ascii="Times New Roman" w:hAnsi="Times New Roman"/>
          <w:kern w:val="2"/>
          <w:szCs w:val="21"/>
        </w:rPr>
        <w:t xml:space="preserve"> （姓名和职务）代表</w:t>
      </w:r>
      <w:r>
        <w:rPr>
          <w:rFonts w:hint="eastAsia" w:ascii="Times New Roman" w:hAnsi="Times New Roman"/>
          <w:kern w:val="2"/>
          <w:szCs w:val="21"/>
          <w:u w:val="single"/>
        </w:rPr>
        <w:t xml:space="preserve">  </w:t>
      </w:r>
      <w:r>
        <w:rPr>
          <w:rFonts w:ascii="Times New Roman" w:hAnsi="Times New Roman"/>
          <w:kern w:val="2"/>
          <w:szCs w:val="21"/>
          <w:u w:val="single"/>
        </w:rPr>
        <w:t xml:space="preserve">     </w:t>
      </w:r>
      <w:r>
        <w:rPr>
          <w:rFonts w:hint="eastAsia" w:ascii="Times New Roman" w:hAnsi="Times New Roman"/>
          <w:kern w:val="2"/>
          <w:szCs w:val="21"/>
          <w:u w:val="single"/>
        </w:rPr>
        <w:t xml:space="preserve"> </w:t>
      </w:r>
      <w:r>
        <w:rPr>
          <w:rFonts w:ascii="Times New Roman" w:hAnsi="Times New Roman"/>
          <w:kern w:val="2"/>
          <w:szCs w:val="21"/>
          <w:u w:val="single"/>
        </w:rPr>
        <w:t xml:space="preserve"> </w:t>
      </w:r>
      <w:r>
        <w:rPr>
          <w:rFonts w:hint="eastAsia" w:ascii="Times New Roman" w:hAnsi="Times New Roman"/>
          <w:kern w:val="2"/>
          <w:szCs w:val="21"/>
        </w:rPr>
        <w:t xml:space="preserve">（供应商名称），提交响应性文件并参加磋商。据此函，签字人兹宣布同意如下： </w:t>
      </w:r>
    </w:p>
    <w:p w14:paraId="5110D9A4">
      <w:pPr>
        <w:pStyle w:val="174"/>
        <w:spacing w:before="0" w:after="0" w:line="400" w:lineRule="exact"/>
        <w:ind w:firstLine="482"/>
        <w:rPr>
          <w:rFonts w:ascii="Times New Roman" w:hAnsi="Times New Roman"/>
          <w:kern w:val="2"/>
          <w:szCs w:val="21"/>
        </w:rPr>
      </w:pPr>
      <w:r>
        <w:rPr>
          <w:rFonts w:hint="eastAsia" w:ascii="Times New Roman" w:hAnsi="Times New Roman"/>
          <w:kern w:val="2"/>
          <w:szCs w:val="21"/>
        </w:rPr>
        <w:t xml:space="preserve">1、我们的资格条件完全符合政府采购法和本次采购要求，我们同意并向贵方提供了与本次采购活动有关的所有证据和资料。 </w:t>
      </w:r>
    </w:p>
    <w:p w14:paraId="0E7A432B">
      <w:pPr>
        <w:pStyle w:val="174"/>
        <w:spacing w:before="0" w:after="0" w:line="400" w:lineRule="exact"/>
        <w:ind w:firstLine="482"/>
        <w:rPr>
          <w:rFonts w:ascii="Times New Roman" w:hAnsi="Times New Roman"/>
          <w:kern w:val="2"/>
          <w:szCs w:val="21"/>
        </w:rPr>
      </w:pPr>
      <w:r>
        <w:rPr>
          <w:rFonts w:hint="eastAsia" w:ascii="Times New Roman" w:hAnsi="Times New Roman"/>
          <w:kern w:val="2"/>
          <w:szCs w:val="21"/>
        </w:rPr>
        <w:t xml:space="preserve">2、我们的报价产品中    （有或无）进口产品（服务）。 </w:t>
      </w:r>
    </w:p>
    <w:p w14:paraId="036F9341">
      <w:pPr>
        <w:pStyle w:val="174"/>
        <w:spacing w:before="0" w:after="0" w:line="400" w:lineRule="exact"/>
        <w:ind w:firstLine="482"/>
        <w:rPr>
          <w:rFonts w:ascii="Times New Roman" w:hAnsi="Times New Roman"/>
          <w:kern w:val="2"/>
          <w:szCs w:val="21"/>
        </w:rPr>
      </w:pPr>
      <w:r>
        <w:rPr>
          <w:rFonts w:hint="eastAsia" w:ascii="Times New Roman" w:hAnsi="Times New Roman"/>
          <w:kern w:val="2"/>
          <w:szCs w:val="21"/>
        </w:rPr>
        <w:t xml:space="preserve">3、我们已详细阅读全部磋商文件及其有效补充文件，我们放弃对磋商文件任何误解的 权利，提交响应文件后，不对磋商文件本身提出质疑。 </w:t>
      </w:r>
    </w:p>
    <w:p w14:paraId="6A70D4CA">
      <w:pPr>
        <w:pStyle w:val="174"/>
        <w:spacing w:before="0" w:after="0" w:line="400" w:lineRule="exact"/>
        <w:ind w:firstLine="482"/>
        <w:rPr>
          <w:rFonts w:ascii="Times New Roman" w:hAnsi="Times New Roman"/>
          <w:kern w:val="2"/>
          <w:szCs w:val="21"/>
        </w:rPr>
      </w:pPr>
      <w:r>
        <w:rPr>
          <w:rFonts w:hint="eastAsia" w:ascii="Times New Roman" w:hAnsi="Times New Roman"/>
          <w:kern w:val="2"/>
          <w:szCs w:val="21"/>
        </w:rPr>
        <w:t xml:space="preserve">4、一旦我方成交，我方将根据磋商文件的规定，严格履行合同，保证于承诺的时间内 完成货物的启动、调试等服务，并交付采购人验收、使用。 </w:t>
      </w:r>
    </w:p>
    <w:p w14:paraId="05A041B9">
      <w:pPr>
        <w:pStyle w:val="174"/>
        <w:spacing w:before="0" w:after="0" w:line="400" w:lineRule="exact"/>
        <w:ind w:firstLine="482"/>
        <w:rPr>
          <w:rFonts w:ascii="Times New Roman" w:hAnsi="Times New Roman"/>
          <w:kern w:val="2"/>
          <w:szCs w:val="21"/>
        </w:rPr>
      </w:pPr>
      <w:r>
        <w:rPr>
          <w:rFonts w:hint="eastAsia" w:ascii="Times New Roman" w:hAnsi="Times New Roman"/>
          <w:kern w:val="2"/>
          <w:szCs w:val="21"/>
        </w:rPr>
        <w:t xml:space="preserve">5、我方决不提供虚假材料谋取成交、决不采取不正当手段诋毁、排挤其他供应商、决 不与采购人、其它供应商或者采购代理机构恶意串通、决不向采购人、采购代理机构工作人 员和磋商小组进行商业贿赂、决不拒绝有关部门监督检查或提供虚假情况，如有违反，无条件接受贵方及相关管理部门的处罚。 </w:t>
      </w:r>
    </w:p>
    <w:p w14:paraId="7005FEBE">
      <w:pPr>
        <w:pStyle w:val="174"/>
        <w:spacing w:before="0" w:after="0" w:line="400" w:lineRule="exact"/>
        <w:ind w:firstLine="482"/>
        <w:rPr>
          <w:rFonts w:ascii="Times New Roman" w:hAnsi="Times New Roman"/>
          <w:kern w:val="2"/>
          <w:szCs w:val="21"/>
        </w:rPr>
      </w:pPr>
      <w:r>
        <w:rPr>
          <w:rFonts w:hint="eastAsia" w:ascii="Times New Roman" w:hAnsi="Times New Roman"/>
          <w:kern w:val="2"/>
          <w:szCs w:val="21"/>
        </w:rPr>
        <w:t>6、我方正式通讯方式为：</w:t>
      </w:r>
    </w:p>
    <w:p w14:paraId="310AA321">
      <w:pPr>
        <w:pStyle w:val="174"/>
        <w:spacing w:before="0" w:after="0" w:line="400" w:lineRule="exact"/>
        <w:ind w:firstLine="482"/>
        <w:rPr>
          <w:rFonts w:ascii="Times New Roman" w:hAnsi="Times New Roman"/>
          <w:kern w:val="2"/>
          <w:szCs w:val="21"/>
        </w:rPr>
      </w:pPr>
      <w:r>
        <w:rPr>
          <w:rFonts w:hint="eastAsia" w:ascii="Times New Roman" w:hAnsi="Times New Roman"/>
          <w:kern w:val="2"/>
          <w:szCs w:val="21"/>
        </w:rPr>
        <w:t xml:space="preserve">地     址：                        </w:t>
      </w:r>
    </w:p>
    <w:p w14:paraId="0020F63E">
      <w:pPr>
        <w:pStyle w:val="174"/>
        <w:spacing w:before="0" w:after="0" w:line="400" w:lineRule="exact"/>
        <w:ind w:firstLine="482"/>
        <w:rPr>
          <w:rFonts w:ascii="Times New Roman" w:hAnsi="Times New Roman"/>
          <w:kern w:val="2"/>
          <w:szCs w:val="21"/>
        </w:rPr>
      </w:pPr>
      <w:r>
        <w:rPr>
          <w:rFonts w:hint="eastAsia" w:ascii="Times New Roman" w:hAnsi="Times New Roman"/>
          <w:kern w:val="2"/>
          <w:szCs w:val="21"/>
        </w:rPr>
        <w:t xml:space="preserve">电     话：                        </w:t>
      </w:r>
    </w:p>
    <w:p w14:paraId="0B93666B">
      <w:pPr>
        <w:pStyle w:val="174"/>
        <w:spacing w:before="0" w:after="0" w:line="400" w:lineRule="exact"/>
        <w:ind w:firstLine="482"/>
        <w:rPr>
          <w:rFonts w:ascii="Times New Roman" w:hAnsi="Times New Roman"/>
          <w:kern w:val="2"/>
          <w:szCs w:val="21"/>
        </w:rPr>
      </w:pPr>
      <w:r>
        <w:rPr>
          <w:rFonts w:hint="eastAsia" w:ascii="Times New Roman" w:hAnsi="Times New Roman"/>
          <w:kern w:val="2"/>
          <w:szCs w:val="21"/>
        </w:rPr>
        <w:t xml:space="preserve">7、我方正式开户银行和账号为： </w:t>
      </w:r>
    </w:p>
    <w:p w14:paraId="30CCCBB3">
      <w:pPr>
        <w:pStyle w:val="174"/>
        <w:spacing w:before="0" w:after="0" w:line="400" w:lineRule="exact"/>
        <w:ind w:firstLine="482"/>
        <w:rPr>
          <w:rFonts w:ascii="Times New Roman" w:hAnsi="Times New Roman"/>
          <w:kern w:val="2"/>
          <w:szCs w:val="21"/>
        </w:rPr>
      </w:pPr>
      <w:r>
        <w:rPr>
          <w:rFonts w:hint="eastAsia" w:ascii="Times New Roman" w:hAnsi="Times New Roman"/>
          <w:kern w:val="2"/>
          <w:szCs w:val="21"/>
        </w:rPr>
        <w:t xml:space="preserve">开户银行：                       </w:t>
      </w:r>
    </w:p>
    <w:p w14:paraId="3BAF560E">
      <w:pPr>
        <w:pStyle w:val="174"/>
        <w:spacing w:before="0" w:after="0" w:line="400" w:lineRule="exact"/>
        <w:ind w:firstLine="482"/>
        <w:rPr>
          <w:rFonts w:ascii="Times New Roman" w:hAnsi="Times New Roman"/>
          <w:kern w:val="2"/>
          <w:szCs w:val="21"/>
        </w:rPr>
      </w:pPr>
      <w:r>
        <w:rPr>
          <w:rFonts w:hint="eastAsia" w:ascii="Times New Roman" w:hAnsi="Times New Roman"/>
          <w:kern w:val="2"/>
          <w:szCs w:val="21"/>
        </w:rPr>
        <w:t xml:space="preserve">账    号：                        </w:t>
      </w:r>
    </w:p>
    <w:p w14:paraId="50851EFB">
      <w:pPr>
        <w:pStyle w:val="174"/>
        <w:spacing w:before="0" w:after="0" w:line="400" w:lineRule="exact"/>
        <w:ind w:firstLine="482"/>
        <w:rPr>
          <w:rFonts w:ascii="Times New Roman" w:hAnsi="Times New Roman"/>
          <w:kern w:val="2"/>
          <w:szCs w:val="21"/>
        </w:rPr>
      </w:pPr>
      <w:r>
        <w:rPr>
          <w:rFonts w:hint="eastAsia" w:ascii="Times New Roman" w:hAnsi="Times New Roman"/>
          <w:kern w:val="2"/>
          <w:szCs w:val="21"/>
        </w:rPr>
        <w:t xml:space="preserve">供应商授权代表姓名（签字或签章）：             </w:t>
      </w:r>
    </w:p>
    <w:p w14:paraId="1E0254B5">
      <w:pPr>
        <w:pStyle w:val="174"/>
        <w:spacing w:before="0" w:after="0" w:line="400" w:lineRule="exact"/>
        <w:ind w:firstLine="482"/>
        <w:rPr>
          <w:rFonts w:ascii="Times New Roman" w:hAnsi="Times New Roman"/>
          <w:kern w:val="2"/>
          <w:szCs w:val="21"/>
        </w:rPr>
      </w:pPr>
      <w:r>
        <w:rPr>
          <w:rFonts w:hint="eastAsia" w:ascii="Times New Roman" w:hAnsi="Times New Roman"/>
          <w:kern w:val="2"/>
          <w:szCs w:val="21"/>
        </w:rPr>
        <w:t xml:space="preserve">供应商名称（公章）：                  </w:t>
      </w:r>
    </w:p>
    <w:p w14:paraId="5A786F35">
      <w:pPr>
        <w:pStyle w:val="174"/>
        <w:spacing w:before="0" w:after="0" w:line="400" w:lineRule="exact"/>
        <w:ind w:firstLine="482"/>
        <w:rPr>
          <w:rFonts w:ascii="Times New Roman" w:hAnsi="Times New Roman"/>
          <w:kern w:val="2"/>
          <w:szCs w:val="21"/>
        </w:rPr>
      </w:pPr>
      <w:r>
        <w:rPr>
          <w:rFonts w:hint="eastAsia" w:ascii="Times New Roman" w:hAnsi="Times New Roman"/>
          <w:kern w:val="2"/>
          <w:szCs w:val="21"/>
        </w:rPr>
        <w:t>日    期：       年    月   日</w:t>
      </w:r>
    </w:p>
    <w:p w14:paraId="594F1AB8">
      <w:pPr>
        <w:pStyle w:val="3"/>
        <w:spacing w:before="145" w:beforeLines="50" w:after="145" w:afterLines="50" w:line="360" w:lineRule="auto"/>
        <w:jc w:val="left"/>
        <w:rPr>
          <w:rFonts w:hint="eastAsia" w:ascii="宋体" w:hAnsi="宋体" w:eastAsia="宋体"/>
          <w:sz w:val="32"/>
          <w:szCs w:val="32"/>
        </w:rPr>
      </w:pPr>
      <w:r>
        <w:rPr>
          <w:rFonts w:ascii="宋体" w:hAnsi="宋体"/>
          <w:b w:val="0"/>
          <w:sz w:val="32"/>
          <w:szCs w:val="32"/>
        </w:rPr>
        <w:br w:type="page"/>
      </w:r>
      <w:bookmarkStart w:id="92" w:name="_Toc21781756"/>
      <w:bookmarkStart w:id="93" w:name="_Toc24962241"/>
      <w:r>
        <w:rPr>
          <w:rFonts w:hint="eastAsia" w:ascii="宋体" w:hAnsi="宋体" w:eastAsia="宋体"/>
          <w:sz w:val="28"/>
          <w:szCs w:val="28"/>
        </w:rPr>
        <w:t>附件二、法定代表人授权书及身份证</w:t>
      </w:r>
      <w:bookmarkEnd w:id="92"/>
      <w:r>
        <w:rPr>
          <w:rFonts w:hint="eastAsia" w:ascii="宋体" w:hAnsi="宋体" w:eastAsia="宋体"/>
          <w:sz w:val="28"/>
          <w:szCs w:val="28"/>
        </w:rPr>
        <w:t>复印件</w:t>
      </w:r>
      <w:bookmarkEnd w:id="93"/>
    </w:p>
    <w:p w14:paraId="4AC0F636">
      <w:pPr>
        <w:adjustRightInd w:val="0"/>
        <w:snapToGrid w:val="0"/>
        <w:spacing w:line="400" w:lineRule="exact"/>
        <w:jc w:val="center"/>
        <w:rPr>
          <w:rFonts w:hint="eastAsia" w:ascii="宋体" w:hAnsi="宋体"/>
          <w:b/>
          <w:bCs/>
          <w:sz w:val="28"/>
          <w:szCs w:val="28"/>
        </w:rPr>
      </w:pPr>
      <w:r>
        <w:rPr>
          <w:rFonts w:hint="eastAsia" w:ascii="宋体" w:hAnsi="宋体"/>
          <w:b/>
          <w:bCs/>
          <w:sz w:val="28"/>
          <w:szCs w:val="28"/>
        </w:rPr>
        <w:t>法定代表人授权书</w:t>
      </w:r>
    </w:p>
    <w:p w14:paraId="67B248A3">
      <w:pPr>
        <w:adjustRightInd w:val="0"/>
        <w:snapToGrid w:val="0"/>
        <w:spacing w:line="400" w:lineRule="exact"/>
        <w:rPr>
          <w:rFonts w:hint="eastAsia" w:ascii="宋体" w:hAnsi="宋体"/>
          <w:sz w:val="24"/>
          <w:szCs w:val="24"/>
        </w:rPr>
      </w:pPr>
      <w:r>
        <w:rPr>
          <w:rFonts w:ascii="宋体" w:hAnsi="宋体"/>
          <w:sz w:val="24"/>
          <w:szCs w:val="24"/>
        </w:rPr>
        <w:t xml:space="preserve"> </w:t>
      </w:r>
    </w:p>
    <w:p w14:paraId="3D9978F2">
      <w:pPr>
        <w:adjustRightInd w:val="0"/>
        <w:snapToGrid w:val="0"/>
        <w:spacing w:line="400" w:lineRule="exact"/>
        <w:ind w:firstLine="480" w:firstLineChars="200"/>
        <w:rPr>
          <w:rFonts w:hint="eastAsia" w:ascii="宋体" w:hAnsi="宋体"/>
          <w:sz w:val="24"/>
          <w:szCs w:val="24"/>
        </w:rPr>
      </w:pPr>
      <w:r>
        <w:rPr>
          <w:rFonts w:hint="eastAsia" w:ascii="宋体" w:hAnsi="宋体"/>
          <w:sz w:val="24"/>
          <w:szCs w:val="24"/>
        </w:rPr>
        <w:t>本授权书声明： 注册于</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（供应商住址） 的</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（供应商名称）法定代表人</w:t>
      </w:r>
      <w:r>
        <w:rPr>
          <w:rFonts w:hint="eastAsia" w:ascii="宋体" w:hAnsi="宋体"/>
          <w:sz w:val="24"/>
          <w:szCs w:val="24"/>
          <w:u w:val="single"/>
        </w:rPr>
        <w:t xml:space="preserve">        </w:t>
      </w:r>
      <w:r>
        <w:rPr>
          <w:rFonts w:hint="eastAsia" w:ascii="宋体" w:hAnsi="宋体"/>
          <w:sz w:val="24"/>
          <w:szCs w:val="24"/>
        </w:rPr>
        <w:t>（法定代表人姓名、职务）代表本公司授权在下面签字的</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（供应商代表姓名、职务）为本公司的合法代理人，就贵方组织的</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（项目名称</w:t>
      </w:r>
      <w:r>
        <w:rPr>
          <w:rFonts w:ascii="宋体" w:hAnsi="宋体"/>
          <w:sz w:val="24"/>
          <w:szCs w:val="24"/>
        </w:rPr>
        <w:t>）</w:t>
      </w:r>
      <w:r>
        <w:rPr>
          <w:rFonts w:hint="eastAsia" w:ascii="宋体" w:hAnsi="宋体"/>
          <w:sz w:val="24"/>
          <w:szCs w:val="24"/>
        </w:rPr>
        <w:t>项目编号：</w:t>
      </w:r>
      <w:r>
        <w:rPr>
          <w:rFonts w:hint="eastAsia" w:ascii="宋体" w:hAnsi="宋体"/>
          <w:sz w:val="24"/>
          <w:szCs w:val="24"/>
          <w:u w:val="single"/>
        </w:rPr>
        <w:t xml:space="preserve">         </w:t>
      </w:r>
      <w:r>
        <w:rPr>
          <w:rFonts w:hint="eastAsia" w:ascii="宋体" w:hAnsi="宋体"/>
          <w:sz w:val="24"/>
          <w:szCs w:val="24"/>
        </w:rPr>
        <w:t xml:space="preserve"> 进行竞争性磋商，以本公司名义处理一切与之有关的事务。 </w:t>
      </w:r>
    </w:p>
    <w:p w14:paraId="43C1ACB0">
      <w:pPr>
        <w:adjustRightInd w:val="0"/>
        <w:snapToGrid w:val="0"/>
        <w:spacing w:line="400" w:lineRule="exact"/>
        <w:ind w:firstLine="480" w:firstLineChars="200"/>
        <w:rPr>
          <w:rFonts w:hint="eastAsia" w:ascii="宋体" w:hAnsi="宋体"/>
          <w:sz w:val="24"/>
          <w:szCs w:val="24"/>
        </w:rPr>
      </w:pPr>
    </w:p>
    <w:p w14:paraId="780AAE6E">
      <w:pPr>
        <w:adjustRightInd w:val="0"/>
        <w:snapToGrid w:val="0"/>
        <w:spacing w:line="400" w:lineRule="exact"/>
        <w:ind w:firstLine="480" w:firstLineChars="200"/>
        <w:rPr>
          <w:rFonts w:hint="eastAsia" w:ascii="宋体" w:hAnsi="宋体"/>
          <w:sz w:val="24"/>
          <w:szCs w:val="24"/>
        </w:rPr>
      </w:pPr>
      <w:r>
        <w:rPr>
          <w:rFonts w:hint="eastAsia" w:ascii="宋体" w:hAnsi="宋体"/>
          <w:sz w:val="24"/>
          <w:szCs w:val="24"/>
        </w:rPr>
        <w:t xml:space="preserve">本授权书于 </w:t>
      </w:r>
      <w:r>
        <w:rPr>
          <w:rFonts w:ascii="宋体" w:hAnsi="宋体"/>
          <w:sz w:val="24"/>
          <w:szCs w:val="24"/>
        </w:rPr>
        <w:t xml:space="preserve"> </w:t>
      </w:r>
      <w:r>
        <w:rPr>
          <w:rFonts w:hint="eastAsia" w:ascii="宋体" w:hAnsi="宋体"/>
          <w:sz w:val="24"/>
          <w:szCs w:val="24"/>
        </w:rPr>
        <w:t xml:space="preserve"> 年 </w:t>
      </w:r>
      <w:r>
        <w:rPr>
          <w:rFonts w:ascii="宋体" w:hAnsi="宋体"/>
          <w:sz w:val="24"/>
          <w:szCs w:val="24"/>
        </w:rPr>
        <w:t xml:space="preserve"> </w:t>
      </w:r>
      <w:r>
        <w:rPr>
          <w:rFonts w:hint="eastAsia" w:ascii="宋体" w:hAnsi="宋体"/>
          <w:sz w:val="24"/>
          <w:szCs w:val="24"/>
        </w:rPr>
        <w:t xml:space="preserve">月  日签字或签章生效，特此声明。 </w:t>
      </w:r>
    </w:p>
    <w:p w14:paraId="4CD2B1A3">
      <w:pPr>
        <w:adjustRightInd w:val="0"/>
        <w:snapToGrid w:val="0"/>
        <w:spacing w:line="400" w:lineRule="exact"/>
        <w:ind w:firstLine="480" w:firstLineChars="200"/>
        <w:rPr>
          <w:rFonts w:hint="eastAsia" w:ascii="宋体" w:hAnsi="宋体"/>
          <w:sz w:val="24"/>
          <w:szCs w:val="24"/>
        </w:rPr>
      </w:pPr>
      <w:r>
        <w:rPr>
          <w:rFonts w:hint="eastAsia" w:ascii="宋体" w:hAnsi="宋体"/>
          <w:sz w:val="24"/>
          <w:szCs w:val="24"/>
        </w:rPr>
        <w:t xml:space="preserve">法定代表人签字或签章： </w:t>
      </w:r>
    </w:p>
    <w:p w14:paraId="49F5A7D6">
      <w:pPr>
        <w:adjustRightInd w:val="0"/>
        <w:snapToGrid w:val="0"/>
        <w:spacing w:line="400" w:lineRule="exact"/>
        <w:ind w:firstLine="480" w:firstLineChars="200"/>
        <w:rPr>
          <w:rFonts w:hint="eastAsia" w:ascii="宋体" w:hAnsi="宋体"/>
          <w:sz w:val="24"/>
          <w:szCs w:val="24"/>
        </w:rPr>
      </w:pPr>
      <w:r>
        <w:rPr>
          <w:rFonts w:hint="eastAsia" w:ascii="宋体" w:hAnsi="宋体"/>
          <w:sz w:val="24"/>
          <w:szCs w:val="24"/>
        </w:rPr>
        <w:t xml:space="preserve">被授权人签字：     </w:t>
      </w:r>
    </w:p>
    <w:p w14:paraId="70348C9D">
      <w:pPr>
        <w:adjustRightInd w:val="0"/>
        <w:snapToGrid w:val="0"/>
        <w:spacing w:line="400" w:lineRule="exact"/>
        <w:ind w:firstLine="480" w:firstLineChars="200"/>
        <w:rPr>
          <w:rFonts w:hint="eastAsia" w:ascii="宋体" w:hAnsi="宋体"/>
          <w:sz w:val="24"/>
          <w:szCs w:val="24"/>
        </w:rPr>
      </w:pPr>
      <w:r>
        <w:rPr>
          <w:rFonts w:hint="eastAsia" w:ascii="宋体" w:hAnsi="宋体"/>
          <w:sz w:val="24"/>
          <w:szCs w:val="24"/>
        </w:rPr>
        <w:t xml:space="preserve">供应商盖章：                 </w:t>
      </w:r>
    </w:p>
    <w:p w14:paraId="2B035501">
      <w:pPr>
        <w:adjustRightInd w:val="0"/>
        <w:snapToGrid w:val="0"/>
        <w:spacing w:line="400" w:lineRule="exact"/>
        <w:ind w:firstLine="480" w:firstLineChars="200"/>
        <w:rPr>
          <w:rFonts w:hint="eastAsia" w:ascii="宋体" w:hAnsi="宋体"/>
          <w:sz w:val="24"/>
          <w:szCs w:val="24"/>
        </w:rPr>
      </w:pPr>
      <w:r>
        <w:rPr>
          <w:rFonts w:hint="eastAsia" w:ascii="宋体" w:hAnsi="宋体"/>
          <w:sz w:val="24"/>
          <w:szCs w:val="24"/>
        </w:rPr>
        <w:t xml:space="preserve">日        期：        年    月    日 </w:t>
      </w:r>
    </w:p>
    <w:p w14:paraId="39E0C57B">
      <w:pPr>
        <w:adjustRightInd w:val="0"/>
        <w:snapToGrid w:val="0"/>
        <w:spacing w:line="400" w:lineRule="exact"/>
        <w:rPr>
          <w:rFonts w:hint="eastAsia" w:ascii="宋体" w:hAnsi="宋体"/>
          <w:sz w:val="24"/>
          <w:szCs w:val="24"/>
        </w:rPr>
      </w:pPr>
      <w:r>
        <w:rPr>
          <w:rFonts w:ascii="宋体" w:hAnsi="宋体"/>
          <w:sz w:val="24"/>
          <w:szCs w:val="24"/>
        </w:rPr>
        <w:t xml:space="preserve"> </w:t>
      </w:r>
    </w:p>
    <w:p w14:paraId="7F04C969">
      <w:pPr>
        <w:adjustRightInd w:val="0"/>
        <w:snapToGrid w:val="0"/>
        <w:spacing w:line="400" w:lineRule="exact"/>
        <w:rPr>
          <w:rFonts w:hint="eastAsia" w:ascii="宋体" w:hAnsi="宋体"/>
          <w:b/>
          <w:bCs/>
          <w:sz w:val="24"/>
          <w:szCs w:val="24"/>
        </w:rPr>
      </w:pPr>
    </w:p>
    <w:p w14:paraId="75AFB727">
      <w:pPr>
        <w:adjustRightInd w:val="0"/>
        <w:snapToGrid w:val="0"/>
        <w:spacing w:line="400" w:lineRule="exact"/>
        <w:rPr>
          <w:rFonts w:hint="eastAsia" w:ascii="宋体" w:hAnsi="宋体"/>
          <w:b/>
          <w:bCs/>
          <w:sz w:val="24"/>
          <w:szCs w:val="24"/>
        </w:rPr>
      </w:pPr>
      <w:r>
        <w:rPr>
          <w:rFonts w:hint="eastAsia" w:ascii="宋体" w:hAnsi="宋体"/>
          <w:b/>
          <w:bCs/>
          <w:sz w:val="24"/>
          <w:szCs w:val="24"/>
        </w:rPr>
        <w:t>法定代表人、被授权人的身份证明文件的复印件：</w:t>
      </w:r>
    </w:p>
    <w:p w14:paraId="711256AA">
      <w:pPr>
        <w:snapToGrid w:val="0"/>
        <w:spacing w:line="360" w:lineRule="auto"/>
        <w:rPr>
          <w:rFonts w:hint="eastAsia" w:ascii="宋体" w:hAnsi="宋体" w:eastAsia="PMingLiU"/>
          <w:color w:val="000000"/>
          <w:sz w:val="24"/>
          <w:szCs w:val="24"/>
        </w:rPr>
      </w:pPr>
      <w:r>
        <w:rPr>
          <w:rFonts w:hint="eastAsia" w:ascii="宋体" w:hAnsi="宋体"/>
          <w:color w:val="000000"/>
          <w:sz w:val="24"/>
          <w:szCs w:val="24"/>
        </w:rPr>
        <w:t>附：</w:t>
      </w:r>
      <w:r>
        <w:rPr>
          <w:rFonts w:ascii="宋体" w:hAnsi="宋体"/>
          <w:bCs/>
          <w:color w:val="000000"/>
          <w:sz w:val="24"/>
          <w:szCs w:val="24"/>
        </w:rPr>
        <w:t>法人</w:t>
      </w:r>
      <w:r>
        <w:rPr>
          <w:rFonts w:hint="eastAsia" w:ascii="宋体" w:hAnsi="宋体"/>
          <w:color w:val="000000"/>
          <w:sz w:val="24"/>
          <w:szCs w:val="24"/>
        </w:rPr>
        <w:t>身份证复印件（需同时提供正面及背面）</w:t>
      </w:r>
    </w:p>
    <w:tbl>
      <w:tblPr>
        <w:tblStyle w:val="39"/>
        <w:tblW w:w="8002"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001"/>
        <w:gridCol w:w="4001"/>
      </w:tblGrid>
      <w:tr w14:paraId="075F272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00" w:hRule="atLeast"/>
          <w:jc w:val="center"/>
        </w:trPr>
        <w:tc>
          <w:tcPr>
            <w:tcW w:w="4001" w:type="dxa"/>
            <w:tcBorders>
              <w:top w:val="dashed" w:color="auto" w:sz="4" w:space="0"/>
              <w:left w:val="dashed" w:color="auto" w:sz="4" w:space="0"/>
              <w:bottom w:val="dashed" w:color="auto" w:sz="4" w:space="0"/>
              <w:right w:val="dashed" w:color="auto" w:sz="4" w:space="0"/>
            </w:tcBorders>
            <w:vAlign w:val="center"/>
          </w:tcPr>
          <w:p w14:paraId="6793AF91">
            <w:pPr>
              <w:autoSpaceDE w:val="0"/>
              <w:autoSpaceDN w:val="0"/>
              <w:jc w:val="center"/>
              <w:rPr>
                <w:rFonts w:hint="eastAsia" w:ascii="宋体" w:hAnsi="宋体"/>
                <w:color w:val="000000"/>
                <w:sz w:val="24"/>
                <w:szCs w:val="24"/>
              </w:rPr>
            </w:pPr>
            <w:r>
              <w:rPr>
                <w:rFonts w:ascii="宋体" w:hAnsi="宋体"/>
                <w:bCs/>
                <w:color w:val="000000"/>
                <w:sz w:val="24"/>
                <w:szCs w:val="24"/>
              </w:rPr>
              <w:t>法人</w:t>
            </w:r>
            <w:r>
              <w:rPr>
                <w:rFonts w:hint="eastAsia" w:ascii="宋体" w:hAnsi="宋体"/>
                <w:color w:val="000000"/>
                <w:sz w:val="24"/>
                <w:szCs w:val="24"/>
              </w:rPr>
              <w:t>身份证复印件正面</w:t>
            </w:r>
          </w:p>
        </w:tc>
        <w:tc>
          <w:tcPr>
            <w:tcW w:w="4001" w:type="dxa"/>
            <w:tcBorders>
              <w:top w:val="dashed" w:color="auto" w:sz="4" w:space="0"/>
              <w:left w:val="dashed" w:color="auto" w:sz="4" w:space="0"/>
              <w:bottom w:val="dashed" w:color="auto" w:sz="4" w:space="0"/>
              <w:right w:val="dashed" w:color="auto" w:sz="4" w:space="0"/>
            </w:tcBorders>
            <w:vAlign w:val="center"/>
          </w:tcPr>
          <w:p w14:paraId="27C3389A">
            <w:pPr>
              <w:autoSpaceDE w:val="0"/>
              <w:autoSpaceDN w:val="0"/>
              <w:jc w:val="center"/>
              <w:rPr>
                <w:rFonts w:hint="eastAsia" w:ascii="宋体" w:hAnsi="宋体"/>
                <w:color w:val="000000"/>
                <w:sz w:val="24"/>
                <w:szCs w:val="24"/>
              </w:rPr>
            </w:pPr>
            <w:r>
              <w:rPr>
                <w:rFonts w:ascii="宋体" w:hAnsi="宋体"/>
                <w:bCs/>
                <w:color w:val="000000"/>
                <w:sz w:val="24"/>
                <w:szCs w:val="24"/>
              </w:rPr>
              <w:t>法人</w:t>
            </w:r>
            <w:r>
              <w:rPr>
                <w:rFonts w:hint="eastAsia" w:ascii="宋体" w:hAnsi="宋体"/>
                <w:color w:val="000000"/>
                <w:sz w:val="24"/>
                <w:szCs w:val="24"/>
              </w:rPr>
              <w:t>身份证复印件背面</w:t>
            </w:r>
          </w:p>
        </w:tc>
      </w:tr>
    </w:tbl>
    <w:p w14:paraId="686D5695">
      <w:pPr>
        <w:snapToGrid w:val="0"/>
        <w:spacing w:line="360" w:lineRule="auto"/>
        <w:ind w:firstLine="482"/>
        <w:rPr>
          <w:rFonts w:hint="eastAsia" w:ascii="宋体" w:hAnsi="宋体" w:eastAsia="PMingLiU"/>
          <w:color w:val="000000"/>
          <w:sz w:val="24"/>
          <w:szCs w:val="24"/>
        </w:rPr>
      </w:pPr>
      <w:r>
        <w:rPr>
          <w:rFonts w:hint="eastAsia" w:ascii="宋体" w:hAnsi="宋体" w:eastAsia="PMingLiU"/>
          <w:color w:val="000000"/>
          <w:sz w:val="24"/>
          <w:szCs w:val="24"/>
        </w:rPr>
        <w:t xml:space="preserve"> </w:t>
      </w:r>
    </w:p>
    <w:p w14:paraId="459F8F69">
      <w:pPr>
        <w:snapToGrid w:val="0"/>
        <w:spacing w:line="360" w:lineRule="auto"/>
        <w:ind w:firstLine="482"/>
        <w:rPr>
          <w:rFonts w:hint="eastAsia" w:ascii="宋体" w:hAnsi="宋体" w:eastAsia="PMingLiU"/>
          <w:color w:val="000000"/>
          <w:sz w:val="24"/>
          <w:szCs w:val="24"/>
        </w:rPr>
      </w:pPr>
      <w:r>
        <w:rPr>
          <w:rFonts w:hint="eastAsia" w:ascii="宋体" w:hAnsi="宋体" w:eastAsia="PMingLiU"/>
          <w:color w:val="000000"/>
          <w:sz w:val="24"/>
          <w:szCs w:val="24"/>
        </w:rPr>
        <w:t xml:space="preserve"> </w:t>
      </w:r>
    </w:p>
    <w:p w14:paraId="154D7D99">
      <w:pPr>
        <w:snapToGrid w:val="0"/>
        <w:spacing w:line="360" w:lineRule="auto"/>
        <w:rPr>
          <w:rFonts w:hint="eastAsia" w:ascii="宋体" w:hAnsi="宋体" w:eastAsia="PMingLiU"/>
          <w:color w:val="000000"/>
          <w:sz w:val="24"/>
          <w:szCs w:val="24"/>
        </w:rPr>
      </w:pPr>
      <w:r>
        <w:rPr>
          <w:rFonts w:hint="eastAsia" w:ascii="宋体" w:hAnsi="宋体"/>
          <w:color w:val="000000"/>
          <w:sz w:val="24"/>
          <w:szCs w:val="24"/>
        </w:rPr>
        <w:t>附：委托代理人身份证复印件（需同时提供正面及背面）</w:t>
      </w:r>
    </w:p>
    <w:tbl>
      <w:tblPr>
        <w:tblStyle w:val="39"/>
        <w:tblW w:w="8002"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001"/>
        <w:gridCol w:w="4001"/>
      </w:tblGrid>
      <w:tr w14:paraId="161A29B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493" w:hRule="atLeast"/>
          <w:jc w:val="center"/>
        </w:trPr>
        <w:tc>
          <w:tcPr>
            <w:tcW w:w="4001" w:type="dxa"/>
            <w:tcBorders>
              <w:top w:val="dashed" w:color="auto" w:sz="4" w:space="0"/>
              <w:left w:val="dashed" w:color="auto" w:sz="4" w:space="0"/>
              <w:bottom w:val="dashed" w:color="auto" w:sz="4" w:space="0"/>
              <w:right w:val="dashed" w:color="auto" w:sz="4" w:space="0"/>
            </w:tcBorders>
            <w:vAlign w:val="center"/>
          </w:tcPr>
          <w:p w14:paraId="58D810E0">
            <w:pPr>
              <w:autoSpaceDE w:val="0"/>
              <w:autoSpaceDN w:val="0"/>
              <w:jc w:val="center"/>
              <w:rPr>
                <w:rFonts w:hint="eastAsia" w:ascii="宋体" w:hAnsi="宋体"/>
                <w:color w:val="000000"/>
                <w:sz w:val="24"/>
                <w:szCs w:val="24"/>
              </w:rPr>
            </w:pPr>
            <w:r>
              <w:rPr>
                <w:rFonts w:hint="eastAsia" w:ascii="宋体" w:hAnsi="宋体"/>
                <w:color w:val="000000"/>
                <w:sz w:val="24"/>
                <w:szCs w:val="24"/>
              </w:rPr>
              <w:t>代理人身份证复印件正面</w:t>
            </w:r>
          </w:p>
        </w:tc>
        <w:tc>
          <w:tcPr>
            <w:tcW w:w="4001" w:type="dxa"/>
            <w:tcBorders>
              <w:top w:val="dashed" w:color="auto" w:sz="4" w:space="0"/>
              <w:left w:val="dashed" w:color="auto" w:sz="4" w:space="0"/>
              <w:bottom w:val="dashed" w:color="auto" w:sz="4" w:space="0"/>
              <w:right w:val="dashed" w:color="auto" w:sz="4" w:space="0"/>
            </w:tcBorders>
            <w:vAlign w:val="center"/>
          </w:tcPr>
          <w:p w14:paraId="740C4759">
            <w:pPr>
              <w:autoSpaceDE w:val="0"/>
              <w:autoSpaceDN w:val="0"/>
              <w:jc w:val="center"/>
              <w:rPr>
                <w:rFonts w:hint="eastAsia" w:ascii="宋体" w:hAnsi="宋体"/>
                <w:color w:val="000000"/>
                <w:sz w:val="24"/>
                <w:szCs w:val="24"/>
              </w:rPr>
            </w:pPr>
            <w:r>
              <w:rPr>
                <w:rFonts w:hint="eastAsia" w:ascii="宋体" w:hAnsi="宋体"/>
                <w:color w:val="000000"/>
                <w:sz w:val="24"/>
                <w:szCs w:val="24"/>
              </w:rPr>
              <w:t>代理人身份证复印件背面</w:t>
            </w:r>
          </w:p>
        </w:tc>
      </w:tr>
    </w:tbl>
    <w:p w14:paraId="04BEA859">
      <w:pPr>
        <w:pStyle w:val="3"/>
        <w:spacing w:before="145" w:beforeLines="50" w:after="145" w:afterLines="50" w:line="360" w:lineRule="auto"/>
        <w:jc w:val="left"/>
        <w:rPr>
          <w:rFonts w:hint="eastAsia" w:ascii="宋体" w:hAnsi="宋体" w:eastAsia="宋体"/>
          <w:sz w:val="28"/>
          <w:szCs w:val="28"/>
        </w:rPr>
      </w:pPr>
      <w:bookmarkStart w:id="94" w:name="_Toc21781757"/>
      <w:bookmarkStart w:id="95" w:name="_Toc24962242"/>
      <w:bookmarkStart w:id="96" w:name="_Toc24962243"/>
      <w:bookmarkStart w:id="97" w:name="_Toc21781758"/>
      <w:r>
        <w:rPr>
          <w:rFonts w:hint="eastAsia" w:ascii="宋体" w:hAnsi="宋体" w:eastAsia="宋体"/>
          <w:sz w:val="28"/>
          <w:szCs w:val="28"/>
        </w:rPr>
        <w:t>附件三、营业执照</w:t>
      </w:r>
      <w:bookmarkEnd w:id="94"/>
      <w:bookmarkStart w:id="98" w:name="_Toc231787673"/>
      <w:bookmarkEnd w:id="98"/>
      <w:bookmarkStart w:id="99" w:name="_Toc264974211"/>
      <w:bookmarkEnd w:id="99"/>
      <w:bookmarkStart w:id="100" w:name="_Toc322444605"/>
      <w:bookmarkEnd w:id="100"/>
      <w:bookmarkStart w:id="101" w:name="_Toc164497044"/>
      <w:bookmarkEnd w:id="101"/>
      <w:r>
        <w:rPr>
          <w:rFonts w:hint="eastAsia" w:ascii="宋体" w:hAnsi="宋体" w:eastAsia="宋体"/>
          <w:sz w:val="28"/>
          <w:szCs w:val="28"/>
        </w:rPr>
        <w:t>复印件</w:t>
      </w:r>
      <w:bookmarkEnd w:id="95"/>
    </w:p>
    <w:p w14:paraId="214D1C86">
      <w:pPr>
        <w:pStyle w:val="250"/>
        <w:rPr>
          <w:rFonts w:eastAsia="宋体"/>
        </w:rPr>
      </w:pPr>
    </w:p>
    <w:p w14:paraId="264C1161">
      <w:pPr>
        <w:pStyle w:val="250"/>
        <w:rPr>
          <w:rFonts w:eastAsia="宋体"/>
        </w:rPr>
      </w:pPr>
    </w:p>
    <w:p w14:paraId="4F4381C4">
      <w:pPr>
        <w:pStyle w:val="250"/>
        <w:rPr>
          <w:rFonts w:eastAsia="宋体"/>
        </w:rPr>
      </w:pPr>
    </w:p>
    <w:p w14:paraId="6BD619A3">
      <w:pPr>
        <w:pStyle w:val="250"/>
        <w:rPr>
          <w:rFonts w:hint="eastAsia" w:ascii="宋体" w:hAnsi="宋体" w:eastAsia="宋体"/>
          <w:sz w:val="28"/>
          <w:szCs w:val="28"/>
        </w:rPr>
      </w:pPr>
    </w:p>
    <w:p w14:paraId="0FA26F77"/>
    <w:p w14:paraId="659AD569"/>
    <w:p w14:paraId="7FFA0B49"/>
    <w:p w14:paraId="368FF02C">
      <w:pPr>
        <w:pStyle w:val="3"/>
        <w:spacing w:before="145" w:beforeLines="50" w:after="145" w:afterLines="50" w:line="360" w:lineRule="auto"/>
        <w:jc w:val="left"/>
        <w:rPr>
          <w:rFonts w:hint="eastAsia" w:ascii="宋体" w:hAnsi="宋体" w:eastAsia="宋体"/>
          <w:sz w:val="28"/>
          <w:szCs w:val="28"/>
        </w:rPr>
      </w:pPr>
      <w:r>
        <w:rPr>
          <w:rFonts w:ascii="宋体" w:hAnsi="宋体" w:eastAsia="宋体"/>
          <w:sz w:val="28"/>
          <w:szCs w:val="28"/>
        </w:rPr>
        <w:br w:type="page"/>
      </w:r>
      <w:r>
        <w:rPr>
          <w:rFonts w:hint="eastAsia" w:ascii="宋体" w:hAnsi="宋体" w:eastAsia="宋体"/>
          <w:sz w:val="28"/>
          <w:szCs w:val="28"/>
        </w:rPr>
        <w:t>附件四、资格资信证明文件</w:t>
      </w:r>
    </w:p>
    <w:bookmarkEnd w:id="96"/>
    <w:bookmarkEnd w:id="97"/>
    <w:p w14:paraId="4AFD9D2D">
      <w:pPr>
        <w:pStyle w:val="3"/>
        <w:spacing w:before="145" w:beforeLines="50" w:after="145" w:afterLines="50" w:line="360" w:lineRule="auto"/>
        <w:jc w:val="left"/>
        <w:rPr>
          <w:rFonts w:hint="eastAsia" w:ascii="宋体" w:hAnsi="宋体" w:eastAsia="宋体"/>
          <w:sz w:val="28"/>
          <w:szCs w:val="28"/>
        </w:rPr>
      </w:pPr>
      <w:bookmarkStart w:id="102" w:name="_Toc24962248"/>
      <w:bookmarkStart w:id="103" w:name="_Toc21781763"/>
      <w:bookmarkStart w:id="104" w:name="_Toc513029276"/>
      <w:bookmarkStart w:id="105" w:name="_Toc23828478"/>
      <w:bookmarkStart w:id="106" w:name="_Toc120614283"/>
      <w:bookmarkStart w:id="107" w:name="_Toc22356580"/>
      <w:bookmarkStart w:id="108" w:name="_Toc49090577"/>
      <w:bookmarkStart w:id="109" w:name="_Toc460901585"/>
      <w:bookmarkStart w:id="110" w:name="_Toc26554095"/>
      <w:r>
        <w:rPr>
          <w:rFonts w:ascii="宋体" w:hAnsi="宋体" w:eastAsia="宋体"/>
          <w:sz w:val="28"/>
          <w:szCs w:val="28"/>
        </w:rPr>
        <w:br w:type="page"/>
      </w:r>
      <w:r>
        <w:rPr>
          <w:rFonts w:hint="eastAsia" w:ascii="宋体" w:hAnsi="宋体" w:eastAsia="宋体"/>
          <w:sz w:val="28"/>
          <w:szCs w:val="28"/>
        </w:rPr>
        <w:t>附件五、无重大违法记录声明格式</w:t>
      </w:r>
    </w:p>
    <w:p w14:paraId="7E83B557">
      <w:pPr>
        <w:pStyle w:val="17"/>
        <w:kinsoku w:val="0"/>
        <w:overflowPunct w:val="0"/>
        <w:jc w:val="center"/>
        <w:rPr>
          <w:rFonts w:ascii="黑体" w:eastAsia="黑体" w:cs="黑体"/>
        </w:rPr>
      </w:pPr>
      <w:r>
        <w:rPr>
          <w:rFonts w:hint="eastAsia" w:ascii="黑体" w:eastAsia="黑体" w:cs="黑体"/>
        </w:rPr>
        <w:t>无重大违法记录声明</w:t>
      </w:r>
    </w:p>
    <w:p w14:paraId="1DD0BD53">
      <w:pPr>
        <w:pStyle w:val="17"/>
        <w:kinsoku w:val="0"/>
        <w:overflowPunct w:val="0"/>
        <w:spacing w:line="400" w:lineRule="exact"/>
        <w:ind w:firstLine="480" w:firstLineChars="200"/>
        <w:rPr>
          <w:rFonts w:hint="eastAsia" w:ascii="宋体" w:hAnsi="宋体" w:eastAsia="宋体"/>
          <w:sz w:val="24"/>
          <w:szCs w:val="24"/>
        </w:rPr>
      </w:pPr>
      <w:r>
        <w:rPr>
          <w:rFonts w:hint="eastAsia" w:ascii="宋体" w:hAnsi="宋体" w:eastAsia="宋体"/>
          <w:sz w:val="24"/>
          <w:szCs w:val="24"/>
        </w:rPr>
        <w:t>我单位（供应商名称）宣布声明和承诺如下：</w:t>
      </w:r>
      <w:r>
        <w:rPr>
          <w:rFonts w:ascii="宋体" w:hAnsi="宋体" w:eastAsia="宋体"/>
          <w:sz w:val="24"/>
          <w:szCs w:val="24"/>
        </w:rPr>
        <w:t xml:space="preserve"> </w:t>
      </w:r>
    </w:p>
    <w:p w14:paraId="6BFBD039">
      <w:pPr>
        <w:spacing w:line="400" w:lineRule="exact"/>
        <w:ind w:firstLine="480" w:firstLineChars="200"/>
        <w:rPr>
          <w:rFonts w:hint="eastAsia" w:ascii="宋体" w:hAnsi="宋体"/>
          <w:b/>
          <w:bCs/>
          <w:sz w:val="24"/>
          <w:szCs w:val="24"/>
        </w:rPr>
      </w:pPr>
      <w:r>
        <w:rPr>
          <w:rFonts w:hint="eastAsia" w:ascii="宋体" w:hAnsi="宋体"/>
          <w:sz w:val="24"/>
          <w:szCs w:val="24"/>
        </w:rPr>
        <w:t>我单位参加本次采购活动前</w:t>
      </w:r>
      <w:r>
        <w:rPr>
          <w:rFonts w:ascii="宋体" w:hAnsi="宋体"/>
          <w:sz w:val="24"/>
          <w:szCs w:val="24"/>
        </w:rPr>
        <w:t xml:space="preserve"> 3</w:t>
      </w:r>
      <w:r>
        <w:rPr>
          <w:rFonts w:ascii="宋体" w:hAnsi="宋体"/>
          <w:spacing w:val="-16"/>
          <w:sz w:val="24"/>
          <w:szCs w:val="24"/>
        </w:rPr>
        <w:t xml:space="preserve"> </w:t>
      </w:r>
      <w:r>
        <w:rPr>
          <w:rFonts w:hint="eastAsia" w:ascii="宋体" w:hAnsi="宋体"/>
          <w:sz w:val="24"/>
          <w:szCs w:val="24"/>
        </w:rPr>
        <w:t>年内在经营活动中没有重大违法记录，且不是失信被执</w:t>
      </w:r>
      <w:r>
        <w:rPr>
          <w:rFonts w:ascii="宋体" w:hAnsi="宋体"/>
          <w:sz w:val="24"/>
          <w:szCs w:val="24"/>
        </w:rPr>
        <w:t xml:space="preserve"> </w:t>
      </w:r>
      <w:r>
        <w:rPr>
          <w:rFonts w:hint="eastAsia" w:ascii="宋体" w:hAnsi="宋体"/>
          <w:sz w:val="24"/>
          <w:szCs w:val="24"/>
        </w:rPr>
        <w:t>行人、重大税收违法案件当事人名单、政府采购严重违法失信行为记录名单的供应商。</w:t>
      </w:r>
      <w:r>
        <w:rPr>
          <w:rFonts w:ascii="宋体" w:hAnsi="宋体"/>
          <w:w w:val="99"/>
          <w:sz w:val="24"/>
          <w:szCs w:val="24"/>
        </w:rPr>
        <w:t xml:space="preserve"> </w:t>
      </w:r>
    </w:p>
    <w:p w14:paraId="367007F4">
      <w:pPr>
        <w:pStyle w:val="17"/>
        <w:kinsoku w:val="0"/>
        <w:overflowPunct w:val="0"/>
        <w:spacing w:line="400" w:lineRule="exact"/>
        <w:ind w:firstLine="314"/>
        <w:rPr>
          <w:rFonts w:hint="eastAsia" w:ascii="宋体" w:hAnsi="宋体" w:eastAsia="宋体"/>
          <w:sz w:val="24"/>
          <w:szCs w:val="24"/>
        </w:rPr>
      </w:pPr>
      <w:r>
        <w:rPr>
          <w:rFonts w:hint="eastAsia" w:ascii="宋体" w:hAnsi="宋体" w:eastAsia="宋体"/>
          <w:spacing w:val="-1"/>
          <w:sz w:val="24"/>
          <w:szCs w:val="24"/>
        </w:rPr>
        <w:t>（说明：政府采购法第二十二条第一款第五项所称重大违法记录，是指供应商因违法经</w:t>
      </w:r>
      <w:r>
        <w:rPr>
          <w:rFonts w:ascii="宋体" w:hAnsi="宋体" w:eastAsia="宋体"/>
          <w:sz w:val="24"/>
          <w:szCs w:val="24"/>
        </w:rPr>
        <w:t xml:space="preserve"> </w:t>
      </w:r>
      <w:r>
        <w:rPr>
          <w:rFonts w:hint="eastAsia" w:ascii="宋体" w:hAnsi="宋体" w:eastAsia="宋体"/>
          <w:sz w:val="24"/>
          <w:szCs w:val="24"/>
        </w:rPr>
        <w:t>营受到刑事处罚或者责令停产停业、吊销许可证或者执照、较大数额罚款等行政处罚。）</w:t>
      </w:r>
      <w:r>
        <w:rPr>
          <w:rFonts w:ascii="宋体" w:hAnsi="宋体" w:eastAsia="宋体"/>
          <w:sz w:val="24"/>
          <w:szCs w:val="24"/>
        </w:rPr>
        <w:t xml:space="preserve"> </w:t>
      </w:r>
    </w:p>
    <w:p w14:paraId="02EDEF31">
      <w:pPr>
        <w:pStyle w:val="17"/>
        <w:kinsoku w:val="0"/>
        <w:overflowPunct w:val="0"/>
        <w:spacing w:line="400" w:lineRule="exact"/>
        <w:ind w:left="432"/>
        <w:rPr>
          <w:rFonts w:hint="eastAsia" w:ascii="宋体" w:hAnsi="宋体" w:eastAsia="宋体"/>
          <w:sz w:val="24"/>
          <w:szCs w:val="24"/>
        </w:rPr>
      </w:pPr>
      <w:r>
        <w:rPr>
          <w:rFonts w:ascii="宋体" w:hAnsi="宋体" w:eastAsia="宋体"/>
          <w:sz w:val="24"/>
          <w:szCs w:val="24"/>
        </w:rPr>
        <w:t xml:space="preserve"> </w:t>
      </w:r>
    </w:p>
    <w:p w14:paraId="7CFDCC37">
      <w:pPr>
        <w:pStyle w:val="17"/>
        <w:kinsoku w:val="0"/>
        <w:overflowPunct w:val="0"/>
        <w:spacing w:line="400" w:lineRule="exact"/>
        <w:rPr>
          <w:rFonts w:hint="eastAsia" w:ascii="宋体" w:hAnsi="宋体" w:eastAsia="宋体"/>
          <w:sz w:val="24"/>
          <w:szCs w:val="24"/>
        </w:rPr>
      </w:pPr>
    </w:p>
    <w:p w14:paraId="2F905AA3">
      <w:pPr>
        <w:pStyle w:val="17"/>
        <w:kinsoku w:val="0"/>
        <w:overflowPunct w:val="0"/>
        <w:spacing w:line="400" w:lineRule="exact"/>
        <w:rPr>
          <w:rFonts w:hint="eastAsia" w:ascii="宋体" w:hAnsi="宋体" w:eastAsia="宋体"/>
          <w:sz w:val="24"/>
          <w:szCs w:val="24"/>
        </w:rPr>
      </w:pPr>
    </w:p>
    <w:p w14:paraId="4FF1E4F9">
      <w:pPr>
        <w:pStyle w:val="17"/>
        <w:kinsoku w:val="0"/>
        <w:overflowPunct w:val="0"/>
        <w:spacing w:line="400" w:lineRule="exact"/>
        <w:rPr>
          <w:rFonts w:hint="eastAsia" w:ascii="宋体" w:hAnsi="宋体" w:eastAsia="宋体"/>
          <w:sz w:val="24"/>
          <w:szCs w:val="24"/>
        </w:rPr>
      </w:pPr>
    </w:p>
    <w:p w14:paraId="0DEA026C">
      <w:pPr>
        <w:pStyle w:val="17"/>
        <w:tabs>
          <w:tab w:val="left" w:pos="6272"/>
          <w:tab w:val="left" w:pos="6798"/>
        </w:tabs>
        <w:kinsoku w:val="0"/>
        <w:overflowPunct w:val="0"/>
        <w:spacing w:line="400" w:lineRule="exact"/>
        <w:ind w:left="5221" w:right="1535"/>
        <w:rPr>
          <w:rFonts w:hint="eastAsia" w:ascii="宋体" w:hAnsi="宋体" w:eastAsia="宋体"/>
          <w:sz w:val="24"/>
          <w:szCs w:val="24"/>
        </w:rPr>
      </w:pPr>
      <w:r>
        <w:rPr>
          <w:rFonts w:hint="eastAsia" w:ascii="宋体" w:hAnsi="宋体" w:eastAsia="宋体"/>
          <w:sz w:val="24"/>
          <w:szCs w:val="24"/>
        </w:rPr>
        <w:t>声明人：（公章）</w:t>
      </w:r>
      <w:r>
        <w:rPr>
          <w:rFonts w:ascii="宋体" w:hAnsi="宋体" w:eastAsia="宋体"/>
          <w:sz w:val="24"/>
          <w:szCs w:val="24"/>
        </w:rPr>
        <w:t xml:space="preserve"> </w:t>
      </w:r>
    </w:p>
    <w:p w14:paraId="656B942B">
      <w:pPr>
        <w:pStyle w:val="17"/>
        <w:tabs>
          <w:tab w:val="left" w:pos="6272"/>
          <w:tab w:val="left" w:pos="6798"/>
        </w:tabs>
        <w:kinsoku w:val="0"/>
        <w:overflowPunct w:val="0"/>
        <w:spacing w:line="400" w:lineRule="exact"/>
        <w:ind w:left="5221" w:right="1535"/>
        <w:rPr>
          <w:rFonts w:hint="eastAsia" w:ascii="宋体" w:hAnsi="宋体" w:eastAsia="宋体"/>
          <w:sz w:val="24"/>
          <w:szCs w:val="24"/>
        </w:rPr>
      </w:pPr>
      <w:r>
        <w:rPr>
          <w:rFonts w:hint="eastAsia" w:ascii="宋体" w:hAnsi="宋体" w:eastAsia="宋体"/>
          <w:sz w:val="24"/>
          <w:szCs w:val="24"/>
        </w:rPr>
        <w:t>日期：</w:t>
      </w:r>
      <w:r>
        <w:rPr>
          <w:rFonts w:ascii="宋体" w:hAnsi="宋体" w:eastAsia="宋体"/>
          <w:sz w:val="24"/>
          <w:szCs w:val="24"/>
        </w:rPr>
        <w:tab/>
      </w:r>
      <w:r>
        <w:rPr>
          <w:rFonts w:hint="eastAsia" w:ascii="宋体" w:hAnsi="宋体" w:eastAsia="宋体"/>
          <w:sz w:val="24"/>
          <w:szCs w:val="24"/>
        </w:rPr>
        <w:t>年</w:t>
      </w:r>
      <w:r>
        <w:rPr>
          <w:rFonts w:ascii="宋体" w:hAnsi="宋体" w:eastAsia="宋体"/>
          <w:sz w:val="24"/>
          <w:szCs w:val="24"/>
        </w:rPr>
        <w:tab/>
      </w:r>
      <w:r>
        <w:rPr>
          <w:rFonts w:hint="eastAsia" w:ascii="宋体" w:hAnsi="宋体" w:eastAsia="宋体"/>
          <w:sz w:val="24"/>
          <w:szCs w:val="24"/>
        </w:rPr>
        <w:t xml:space="preserve">月 </w:t>
      </w:r>
      <w:r>
        <w:rPr>
          <w:rFonts w:ascii="宋体" w:hAnsi="宋体" w:eastAsia="宋体"/>
          <w:sz w:val="24"/>
          <w:szCs w:val="24"/>
        </w:rPr>
        <w:t xml:space="preserve">  </w:t>
      </w:r>
      <w:r>
        <w:rPr>
          <w:rFonts w:hint="eastAsia" w:ascii="宋体" w:hAnsi="宋体" w:eastAsia="宋体"/>
          <w:sz w:val="24"/>
          <w:szCs w:val="24"/>
        </w:rPr>
        <w:t>日</w:t>
      </w:r>
    </w:p>
    <w:p w14:paraId="6B201288">
      <w:pPr>
        <w:pStyle w:val="5"/>
      </w:pPr>
    </w:p>
    <w:p w14:paraId="4873CE3D">
      <w:pPr>
        <w:pStyle w:val="3"/>
        <w:spacing w:before="145" w:beforeLines="50" w:after="145" w:afterLines="50" w:line="360" w:lineRule="auto"/>
        <w:jc w:val="left"/>
        <w:rPr>
          <w:rFonts w:hint="eastAsia" w:ascii="宋体" w:hAnsi="宋体" w:eastAsia="宋体"/>
          <w:sz w:val="28"/>
          <w:szCs w:val="28"/>
        </w:rPr>
      </w:pPr>
      <w:r>
        <w:rPr>
          <w:rFonts w:ascii="宋体" w:hAnsi="宋体" w:eastAsia="宋体"/>
          <w:b w:val="0"/>
          <w:bCs w:val="0"/>
          <w:sz w:val="28"/>
          <w:szCs w:val="28"/>
        </w:rPr>
        <w:br w:type="page"/>
      </w:r>
      <w:r>
        <w:rPr>
          <w:rFonts w:hint="eastAsia" w:ascii="宋体" w:hAnsi="宋体" w:eastAsia="宋体"/>
          <w:sz w:val="28"/>
          <w:szCs w:val="28"/>
        </w:rPr>
        <w:t>附件六、商务条款偏离表</w:t>
      </w:r>
      <w:bookmarkEnd w:id="102"/>
      <w:r>
        <w:rPr>
          <w:rFonts w:hint="eastAsia" w:ascii="宋体" w:hAnsi="宋体" w:eastAsia="宋体"/>
          <w:sz w:val="28"/>
          <w:szCs w:val="28"/>
        </w:rPr>
        <w:t xml:space="preserve"> </w:t>
      </w:r>
    </w:p>
    <w:p w14:paraId="1DBBC41E">
      <w:pPr>
        <w:pStyle w:val="217"/>
        <w:spacing w:before="290" w:beforeLines="100" w:after="290" w:afterLines="100"/>
        <w:ind w:firstLine="0" w:firstLineChars="0"/>
        <w:jc w:val="center"/>
        <w:rPr>
          <w:b/>
          <w:bCs/>
          <w:sz w:val="32"/>
          <w:szCs w:val="24"/>
        </w:rPr>
      </w:pPr>
      <w:r>
        <w:rPr>
          <w:rFonts w:hint="eastAsia"/>
          <w:b/>
          <w:bCs/>
          <w:sz w:val="32"/>
          <w:szCs w:val="24"/>
        </w:rPr>
        <w:t>商务条款偏离表</w:t>
      </w:r>
    </w:p>
    <w:p w14:paraId="475F7117">
      <w:pPr>
        <w:pStyle w:val="17"/>
        <w:kinsoku w:val="0"/>
        <w:overflowPunct w:val="0"/>
        <w:spacing w:line="240" w:lineRule="atLeast"/>
        <w:rPr>
          <w:rFonts w:hint="eastAsia" w:ascii="宋体" w:hAnsi="宋体" w:eastAsia="宋体"/>
          <w:spacing w:val="-1"/>
          <w:sz w:val="24"/>
          <w:szCs w:val="24"/>
          <w:u w:val="single"/>
        </w:rPr>
      </w:pPr>
      <w:r>
        <w:rPr>
          <w:rFonts w:hint="eastAsia" w:ascii="宋体" w:hAnsi="Calibri" w:eastAsia="宋体" w:cs="宋体"/>
          <w:sz w:val="24"/>
          <w:szCs w:val="24"/>
        </w:rPr>
        <w:t>项目名称：</w:t>
      </w:r>
      <w:r>
        <w:rPr>
          <w:rFonts w:ascii="宋体" w:hAnsi="Calibri" w:eastAsia="宋体" w:cs="宋体"/>
          <w:sz w:val="24"/>
          <w:szCs w:val="24"/>
          <w:u w:val="single"/>
        </w:rPr>
        <w:tab/>
      </w:r>
      <w:r>
        <w:rPr>
          <w:rFonts w:ascii="宋体" w:hAnsi="Calibri" w:eastAsia="宋体" w:cs="宋体"/>
          <w:sz w:val="24"/>
          <w:szCs w:val="24"/>
          <w:u w:val="single"/>
        </w:rPr>
        <w:t xml:space="preserve">                          </w:t>
      </w:r>
      <w:r>
        <w:rPr>
          <w:rFonts w:hint="eastAsia" w:ascii="宋体" w:hAnsi="Calibri" w:eastAsia="宋体" w:cs="宋体"/>
          <w:sz w:val="24"/>
          <w:szCs w:val="24"/>
        </w:rPr>
        <w:t>项目编号</w:t>
      </w:r>
      <w:r>
        <w:rPr>
          <w:rFonts w:hint="eastAsia" w:ascii="宋体" w:hAnsi="宋体" w:eastAsia="宋体"/>
          <w:spacing w:val="-1"/>
          <w:sz w:val="24"/>
          <w:szCs w:val="24"/>
        </w:rPr>
        <w:t>：</w:t>
      </w:r>
      <w:r>
        <w:rPr>
          <w:rFonts w:hint="eastAsia" w:ascii="宋体" w:hAnsi="宋体" w:eastAsia="宋体"/>
          <w:spacing w:val="-1"/>
          <w:sz w:val="24"/>
          <w:szCs w:val="24"/>
          <w:u w:val="single"/>
        </w:rPr>
        <w:t xml:space="preserve"> </w:t>
      </w:r>
      <w:r>
        <w:rPr>
          <w:rFonts w:ascii="宋体" w:hAnsi="宋体" w:eastAsia="宋体"/>
          <w:spacing w:val="-1"/>
          <w:sz w:val="24"/>
          <w:szCs w:val="24"/>
          <w:u w:val="single"/>
        </w:rPr>
        <w:t xml:space="preserve">                          </w:t>
      </w:r>
    </w:p>
    <w:p w14:paraId="3382500E">
      <w:pPr>
        <w:pStyle w:val="217"/>
        <w:spacing w:line="400" w:lineRule="exact"/>
        <w:ind w:firstLine="0" w:firstLineChars="0"/>
        <w:rPr>
          <w:rFonts w:hint="eastAsia" w:ascii="宋体" w:hAnsi="宋体" w:cs="宋体"/>
        </w:rPr>
      </w:pPr>
      <w:r>
        <w:rPr>
          <w:rFonts w:hint="eastAsia" w:ascii="宋体" w:hAnsi="宋体" w:cs="宋体"/>
        </w:rPr>
        <w:t xml:space="preserve"> </w:t>
      </w:r>
      <w:r>
        <w:rPr>
          <w:rFonts w:ascii="宋体" w:hAnsi="宋体" w:cs="宋体"/>
        </w:rPr>
        <w:t xml:space="preserve">               </w:t>
      </w:r>
    </w:p>
    <w:p w14:paraId="2945F49E">
      <w:pPr>
        <w:pStyle w:val="17"/>
        <w:kinsoku w:val="0"/>
        <w:overflowPunct w:val="0"/>
        <w:spacing w:before="11"/>
        <w:rPr>
          <w:sz w:val="2"/>
          <w:szCs w:val="2"/>
        </w:rPr>
      </w:pPr>
    </w:p>
    <w:tbl>
      <w:tblPr>
        <w:tblStyle w:val="39"/>
        <w:tblW w:w="9415" w:type="dxa"/>
        <w:jc w:val="center"/>
        <w:tblLayout w:type="fixed"/>
        <w:tblCellMar>
          <w:top w:w="0" w:type="dxa"/>
          <w:left w:w="0" w:type="dxa"/>
          <w:bottom w:w="0" w:type="dxa"/>
          <w:right w:w="0" w:type="dxa"/>
        </w:tblCellMar>
      </w:tblPr>
      <w:tblGrid>
        <w:gridCol w:w="665"/>
        <w:gridCol w:w="1785"/>
        <w:gridCol w:w="2977"/>
        <w:gridCol w:w="2948"/>
        <w:gridCol w:w="1040"/>
      </w:tblGrid>
      <w:tr w14:paraId="178E8E30">
        <w:tblPrEx>
          <w:tblCellMar>
            <w:top w:w="0" w:type="dxa"/>
            <w:left w:w="0" w:type="dxa"/>
            <w:bottom w:w="0" w:type="dxa"/>
            <w:right w:w="0" w:type="dxa"/>
          </w:tblCellMar>
        </w:tblPrEx>
        <w:trPr>
          <w:trHeight w:val="503" w:hRule="exact"/>
          <w:jc w:val="center"/>
        </w:trPr>
        <w:tc>
          <w:tcPr>
            <w:tcW w:w="665" w:type="dxa"/>
            <w:tcBorders>
              <w:top w:val="single" w:color="000000" w:sz="4" w:space="0"/>
              <w:left w:val="single" w:color="000000" w:sz="4" w:space="0"/>
              <w:bottom w:val="single" w:color="000000" w:sz="4" w:space="0"/>
              <w:right w:val="single" w:color="000000" w:sz="4" w:space="0"/>
            </w:tcBorders>
            <w:vAlign w:val="center"/>
          </w:tcPr>
          <w:p w14:paraId="7BC60878">
            <w:pPr>
              <w:pStyle w:val="237"/>
              <w:kinsoku w:val="0"/>
              <w:overflowPunct w:val="0"/>
              <w:autoSpaceDE w:val="0"/>
              <w:autoSpaceDN w:val="0"/>
              <w:ind w:left="115"/>
              <w:jc w:val="center"/>
              <w:rPr>
                <w:sz w:val="24"/>
              </w:rPr>
            </w:pPr>
            <w:r>
              <w:rPr>
                <w:rFonts w:hint="eastAsia" w:ascii="宋体" w:cs="宋体"/>
                <w:sz w:val="24"/>
              </w:rPr>
              <w:t>序号</w:t>
            </w:r>
          </w:p>
        </w:tc>
        <w:tc>
          <w:tcPr>
            <w:tcW w:w="1785" w:type="dxa"/>
            <w:tcBorders>
              <w:top w:val="single" w:color="000000" w:sz="4" w:space="0"/>
              <w:left w:val="single" w:color="000000" w:sz="4" w:space="0"/>
              <w:bottom w:val="single" w:color="000000" w:sz="4" w:space="0"/>
              <w:right w:val="single" w:color="000000" w:sz="4" w:space="0"/>
            </w:tcBorders>
            <w:vAlign w:val="center"/>
          </w:tcPr>
          <w:p w14:paraId="773FD0D6">
            <w:pPr>
              <w:pStyle w:val="237"/>
              <w:kinsoku w:val="0"/>
              <w:overflowPunct w:val="0"/>
              <w:autoSpaceDE w:val="0"/>
              <w:autoSpaceDN w:val="0"/>
              <w:ind w:left="83" w:right="-20"/>
              <w:jc w:val="center"/>
              <w:rPr>
                <w:sz w:val="24"/>
              </w:rPr>
            </w:pPr>
            <w:r>
              <w:rPr>
                <w:rFonts w:hint="eastAsia" w:ascii="宋体" w:cs="宋体"/>
                <w:sz w:val="24"/>
              </w:rPr>
              <w:t>采购文件条目号</w:t>
            </w:r>
          </w:p>
        </w:tc>
        <w:tc>
          <w:tcPr>
            <w:tcW w:w="2977" w:type="dxa"/>
            <w:tcBorders>
              <w:top w:val="single" w:color="000000" w:sz="4" w:space="0"/>
              <w:left w:val="single" w:color="000000" w:sz="4" w:space="0"/>
              <w:bottom w:val="single" w:color="000000" w:sz="4" w:space="0"/>
              <w:right w:val="single" w:color="000000" w:sz="4" w:space="0"/>
            </w:tcBorders>
            <w:vAlign w:val="center"/>
          </w:tcPr>
          <w:p w14:paraId="663B9BA6">
            <w:pPr>
              <w:pStyle w:val="237"/>
              <w:kinsoku w:val="0"/>
              <w:overflowPunct w:val="0"/>
              <w:autoSpaceDE w:val="0"/>
              <w:autoSpaceDN w:val="0"/>
              <w:ind w:left="216"/>
              <w:jc w:val="center"/>
              <w:rPr>
                <w:sz w:val="24"/>
              </w:rPr>
            </w:pPr>
            <w:r>
              <w:rPr>
                <w:rFonts w:hint="eastAsia" w:ascii="宋体" w:cs="宋体"/>
                <w:sz w:val="24"/>
              </w:rPr>
              <w:t>采购文件要求的商务条款</w:t>
            </w:r>
          </w:p>
        </w:tc>
        <w:tc>
          <w:tcPr>
            <w:tcW w:w="2948" w:type="dxa"/>
            <w:tcBorders>
              <w:top w:val="single" w:color="000000" w:sz="4" w:space="0"/>
              <w:left w:val="single" w:color="000000" w:sz="4" w:space="0"/>
              <w:bottom w:val="single" w:color="000000" w:sz="4" w:space="0"/>
              <w:right w:val="single" w:color="000000" w:sz="4" w:space="0"/>
            </w:tcBorders>
            <w:vAlign w:val="center"/>
          </w:tcPr>
          <w:p w14:paraId="17CF1D87">
            <w:pPr>
              <w:pStyle w:val="237"/>
              <w:kinsoku w:val="0"/>
              <w:overflowPunct w:val="0"/>
              <w:autoSpaceDE w:val="0"/>
              <w:autoSpaceDN w:val="0"/>
              <w:ind w:left="100"/>
              <w:jc w:val="center"/>
              <w:rPr>
                <w:sz w:val="24"/>
              </w:rPr>
            </w:pPr>
            <w:r>
              <w:rPr>
                <w:rFonts w:hint="eastAsia" w:ascii="宋体" w:cs="宋体"/>
                <w:sz w:val="24"/>
              </w:rPr>
              <w:t>磋商响应</w:t>
            </w:r>
            <w:r>
              <w:rPr>
                <w:rFonts w:hint="eastAsia" w:ascii="宋体" w:hAnsi="宋体" w:cs="宋体"/>
                <w:sz w:val="24"/>
              </w:rPr>
              <w:t>偏离情况</w:t>
            </w:r>
          </w:p>
        </w:tc>
        <w:tc>
          <w:tcPr>
            <w:tcW w:w="1040" w:type="dxa"/>
            <w:tcBorders>
              <w:top w:val="single" w:color="000000" w:sz="4" w:space="0"/>
              <w:left w:val="single" w:color="000000" w:sz="4" w:space="0"/>
              <w:bottom w:val="single" w:color="000000" w:sz="4" w:space="0"/>
              <w:right w:val="single" w:color="000000" w:sz="4" w:space="0"/>
            </w:tcBorders>
            <w:vAlign w:val="center"/>
          </w:tcPr>
          <w:p w14:paraId="7FAC7EEF">
            <w:pPr>
              <w:pStyle w:val="237"/>
              <w:kinsoku w:val="0"/>
              <w:overflowPunct w:val="0"/>
              <w:autoSpaceDE w:val="0"/>
              <w:autoSpaceDN w:val="0"/>
              <w:ind w:left="91" w:right="-13"/>
              <w:jc w:val="center"/>
              <w:rPr>
                <w:sz w:val="24"/>
              </w:rPr>
            </w:pPr>
            <w:r>
              <w:rPr>
                <w:rFonts w:hint="eastAsia" w:ascii="宋体" w:cs="宋体"/>
                <w:sz w:val="24"/>
              </w:rPr>
              <w:t>说明</w:t>
            </w:r>
          </w:p>
        </w:tc>
      </w:tr>
      <w:tr w14:paraId="6AEE289B">
        <w:tblPrEx>
          <w:tblCellMar>
            <w:top w:w="0" w:type="dxa"/>
            <w:left w:w="0" w:type="dxa"/>
            <w:bottom w:w="0" w:type="dxa"/>
            <w:right w:w="0" w:type="dxa"/>
          </w:tblCellMar>
        </w:tblPrEx>
        <w:trPr>
          <w:trHeight w:val="567" w:hRule="exact"/>
          <w:jc w:val="center"/>
        </w:trPr>
        <w:tc>
          <w:tcPr>
            <w:tcW w:w="665" w:type="dxa"/>
            <w:tcBorders>
              <w:top w:val="single" w:color="000000" w:sz="4" w:space="0"/>
              <w:left w:val="single" w:color="000000" w:sz="4" w:space="0"/>
              <w:bottom w:val="single" w:color="000000" w:sz="4" w:space="0"/>
              <w:right w:val="single" w:color="000000" w:sz="4" w:space="0"/>
            </w:tcBorders>
            <w:vAlign w:val="center"/>
          </w:tcPr>
          <w:p w14:paraId="52F1888D">
            <w:pPr>
              <w:pStyle w:val="237"/>
              <w:kinsoku w:val="0"/>
              <w:overflowPunct w:val="0"/>
              <w:autoSpaceDE w:val="0"/>
              <w:autoSpaceDN w:val="0"/>
              <w:ind w:left="103"/>
              <w:jc w:val="center"/>
              <w:rPr>
                <w:sz w:val="24"/>
              </w:rPr>
            </w:pPr>
            <w:r>
              <w:rPr>
                <w:rFonts w:ascii="宋体" w:cs="宋体"/>
                <w:sz w:val="24"/>
              </w:rPr>
              <w:t xml:space="preserve"> </w:t>
            </w:r>
          </w:p>
        </w:tc>
        <w:tc>
          <w:tcPr>
            <w:tcW w:w="1785" w:type="dxa"/>
            <w:tcBorders>
              <w:top w:val="single" w:color="000000" w:sz="4" w:space="0"/>
              <w:left w:val="single" w:color="000000" w:sz="4" w:space="0"/>
              <w:bottom w:val="single" w:color="000000" w:sz="4" w:space="0"/>
              <w:right w:val="single" w:color="000000" w:sz="4" w:space="0"/>
            </w:tcBorders>
            <w:vAlign w:val="center"/>
          </w:tcPr>
          <w:p w14:paraId="17105D25">
            <w:pPr>
              <w:pStyle w:val="237"/>
              <w:kinsoku w:val="0"/>
              <w:overflowPunct w:val="0"/>
              <w:autoSpaceDE w:val="0"/>
              <w:autoSpaceDN w:val="0"/>
              <w:ind w:left="105"/>
              <w:jc w:val="center"/>
              <w:rPr>
                <w:sz w:val="24"/>
              </w:rPr>
            </w:pPr>
            <w:r>
              <w:rPr>
                <w:rFonts w:ascii="宋体" w:cs="宋体"/>
                <w:sz w:val="24"/>
              </w:rPr>
              <w:t xml:space="preserve"> </w:t>
            </w:r>
          </w:p>
        </w:tc>
        <w:tc>
          <w:tcPr>
            <w:tcW w:w="2977" w:type="dxa"/>
            <w:tcBorders>
              <w:top w:val="single" w:color="000000" w:sz="4" w:space="0"/>
              <w:left w:val="single" w:color="000000" w:sz="4" w:space="0"/>
              <w:bottom w:val="single" w:color="000000" w:sz="4" w:space="0"/>
              <w:right w:val="single" w:color="000000" w:sz="4" w:space="0"/>
            </w:tcBorders>
            <w:vAlign w:val="center"/>
          </w:tcPr>
          <w:p w14:paraId="69D218B3">
            <w:pPr>
              <w:pStyle w:val="237"/>
              <w:kinsoku w:val="0"/>
              <w:overflowPunct w:val="0"/>
              <w:autoSpaceDE w:val="0"/>
              <w:autoSpaceDN w:val="0"/>
              <w:ind w:left="101"/>
              <w:jc w:val="center"/>
              <w:rPr>
                <w:sz w:val="24"/>
              </w:rPr>
            </w:pPr>
            <w:r>
              <w:rPr>
                <w:rFonts w:ascii="宋体" w:cs="宋体"/>
                <w:sz w:val="24"/>
              </w:rPr>
              <w:t xml:space="preserve"> </w:t>
            </w:r>
          </w:p>
        </w:tc>
        <w:tc>
          <w:tcPr>
            <w:tcW w:w="2948" w:type="dxa"/>
            <w:tcBorders>
              <w:top w:val="single" w:color="000000" w:sz="4" w:space="0"/>
              <w:left w:val="single" w:color="000000" w:sz="4" w:space="0"/>
              <w:bottom w:val="single" w:color="000000" w:sz="4" w:space="0"/>
              <w:right w:val="single" w:color="000000" w:sz="4" w:space="0"/>
            </w:tcBorders>
            <w:vAlign w:val="center"/>
          </w:tcPr>
          <w:p w14:paraId="3C0A7713">
            <w:pPr>
              <w:pStyle w:val="237"/>
              <w:kinsoku w:val="0"/>
              <w:overflowPunct w:val="0"/>
              <w:autoSpaceDE w:val="0"/>
              <w:autoSpaceDN w:val="0"/>
              <w:ind w:left="100"/>
              <w:jc w:val="center"/>
              <w:rPr>
                <w:sz w:val="24"/>
              </w:rPr>
            </w:pPr>
            <w:r>
              <w:rPr>
                <w:rFonts w:ascii="宋体" w:cs="宋体"/>
                <w:sz w:val="24"/>
              </w:rPr>
              <w:t xml:space="preserve"> </w:t>
            </w:r>
          </w:p>
        </w:tc>
        <w:tc>
          <w:tcPr>
            <w:tcW w:w="1040" w:type="dxa"/>
            <w:tcBorders>
              <w:top w:val="single" w:color="000000" w:sz="4" w:space="0"/>
              <w:left w:val="single" w:color="000000" w:sz="4" w:space="0"/>
              <w:bottom w:val="single" w:color="000000" w:sz="4" w:space="0"/>
              <w:right w:val="single" w:color="000000" w:sz="4" w:space="0"/>
            </w:tcBorders>
            <w:vAlign w:val="center"/>
          </w:tcPr>
          <w:p w14:paraId="7886EAE4">
            <w:pPr>
              <w:pStyle w:val="237"/>
              <w:kinsoku w:val="0"/>
              <w:overflowPunct w:val="0"/>
              <w:autoSpaceDE w:val="0"/>
              <w:autoSpaceDN w:val="0"/>
              <w:ind w:left="103"/>
              <w:jc w:val="center"/>
              <w:rPr>
                <w:sz w:val="24"/>
              </w:rPr>
            </w:pPr>
            <w:r>
              <w:rPr>
                <w:rFonts w:ascii="宋体" w:cs="宋体"/>
                <w:sz w:val="24"/>
              </w:rPr>
              <w:t xml:space="preserve"> </w:t>
            </w:r>
          </w:p>
        </w:tc>
      </w:tr>
      <w:tr w14:paraId="6C395010">
        <w:tblPrEx>
          <w:tblCellMar>
            <w:top w:w="0" w:type="dxa"/>
            <w:left w:w="0" w:type="dxa"/>
            <w:bottom w:w="0" w:type="dxa"/>
            <w:right w:w="0" w:type="dxa"/>
          </w:tblCellMar>
        </w:tblPrEx>
        <w:trPr>
          <w:trHeight w:val="572" w:hRule="exact"/>
          <w:jc w:val="center"/>
        </w:trPr>
        <w:tc>
          <w:tcPr>
            <w:tcW w:w="665" w:type="dxa"/>
            <w:tcBorders>
              <w:top w:val="single" w:color="000000" w:sz="4" w:space="0"/>
              <w:left w:val="single" w:color="000000" w:sz="4" w:space="0"/>
              <w:bottom w:val="single" w:color="000000" w:sz="4" w:space="0"/>
              <w:right w:val="single" w:color="000000" w:sz="4" w:space="0"/>
            </w:tcBorders>
            <w:vAlign w:val="center"/>
          </w:tcPr>
          <w:p w14:paraId="4D98C535">
            <w:pPr>
              <w:pStyle w:val="237"/>
              <w:kinsoku w:val="0"/>
              <w:overflowPunct w:val="0"/>
              <w:autoSpaceDE w:val="0"/>
              <w:autoSpaceDN w:val="0"/>
              <w:ind w:left="103"/>
              <w:jc w:val="center"/>
              <w:rPr>
                <w:sz w:val="24"/>
              </w:rPr>
            </w:pPr>
            <w:r>
              <w:rPr>
                <w:rFonts w:ascii="宋体" w:cs="宋体"/>
                <w:sz w:val="24"/>
              </w:rPr>
              <w:t xml:space="preserve"> </w:t>
            </w:r>
          </w:p>
        </w:tc>
        <w:tc>
          <w:tcPr>
            <w:tcW w:w="1785" w:type="dxa"/>
            <w:tcBorders>
              <w:top w:val="single" w:color="000000" w:sz="4" w:space="0"/>
              <w:left w:val="single" w:color="000000" w:sz="4" w:space="0"/>
              <w:bottom w:val="single" w:color="000000" w:sz="4" w:space="0"/>
              <w:right w:val="single" w:color="000000" w:sz="4" w:space="0"/>
            </w:tcBorders>
            <w:vAlign w:val="center"/>
          </w:tcPr>
          <w:p w14:paraId="78D268AE">
            <w:pPr>
              <w:pStyle w:val="237"/>
              <w:kinsoku w:val="0"/>
              <w:overflowPunct w:val="0"/>
              <w:autoSpaceDE w:val="0"/>
              <w:autoSpaceDN w:val="0"/>
              <w:ind w:left="105"/>
              <w:jc w:val="center"/>
              <w:rPr>
                <w:sz w:val="24"/>
              </w:rPr>
            </w:pPr>
            <w:r>
              <w:rPr>
                <w:rFonts w:ascii="宋体" w:cs="宋体"/>
                <w:sz w:val="24"/>
              </w:rPr>
              <w:t xml:space="preserve"> </w:t>
            </w:r>
          </w:p>
        </w:tc>
        <w:tc>
          <w:tcPr>
            <w:tcW w:w="2977" w:type="dxa"/>
            <w:tcBorders>
              <w:top w:val="single" w:color="000000" w:sz="4" w:space="0"/>
              <w:left w:val="single" w:color="000000" w:sz="4" w:space="0"/>
              <w:bottom w:val="single" w:color="000000" w:sz="4" w:space="0"/>
              <w:right w:val="single" w:color="000000" w:sz="4" w:space="0"/>
            </w:tcBorders>
            <w:vAlign w:val="center"/>
          </w:tcPr>
          <w:p w14:paraId="3B06C0AA">
            <w:pPr>
              <w:pStyle w:val="237"/>
              <w:kinsoku w:val="0"/>
              <w:overflowPunct w:val="0"/>
              <w:autoSpaceDE w:val="0"/>
              <w:autoSpaceDN w:val="0"/>
              <w:ind w:left="101"/>
              <w:jc w:val="center"/>
              <w:rPr>
                <w:sz w:val="24"/>
              </w:rPr>
            </w:pPr>
            <w:r>
              <w:rPr>
                <w:rFonts w:ascii="宋体" w:cs="宋体"/>
                <w:sz w:val="24"/>
              </w:rPr>
              <w:t xml:space="preserve"> </w:t>
            </w:r>
          </w:p>
        </w:tc>
        <w:tc>
          <w:tcPr>
            <w:tcW w:w="2948" w:type="dxa"/>
            <w:tcBorders>
              <w:top w:val="single" w:color="000000" w:sz="4" w:space="0"/>
              <w:left w:val="single" w:color="000000" w:sz="4" w:space="0"/>
              <w:bottom w:val="single" w:color="000000" w:sz="4" w:space="0"/>
              <w:right w:val="single" w:color="000000" w:sz="4" w:space="0"/>
            </w:tcBorders>
            <w:vAlign w:val="center"/>
          </w:tcPr>
          <w:p w14:paraId="0D1A1181">
            <w:pPr>
              <w:pStyle w:val="237"/>
              <w:kinsoku w:val="0"/>
              <w:overflowPunct w:val="0"/>
              <w:autoSpaceDE w:val="0"/>
              <w:autoSpaceDN w:val="0"/>
              <w:ind w:left="100"/>
              <w:jc w:val="center"/>
              <w:rPr>
                <w:sz w:val="24"/>
              </w:rPr>
            </w:pPr>
            <w:r>
              <w:rPr>
                <w:rFonts w:ascii="宋体" w:cs="宋体"/>
                <w:sz w:val="24"/>
              </w:rPr>
              <w:t xml:space="preserve"> </w:t>
            </w:r>
          </w:p>
        </w:tc>
        <w:tc>
          <w:tcPr>
            <w:tcW w:w="1040" w:type="dxa"/>
            <w:tcBorders>
              <w:top w:val="single" w:color="000000" w:sz="4" w:space="0"/>
              <w:left w:val="single" w:color="000000" w:sz="4" w:space="0"/>
              <w:bottom w:val="single" w:color="000000" w:sz="4" w:space="0"/>
              <w:right w:val="single" w:color="000000" w:sz="4" w:space="0"/>
            </w:tcBorders>
            <w:vAlign w:val="center"/>
          </w:tcPr>
          <w:p w14:paraId="3C1E29E0">
            <w:pPr>
              <w:pStyle w:val="237"/>
              <w:kinsoku w:val="0"/>
              <w:overflowPunct w:val="0"/>
              <w:autoSpaceDE w:val="0"/>
              <w:autoSpaceDN w:val="0"/>
              <w:ind w:left="103"/>
              <w:jc w:val="center"/>
              <w:rPr>
                <w:sz w:val="24"/>
              </w:rPr>
            </w:pPr>
            <w:r>
              <w:rPr>
                <w:rFonts w:ascii="宋体" w:cs="宋体"/>
                <w:sz w:val="24"/>
              </w:rPr>
              <w:t xml:space="preserve"> </w:t>
            </w:r>
          </w:p>
        </w:tc>
      </w:tr>
      <w:tr w14:paraId="5C4E5D82">
        <w:tblPrEx>
          <w:tblCellMar>
            <w:top w:w="0" w:type="dxa"/>
            <w:left w:w="0" w:type="dxa"/>
            <w:bottom w:w="0" w:type="dxa"/>
            <w:right w:w="0" w:type="dxa"/>
          </w:tblCellMar>
        </w:tblPrEx>
        <w:trPr>
          <w:trHeight w:val="569" w:hRule="exact"/>
          <w:jc w:val="center"/>
        </w:trPr>
        <w:tc>
          <w:tcPr>
            <w:tcW w:w="665" w:type="dxa"/>
            <w:tcBorders>
              <w:top w:val="single" w:color="000000" w:sz="4" w:space="0"/>
              <w:left w:val="single" w:color="000000" w:sz="4" w:space="0"/>
              <w:bottom w:val="single" w:color="000000" w:sz="4" w:space="0"/>
              <w:right w:val="single" w:color="000000" w:sz="4" w:space="0"/>
            </w:tcBorders>
            <w:vAlign w:val="center"/>
          </w:tcPr>
          <w:p w14:paraId="6DC15FE9">
            <w:pPr>
              <w:pStyle w:val="237"/>
              <w:kinsoku w:val="0"/>
              <w:overflowPunct w:val="0"/>
              <w:autoSpaceDE w:val="0"/>
              <w:autoSpaceDN w:val="0"/>
              <w:ind w:left="103"/>
              <w:jc w:val="center"/>
              <w:rPr>
                <w:sz w:val="24"/>
              </w:rPr>
            </w:pPr>
            <w:r>
              <w:rPr>
                <w:rFonts w:ascii="宋体" w:cs="宋体"/>
                <w:sz w:val="24"/>
              </w:rPr>
              <w:t xml:space="preserve"> </w:t>
            </w:r>
          </w:p>
        </w:tc>
        <w:tc>
          <w:tcPr>
            <w:tcW w:w="1785" w:type="dxa"/>
            <w:tcBorders>
              <w:top w:val="single" w:color="000000" w:sz="4" w:space="0"/>
              <w:left w:val="single" w:color="000000" w:sz="4" w:space="0"/>
              <w:bottom w:val="single" w:color="000000" w:sz="4" w:space="0"/>
              <w:right w:val="single" w:color="000000" w:sz="4" w:space="0"/>
            </w:tcBorders>
            <w:vAlign w:val="center"/>
          </w:tcPr>
          <w:p w14:paraId="2E894F47">
            <w:pPr>
              <w:pStyle w:val="237"/>
              <w:kinsoku w:val="0"/>
              <w:overflowPunct w:val="0"/>
              <w:autoSpaceDE w:val="0"/>
              <w:autoSpaceDN w:val="0"/>
              <w:ind w:left="105"/>
              <w:jc w:val="center"/>
              <w:rPr>
                <w:sz w:val="24"/>
              </w:rPr>
            </w:pPr>
            <w:r>
              <w:rPr>
                <w:rFonts w:ascii="宋体" w:cs="宋体"/>
                <w:sz w:val="24"/>
              </w:rPr>
              <w:t xml:space="preserve"> </w:t>
            </w:r>
          </w:p>
        </w:tc>
        <w:tc>
          <w:tcPr>
            <w:tcW w:w="2977" w:type="dxa"/>
            <w:tcBorders>
              <w:top w:val="single" w:color="000000" w:sz="4" w:space="0"/>
              <w:left w:val="single" w:color="000000" w:sz="4" w:space="0"/>
              <w:bottom w:val="single" w:color="000000" w:sz="4" w:space="0"/>
              <w:right w:val="single" w:color="000000" w:sz="4" w:space="0"/>
            </w:tcBorders>
            <w:vAlign w:val="center"/>
          </w:tcPr>
          <w:p w14:paraId="64B32458">
            <w:pPr>
              <w:pStyle w:val="237"/>
              <w:kinsoku w:val="0"/>
              <w:overflowPunct w:val="0"/>
              <w:autoSpaceDE w:val="0"/>
              <w:autoSpaceDN w:val="0"/>
              <w:ind w:left="101"/>
              <w:jc w:val="center"/>
              <w:rPr>
                <w:sz w:val="24"/>
              </w:rPr>
            </w:pPr>
            <w:r>
              <w:rPr>
                <w:rFonts w:ascii="宋体" w:cs="宋体"/>
                <w:sz w:val="24"/>
              </w:rPr>
              <w:t xml:space="preserve"> </w:t>
            </w:r>
          </w:p>
        </w:tc>
        <w:tc>
          <w:tcPr>
            <w:tcW w:w="2948" w:type="dxa"/>
            <w:tcBorders>
              <w:top w:val="single" w:color="000000" w:sz="4" w:space="0"/>
              <w:left w:val="single" w:color="000000" w:sz="4" w:space="0"/>
              <w:bottom w:val="single" w:color="000000" w:sz="4" w:space="0"/>
              <w:right w:val="single" w:color="000000" w:sz="4" w:space="0"/>
            </w:tcBorders>
            <w:vAlign w:val="center"/>
          </w:tcPr>
          <w:p w14:paraId="47861DBC">
            <w:pPr>
              <w:pStyle w:val="237"/>
              <w:kinsoku w:val="0"/>
              <w:overflowPunct w:val="0"/>
              <w:autoSpaceDE w:val="0"/>
              <w:autoSpaceDN w:val="0"/>
              <w:ind w:left="100"/>
              <w:jc w:val="center"/>
              <w:rPr>
                <w:sz w:val="24"/>
              </w:rPr>
            </w:pPr>
            <w:r>
              <w:rPr>
                <w:rFonts w:ascii="宋体" w:cs="宋体"/>
                <w:sz w:val="24"/>
              </w:rPr>
              <w:t xml:space="preserve"> </w:t>
            </w:r>
          </w:p>
        </w:tc>
        <w:tc>
          <w:tcPr>
            <w:tcW w:w="1040" w:type="dxa"/>
            <w:tcBorders>
              <w:top w:val="single" w:color="000000" w:sz="4" w:space="0"/>
              <w:left w:val="single" w:color="000000" w:sz="4" w:space="0"/>
              <w:bottom w:val="single" w:color="000000" w:sz="4" w:space="0"/>
              <w:right w:val="single" w:color="000000" w:sz="4" w:space="0"/>
            </w:tcBorders>
            <w:vAlign w:val="center"/>
          </w:tcPr>
          <w:p w14:paraId="7F2F7FFF">
            <w:pPr>
              <w:pStyle w:val="237"/>
              <w:kinsoku w:val="0"/>
              <w:overflowPunct w:val="0"/>
              <w:autoSpaceDE w:val="0"/>
              <w:autoSpaceDN w:val="0"/>
              <w:ind w:left="103"/>
              <w:jc w:val="center"/>
              <w:rPr>
                <w:sz w:val="24"/>
              </w:rPr>
            </w:pPr>
            <w:r>
              <w:rPr>
                <w:rFonts w:ascii="宋体" w:cs="宋体"/>
                <w:sz w:val="24"/>
              </w:rPr>
              <w:t xml:space="preserve"> </w:t>
            </w:r>
          </w:p>
        </w:tc>
      </w:tr>
      <w:tr w14:paraId="566AAFB3">
        <w:tblPrEx>
          <w:tblCellMar>
            <w:top w:w="0" w:type="dxa"/>
            <w:left w:w="0" w:type="dxa"/>
            <w:bottom w:w="0" w:type="dxa"/>
            <w:right w:w="0" w:type="dxa"/>
          </w:tblCellMar>
        </w:tblPrEx>
        <w:trPr>
          <w:trHeight w:val="563" w:hRule="exact"/>
          <w:jc w:val="center"/>
        </w:trPr>
        <w:tc>
          <w:tcPr>
            <w:tcW w:w="665" w:type="dxa"/>
            <w:tcBorders>
              <w:top w:val="single" w:color="000000" w:sz="4" w:space="0"/>
              <w:left w:val="single" w:color="000000" w:sz="4" w:space="0"/>
              <w:bottom w:val="single" w:color="000000" w:sz="4" w:space="0"/>
              <w:right w:val="single" w:color="000000" w:sz="4" w:space="0"/>
            </w:tcBorders>
            <w:vAlign w:val="center"/>
          </w:tcPr>
          <w:p w14:paraId="45663871">
            <w:pPr>
              <w:pStyle w:val="237"/>
              <w:kinsoku w:val="0"/>
              <w:overflowPunct w:val="0"/>
              <w:autoSpaceDE w:val="0"/>
              <w:autoSpaceDN w:val="0"/>
              <w:ind w:left="103"/>
              <w:jc w:val="center"/>
              <w:rPr>
                <w:sz w:val="24"/>
              </w:rPr>
            </w:pPr>
            <w:r>
              <w:rPr>
                <w:rFonts w:ascii="宋体" w:cs="宋体"/>
                <w:sz w:val="24"/>
              </w:rPr>
              <w:t xml:space="preserve"> </w:t>
            </w:r>
          </w:p>
        </w:tc>
        <w:tc>
          <w:tcPr>
            <w:tcW w:w="1785" w:type="dxa"/>
            <w:tcBorders>
              <w:top w:val="single" w:color="000000" w:sz="4" w:space="0"/>
              <w:left w:val="single" w:color="000000" w:sz="4" w:space="0"/>
              <w:bottom w:val="single" w:color="000000" w:sz="4" w:space="0"/>
              <w:right w:val="single" w:color="000000" w:sz="4" w:space="0"/>
            </w:tcBorders>
            <w:vAlign w:val="center"/>
          </w:tcPr>
          <w:p w14:paraId="7D901652">
            <w:pPr>
              <w:pStyle w:val="237"/>
              <w:kinsoku w:val="0"/>
              <w:overflowPunct w:val="0"/>
              <w:autoSpaceDE w:val="0"/>
              <w:autoSpaceDN w:val="0"/>
              <w:ind w:left="105"/>
              <w:jc w:val="center"/>
              <w:rPr>
                <w:sz w:val="24"/>
              </w:rPr>
            </w:pPr>
            <w:r>
              <w:rPr>
                <w:rFonts w:ascii="宋体" w:cs="宋体"/>
                <w:sz w:val="24"/>
              </w:rPr>
              <w:t xml:space="preserve"> </w:t>
            </w:r>
          </w:p>
        </w:tc>
        <w:tc>
          <w:tcPr>
            <w:tcW w:w="2977" w:type="dxa"/>
            <w:tcBorders>
              <w:top w:val="single" w:color="000000" w:sz="4" w:space="0"/>
              <w:left w:val="single" w:color="000000" w:sz="4" w:space="0"/>
              <w:bottom w:val="single" w:color="000000" w:sz="4" w:space="0"/>
              <w:right w:val="single" w:color="000000" w:sz="4" w:space="0"/>
            </w:tcBorders>
            <w:vAlign w:val="center"/>
          </w:tcPr>
          <w:p w14:paraId="1BB54EBD">
            <w:pPr>
              <w:pStyle w:val="237"/>
              <w:kinsoku w:val="0"/>
              <w:overflowPunct w:val="0"/>
              <w:autoSpaceDE w:val="0"/>
              <w:autoSpaceDN w:val="0"/>
              <w:ind w:left="101"/>
              <w:jc w:val="center"/>
              <w:rPr>
                <w:sz w:val="24"/>
              </w:rPr>
            </w:pPr>
            <w:r>
              <w:rPr>
                <w:rFonts w:ascii="宋体" w:cs="宋体"/>
                <w:sz w:val="24"/>
              </w:rPr>
              <w:t xml:space="preserve"> </w:t>
            </w:r>
          </w:p>
        </w:tc>
        <w:tc>
          <w:tcPr>
            <w:tcW w:w="2948" w:type="dxa"/>
            <w:tcBorders>
              <w:top w:val="single" w:color="000000" w:sz="4" w:space="0"/>
              <w:left w:val="single" w:color="000000" w:sz="4" w:space="0"/>
              <w:bottom w:val="single" w:color="000000" w:sz="4" w:space="0"/>
              <w:right w:val="single" w:color="000000" w:sz="4" w:space="0"/>
            </w:tcBorders>
            <w:vAlign w:val="center"/>
          </w:tcPr>
          <w:p w14:paraId="159A6162">
            <w:pPr>
              <w:pStyle w:val="237"/>
              <w:kinsoku w:val="0"/>
              <w:overflowPunct w:val="0"/>
              <w:autoSpaceDE w:val="0"/>
              <w:autoSpaceDN w:val="0"/>
              <w:ind w:left="100"/>
              <w:jc w:val="center"/>
              <w:rPr>
                <w:sz w:val="24"/>
              </w:rPr>
            </w:pPr>
            <w:r>
              <w:rPr>
                <w:rFonts w:ascii="宋体" w:cs="宋体"/>
                <w:sz w:val="24"/>
              </w:rPr>
              <w:t xml:space="preserve"> </w:t>
            </w:r>
          </w:p>
        </w:tc>
        <w:tc>
          <w:tcPr>
            <w:tcW w:w="1040" w:type="dxa"/>
            <w:tcBorders>
              <w:top w:val="single" w:color="000000" w:sz="4" w:space="0"/>
              <w:left w:val="single" w:color="000000" w:sz="4" w:space="0"/>
              <w:bottom w:val="single" w:color="000000" w:sz="4" w:space="0"/>
              <w:right w:val="single" w:color="000000" w:sz="4" w:space="0"/>
            </w:tcBorders>
            <w:vAlign w:val="center"/>
          </w:tcPr>
          <w:p w14:paraId="5E96B355">
            <w:pPr>
              <w:pStyle w:val="237"/>
              <w:kinsoku w:val="0"/>
              <w:overflowPunct w:val="0"/>
              <w:autoSpaceDE w:val="0"/>
              <w:autoSpaceDN w:val="0"/>
              <w:ind w:left="103"/>
              <w:jc w:val="center"/>
              <w:rPr>
                <w:sz w:val="24"/>
              </w:rPr>
            </w:pPr>
            <w:r>
              <w:rPr>
                <w:rFonts w:ascii="宋体" w:cs="宋体"/>
                <w:sz w:val="24"/>
              </w:rPr>
              <w:t xml:space="preserve"> </w:t>
            </w:r>
          </w:p>
        </w:tc>
      </w:tr>
      <w:tr w14:paraId="306E1449">
        <w:tblPrEx>
          <w:tblCellMar>
            <w:top w:w="0" w:type="dxa"/>
            <w:left w:w="0" w:type="dxa"/>
            <w:bottom w:w="0" w:type="dxa"/>
            <w:right w:w="0" w:type="dxa"/>
          </w:tblCellMar>
        </w:tblPrEx>
        <w:trPr>
          <w:trHeight w:val="571" w:hRule="exact"/>
          <w:jc w:val="center"/>
        </w:trPr>
        <w:tc>
          <w:tcPr>
            <w:tcW w:w="665" w:type="dxa"/>
            <w:tcBorders>
              <w:top w:val="single" w:color="000000" w:sz="4" w:space="0"/>
              <w:left w:val="single" w:color="000000" w:sz="4" w:space="0"/>
              <w:bottom w:val="single" w:color="000000" w:sz="4" w:space="0"/>
              <w:right w:val="single" w:color="000000" w:sz="4" w:space="0"/>
            </w:tcBorders>
            <w:vAlign w:val="center"/>
          </w:tcPr>
          <w:p w14:paraId="55E34E7A">
            <w:pPr>
              <w:pStyle w:val="237"/>
              <w:kinsoku w:val="0"/>
              <w:overflowPunct w:val="0"/>
              <w:autoSpaceDE w:val="0"/>
              <w:autoSpaceDN w:val="0"/>
              <w:ind w:left="103"/>
              <w:jc w:val="center"/>
              <w:rPr>
                <w:sz w:val="24"/>
              </w:rPr>
            </w:pPr>
            <w:r>
              <w:rPr>
                <w:rFonts w:ascii="宋体" w:cs="宋体"/>
                <w:sz w:val="24"/>
              </w:rPr>
              <w:t xml:space="preserve"> </w:t>
            </w:r>
          </w:p>
        </w:tc>
        <w:tc>
          <w:tcPr>
            <w:tcW w:w="1785" w:type="dxa"/>
            <w:tcBorders>
              <w:top w:val="single" w:color="000000" w:sz="4" w:space="0"/>
              <w:left w:val="single" w:color="000000" w:sz="4" w:space="0"/>
              <w:bottom w:val="single" w:color="000000" w:sz="4" w:space="0"/>
              <w:right w:val="single" w:color="000000" w:sz="4" w:space="0"/>
            </w:tcBorders>
            <w:vAlign w:val="center"/>
          </w:tcPr>
          <w:p w14:paraId="0C46801B">
            <w:pPr>
              <w:pStyle w:val="237"/>
              <w:kinsoku w:val="0"/>
              <w:overflowPunct w:val="0"/>
              <w:autoSpaceDE w:val="0"/>
              <w:autoSpaceDN w:val="0"/>
              <w:ind w:left="105"/>
              <w:jc w:val="center"/>
              <w:rPr>
                <w:sz w:val="24"/>
              </w:rPr>
            </w:pPr>
            <w:r>
              <w:rPr>
                <w:rFonts w:ascii="宋体" w:cs="宋体"/>
                <w:sz w:val="24"/>
              </w:rPr>
              <w:t xml:space="preserve"> </w:t>
            </w:r>
          </w:p>
        </w:tc>
        <w:tc>
          <w:tcPr>
            <w:tcW w:w="2977" w:type="dxa"/>
            <w:tcBorders>
              <w:top w:val="single" w:color="000000" w:sz="4" w:space="0"/>
              <w:left w:val="single" w:color="000000" w:sz="4" w:space="0"/>
              <w:bottom w:val="single" w:color="000000" w:sz="4" w:space="0"/>
              <w:right w:val="single" w:color="000000" w:sz="4" w:space="0"/>
            </w:tcBorders>
            <w:vAlign w:val="center"/>
          </w:tcPr>
          <w:p w14:paraId="07AD40DD">
            <w:pPr>
              <w:pStyle w:val="237"/>
              <w:kinsoku w:val="0"/>
              <w:overflowPunct w:val="0"/>
              <w:autoSpaceDE w:val="0"/>
              <w:autoSpaceDN w:val="0"/>
              <w:ind w:left="101"/>
              <w:jc w:val="center"/>
              <w:rPr>
                <w:sz w:val="24"/>
              </w:rPr>
            </w:pPr>
            <w:r>
              <w:rPr>
                <w:rFonts w:ascii="宋体" w:cs="宋体"/>
                <w:sz w:val="24"/>
              </w:rPr>
              <w:t xml:space="preserve"> </w:t>
            </w:r>
          </w:p>
        </w:tc>
        <w:tc>
          <w:tcPr>
            <w:tcW w:w="2948" w:type="dxa"/>
            <w:tcBorders>
              <w:top w:val="single" w:color="000000" w:sz="4" w:space="0"/>
              <w:left w:val="single" w:color="000000" w:sz="4" w:space="0"/>
              <w:bottom w:val="single" w:color="000000" w:sz="4" w:space="0"/>
              <w:right w:val="single" w:color="000000" w:sz="4" w:space="0"/>
            </w:tcBorders>
            <w:vAlign w:val="center"/>
          </w:tcPr>
          <w:p w14:paraId="1C9E027A">
            <w:pPr>
              <w:pStyle w:val="237"/>
              <w:kinsoku w:val="0"/>
              <w:overflowPunct w:val="0"/>
              <w:autoSpaceDE w:val="0"/>
              <w:autoSpaceDN w:val="0"/>
              <w:ind w:left="100"/>
              <w:jc w:val="center"/>
              <w:rPr>
                <w:sz w:val="24"/>
              </w:rPr>
            </w:pPr>
            <w:r>
              <w:rPr>
                <w:rFonts w:ascii="宋体" w:cs="宋体"/>
                <w:sz w:val="24"/>
              </w:rPr>
              <w:t xml:space="preserve"> </w:t>
            </w:r>
          </w:p>
        </w:tc>
        <w:tc>
          <w:tcPr>
            <w:tcW w:w="1040" w:type="dxa"/>
            <w:tcBorders>
              <w:top w:val="single" w:color="000000" w:sz="4" w:space="0"/>
              <w:left w:val="single" w:color="000000" w:sz="4" w:space="0"/>
              <w:bottom w:val="single" w:color="000000" w:sz="4" w:space="0"/>
              <w:right w:val="single" w:color="000000" w:sz="4" w:space="0"/>
            </w:tcBorders>
            <w:vAlign w:val="center"/>
          </w:tcPr>
          <w:p w14:paraId="74D1D1E4">
            <w:pPr>
              <w:pStyle w:val="237"/>
              <w:kinsoku w:val="0"/>
              <w:overflowPunct w:val="0"/>
              <w:autoSpaceDE w:val="0"/>
              <w:autoSpaceDN w:val="0"/>
              <w:ind w:left="103"/>
              <w:jc w:val="center"/>
              <w:rPr>
                <w:sz w:val="24"/>
              </w:rPr>
            </w:pPr>
            <w:r>
              <w:rPr>
                <w:rFonts w:ascii="宋体" w:cs="宋体"/>
                <w:sz w:val="24"/>
              </w:rPr>
              <w:t xml:space="preserve"> </w:t>
            </w:r>
          </w:p>
        </w:tc>
      </w:tr>
    </w:tbl>
    <w:p w14:paraId="0A0D031F">
      <w:pPr>
        <w:pStyle w:val="17"/>
        <w:kinsoku w:val="0"/>
        <w:overflowPunct w:val="0"/>
        <w:spacing w:line="360" w:lineRule="auto"/>
        <w:ind w:firstLine="560" w:firstLineChars="200"/>
        <w:rPr>
          <w:rFonts w:hint="eastAsia" w:ascii="宋体" w:hAnsi="宋体" w:eastAsia="宋体"/>
          <w:b/>
          <w:bCs/>
          <w:sz w:val="24"/>
          <w:szCs w:val="24"/>
        </w:rPr>
      </w:pPr>
      <w:r>
        <w:t xml:space="preserve"> </w:t>
      </w:r>
      <w:r>
        <w:rPr>
          <w:rFonts w:hint="eastAsia" w:ascii="宋体" w:hAnsi="宋体" w:eastAsia="宋体"/>
          <w:b/>
          <w:bCs/>
          <w:sz w:val="24"/>
          <w:szCs w:val="24"/>
        </w:rPr>
        <w:t>注：仅填写有偏离的条款，如本表为空，则代表全部响应。</w:t>
      </w:r>
    </w:p>
    <w:p w14:paraId="303D847E">
      <w:pPr>
        <w:pStyle w:val="17"/>
        <w:kinsoku w:val="0"/>
        <w:overflowPunct w:val="0"/>
        <w:spacing w:line="241" w:lineRule="exact"/>
        <w:ind w:left="658"/>
      </w:pPr>
    </w:p>
    <w:p w14:paraId="4310B382">
      <w:pPr>
        <w:adjustRightInd w:val="0"/>
        <w:snapToGrid w:val="0"/>
        <w:spacing w:line="400" w:lineRule="exact"/>
        <w:jc w:val="right"/>
        <w:rPr>
          <w:rFonts w:hint="eastAsia" w:ascii="宋体" w:hAnsi="宋体" w:cs="宋体"/>
          <w:sz w:val="24"/>
          <w:szCs w:val="24"/>
        </w:rPr>
      </w:pPr>
    </w:p>
    <w:p w14:paraId="72C364FB">
      <w:pPr>
        <w:adjustRightInd w:val="0"/>
        <w:snapToGrid w:val="0"/>
        <w:spacing w:line="400" w:lineRule="exact"/>
        <w:jc w:val="right"/>
        <w:rPr>
          <w:rFonts w:hint="eastAsia" w:ascii="宋体" w:hAnsi="宋体" w:cs="宋体"/>
          <w:sz w:val="24"/>
          <w:szCs w:val="24"/>
        </w:rPr>
      </w:pPr>
      <w:r>
        <w:rPr>
          <w:rFonts w:hint="eastAsia" w:ascii="宋体" w:hAnsi="宋体" w:cs="宋体"/>
          <w:sz w:val="24"/>
          <w:szCs w:val="24"/>
        </w:rPr>
        <w:t>供应商：</w:t>
      </w:r>
      <w:r>
        <w:rPr>
          <w:rFonts w:hint="eastAsia" w:ascii="宋体" w:hAnsi="宋体" w:cs="宋体"/>
          <w:sz w:val="24"/>
          <w:szCs w:val="24"/>
          <w:u w:val="single"/>
        </w:rPr>
        <w:t xml:space="preserve">                               </w:t>
      </w:r>
      <w:r>
        <w:rPr>
          <w:rFonts w:hint="eastAsia" w:ascii="宋体" w:hAnsi="宋体" w:cs="宋体"/>
          <w:sz w:val="24"/>
          <w:szCs w:val="24"/>
        </w:rPr>
        <w:t>（盖单位公章）</w:t>
      </w:r>
    </w:p>
    <w:p w14:paraId="4D05DA75">
      <w:pPr>
        <w:widowControl/>
        <w:adjustRightInd w:val="0"/>
        <w:snapToGrid w:val="0"/>
        <w:spacing w:line="400" w:lineRule="exact"/>
        <w:ind w:firstLine="1231" w:firstLineChars="513"/>
        <w:jc w:val="right"/>
        <w:rPr>
          <w:rFonts w:hint="eastAsia" w:ascii="宋体" w:hAnsi="宋体" w:cs="宋体"/>
          <w:sz w:val="24"/>
          <w:szCs w:val="24"/>
        </w:rPr>
      </w:pPr>
      <w:r>
        <w:rPr>
          <w:rFonts w:hint="eastAsia" w:ascii="宋体" w:hAnsi="宋体" w:cs="宋体"/>
          <w:sz w:val="24"/>
          <w:szCs w:val="24"/>
        </w:rPr>
        <w:t xml:space="preserve">   法定代表人或者其委托代理人：</w:t>
      </w:r>
      <w:r>
        <w:rPr>
          <w:rFonts w:hint="eastAsia" w:ascii="宋体" w:hAnsi="宋体" w:cs="宋体"/>
          <w:sz w:val="24"/>
          <w:szCs w:val="24"/>
          <w:u w:val="single"/>
        </w:rPr>
        <w:t xml:space="preserve">                 </w:t>
      </w:r>
      <w:r>
        <w:rPr>
          <w:rFonts w:hint="eastAsia" w:ascii="宋体" w:hAnsi="宋体" w:cs="宋体"/>
          <w:sz w:val="24"/>
          <w:szCs w:val="24"/>
        </w:rPr>
        <w:t>（签字）</w:t>
      </w:r>
    </w:p>
    <w:p w14:paraId="749A9C48">
      <w:pPr>
        <w:topLinePunct/>
        <w:adjustRightInd w:val="0"/>
        <w:snapToGrid w:val="0"/>
        <w:spacing w:line="400" w:lineRule="exact"/>
        <w:jc w:val="right"/>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6A6A77EE">
      <w:pPr>
        <w:pStyle w:val="3"/>
        <w:spacing w:before="145" w:beforeLines="50" w:after="145" w:afterLines="50" w:line="360" w:lineRule="auto"/>
        <w:jc w:val="left"/>
        <w:rPr>
          <w:rFonts w:hint="eastAsia" w:ascii="宋体" w:hAnsi="宋体" w:eastAsia="宋体"/>
          <w:sz w:val="32"/>
          <w:szCs w:val="32"/>
        </w:rPr>
      </w:pPr>
      <w:bookmarkStart w:id="111" w:name="_Toc21781765"/>
      <w:r>
        <w:rPr>
          <w:rFonts w:ascii="宋体" w:hAnsi="宋体" w:eastAsia="宋体"/>
          <w:sz w:val="28"/>
          <w:szCs w:val="28"/>
        </w:rPr>
        <w:br w:type="page"/>
      </w:r>
      <w:bookmarkStart w:id="112" w:name="_Toc24962249"/>
      <w:r>
        <w:rPr>
          <w:rFonts w:hint="eastAsia" w:ascii="宋体" w:hAnsi="宋体" w:eastAsia="宋体"/>
          <w:sz w:val="28"/>
          <w:szCs w:val="28"/>
        </w:rPr>
        <w:t>附件七、合同条款偏离表</w:t>
      </w:r>
      <w:bookmarkEnd w:id="111"/>
      <w:bookmarkEnd w:id="112"/>
    </w:p>
    <w:p w14:paraId="1187D662">
      <w:pPr>
        <w:pStyle w:val="217"/>
        <w:spacing w:before="290" w:beforeLines="100" w:after="290" w:afterLines="100"/>
        <w:ind w:firstLine="0" w:firstLineChars="0"/>
        <w:jc w:val="center"/>
        <w:rPr>
          <w:b/>
          <w:bCs/>
          <w:sz w:val="32"/>
          <w:szCs w:val="24"/>
        </w:rPr>
      </w:pPr>
      <w:r>
        <w:rPr>
          <w:rFonts w:hint="eastAsia"/>
          <w:b/>
          <w:bCs/>
          <w:sz w:val="32"/>
          <w:szCs w:val="24"/>
        </w:rPr>
        <w:t>合同条款偏离表</w:t>
      </w:r>
    </w:p>
    <w:p w14:paraId="233816D0">
      <w:pPr>
        <w:adjustRightInd w:val="0"/>
        <w:snapToGrid w:val="0"/>
        <w:spacing w:before="145" w:beforeLines="50" w:after="29" w:afterLines="10" w:line="360" w:lineRule="auto"/>
        <w:rPr>
          <w:rFonts w:hint="eastAsia" w:ascii="宋体" w:hAnsi="宋体" w:cs="宋体"/>
          <w:sz w:val="24"/>
          <w:u w:val="single"/>
        </w:rPr>
      </w:pPr>
      <w:r>
        <w:rPr>
          <w:rFonts w:hint="eastAsia" w:ascii="宋体" w:hAnsi="宋体" w:cs="宋体"/>
          <w:sz w:val="24"/>
        </w:rPr>
        <w:t>项目名称：</w:t>
      </w:r>
      <w:r>
        <w:rPr>
          <w:rFonts w:hint="eastAsia" w:ascii="宋体" w:hAnsi="宋体" w:cs="宋体"/>
          <w:sz w:val="24"/>
          <w:u w:val="single"/>
        </w:rPr>
        <w:t xml:space="preserve">                 </w:t>
      </w:r>
      <w:r>
        <w:rPr>
          <w:rFonts w:ascii="宋体" w:hAnsi="宋体" w:cs="宋体"/>
          <w:u w:val="single"/>
        </w:rPr>
        <w:t xml:space="preserve">  </w:t>
      </w:r>
      <w:r>
        <w:rPr>
          <w:rFonts w:hint="eastAsia" w:ascii="宋体" w:hAnsi="宋体" w:cs="宋体"/>
          <w:sz w:val="24"/>
          <w:u w:val="single"/>
        </w:rPr>
        <w:t xml:space="preserve">  </w:t>
      </w:r>
      <w:r>
        <w:rPr>
          <w:rFonts w:ascii="宋体" w:hAnsi="宋体" w:cs="宋体"/>
          <w:u w:val="single"/>
        </w:rPr>
        <w:t xml:space="preserve">          </w:t>
      </w:r>
      <w:r>
        <w:rPr>
          <w:rFonts w:hint="eastAsia" w:ascii="宋体" w:hAnsi="宋体" w:cs="宋体"/>
          <w:sz w:val="24"/>
        </w:rPr>
        <w:t>项目编号：</w:t>
      </w:r>
      <w:r>
        <w:rPr>
          <w:rFonts w:hint="eastAsia" w:ascii="宋体" w:hAnsi="宋体" w:cs="宋体"/>
          <w:sz w:val="24"/>
          <w:u w:val="single"/>
        </w:rPr>
        <w:t xml:space="preserve">      </w:t>
      </w:r>
      <w:r>
        <w:rPr>
          <w:rFonts w:ascii="宋体" w:hAnsi="宋体" w:cs="宋体"/>
          <w:u w:val="single"/>
        </w:rPr>
        <w:t xml:space="preserve">         </w:t>
      </w:r>
      <w:r>
        <w:rPr>
          <w:rFonts w:ascii="宋体" w:hAnsi="宋体" w:cs="宋体"/>
          <w:sz w:val="24"/>
          <w:u w:val="single"/>
        </w:rPr>
        <w:t xml:space="preserve">   </w:t>
      </w:r>
      <w:r>
        <w:rPr>
          <w:rFonts w:hint="eastAsia" w:ascii="宋体" w:hAnsi="宋体" w:cs="宋体"/>
          <w:sz w:val="24"/>
          <w:u w:val="single"/>
        </w:rPr>
        <w:t xml:space="preserve"> </w:t>
      </w:r>
    </w:p>
    <w:p w14:paraId="39CFFFA8">
      <w:pPr>
        <w:pStyle w:val="217"/>
        <w:spacing w:line="400" w:lineRule="exact"/>
        <w:ind w:firstLine="0" w:firstLineChars="0"/>
        <w:rPr>
          <w:rFonts w:hint="eastAsia" w:ascii="宋体" w:hAnsi="宋体" w:cs="宋体"/>
        </w:rPr>
      </w:pPr>
    </w:p>
    <w:tbl>
      <w:tblPr>
        <w:tblStyle w:val="39"/>
        <w:tblW w:w="0" w:type="auto"/>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872"/>
        <w:gridCol w:w="2551"/>
        <w:gridCol w:w="2410"/>
        <w:gridCol w:w="1276"/>
      </w:tblGrid>
      <w:tr w14:paraId="25AE958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vAlign w:val="center"/>
          </w:tcPr>
          <w:p w14:paraId="7B8F9E8E">
            <w:pPr>
              <w:autoSpaceDE w:val="0"/>
              <w:autoSpaceDN w:val="0"/>
              <w:adjustRightInd w:val="0"/>
              <w:snapToGrid w:val="0"/>
              <w:spacing w:before="87" w:beforeLines="30" w:after="87" w:afterLines="30"/>
              <w:jc w:val="center"/>
              <w:rPr>
                <w:rFonts w:hint="eastAsia" w:ascii="宋体" w:hAnsi="宋体" w:cs="宋体"/>
                <w:sz w:val="24"/>
              </w:rPr>
            </w:pPr>
            <w:r>
              <w:rPr>
                <w:rFonts w:hint="eastAsia" w:ascii="宋体" w:hAnsi="宋体" w:cs="宋体"/>
                <w:sz w:val="24"/>
              </w:rPr>
              <w:t>序号</w:t>
            </w:r>
          </w:p>
        </w:tc>
        <w:tc>
          <w:tcPr>
            <w:tcW w:w="1872" w:type="dxa"/>
            <w:vAlign w:val="center"/>
          </w:tcPr>
          <w:p w14:paraId="4FC29536">
            <w:pPr>
              <w:autoSpaceDE w:val="0"/>
              <w:autoSpaceDN w:val="0"/>
              <w:adjustRightInd w:val="0"/>
              <w:snapToGrid w:val="0"/>
              <w:spacing w:before="87" w:beforeLines="30" w:after="87" w:afterLines="30"/>
              <w:jc w:val="center"/>
              <w:rPr>
                <w:rFonts w:hint="eastAsia" w:ascii="宋体" w:hAnsi="宋体" w:cs="宋体"/>
                <w:sz w:val="24"/>
              </w:rPr>
            </w:pPr>
            <w:r>
              <w:rPr>
                <w:rFonts w:hint="eastAsia" w:ascii="宋体" w:cs="宋体"/>
              </w:rPr>
              <w:t>采购</w:t>
            </w:r>
            <w:r>
              <w:rPr>
                <w:rFonts w:hint="eastAsia" w:ascii="宋体" w:hAnsi="宋体" w:cs="宋体"/>
                <w:sz w:val="24"/>
              </w:rPr>
              <w:t>文件条目号</w:t>
            </w:r>
          </w:p>
        </w:tc>
        <w:tc>
          <w:tcPr>
            <w:tcW w:w="2551" w:type="dxa"/>
            <w:vAlign w:val="center"/>
          </w:tcPr>
          <w:p w14:paraId="76E31A8C">
            <w:pPr>
              <w:autoSpaceDE w:val="0"/>
              <w:autoSpaceDN w:val="0"/>
              <w:adjustRightInd w:val="0"/>
              <w:snapToGrid w:val="0"/>
              <w:spacing w:before="87" w:beforeLines="30" w:after="87" w:afterLines="30"/>
              <w:jc w:val="center"/>
              <w:rPr>
                <w:rFonts w:hint="eastAsia" w:ascii="宋体" w:hAnsi="宋体" w:cs="宋体"/>
                <w:sz w:val="24"/>
              </w:rPr>
            </w:pPr>
            <w:r>
              <w:rPr>
                <w:rFonts w:hint="eastAsia" w:ascii="宋体" w:cs="宋体"/>
              </w:rPr>
              <w:t>采购</w:t>
            </w:r>
            <w:r>
              <w:rPr>
                <w:rFonts w:hint="eastAsia" w:ascii="宋体" w:hAnsi="宋体" w:cs="宋体"/>
                <w:sz w:val="24"/>
              </w:rPr>
              <w:t>文件的合同条款</w:t>
            </w:r>
          </w:p>
        </w:tc>
        <w:tc>
          <w:tcPr>
            <w:tcW w:w="2410" w:type="dxa"/>
            <w:vAlign w:val="center"/>
          </w:tcPr>
          <w:p w14:paraId="017E5636">
            <w:pPr>
              <w:autoSpaceDE w:val="0"/>
              <w:autoSpaceDN w:val="0"/>
              <w:adjustRightInd w:val="0"/>
              <w:snapToGrid w:val="0"/>
              <w:spacing w:before="87" w:beforeLines="30" w:after="87" w:afterLines="30"/>
              <w:jc w:val="center"/>
              <w:rPr>
                <w:rFonts w:hint="eastAsia" w:ascii="宋体" w:hAnsi="宋体" w:cs="宋体"/>
                <w:sz w:val="24"/>
              </w:rPr>
            </w:pPr>
            <w:r>
              <w:rPr>
                <w:rFonts w:hint="eastAsia" w:ascii="宋体" w:hAnsi="宋体" w:cs="宋体"/>
              </w:rPr>
              <w:t>响应</w:t>
            </w:r>
            <w:r>
              <w:rPr>
                <w:rFonts w:hint="eastAsia" w:ascii="宋体" w:hAnsi="宋体" w:cs="宋体"/>
                <w:sz w:val="24"/>
              </w:rPr>
              <w:t>文件偏离情况</w:t>
            </w:r>
          </w:p>
        </w:tc>
        <w:tc>
          <w:tcPr>
            <w:tcW w:w="1276" w:type="dxa"/>
            <w:vAlign w:val="center"/>
          </w:tcPr>
          <w:p w14:paraId="66BE1814">
            <w:pPr>
              <w:autoSpaceDE w:val="0"/>
              <w:autoSpaceDN w:val="0"/>
              <w:adjustRightInd w:val="0"/>
              <w:snapToGrid w:val="0"/>
              <w:spacing w:before="87" w:beforeLines="30" w:after="87" w:afterLines="30"/>
              <w:jc w:val="center"/>
              <w:rPr>
                <w:rFonts w:hint="eastAsia" w:ascii="宋体" w:hAnsi="宋体" w:cs="宋体"/>
                <w:sz w:val="24"/>
              </w:rPr>
            </w:pPr>
            <w:r>
              <w:rPr>
                <w:rFonts w:hint="eastAsia" w:ascii="宋体" w:hAnsi="宋体" w:cs="宋体"/>
                <w:sz w:val="24"/>
              </w:rPr>
              <w:t>说明</w:t>
            </w:r>
          </w:p>
        </w:tc>
      </w:tr>
      <w:tr w14:paraId="3D24E1F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vAlign w:val="center"/>
          </w:tcPr>
          <w:p w14:paraId="35AB2E51">
            <w:pPr>
              <w:autoSpaceDE w:val="0"/>
              <w:autoSpaceDN w:val="0"/>
              <w:adjustRightInd w:val="0"/>
              <w:snapToGrid w:val="0"/>
              <w:spacing w:before="87" w:beforeLines="30" w:after="87" w:afterLines="30"/>
              <w:rPr>
                <w:rFonts w:hint="eastAsia" w:ascii="宋体" w:hAnsi="宋体" w:cs="宋体"/>
                <w:sz w:val="24"/>
              </w:rPr>
            </w:pPr>
          </w:p>
        </w:tc>
        <w:tc>
          <w:tcPr>
            <w:tcW w:w="1872" w:type="dxa"/>
            <w:vAlign w:val="center"/>
          </w:tcPr>
          <w:p w14:paraId="031C9DD7">
            <w:pPr>
              <w:autoSpaceDE w:val="0"/>
              <w:autoSpaceDN w:val="0"/>
              <w:adjustRightInd w:val="0"/>
              <w:snapToGrid w:val="0"/>
              <w:spacing w:before="87" w:beforeLines="30" w:after="87" w:afterLines="30"/>
              <w:rPr>
                <w:rFonts w:hint="eastAsia" w:ascii="宋体" w:hAnsi="宋体" w:cs="宋体"/>
                <w:sz w:val="24"/>
              </w:rPr>
            </w:pPr>
          </w:p>
        </w:tc>
        <w:tc>
          <w:tcPr>
            <w:tcW w:w="2551" w:type="dxa"/>
            <w:vAlign w:val="center"/>
          </w:tcPr>
          <w:p w14:paraId="7BDFEE5C">
            <w:pPr>
              <w:autoSpaceDE w:val="0"/>
              <w:autoSpaceDN w:val="0"/>
              <w:adjustRightInd w:val="0"/>
              <w:snapToGrid w:val="0"/>
              <w:spacing w:before="87" w:beforeLines="30" w:after="87" w:afterLines="30"/>
              <w:rPr>
                <w:rFonts w:hint="eastAsia" w:ascii="宋体" w:hAnsi="宋体" w:cs="宋体"/>
                <w:sz w:val="24"/>
              </w:rPr>
            </w:pPr>
          </w:p>
        </w:tc>
        <w:tc>
          <w:tcPr>
            <w:tcW w:w="2410" w:type="dxa"/>
            <w:vAlign w:val="center"/>
          </w:tcPr>
          <w:p w14:paraId="58C83489">
            <w:pPr>
              <w:autoSpaceDE w:val="0"/>
              <w:autoSpaceDN w:val="0"/>
              <w:adjustRightInd w:val="0"/>
              <w:snapToGrid w:val="0"/>
              <w:spacing w:before="87" w:beforeLines="30" w:after="87" w:afterLines="30"/>
              <w:rPr>
                <w:rFonts w:hint="eastAsia" w:ascii="宋体" w:hAnsi="宋体" w:cs="宋体"/>
                <w:sz w:val="24"/>
              </w:rPr>
            </w:pPr>
          </w:p>
        </w:tc>
        <w:tc>
          <w:tcPr>
            <w:tcW w:w="1276" w:type="dxa"/>
            <w:vAlign w:val="center"/>
          </w:tcPr>
          <w:p w14:paraId="139458F1">
            <w:pPr>
              <w:autoSpaceDE w:val="0"/>
              <w:autoSpaceDN w:val="0"/>
              <w:adjustRightInd w:val="0"/>
              <w:snapToGrid w:val="0"/>
              <w:spacing w:before="87" w:beforeLines="30" w:after="87" w:afterLines="30"/>
              <w:rPr>
                <w:rFonts w:hint="eastAsia" w:ascii="宋体" w:hAnsi="宋体" w:cs="宋体"/>
                <w:sz w:val="24"/>
              </w:rPr>
            </w:pPr>
          </w:p>
        </w:tc>
      </w:tr>
      <w:tr w14:paraId="26614D5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vAlign w:val="center"/>
          </w:tcPr>
          <w:p w14:paraId="4AFE1826">
            <w:pPr>
              <w:autoSpaceDE w:val="0"/>
              <w:autoSpaceDN w:val="0"/>
              <w:adjustRightInd w:val="0"/>
              <w:snapToGrid w:val="0"/>
              <w:spacing w:before="87" w:beforeLines="30" w:after="87" w:afterLines="30"/>
              <w:rPr>
                <w:rFonts w:hint="eastAsia" w:ascii="宋体" w:hAnsi="宋体" w:cs="宋体"/>
                <w:sz w:val="24"/>
              </w:rPr>
            </w:pPr>
          </w:p>
        </w:tc>
        <w:tc>
          <w:tcPr>
            <w:tcW w:w="1872" w:type="dxa"/>
            <w:vAlign w:val="center"/>
          </w:tcPr>
          <w:p w14:paraId="10F14BF7">
            <w:pPr>
              <w:autoSpaceDE w:val="0"/>
              <w:autoSpaceDN w:val="0"/>
              <w:adjustRightInd w:val="0"/>
              <w:snapToGrid w:val="0"/>
              <w:spacing w:before="87" w:beforeLines="30" w:after="87" w:afterLines="30"/>
              <w:rPr>
                <w:rFonts w:hint="eastAsia" w:ascii="宋体" w:hAnsi="宋体" w:cs="宋体"/>
                <w:sz w:val="24"/>
              </w:rPr>
            </w:pPr>
          </w:p>
        </w:tc>
        <w:tc>
          <w:tcPr>
            <w:tcW w:w="2551" w:type="dxa"/>
            <w:vAlign w:val="center"/>
          </w:tcPr>
          <w:p w14:paraId="13FBF443">
            <w:pPr>
              <w:autoSpaceDE w:val="0"/>
              <w:autoSpaceDN w:val="0"/>
              <w:adjustRightInd w:val="0"/>
              <w:snapToGrid w:val="0"/>
              <w:spacing w:before="87" w:beforeLines="30" w:after="87" w:afterLines="30"/>
              <w:rPr>
                <w:rFonts w:hint="eastAsia" w:ascii="宋体" w:hAnsi="宋体" w:cs="宋体"/>
                <w:sz w:val="24"/>
              </w:rPr>
            </w:pPr>
          </w:p>
        </w:tc>
        <w:tc>
          <w:tcPr>
            <w:tcW w:w="2410" w:type="dxa"/>
            <w:vAlign w:val="center"/>
          </w:tcPr>
          <w:p w14:paraId="43D6644A">
            <w:pPr>
              <w:autoSpaceDE w:val="0"/>
              <w:autoSpaceDN w:val="0"/>
              <w:adjustRightInd w:val="0"/>
              <w:snapToGrid w:val="0"/>
              <w:spacing w:before="87" w:beforeLines="30" w:after="87" w:afterLines="30"/>
              <w:rPr>
                <w:rFonts w:hint="eastAsia" w:ascii="宋体" w:hAnsi="宋体" w:cs="宋体"/>
                <w:sz w:val="24"/>
              </w:rPr>
            </w:pPr>
          </w:p>
        </w:tc>
        <w:tc>
          <w:tcPr>
            <w:tcW w:w="1276" w:type="dxa"/>
            <w:vAlign w:val="center"/>
          </w:tcPr>
          <w:p w14:paraId="12D23C55">
            <w:pPr>
              <w:autoSpaceDE w:val="0"/>
              <w:autoSpaceDN w:val="0"/>
              <w:adjustRightInd w:val="0"/>
              <w:snapToGrid w:val="0"/>
              <w:spacing w:before="87" w:beforeLines="30" w:after="87" w:afterLines="30"/>
              <w:rPr>
                <w:rFonts w:hint="eastAsia" w:ascii="宋体" w:hAnsi="宋体" w:cs="宋体"/>
                <w:sz w:val="24"/>
              </w:rPr>
            </w:pPr>
          </w:p>
        </w:tc>
      </w:tr>
      <w:tr w14:paraId="6F0EFFE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vAlign w:val="center"/>
          </w:tcPr>
          <w:p w14:paraId="7DE1C35F">
            <w:pPr>
              <w:autoSpaceDE w:val="0"/>
              <w:autoSpaceDN w:val="0"/>
              <w:adjustRightInd w:val="0"/>
              <w:snapToGrid w:val="0"/>
              <w:spacing w:before="87" w:beforeLines="30" w:after="87" w:afterLines="30"/>
              <w:rPr>
                <w:rFonts w:hint="eastAsia" w:ascii="宋体" w:hAnsi="宋体" w:cs="宋体"/>
                <w:sz w:val="24"/>
              </w:rPr>
            </w:pPr>
          </w:p>
        </w:tc>
        <w:tc>
          <w:tcPr>
            <w:tcW w:w="1872" w:type="dxa"/>
            <w:vAlign w:val="center"/>
          </w:tcPr>
          <w:p w14:paraId="59110481">
            <w:pPr>
              <w:autoSpaceDE w:val="0"/>
              <w:autoSpaceDN w:val="0"/>
              <w:adjustRightInd w:val="0"/>
              <w:snapToGrid w:val="0"/>
              <w:spacing w:before="87" w:beforeLines="30" w:after="87" w:afterLines="30"/>
              <w:rPr>
                <w:rFonts w:hint="eastAsia" w:ascii="宋体" w:hAnsi="宋体" w:cs="宋体"/>
                <w:sz w:val="24"/>
              </w:rPr>
            </w:pPr>
          </w:p>
        </w:tc>
        <w:tc>
          <w:tcPr>
            <w:tcW w:w="2551" w:type="dxa"/>
            <w:vAlign w:val="center"/>
          </w:tcPr>
          <w:p w14:paraId="7CE69F67">
            <w:pPr>
              <w:autoSpaceDE w:val="0"/>
              <w:autoSpaceDN w:val="0"/>
              <w:adjustRightInd w:val="0"/>
              <w:snapToGrid w:val="0"/>
              <w:spacing w:before="87" w:beforeLines="30" w:after="87" w:afterLines="30"/>
              <w:rPr>
                <w:rFonts w:hint="eastAsia" w:ascii="宋体" w:hAnsi="宋体" w:cs="宋体"/>
                <w:sz w:val="24"/>
              </w:rPr>
            </w:pPr>
          </w:p>
        </w:tc>
        <w:tc>
          <w:tcPr>
            <w:tcW w:w="2410" w:type="dxa"/>
            <w:vAlign w:val="center"/>
          </w:tcPr>
          <w:p w14:paraId="367E2AC1">
            <w:pPr>
              <w:autoSpaceDE w:val="0"/>
              <w:autoSpaceDN w:val="0"/>
              <w:adjustRightInd w:val="0"/>
              <w:snapToGrid w:val="0"/>
              <w:spacing w:before="87" w:beforeLines="30" w:after="87" w:afterLines="30"/>
              <w:rPr>
                <w:rFonts w:hint="eastAsia" w:ascii="宋体" w:hAnsi="宋体" w:cs="宋体"/>
                <w:sz w:val="24"/>
              </w:rPr>
            </w:pPr>
          </w:p>
        </w:tc>
        <w:tc>
          <w:tcPr>
            <w:tcW w:w="1276" w:type="dxa"/>
            <w:vAlign w:val="center"/>
          </w:tcPr>
          <w:p w14:paraId="213AFD2A">
            <w:pPr>
              <w:autoSpaceDE w:val="0"/>
              <w:autoSpaceDN w:val="0"/>
              <w:adjustRightInd w:val="0"/>
              <w:snapToGrid w:val="0"/>
              <w:spacing w:before="87" w:beforeLines="30" w:after="87" w:afterLines="30"/>
              <w:rPr>
                <w:rFonts w:hint="eastAsia" w:ascii="宋体" w:hAnsi="宋体" w:cs="宋体"/>
                <w:sz w:val="24"/>
              </w:rPr>
            </w:pPr>
          </w:p>
        </w:tc>
      </w:tr>
      <w:tr w14:paraId="270BB2D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vAlign w:val="center"/>
          </w:tcPr>
          <w:p w14:paraId="2D7D5F33">
            <w:pPr>
              <w:autoSpaceDE w:val="0"/>
              <w:autoSpaceDN w:val="0"/>
              <w:adjustRightInd w:val="0"/>
              <w:snapToGrid w:val="0"/>
              <w:spacing w:before="87" w:beforeLines="30" w:after="87" w:afterLines="30"/>
              <w:rPr>
                <w:rFonts w:hint="eastAsia" w:ascii="宋体" w:hAnsi="宋体" w:cs="宋体"/>
                <w:sz w:val="24"/>
              </w:rPr>
            </w:pPr>
          </w:p>
        </w:tc>
        <w:tc>
          <w:tcPr>
            <w:tcW w:w="1872" w:type="dxa"/>
            <w:vAlign w:val="center"/>
          </w:tcPr>
          <w:p w14:paraId="3DB9E63E">
            <w:pPr>
              <w:autoSpaceDE w:val="0"/>
              <w:autoSpaceDN w:val="0"/>
              <w:adjustRightInd w:val="0"/>
              <w:snapToGrid w:val="0"/>
              <w:spacing w:before="87" w:beforeLines="30" w:after="87" w:afterLines="30"/>
              <w:rPr>
                <w:rFonts w:hint="eastAsia" w:ascii="宋体" w:hAnsi="宋体" w:cs="宋体"/>
                <w:sz w:val="24"/>
              </w:rPr>
            </w:pPr>
          </w:p>
        </w:tc>
        <w:tc>
          <w:tcPr>
            <w:tcW w:w="2551" w:type="dxa"/>
            <w:vAlign w:val="center"/>
          </w:tcPr>
          <w:p w14:paraId="1FC2B3A3">
            <w:pPr>
              <w:autoSpaceDE w:val="0"/>
              <w:autoSpaceDN w:val="0"/>
              <w:adjustRightInd w:val="0"/>
              <w:snapToGrid w:val="0"/>
              <w:spacing w:before="87" w:beforeLines="30" w:after="87" w:afterLines="30"/>
              <w:rPr>
                <w:rFonts w:hint="eastAsia" w:ascii="宋体" w:hAnsi="宋体" w:cs="宋体"/>
                <w:sz w:val="24"/>
              </w:rPr>
            </w:pPr>
          </w:p>
        </w:tc>
        <w:tc>
          <w:tcPr>
            <w:tcW w:w="2410" w:type="dxa"/>
            <w:vAlign w:val="center"/>
          </w:tcPr>
          <w:p w14:paraId="0B724943">
            <w:pPr>
              <w:autoSpaceDE w:val="0"/>
              <w:autoSpaceDN w:val="0"/>
              <w:adjustRightInd w:val="0"/>
              <w:snapToGrid w:val="0"/>
              <w:spacing w:before="87" w:beforeLines="30" w:after="87" w:afterLines="30"/>
              <w:rPr>
                <w:rFonts w:hint="eastAsia" w:ascii="宋体" w:hAnsi="宋体" w:cs="宋体"/>
                <w:sz w:val="24"/>
              </w:rPr>
            </w:pPr>
          </w:p>
        </w:tc>
        <w:tc>
          <w:tcPr>
            <w:tcW w:w="1276" w:type="dxa"/>
            <w:vAlign w:val="center"/>
          </w:tcPr>
          <w:p w14:paraId="3A714909">
            <w:pPr>
              <w:autoSpaceDE w:val="0"/>
              <w:autoSpaceDN w:val="0"/>
              <w:adjustRightInd w:val="0"/>
              <w:snapToGrid w:val="0"/>
              <w:spacing w:before="87" w:beforeLines="30" w:after="87" w:afterLines="30"/>
              <w:rPr>
                <w:rFonts w:hint="eastAsia" w:ascii="宋体" w:hAnsi="宋体" w:cs="宋体"/>
                <w:sz w:val="24"/>
              </w:rPr>
            </w:pPr>
          </w:p>
        </w:tc>
      </w:tr>
      <w:tr w14:paraId="506E382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vAlign w:val="center"/>
          </w:tcPr>
          <w:p w14:paraId="06D9A4E6">
            <w:pPr>
              <w:autoSpaceDE w:val="0"/>
              <w:autoSpaceDN w:val="0"/>
              <w:adjustRightInd w:val="0"/>
              <w:snapToGrid w:val="0"/>
              <w:spacing w:before="87" w:beforeLines="30" w:after="87" w:afterLines="30"/>
              <w:rPr>
                <w:rFonts w:hint="eastAsia" w:ascii="宋体" w:hAnsi="宋体" w:cs="宋体"/>
                <w:sz w:val="24"/>
              </w:rPr>
            </w:pPr>
          </w:p>
        </w:tc>
        <w:tc>
          <w:tcPr>
            <w:tcW w:w="1872" w:type="dxa"/>
            <w:vAlign w:val="center"/>
          </w:tcPr>
          <w:p w14:paraId="6697D282">
            <w:pPr>
              <w:autoSpaceDE w:val="0"/>
              <w:autoSpaceDN w:val="0"/>
              <w:adjustRightInd w:val="0"/>
              <w:snapToGrid w:val="0"/>
              <w:spacing w:before="87" w:beforeLines="30" w:after="87" w:afterLines="30"/>
              <w:rPr>
                <w:rFonts w:hint="eastAsia" w:ascii="宋体" w:hAnsi="宋体" w:cs="宋体"/>
                <w:sz w:val="24"/>
              </w:rPr>
            </w:pPr>
          </w:p>
        </w:tc>
        <w:tc>
          <w:tcPr>
            <w:tcW w:w="2551" w:type="dxa"/>
            <w:vAlign w:val="center"/>
          </w:tcPr>
          <w:p w14:paraId="6973C5F3">
            <w:pPr>
              <w:autoSpaceDE w:val="0"/>
              <w:autoSpaceDN w:val="0"/>
              <w:adjustRightInd w:val="0"/>
              <w:snapToGrid w:val="0"/>
              <w:spacing w:before="87" w:beforeLines="30" w:after="87" w:afterLines="30"/>
              <w:rPr>
                <w:rFonts w:hint="eastAsia" w:ascii="宋体" w:hAnsi="宋体" w:cs="宋体"/>
                <w:sz w:val="24"/>
              </w:rPr>
            </w:pPr>
          </w:p>
        </w:tc>
        <w:tc>
          <w:tcPr>
            <w:tcW w:w="2410" w:type="dxa"/>
            <w:vAlign w:val="center"/>
          </w:tcPr>
          <w:p w14:paraId="197DFDBB">
            <w:pPr>
              <w:autoSpaceDE w:val="0"/>
              <w:autoSpaceDN w:val="0"/>
              <w:adjustRightInd w:val="0"/>
              <w:snapToGrid w:val="0"/>
              <w:spacing w:before="87" w:beforeLines="30" w:after="87" w:afterLines="30"/>
              <w:rPr>
                <w:rFonts w:hint="eastAsia" w:ascii="宋体" w:hAnsi="宋体" w:cs="宋体"/>
                <w:sz w:val="24"/>
              </w:rPr>
            </w:pPr>
          </w:p>
        </w:tc>
        <w:tc>
          <w:tcPr>
            <w:tcW w:w="1276" w:type="dxa"/>
            <w:vAlign w:val="center"/>
          </w:tcPr>
          <w:p w14:paraId="117BAB7B">
            <w:pPr>
              <w:autoSpaceDE w:val="0"/>
              <w:autoSpaceDN w:val="0"/>
              <w:adjustRightInd w:val="0"/>
              <w:snapToGrid w:val="0"/>
              <w:spacing w:before="87" w:beforeLines="30" w:after="87" w:afterLines="30"/>
              <w:rPr>
                <w:rFonts w:hint="eastAsia" w:ascii="宋体" w:hAnsi="宋体" w:cs="宋体"/>
                <w:sz w:val="24"/>
              </w:rPr>
            </w:pPr>
          </w:p>
        </w:tc>
      </w:tr>
      <w:tr w14:paraId="701BA2B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vAlign w:val="center"/>
          </w:tcPr>
          <w:p w14:paraId="2F6DA316">
            <w:pPr>
              <w:autoSpaceDE w:val="0"/>
              <w:autoSpaceDN w:val="0"/>
              <w:adjustRightInd w:val="0"/>
              <w:snapToGrid w:val="0"/>
              <w:spacing w:before="87" w:beforeLines="30" w:after="87" w:afterLines="30"/>
              <w:rPr>
                <w:rFonts w:hint="eastAsia" w:ascii="宋体" w:hAnsi="宋体" w:cs="宋体"/>
                <w:sz w:val="24"/>
              </w:rPr>
            </w:pPr>
          </w:p>
        </w:tc>
        <w:tc>
          <w:tcPr>
            <w:tcW w:w="1872" w:type="dxa"/>
            <w:vAlign w:val="center"/>
          </w:tcPr>
          <w:p w14:paraId="1C165830">
            <w:pPr>
              <w:autoSpaceDE w:val="0"/>
              <w:autoSpaceDN w:val="0"/>
              <w:adjustRightInd w:val="0"/>
              <w:snapToGrid w:val="0"/>
              <w:spacing w:before="87" w:beforeLines="30" w:after="87" w:afterLines="30"/>
              <w:rPr>
                <w:rFonts w:hint="eastAsia" w:ascii="宋体" w:hAnsi="宋体" w:cs="宋体"/>
                <w:sz w:val="24"/>
              </w:rPr>
            </w:pPr>
          </w:p>
        </w:tc>
        <w:tc>
          <w:tcPr>
            <w:tcW w:w="2551" w:type="dxa"/>
            <w:vAlign w:val="center"/>
          </w:tcPr>
          <w:p w14:paraId="2041F112">
            <w:pPr>
              <w:autoSpaceDE w:val="0"/>
              <w:autoSpaceDN w:val="0"/>
              <w:adjustRightInd w:val="0"/>
              <w:snapToGrid w:val="0"/>
              <w:spacing w:before="87" w:beforeLines="30" w:after="87" w:afterLines="30"/>
              <w:rPr>
                <w:rFonts w:hint="eastAsia" w:ascii="宋体" w:hAnsi="宋体" w:cs="宋体"/>
                <w:sz w:val="24"/>
              </w:rPr>
            </w:pPr>
          </w:p>
        </w:tc>
        <w:tc>
          <w:tcPr>
            <w:tcW w:w="2410" w:type="dxa"/>
            <w:vAlign w:val="center"/>
          </w:tcPr>
          <w:p w14:paraId="1CCA0BE5">
            <w:pPr>
              <w:autoSpaceDE w:val="0"/>
              <w:autoSpaceDN w:val="0"/>
              <w:adjustRightInd w:val="0"/>
              <w:snapToGrid w:val="0"/>
              <w:spacing w:before="87" w:beforeLines="30" w:after="87" w:afterLines="30"/>
              <w:rPr>
                <w:rFonts w:hint="eastAsia" w:ascii="宋体" w:hAnsi="宋体" w:cs="宋体"/>
                <w:sz w:val="24"/>
              </w:rPr>
            </w:pPr>
          </w:p>
        </w:tc>
        <w:tc>
          <w:tcPr>
            <w:tcW w:w="1276" w:type="dxa"/>
            <w:vAlign w:val="center"/>
          </w:tcPr>
          <w:p w14:paraId="0E370731">
            <w:pPr>
              <w:autoSpaceDE w:val="0"/>
              <w:autoSpaceDN w:val="0"/>
              <w:adjustRightInd w:val="0"/>
              <w:snapToGrid w:val="0"/>
              <w:spacing w:before="87" w:beforeLines="30" w:after="87" w:afterLines="30"/>
              <w:rPr>
                <w:rFonts w:hint="eastAsia" w:ascii="宋体" w:hAnsi="宋体" w:cs="宋体"/>
                <w:sz w:val="24"/>
              </w:rPr>
            </w:pPr>
          </w:p>
        </w:tc>
      </w:tr>
    </w:tbl>
    <w:p w14:paraId="6F3E1DFF">
      <w:pPr>
        <w:adjustRightInd w:val="0"/>
        <w:snapToGrid w:val="0"/>
        <w:spacing w:line="400" w:lineRule="exact"/>
        <w:ind w:left="792" w:hanging="792" w:hangingChars="330"/>
        <w:rPr>
          <w:rFonts w:hint="eastAsia" w:ascii="宋体" w:hAnsi="宋体" w:cs="宋体"/>
          <w:sz w:val="24"/>
        </w:rPr>
      </w:pPr>
      <w:r>
        <w:rPr>
          <w:rFonts w:hint="eastAsia" w:ascii="宋体" w:hAnsi="宋体" w:cs="宋体"/>
          <w:sz w:val="24"/>
        </w:rPr>
        <w:t>注：</w:t>
      </w:r>
    </w:p>
    <w:p w14:paraId="3D119F78">
      <w:pPr>
        <w:pStyle w:val="217"/>
        <w:spacing w:line="400" w:lineRule="exact"/>
        <w:ind w:firstLine="480"/>
        <w:rPr>
          <w:rFonts w:hint="eastAsia" w:ascii="宋体" w:hAnsi="宋体" w:cs="宋体"/>
          <w:szCs w:val="24"/>
        </w:rPr>
      </w:pPr>
      <w:r>
        <w:rPr>
          <w:rFonts w:hint="eastAsia" w:ascii="宋体" w:hAnsi="宋体" w:cs="宋体"/>
          <w:szCs w:val="24"/>
        </w:rPr>
        <w:t>1．</w:t>
      </w:r>
      <w:r>
        <w:rPr>
          <w:rFonts w:hint="eastAsia" w:ascii="宋体" w:hAnsi="宋体" w:cs="宋体"/>
        </w:rPr>
        <w:t>供应商</w:t>
      </w:r>
      <w:r>
        <w:rPr>
          <w:rFonts w:hint="eastAsia" w:ascii="宋体" w:hAnsi="宋体" w:cs="宋体"/>
          <w:szCs w:val="24"/>
        </w:rPr>
        <w:t>应当逐条对照采购文件合同条款，就响应文件对合同条款存在的偏差与例外逐条做出说明；</w:t>
      </w:r>
    </w:p>
    <w:p w14:paraId="681FA4B8">
      <w:pPr>
        <w:pStyle w:val="217"/>
        <w:spacing w:line="400" w:lineRule="exact"/>
        <w:ind w:firstLine="480"/>
        <w:rPr>
          <w:rFonts w:hint="eastAsia" w:ascii="宋体" w:hAnsi="宋体" w:cs="宋体"/>
          <w:szCs w:val="24"/>
        </w:rPr>
      </w:pPr>
      <w:r>
        <w:rPr>
          <w:rFonts w:hint="eastAsia" w:ascii="宋体" w:hAnsi="宋体" w:cs="宋体"/>
          <w:szCs w:val="24"/>
        </w:rPr>
        <w:t>2．如响应文件对合同条款无任何偏差，</w:t>
      </w:r>
      <w:r>
        <w:rPr>
          <w:rFonts w:hint="eastAsia" w:ascii="宋体" w:hAnsi="宋体" w:cs="宋体"/>
        </w:rPr>
        <w:t>供应商</w:t>
      </w:r>
      <w:r>
        <w:rPr>
          <w:rFonts w:hint="eastAsia" w:ascii="宋体" w:hAnsi="宋体" w:cs="宋体"/>
          <w:szCs w:val="24"/>
        </w:rPr>
        <w:t>仅需在本偏离表中填写“无偏离”即可。</w:t>
      </w:r>
    </w:p>
    <w:p w14:paraId="20FF16CA">
      <w:pPr>
        <w:pStyle w:val="217"/>
        <w:spacing w:line="400" w:lineRule="exact"/>
        <w:ind w:firstLine="480"/>
        <w:rPr>
          <w:rFonts w:hint="eastAsia" w:ascii="宋体" w:hAnsi="宋体" w:cs="宋体"/>
          <w:szCs w:val="24"/>
        </w:rPr>
      </w:pPr>
      <w:r>
        <w:rPr>
          <w:rFonts w:hint="eastAsia" w:ascii="宋体" w:hAnsi="宋体" w:cs="宋体"/>
        </w:rPr>
        <w:t>3. 供应商未填写该表则表示完全满足磋商文件合同条款要求。</w:t>
      </w:r>
    </w:p>
    <w:p w14:paraId="751A0518">
      <w:pPr>
        <w:adjustRightInd w:val="0"/>
        <w:snapToGrid w:val="0"/>
        <w:spacing w:after="120" w:line="440" w:lineRule="exact"/>
        <w:ind w:left="432" w:hanging="432" w:hangingChars="180"/>
        <w:rPr>
          <w:rFonts w:hint="eastAsia" w:ascii="宋体" w:hAnsi="宋体" w:cs="宋体"/>
          <w:sz w:val="24"/>
        </w:rPr>
      </w:pPr>
    </w:p>
    <w:p w14:paraId="02424F07">
      <w:pPr>
        <w:adjustRightInd w:val="0"/>
        <w:snapToGrid w:val="0"/>
        <w:spacing w:line="400" w:lineRule="exact"/>
        <w:jc w:val="right"/>
        <w:rPr>
          <w:rFonts w:hint="eastAsia" w:ascii="宋体" w:hAnsi="宋体" w:cs="宋体"/>
          <w:sz w:val="24"/>
          <w:szCs w:val="24"/>
        </w:rPr>
      </w:pPr>
      <w:r>
        <w:rPr>
          <w:rFonts w:hint="eastAsia" w:ascii="宋体" w:hAnsi="宋体" w:cs="宋体"/>
          <w:sz w:val="24"/>
        </w:rPr>
        <w:t xml:space="preserve">             </w:t>
      </w:r>
      <w:r>
        <w:rPr>
          <w:rFonts w:hint="eastAsia" w:ascii="宋体" w:hAnsi="宋体" w:cs="宋体"/>
          <w:sz w:val="24"/>
          <w:szCs w:val="24"/>
        </w:rPr>
        <w:t>供应商：</w:t>
      </w:r>
      <w:r>
        <w:rPr>
          <w:rFonts w:hint="eastAsia" w:ascii="宋体" w:hAnsi="宋体" w:cs="宋体"/>
          <w:sz w:val="24"/>
          <w:szCs w:val="24"/>
          <w:u w:val="single"/>
        </w:rPr>
        <w:t xml:space="preserve">                               </w:t>
      </w:r>
      <w:r>
        <w:rPr>
          <w:rFonts w:hint="eastAsia" w:ascii="宋体" w:hAnsi="宋体" w:cs="宋体"/>
          <w:sz w:val="24"/>
          <w:szCs w:val="24"/>
        </w:rPr>
        <w:t>（盖单位公章）</w:t>
      </w:r>
    </w:p>
    <w:p w14:paraId="44DE62D6">
      <w:pPr>
        <w:widowControl/>
        <w:adjustRightInd w:val="0"/>
        <w:snapToGrid w:val="0"/>
        <w:spacing w:line="400" w:lineRule="exact"/>
        <w:ind w:firstLine="1231" w:firstLineChars="513"/>
        <w:jc w:val="right"/>
        <w:rPr>
          <w:rFonts w:hint="eastAsia" w:ascii="宋体" w:hAnsi="宋体" w:cs="宋体"/>
          <w:sz w:val="24"/>
          <w:szCs w:val="24"/>
        </w:rPr>
      </w:pPr>
      <w:r>
        <w:rPr>
          <w:rFonts w:hint="eastAsia" w:ascii="宋体" w:hAnsi="宋体" w:cs="宋体"/>
          <w:sz w:val="24"/>
          <w:szCs w:val="24"/>
        </w:rPr>
        <w:t xml:space="preserve">   法定代表人或者其委托代理人：</w:t>
      </w:r>
      <w:r>
        <w:rPr>
          <w:rFonts w:hint="eastAsia" w:ascii="宋体" w:hAnsi="宋体" w:cs="宋体"/>
          <w:sz w:val="24"/>
          <w:szCs w:val="24"/>
          <w:u w:val="single"/>
        </w:rPr>
        <w:t xml:space="preserve">                 </w:t>
      </w:r>
      <w:r>
        <w:rPr>
          <w:rFonts w:hint="eastAsia" w:ascii="宋体" w:hAnsi="宋体" w:cs="宋体"/>
          <w:sz w:val="24"/>
          <w:szCs w:val="24"/>
        </w:rPr>
        <w:t>（签字）</w:t>
      </w:r>
    </w:p>
    <w:p w14:paraId="2282746D">
      <w:pPr>
        <w:topLinePunct/>
        <w:adjustRightInd w:val="0"/>
        <w:snapToGrid w:val="0"/>
        <w:spacing w:line="400" w:lineRule="exact"/>
        <w:jc w:val="right"/>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01B94B6C">
      <w:pPr>
        <w:pStyle w:val="3"/>
        <w:spacing w:before="145" w:beforeLines="50" w:after="145" w:afterLines="50" w:line="360" w:lineRule="auto"/>
        <w:jc w:val="left"/>
        <w:rPr>
          <w:rFonts w:hint="eastAsia" w:ascii="宋体" w:hAnsi="宋体" w:eastAsia="宋体"/>
          <w:sz w:val="32"/>
          <w:szCs w:val="32"/>
        </w:rPr>
      </w:pPr>
      <w:bookmarkStart w:id="113" w:name="_Toc21781762"/>
      <w:r>
        <w:rPr>
          <w:rFonts w:ascii="宋体" w:hAnsi="宋体" w:eastAsia="宋体"/>
          <w:sz w:val="28"/>
          <w:szCs w:val="28"/>
        </w:rPr>
        <w:br w:type="page"/>
      </w:r>
      <w:bookmarkStart w:id="114" w:name="_Toc24962247"/>
      <w:bookmarkStart w:id="115" w:name="_Toc24962250"/>
      <w:r>
        <w:rPr>
          <w:rFonts w:hint="eastAsia" w:ascii="宋体" w:hAnsi="宋体" w:eastAsia="宋体"/>
          <w:sz w:val="28"/>
          <w:szCs w:val="28"/>
        </w:rPr>
        <w:t>附件八、供应商类似业绩情况表</w:t>
      </w:r>
      <w:bookmarkEnd w:id="114"/>
    </w:p>
    <w:p w14:paraId="3C8F2F33">
      <w:pPr>
        <w:adjustRightInd w:val="0"/>
        <w:snapToGrid w:val="0"/>
        <w:spacing w:after="120" w:line="440" w:lineRule="exact"/>
        <w:jc w:val="center"/>
        <w:rPr>
          <w:rFonts w:hint="eastAsia" w:ascii="宋体" w:hAnsi="宋体" w:cs="宋体"/>
          <w:b/>
          <w:bCs/>
          <w:sz w:val="28"/>
          <w:szCs w:val="22"/>
        </w:rPr>
      </w:pPr>
      <w:r>
        <w:rPr>
          <w:rFonts w:hint="eastAsia" w:ascii="宋体" w:hAnsi="宋体" w:cs="宋体"/>
          <w:b/>
          <w:bCs/>
          <w:sz w:val="28"/>
          <w:szCs w:val="22"/>
        </w:rPr>
        <w:t>供应商类似业绩情况表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5"/>
        <w:gridCol w:w="1592"/>
        <w:gridCol w:w="1333"/>
        <w:gridCol w:w="1722"/>
        <w:gridCol w:w="1722"/>
        <w:gridCol w:w="1204"/>
        <w:gridCol w:w="995"/>
      </w:tblGrid>
      <w:tr w14:paraId="4C932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59" w:type="dxa"/>
            <w:vAlign w:val="center"/>
          </w:tcPr>
          <w:p w14:paraId="5C127D83">
            <w:pPr>
              <w:pStyle w:val="17"/>
              <w:kinsoku w:val="0"/>
              <w:overflowPunct w:val="0"/>
              <w:autoSpaceDE w:val="0"/>
              <w:autoSpaceDN w:val="0"/>
              <w:jc w:val="center"/>
              <w:rPr>
                <w:rFonts w:hint="eastAsia" w:ascii="宋体" w:hAnsi="宋体" w:eastAsia="宋体"/>
                <w:sz w:val="24"/>
                <w:szCs w:val="24"/>
              </w:rPr>
            </w:pPr>
            <w:r>
              <w:rPr>
                <w:rFonts w:hint="eastAsia" w:ascii="宋体" w:hAnsi="宋体" w:eastAsia="宋体"/>
                <w:sz w:val="24"/>
                <w:szCs w:val="24"/>
              </w:rPr>
              <w:t>序号</w:t>
            </w:r>
          </w:p>
        </w:tc>
        <w:tc>
          <w:tcPr>
            <w:tcW w:w="1701" w:type="dxa"/>
            <w:vAlign w:val="center"/>
          </w:tcPr>
          <w:p w14:paraId="4C65EE18">
            <w:pPr>
              <w:pStyle w:val="17"/>
              <w:kinsoku w:val="0"/>
              <w:overflowPunct w:val="0"/>
              <w:autoSpaceDE w:val="0"/>
              <w:autoSpaceDN w:val="0"/>
              <w:jc w:val="center"/>
              <w:rPr>
                <w:rFonts w:hint="eastAsia" w:ascii="宋体" w:hAnsi="宋体" w:eastAsia="宋体"/>
                <w:sz w:val="24"/>
                <w:szCs w:val="24"/>
              </w:rPr>
            </w:pPr>
            <w:r>
              <w:rPr>
                <w:rFonts w:hint="eastAsia" w:ascii="宋体" w:hAnsi="宋体" w:eastAsia="宋体"/>
                <w:sz w:val="24"/>
                <w:szCs w:val="24"/>
              </w:rPr>
              <w:t>项目名称</w:t>
            </w:r>
          </w:p>
        </w:tc>
        <w:tc>
          <w:tcPr>
            <w:tcW w:w="1417" w:type="dxa"/>
            <w:vAlign w:val="center"/>
          </w:tcPr>
          <w:p w14:paraId="7D6BF0F2">
            <w:pPr>
              <w:pStyle w:val="17"/>
              <w:kinsoku w:val="0"/>
              <w:overflowPunct w:val="0"/>
              <w:autoSpaceDE w:val="0"/>
              <w:autoSpaceDN w:val="0"/>
              <w:jc w:val="center"/>
              <w:rPr>
                <w:rFonts w:hint="eastAsia" w:ascii="宋体" w:hAnsi="宋体" w:eastAsia="宋体"/>
                <w:sz w:val="24"/>
                <w:szCs w:val="24"/>
              </w:rPr>
            </w:pPr>
            <w:r>
              <w:rPr>
                <w:rFonts w:hint="eastAsia" w:ascii="宋体" w:hAnsi="宋体" w:eastAsia="宋体"/>
                <w:sz w:val="24"/>
                <w:szCs w:val="24"/>
              </w:rPr>
              <w:t>业主单位</w:t>
            </w:r>
          </w:p>
        </w:tc>
        <w:tc>
          <w:tcPr>
            <w:tcW w:w="1843" w:type="dxa"/>
            <w:vAlign w:val="center"/>
          </w:tcPr>
          <w:p w14:paraId="31077923">
            <w:pPr>
              <w:pStyle w:val="17"/>
              <w:kinsoku w:val="0"/>
              <w:overflowPunct w:val="0"/>
              <w:autoSpaceDE w:val="0"/>
              <w:autoSpaceDN w:val="0"/>
              <w:jc w:val="center"/>
              <w:rPr>
                <w:rFonts w:hint="eastAsia" w:ascii="宋体" w:hAnsi="宋体" w:eastAsia="宋体"/>
                <w:sz w:val="24"/>
                <w:szCs w:val="24"/>
              </w:rPr>
            </w:pPr>
            <w:r>
              <w:rPr>
                <w:rFonts w:hint="eastAsia" w:ascii="宋体" w:hAnsi="宋体" w:eastAsia="宋体"/>
                <w:sz w:val="24"/>
                <w:szCs w:val="24"/>
              </w:rPr>
              <w:t>业主联系方式</w:t>
            </w:r>
          </w:p>
        </w:tc>
        <w:tc>
          <w:tcPr>
            <w:tcW w:w="1843" w:type="dxa"/>
            <w:vAlign w:val="center"/>
          </w:tcPr>
          <w:p w14:paraId="06BF0C0F">
            <w:pPr>
              <w:pStyle w:val="17"/>
              <w:kinsoku w:val="0"/>
              <w:overflowPunct w:val="0"/>
              <w:autoSpaceDE w:val="0"/>
              <w:autoSpaceDN w:val="0"/>
              <w:jc w:val="center"/>
              <w:rPr>
                <w:rFonts w:hint="eastAsia" w:ascii="宋体" w:hAnsi="宋体" w:eastAsia="宋体"/>
                <w:sz w:val="24"/>
                <w:szCs w:val="24"/>
              </w:rPr>
            </w:pPr>
            <w:r>
              <w:rPr>
                <w:rFonts w:hint="eastAsia" w:ascii="宋体" w:hAnsi="宋体" w:eastAsia="宋体"/>
                <w:sz w:val="24"/>
                <w:szCs w:val="24"/>
              </w:rPr>
              <w:t>工作主要内容</w:t>
            </w:r>
          </w:p>
        </w:tc>
        <w:tc>
          <w:tcPr>
            <w:tcW w:w="1276" w:type="dxa"/>
            <w:vAlign w:val="center"/>
          </w:tcPr>
          <w:p w14:paraId="6A3E54D8">
            <w:pPr>
              <w:pStyle w:val="17"/>
              <w:kinsoku w:val="0"/>
              <w:overflowPunct w:val="0"/>
              <w:autoSpaceDE w:val="0"/>
              <w:autoSpaceDN w:val="0"/>
              <w:jc w:val="center"/>
              <w:rPr>
                <w:rFonts w:hint="eastAsia" w:ascii="宋体" w:hAnsi="宋体" w:eastAsia="宋体"/>
                <w:sz w:val="24"/>
                <w:szCs w:val="24"/>
              </w:rPr>
            </w:pPr>
            <w:r>
              <w:rPr>
                <w:rFonts w:hint="eastAsia" w:ascii="宋体" w:hAnsi="宋体" w:eastAsia="宋体"/>
                <w:sz w:val="24"/>
                <w:szCs w:val="24"/>
              </w:rPr>
              <w:t>合同金额</w:t>
            </w:r>
          </w:p>
        </w:tc>
        <w:tc>
          <w:tcPr>
            <w:tcW w:w="1047" w:type="dxa"/>
            <w:vAlign w:val="center"/>
          </w:tcPr>
          <w:p w14:paraId="7449C18D">
            <w:pPr>
              <w:pStyle w:val="17"/>
              <w:kinsoku w:val="0"/>
              <w:overflowPunct w:val="0"/>
              <w:autoSpaceDE w:val="0"/>
              <w:autoSpaceDN w:val="0"/>
              <w:jc w:val="center"/>
              <w:rPr>
                <w:rFonts w:hint="eastAsia" w:ascii="宋体" w:hAnsi="宋体" w:eastAsia="宋体"/>
                <w:sz w:val="24"/>
                <w:szCs w:val="24"/>
              </w:rPr>
            </w:pPr>
            <w:r>
              <w:rPr>
                <w:rFonts w:hint="eastAsia" w:ascii="宋体" w:hAnsi="宋体" w:eastAsia="宋体"/>
                <w:sz w:val="24"/>
                <w:szCs w:val="24"/>
              </w:rPr>
              <w:t>备注</w:t>
            </w:r>
          </w:p>
        </w:tc>
      </w:tr>
      <w:tr w14:paraId="75AD1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44F1AE3F">
            <w:pPr>
              <w:pStyle w:val="17"/>
              <w:kinsoku w:val="0"/>
              <w:overflowPunct w:val="0"/>
              <w:autoSpaceDE w:val="0"/>
              <w:autoSpaceDN w:val="0"/>
              <w:rPr>
                <w:rFonts w:hint="eastAsia" w:ascii="宋体" w:hAnsi="宋体" w:eastAsia="宋体"/>
                <w:sz w:val="36"/>
                <w:szCs w:val="36"/>
              </w:rPr>
            </w:pPr>
          </w:p>
        </w:tc>
        <w:tc>
          <w:tcPr>
            <w:tcW w:w="1701" w:type="dxa"/>
          </w:tcPr>
          <w:p w14:paraId="06B68F57">
            <w:pPr>
              <w:pStyle w:val="17"/>
              <w:kinsoku w:val="0"/>
              <w:overflowPunct w:val="0"/>
              <w:autoSpaceDE w:val="0"/>
              <w:autoSpaceDN w:val="0"/>
              <w:rPr>
                <w:rFonts w:hint="eastAsia" w:ascii="宋体" w:hAnsi="宋体" w:eastAsia="宋体"/>
                <w:sz w:val="36"/>
                <w:szCs w:val="36"/>
              </w:rPr>
            </w:pPr>
          </w:p>
        </w:tc>
        <w:tc>
          <w:tcPr>
            <w:tcW w:w="1417" w:type="dxa"/>
          </w:tcPr>
          <w:p w14:paraId="24A5B807">
            <w:pPr>
              <w:pStyle w:val="17"/>
              <w:kinsoku w:val="0"/>
              <w:overflowPunct w:val="0"/>
              <w:autoSpaceDE w:val="0"/>
              <w:autoSpaceDN w:val="0"/>
              <w:rPr>
                <w:rFonts w:hint="eastAsia" w:ascii="宋体" w:hAnsi="宋体" w:eastAsia="宋体"/>
                <w:sz w:val="36"/>
                <w:szCs w:val="36"/>
              </w:rPr>
            </w:pPr>
          </w:p>
        </w:tc>
        <w:tc>
          <w:tcPr>
            <w:tcW w:w="1843" w:type="dxa"/>
          </w:tcPr>
          <w:p w14:paraId="04919999">
            <w:pPr>
              <w:pStyle w:val="17"/>
              <w:kinsoku w:val="0"/>
              <w:overflowPunct w:val="0"/>
              <w:autoSpaceDE w:val="0"/>
              <w:autoSpaceDN w:val="0"/>
              <w:rPr>
                <w:rFonts w:hint="eastAsia" w:ascii="宋体" w:hAnsi="宋体" w:eastAsia="宋体"/>
                <w:sz w:val="36"/>
                <w:szCs w:val="36"/>
              </w:rPr>
            </w:pPr>
          </w:p>
        </w:tc>
        <w:tc>
          <w:tcPr>
            <w:tcW w:w="1843" w:type="dxa"/>
          </w:tcPr>
          <w:p w14:paraId="60BE26C5">
            <w:pPr>
              <w:pStyle w:val="17"/>
              <w:kinsoku w:val="0"/>
              <w:overflowPunct w:val="0"/>
              <w:autoSpaceDE w:val="0"/>
              <w:autoSpaceDN w:val="0"/>
              <w:rPr>
                <w:rFonts w:hint="eastAsia" w:ascii="宋体" w:hAnsi="宋体" w:eastAsia="宋体"/>
                <w:sz w:val="36"/>
                <w:szCs w:val="36"/>
              </w:rPr>
            </w:pPr>
          </w:p>
        </w:tc>
        <w:tc>
          <w:tcPr>
            <w:tcW w:w="1276" w:type="dxa"/>
          </w:tcPr>
          <w:p w14:paraId="79E24980">
            <w:pPr>
              <w:pStyle w:val="17"/>
              <w:kinsoku w:val="0"/>
              <w:overflowPunct w:val="0"/>
              <w:autoSpaceDE w:val="0"/>
              <w:autoSpaceDN w:val="0"/>
              <w:rPr>
                <w:rFonts w:hint="eastAsia" w:ascii="宋体" w:hAnsi="宋体" w:eastAsia="宋体"/>
                <w:sz w:val="36"/>
                <w:szCs w:val="36"/>
              </w:rPr>
            </w:pPr>
          </w:p>
        </w:tc>
        <w:tc>
          <w:tcPr>
            <w:tcW w:w="1047" w:type="dxa"/>
          </w:tcPr>
          <w:p w14:paraId="792AAFF4">
            <w:pPr>
              <w:pStyle w:val="17"/>
              <w:kinsoku w:val="0"/>
              <w:overflowPunct w:val="0"/>
              <w:autoSpaceDE w:val="0"/>
              <w:autoSpaceDN w:val="0"/>
              <w:rPr>
                <w:rFonts w:hint="eastAsia" w:ascii="宋体" w:hAnsi="宋体" w:eastAsia="宋体"/>
                <w:sz w:val="36"/>
                <w:szCs w:val="36"/>
              </w:rPr>
            </w:pPr>
          </w:p>
        </w:tc>
      </w:tr>
      <w:tr w14:paraId="23FA5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0C95BA9E">
            <w:pPr>
              <w:pStyle w:val="17"/>
              <w:kinsoku w:val="0"/>
              <w:overflowPunct w:val="0"/>
              <w:autoSpaceDE w:val="0"/>
              <w:autoSpaceDN w:val="0"/>
              <w:rPr>
                <w:rFonts w:hint="eastAsia" w:ascii="宋体" w:hAnsi="宋体" w:eastAsia="宋体"/>
                <w:sz w:val="36"/>
                <w:szCs w:val="36"/>
              </w:rPr>
            </w:pPr>
          </w:p>
        </w:tc>
        <w:tc>
          <w:tcPr>
            <w:tcW w:w="1701" w:type="dxa"/>
          </w:tcPr>
          <w:p w14:paraId="6724FDD0">
            <w:pPr>
              <w:pStyle w:val="17"/>
              <w:kinsoku w:val="0"/>
              <w:overflowPunct w:val="0"/>
              <w:autoSpaceDE w:val="0"/>
              <w:autoSpaceDN w:val="0"/>
              <w:rPr>
                <w:rFonts w:hint="eastAsia" w:ascii="宋体" w:hAnsi="宋体" w:eastAsia="宋体"/>
                <w:sz w:val="36"/>
                <w:szCs w:val="36"/>
              </w:rPr>
            </w:pPr>
          </w:p>
        </w:tc>
        <w:tc>
          <w:tcPr>
            <w:tcW w:w="1417" w:type="dxa"/>
          </w:tcPr>
          <w:p w14:paraId="1129FA2B">
            <w:pPr>
              <w:pStyle w:val="17"/>
              <w:kinsoku w:val="0"/>
              <w:overflowPunct w:val="0"/>
              <w:autoSpaceDE w:val="0"/>
              <w:autoSpaceDN w:val="0"/>
              <w:rPr>
                <w:rFonts w:hint="eastAsia" w:ascii="宋体" w:hAnsi="宋体" w:eastAsia="宋体"/>
                <w:sz w:val="36"/>
                <w:szCs w:val="36"/>
              </w:rPr>
            </w:pPr>
          </w:p>
        </w:tc>
        <w:tc>
          <w:tcPr>
            <w:tcW w:w="1843" w:type="dxa"/>
          </w:tcPr>
          <w:p w14:paraId="126F02CA">
            <w:pPr>
              <w:pStyle w:val="17"/>
              <w:kinsoku w:val="0"/>
              <w:overflowPunct w:val="0"/>
              <w:autoSpaceDE w:val="0"/>
              <w:autoSpaceDN w:val="0"/>
              <w:rPr>
                <w:rFonts w:hint="eastAsia" w:ascii="宋体" w:hAnsi="宋体" w:eastAsia="宋体"/>
                <w:sz w:val="36"/>
                <w:szCs w:val="36"/>
              </w:rPr>
            </w:pPr>
          </w:p>
        </w:tc>
        <w:tc>
          <w:tcPr>
            <w:tcW w:w="1843" w:type="dxa"/>
          </w:tcPr>
          <w:p w14:paraId="47CAB794">
            <w:pPr>
              <w:pStyle w:val="17"/>
              <w:kinsoku w:val="0"/>
              <w:overflowPunct w:val="0"/>
              <w:autoSpaceDE w:val="0"/>
              <w:autoSpaceDN w:val="0"/>
              <w:rPr>
                <w:rFonts w:hint="eastAsia" w:ascii="宋体" w:hAnsi="宋体" w:eastAsia="宋体"/>
                <w:sz w:val="36"/>
                <w:szCs w:val="36"/>
              </w:rPr>
            </w:pPr>
          </w:p>
        </w:tc>
        <w:tc>
          <w:tcPr>
            <w:tcW w:w="1276" w:type="dxa"/>
          </w:tcPr>
          <w:p w14:paraId="46F18B72">
            <w:pPr>
              <w:pStyle w:val="17"/>
              <w:kinsoku w:val="0"/>
              <w:overflowPunct w:val="0"/>
              <w:autoSpaceDE w:val="0"/>
              <w:autoSpaceDN w:val="0"/>
              <w:rPr>
                <w:rFonts w:hint="eastAsia" w:ascii="宋体" w:hAnsi="宋体" w:eastAsia="宋体"/>
                <w:sz w:val="36"/>
                <w:szCs w:val="36"/>
              </w:rPr>
            </w:pPr>
          </w:p>
        </w:tc>
        <w:tc>
          <w:tcPr>
            <w:tcW w:w="1047" w:type="dxa"/>
          </w:tcPr>
          <w:p w14:paraId="3B7F76B8">
            <w:pPr>
              <w:pStyle w:val="17"/>
              <w:kinsoku w:val="0"/>
              <w:overflowPunct w:val="0"/>
              <w:autoSpaceDE w:val="0"/>
              <w:autoSpaceDN w:val="0"/>
              <w:rPr>
                <w:rFonts w:hint="eastAsia" w:ascii="宋体" w:hAnsi="宋体" w:eastAsia="宋体"/>
                <w:sz w:val="36"/>
                <w:szCs w:val="36"/>
              </w:rPr>
            </w:pPr>
          </w:p>
        </w:tc>
      </w:tr>
      <w:tr w14:paraId="7BEDB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59" w:type="dxa"/>
          </w:tcPr>
          <w:p w14:paraId="55DBD88E">
            <w:pPr>
              <w:pStyle w:val="17"/>
              <w:kinsoku w:val="0"/>
              <w:overflowPunct w:val="0"/>
              <w:autoSpaceDE w:val="0"/>
              <w:autoSpaceDN w:val="0"/>
              <w:rPr>
                <w:rFonts w:hint="eastAsia" w:ascii="宋体" w:hAnsi="宋体" w:eastAsia="宋体"/>
                <w:sz w:val="36"/>
                <w:szCs w:val="36"/>
              </w:rPr>
            </w:pPr>
          </w:p>
        </w:tc>
        <w:tc>
          <w:tcPr>
            <w:tcW w:w="1701" w:type="dxa"/>
          </w:tcPr>
          <w:p w14:paraId="6E0F91C8">
            <w:pPr>
              <w:pStyle w:val="17"/>
              <w:kinsoku w:val="0"/>
              <w:overflowPunct w:val="0"/>
              <w:autoSpaceDE w:val="0"/>
              <w:autoSpaceDN w:val="0"/>
              <w:rPr>
                <w:rFonts w:hint="eastAsia" w:ascii="宋体" w:hAnsi="宋体" w:eastAsia="宋体"/>
                <w:sz w:val="36"/>
                <w:szCs w:val="36"/>
              </w:rPr>
            </w:pPr>
          </w:p>
        </w:tc>
        <w:tc>
          <w:tcPr>
            <w:tcW w:w="1417" w:type="dxa"/>
          </w:tcPr>
          <w:p w14:paraId="66588975">
            <w:pPr>
              <w:pStyle w:val="17"/>
              <w:kinsoku w:val="0"/>
              <w:overflowPunct w:val="0"/>
              <w:autoSpaceDE w:val="0"/>
              <w:autoSpaceDN w:val="0"/>
              <w:rPr>
                <w:rFonts w:hint="eastAsia" w:ascii="宋体" w:hAnsi="宋体" w:eastAsia="宋体"/>
                <w:sz w:val="36"/>
                <w:szCs w:val="36"/>
              </w:rPr>
            </w:pPr>
          </w:p>
        </w:tc>
        <w:tc>
          <w:tcPr>
            <w:tcW w:w="1843" w:type="dxa"/>
          </w:tcPr>
          <w:p w14:paraId="6D9E4B9B">
            <w:pPr>
              <w:pStyle w:val="17"/>
              <w:kinsoku w:val="0"/>
              <w:overflowPunct w:val="0"/>
              <w:autoSpaceDE w:val="0"/>
              <w:autoSpaceDN w:val="0"/>
              <w:rPr>
                <w:rFonts w:hint="eastAsia" w:ascii="宋体" w:hAnsi="宋体" w:eastAsia="宋体"/>
                <w:sz w:val="36"/>
                <w:szCs w:val="36"/>
              </w:rPr>
            </w:pPr>
          </w:p>
        </w:tc>
        <w:tc>
          <w:tcPr>
            <w:tcW w:w="1843" w:type="dxa"/>
          </w:tcPr>
          <w:p w14:paraId="6CC76E0B">
            <w:pPr>
              <w:pStyle w:val="17"/>
              <w:kinsoku w:val="0"/>
              <w:overflowPunct w:val="0"/>
              <w:autoSpaceDE w:val="0"/>
              <w:autoSpaceDN w:val="0"/>
              <w:rPr>
                <w:rFonts w:hint="eastAsia" w:ascii="宋体" w:hAnsi="宋体" w:eastAsia="宋体"/>
                <w:sz w:val="36"/>
                <w:szCs w:val="36"/>
              </w:rPr>
            </w:pPr>
          </w:p>
        </w:tc>
        <w:tc>
          <w:tcPr>
            <w:tcW w:w="1276" w:type="dxa"/>
          </w:tcPr>
          <w:p w14:paraId="39D59C33">
            <w:pPr>
              <w:pStyle w:val="17"/>
              <w:kinsoku w:val="0"/>
              <w:overflowPunct w:val="0"/>
              <w:autoSpaceDE w:val="0"/>
              <w:autoSpaceDN w:val="0"/>
              <w:rPr>
                <w:rFonts w:hint="eastAsia" w:ascii="宋体" w:hAnsi="宋体" w:eastAsia="宋体"/>
                <w:sz w:val="36"/>
                <w:szCs w:val="36"/>
              </w:rPr>
            </w:pPr>
          </w:p>
        </w:tc>
        <w:tc>
          <w:tcPr>
            <w:tcW w:w="1047" w:type="dxa"/>
          </w:tcPr>
          <w:p w14:paraId="52D62246">
            <w:pPr>
              <w:pStyle w:val="17"/>
              <w:kinsoku w:val="0"/>
              <w:overflowPunct w:val="0"/>
              <w:autoSpaceDE w:val="0"/>
              <w:autoSpaceDN w:val="0"/>
              <w:rPr>
                <w:rFonts w:hint="eastAsia" w:ascii="宋体" w:hAnsi="宋体" w:eastAsia="宋体"/>
                <w:sz w:val="36"/>
                <w:szCs w:val="36"/>
              </w:rPr>
            </w:pPr>
          </w:p>
        </w:tc>
      </w:tr>
      <w:tr w14:paraId="2E09A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69B08A7C">
            <w:pPr>
              <w:pStyle w:val="17"/>
              <w:kinsoku w:val="0"/>
              <w:overflowPunct w:val="0"/>
              <w:autoSpaceDE w:val="0"/>
              <w:autoSpaceDN w:val="0"/>
              <w:rPr>
                <w:rFonts w:hint="eastAsia" w:ascii="宋体" w:hAnsi="宋体" w:eastAsia="宋体"/>
                <w:sz w:val="36"/>
                <w:szCs w:val="36"/>
              </w:rPr>
            </w:pPr>
          </w:p>
        </w:tc>
        <w:tc>
          <w:tcPr>
            <w:tcW w:w="1701" w:type="dxa"/>
          </w:tcPr>
          <w:p w14:paraId="34BDA99D">
            <w:pPr>
              <w:pStyle w:val="17"/>
              <w:kinsoku w:val="0"/>
              <w:overflowPunct w:val="0"/>
              <w:autoSpaceDE w:val="0"/>
              <w:autoSpaceDN w:val="0"/>
              <w:rPr>
                <w:rFonts w:hint="eastAsia" w:ascii="宋体" w:hAnsi="宋体" w:eastAsia="宋体"/>
                <w:sz w:val="36"/>
                <w:szCs w:val="36"/>
              </w:rPr>
            </w:pPr>
          </w:p>
        </w:tc>
        <w:tc>
          <w:tcPr>
            <w:tcW w:w="1417" w:type="dxa"/>
          </w:tcPr>
          <w:p w14:paraId="6B20BB75">
            <w:pPr>
              <w:pStyle w:val="17"/>
              <w:kinsoku w:val="0"/>
              <w:overflowPunct w:val="0"/>
              <w:autoSpaceDE w:val="0"/>
              <w:autoSpaceDN w:val="0"/>
              <w:rPr>
                <w:rFonts w:hint="eastAsia" w:ascii="宋体" w:hAnsi="宋体" w:eastAsia="宋体"/>
                <w:sz w:val="36"/>
                <w:szCs w:val="36"/>
              </w:rPr>
            </w:pPr>
          </w:p>
        </w:tc>
        <w:tc>
          <w:tcPr>
            <w:tcW w:w="1843" w:type="dxa"/>
          </w:tcPr>
          <w:p w14:paraId="61C46605">
            <w:pPr>
              <w:pStyle w:val="17"/>
              <w:kinsoku w:val="0"/>
              <w:overflowPunct w:val="0"/>
              <w:autoSpaceDE w:val="0"/>
              <w:autoSpaceDN w:val="0"/>
              <w:rPr>
                <w:rFonts w:hint="eastAsia" w:ascii="宋体" w:hAnsi="宋体" w:eastAsia="宋体"/>
                <w:sz w:val="36"/>
                <w:szCs w:val="36"/>
              </w:rPr>
            </w:pPr>
          </w:p>
        </w:tc>
        <w:tc>
          <w:tcPr>
            <w:tcW w:w="1843" w:type="dxa"/>
          </w:tcPr>
          <w:p w14:paraId="468ACB06">
            <w:pPr>
              <w:pStyle w:val="17"/>
              <w:kinsoku w:val="0"/>
              <w:overflowPunct w:val="0"/>
              <w:autoSpaceDE w:val="0"/>
              <w:autoSpaceDN w:val="0"/>
              <w:rPr>
                <w:rFonts w:hint="eastAsia" w:ascii="宋体" w:hAnsi="宋体" w:eastAsia="宋体"/>
                <w:sz w:val="36"/>
                <w:szCs w:val="36"/>
              </w:rPr>
            </w:pPr>
          </w:p>
        </w:tc>
        <w:tc>
          <w:tcPr>
            <w:tcW w:w="1276" w:type="dxa"/>
          </w:tcPr>
          <w:p w14:paraId="559B6CA9">
            <w:pPr>
              <w:pStyle w:val="17"/>
              <w:kinsoku w:val="0"/>
              <w:overflowPunct w:val="0"/>
              <w:autoSpaceDE w:val="0"/>
              <w:autoSpaceDN w:val="0"/>
              <w:rPr>
                <w:rFonts w:hint="eastAsia" w:ascii="宋体" w:hAnsi="宋体" w:eastAsia="宋体"/>
                <w:sz w:val="36"/>
                <w:szCs w:val="36"/>
              </w:rPr>
            </w:pPr>
          </w:p>
        </w:tc>
        <w:tc>
          <w:tcPr>
            <w:tcW w:w="1047" w:type="dxa"/>
          </w:tcPr>
          <w:p w14:paraId="46A4742C">
            <w:pPr>
              <w:pStyle w:val="17"/>
              <w:kinsoku w:val="0"/>
              <w:overflowPunct w:val="0"/>
              <w:autoSpaceDE w:val="0"/>
              <w:autoSpaceDN w:val="0"/>
              <w:rPr>
                <w:rFonts w:hint="eastAsia" w:ascii="宋体" w:hAnsi="宋体" w:eastAsia="宋体"/>
                <w:sz w:val="36"/>
                <w:szCs w:val="36"/>
              </w:rPr>
            </w:pPr>
          </w:p>
        </w:tc>
      </w:tr>
      <w:tr w14:paraId="0CCFF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4288DD05">
            <w:pPr>
              <w:pStyle w:val="17"/>
              <w:kinsoku w:val="0"/>
              <w:overflowPunct w:val="0"/>
              <w:autoSpaceDE w:val="0"/>
              <w:autoSpaceDN w:val="0"/>
              <w:rPr>
                <w:rFonts w:hint="eastAsia" w:ascii="宋体" w:hAnsi="宋体" w:eastAsia="宋体"/>
                <w:sz w:val="36"/>
                <w:szCs w:val="36"/>
              </w:rPr>
            </w:pPr>
          </w:p>
        </w:tc>
        <w:tc>
          <w:tcPr>
            <w:tcW w:w="1701" w:type="dxa"/>
          </w:tcPr>
          <w:p w14:paraId="1793E761">
            <w:pPr>
              <w:pStyle w:val="17"/>
              <w:kinsoku w:val="0"/>
              <w:overflowPunct w:val="0"/>
              <w:autoSpaceDE w:val="0"/>
              <w:autoSpaceDN w:val="0"/>
              <w:rPr>
                <w:rFonts w:hint="eastAsia" w:ascii="宋体" w:hAnsi="宋体" w:eastAsia="宋体"/>
                <w:sz w:val="36"/>
                <w:szCs w:val="36"/>
              </w:rPr>
            </w:pPr>
          </w:p>
        </w:tc>
        <w:tc>
          <w:tcPr>
            <w:tcW w:w="1417" w:type="dxa"/>
          </w:tcPr>
          <w:p w14:paraId="2020308F">
            <w:pPr>
              <w:pStyle w:val="17"/>
              <w:kinsoku w:val="0"/>
              <w:overflowPunct w:val="0"/>
              <w:autoSpaceDE w:val="0"/>
              <w:autoSpaceDN w:val="0"/>
              <w:rPr>
                <w:rFonts w:hint="eastAsia" w:ascii="宋体" w:hAnsi="宋体" w:eastAsia="宋体"/>
                <w:sz w:val="36"/>
                <w:szCs w:val="36"/>
              </w:rPr>
            </w:pPr>
          </w:p>
        </w:tc>
        <w:tc>
          <w:tcPr>
            <w:tcW w:w="1843" w:type="dxa"/>
          </w:tcPr>
          <w:p w14:paraId="0DF399E5">
            <w:pPr>
              <w:pStyle w:val="17"/>
              <w:kinsoku w:val="0"/>
              <w:overflowPunct w:val="0"/>
              <w:autoSpaceDE w:val="0"/>
              <w:autoSpaceDN w:val="0"/>
              <w:rPr>
                <w:rFonts w:hint="eastAsia" w:ascii="宋体" w:hAnsi="宋体" w:eastAsia="宋体"/>
                <w:sz w:val="36"/>
                <w:szCs w:val="36"/>
              </w:rPr>
            </w:pPr>
          </w:p>
        </w:tc>
        <w:tc>
          <w:tcPr>
            <w:tcW w:w="1843" w:type="dxa"/>
          </w:tcPr>
          <w:p w14:paraId="5563A5A8">
            <w:pPr>
              <w:pStyle w:val="17"/>
              <w:kinsoku w:val="0"/>
              <w:overflowPunct w:val="0"/>
              <w:autoSpaceDE w:val="0"/>
              <w:autoSpaceDN w:val="0"/>
              <w:rPr>
                <w:rFonts w:hint="eastAsia" w:ascii="宋体" w:hAnsi="宋体" w:eastAsia="宋体"/>
                <w:sz w:val="36"/>
                <w:szCs w:val="36"/>
              </w:rPr>
            </w:pPr>
          </w:p>
        </w:tc>
        <w:tc>
          <w:tcPr>
            <w:tcW w:w="1276" w:type="dxa"/>
          </w:tcPr>
          <w:p w14:paraId="6AD6F219">
            <w:pPr>
              <w:pStyle w:val="17"/>
              <w:kinsoku w:val="0"/>
              <w:overflowPunct w:val="0"/>
              <w:autoSpaceDE w:val="0"/>
              <w:autoSpaceDN w:val="0"/>
              <w:rPr>
                <w:rFonts w:hint="eastAsia" w:ascii="宋体" w:hAnsi="宋体" w:eastAsia="宋体"/>
                <w:sz w:val="36"/>
                <w:szCs w:val="36"/>
              </w:rPr>
            </w:pPr>
          </w:p>
        </w:tc>
        <w:tc>
          <w:tcPr>
            <w:tcW w:w="1047" w:type="dxa"/>
          </w:tcPr>
          <w:p w14:paraId="5312A1A4">
            <w:pPr>
              <w:pStyle w:val="17"/>
              <w:kinsoku w:val="0"/>
              <w:overflowPunct w:val="0"/>
              <w:autoSpaceDE w:val="0"/>
              <w:autoSpaceDN w:val="0"/>
              <w:rPr>
                <w:rFonts w:hint="eastAsia" w:ascii="宋体" w:hAnsi="宋体" w:eastAsia="宋体"/>
                <w:sz w:val="36"/>
                <w:szCs w:val="36"/>
              </w:rPr>
            </w:pPr>
          </w:p>
        </w:tc>
      </w:tr>
    </w:tbl>
    <w:p w14:paraId="20E20B37">
      <w:pPr>
        <w:adjustRightInd w:val="0"/>
        <w:snapToGrid w:val="0"/>
        <w:spacing w:after="120" w:line="440" w:lineRule="exact"/>
        <w:ind w:left="792" w:hanging="792" w:hangingChars="330"/>
        <w:rPr>
          <w:rFonts w:hint="eastAsia" w:ascii="宋体" w:hAnsi="宋体" w:cs="宋体"/>
          <w:sz w:val="24"/>
        </w:rPr>
      </w:pPr>
    </w:p>
    <w:p w14:paraId="1AD5073D">
      <w:pPr>
        <w:adjustRightInd w:val="0"/>
        <w:snapToGrid w:val="0"/>
        <w:spacing w:after="120" w:line="400" w:lineRule="exact"/>
        <w:rPr>
          <w:rFonts w:hint="eastAsia" w:ascii="宋体" w:hAnsi="宋体" w:cs="宋体"/>
          <w:sz w:val="24"/>
        </w:rPr>
      </w:pPr>
      <w:r>
        <w:rPr>
          <w:rFonts w:hint="eastAsia" w:ascii="宋体" w:hAnsi="宋体" w:cs="宋体"/>
          <w:sz w:val="24"/>
        </w:rPr>
        <w:t>注：在本表后附相关合同关键页（须包括合同服务内容、实施时间、合同金额、合同签页如果提供的是框架合同，需提供对应框架合同结算的发票或订单或结算单据)的复印件（加盖公章）</w:t>
      </w:r>
    </w:p>
    <w:p w14:paraId="798362DC">
      <w:pPr>
        <w:adjustRightInd w:val="0"/>
        <w:snapToGrid w:val="0"/>
        <w:spacing w:after="120" w:line="440" w:lineRule="exact"/>
        <w:ind w:left="792" w:hanging="792" w:hangingChars="330"/>
        <w:rPr>
          <w:rFonts w:hint="eastAsia" w:ascii="宋体" w:hAnsi="宋体" w:cs="宋体"/>
          <w:sz w:val="24"/>
        </w:rPr>
      </w:pPr>
    </w:p>
    <w:p w14:paraId="40747880">
      <w:pPr>
        <w:adjustRightInd w:val="0"/>
        <w:snapToGrid w:val="0"/>
        <w:spacing w:after="120" w:line="440" w:lineRule="exact"/>
        <w:ind w:left="792" w:hanging="792" w:hangingChars="330"/>
        <w:rPr>
          <w:rFonts w:hint="eastAsia" w:ascii="宋体" w:hAnsi="宋体" w:cs="宋体"/>
          <w:sz w:val="24"/>
        </w:rPr>
      </w:pPr>
    </w:p>
    <w:p w14:paraId="4F3F939A">
      <w:pPr>
        <w:adjustRightInd w:val="0"/>
        <w:snapToGrid w:val="0"/>
        <w:spacing w:after="120" w:line="440" w:lineRule="exact"/>
        <w:ind w:left="792" w:hanging="792" w:hangingChars="330"/>
        <w:jc w:val="left"/>
        <w:rPr>
          <w:rFonts w:hint="eastAsia" w:ascii="宋体" w:hAnsi="宋体" w:cs="宋体"/>
          <w:sz w:val="24"/>
        </w:rPr>
      </w:pPr>
      <w:r>
        <w:rPr>
          <w:rFonts w:hint="eastAsia" w:ascii="宋体" w:hAnsi="宋体" w:cs="宋体"/>
          <w:sz w:val="24"/>
        </w:rPr>
        <w:t>供应商（盖章）：</w:t>
      </w:r>
      <w:r>
        <w:rPr>
          <w:rFonts w:hint="eastAsia" w:ascii="宋体" w:hAnsi="宋体" w:cs="宋体"/>
          <w:sz w:val="24"/>
          <w:u w:val="single"/>
        </w:rPr>
        <w:t xml:space="preserve">                       </w:t>
      </w:r>
    </w:p>
    <w:p w14:paraId="550E5143">
      <w:pPr>
        <w:adjustRightInd w:val="0"/>
        <w:snapToGrid w:val="0"/>
        <w:spacing w:after="120" w:line="440" w:lineRule="exact"/>
        <w:ind w:left="792" w:hanging="792" w:hangingChars="330"/>
        <w:jc w:val="left"/>
        <w:rPr>
          <w:rFonts w:hint="eastAsia" w:ascii="宋体" w:hAnsi="宋体" w:cs="宋体"/>
          <w:sz w:val="24"/>
        </w:rPr>
      </w:pPr>
      <w:r>
        <w:rPr>
          <w:rFonts w:hint="eastAsia" w:ascii="宋体" w:hAnsi="宋体" w:cs="宋体"/>
          <w:sz w:val="24"/>
        </w:rPr>
        <w:t>授权代表（签字）：</w:t>
      </w:r>
      <w:r>
        <w:rPr>
          <w:rFonts w:hint="eastAsia" w:ascii="宋体" w:hAnsi="宋体" w:cs="宋体"/>
          <w:sz w:val="24"/>
          <w:u w:val="single"/>
        </w:rPr>
        <w:t xml:space="preserve">                     </w:t>
      </w:r>
      <w:r>
        <w:rPr>
          <w:rFonts w:hint="eastAsia" w:ascii="宋体" w:hAnsi="宋体" w:cs="宋体"/>
          <w:sz w:val="24"/>
        </w:rPr>
        <w:t xml:space="preserve"> </w:t>
      </w:r>
    </w:p>
    <w:p w14:paraId="21505AC6">
      <w:pPr>
        <w:adjustRightInd w:val="0"/>
        <w:snapToGrid w:val="0"/>
        <w:spacing w:after="120" w:line="440" w:lineRule="exact"/>
        <w:ind w:left="792" w:hanging="792" w:hangingChars="330"/>
        <w:jc w:val="left"/>
        <w:rPr>
          <w:rFonts w:hint="eastAsia" w:ascii="宋体" w:hAnsi="宋体" w:cs="宋体"/>
          <w:sz w:val="24"/>
        </w:rPr>
      </w:pPr>
      <w:r>
        <w:rPr>
          <w:rFonts w:hint="eastAsia" w:ascii="宋体" w:hAnsi="宋体" w:cs="宋体"/>
          <w:sz w:val="24"/>
        </w:rPr>
        <w:t xml:space="preserve">日    期：   年    月   日 </w:t>
      </w:r>
    </w:p>
    <w:p w14:paraId="22B712D5">
      <w:pPr>
        <w:pStyle w:val="3"/>
        <w:spacing w:before="145" w:beforeLines="50" w:after="145" w:afterLines="50" w:line="360" w:lineRule="auto"/>
        <w:jc w:val="left"/>
        <w:rPr>
          <w:rFonts w:hint="eastAsia" w:ascii="宋体" w:hAnsi="宋体" w:eastAsia="宋体"/>
          <w:sz w:val="28"/>
          <w:szCs w:val="28"/>
        </w:rPr>
      </w:pPr>
      <w:r>
        <w:rPr>
          <w:rFonts w:ascii="宋体" w:hAnsi="宋体" w:eastAsia="宋体"/>
          <w:sz w:val="28"/>
          <w:szCs w:val="28"/>
        </w:rPr>
        <w:br w:type="page"/>
      </w:r>
      <w:r>
        <w:rPr>
          <w:rFonts w:hint="eastAsia" w:ascii="宋体" w:hAnsi="宋体" w:eastAsia="宋体"/>
          <w:sz w:val="28"/>
          <w:szCs w:val="28"/>
        </w:rPr>
        <w:t>附件九、</w:t>
      </w:r>
      <w:bookmarkEnd w:id="113"/>
      <w:bookmarkEnd w:id="115"/>
      <w:r>
        <w:rPr>
          <w:rFonts w:hint="eastAsia" w:ascii="宋体" w:hAnsi="宋体" w:eastAsia="宋体"/>
          <w:sz w:val="28"/>
          <w:szCs w:val="28"/>
        </w:rPr>
        <w:t>企业声明函格式</w:t>
      </w:r>
    </w:p>
    <w:p w14:paraId="645A31FE">
      <w:pPr>
        <w:kinsoku w:val="0"/>
        <w:overflowPunct w:val="0"/>
        <w:spacing w:before="100" w:beforeAutospacing="1" w:after="120" w:line="460" w:lineRule="exact"/>
        <w:ind w:right="14"/>
        <w:jc w:val="center"/>
        <w:rPr>
          <w:rFonts w:hint="eastAsia" w:ascii="黑体" w:hAnsi="黑体" w:eastAsia="黑体"/>
          <w:bCs/>
          <w:sz w:val="28"/>
          <w:szCs w:val="28"/>
        </w:rPr>
      </w:pPr>
      <w:r>
        <w:rPr>
          <w:rFonts w:hint="eastAsia" w:ascii="黑体" w:hAnsi="黑体" w:eastAsia="黑体"/>
          <w:bCs/>
          <w:sz w:val="28"/>
          <w:szCs w:val="28"/>
        </w:rPr>
        <w:t>中小企业声明函（工程、服务）</w:t>
      </w:r>
    </w:p>
    <w:p w14:paraId="733CDB73">
      <w:pPr>
        <w:kinsoku w:val="0"/>
        <w:overflowPunct w:val="0"/>
        <w:spacing w:before="100" w:beforeAutospacing="1" w:after="120" w:line="360" w:lineRule="auto"/>
        <w:ind w:right="208" w:firstLine="396"/>
        <w:rPr>
          <w:spacing w:val="-5"/>
          <w:sz w:val="24"/>
          <w:szCs w:val="24"/>
        </w:rPr>
      </w:pPr>
      <w:r>
        <w:rPr>
          <w:rFonts w:hint="eastAsia" w:ascii="宋体" w:hAnsi="宋体"/>
          <w:spacing w:val="-5"/>
          <w:sz w:val="24"/>
          <w:szCs w:val="24"/>
        </w:rPr>
        <w:t>本公司（联合体）郑重声明，根据《政府采购促进中小企业发展管理办法》（财库﹝</w:t>
      </w:r>
      <w:r>
        <w:rPr>
          <w:rFonts w:hint="eastAsia"/>
          <w:spacing w:val="-5"/>
          <w:sz w:val="24"/>
          <w:szCs w:val="24"/>
        </w:rPr>
        <w:t>2020</w:t>
      </w:r>
      <w:r>
        <w:rPr>
          <w:rFonts w:hint="eastAsia" w:ascii="宋体" w:hAnsi="宋体"/>
          <w:spacing w:val="-5"/>
          <w:sz w:val="24"/>
          <w:szCs w:val="24"/>
        </w:rPr>
        <w:t>﹞</w:t>
      </w:r>
      <w:r>
        <w:rPr>
          <w:rFonts w:hint="eastAsia"/>
          <w:spacing w:val="-5"/>
          <w:sz w:val="24"/>
          <w:szCs w:val="24"/>
        </w:rPr>
        <w:t xml:space="preserve">46 </w:t>
      </w:r>
      <w:r>
        <w:rPr>
          <w:rFonts w:hint="eastAsia" w:ascii="宋体" w:hAnsi="宋体"/>
          <w:spacing w:val="-5"/>
          <w:sz w:val="24"/>
          <w:szCs w:val="24"/>
        </w:rPr>
        <w:t>号）的规定，本公司（联合体）参加</w:t>
      </w:r>
      <w:r>
        <w:rPr>
          <w:rFonts w:hint="eastAsia" w:ascii="宋体" w:hAnsi="宋体"/>
          <w:spacing w:val="-5"/>
          <w:sz w:val="24"/>
          <w:szCs w:val="24"/>
          <w:u w:val="single"/>
        </w:rPr>
        <w:t>（单位名称）</w:t>
      </w:r>
      <w:r>
        <w:rPr>
          <w:rFonts w:hint="eastAsia" w:ascii="宋体" w:hAnsi="宋体"/>
          <w:spacing w:val="-5"/>
          <w:sz w:val="24"/>
          <w:szCs w:val="24"/>
        </w:rPr>
        <w:t>的</w:t>
      </w:r>
      <w:r>
        <w:rPr>
          <w:rFonts w:hint="eastAsia" w:ascii="宋体" w:hAnsi="宋体"/>
          <w:spacing w:val="-5"/>
          <w:sz w:val="24"/>
          <w:szCs w:val="24"/>
          <w:u w:val="single"/>
        </w:rPr>
        <w:t>（项目名称）</w:t>
      </w:r>
      <w:r>
        <w:rPr>
          <w:rFonts w:hint="eastAsia" w:ascii="宋体" w:hAnsi="宋体"/>
          <w:spacing w:val="-5"/>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00BBC67D">
      <w:pPr>
        <w:kinsoku w:val="0"/>
        <w:overflowPunct w:val="0"/>
        <w:spacing w:before="100" w:beforeAutospacing="1" w:after="120" w:line="360" w:lineRule="auto"/>
        <w:ind w:right="208" w:firstLine="396"/>
        <w:rPr>
          <w:spacing w:val="-5"/>
          <w:sz w:val="24"/>
          <w:szCs w:val="24"/>
        </w:rPr>
      </w:pPr>
      <w:r>
        <w:rPr>
          <w:rFonts w:hint="eastAsia"/>
          <w:spacing w:val="-5"/>
          <w:sz w:val="24"/>
          <w:szCs w:val="24"/>
        </w:rPr>
        <w:t>1.</w:t>
      </w:r>
      <w:r>
        <w:rPr>
          <w:rFonts w:hint="eastAsia"/>
          <w:spacing w:val="-5"/>
          <w:sz w:val="24"/>
          <w:szCs w:val="24"/>
          <w:u w:val="single"/>
        </w:rPr>
        <w:t xml:space="preserve"> </w:t>
      </w:r>
      <w:r>
        <w:rPr>
          <w:rFonts w:hint="eastAsia" w:ascii="宋体" w:hAnsi="宋体"/>
          <w:spacing w:val="-5"/>
          <w:sz w:val="24"/>
          <w:szCs w:val="24"/>
          <w:u w:val="single"/>
        </w:rPr>
        <w:t>（标的名称）</w:t>
      </w:r>
      <w:r>
        <w:rPr>
          <w:rFonts w:hint="eastAsia"/>
          <w:spacing w:val="-5"/>
          <w:sz w:val="24"/>
          <w:szCs w:val="24"/>
          <w:u w:val="single"/>
        </w:rPr>
        <w:t xml:space="preserve"> </w:t>
      </w:r>
      <w:r>
        <w:rPr>
          <w:rFonts w:hint="eastAsia" w:ascii="宋体" w:hAnsi="宋体"/>
          <w:spacing w:val="-5"/>
          <w:sz w:val="24"/>
          <w:szCs w:val="24"/>
        </w:rPr>
        <w:t>，属于</w:t>
      </w:r>
      <w:r>
        <w:rPr>
          <w:rFonts w:hint="eastAsia" w:ascii="宋体" w:hAnsi="宋体"/>
          <w:spacing w:val="-5"/>
          <w:sz w:val="24"/>
          <w:szCs w:val="24"/>
          <w:u w:val="single"/>
        </w:rPr>
        <w:t>（采购文件中明确的所属行业）</w:t>
      </w:r>
      <w:r>
        <w:rPr>
          <w:rFonts w:hint="eastAsia" w:ascii="宋体" w:hAnsi="宋体"/>
          <w:spacing w:val="-5"/>
          <w:sz w:val="24"/>
          <w:szCs w:val="24"/>
        </w:rPr>
        <w:t>；承建（承接）企业为</w:t>
      </w:r>
      <w:r>
        <w:rPr>
          <w:rFonts w:hint="eastAsia" w:ascii="宋体" w:hAnsi="宋体"/>
          <w:spacing w:val="-5"/>
          <w:sz w:val="24"/>
          <w:szCs w:val="24"/>
          <w:u w:val="single"/>
        </w:rPr>
        <w:t>（企业名称）</w:t>
      </w:r>
      <w:r>
        <w:rPr>
          <w:rFonts w:hint="eastAsia" w:ascii="宋体" w:hAnsi="宋体"/>
          <w:spacing w:val="-5"/>
          <w:sz w:val="24"/>
          <w:szCs w:val="24"/>
        </w:rPr>
        <w:t>，从业人员</w:t>
      </w:r>
      <w:r>
        <w:rPr>
          <w:rFonts w:hint="eastAsia"/>
          <w:spacing w:val="-5"/>
          <w:sz w:val="24"/>
          <w:szCs w:val="24"/>
          <w:u w:val="single"/>
        </w:rPr>
        <w:t xml:space="preserve">     </w:t>
      </w:r>
      <w:r>
        <w:rPr>
          <w:rFonts w:hint="eastAsia" w:ascii="宋体" w:hAnsi="宋体"/>
          <w:spacing w:val="-5"/>
          <w:sz w:val="24"/>
          <w:szCs w:val="24"/>
        </w:rPr>
        <w:t>人，营业收入为</w:t>
      </w:r>
      <w:r>
        <w:rPr>
          <w:rFonts w:hint="eastAsia"/>
          <w:spacing w:val="-5"/>
          <w:sz w:val="24"/>
          <w:szCs w:val="24"/>
          <w:u w:val="single"/>
        </w:rPr>
        <w:t xml:space="preserve">     </w:t>
      </w:r>
      <w:r>
        <w:rPr>
          <w:rFonts w:hint="eastAsia" w:ascii="宋体" w:hAnsi="宋体"/>
          <w:spacing w:val="-5"/>
          <w:sz w:val="24"/>
          <w:szCs w:val="24"/>
        </w:rPr>
        <w:t>万元，资产总额为</w:t>
      </w:r>
      <w:r>
        <w:rPr>
          <w:rFonts w:hint="eastAsia"/>
          <w:spacing w:val="-5"/>
          <w:sz w:val="24"/>
          <w:szCs w:val="24"/>
          <w:u w:val="single"/>
        </w:rPr>
        <w:t xml:space="preserve">     </w:t>
      </w:r>
      <w:r>
        <w:rPr>
          <w:rFonts w:hint="eastAsia" w:ascii="宋体" w:hAnsi="宋体"/>
          <w:spacing w:val="-5"/>
          <w:sz w:val="24"/>
          <w:szCs w:val="24"/>
        </w:rPr>
        <w:t>万元，属于</w:t>
      </w:r>
      <w:r>
        <w:rPr>
          <w:rFonts w:hint="eastAsia" w:ascii="宋体" w:hAnsi="宋体"/>
          <w:spacing w:val="-5"/>
          <w:sz w:val="24"/>
          <w:szCs w:val="24"/>
          <w:u w:val="single"/>
        </w:rPr>
        <w:t>（中型企业、小型企业、微型企业）</w:t>
      </w:r>
      <w:r>
        <w:rPr>
          <w:rFonts w:hint="eastAsia" w:ascii="宋体" w:hAnsi="宋体"/>
          <w:spacing w:val="-5"/>
          <w:sz w:val="24"/>
          <w:szCs w:val="24"/>
        </w:rPr>
        <w:t>；</w:t>
      </w:r>
    </w:p>
    <w:p w14:paraId="3EBA58B1">
      <w:pPr>
        <w:kinsoku w:val="0"/>
        <w:overflowPunct w:val="0"/>
        <w:spacing w:before="100" w:beforeAutospacing="1" w:after="120" w:line="360" w:lineRule="auto"/>
        <w:ind w:right="208" w:firstLine="396"/>
        <w:rPr>
          <w:spacing w:val="-5"/>
          <w:sz w:val="24"/>
          <w:szCs w:val="24"/>
        </w:rPr>
      </w:pPr>
      <w:r>
        <w:rPr>
          <w:rFonts w:hint="eastAsia"/>
          <w:spacing w:val="-5"/>
          <w:sz w:val="24"/>
          <w:szCs w:val="24"/>
        </w:rPr>
        <w:t>2.</w:t>
      </w:r>
      <w:r>
        <w:rPr>
          <w:rFonts w:hint="eastAsia"/>
          <w:spacing w:val="-5"/>
          <w:sz w:val="24"/>
          <w:szCs w:val="24"/>
          <w:u w:val="single"/>
        </w:rPr>
        <w:t xml:space="preserve"> </w:t>
      </w:r>
      <w:r>
        <w:rPr>
          <w:rFonts w:hint="eastAsia" w:ascii="宋体" w:hAnsi="宋体"/>
          <w:spacing w:val="-5"/>
          <w:sz w:val="24"/>
          <w:szCs w:val="24"/>
          <w:u w:val="single"/>
        </w:rPr>
        <w:t>（标的名称）</w:t>
      </w:r>
      <w:r>
        <w:rPr>
          <w:rFonts w:hint="eastAsia"/>
          <w:spacing w:val="-5"/>
          <w:sz w:val="24"/>
          <w:szCs w:val="24"/>
          <w:u w:val="single"/>
        </w:rPr>
        <w:t xml:space="preserve"> </w:t>
      </w:r>
      <w:r>
        <w:rPr>
          <w:rFonts w:hint="eastAsia" w:ascii="宋体" w:hAnsi="宋体"/>
          <w:spacing w:val="-5"/>
          <w:sz w:val="24"/>
          <w:szCs w:val="24"/>
        </w:rPr>
        <w:t>，属于</w:t>
      </w:r>
      <w:r>
        <w:rPr>
          <w:rFonts w:hint="eastAsia" w:ascii="宋体" w:hAnsi="宋体"/>
          <w:spacing w:val="-5"/>
          <w:sz w:val="24"/>
          <w:szCs w:val="24"/>
          <w:u w:val="single"/>
        </w:rPr>
        <w:t>（采购文件中明确的所属行业）</w:t>
      </w:r>
      <w:r>
        <w:rPr>
          <w:rFonts w:hint="eastAsia" w:ascii="宋体" w:hAnsi="宋体"/>
          <w:spacing w:val="-5"/>
          <w:sz w:val="24"/>
          <w:szCs w:val="24"/>
        </w:rPr>
        <w:t>；承建（承接）企业为</w:t>
      </w:r>
      <w:r>
        <w:rPr>
          <w:rFonts w:hint="eastAsia" w:ascii="宋体" w:hAnsi="宋体"/>
          <w:spacing w:val="-5"/>
          <w:sz w:val="24"/>
          <w:szCs w:val="24"/>
          <w:u w:val="single"/>
        </w:rPr>
        <w:t>（企业名称）</w:t>
      </w:r>
      <w:r>
        <w:rPr>
          <w:rFonts w:hint="eastAsia" w:ascii="宋体" w:hAnsi="宋体"/>
          <w:spacing w:val="-5"/>
          <w:sz w:val="24"/>
          <w:szCs w:val="24"/>
        </w:rPr>
        <w:t>，从业人员</w:t>
      </w:r>
      <w:r>
        <w:rPr>
          <w:rFonts w:hint="eastAsia"/>
          <w:spacing w:val="-5"/>
          <w:sz w:val="24"/>
          <w:szCs w:val="24"/>
          <w:u w:val="single"/>
        </w:rPr>
        <w:t xml:space="preserve">     </w:t>
      </w:r>
      <w:r>
        <w:rPr>
          <w:rFonts w:hint="eastAsia" w:ascii="宋体" w:hAnsi="宋体"/>
          <w:spacing w:val="-5"/>
          <w:sz w:val="24"/>
          <w:szCs w:val="24"/>
        </w:rPr>
        <w:t>人，营业收入为</w:t>
      </w:r>
      <w:r>
        <w:rPr>
          <w:rFonts w:hint="eastAsia"/>
          <w:spacing w:val="-5"/>
          <w:sz w:val="24"/>
          <w:szCs w:val="24"/>
          <w:u w:val="single"/>
        </w:rPr>
        <w:t xml:space="preserve">     </w:t>
      </w:r>
      <w:r>
        <w:rPr>
          <w:rFonts w:hint="eastAsia" w:ascii="宋体" w:hAnsi="宋体"/>
          <w:spacing w:val="-5"/>
          <w:sz w:val="24"/>
          <w:szCs w:val="24"/>
        </w:rPr>
        <w:t>万元，资产总额为</w:t>
      </w:r>
      <w:r>
        <w:rPr>
          <w:rFonts w:hint="eastAsia"/>
          <w:spacing w:val="-5"/>
          <w:sz w:val="24"/>
          <w:szCs w:val="24"/>
          <w:u w:val="single"/>
        </w:rPr>
        <w:t xml:space="preserve">     </w:t>
      </w:r>
      <w:r>
        <w:rPr>
          <w:rFonts w:hint="eastAsia" w:ascii="宋体" w:hAnsi="宋体"/>
          <w:spacing w:val="-5"/>
          <w:sz w:val="24"/>
          <w:szCs w:val="24"/>
        </w:rPr>
        <w:t>万元，属于</w:t>
      </w:r>
      <w:r>
        <w:rPr>
          <w:rFonts w:hint="eastAsia" w:ascii="宋体" w:hAnsi="宋体"/>
          <w:spacing w:val="-5"/>
          <w:sz w:val="24"/>
          <w:szCs w:val="24"/>
          <w:u w:val="single"/>
        </w:rPr>
        <w:t>（中型企业、小型企业、微型企业）</w:t>
      </w:r>
      <w:r>
        <w:rPr>
          <w:rFonts w:hint="eastAsia" w:ascii="宋体" w:hAnsi="宋体"/>
          <w:spacing w:val="-5"/>
          <w:sz w:val="24"/>
          <w:szCs w:val="24"/>
        </w:rPr>
        <w:t>；</w:t>
      </w:r>
    </w:p>
    <w:p w14:paraId="0DE94962">
      <w:pPr>
        <w:kinsoku w:val="0"/>
        <w:overflowPunct w:val="0"/>
        <w:spacing w:before="100" w:beforeAutospacing="1" w:after="120" w:line="360" w:lineRule="auto"/>
        <w:ind w:right="208" w:firstLine="396"/>
        <w:rPr>
          <w:spacing w:val="-5"/>
          <w:sz w:val="24"/>
          <w:szCs w:val="24"/>
        </w:rPr>
      </w:pPr>
      <w:r>
        <w:rPr>
          <w:rFonts w:hint="eastAsia" w:ascii="宋体" w:hAnsi="宋体"/>
          <w:spacing w:val="-5"/>
          <w:sz w:val="24"/>
          <w:szCs w:val="24"/>
        </w:rPr>
        <w:t>……</w:t>
      </w:r>
    </w:p>
    <w:p w14:paraId="49B0F3B1">
      <w:pPr>
        <w:kinsoku w:val="0"/>
        <w:overflowPunct w:val="0"/>
        <w:spacing w:before="100" w:beforeAutospacing="1" w:after="120" w:line="360" w:lineRule="auto"/>
        <w:ind w:right="208" w:firstLine="396"/>
        <w:rPr>
          <w:spacing w:val="-5"/>
          <w:sz w:val="24"/>
          <w:szCs w:val="24"/>
        </w:rPr>
      </w:pPr>
      <w:r>
        <w:rPr>
          <w:rFonts w:hint="eastAsia" w:ascii="宋体" w:hAnsi="宋体"/>
          <w:spacing w:val="-5"/>
          <w:sz w:val="24"/>
          <w:szCs w:val="24"/>
        </w:rPr>
        <w:t>以上企业，不属于大企业的分支机构，不存在控股股东为大企业的情形，也不存在与大企业的负责人为同一人的情形。</w:t>
      </w:r>
    </w:p>
    <w:p w14:paraId="2481A4E5">
      <w:pPr>
        <w:kinsoku w:val="0"/>
        <w:overflowPunct w:val="0"/>
        <w:spacing w:before="100" w:beforeAutospacing="1" w:after="120" w:line="360" w:lineRule="auto"/>
        <w:ind w:right="208" w:firstLine="396"/>
        <w:rPr>
          <w:spacing w:val="-5"/>
          <w:sz w:val="24"/>
          <w:szCs w:val="24"/>
        </w:rPr>
      </w:pPr>
      <w:r>
        <w:rPr>
          <w:rFonts w:hint="eastAsia" w:ascii="宋体" w:hAnsi="宋体"/>
          <w:spacing w:val="-5"/>
          <w:sz w:val="24"/>
          <w:szCs w:val="24"/>
        </w:rPr>
        <w:t>本企业对上述声明内容的真实性负责。如有虚假，将依法承担相应责任。</w:t>
      </w:r>
    </w:p>
    <w:p w14:paraId="1C9FA5A2">
      <w:pPr>
        <w:kinsoku w:val="0"/>
        <w:overflowPunct w:val="0"/>
        <w:spacing w:before="100" w:beforeAutospacing="1" w:after="120" w:line="360" w:lineRule="auto"/>
        <w:ind w:right="208" w:firstLine="5520" w:firstLineChars="2400"/>
        <w:rPr>
          <w:spacing w:val="-5"/>
          <w:sz w:val="24"/>
          <w:szCs w:val="24"/>
        </w:rPr>
      </w:pPr>
      <w:r>
        <w:rPr>
          <w:rFonts w:hint="eastAsia" w:ascii="宋体" w:hAnsi="宋体"/>
          <w:spacing w:val="-5"/>
          <w:sz w:val="24"/>
          <w:szCs w:val="24"/>
        </w:rPr>
        <w:t>企业名称（盖章）：</w:t>
      </w:r>
    </w:p>
    <w:p w14:paraId="33A1F36C">
      <w:pPr>
        <w:kinsoku w:val="0"/>
        <w:overflowPunct w:val="0"/>
        <w:spacing w:before="100" w:beforeAutospacing="1" w:after="120" w:line="360" w:lineRule="auto"/>
        <w:ind w:right="208" w:firstLine="5520" w:firstLineChars="2400"/>
        <w:rPr>
          <w:rFonts w:hint="eastAsia" w:ascii="宋体" w:hAnsi="宋体"/>
          <w:sz w:val="24"/>
          <w:szCs w:val="24"/>
        </w:rPr>
      </w:pPr>
      <w:r>
        <w:rPr>
          <w:rFonts w:hint="eastAsia" w:ascii="宋体" w:hAnsi="宋体"/>
          <w:spacing w:val="-5"/>
          <w:sz w:val="24"/>
          <w:szCs w:val="24"/>
        </w:rPr>
        <w:t>日期：</w:t>
      </w:r>
    </w:p>
    <w:p w14:paraId="67043938">
      <w:pPr>
        <w:widowControl/>
        <w:jc w:val="left"/>
        <w:rPr>
          <w:b/>
          <w:bCs/>
          <w:sz w:val="28"/>
          <w:szCs w:val="28"/>
        </w:rPr>
      </w:pPr>
      <w:r>
        <w:rPr>
          <w:b/>
          <w:bCs/>
          <w:sz w:val="28"/>
          <w:szCs w:val="28"/>
        </w:rPr>
        <w:br w:type="page"/>
      </w:r>
    </w:p>
    <w:p w14:paraId="28140205">
      <w:pPr>
        <w:jc w:val="center"/>
        <w:rPr>
          <w:b/>
          <w:bCs/>
          <w:sz w:val="28"/>
          <w:szCs w:val="28"/>
        </w:rPr>
      </w:pPr>
      <w:r>
        <w:rPr>
          <w:rFonts w:hint="eastAsia"/>
          <w:b/>
          <w:bCs/>
          <w:sz w:val="28"/>
          <w:szCs w:val="28"/>
        </w:rPr>
        <w:t>残疾人福利性单位声明函</w:t>
      </w:r>
    </w:p>
    <w:p w14:paraId="229E4A24">
      <w:pPr>
        <w:pStyle w:val="17"/>
        <w:kinsoku w:val="0"/>
        <w:overflowPunct w:val="0"/>
        <w:spacing w:before="6"/>
        <w:rPr>
          <w:b/>
          <w:bCs/>
          <w:sz w:val="27"/>
          <w:szCs w:val="27"/>
        </w:rPr>
      </w:pPr>
    </w:p>
    <w:p w14:paraId="2D8F1621">
      <w:pPr>
        <w:pStyle w:val="17"/>
        <w:tabs>
          <w:tab w:val="left" w:pos="2009"/>
          <w:tab w:val="left" w:pos="3272"/>
        </w:tabs>
        <w:kinsoku w:val="0"/>
        <w:overflowPunct w:val="0"/>
        <w:spacing w:line="400" w:lineRule="exact"/>
        <w:ind w:right="103" w:firstLine="419"/>
        <w:rPr>
          <w:rFonts w:hint="eastAsia" w:ascii="宋体" w:hAnsi="宋体" w:eastAsia="宋体"/>
          <w:spacing w:val="-5"/>
          <w:sz w:val="24"/>
          <w:szCs w:val="24"/>
        </w:rPr>
      </w:pPr>
      <w:r>
        <w:rPr>
          <w:rFonts w:hint="eastAsia" w:ascii="宋体" w:hAnsi="宋体" w:eastAsia="宋体"/>
          <w:spacing w:val="-8"/>
          <w:sz w:val="24"/>
          <w:szCs w:val="24"/>
        </w:rPr>
        <w:t>本单位郑重声明，根据《财政部</w:t>
      </w:r>
      <w:r>
        <w:rPr>
          <w:rFonts w:ascii="宋体" w:hAnsi="宋体" w:eastAsia="宋体"/>
          <w:spacing w:val="-8"/>
          <w:sz w:val="24"/>
          <w:szCs w:val="24"/>
        </w:rPr>
        <w:t xml:space="preserve"> </w:t>
      </w:r>
      <w:r>
        <w:rPr>
          <w:rFonts w:hint="eastAsia" w:ascii="宋体" w:hAnsi="宋体" w:eastAsia="宋体"/>
          <w:sz w:val="24"/>
          <w:szCs w:val="24"/>
        </w:rPr>
        <w:t>民政部</w:t>
      </w:r>
      <w:r>
        <w:rPr>
          <w:rFonts w:ascii="宋体" w:hAnsi="宋体" w:eastAsia="宋体"/>
          <w:spacing w:val="17"/>
          <w:sz w:val="24"/>
          <w:szCs w:val="24"/>
        </w:rPr>
        <w:t xml:space="preserve"> </w:t>
      </w:r>
      <w:r>
        <w:rPr>
          <w:rFonts w:hint="eastAsia" w:ascii="宋体" w:hAnsi="宋体" w:eastAsia="宋体"/>
          <w:sz w:val="24"/>
          <w:szCs w:val="24"/>
        </w:rPr>
        <w:t>中国残疾人联合会关于促进残疾人就业政府采</w:t>
      </w:r>
      <w:r>
        <w:rPr>
          <w:rFonts w:ascii="宋体" w:hAnsi="宋体" w:eastAsia="宋体"/>
          <w:sz w:val="24"/>
          <w:szCs w:val="24"/>
        </w:rPr>
        <w:t xml:space="preserve"> </w:t>
      </w:r>
      <w:r>
        <w:rPr>
          <w:rFonts w:hint="eastAsia" w:ascii="宋体" w:hAnsi="宋体" w:eastAsia="宋体"/>
          <w:spacing w:val="-3"/>
          <w:sz w:val="24"/>
          <w:szCs w:val="24"/>
        </w:rPr>
        <w:t>购政策的通知》（财库〔</w:t>
      </w:r>
      <w:r>
        <w:rPr>
          <w:rFonts w:ascii="宋体" w:hAnsi="宋体" w:eastAsia="宋体"/>
          <w:spacing w:val="-3"/>
          <w:sz w:val="24"/>
          <w:szCs w:val="24"/>
        </w:rPr>
        <w:t>2017</w:t>
      </w:r>
      <w:r>
        <w:rPr>
          <w:rFonts w:hint="eastAsia" w:ascii="宋体" w:hAnsi="宋体" w:eastAsia="宋体"/>
          <w:spacing w:val="-3"/>
          <w:sz w:val="24"/>
          <w:szCs w:val="24"/>
        </w:rPr>
        <w:t>〕</w:t>
      </w:r>
      <w:r>
        <w:rPr>
          <w:rFonts w:ascii="宋体" w:hAnsi="宋体" w:eastAsia="宋体"/>
          <w:spacing w:val="-3"/>
          <w:sz w:val="24"/>
          <w:szCs w:val="24"/>
        </w:rPr>
        <w:t xml:space="preserve"> </w:t>
      </w:r>
      <w:r>
        <w:rPr>
          <w:rFonts w:ascii="宋体" w:hAnsi="宋体" w:eastAsia="宋体"/>
          <w:sz w:val="24"/>
          <w:szCs w:val="24"/>
        </w:rPr>
        <w:t>141</w:t>
      </w:r>
      <w:r>
        <w:rPr>
          <w:rFonts w:ascii="宋体" w:hAnsi="宋体" w:eastAsia="宋体"/>
          <w:spacing w:val="-48"/>
          <w:sz w:val="24"/>
          <w:szCs w:val="24"/>
        </w:rPr>
        <w:t xml:space="preserve"> </w:t>
      </w:r>
      <w:r>
        <w:rPr>
          <w:rFonts w:hint="eastAsia" w:ascii="宋体" w:hAnsi="宋体" w:eastAsia="宋体"/>
          <w:sz w:val="24"/>
          <w:szCs w:val="24"/>
        </w:rPr>
        <w:t>号）的规定，本单位为符合条件的残疾人福利性单位，</w:t>
      </w:r>
      <w:r>
        <w:rPr>
          <w:rFonts w:ascii="宋体" w:hAnsi="宋体" w:eastAsia="宋体"/>
          <w:sz w:val="24"/>
          <w:szCs w:val="24"/>
        </w:rPr>
        <w:t xml:space="preserve"> </w:t>
      </w:r>
      <w:r>
        <w:rPr>
          <w:rFonts w:hint="eastAsia" w:ascii="宋体" w:hAnsi="宋体" w:eastAsia="宋体"/>
          <w:spacing w:val="-2"/>
          <w:sz w:val="24"/>
          <w:szCs w:val="24"/>
        </w:rPr>
        <w:t>且本单位参加</w:t>
      </w:r>
      <w:r>
        <w:rPr>
          <w:rFonts w:ascii="宋体" w:hAnsi="宋体" w:eastAsia="宋体"/>
          <w:spacing w:val="-2"/>
          <w:sz w:val="24"/>
          <w:szCs w:val="24"/>
          <w:u w:val="single"/>
        </w:rPr>
        <w:tab/>
      </w:r>
      <w:r>
        <w:rPr>
          <w:rFonts w:hint="eastAsia" w:ascii="宋体" w:hAnsi="宋体" w:eastAsia="宋体"/>
          <w:spacing w:val="-1"/>
          <w:sz w:val="24"/>
          <w:szCs w:val="24"/>
        </w:rPr>
        <w:t>单位的</w:t>
      </w:r>
      <w:r>
        <w:rPr>
          <w:rFonts w:ascii="宋体" w:hAnsi="宋体" w:eastAsia="宋体"/>
          <w:spacing w:val="-1"/>
          <w:sz w:val="24"/>
          <w:szCs w:val="24"/>
          <w:u w:val="single"/>
        </w:rPr>
        <w:tab/>
      </w:r>
      <w:r>
        <w:rPr>
          <w:rFonts w:hint="eastAsia" w:ascii="宋体" w:hAnsi="宋体" w:eastAsia="宋体"/>
          <w:spacing w:val="-5"/>
          <w:sz w:val="24"/>
          <w:szCs w:val="24"/>
        </w:rPr>
        <w:t>项目采购活动提供本单位制造的货物（由本单位承担工程</w:t>
      </w:r>
    </w:p>
    <w:p w14:paraId="6550BBAA">
      <w:pPr>
        <w:pStyle w:val="17"/>
        <w:kinsoku w:val="0"/>
        <w:overflowPunct w:val="0"/>
        <w:spacing w:line="400" w:lineRule="exact"/>
        <w:ind w:right="103"/>
        <w:rPr>
          <w:rFonts w:hint="eastAsia" w:ascii="宋体" w:hAnsi="宋体" w:eastAsia="宋体"/>
          <w:sz w:val="24"/>
          <w:szCs w:val="24"/>
        </w:rPr>
      </w:pPr>
      <w:r>
        <w:rPr>
          <w:rFonts w:ascii="宋体" w:hAnsi="宋体" w:eastAsia="宋体"/>
          <w:spacing w:val="-2"/>
          <w:sz w:val="24"/>
          <w:szCs w:val="24"/>
        </w:rPr>
        <w:t>/</w:t>
      </w:r>
      <w:r>
        <w:rPr>
          <w:rFonts w:hint="eastAsia" w:ascii="宋体" w:hAnsi="宋体" w:eastAsia="宋体"/>
          <w:spacing w:val="-2"/>
          <w:sz w:val="24"/>
          <w:szCs w:val="24"/>
        </w:rPr>
        <w:t>提供服务），或者提供其他残疾人福利性单位制造的货物（不包括使用非残疾人福利性单</w:t>
      </w:r>
      <w:r>
        <w:rPr>
          <w:rFonts w:ascii="宋体" w:hAnsi="宋体" w:eastAsia="宋体"/>
          <w:spacing w:val="-32"/>
          <w:sz w:val="24"/>
          <w:szCs w:val="24"/>
        </w:rPr>
        <w:t xml:space="preserve"> </w:t>
      </w:r>
      <w:r>
        <w:rPr>
          <w:rFonts w:hint="eastAsia" w:ascii="宋体" w:hAnsi="宋体" w:eastAsia="宋体"/>
          <w:sz w:val="24"/>
          <w:szCs w:val="24"/>
        </w:rPr>
        <w:t>位注册商标的货物）。</w:t>
      </w:r>
      <w:r>
        <w:rPr>
          <w:rFonts w:ascii="宋体" w:hAnsi="宋体" w:eastAsia="宋体"/>
          <w:sz w:val="24"/>
          <w:szCs w:val="24"/>
        </w:rPr>
        <w:t xml:space="preserve"> </w:t>
      </w:r>
    </w:p>
    <w:p w14:paraId="653C5421">
      <w:pPr>
        <w:pStyle w:val="17"/>
        <w:kinsoku w:val="0"/>
        <w:overflowPunct w:val="0"/>
        <w:spacing w:line="400" w:lineRule="exact"/>
        <w:ind w:left="538" w:right="103"/>
        <w:rPr>
          <w:rFonts w:hint="eastAsia" w:ascii="宋体" w:hAnsi="宋体" w:eastAsia="宋体"/>
          <w:sz w:val="24"/>
          <w:szCs w:val="24"/>
        </w:rPr>
      </w:pPr>
      <w:r>
        <w:rPr>
          <w:rFonts w:hint="eastAsia" w:ascii="宋体" w:hAnsi="宋体" w:eastAsia="宋体"/>
          <w:sz w:val="24"/>
          <w:szCs w:val="24"/>
        </w:rPr>
        <w:t>本单位对上述声明的真实性负责。如有虚假，将依法承担相应责任。</w:t>
      </w:r>
      <w:r>
        <w:rPr>
          <w:rFonts w:ascii="宋体" w:hAnsi="宋体" w:eastAsia="宋体"/>
          <w:sz w:val="24"/>
          <w:szCs w:val="24"/>
        </w:rPr>
        <w:t xml:space="preserve"> </w:t>
      </w:r>
    </w:p>
    <w:p w14:paraId="56745AFE">
      <w:pPr>
        <w:pStyle w:val="17"/>
        <w:kinsoku w:val="0"/>
        <w:overflowPunct w:val="0"/>
        <w:spacing w:line="400" w:lineRule="exact"/>
        <w:ind w:left="1777"/>
        <w:jc w:val="center"/>
        <w:rPr>
          <w:rFonts w:hint="eastAsia" w:ascii="宋体" w:hAnsi="宋体" w:eastAsia="宋体"/>
          <w:sz w:val="24"/>
          <w:szCs w:val="24"/>
        </w:rPr>
      </w:pPr>
    </w:p>
    <w:p w14:paraId="48D3966B">
      <w:pPr>
        <w:pStyle w:val="17"/>
        <w:kinsoku w:val="0"/>
        <w:overflowPunct w:val="0"/>
        <w:spacing w:line="400" w:lineRule="exact"/>
        <w:ind w:left="4109" w:right="439"/>
        <w:rPr>
          <w:rFonts w:hint="eastAsia" w:ascii="宋体" w:hAnsi="宋体" w:eastAsia="宋体"/>
          <w:sz w:val="24"/>
          <w:szCs w:val="24"/>
        </w:rPr>
      </w:pPr>
      <w:r>
        <w:rPr>
          <w:rFonts w:hint="eastAsia" w:ascii="宋体" w:hAnsi="宋体" w:eastAsia="宋体"/>
          <w:sz w:val="24"/>
          <w:szCs w:val="24"/>
        </w:rPr>
        <w:t>供应商（盖章）</w:t>
      </w:r>
      <w:r>
        <w:rPr>
          <w:rFonts w:ascii="宋体" w:hAnsi="宋体" w:eastAsia="宋体"/>
          <w:sz w:val="24"/>
          <w:szCs w:val="24"/>
        </w:rPr>
        <w:t>:</w:t>
      </w:r>
      <w:r>
        <w:rPr>
          <w:rFonts w:ascii="宋体" w:hAnsi="宋体" w:eastAsia="宋体"/>
          <w:sz w:val="24"/>
          <w:szCs w:val="24"/>
          <w:u w:val="single"/>
        </w:rPr>
        <w:t xml:space="preserve"> </w:t>
      </w:r>
      <w:r>
        <w:rPr>
          <w:rFonts w:ascii="宋体" w:hAnsi="宋体" w:eastAsia="宋体"/>
          <w:spacing w:val="-3"/>
          <w:sz w:val="24"/>
          <w:szCs w:val="24"/>
          <w:u w:val="single"/>
        </w:rPr>
        <w:t xml:space="preserve"> </w:t>
      </w:r>
      <w:r>
        <w:rPr>
          <w:rFonts w:ascii="宋体" w:hAnsi="宋体" w:eastAsia="宋体"/>
          <w:sz w:val="24"/>
          <w:szCs w:val="24"/>
          <w:u w:val="single"/>
        </w:rPr>
        <w:t xml:space="preserve">   </w:t>
      </w:r>
      <w:r>
        <w:rPr>
          <w:rFonts w:ascii="宋体" w:hAnsi="宋体" w:eastAsia="宋体"/>
          <w:spacing w:val="-3"/>
          <w:sz w:val="24"/>
          <w:szCs w:val="24"/>
          <w:u w:val="single"/>
        </w:rPr>
        <w:t xml:space="preserve"> </w:t>
      </w:r>
      <w:r>
        <w:rPr>
          <w:rFonts w:ascii="宋体" w:hAnsi="宋体" w:eastAsia="宋体"/>
          <w:sz w:val="24"/>
          <w:szCs w:val="24"/>
          <w:u w:val="single"/>
        </w:rPr>
        <w:t xml:space="preserve"> </w:t>
      </w:r>
      <w:r>
        <w:rPr>
          <w:rFonts w:ascii="宋体" w:hAnsi="宋体" w:eastAsia="宋体"/>
          <w:spacing w:val="-3"/>
          <w:sz w:val="24"/>
          <w:szCs w:val="24"/>
          <w:u w:val="single"/>
        </w:rPr>
        <w:t xml:space="preserve"> </w:t>
      </w:r>
      <w:r>
        <w:rPr>
          <w:rFonts w:ascii="宋体" w:hAnsi="宋体" w:eastAsia="宋体"/>
          <w:sz w:val="24"/>
          <w:szCs w:val="24"/>
          <w:u w:val="single"/>
        </w:rPr>
        <w:t xml:space="preserve">     </w:t>
      </w:r>
      <w:r>
        <w:rPr>
          <w:rFonts w:ascii="宋体" w:hAnsi="宋体" w:eastAsia="宋体"/>
          <w:spacing w:val="-3"/>
          <w:sz w:val="24"/>
          <w:szCs w:val="24"/>
          <w:u w:val="single"/>
        </w:rPr>
        <w:t xml:space="preserve"> </w:t>
      </w:r>
      <w:r>
        <w:rPr>
          <w:rFonts w:ascii="宋体" w:hAnsi="宋体" w:eastAsia="宋体"/>
          <w:sz w:val="24"/>
          <w:szCs w:val="24"/>
          <w:u w:val="single"/>
        </w:rPr>
        <w:t xml:space="preserve">   </w:t>
      </w:r>
      <w:r>
        <w:rPr>
          <w:rFonts w:ascii="宋体" w:hAnsi="宋体" w:eastAsia="宋体"/>
          <w:spacing w:val="-3"/>
          <w:sz w:val="24"/>
          <w:szCs w:val="24"/>
          <w:u w:val="single"/>
        </w:rPr>
        <w:t xml:space="preserve"> </w:t>
      </w:r>
      <w:r>
        <w:rPr>
          <w:rFonts w:ascii="宋体" w:hAnsi="宋体" w:eastAsia="宋体"/>
          <w:sz w:val="24"/>
          <w:szCs w:val="24"/>
          <w:u w:val="single"/>
        </w:rPr>
        <w:t xml:space="preserve">   </w:t>
      </w:r>
      <w:r>
        <w:rPr>
          <w:rFonts w:ascii="宋体" w:hAnsi="宋体" w:eastAsia="宋体"/>
          <w:spacing w:val="-3"/>
          <w:sz w:val="24"/>
          <w:szCs w:val="24"/>
          <w:u w:val="single"/>
        </w:rPr>
        <w:t xml:space="preserve">  </w:t>
      </w:r>
      <w:r>
        <w:rPr>
          <w:rFonts w:ascii="宋体" w:hAnsi="宋体" w:eastAsia="宋体"/>
          <w:sz w:val="24"/>
          <w:szCs w:val="24"/>
        </w:rPr>
        <w:t xml:space="preserve"> </w:t>
      </w:r>
    </w:p>
    <w:p w14:paraId="783E6008">
      <w:pPr>
        <w:pStyle w:val="17"/>
        <w:kinsoku w:val="0"/>
        <w:overflowPunct w:val="0"/>
        <w:spacing w:line="400" w:lineRule="exact"/>
        <w:ind w:left="4109" w:right="439"/>
        <w:rPr>
          <w:rFonts w:hint="eastAsia" w:ascii="宋体" w:hAnsi="宋体" w:eastAsia="宋体"/>
          <w:sz w:val="24"/>
          <w:szCs w:val="24"/>
        </w:rPr>
      </w:pPr>
      <w:r>
        <w:rPr>
          <w:rFonts w:hint="eastAsia" w:ascii="宋体" w:hAnsi="宋体" w:eastAsia="宋体"/>
          <w:sz w:val="24"/>
          <w:szCs w:val="24"/>
        </w:rPr>
        <w:t>日</w:t>
      </w:r>
      <w:r>
        <w:rPr>
          <w:rFonts w:ascii="宋体" w:hAnsi="宋体" w:eastAsia="宋体"/>
          <w:sz w:val="24"/>
          <w:szCs w:val="24"/>
        </w:rPr>
        <w:t xml:space="preserve">    </w:t>
      </w:r>
      <w:r>
        <w:rPr>
          <w:rFonts w:hint="eastAsia" w:ascii="宋体" w:hAnsi="宋体" w:eastAsia="宋体"/>
          <w:sz w:val="24"/>
          <w:szCs w:val="24"/>
        </w:rPr>
        <w:t>期：</w:t>
      </w:r>
      <w:r>
        <w:rPr>
          <w:rFonts w:ascii="宋体" w:hAnsi="宋体" w:eastAsia="宋体"/>
          <w:sz w:val="24"/>
          <w:szCs w:val="24"/>
        </w:rPr>
        <w:t xml:space="preserve">   </w:t>
      </w:r>
      <w:r>
        <w:rPr>
          <w:rFonts w:hint="eastAsia" w:ascii="宋体" w:hAnsi="宋体" w:eastAsia="宋体"/>
          <w:sz w:val="24"/>
          <w:szCs w:val="24"/>
        </w:rPr>
        <w:t>年</w:t>
      </w:r>
      <w:r>
        <w:rPr>
          <w:rFonts w:ascii="宋体" w:hAnsi="宋体" w:eastAsia="宋体"/>
          <w:sz w:val="24"/>
          <w:szCs w:val="24"/>
        </w:rPr>
        <w:t xml:space="preserve">    </w:t>
      </w:r>
      <w:r>
        <w:rPr>
          <w:rFonts w:hint="eastAsia" w:ascii="宋体" w:hAnsi="宋体" w:eastAsia="宋体"/>
          <w:sz w:val="24"/>
          <w:szCs w:val="24"/>
        </w:rPr>
        <w:t>月</w:t>
      </w:r>
      <w:r>
        <w:rPr>
          <w:rFonts w:ascii="宋体" w:hAnsi="宋体" w:eastAsia="宋体"/>
          <w:sz w:val="24"/>
          <w:szCs w:val="24"/>
        </w:rPr>
        <w:t xml:space="preserve">  </w:t>
      </w:r>
      <w:r>
        <w:rPr>
          <w:rFonts w:ascii="宋体" w:hAnsi="宋体" w:eastAsia="宋体"/>
          <w:spacing w:val="102"/>
          <w:sz w:val="24"/>
          <w:szCs w:val="24"/>
        </w:rPr>
        <w:t xml:space="preserve"> </w:t>
      </w:r>
      <w:r>
        <w:rPr>
          <w:rFonts w:hint="eastAsia" w:ascii="宋体" w:hAnsi="宋体" w:eastAsia="宋体"/>
          <w:spacing w:val="-3"/>
          <w:sz w:val="24"/>
          <w:szCs w:val="24"/>
        </w:rPr>
        <w:t>日</w:t>
      </w:r>
      <w:r>
        <w:rPr>
          <w:rFonts w:ascii="宋体" w:hAnsi="宋体" w:eastAsia="宋体"/>
          <w:b/>
          <w:bCs/>
          <w:w w:val="99"/>
          <w:sz w:val="24"/>
          <w:szCs w:val="24"/>
        </w:rPr>
        <w:t xml:space="preserve"> </w:t>
      </w:r>
    </w:p>
    <w:p w14:paraId="0BF718F5">
      <w:pPr>
        <w:jc w:val="center"/>
        <w:rPr>
          <w:b/>
          <w:bCs/>
          <w:sz w:val="28"/>
          <w:szCs w:val="28"/>
        </w:rPr>
      </w:pPr>
      <w:r>
        <w:rPr>
          <w:b/>
          <w:bCs/>
          <w:sz w:val="28"/>
          <w:szCs w:val="28"/>
        </w:rPr>
        <w:br w:type="page"/>
      </w:r>
      <w:r>
        <w:rPr>
          <w:rFonts w:hint="eastAsia"/>
          <w:b/>
          <w:bCs/>
          <w:sz w:val="28"/>
          <w:szCs w:val="28"/>
        </w:rPr>
        <w:t>属于监狱企业的证明文件</w:t>
      </w:r>
    </w:p>
    <w:p w14:paraId="218520D5">
      <w:pPr>
        <w:pStyle w:val="17"/>
        <w:kinsoku w:val="0"/>
        <w:overflowPunct w:val="0"/>
        <w:spacing w:before="251" w:line="355" w:lineRule="auto"/>
        <w:ind w:firstLine="448" w:firstLineChars="200"/>
        <w:rPr>
          <w:rFonts w:hint="eastAsia" w:ascii="宋体" w:hAnsi="宋体" w:eastAsia="宋体"/>
          <w:spacing w:val="-8"/>
          <w:sz w:val="24"/>
          <w:szCs w:val="24"/>
        </w:rPr>
      </w:pPr>
      <w:r>
        <w:rPr>
          <w:rFonts w:hint="eastAsia" w:ascii="宋体" w:hAnsi="宋体" w:eastAsia="宋体"/>
          <w:spacing w:val="-8"/>
          <w:sz w:val="24"/>
          <w:szCs w:val="24"/>
        </w:rPr>
        <w:t>（提供由省级以上监狱管理局、戒毒管理局</w:t>
      </w:r>
      <w:r>
        <w:rPr>
          <w:rFonts w:ascii="宋体" w:hAnsi="宋体" w:eastAsia="宋体"/>
          <w:spacing w:val="-8"/>
          <w:sz w:val="24"/>
          <w:szCs w:val="24"/>
        </w:rPr>
        <w:t>(</w:t>
      </w:r>
      <w:r>
        <w:rPr>
          <w:rFonts w:hint="eastAsia" w:ascii="宋体" w:hAnsi="宋体" w:eastAsia="宋体"/>
          <w:spacing w:val="-8"/>
          <w:sz w:val="24"/>
          <w:szCs w:val="24"/>
        </w:rPr>
        <w:t>含新疆生产建设兵团</w:t>
      </w:r>
      <w:r>
        <w:rPr>
          <w:rFonts w:ascii="宋体" w:hAnsi="宋体" w:eastAsia="宋体"/>
          <w:spacing w:val="-8"/>
          <w:sz w:val="24"/>
          <w:szCs w:val="24"/>
        </w:rPr>
        <w:t>)</w:t>
      </w:r>
      <w:r>
        <w:rPr>
          <w:rFonts w:hint="eastAsia" w:ascii="宋体" w:hAnsi="宋体" w:eastAsia="宋体"/>
          <w:spacing w:val="-8"/>
          <w:sz w:val="24"/>
          <w:szCs w:val="24"/>
        </w:rPr>
        <w:t>出具的属于监狱企业的证</w:t>
      </w:r>
      <w:r>
        <w:rPr>
          <w:rFonts w:ascii="宋体" w:hAnsi="宋体" w:eastAsia="宋体"/>
          <w:spacing w:val="-8"/>
          <w:sz w:val="24"/>
          <w:szCs w:val="24"/>
        </w:rPr>
        <w:t xml:space="preserve"> </w:t>
      </w:r>
      <w:r>
        <w:rPr>
          <w:rFonts w:hint="eastAsia" w:ascii="宋体" w:hAnsi="宋体" w:eastAsia="宋体"/>
          <w:spacing w:val="-8"/>
          <w:sz w:val="24"/>
          <w:szCs w:val="24"/>
        </w:rPr>
        <w:t>明文件）</w:t>
      </w:r>
      <w:r>
        <w:rPr>
          <w:rFonts w:ascii="宋体" w:hAnsi="宋体" w:eastAsia="宋体"/>
          <w:spacing w:val="-8"/>
          <w:sz w:val="24"/>
          <w:szCs w:val="24"/>
        </w:rPr>
        <w:t xml:space="preserve"> </w:t>
      </w:r>
    </w:p>
    <w:p w14:paraId="0B495D34">
      <w:pPr>
        <w:pStyle w:val="17"/>
        <w:kinsoku w:val="0"/>
        <w:overflowPunct w:val="0"/>
        <w:spacing w:before="251" w:line="355" w:lineRule="auto"/>
        <w:ind w:firstLine="448" w:firstLineChars="200"/>
        <w:rPr>
          <w:rFonts w:hint="eastAsia" w:ascii="宋体" w:hAnsi="宋体" w:eastAsia="宋体"/>
          <w:spacing w:val="-8"/>
          <w:sz w:val="24"/>
          <w:szCs w:val="24"/>
        </w:rPr>
      </w:pPr>
    </w:p>
    <w:p w14:paraId="188954DB">
      <w:pPr>
        <w:pStyle w:val="17"/>
        <w:kinsoku w:val="0"/>
        <w:overflowPunct w:val="0"/>
        <w:spacing w:before="251" w:line="355" w:lineRule="auto"/>
        <w:ind w:firstLine="448" w:firstLineChars="200"/>
        <w:rPr>
          <w:rFonts w:hint="eastAsia" w:ascii="宋体" w:hAnsi="宋体" w:eastAsia="宋体"/>
          <w:spacing w:val="-8"/>
          <w:sz w:val="24"/>
          <w:szCs w:val="24"/>
        </w:rPr>
      </w:pPr>
    </w:p>
    <w:p w14:paraId="67891B8A">
      <w:pPr>
        <w:jc w:val="center"/>
        <w:rPr>
          <w:sz w:val="28"/>
          <w:szCs w:val="28"/>
        </w:rPr>
      </w:pPr>
      <w:r>
        <w:rPr>
          <w:rFonts w:hint="eastAsia"/>
          <w:b/>
          <w:bCs/>
          <w:sz w:val="28"/>
          <w:szCs w:val="28"/>
        </w:rPr>
        <w:t>节能产品认证文件</w:t>
      </w:r>
      <w:r>
        <w:rPr>
          <w:sz w:val="28"/>
          <w:szCs w:val="28"/>
        </w:rPr>
        <w:t xml:space="preserve"> </w:t>
      </w:r>
    </w:p>
    <w:p w14:paraId="11F27000">
      <w:pPr>
        <w:pStyle w:val="17"/>
        <w:kinsoku w:val="0"/>
        <w:overflowPunct w:val="0"/>
        <w:spacing w:before="251" w:line="355" w:lineRule="auto"/>
        <w:ind w:firstLine="448" w:firstLineChars="200"/>
        <w:rPr>
          <w:rFonts w:hint="eastAsia" w:ascii="宋体" w:hAnsi="宋体" w:eastAsia="宋体"/>
          <w:spacing w:val="-8"/>
          <w:sz w:val="24"/>
          <w:szCs w:val="24"/>
        </w:rPr>
      </w:pPr>
      <w:r>
        <w:rPr>
          <w:rFonts w:hint="eastAsia" w:ascii="宋体" w:hAnsi="宋体" w:eastAsia="宋体"/>
          <w:spacing w:val="-8"/>
          <w:sz w:val="24"/>
          <w:szCs w:val="24"/>
        </w:rPr>
        <w:t>（提供产品在《节能产品政府采购清单》中相应的页面）</w:t>
      </w:r>
      <w:r>
        <w:rPr>
          <w:rFonts w:ascii="宋体" w:hAnsi="宋体" w:eastAsia="宋体"/>
          <w:spacing w:val="-8"/>
          <w:sz w:val="24"/>
          <w:szCs w:val="24"/>
        </w:rPr>
        <w:t xml:space="preserve"> </w:t>
      </w:r>
    </w:p>
    <w:p w14:paraId="1CBF74F0">
      <w:pPr>
        <w:jc w:val="center"/>
        <w:rPr>
          <w:w w:val="99"/>
        </w:rPr>
      </w:pPr>
    </w:p>
    <w:p w14:paraId="77F5D2DB">
      <w:pPr>
        <w:jc w:val="center"/>
        <w:rPr>
          <w:w w:val="99"/>
        </w:rPr>
      </w:pPr>
    </w:p>
    <w:p w14:paraId="2CA71A30">
      <w:pPr>
        <w:jc w:val="center"/>
        <w:rPr>
          <w:w w:val="99"/>
        </w:rPr>
      </w:pPr>
    </w:p>
    <w:p w14:paraId="21A47C61">
      <w:pPr>
        <w:jc w:val="center"/>
        <w:rPr>
          <w:w w:val="99"/>
        </w:rPr>
      </w:pPr>
    </w:p>
    <w:p w14:paraId="3E446004">
      <w:pPr>
        <w:jc w:val="center"/>
        <w:rPr>
          <w:w w:val="99"/>
        </w:rPr>
      </w:pPr>
    </w:p>
    <w:p w14:paraId="60245DEE">
      <w:pPr>
        <w:jc w:val="center"/>
        <w:rPr>
          <w:b/>
          <w:bCs/>
          <w:sz w:val="28"/>
          <w:szCs w:val="28"/>
        </w:rPr>
      </w:pPr>
      <w:r>
        <w:rPr>
          <w:rFonts w:hint="eastAsia"/>
          <w:b/>
          <w:bCs/>
          <w:sz w:val="28"/>
          <w:szCs w:val="28"/>
        </w:rPr>
        <w:t>环境标志产品认证文件</w:t>
      </w:r>
      <w:r>
        <w:rPr>
          <w:b/>
          <w:bCs/>
          <w:sz w:val="28"/>
          <w:szCs w:val="28"/>
        </w:rPr>
        <w:t xml:space="preserve"> </w:t>
      </w:r>
    </w:p>
    <w:p w14:paraId="6E34638D">
      <w:pPr>
        <w:pStyle w:val="17"/>
        <w:kinsoku w:val="0"/>
        <w:overflowPunct w:val="0"/>
        <w:spacing w:before="251" w:line="355" w:lineRule="auto"/>
        <w:ind w:firstLine="448" w:firstLineChars="200"/>
        <w:rPr>
          <w:rFonts w:hint="eastAsia" w:ascii="宋体" w:hAnsi="宋体" w:eastAsia="宋体"/>
          <w:spacing w:val="-8"/>
          <w:sz w:val="24"/>
          <w:szCs w:val="24"/>
        </w:rPr>
      </w:pPr>
      <w:r>
        <w:rPr>
          <w:rFonts w:hint="eastAsia" w:ascii="宋体" w:hAnsi="宋体" w:eastAsia="宋体"/>
          <w:spacing w:val="-8"/>
          <w:sz w:val="24"/>
          <w:szCs w:val="24"/>
        </w:rPr>
        <w:t>（提供产品在《环境标志产品政府采购清单》中相应的页面）</w:t>
      </w:r>
      <w:r>
        <w:rPr>
          <w:rFonts w:ascii="宋体" w:hAnsi="宋体" w:eastAsia="宋体"/>
          <w:spacing w:val="-8"/>
          <w:sz w:val="24"/>
          <w:szCs w:val="24"/>
        </w:rPr>
        <w:t xml:space="preserve"> </w:t>
      </w:r>
    </w:p>
    <w:p w14:paraId="6ADC0E3C">
      <w:r>
        <w:rPr>
          <w:w w:val="99"/>
        </w:rPr>
        <w:t xml:space="preserve"> </w:t>
      </w:r>
    </w:p>
    <w:p w14:paraId="171AF0F0">
      <w:pPr>
        <w:pStyle w:val="17"/>
        <w:kinsoku w:val="0"/>
        <w:overflowPunct w:val="0"/>
        <w:spacing w:before="135"/>
      </w:pPr>
      <w:r>
        <w:rPr>
          <w:b/>
          <w:bCs/>
          <w:w w:val="99"/>
        </w:rPr>
        <w:t xml:space="preserve"> </w:t>
      </w:r>
    </w:p>
    <w:p w14:paraId="7F99D245">
      <w:pPr>
        <w:pStyle w:val="17"/>
        <w:kinsoku w:val="0"/>
        <w:overflowPunct w:val="0"/>
      </w:pPr>
      <w:r>
        <w:rPr>
          <w:b/>
          <w:bCs/>
          <w:w w:val="99"/>
        </w:rPr>
        <w:t xml:space="preserve"> </w:t>
      </w:r>
    </w:p>
    <w:p w14:paraId="4B248BEA">
      <w:pPr>
        <w:pStyle w:val="17"/>
        <w:kinsoku w:val="0"/>
        <w:overflowPunct w:val="0"/>
      </w:pPr>
      <w:r>
        <w:rPr>
          <w:b/>
          <w:bCs/>
          <w:w w:val="99"/>
        </w:rPr>
        <w:t xml:space="preserve"> </w:t>
      </w:r>
    </w:p>
    <w:p w14:paraId="54186ABF">
      <w:pPr>
        <w:pStyle w:val="17"/>
        <w:kinsoku w:val="0"/>
        <w:overflowPunct w:val="0"/>
        <w:ind w:left="179"/>
        <w:jc w:val="center"/>
        <w:rPr>
          <w:sz w:val="36"/>
          <w:szCs w:val="36"/>
        </w:rPr>
      </w:pPr>
      <w:r>
        <w:rPr>
          <w:rFonts w:hint="eastAsia" w:ascii="Times New Roman" w:hAnsi="Times New Roman" w:eastAsia="宋体"/>
          <w:b/>
          <w:bCs/>
        </w:rPr>
        <w:t>进口产品转让技术、消化吸收再创新方案</w:t>
      </w:r>
      <w:r>
        <w:rPr>
          <w:b/>
          <w:bCs/>
          <w:w w:val="99"/>
          <w:sz w:val="36"/>
          <w:szCs w:val="36"/>
        </w:rPr>
        <w:t xml:space="preserve"> </w:t>
      </w:r>
    </w:p>
    <w:p w14:paraId="47C3F9F4">
      <w:pPr>
        <w:pStyle w:val="17"/>
        <w:kinsoku w:val="0"/>
        <w:overflowPunct w:val="0"/>
        <w:spacing w:before="251" w:line="355" w:lineRule="auto"/>
        <w:ind w:firstLine="448" w:firstLineChars="200"/>
      </w:pPr>
      <w:r>
        <w:rPr>
          <w:rFonts w:hint="eastAsia" w:ascii="宋体" w:hAnsi="宋体" w:eastAsia="宋体"/>
          <w:spacing w:val="-8"/>
          <w:sz w:val="24"/>
          <w:szCs w:val="24"/>
        </w:rPr>
        <w:t>（对于允许进口产品参加的项目）</w:t>
      </w:r>
      <w:r>
        <w:t xml:space="preserve"> </w:t>
      </w:r>
    </w:p>
    <w:p w14:paraId="4458D3F1">
      <w:pPr>
        <w:pStyle w:val="5"/>
        <w:ind w:firstLine="0"/>
      </w:pPr>
    </w:p>
    <w:p w14:paraId="1EC79746">
      <w:pPr>
        <w:pStyle w:val="3"/>
        <w:spacing w:before="145" w:beforeLines="50" w:after="145" w:afterLines="50" w:line="360" w:lineRule="auto"/>
        <w:jc w:val="left"/>
        <w:rPr>
          <w:rFonts w:hint="eastAsia" w:ascii="宋体" w:hAnsi="宋体" w:eastAsia="宋体"/>
          <w:sz w:val="32"/>
          <w:szCs w:val="32"/>
        </w:rPr>
      </w:pPr>
      <w:r>
        <w:rPr>
          <w:rFonts w:ascii="宋体" w:hAnsi="宋体" w:eastAsia="宋体"/>
          <w:sz w:val="28"/>
          <w:szCs w:val="28"/>
        </w:rPr>
        <w:br w:type="page"/>
      </w:r>
      <w:bookmarkStart w:id="116" w:name="_Toc24962251"/>
      <w:r>
        <w:rPr>
          <w:rFonts w:hint="eastAsia" w:ascii="宋体" w:hAnsi="宋体" w:eastAsia="宋体"/>
          <w:sz w:val="28"/>
          <w:szCs w:val="28"/>
        </w:rPr>
        <w:t>附件十、技术规范偏离表</w:t>
      </w:r>
      <w:bookmarkEnd w:id="116"/>
    </w:p>
    <w:p w14:paraId="6A032049">
      <w:pPr>
        <w:pStyle w:val="17"/>
        <w:kinsoku w:val="0"/>
        <w:overflowPunct w:val="0"/>
        <w:spacing w:line="460" w:lineRule="exact"/>
        <w:ind w:left="3185"/>
        <w:rPr>
          <w:rFonts w:hint="eastAsia" w:ascii="宋体" w:hAnsi="宋体" w:eastAsia="宋体"/>
        </w:rPr>
      </w:pPr>
      <w:r>
        <w:rPr>
          <w:rFonts w:hint="eastAsia" w:ascii="宋体" w:hAnsi="宋体" w:eastAsia="宋体"/>
          <w:b/>
          <w:bCs/>
        </w:rPr>
        <w:t>技术规范偏离表</w:t>
      </w:r>
    </w:p>
    <w:p w14:paraId="14FA71C8">
      <w:pPr>
        <w:snapToGrid w:val="0"/>
        <w:spacing w:line="360" w:lineRule="auto"/>
        <w:rPr>
          <w:rFonts w:hint="eastAsia" w:ascii="宋体" w:hAnsi="宋体"/>
          <w:spacing w:val="-1"/>
          <w:sz w:val="24"/>
          <w:szCs w:val="24"/>
        </w:rPr>
      </w:pPr>
      <w:r>
        <w:rPr>
          <w:rFonts w:hint="eastAsia" w:ascii="宋体" w:hAnsi="宋体"/>
          <w:spacing w:val="-2"/>
          <w:sz w:val="24"/>
          <w:szCs w:val="24"/>
        </w:rPr>
        <w:t>项目名称：</w:t>
      </w:r>
      <w:r>
        <w:rPr>
          <w:rFonts w:ascii="宋体" w:hAnsi="宋体"/>
          <w:spacing w:val="-2"/>
          <w:sz w:val="24"/>
          <w:szCs w:val="24"/>
          <w:u w:val="single"/>
        </w:rPr>
        <w:tab/>
      </w:r>
      <w:r>
        <w:rPr>
          <w:rFonts w:ascii="宋体" w:hAnsi="宋体"/>
          <w:spacing w:val="-2"/>
          <w:sz w:val="24"/>
          <w:szCs w:val="24"/>
          <w:u w:val="single"/>
        </w:rPr>
        <w:t xml:space="preserve">                                    </w:t>
      </w:r>
      <w:r>
        <w:rPr>
          <w:rFonts w:ascii="宋体" w:hAnsi="宋体"/>
          <w:spacing w:val="-2"/>
          <w:sz w:val="24"/>
          <w:szCs w:val="24"/>
        </w:rPr>
        <w:t xml:space="preserve">   </w:t>
      </w:r>
      <w:r>
        <w:rPr>
          <w:rFonts w:hint="eastAsia" w:ascii="宋体" w:hAnsi="宋体"/>
          <w:spacing w:val="-1"/>
          <w:sz w:val="24"/>
          <w:szCs w:val="24"/>
        </w:rPr>
        <w:t>项目编号：</w:t>
      </w:r>
      <w:r>
        <w:rPr>
          <w:rFonts w:hint="eastAsia" w:ascii="宋体" w:hAnsi="宋体"/>
          <w:spacing w:val="-1"/>
          <w:sz w:val="24"/>
          <w:szCs w:val="24"/>
          <w:u w:val="single"/>
        </w:rPr>
        <w:t xml:space="preserve"> </w:t>
      </w:r>
      <w:r>
        <w:rPr>
          <w:rFonts w:ascii="宋体" w:hAnsi="宋体"/>
          <w:spacing w:val="-1"/>
          <w:sz w:val="24"/>
          <w:szCs w:val="24"/>
          <w:u w:val="single"/>
        </w:rPr>
        <w:t xml:space="preserve">                 </w:t>
      </w:r>
      <w:r>
        <w:rPr>
          <w:rFonts w:ascii="宋体" w:hAnsi="宋体"/>
          <w:spacing w:val="-1"/>
          <w:sz w:val="24"/>
          <w:szCs w:val="24"/>
        </w:rPr>
        <w:t xml:space="preserve">  </w:t>
      </w:r>
    </w:p>
    <w:p w14:paraId="66EBB04A">
      <w:pPr>
        <w:pStyle w:val="217"/>
        <w:spacing w:line="400" w:lineRule="exact"/>
        <w:ind w:firstLine="0" w:firstLineChars="0"/>
        <w:rPr>
          <w:rFonts w:hint="eastAsia" w:ascii="宋体" w:hAnsi="宋体" w:cs="宋体"/>
        </w:rPr>
      </w:pPr>
    </w:p>
    <w:tbl>
      <w:tblPr>
        <w:tblStyle w:val="39"/>
        <w:tblW w:w="9112" w:type="dxa"/>
        <w:tblInd w:w="97" w:type="dxa"/>
        <w:tblLayout w:type="fixed"/>
        <w:tblCellMar>
          <w:top w:w="0" w:type="dxa"/>
          <w:left w:w="0" w:type="dxa"/>
          <w:bottom w:w="0" w:type="dxa"/>
          <w:right w:w="0" w:type="dxa"/>
        </w:tblCellMar>
      </w:tblPr>
      <w:tblGrid>
        <w:gridCol w:w="686"/>
        <w:gridCol w:w="2047"/>
        <w:gridCol w:w="3544"/>
        <w:gridCol w:w="1418"/>
        <w:gridCol w:w="1417"/>
      </w:tblGrid>
      <w:tr w14:paraId="4DA97A8B">
        <w:tblPrEx>
          <w:tblCellMar>
            <w:top w:w="0" w:type="dxa"/>
            <w:left w:w="0" w:type="dxa"/>
            <w:bottom w:w="0" w:type="dxa"/>
            <w:right w:w="0" w:type="dxa"/>
          </w:tblCellMar>
        </w:tblPrEx>
        <w:trPr>
          <w:trHeight w:val="475" w:hRule="exact"/>
        </w:trPr>
        <w:tc>
          <w:tcPr>
            <w:tcW w:w="686" w:type="dxa"/>
            <w:tcBorders>
              <w:top w:val="single" w:color="000000" w:sz="4" w:space="0"/>
              <w:left w:val="single" w:color="000000" w:sz="4" w:space="0"/>
              <w:bottom w:val="single" w:color="000000" w:sz="4" w:space="0"/>
              <w:right w:val="single" w:color="000000" w:sz="4" w:space="0"/>
            </w:tcBorders>
            <w:vAlign w:val="center"/>
          </w:tcPr>
          <w:p w14:paraId="7AD6EE48">
            <w:pPr>
              <w:pStyle w:val="237"/>
              <w:kinsoku w:val="0"/>
              <w:overflowPunct w:val="0"/>
              <w:autoSpaceDE w:val="0"/>
              <w:autoSpaceDN w:val="0"/>
              <w:spacing w:line="248" w:lineRule="exact"/>
              <w:jc w:val="center"/>
              <w:rPr>
                <w:rFonts w:hint="eastAsia" w:ascii="宋体" w:hAnsi="宋体"/>
                <w:sz w:val="24"/>
              </w:rPr>
            </w:pPr>
            <w:r>
              <w:rPr>
                <w:rFonts w:hint="eastAsia" w:ascii="宋体" w:hAnsi="宋体" w:cs="宋体"/>
                <w:sz w:val="24"/>
              </w:rPr>
              <w:t>序号</w:t>
            </w:r>
          </w:p>
        </w:tc>
        <w:tc>
          <w:tcPr>
            <w:tcW w:w="2047" w:type="dxa"/>
            <w:tcBorders>
              <w:top w:val="single" w:color="000000" w:sz="4" w:space="0"/>
              <w:left w:val="single" w:color="000000" w:sz="4" w:space="0"/>
              <w:bottom w:val="single" w:color="000000" w:sz="4" w:space="0"/>
              <w:right w:val="single" w:color="000000" w:sz="4" w:space="0"/>
            </w:tcBorders>
            <w:vAlign w:val="center"/>
          </w:tcPr>
          <w:p w14:paraId="22803379">
            <w:pPr>
              <w:pStyle w:val="237"/>
              <w:kinsoku w:val="0"/>
              <w:overflowPunct w:val="0"/>
              <w:autoSpaceDE w:val="0"/>
              <w:autoSpaceDN w:val="0"/>
              <w:spacing w:line="248" w:lineRule="exact"/>
              <w:jc w:val="center"/>
              <w:rPr>
                <w:rFonts w:hint="eastAsia" w:ascii="宋体" w:hAnsi="宋体"/>
                <w:sz w:val="24"/>
              </w:rPr>
            </w:pPr>
            <w:r>
              <w:rPr>
                <w:rFonts w:hint="eastAsia" w:ascii="宋体" w:hAnsi="宋体" w:cs="宋体"/>
                <w:sz w:val="24"/>
              </w:rPr>
              <w:t>采购文件条目号</w:t>
            </w:r>
          </w:p>
        </w:tc>
        <w:tc>
          <w:tcPr>
            <w:tcW w:w="3544" w:type="dxa"/>
            <w:tcBorders>
              <w:top w:val="single" w:color="000000" w:sz="4" w:space="0"/>
              <w:left w:val="single" w:color="000000" w:sz="4" w:space="0"/>
              <w:bottom w:val="single" w:color="000000" w:sz="4" w:space="0"/>
              <w:right w:val="single" w:color="000000" w:sz="4" w:space="0"/>
            </w:tcBorders>
            <w:vAlign w:val="center"/>
          </w:tcPr>
          <w:p w14:paraId="2B43716A">
            <w:pPr>
              <w:pStyle w:val="237"/>
              <w:kinsoku w:val="0"/>
              <w:overflowPunct w:val="0"/>
              <w:autoSpaceDE w:val="0"/>
              <w:autoSpaceDN w:val="0"/>
              <w:spacing w:line="248" w:lineRule="exact"/>
              <w:ind w:left="35"/>
              <w:jc w:val="center"/>
              <w:rPr>
                <w:rFonts w:hint="eastAsia" w:ascii="宋体" w:hAnsi="宋体"/>
                <w:sz w:val="24"/>
              </w:rPr>
            </w:pPr>
            <w:r>
              <w:rPr>
                <w:rFonts w:hint="eastAsia" w:ascii="宋体" w:hAnsi="宋体" w:cs="宋体"/>
                <w:sz w:val="24"/>
              </w:rPr>
              <w:t>采购文件要求的技术规范条款</w:t>
            </w:r>
          </w:p>
        </w:tc>
        <w:tc>
          <w:tcPr>
            <w:tcW w:w="1418" w:type="dxa"/>
            <w:tcBorders>
              <w:top w:val="single" w:color="000000" w:sz="4" w:space="0"/>
              <w:left w:val="single" w:color="000000" w:sz="4" w:space="0"/>
              <w:bottom w:val="single" w:color="000000" w:sz="4" w:space="0"/>
              <w:right w:val="single" w:color="000000" w:sz="4" w:space="0"/>
            </w:tcBorders>
            <w:vAlign w:val="center"/>
          </w:tcPr>
          <w:p w14:paraId="5562BBC9">
            <w:pPr>
              <w:pStyle w:val="237"/>
              <w:kinsoku w:val="0"/>
              <w:overflowPunct w:val="0"/>
              <w:autoSpaceDE w:val="0"/>
              <w:autoSpaceDN w:val="0"/>
              <w:spacing w:line="248" w:lineRule="exact"/>
              <w:jc w:val="center"/>
              <w:rPr>
                <w:rFonts w:hint="eastAsia" w:ascii="宋体" w:hAnsi="宋体"/>
                <w:sz w:val="24"/>
              </w:rPr>
            </w:pPr>
            <w:r>
              <w:rPr>
                <w:rFonts w:hint="eastAsia" w:ascii="宋体" w:hAnsi="宋体" w:cs="宋体"/>
                <w:sz w:val="24"/>
              </w:rPr>
              <w:t>磋商响应</w:t>
            </w:r>
          </w:p>
        </w:tc>
        <w:tc>
          <w:tcPr>
            <w:tcW w:w="1417" w:type="dxa"/>
            <w:tcBorders>
              <w:top w:val="single" w:color="000000" w:sz="4" w:space="0"/>
              <w:left w:val="single" w:color="000000" w:sz="4" w:space="0"/>
              <w:bottom w:val="single" w:color="000000" w:sz="4" w:space="0"/>
              <w:right w:val="single" w:color="000000" w:sz="4" w:space="0"/>
            </w:tcBorders>
            <w:vAlign w:val="center"/>
          </w:tcPr>
          <w:p w14:paraId="47CAE469">
            <w:pPr>
              <w:pStyle w:val="237"/>
              <w:kinsoku w:val="0"/>
              <w:overflowPunct w:val="0"/>
              <w:autoSpaceDE w:val="0"/>
              <w:autoSpaceDN w:val="0"/>
              <w:spacing w:line="248" w:lineRule="exact"/>
              <w:ind w:left="91" w:right="-13"/>
              <w:jc w:val="center"/>
              <w:rPr>
                <w:rFonts w:hint="eastAsia" w:ascii="宋体" w:hAnsi="宋体"/>
                <w:sz w:val="24"/>
              </w:rPr>
            </w:pPr>
            <w:r>
              <w:rPr>
                <w:rFonts w:hint="eastAsia" w:ascii="宋体" w:hAnsi="宋体" w:cs="宋体"/>
                <w:sz w:val="24"/>
              </w:rPr>
              <w:t>偏离说明</w:t>
            </w:r>
          </w:p>
        </w:tc>
      </w:tr>
      <w:tr w14:paraId="0EE9A466">
        <w:tblPrEx>
          <w:tblCellMar>
            <w:top w:w="0" w:type="dxa"/>
            <w:left w:w="0" w:type="dxa"/>
            <w:bottom w:w="0" w:type="dxa"/>
            <w:right w:w="0" w:type="dxa"/>
          </w:tblCellMar>
        </w:tblPrEx>
        <w:trPr>
          <w:trHeight w:val="472" w:hRule="exact"/>
        </w:trPr>
        <w:tc>
          <w:tcPr>
            <w:tcW w:w="686" w:type="dxa"/>
            <w:tcBorders>
              <w:top w:val="single" w:color="000000" w:sz="4" w:space="0"/>
              <w:left w:val="single" w:color="000000" w:sz="4" w:space="0"/>
              <w:bottom w:val="single" w:color="000000" w:sz="4" w:space="0"/>
              <w:right w:val="single" w:color="000000" w:sz="4" w:space="0"/>
            </w:tcBorders>
          </w:tcPr>
          <w:p w14:paraId="79CEFDA2">
            <w:pPr>
              <w:pStyle w:val="237"/>
              <w:kinsoku w:val="0"/>
              <w:overflowPunct w:val="0"/>
              <w:autoSpaceDE w:val="0"/>
              <w:autoSpaceDN w:val="0"/>
              <w:spacing w:line="248" w:lineRule="exact"/>
              <w:ind w:left="103"/>
              <w:jc w:val="center"/>
              <w:rPr>
                <w:rFonts w:hint="eastAsia" w:ascii="宋体" w:hAnsi="宋体"/>
                <w:sz w:val="24"/>
              </w:rPr>
            </w:pPr>
            <w:r>
              <w:rPr>
                <w:rFonts w:ascii="宋体" w:hAnsi="宋体" w:cs="宋体"/>
                <w:sz w:val="24"/>
              </w:rPr>
              <w:t xml:space="preserve"> </w:t>
            </w:r>
          </w:p>
        </w:tc>
        <w:tc>
          <w:tcPr>
            <w:tcW w:w="2047" w:type="dxa"/>
            <w:tcBorders>
              <w:top w:val="single" w:color="000000" w:sz="4" w:space="0"/>
              <w:left w:val="single" w:color="000000" w:sz="4" w:space="0"/>
              <w:bottom w:val="single" w:color="000000" w:sz="4" w:space="0"/>
              <w:right w:val="single" w:color="000000" w:sz="4" w:space="0"/>
            </w:tcBorders>
          </w:tcPr>
          <w:p w14:paraId="14E53993">
            <w:pPr>
              <w:pStyle w:val="237"/>
              <w:kinsoku w:val="0"/>
              <w:overflowPunct w:val="0"/>
              <w:autoSpaceDE w:val="0"/>
              <w:autoSpaceDN w:val="0"/>
              <w:spacing w:line="248" w:lineRule="exact"/>
              <w:ind w:left="104"/>
              <w:jc w:val="center"/>
              <w:rPr>
                <w:rFonts w:hint="eastAsia" w:ascii="宋体" w:hAnsi="宋体"/>
                <w:sz w:val="24"/>
              </w:rPr>
            </w:pPr>
            <w:r>
              <w:rPr>
                <w:rFonts w:ascii="宋体" w:hAnsi="宋体" w:cs="宋体"/>
                <w:sz w:val="24"/>
              </w:rPr>
              <w:t xml:space="preserve"> </w:t>
            </w:r>
          </w:p>
        </w:tc>
        <w:tc>
          <w:tcPr>
            <w:tcW w:w="3544" w:type="dxa"/>
            <w:tcBorders>
              <w:top w:val="single" w:color="000000" w:sz="4" w:space="0"/>
              <w:left w:val="single" w:color="000000" w:sz="4" w:space="0"/>
              <w:bottom w:val="single" w:color="000000" w:sz="4" w:space="0"/>
              <w:right w:val="single" w:color="000000" w:sz="4" w:space="0"/>
            </w:tcBorders>
          </w:tcPr>
          <w:p w14:paraId="38DE6A7C">
            <w:pPr>
              <w:pStyle w:val="237"/>
              <w:kinsoku w:val="0"/>
              <w:overflowPunct w:val="0"/>
              <w:autoSpaceDE w:val="0"/>
              <w:autoSpaceDN w:val="0"/>
              <w:spacing w:line="248" w:lineRule="exact"/>
              <w:ind w:left="102"/>
              <w:jc w:val="center"/>
              <w:rPr>
                <w:rFonts w:hint="eastAsia" w:ascii="宋体" w:hAnsi="宋体"/>
                <w:sz w:val="24"/>
              </w:rPr>
            </w:pPr>
            <w:r>
              <w:rPr>
                <w:rFonts w:ascii="宋体" w:hAnsi="宋体" w:cs="宋体"/>
                <w:sz w:val="24"/>
              </w:rPr>
              <w:t xml:space="preserve"> </w:t>
            </w:r>
          </w:p>
        </w:tc>
        <w:tc>
          <w:tcPr>
            <w:tcW w:w="1418" w:type="dxa"/>
            <w:tcBorders>
              <w:top w:val="single" w:color="000000" w:sz="4" w:space="0"/>
              <w:left w:val="single" w:color="000000" w:sz="4" w:space="0"/>
              <w:bottom w:val="single" w:color="000000" w:sz="4" w:space="0"/>
              <w:right w:val="single" w:color="000000" w:sz="4" w:space="0"/>
            </w:tcBorders>
          </w:tcPr>
          <w:p w14:paraId="47A7E5B9">
            <w:pPr>
              <w:pStyle w:val="237"/>
              <w:kinsoku w:val="0"/>
              <w:overflowPunct w:val="0"/>
              <w:autoSpaceDE w:val="0"/>
              <w:autoSpaceDN w:val="0"/>
              <w:spacing w:line="248" w:lineRule="exact"/>
              <w:ind w:left="102"/>
              <w:jc w:val="center"/>
              <w:rPr>
                <w:rFonts w:hint="eastAsia" w:ascii="宋体" w:hAnsi="宋体"/>
                <w:sz w:val="24"/>
              </w:rPr>
            </w:pPr>
            <w:r>
              <w:rPr>
                <w:rFonts w:ascii="宋体" w:hAnsi="宋体" w:cs="宋体"/>
                <w:sz w:val="24"/>
              </w:rPr>
              <w:t xml:space="preserve"> </w:t>
            </w:r>
          </w:p>
        </w:tc>
        <w:tc>
          <w:tcPr>
            <w:tcW w:w="1417" w:type="dxa"/>
            <w:tcBorders>
              <w:top w:val="single" w:color="000000" w:sz="4" w:space="0"/>
              <w:left w:val="single" w:color="000000" w:sz="4" w:space="0"/>
              <w:bottom w:val="single" w:color="000000" w:sz="4" w:space="0"/>
              <w:right w:val="single" w:color="000000" w:sz="4" w:space="0"/>
            </w:tcBorders>
          </w:tcPr>
          <w:p w14:paraId="0F24B969">
            <w:pPr>
              <w:pStyle w:val="237"/>
              <w:kinsoku w:val="0"/>
              <w:overflowPunct w:val="0"/>
              <w:autoSpaceDE w:val="0"/>
              <w:autoSpaceDN w:val="0"/>
              <w:spacing w:line="248" w:lineRule="exact"/>
              <w:ind w:left="103"/>
              <w:jc w:val="center"/>
              <w:rPr>
                <w:rFonts w:hint="eastAsia" w:ascii="宋体" w:hAnsi="宋体"/>
                <w:sz w:val="24"/>
              </w:rPr>
            </w:pPr>
            <w:r>
              <w:rPr>
                <w:rFonts w:ascii="宋体" w:hAnsi="宋体" w:cs="宋体"/>
                <w:sz w:val="24"/>
              </w:rPr>
              <w:t xml:space="preserve"> </w:t>
            </w:r>
          </w:p>
        </w:tc>
      </w:tr>
      <w:tr w14:paraId="3FC20B4F">
        <w:tblPrEx>
          <w:tblCellMar>
            <w:top w:w="0" w:type="dxa"/>
            <w:left w:w="0" w:type="dxa"/>
            <w:bottom w:w="0" w:type="dxa"/>
            <w:right w:w="0" w:type="dxa"/>
          </w:tblCellMar>
        </w:tblPrEx>
        <w:trPr>
          <w:trHeight w:val="475" w:hRule="exact"/>
        </w:trPr>
        <w:tc>
          <w:tcPr>
            <w:tcW w:w="686" w:type="dxa"/>
            <w:tcBorders>
              <w:top w:val="single" w:color="000000" w:sz="4" w:space="0"/>
              <w:left w:val="single" w:color="000000" w:sz="4" w:space="0"/>
              <w:bottom w:val="single" w:color="000000" w:sz="4" w:space="0"/>
              <w:right w:val="single" w:color="000000" w:sz="4" w:space="0"/>
            </w:tcBorders>
          </w:tcPr>
          <w:p w14:paraId="345499D3">
            <w:pPr>
              <w:pStyle w:val="237"/>
              <w:kinsoku w:val="0"/>
              <w:overflowPunct w:val="0"/>
              <w:autoSpaceDE w:val="0"/>
              <w:autoSpaceDN w:val="0"/>
              <w:spacing w:line="248" w:lineRule="exact"/>
              <w:ind w:left="103"/>
              <w:jc w:val="center"/>
              <w:rPr>
                <w:rFonts w:hint="eastAsia" w:ascii="宋体" w:hAnsi="宋体"/>
                <w:sz w:val="24"/>
              </w:rPr>
            </w:pPr>
            <w:r>
              <w:rPr>
                <w:rFonts w:ascii="宋体" w:hAnsi="宋体" w:cs="宋体"/>
                <w:sz w:val="24"/>
              </w:rPr>
              <w:t xml:space="preserve"> </w:t>
            </w:r>
          </w:p>
        </w:tc>
        <w:tc>
          <w:tcPr>
            <w:tcW w:w="2047" w:type="dxa"/>
            <w:tcBorders>
              <w:top w:val="single" w:color="000000" w:sz="4" w:space="0"/>
              <w:left w:val="single" w:color="000000" w:sz="4" w:space="0"/>
              <w:bottom w:val="single" w:color="000000" w:sz="4" w:space="0"/>
              <w:right w:val="single" w:color="000000" w:sz="4" w:space="0"/>
            </w:tcBorders>
          </w:tcPr>
          <w:p w14:paraId="2C9DF30B">
            <w:pPr>
              <w:pStyle w:val="237"/>
              <w:kinsoku w:val="0"/>
              <w:overflowPunct w:val="0"/>
              <w:autoSpaceDE w:val="0"/>
              <w:autoSpaceDN w:val="0"/>
              <w:spacing w:line="248" w:lineRule="exact"/>
              <w:ind w:left="104"/>
              <w:jc w:val="center"/>
              <w:rPr>
                <w:rFonts w:hint="eastAsia" w:ascii="宋体" w:hAnsi="宋体"/>
                <w:sz w:val="24"/>
              </w:rPr>
            </w:pPr>
            <w:r>
              <w:rPr>
                <w:rFonts w:ascii="宋体" w:hAnsi="宋体" w:cs="宋体"/>
                <w:sz w:val="24"/>
              </w:rPr>
              <w:t xml:space="preserve"> </w:t>
            </w:r>
          </w:p>
        </w:tc>
        <w:tc>
          <w:tcPr>
            <w:tcW w:w="3544" w:type="dxa"/>
            <w:tcBorders>
              <w:top w:val="single" w:color="000000" w:sz="4" w:space="0"/>
              <w:left w:val="single" w:color="000000" w:sz="4" w:space="0"/>
              <w:bottom w:val="single" w:color="000000" w:sz="4" w:space="0"/>
              <w:right w:val="single" w:color="000000" w:sz="4" w:space="0"/>
            </w:tcBorders>
          </w:tcPr>
          <w:p w14:paraId="4281BA19">
            <w:pPr>
              <w:pStyle w:val="237"/>
              <w:kinsoku w:val="0"/>
              <w:overflowPunct w:val="0"/>
              <w:autoSpaceDE w:val="0"/>
              <w:autoSpaceDN w:val="0"/>
              <w:spacing w:line="248" w:lineRule="exact"/>
              <w:ind w:left="102"/>
              <w:jc w:val="center"/>
              <w:rPr>
                <w:rFonts w:hint="eastAsia" w:ascii="宋体" w:hAnsi="宋体"/>
                <w:sz w:val="24"/>
              </w:rPr>
            </w:pPr>
            <w:r>
              <w:rPr>
                <w:rFonts w:ascii="宋体" w:hAnsi="宋体" w:cs="宋体"/>
                <w:sz w:val="24"/>
              </w:rPr>
              <w:t xml:space="preserve"> </w:t>
            </w:r>
          </w:p>
        </w:tc>
        <w:tc>
          <w:tcPr>
            <w:tcW w:w="1418" w:type="dxa"/>
            <w:tcBorders>
              <w:top w:val="single" w:color="000000" w:sz="4" w:space="0"/>
              <w:left w:val="single" w:color="000000" w:sz="4" w:space="0"/>
              <w:bottom w:val="single" w:color="000000" w:sz="4" w:space="0"/>
              <w:right w:val="single" w:color="000000" w:sz="4" w:space="0"/>
            </w:tcBorders>
          </w:tcPr>
          <w:p w14:paraId="05CD2767">
            <w:pPr>
              <w:pStyle w:val="237"/>
              <w:kinsoku w:val="0"/>
              <w:overflowPunct w:val="0"/>
              <w:autoSpaceDE w:val="0"/>
              <w:autoSpaceDN w:val="0"/>
              <w:spacing w:line="248" w:lineRule="exact"/>
              <w:ind w:left="102"/>
              <w:jc w:val="center"/>
              <w:rPr>
                <w:rFonts w:hint="eastAsia" w:ascii="宋体" w:hAnsi="宋体"/>
                <w:sz w:val="24"/>
              </w:rPr>
            </w:pPr>
            <w:r>
              <w:rPr>
                <w:rFonts w:ascii="宋体" w:hAnsi="宋体" w:cs="宋体"/>
                <w:sz w:val="24"/>
              </w:rPr>
              <w:t xml:space="preserve"> </w:t>
            </w:r>
          </w:p>
        </w:tc>
        <w:tc>
          <w:tcPr>
            <w:tcW w:w="1417" w:type="dxa"/>
            <w:tcBorders>
              <w:top w:val="single" w:color="000000" w:sz="4" w:space="0"/>
              <w:left w:val="single" w:color="000000" w:sz="4" w:space="0"/>
              <w:bottom w:val="single" w:color="000000" w:sz="4" w:space="0"/>
              <w:right w:val="single" w:color="000000" w:sz="4" w:space="0"/>
            </w:tcBorders>
          </w:tcPr>
          <w:p w14:paraId="2A6D577C">
            <w:pPr>
              <w:pStyle w:val="237"/>
              <w:kinsoku w:val="0"/>
              <w:overflowPunct w:val="0"/>
              <w:autoSpaceDE w:val="0"/>
              <w:autoSpaceDN w:val="0"/>
              <w:spacing w:line="248" w:lineRule="exact"/>
              <w:ind w:left="103"/>
              <w:jc w:val="center"/>
              <w:rPr>
                <w:rFonts w:hint="eastAsia" w:ascii="宋体" w:hAnsi="宋体"/>
                <w:sz w:val="24"/>
              </w:rPr>
            </w:pPr>
            <w:r>
              <w:rPr>
                <w:rFonts w:ascii="宋体" w:hAnsi="宋体" w:cs="宋体"/>
                <w:sz w:val="24"/>
              </w:rPr>
              <w:t xml:space="preserve"> </w:t>
            </w:r>
          </w:p>
        </w:tc>
      </w:tr>
      <w:tr w14:paraId="3747B259">
        <w:tblPrEx>
          <w:tblCellMar>
            <w:top w:w="0" w:type="dxa"/>
            <w:left w:w="0" w:type="dxa"/>
            <w:bottom w:w="0" w:type="dxa"/>
            <w:right w:w="0" w:type="dxa"/>
          </w:tblCellMar>
        </w:tblPrEx>
        <w:trPr>
          <w:trHeight w:val="477" w:hRule="exact"/>
        </w:trPr>
        <w:tc>
          <w:tcPr>
            <w:tcW w:w="686" w:type="dxa"/>
            <w:tcBorders>
              <w:top w:val="single" w:color="000000" w:sz="4" w:space="0"/>
              <w:left w:val="single" w:color="000000" w:sz="4" w:space="0"/>
              <w:bottom w:val="single" w:color="000000" w:sz="4" w:space="0"/>
              <w:right w:val="single" w:color="000000" w:sz="4" w:space="0"/>
            </w:tcBorders>
          </w:tcPr>
          <w:p w14:paraId="1238B8AF">
            <w:pPr>
              <w:pStyle w:val="237"/>
              <w:kinsoku w:val="0"/>
              <w:overflowPunct w:val="0"/>
              <w:autoSpaceDE w:val="0"/>
              <w:autoSpaceDN w:val="0"/>
              <w:spacing w:line="248" w:lineRule="exact"/>
              <w:ind w:left="103"/>
              <w:jc w:val="center"/>
              <w:rPr>
                <w:rFonts w:hint="eastAsia" w:ascii="宋体" w:hAnsi="宋体"/>
                <w:sz w:val="24"/>
              </w:rPr>
            </w:pPr>
            <w:r>
              <w:rPr>
                <w:rFonts w:ascii="宋体" w:hAnsi="宋体" w:cs="宋体"/>
                <w:sz w:val="24"/>
              </w:rPr>
              <w:t xml:space="preserve"> </w:t>
            </w:r>
          </w:p>
        </w:tc>
        <w:tc>
          <w:tcPr>
            <w:tcW w:w="2047" w:type="dxa"/>
            <w:tcBorders>
              <w:top w:val="single" w:color="000000" w:sz="4" w:space="0"/>
              <w:left w:val="single" w:color="000000" w:sz="4" w:space="0"/>
              <w:bottom w:val="single" w:color="000000" w:sz="4" w:space="0"/>
              <w:right w:val="single" w:color="000000" w:sz="4" w:space="0"/>
            </w:tcBorders>
          </w:tcPr>
          <w:p w14:paraId="2511C307">
            <w:pPr>
              <w:pStyle w:val="237"/>
              <w:kinsoku w:val="0"/>
              <w:overflowPunct w:val="0"/>
              <w:autoSpaceDE w:val="0"/>
              <w:autoSpaceDN w:val="0"/>
              <w:spacing w:line="248" w:lineRule="exact"/>
              <w:ind w:left="104"/>
              <w:jc w:val="center"/>
              <w:rPr>
                <w:rFonts w:hint="eastAsia" w:ascii="宋体" w:hAnsi="宋体"/>
                <w:sz w:val="24"/>
              </w:rPr>
            </w:pPr>
            <w:r>
              <w:rPr>
                <w:rFonts w:ascii="宋体" w:hAnsi="宋体" w:cs="宋体"/>
                <w:sz w:val="24"/>
              </w:rPr>
              <w:t xml:space="preserve"> </w:t>
            </w:r>
          </w:p>
        </w:tc>
        <w:tc>
          <w:tcPr>
            <w:tcW w:w="3544" w:type="dxa"/>
            <w:tcBorders>
              <w:top w:val="single" w:color="000000" w:sz="4" w:space="0"/>
              <w:left w:val="single" w:color="000000" w:sz="4" w:space="0"/>
              <w:bottom w:val="single" w:color="000000" w:sz="4" w:space="0"/>
              <w:right w:val="single" w:color="000000" w:sz="4" w:space="0"/>
            </w:tcBorders>
          </w:tcPr>
          <w:p w14:paraId="3573B8E3">
            <w:pPr>
              <w:pStyle w:val="237"/>
              <w:kinsoku w:val="0"/>
              <w:overflowPunct w:val="0"/>
              <w:autoSpaceDE w:val="0"/>
              <w:autoSpaceDN w:val="0"/>
              <w:spacing w:line="248" w:lineRule="exact"/>
              <w:ind w:left="102"/>
              <w:jc w:val="center"/>
              <w:rPr>
                <w:rFonts w:hint="eastAsia" w:ascii="宋体" w:hAnsi="宋体"/>
                <w:sz w:val="24"/>
              </w:rPr>
            </w:pPr>
            <w:r>
              <w:rPr>
                <w:rFonts w:ascii="宋体" w:hAnsi="宋体" w:cs="宋体"/>
                <w:sz w:val="24"/>
              </w:rPr>
              <w:t xml:space="preserve"> </w:t>
            </w:r>
          </w:p>
        </w:tc>
        <w:tc>
          <w:tcPr>
            <w:tcW w:w="1418" w:type="dxa"/>
            <w:tcBorders>
              <w:top w:val="single" w:color="000000" w:sz="4" w:space="0"/>
              <w:left w:val="single" w:color="000000" w:sz="4" w:space="0"/>
              <w:bottom w:val="single" w:color="000000" w:sz="4" w:space="0"/>
              <w:right w:val="single" w:color="000000" w:sz="4" w:space="0"/>
            </w:tcBorders>
          </w:tcPr>
          <w:p w14:paraId="3388B209">
            <w:pPr>
              <w:pStyle w:val="237"/>
              <w:kinsoku w:val="0"/>
              <w:overflowPunct w:val="0"/>
              <w:autoSpaceDE w:val="0"/>
              <w:autoSpaceDN w:val="0"/>
              <w:spacing w:line="248" w:lineRule="exact"/>
              <w:ind w:left="102"/>
              <w:jc w:val="center"/>
              <w:rPr>
                <w:rFonts w:hint="eastAsia" w:ascii="宋体" w:hAnsi="宋体"/>
                <w:sz w:val="24"/>
              </w:rPr>
            </w:pPr>
            <w:r>
              <w:rPr>
                <w:rFonts w:ascii="宋体" w:hAnsi="宋体" w:cs="宋体"/>
                <w:sz w:val="24"/>
              </w:rPr>
              <w:t xml:space="preserve"> </w:t>
            </w:r>
          </w:p>
        </w:tc>
        <w:tc>
          <w:tcPr>
            <w:tcW w:w="1417" w:type="dxa"/>
            <w:tcBorders>
              <w:top w:val="single" w:color="000000" w:sz="4" w:space="0"/>
              <w:left w:val="single" w:color="000000" w:sz="4" w:space="0"/>
              <w:bottom w:val="single" w:color="000000" w:sz="4" w:space="0"/>
              <w:right w:val="single" w:color="000000" w:sz="4" w:space="0"/>
            </w:tcBorders>
          </w:tcPr>
          <w:p w14:paraId="1E22C762">
            <w:pPr>
              <w:pStyle w:val="237"/>
              <w:kinsoku w:val="0"/>
              <w:overflowPunct w:val="0"/>
              <w:autoSpaceDE w:val="0"/>
              <w:autoSpaceDN w:val="0"/>
              <w:spacing w:line="248" w:lineRule="exact"/>
              <w:ind w:left="103"/>
              <w:jc w:val="center"/>
              <w:rPr>
                <w:rFonts w:hint="eastAsia" w:ascii="宋体" w:hAnsi="宋体"/>
                <w:sz w:val="24"/>
              </w:rPr>
            </w:pPr>
            <w:r>
              <w:rPr>
                <w:rFonts w:ascii="宋体" w:hAnsi="宋体" w:cs="宋体"/>
                <w:sz w:val="24"/>
              </w:rPr>
              <w:t xml:space="preserve"> </w:t>
            </w:r>
          </w:p>
        </w:tc>
      </w:tr>
      <w:tr w14:paraId="058C7AE6">
        <w:tblPrEx>
          <w:tblCellMar>
            <w:top w:w="0" w:type="dxa"/>
            <w:left w:w="0" w:type="dxa"/>
            <w:bottom w:w="0" w:type="dxa"/>
            <w:right w:w="0" w:type="dxa"/>
          </w:tblCellMar>
        </w:tblPrEx>
        <w:trPr>
          <w:trHeight w:val="472" w:hRule="exact"/>
        </w:trPr>
        <w:tc>
          <w:tcPr>
            <w:tcW w:w="686" w:type="dxa"/>
            <w:tcBorders>
              <w:top w:val="single" w:color="000000" w:sz="4" w:space="0"/>
              <w:left w:val="single" w:color="000000" w:sz="4" w:space="0"/>
              <w:bottom w:val="single" w:color="000000" w:sz="4" w:space="0"/>
              <w:right w:val="single" w:color="000000" w:sz="4" w:space="0"/>
            </w:tcBorders>
          </w:tcPr>
          <w:p w14:paraId="5491DF91">
            <w:pPr>
              <w:pStyle w:val="237"/>
              <w:kinsoku w:val="0"/>
              <w:overflowPunct w:val="0"/>
              <w:autoSpaceDE w:val="0"/>
              <w:autoSpaceDN w:val="0"/>
              <w:spacing w:line="246" w:lineRule="exact"/>
              <w:ind w:left="103"/>
              <w:jc w:val="center"/>
              <w:rPr>
                <w:rFonts w:hint="eastAsia" w:ascii="宋体" w:hAnsi="宋体"/>
                <w:sz w:val="24"/>
              </w:rPr>
            </w:pPr>
            <w:r>
              <w:rPr>
                <w:rFonts w:ascii="宋体" w:hAnsi="宋体" w:cs="宋体"/>
                <w:sz w:val="24"/>
              </w:rPr>
              <w:t xml:space="preserve"> </w:t>
            </w:r>
          </w:p>
        </w:tc>
        <w:tc>
          <w:tcPr>
            <w:tcW w:w="2047" w:type="dxa"/>
            <w:tcBorders>
              <w:top w:val="single" w:color="000000" w:sz="4" w:space="0"/>
              <w:left w:val="single" w:color="000000" w:sz="4" w:space="0"/>
              <w:bottom w:val="single" w:color="000000" w:sz="4" w:space="0"/>
              <w:right w:val="single" w:color="000000" w:sz="4" w:space="0"/>
            </w:tcBorders>
          </w:tcPr>
          <w:p w14:paraId="7B3A9257">
            <w:pPr>
              <w:pStyle w:val="237"/>
              <w:kinsoku w:val="0"/>
              <w:overflowPunct w:val="0"/>
              <w:autoSpaceDE w:val="0"/>
              <w:autoSpaceDN w:val="0"/>
              <w:spacing w:line="246" w:lineRule="exact"/>
              <w:ind w:left="104"/>
              <w:jc w:val="center"/>
              <w:rPr>
                <w:rFonts w:hint="eastAsia" w:ascii="宋体" w:hAnsi="宋体"/>
                <w:sz w:val="24"/>
              </w:rPr>
            </w:pPr>
            <w:r>
              <w:rPr>
                <w:rFonts w:ascii="宋体" w:hAnsi="宋体" w:cs="宋体"/>
                <w:sz w:val="24"/>
              </w:rPr>
              <w:t xml:space="preserve"> </w:t>
            </w:r>
          </w:p>
        </w:tc>
        <w:tc>
          <w:tcPr>
            <w:tcW w:w="3544" w:type="dxa"/>
            <w:tcBorders>
              <w:top w:val="single" w:color="000000" w:sz="4" w:space="0"/>
              <w:left w:val="single" w:color="000000" w:sz="4" w:space="0"/>
              <w:bottom w:val="single" w:color="000000" w:sz="4" w:space="0"/>
              <w:right w:val="single" w:color="000000" w:sz="4" w:space="0"/>
            </w:tcBorders>
          </w:tcPr>
          <w:p w14:paraId="110D1D8D">
            <w:pPr>
              <w:pStyle w:val="237"/>
              <w:kinsoku w:val="0"/>
              <w:overflowPunct w:val="0"/>
              <w:autoSpaceDE w:val="0"/>
              <w:autoSpaceDN w:val="0"/>
              <w:spacing w:line="246" w:lineRule="exact"/>
              <w:ind w:left="102"/>
              <w:jc w:val="center"/>
              <w:rPr>
                <w:rFonts w:hint="eastAsia" w:ascii="宋体" w:hAnsi="宋体"/>
                <w:sz w:val="24"/>
              </w:rPr>
            </w:pPr>
            <w:r>
              <w:rPr>
                <w:rFonts w:ascii="宋体" w:hAnsi="宋体" w:cs="宋体"/>
                <w:sz w:val="24"/>
              </w:rPr>
              <w:t xml:space="preserve"> </w:t>
            </w:r>
          </w:p>
        </w:tc>
        <w:tc>
          <w:tcPr>
            <w:tcW w:w="1418" w:type="dxa"/>
            <w:tcBorders>
              <w:top w:val="single" w:color="000000" w:sz="4" w:space="0"/>
              <w:left w:val="single" w:color="000000" w:sz="4" w:space="0"/>
              <w:bottom w:val="single" w:color="000000" w:sz="4" w:space="0"/>
              <w:right w:val="single" w:color="000000" w:sz="4" w:space="0"/>
            </w:tcBorders>
          </w:tcPr>
          <w:p w14:paraId="3F336D22">
            <w:pPr>
              <w:pStyle w:val="237"/>
              <w:kinsoku w:val="0"/>
              <w:overflowPunct w:val="0"/>
              <w:autoSpaceDE w:val="0"/>
              <w:autoSpaceDN w:val="0"/>
              <w:spacing w:line="246" w:lineRule="exact"/>
              <w:ind w:left="102"/>
              <w:jc w:val="center"/>
              <w:rPr>
                <w:rFonts w:hint="eastAsia" w:ascii="宋体" w:hAnsi="宋体"/>
                <w:sz w:val="24"/>
              </w:rPr>
            </w:pPr>
            <w:r>
              <w:rPr>
                <w:rFonts w:ascii="宋体" w:hAnsi="宋体" w:cs="宋体"/>
                <w:sz w:val="24"/>
              </w:rPr>
              <w:t xml:space="preserve"> </w:t>
            </w:r>
          </w:p>
        </w:tc>
        <w:tc>
          <w:tcPr>
            <w:tcW w:w="1417" w:type="dxa"/>
            <w:tcBorders>
              <w:top w:val="single" w:color="000000" w:sz="4" w:space="0"/>
              <w:left w:val="single" w:color="000000" w:sz="4" w:space="0"/>
              <w:bottom w:val="single" w:color="000000" w:sz="4" w:space="0"/>
              <w:right w:val="single" w:color="000000" w:sz="4" w:space="0"/>
            </w:tcBorders>
          </w:tcPr>
          <w:p w14:paraId="32EE930F">
            <w:pPr>
              <w:pStyle w:val="237"/>
              <w:kinsoku w:val="0"/>
              <w:overflowPunct w:val="0"/>
              <w:autoSpaceDE w:val="0"/>
              <w:autoSpaceDN w:val="0"/>
              <w:spacing w:line="246" w:lineRule="exact"/>
              <w:ind w:left="103"/>
              <w:jc w:val="center"/>
              <w:rPr>
                <w:rFonts w:hint="eastAsia" w:ascii="宋体" w:hAnsi="宋体"/>
                <w:sz w:val="24"/>
              </w:rPr>
            </w:pPr>
            <w:r>
              <w:rPr>
                <w:rFonts w:ascii="宋体" w:hAnsi="宋体" w:cs="宋体"/>
                <w:sz w:val="24"/>
              </w:rPr>
              <w:t xml:space="preserve"> </w:t>
            </w:r>
          </w:p>
        </w:tc>
      </w:tr>
      <w:tr w14:paraId="62AFF4A1">
        <w:tblPrEx>
          <w:tblCellMar>
            <w:top w:w="0" w:type="dxa"/>
            <w:left w:w="0" w:type="dxa"/>
            <w:bottom w:w="0" w:type="dxa"/>
            <w:right w:w="0" w:type="dxa"/>
          </w:tblCellMar>
        </w:tblPrEx>
        <w:trPr>
          <w:trHeight w:val="475" w:hRule="exact"/>
        </w:trPr>
        <w:tc>
          <w:tcPr>
            <w:tcW w:w="686" w:type="dxa"/>
            <w:tcBorders>
              <w:top w:val="single" w:color="000000" w:sz="4" w:space="0"/>
              <w:left w:val="single" w:color="000000" w:sz="4" w:space="0"/>
              <w:bottom w:val="single" w:color="000000" w:sz="4" w:space="0"/>
              <w:right w:val="single" w:color="000000" w:sz="4" w:space="0"/>
            </w:tcBorders>
          </w:tcPr>
          <w:p w14:paraId="795371DD">
            <w:pPr>
              <w:pStyle w:val="237"/>
              <w:kinsoku w:val="0"/>
              <w:overflowPunct w:val="0"/>
              <w:autoSpaceDE w:val="0"/>
              <w:autoSpaceDN w:val="0"/>
              <w:spacing w:line="248" w:lineRule="exact"/>
              <w:ind w:left="103"/>
              <w:jc w:val="center"/>
              <w:rPr>
                <w:rFonts w:hint="eastAsia" w:ascii="宋体" w:hAnsi="宋体"/>
                <w:sz w:val="24"/>
              </w:rPr>
            </w:pPr>
            <w:r>
              <w:rPr>
                <w:rFonts w:ascii="宋体" w:hAnsi="宋体" w:cs="宋体"/>
                <w:sz w:val="24"/>
              </w:rPr>
              <w:t xml:space="preserve"> </w:t>
            </w:r>
          </w:p>
        </w:tc>
        <w:tc>
          <w:tcPr>
            <w:tcW w:w="2047" w:type="dxa"/>
            <w:tcBorders>
              <w:top w:val="single" w:color="000000" w:sz="4" w:space="0"/>
              <w:left w:val="single" w:color="000000" w:sz="4" w:space="0"/>
              <w:bottom w:val="single" w:color="000000" w:sz="4" w:space="0"/>
              <w:right w:val="single" w:color="000000" w:sz="4" w:space="0"/>
            </w:tcBorders>
          </w:tcPr>
          <w:p w14:paraId="114420DA">
            <w:pPr>
              <w:pStyle w:val="237"/>
              <w:kinsoku w:val="0"/>
              <w:overflowPunct w:val="0"/>
              <w:autoSpaceDE w:val="0"/>
              <w:autoSpaceDN w:val="0"/>
              <w:spacing w:line="248" w:lineRule="exact"/>
              <w:ind w:left="104"/>
              <w:jc w:val="center"/>
              <w:rPr>
                <w:rFonts w:hint="eastAsia" w:ascii="宋体" w:hAnsi="宋体"/>
                <w:sz w:val="24"/>
              </w:rPr>
            </w:pPr>
            <w:r>
              <w:rPr>
                <w:rFonts w:ascii="宋体" w:hAnsi="宋体" w:cs="宋体"/>
                <w:sz w:val="24"/>
              </w:rPr>
              <w:t xml:space="preserve"> </w:t>
            </w:r>
          </w:p>
        </w:tc>
        <w:tc>
          <w:tcPr>
            <w:tcW w:w="3544" w:type="dxa"/>
            <w:tcBorders>
              <w:top w:val="single" w:color="000000" w:sz="4" w:space="0"/>
              <w:left w:val="single" w:color="000000" w:sz="4" w:space="0"/>
              <w:bottom w:val="single" w:color="000000" w:sz="4" w:space="0"/>
              <w:right w:val="single" w:color="000000" w:sz="4" w:space="0"/>
            </w:tcBorders>
          </w:tcPr>
          <w:p w14:paraId="7DACFE85">
            <w:pPr>
              <w:pStyle w:val="237"/>
              <w:kinsoku w:val="0"/>
              <w:overflowPunct w:val="0"/>
              <w:autoSpaceDE w:val="0"/>
              <w:autoSpaceDN w:val="0"/>
              <w:spacing w:line="248" w:lineRule="exact"/>
              <w:ind w:left="102"/>
              <w:jc w:val="center"/>
              <w:rPr>
                <w:rFonts w:hint="eastAsia" w:ascii="宋体" w:hAnsi="宋体"/>
                <w:sz w:val="24"/>
              </w:rPr>
            </w:pPr>
            <w:r>
              <w:rPr>
                <w:rFonts w:ascii="宋体" w:hAnsi="宋体" w:cs="宋体"/>
                <w:sz w:val="24"/>
              </w:rPr>
              <w:t xml:space="preserve"> </w:t>
            </w:r>
          </w:p>
        </w:tc>
        <w:tc>
          <w:tcPr>
            <w:tcW w:w="1418" w:type="dxa"/>
            <w:tcBorders>
              <w:top w:val="single" w:color="000000" w:sz="4" w:space="0"/>
              <w:left w:val="single" w:color="000000" w:sz="4" w:space="0"/>
              <w:bottom w:val="single" w:color="000000" w:sz="4" w:space="0"/>
              <w:right w:val="single" w:color="000000" w:sz="4" w:space="0"/>
            </w:tcBorders>
          </w:tcPr>
          <w:p w14:paraId="70AD1E6A">
            <w:pPr>
              <w:pStyle w:val="237"/>
              <w:kinsoku w:val="0"/>
              <w:overflowPunct w:val="0"/>
              <w:autoSpaceDE w:val="0"/>
              <w:autoSpaceDN w:val="0"/>
              <w:spacing w:line="248" w:lineRule="exact"/>
              <w:ind w:left="102"/>
              <w:jc w:val="center"/>
              <w:rPr>
                <w:rFonts w:hint="eastAsia" w:ascii="宋体" w:hAnsi="宋体"/>
                <w:sz w:val="24"/>
              </w:rPr>
            </w:pPr>
            <w:r>
              <w:rPr>
                <w:rFonts w:ascii="宋体" w:hAnsi="宋体" w:cs="宋体"/>
                <w:sz w:val="24"/>
              </w:rPr>
              <w:t xml:space="preserve"> </w:t>
            </w:r>
          </w:p>
        </w:tc>
        <w:tc>
          <w:tcPr>
            <w:tcW w:w="1417" w:type="dxa"/>
            <w:tcBorders>
              <w:top w:val="single" w:color="000000" w:sz="4" w:space="0"/>
              <w:left w:val="single" w:color="000000" w:sz="4" w:space="0"/>
              <w:bottom w:val="single" w:color="000000" w:sz="4" w:space="0"/>
              <w:right w:val="single" w:color="000000" w:sz="4" w:space="0"/>
            </w:tcBorders>
          </w:tcPr>
          <w:p w14:paraId="3C74AA24">
            <w:pPr>
              <w:pStyle w:val="237"/>
              <w:kinsoku w:val="0"/>
              <w:overflowPunct w:val="0"/>
              <w:autoSpaceDE w:val="0"/>
              <w:autoSpaceDN w:val="0"/>
              <w:spacing w:line="248" w:lineRule="exact"/>
              <w:ind w:left="103"/>
              <w:jc w:val="center"/>
              <w:rPr>
                <w:rFonts w:hint="eastAsia" w:ascii="宋体" w:hAnsi="宋体"/>
                <w:sz w:val="24"/>
              </w:rPr>
            </w:pPr>
            <w:r>
              <w:rPr>
                <w:rFonts w:ascii="宋体" w:hAnsi="宋体" w:cs="宋体"/>
                <w:sz w:val="24"/>
              </w:rPr>
              <w:t xml:space="preserve"> </w:t>
            </w:r>
          </w:p>
        </w:tc>
      </w:tr>
    </w:tbl>
    <w:p w14:paraId="13489E41">
      <w:pPr>
        <w:pStyle w:val="17"/>
        <w:kinsoku w:val="0"/>
        <w:overflowPunct w:val="0"/>
        <w:spacing w:line="360" w:lineRule="auto"/>
        <w:ind w:firstLine="482" w:firstLineChars="200"/>
        <w:rPr>
          <w:rFonts w:hint="eastAsia" w:ascii="宋体" w:hAnsi="宋体" w:eastAsia="宋体"/>
          <w:b/>
          <w:bCs/>
          <w:sz w:val="24"/>
          <w:szCs w:val="24"/>
        </w:rPr>
      </w:pPr>
      <w:r>
        <w:rPr>
          <w:rFonts w:hint="eastAsia" w:ascii="宋体" w:hAnsi="宋体" w:eastAsia="宋体"/>
          <w:b/>
          <w:bCs/>
          <w:sz w:val="24"/>
          <w:szCs w:val="24"/>
        </w:rPr>
        <w:t>注：仅填写有偏离的条款，如本表为空，则代表全部响应。</w:t>
      </w:r>
    </w:p>
    <w:p w14:paraId="63EBEE51">
      <w:pPr>
        <w:pStyle w:val="17"/>
        <w:kinsoku w:val="0"/>
        <w:overflowPunct w:val="0"/>
        <w:spacing w:line="360" w:lineRule="auto"/>
        <w:ind w:firstLine="480" w:firstLineChars="200"/>
        <w:rPr>
          <w:rFonts w:hint="eastAsia" w:ascii="宋体" w:hAnsi="宋体" w:eastAsia="宋体"/>
          <w:sz w:val="24"/>
          <w:szCs w:val="24"/>
        </w:rPr>
      </w:pPr>
    </w:p>
    <w:p w14:paraId="6D2276EF">
      <w:pPr>
        <w:pStyle w:val="17"/>
        <w:kinsoku w:val="0"/>
        <w:overflowPunct w:val="0"/>
        <w:spacing w:line="360" w:lineRule="auto"/>
        <w:ind w:firstLine="480" w:firstLineChars="200"/>
        <w:rPr>
          <w:rFonts w:hint="eastAsia" w:ascii="宋体" w:hAnsi="宋体" w:eastAsia="宋体"/>
          <w:sz w:val="24"/>
          <w:szCs w:val="24"/>
        </w:rPr>
      </w:pPr>
    </w:p>
    <w:p w14:paraId="5E39A309">
      <w:pPr>
        <w:pStyle w:val="17"/>
        <w:kinsoku w:val="0"/>
        <w:overflowPunct w:val="0"/>
        <w:spacing w:line="360" w:lineRule="auto"/>
        <w:ind w:right="4889" w:firstLine="480" w:firstLineChars="200"/>
        <w:rPr>
          <w:rFonts w:hint="eastAsia" w:ascii="宋体" w:hAnsi="宋体" w:eastAsia="宋体"/>
          <w:sz w:val="24"/>
          <w:szCs w:val="24"/>
        </w:rPr>
      </w:pPr>
      <w:r>
        <w:rPr>
          <w:rFonts w:hint="eastAsia" w:ascii="宋体" w:hAnsi="宋体" w:eastAsia="宋体"/>
          <w:sz w:val="24"/>
          <w:szCs w:val="24"/>
        </w:rPr>
        <w:t>供应商（盖章）</w:t>
      </w:r>
      <w:r>
        <w:rPr>
          <w:rFonts w:ascii="宋体" w:hAnsi="宋体" w:eastAsia="宋体"/>
          <w:sz w:val="24"/>
          <w:szCs w:val="24"/>
        </w:rPr>
        <w:t>:</w:t>
      </w:r>
      <w:r>
        <w:rPr>
          <w:rFonts w:ascii="宋体" w:hAnsi="宋体" w:eastAsia="宋体"/>
          <w:sz w:val="24"/>
          <w:szCs w:val="24"/>
          <w:u w:val="single"/>
        </w:rPr>
        <w:t xml:space="preserve"> </w:t>
      </w:r>
      <w:r>
        <w:rPr>
          <w:rFonts w:ascii="宋体" w:hAnsi="宋体" w:eastAsia="宋体"/>
          <w:spacing w:val="-3"/>
          <w:sz w:val="24"/>
          <w:szCs w:val="24"/>
          <w:u w:val="single"/>
        </w:rPr>
        <w:t xml:space="preserve"> </w:t>
      </w:r>
      <w:r>
        <w:rPr>
          <w:rFonts w:ascii="宋体" w:hAnsi="宋体" w:eastAsia="宋体"/>
          <w:sz w:val="24"/>
          <w:szCs w:val="24"/>
          <w:u w:val="single"/>
        </w:rPr>
        <w:t xml:space="preserve">   </w:t>
      </w:r>
      <w:r>
        <w:rPr>
          <w:rFonts w:ascii="宋体" w:hAnsi="宋体" w:eastAsia="宋体"/>
          <w:spacing w:val="-2"/>
          <w:sz w:val="24"/>
          <w:szCs w:val="24"/>
          <w:u w:val="single"/>
        </w:rPr>
        <w:t xml:space="preserve"> </w:t>
      </w:r>
      <w:r>
        <w:rPr>
          <w:rFonts w:ascii="宋体" w:hAnsi="宋体" w:eastAsia="宋体"/>
          <w:sz w:val="24"/>
          <w:szCs w:val="24"/>
          <w:u w:val="single"/>
        </w:rPr>
        <w:t xml:space="preserve"> </w:t>
      </w:r>
      <w:r>
        <w:rPr>
          <w:rFonts w:ascii="宋体" w:hAnsi="宋体" w:eastAsia="宋体"/>
          <w:spacing w:val="-3"/>
          <w:sz w:val="24"/>
          <w:szCs w:val="24"/>
          <w:u w:val="single"/>
        </w:rPr>
        <w:t xml:space="preserve"> </w:t>
      </w:r>
      <w:r>
        <w:rPr>
          <w:rFonts w:ascii="宋体" w:hAnsi="宋体" w:eastAsia="宋体"/>
          <w:sz w:val="24"/>
          <w:szCs w:val="24"/>
          <w:u w:val="single"/>
        </w:rPr>
        <w:t xml:space="preserve">     </w:t>
      </w:r>
      <w:r>
        <w:rPr>
          <w:rFonts w:ascii="宋体" w:hAnsi="宋体" w:eastAsia="宋体"/>
          <w:spacing w:val="-3"/>
          <w:sz w:val="24"/>
          <w:szCs w:val="24"/>
          <w:u w:val="single"/>
        </w:rPr>
        <w:t xml:space="preserve"> </w:t>
      </w:r>
      <w:r>
        <w:rPr>
          <w:rFonts w:ascii="宋体" w:hAnsi="宋体" w:eastAsia="宋体"/>
          <w:sz w:val="24"/>
          <w:szCs w:val="24"/>
          <w:u w:val="single"/>
        </w:rPr>
        <w:t xml:space="preserve">   </w:t>
      </w:r>
      <w:r>
        <w:rPr>
          <w:rFonts w:ascii="宋体" w:hAnsi="宋体" w:eastAsia="宋体"/>
          <w:spacing w:val="-3"/>
          <w:sz w:val="24"/>
          <w:szCs w:val="24"/>
          <w:u w:val="single"/>
        </w:rPr>
        <w:t xml:space="preserve"> </w:t>
      </w:r>
      <w:r>
        <w:rPr>
          <w:rFonts w:ascii="宋体" w:hAnsi="宋体" w:eastAsia="宋体"/>
          <w:sz w:val="24"/>
          <w:szCs w:val="24"/>
          <w:u w:val="single"/>
        </w:rPr>
        <w:t xml:space="preserve">   </w:t>
      </w:r>
      <w:r>
        <w:rPr>
          <w:rFonts w:ascii="宋体" w:hAnsi="宋体" w:eastAsia="宋体"/>
          <w:spacing w:val="-3"/>
          <w:sz w:val="24"/>
          <w:szCs w:val="24"/>
          <w:u w:val="single"/>
        </w:rPr>
        <w:t xml:space="preserve">  </w:t>
      </w:r>
      <w:r>
        <w:rPr>
          <w:rFonts w:ascii="宋体" w:hAnsi="宋体" w:eastAsia="宋体"/>
          <w:sz w:val="24"/>
          <w:szCs w:val="24"/>
        </w:rPr>
        <w:t xml:space="preserve"> </w:t>
      </w:r>
    </w:p>
    <w:p w14:paraId="643085FB">
      <w:pPr>
        <w:pStyle w:val="17"/>
        <w:kinsoku w:val="0"/>
        <w:overflowPunct w:val="0"/>
        <w:spacing w:line="360" w:lineRule="auto"/>
        <w:ind w:right="4889" w:firstLine="480" w:firstLineChars="200"/>
        <w:rPr>
          <w:rFonts w:hint="eastAsia" w:ascii="宋体" w:hAnsi="宋体" w:eastAsia="宋体"/>
          <w:sz w:val="24"/>
          <w:szCs w:val="24"/>
        </w:rPr>
      </w:pPr>
      <w:r>
        <w:rPr>
          <w:rFonts w:hint="eastAsia" w:ascii="宋体" w:hAnsi="宋体" w:eastAsia="宋体"/>
          <w:sz w:val="24"/>
          <w:szCs w:val="24"/>
        </w:rPr>
        <w:t>授权代表（签字）：</w:t>
      </w:r>
      <w:r>
        <w:rPr>
          <w:rFonts w:ascii="宋体" w:hAnsi="宋体" w:eastAsia="宋体"/>
          <w:sz w:val="24"/>
          <w:szCs w:val="24"/>
          <w:u w:val="single"/>
        </w:rPr>
        <w:t xml:space="preserve">   </w:t>
      </w:r>
      <w:r>
        <w:rPr>
          <w:rFonts w:ascii="宋体" w:hAnsi="宋体" w:eastAsia="宋体"/>
          <w:spacing w:val="-3"/>
          <w:sz w:val="24"/>
          <w:szCs w:val="24"/>
          <w:u w:val="single"/>
        </w:rPr>
        <w:t xml:space="preserve"> </w:t>
      </w:r>
      <w:r>
        <w:rPr>
          <w:rFonts w:ascii="宋体" w:hAnsi="宋体" w:eastAsia="宋体"/>
          <w:sz w:val="24"/>
          <w:szCs w:val="24"/>
          <w:u w:val="single"/>
        </w:rPr>
        <w:t xml:space="preserve">     </w:t>
      </w:r>
      <w:r>
        <w:rPr>
          <w:rFonts w:ascii="宋体" w:hAnsi="宋体" w:eastAsia="宋体"/>
          <w:spacing w:val="-3"/>
          <w:sz w:val="24"/>
          <w:szCs w:val="24"/>
          <w:u w:val="single"/>
        </w:rPr>
        <w:t xml:space="preserve"> </w:t>
      </w:r>
      <w:r>
        <w:rPr>
          <w:rFonts w:ascii="宋体" w:hAnsi="宋体" w:eastAsia="宋体"/>
          <w:sz w:val="24"/>
          <w:szCs w:val="24"/>
          <w:u w:val="single"/>
        </w:rPr>
        <w:t xml:space="preserve">   </w:t>
      </w:r>
      <w:r>
        <w:rPr>
          <w:rFonts w:ascii="宋体" w:hAnsi="宋体" w:eastAsia="宋体"/>
          <w:spacing w:val="-3"/>
          <w:sz w:val="24"/>
          <w:szCs w:val="24"/>
          <w:u w:val="single"/>
        </w:rPr>
        <w:t xml:space="preserve"> </w:t>
      </w:r>
      <w:r>
        <w:rPr>
          <w:rFonts w:ascii="宋体" w:hAnsi="宋体" w:eastAsia="宋体"/>
          <w:sz w:val="24"/>
          <w:szCs w:val="24"/>
          <w:u w:val="single"/>
        </w:rPr>
        <w:t xml:space="preserve">    </w:t>
      </w:r>
      <w:r>
        <w:rPr>
          <w:rFonts w:ascii="宋体" w:hAnsi="宋体" w:eastAsia="宋体"/>
          <w:spacing w:val="-3"/>
          <w:sz w:val="24"/>
          <w:szCs w:val="24"/>
          <w:u w:val="single"/>
        </w:rPr>
        <w:t xml:space="preserve"> </w:t>
      </w:r>
      <w:r>
        <w:rPr>
          <w:rFonts w:ascii="宋体" w:hAnsi="宋体" w:eastAsia="宋体"/>
          <w:sz w:val="24"/>
          <w:szCs w:val="24"/>
          <w:u w:val="single"/>
        </w:rPr>
        <w:t xml:space="preserve"> </w:t>
      </w:r>
      <w:r>
        <w:rPr>
          <w:rFonts w:ascii="宋体" w:hAnsi="宋体" w:eastAsia="宋体"/>
          <w:spacing w:val="-2"/>
          <w:sz w:val="24"/>
          <w:szCs w:val="24"/>
        </w:rPr>
        <w:t xml:space="preserve"> </w:t>
      </w:r>
    </w:p>
    <w:p w14:paraId="3490D5BC">
      <w:pPr>
        <w:pStyle w:val="17"/>
        <w:kinsoku w:val="0"/>
        <w:overflowPunct w:val="0"/>
        <w:spacing w:line="360" w:lineRule="auto"/>
        <w:ind w:right="4889" w:firstLine="480" w:firstLineChars="200"/>
        <w:rPr>
          <w:rFonts w:hint="eastAsia" w:ascii="宋体" w:hAnsi="宋体" w:eastAsia="宋体"/>
          <w:spacing w:val="-3"/>
          <w:sz w:val="24"/>
          <w:szCs w:val="24"/>
        </w:rPr>
      </w:pPr>
      <w:r>
        <w:rPr>
          <w:rFonts w:hint="eastAsia" w:ascii="宋体" w:hAnsi="宋体" w:eastAsia="宋体"/>
          <w:sz w:val="24"/>
          <w:szCs w:val="24"/>
        </w:rPr>
        <w:t>日</w:t>
      </w:r>
      <w:r>
        <w:rPr>
          <w:rFonts w:ascii="宋体" w:hAnsi="宋体" w:eastAsia="宋体"/>
          <w:sz w:val="24"/>
          <w:szCs w:val="24"/>
        </w:rPr>
        <w:t xml:space="preserve">    </w:t>
      </w:r>
      <w:r>
        <w:rPr>
          <w:rFonts w:hint="eastAsia" w:ascii="宋体" w:hAnsi="宋体" w:eastAsia="宋体"/>
          <w:sz w:val="24"/>
          <w:szCs w:val="24"/>
        </w:rPr>
        <w:t>期：</w:t>
      </w:r>
      <w:r>
        <w:rPr>
          <w:rFonts w:ascii="宋体" w:hAnsi="宋体" w:eastAsia="宋体"/>
          <w:sz w:val="24"/>
          <w:szCs w:val="24"/>
        </w:rPr>
        <w:t xml:space="preserve">   </w:t>
      </w:r>
      <w:r>
        <w:rPr>
          <w:rFonts w:hint="eastAsia" w:ascii="宋体" w:hAnsi="宋体" w:eastAsia="宋体"/>
          <w:sz w:val="24"/>
          <w:szCs w:val="24"/>
        </w:rPr>
        <w:t>年</w:t>
      </w:r>
      <w:r>
        <w:rPr>
          <w:rFonts w:ascii="宋体" w:hAnsi="宋体" w:eastAsia="宋体"/>
          <w:sz w:val="24"/>
          <w:szCs w:val="24"/>
        </w:rPr>
        <w:t xml:space="preserve">    </w:t>
      </w:r>
      <w:r>
        <w:rPr>
          <w:rFonts w:hint="eastAsia" w:ascii="宋体" w:hAnsi="宋体" w:eastAsia="宋体"/>
          <w:sz w:val="24"/>
          <w:szCs w:val="24"/>
        </w:rPr>
        <w:t>月</w:t>
      </w:r>
      <w:r>
        <w:rPr>
          <w:rFonts w:ascii="宋体" w:hAnsi="宋体" w:eastAsia="宋体"/>
          <w:sz w:val="24"/>
          <w:szCs w:val="24"/>
        </w:rPr>
        <w:t xml:space="preserve">  </w:t>
      </w:r>
      <w:r>
        <w:rPr>
          <w:rFonts w:ascii="宋体" w:hAnsi="宋体" w:eastAsia="宋体"/>
          <w:spacing w:val="100"/>
          <w:sz w:val="24"/>
          <w:szCs w:val="24"/>
        </w:rPr>
        <w:t xml:space="preserve"> </w:t>
      </w:r>
      <w:r>
        <w:rPr>
          <w:rFonts w:hint="eastAsia" w:ascii="宋体" w:hAnsi="宋体" w:eastAsia="宋体"/>
          <w:spacing w:val="-3"/>
          <w:sz w:val="24"/>
          <w:szCs w:val="24"/>
        </w:rPr>
        <w:t>日</w:t>
      </w:r>
    </w:p>
    <w:p w14:paraId="33646830">
      <w:pPr>
        <w:pStyle w:val="3"/>
        <w:spacing w:before="145" w:beforeLines="50" w:after="145" w:afterLines="50" w:line="360" w:lineRule="auto"/>
        <w:jc w:val="left"/>
        <w:rPr>
          <w:rFonts w:hint="eastAsia" w:ascii="宋体" w:hAnsi="宋体" w:eastAsia="宋体"/>
          <w:sz w:val="32"/>
          <w:szCs w:val="32"/>
        </w:rPr>
      </w:pPr>
      <w:r>
        <w:rPr>
          <w:rFonts w:ascii="宋体" w:hAnsi="宋体" w:eastAsia="宋体"/>
          <w:sz w:val="28"/>
          <w:szCs w:val="28"/>
        </w:rPr>
        <w:br w:type="page"/>
      </w:r>
      <w:bookmarkStart w:id="117" w:name="_Toc24962252"/>
      <w:r>
        <w:rPr>
          <w:rFonts w:hint="eastAsia" w:ascii="宋体" w:hAnsi="宋体" w:eastAsia="宋体"/>
          <w:sz w:val="28"/>
          <w:szCs w:val="28"/>
        </w:rPr>
        <w:t>附件十一、</w:t>
      </w:r>
      <w:bookmarkEnd w:id="117"/>
      <w:r>
        <w:rPr>
          <w:rFonts w:hint="eastAsia" w:ascii="宋体" w:hAnsi="宋体" w:eastAsia="宋体"/>
          <w:sz w:val="28"/>
          <w:szCs w:val="28"/>
        </w:rPr>
        <w:t>项目技术说明或实施方案</w:t>
      </w:r>
    </w:p>
    <w:p w14:paraId="2DFDB994">
      <w:pPr>
        <w:pStyle w:val="3"/>
        <w:spacing w:before="145" w:beforeLines="50" w:after="145" w:afterLines="50" w:line="360" w:lineRule="auto"/>
        <w:jc w:val="left"/>
        <w:rPr>
          <w:rFonts w:hint="eastAsia" w:ascii="宋体" w:hAnsi="宋体" w:eastAsia="宋体"/>
          <w:sz w:val="32"/>
          <w:szCs w:val="32"/>
        </w:rPr>
      </w:pPr>
      <w:r>
        <w:rPr>
          <w:rFonts w:ascii="宋体" w:hAnsi="宋体" w:eastAsia="宋体"/>
          <w:sz w:val="28"/>
          <w:szCs w:val="28"/>
        </w:rPr>
        <w:br w:type="page"/>
      </w:r>
      <w:bookmarkStart w:id="118" w:name="_Toc21781768"/>
      <w:bookmarkStart w:id="119" w:name="_Toc24962253"/>
      <w:r>
        <w:rPr>
          <w:rFonts w:hint="eastAsia" w:ascii="宋体" w:hAnsi="宋体" w:eastAsia="宋体"/>
          <w:sz w:val="28"/>
          <w:szCs w:val="28"/>
        </w:rPr>
        <w:t>附件十二、报价表</w:t>
      </w:r>
    </w:p>
    <w:p w14:paraId="79C528D2">
      <w:pPr>
        <w:pStyle w:val="217"/>
        <w:spacing w:line="400" w:lineRule="exact"/>
        <w:ind w:firstLine="0" w:firstLineChars="0"/>
        <w:jc w:val="center"/>
        <w:rPr>
          <w:rFonts w:hint="eastAsia" w:ascii="宋体" w:hAnsi="宋体" w:cs="宋体"/>
          <w:b/>
          <w:bCs/>
          <w:sz w:val="28"/>
          <w:szCs w:val="22"/>
        </w:rPr>
      </w:pPr>
      <w:r>
        <w:rPr>
          <w:rFonts w:hint="eastAsia" w:ascii="宋体" w:hAnsi="宋体" w:cs="宋体"/>
          <w:b/>
          <w:bCs/>
          <w:sz w:val="28"/>
          <w:szCs w:val="22"/>
        </w:rPr>
        <w:t>报价表</w:t>
      </w:r>
    </w:p>
    <w:p w14:paraId="1BBBFA20">
      <w:pPr>
        <w:pStyle w:val="217"/>
        <w:spacing w:line="400" w:lineRule="exact"/>
        <w:ind w:firstLine="0" w:firstLineChars="0"/>
        <w:rPr>
          <w:rFonts w:hint="eastAsia" w:ascii="宋体" w:hAnsi="宋体" w:cs="宋体"/>
        </w:rPr>
      </w:pPr>
      <w:r>
        <w:rPr>
          <w:rFonts w:hint="eastAsia" w:ascii="宋体" w:hAnsi="宋体" w:cs="宋体"/>
        </w:rPr>
        <w:t>项目名称：                                             项目编号：</w:t>
      </w:r>
    </w:p>
    <w:p w14:paraId="15775E97">
      <w:pPr>
        <w:pStyle w:val="217"/>
        <w:spacing w:line="400" w:lineRule="exact"/>
        <w:ind w:firstLine="0" w:firstLineChars="0"/>
        <w:rPr>
          <w:rFonts w:hint="eastAsia" w:ascii="宋体" w:hAnsi="宋体" w:cs="宋体"/>
        </w:rPr>
      </w:pPr>
    </w:p>
    <w:tbl>
      <w:tblPr>
        <w:tblStyle w:val="39"/>
        <w:tblW w:w="0" w:type="auto"/>
        <w:jc w:val="center"/>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47"/>
        <w:gridCol w:w="4454"/>
        <w:gridCol w:w="2042"/>
      </w:tblGrid>
      <w:tr w14:paraId="71B66957">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exact"/>
          <w:jc w:val="center"/>
        </w:trPr>
        <w:tc>
          <w:tcPr>
            <w:tcW w:w="2547" w:type="dxa"/>
            <w:vAlign w:val="center"/>
          </w:tcPr>
          <w:p w14:paraId="1F748CD7">
            <w:pPr>
              <w:pStyle w:val="237"/>
              <w:kinsoku w:val="0"/>
              <w:overflowPunct w:val="0"/>
              <w:autoSpaceDE w:val="0"/>
              <w:autoSpaceDN w:val="0"/>
              <w:spacing w:line="400" w:lineRule="exact"/>
              <w:jc w:val="center"/>
              <w:rPr>
                <w:sz w:val="24"/>
                <w:szCs w:val="32"/>
              </w:rPr>
            </w:pPr>
            <w:r>
              <w:rPr>
                <w:rFonts w:hint="eastAsia" w:ascii="宋体" w:cs="宋体"/>
                <w:sz w:val="24"/>
                <w:szCs w:val="32"/>
              </w:rPr>
              <w:t>项目名称</w:t>
            </w:r>
          </w:p>
        </w:tc>
        <w:tc>
          <w:tcPr>
            <w:tcW w:w="4454" w:type="dxa"/>
            <w:vAlign w:val="center"/>
          </w:tcPr>
          <w:p w14:paraId="554BE09B">
            <w:pPr>
              <w:pStyle w:val="237"/>
              <w:kinsoku w:val="0"/>
              <w:overflowPunct w:val="0"/>
              <w:autoSpaceDE w:val="0"/>
              <w:autoSpaceDN w:val="0"/>
              <w:spacing w:line="400" w:lineRule="exact"/>
              <w:ind w:left="103"/>
              <w:jc w:val="center"/>
              <w:rPr>
                <w:sz w:val="24"/>
                <w:szCs w:val="32"/>
              </w:rPr>
            </w:pPr>
            <w:r>
              <w:rPr>
                <w:rFonts w:hint="eastAsia" w:ascii="宋体" w:cs="宋体"/>
                <w:sz w:val="24"/>
                <w:szCs w:val="32"/>
              </w:rPr>
              <w:t>金额（元</w:t>
            </w:r>
            <w:r>
              <w:rPr>
                <w:rFonts w:hint="eastAsia" w:ascii="宋体" w:cs="宋体"/>
                <w:sz w:val="24"/>
                <w:szCs w:val="32"/>
                <w:lang w:eastAsia="zh-CN"/>
              </w:rPr>
              <w:t>，</w:t>
            </w:r>
            <w:r>
              <w:rPr>
                <w:rFonts w:hint="eastAsia" w:ascii="宋体" w:cs="宋体"/>
                <w:sz w:val="24"/>
                <w:szCs w:val="32"/>
                <w:lang w:val="en-US" w:eastAsia="zh-CN"/>
              </w:rPr>
              <w:t>含税</w:t>
            </w:r>
            <w:r>
              <w:rPr>
                <w:rFonts w:hint="eastAsia" w:ascii="宋体" w:cs="宋体"/>
                <w:sz w:val="24"/>
                <w:szCs w:val="32"/>
              </w:rPr>
              <w:t>）</w:t>
            </w:r>
          </w:p>
        </w:tc>
        <w:tc>
          <w:tcPr>
            <w:tcW w:w="2042" w:type="dxa"/>
            <w:vAlign w:val="center"/>
          </w:tcPr>
          <w:p w14:paraId="5AF4859B">
            <w:pPr>
              <w:pStyle w:val="237"/>
              <w:kinsoku w:val="0"/>
              <w:overflowPunct w:val="0"/>
              <w:autoSpaceDE w:val="0"/>
              <w:autoSpaceDN w:val="0"/>
              <w:spacing w:line="400" w:lineRule="exact"/>
              <w:jc w:val="center"/>
              <w:rPr>
                <w:rFonts w:ascii="宋体" w:cs="宋体"/>
                <w:sz w:val="24"/>
                <w:szCs w:val="32"/>
              </w:rPr>
            </w:pPr>
            <w:r>
              <w:rPr>
                <w:rFonts w:hint="eastAsia" w:ascii="宋体" w:cs="宋体"/>
                <w:sz w:val="24"/>
                <w:szCs w:val="32"/>
              </w:rPr>
              <w:t>备注</w:t>
            </w:r>
          </w:p>
        </w:tc>
      </w:tr>
      <w:tr w14:paraId="706DFD09">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exact"/>
          <w:jc w:val="center"/>
        </w:trPr>
        <w:tc>
          <w:tcPr>
            <w:tcW w:w="2547" w:type="dxa"/>
            <w:vAlign w:val="center"/>
          </w:tcPr>
          <w:p w14:paraId="7DF42D3B">
            <w:pPr>
              <w:pStyle w:val="237"/>
              <w:kinsoku w:val="0"/>
              <w:overflowPunct w:val="0"/>
              <w:autoSpaceDE w:val="0"/>
              <w:autoSpaceDN w:val="0"/>
              <w:spacing w:line="400" w:lineRule="exact"/>
              <w:jc w:val="center"/>
              <w:rPr>
                <w:rFonts w:hint="default" w:ascii="宋体" w:eastAsia="宋体" w:cs="宋体"/>
                <w:sz w:val="24"/>
                <w:szCs w:val="32"/>
                <w:lang w:val="en-US" w:eastAsia="zh-CN"/>
              </w:rPr>
            </w:pPr>
            <w:r>
              <w:rPr>
                <w:rFonts w:hint="eastAsia" w:ascii="宋体" w:cs="宋体"/>
                <w:sz w:val="24"/>
                <w:szCs w:val="32"/>
                <w:lang w:val="en-US" w:eastAsia="zh-CN"/>
              </w:rPr>
              <w:t>电梯维保</w:t>
            </w:r>
          </w:p>
        </w:tc>
        <w:tc>
          <w:tcPr>
            <w:tcW w:w="4454" w:type="dxa"/>
            <w:vAlign w:val="center"/>
          </w:tcPr>
          <w:p w14:paraId="1B782FBD">
            <w:pPr>
              <w:pStyle w:val="237"/>
              <w:kinsoku w:val="0"/>
              <w:overflowPunct w:val="0"/>
              <w:autoSpaceDE w:val="0"/>
              <w:autoSpaceDN w:val="0"/>
              <w:spacing w:line="400" w:lineRule="exact"/>
              <w:ind w:left="103"/>
              <w:rPr>
                <w:rFonts w:ascii="宋体" w:cs="宋体"/>
                <w:sz w:val="24"/>
                <w:szCs w:val="32"/>
              </w:rPr>
            </w:pPr>
          </w:p>
        </w:tc>
        <w:tc>
          <w:tcPr>
            <w:tcW w:w="2042" w:type="dxa"/>
            <w:vAlign w:val="center"/>
          </w:tcPr>
          <w:p w14:paraId="6CCC3083">
            <w:pPr>
              <w:pStyle w:val="237"/>
              <w:kinsoku w:val="0"/>
              <w:overflowPunct w:val="0"/>
              <w:autoSpaceDE w:val="0"/>
              <w:autoSpaceDN w:val="0"/>
              <w:spacing w:line="400" w:lineRule="exact"/>
              <w:rPr>
                <w:rFonts w:ascii="宋体" w:cs="宋体"/>
                <w:sz w:val="24"/>
                <w:szCs w:val="32"/>
              </w:rPr>
            </w:pPr>
          </w:p>
        </w:tc>
      </w:tr>
      <w:tr w14:paraId="230F8384">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exact"/>
          <w:jc w:val="center"/>
        </w:trPr>
        <w:tc>
          <w:tcPr>
            <w:tcW w:w="2547" w:type="dxa"/>
            <w:vAlign w:val="center"/>
          </w:tcPr>
          <w:p w14:paraId="46912E64">
            <w:pPr>
              <w:pStyle w:val="237"/>
              <w:kinsoku w:val="0"/>
              <w:overflowPunct w:val="0"/>
              <w:autoSpaceDE w:val="0"/>
              <w:autoSpaceDN w:val="0"/>
              <w:spacing w:line="400" w:lineRule="exact"/>
              <w:jc w:val="center"/>
              <w:rPr>
                <w:sz w:val="24"/>
                <w:szCs w:val="32"/>
              </w:rPr>
            </w:pPr>
            <w:r>
              <w:rPr>
                <w:rFonts w:hint="eastAsia" w:ascii="宋体" w:cs="宋体"/>
                <w:sz w:val="24"/>
                <w:szCs w:val="32"/>
              </w:rPr>
              <w:t>服务时间</w:t>
            </w:r>
          </w:p>
        </w:tc>
        <w:tc>
          <w:tcPr>
            <w:tcW w:w="4454" w:type="dxa"/>
            <w:vAlign w:val="center"/>
          </w:tcPr>
          <w:p w14:paraId="4AAD905D">
            <w:pPr>
              <w:pStyle w:val="237"/>
              <w:kinsoku w:val="0"/>
              <w:overflowPunct w:val="0"/>
              <w:autoSpaceDE w:val="0"/>
              <w:autoSpaceDN w:val="0"/>
              <w:spacing w:line="400" w:lineRule="exact"/>
              <w:jc w:val="center"/>
              <w:rPr>
                <w:sz w:val="24"/>
                <w:szCs w:val="32"/>
              </w:rPr>
            </w:pPr>
            <w:r>
              <w:rPr>
                <w:rFonts w:hint="eastAsia" w:ascii="宋体" w:cs="宋体"/>
                <w:sz w:val="24"/>
                <w:szCs w:val="32"/>
                <w:u w:val="single"/>
              </w:rPr>
              <w:t>满足磋商文件要求。</w:t>
            </w:r>
          </w:p>
        </w:tc>
        <w:tc>
          <w:tcPr>
            <w:tcW w:w="2042" w:type="dxa"/>
            <w:vAlign w:val="center"/>
          </w:tcPr>
          <w:p w14:paraId="7F88180C">
            <w:pPr>
              <w:pStyle w:val="237"/>
              <w:kinsoku w:val="0"/>
              <w:overflowPunct w:val="0"/>
              <w:autoSpaceDE w:val="0"/>
              <w:autoSpaceDN w:val="0"/>
              <w:spacing w:line="400" w:lineRule="exact"/>
              <w:ind w:right="369"/>
              <w:jc w:val="center"/>
              <w:rPr>
                <w:rFonts w:ascii="宋体" w:cs="宋体"/>
                <w:sz w:val="24"/>
                <w:szCs w:val="32"/>
              </w:rPr>
            </w:pPr>
            <w:r>
              <w:rPr>
                <w:rFonts w:ascii="宋体" w:cs="宋体"/>
                <w:sz w:val="24"/>
                <w:szCs w:val="32"/>
              </w:rPr>
              <w:t xml:space="preserve"> </w:t>
            </w:r>
          </w:p>
        </w:tc>
      </w:tr>
      <w:tr w14:paraId="67D55976">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exact"/>
          <w:jc w:val="center"/>
        </w:trPr>
        <w:tc>
          <w:tcPr>
            <w:tcW w:w="2547" w:type="dxa"/>
            <w:vAlign w:val="center"/>
          </w:tcPr>
          <w:p w14:paraId="25351BDF">
            <w:pPr>
              <w:pStyle w:val="237"/>
              <w:kinsoku w:val="0"/>
              <w:overflowPunct w:val="0"/>
              <w:autoSpaceDE w:val="0"/>
              <w:autoSpaceDN w:val="0"/>
              <w:spacing w:line="400" w:lineRule="exact"/>
              <w:jc w:val="center"/>
              <w:rPr>
                <w:rFonts w:ascii="宋体" w:cs="宋体"/>
                <w:sz w:val="24"/>
                <w:szCs w:val="32"/>
              </w:rPr>
            </w:pPr>
            <w:r>
              <w:rPr>
                <w:rFonts w:hint="eastAsia" w:ascii="宋体" w:cs="宋体"/>
                <w:sz w:val="24"/>
                <w:szCs w:val="32"/>
              </w:rPr>
              <w:t>投标人是否属于小微型企业</w:t>
            </w:r>
          </w:p>
        </w:tc>
        <w:tc>
          <w:tcPr>
            <w:tcW w:w="6496" w:type="dxa"/>
            <w:gridSpan w:val="2"/>
            <w:vAlign w:val="center"/>
          </w:tcPr>
          <w:p w14:paraId="017B0758">
            <w:pPr>
              <w:pStyle w:val="237"/>
              <w:kinsoku w:val="0"/>
              <w:overflowPunct w:val="0"/>
              <w:autoSpaceDE w:val="0"/>
              <w:autoSpaceDN w:val="0"/>
              <w:spacing w:line="400" w:lineRule="exact"/>
              <w:ind w:right="369"/>
              <w:jc w:val="center"/>
              <w:rPr>
                <w:rFonts w:ascii="宋体" w:cs="宋体"/>
                <w:sz w:val="24"/>
                <w:szCs w:val="32"/>
              </w:rPr>
            </w:pPr>
            <w:r>
              <w:rPr>
                <w:rFonts w:hint="eastAsia" w:ascii="宋体" w:cs="宋体"/>
                <w:sz w:val="24"/>
                <w:szCs w:val="32"/>
                <w:u w:val="single"/>
              </w:rPr>
              <w:t xml:space="preserve">                    </w:t>
            </w:r>
            <w:r>
              <w:rPr>
                <w:rFonts w:hint="eastAsia" w:ascii="宋体" w:cs="宋体"/>
                <w:sz w:val="24"/>
                <w:szCs w:val="32"/>
              </w:rPr>
              <w:t>（填写“是”或“否”）</w:t>
            </w:r>
          </w:p>
        </w:tc>
      </w:tr>
    </w:tbl>
    <w:p w14:paraId="7ED6014B">
      <w:pPr>
        <w:pStyle w:val="217"/>
        <w:spacing w:line="400" w:lineRule="exact"/>
        <w:ind w:firstLine="0" w:firstLineChars="0"/>
        <w:rPr>
          <w:rFonts w:hint="eastAsia" w:ascii="宋体" w:hAnsi="宋体" w:cs="宋体"/>
        </w:rPr>
      </w:pPr>
    </w:p>
    <w:p w14:paraId="72FCA875">
      <w:pPr>
        <w:pStyle w:val="217"/>
        <w:spacing w:line="400" w:lineRule="exact"/>
        <w:ind w:firstLine="480"/>
        <w:rPr>
          <w:rFonts w:hint="eastAsia" w:ascii="宋体" w:hAnsi="宋体" w:cs="宋体"/>
        </w:rPr>
      </w:pPr>
      <w:r>
        <w:rPr>
          <w:rFonts w:hint="eastAsia" w:ascii="宋体" w:hAnsi="宋体" w:cs="宋体"/>
        </w:rPr>
        <w:t xml:space="preserve">供应商（盖章）:                        授权代表（签字）：               </w:t>
      </w:r>
    </w:p>
    <w:p w14:paraId="61D7876A">
      <w:pPr>
        <w:pStyle w:val="217"/>
        <w:spacing w:line="400" w:lineRule="exact"/>
        <w:ind w:firstLine="480"/>
        <w:rPr>
          <w:rFonts w:hint="eastAsia" w:ascii="宋体" w:hAnsi="宋体" w:cs="宋体"/>
        </w:rPr>
      </w:pPr>
      <w:r>
        <w:rPr>
          <w:rFonts w:hint="eastAsia" w:ascii="宋体" w:hAnsi="宋体" w:cs="宋体"/>
        </w:rPr>
        <w:t>日    期：   年    月   日</w:t>
      </w:r>
    </w:p>
    <w:p w14:paraId="2472D18A">
      <w:pPr>
        <w:pStyle w:val="217"/>
        <w:spacing w:line="400" w:lineRule="exact"/>
        <w:ind w:firstLine="480"/>
        <w:rPr>
          <w:rFonts w:hint="eastAsia" w:ascii="宋体" w:hAnsi="宋体" w:cs="宋体"/>
        </w:rPr>
      </w:pPr>
    </w:p>
    <w:p w14:paraId="63DD616A">
      <w:pPr>
        <w:pStyle w:val="217"/>
        <w:spacing w:line="400" w:lineRule="exact"/>
        <w:ind w:firstLine="480"/>
        <w:rPr>
          <w:rFonts w:hint="eastAsia" w:ascii="宋体" w:hAnsi="宋体" w:cs="宋体"/>
        </w:rPr>
      </w:pPr>
      <w:bookmarkStart w:id="120" w:name="_Hlk28422665"/>
      <w:r>
        <w:rPr>
          <w:rFonts w:hint="eastAsia" w:ascii="宋体" w:hAnsi="宋体" w:cs="宋体"/>
        </w:rPr>
        <w:t xml:space="preserve">说明： </w:t>
      </w:r>
    </w:p>
    <w:p w14:paraId="3EEF07E2">
      <w:pPr>
        <w:pStyle w:val="217"/>
        <w:spacing w:line="400" w:lineRule="exact"/>
        <w:ind w:firstLine="480"/>
        <w:rPr>
          <w:rFonts w:hint="eastAsia" w:ascii="宋体" w:hAnsi="宋体" w:cs="宋体"/>
          <w:b/>
          <w:bCs/>
        </w:rPr>
      </w:pPr>
      <w:r>
        <w:rPr>
          <w:rFonts w:hint="eastAsia" w:ascii="宋体" w:hAnsi="宋体" w:cs="宋体"/>
        </w:rPr>
        <w:t xml:space="preserve">1、本项目仅接受一个价格，不得填报有选择性报价方案。若有优惠条款须注明，但不得影响报价，影响产品整体功能。 </w:t>
      </w:r>
    </w:p>
    <w:p w14:paraId="730E43E9">
      <w:pPr>
        <w:pStyle w:val="217"/>
        <w:spacing w:line="400" w:lineRule="exact"/>
        <w:ind w:firstLine="480"/>
        <w:rPr>
          <w:rFonts w:hint="eastAsia" w:ascii="宋体" w:hAnsi="宋体" w:cs="宋体"/>
        </w:rPr>
      </w:pPr>
      <w:r>
        <w:rPr>
          <w:rFonts w:hint="eastAsia" w:ascii="宋体" w:hAnsi="宋体" w:cs="宋体"/>
        </w:rPr>
        <w:t xml:space="preserve">2、“供应商是否属于小微型企业”栏内填写“是”或“否”。如填写“是”，供应商需提供《中小企业声明函》、《残疾人福利性单位声明函》、《属于监狱企业的证明文件》。 </w:t>
      </w:r>
    </w:p>
    <w:bookmarkEnd w:id="120"/>
    <w:p w14:paraId="0550478C">
      <w:pPr>
        <w:pStyle w:val="217"/>
        <w:spacing w:line="400" w:lineRule="exact"/>
        <w:ind w:firstLine="480"/>
        <w:rPr>
          <w:rFonts w:hint="eastAsia" w:ascii="宋体" w:hAnsi="宋体"/>
          <w:sz w:val="28"/>
          <w:szCs w:val="28"/>
        </w:rPr>
      </w:pPr>
      <w:r>
        <w:rPr>
          <w:rFonts w:hint="eastAsia" w:ascii="宋体" w:hAnsi="宋体" w:cs="宋体"/>
        </w:rPr>
        <w:t>3、 磋商结束后，磋商小组将要求所有实质性响应的供应商在规定时间内提交最后报价。</w:t>
      </w:r>
    </w:p>
    <w:p w14:paraId="73D569BF">
      <w:pPr>
        <w:pStyle w:val="3"/>
        <w:spacing w:before="145" w:beforeLines="50" w:after="145" w:afterLines="50" w:line="360" w:lineRule="auto"/>
        <w:jc w:val="left"/>
        <w:rPr>
          <w:rFonts w:hint="eastAsia" w:ascii="宋体" w:hAnsi="宋体" w:eastAsia="宋体"/>
          <w:sz w:val="28"/>
          <w:szCs w:val="28"/>
        </w:rPr>
      </w:pPr>
      <w:r>
        <w:rPr>
          <w:rFonts w:ascii="宋体" w:hAnsi="宋体"/>
          <w:b w:val="0"/>
          <w:bCs w:val="0"/>
          <w:sz w:val="28"/>
          <w:szCs w:val="28"/>
        </w:rPr>
        <w:br w:type="page"/>
      </w:r>
      <w:r>
        <w:rPr>
          <w:rFonts w:hint="eastAsia" w:ascii="宋体" w:hAnsi="宋体" w:eastAsia="宋体"/>
          <w:sz w:val="28"/>
          <w:szCs w:val="28"/>
        </w:rPr>
        <w:t>附件十三、分项报价表</w:t>
      </w:r>
    </w:p>
    <w:tbl>
      <w:tblPr>
        <w:tblStyle w:val="3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32"/>
        <w:gridCol w:w="3862"/>
        <w:gridCol w:w="884"/>
        <w:gridCol w:w="670"/>
        <w:gridCol w:w="2154"/>
        <w:gridCol w:w="1281"/>
      </w:tblGrid>
      <w:tr w14:paraId="7ACDC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49" w:hRule="atLeast"/>
          <w:jc w:val="center"/>
        </w:trPr>
        <w:tc>
          <w:tcPr>
            <w:tcW w:w="233" w:type="pct"/>
            <w:noWrap/>
            <w:tcMar>
              <w:top w:w="15" w:type="dxa"/>
              <w:left w:w="15" w:type="dxa"/>
              <w:bottom w:w="0" w:type="dxa"/>
              <w:right w:w="15" w:type="dxa"/>
            </w:tcMar>
            <w:vAlign w:val="center"/>
          </w:tcPr>
          <w:p w14:paraId="418F7C1C">
            <w:pPr>
              <w:spacing w:before="5" w:line="360" w:lineRule="auto"/>
              <w:jc w:val="center"/>
              <w:rPr>
                <w:rFonts w:ascii="宋体" w:hAnsi="宋体" w:eastAsia="宋体" w:cs="宋体"/>
                <w:kern w:val="0"/>
                <w:sz w:val="18"/>
                <w:szCs w:val="24"/>
              </w:rPr>
            </w:pPr>
            <w:r>
              <w:rPr>
                <w:rFonts w:hint="eastAsia" w:ascii="宋体" w:hAnsi="宋体" w:eastAsia="宋体" w:cs="宋体"/>
                <w:kern w:val="0"/>
                <w:sz w:val="18"/>
                <w:szCs w:val="24"/>
              </w:rPr>
              <w:t>序号</w:t>
            </w:r>
          </w:p>
        </w:tc>
        <w:tc>
          <w:tcPr>
            <w:tcW w:w="2080" w:type="pct"/>
            <w:noWrap/>
            <w:tcMar>
              <w:top w:w="15" w:type="dxa"/>
              <w:left w:w="15" w:type="dxa"/>
              <w:bottom w:w="0" w:type="dxa"/>
              <w:right w:w="15" w:type="dxa"/>
            </w:tcMar>
            <w:vAlign w:val="center"/>
          </w:tcPr>
          <w:p w14:paraId="4A453034">
            <w:pPr>
              <w:spacing w:before="5" w:line="360" w:lineRule="auto"/>
              <w:jc w:val="center"/>
              <w:rPr>
                <w:rFonts w:ascii="宋体" w:hAnsi="宋体" w:eastAsia="宋体" w:cs="宋体"/>
                <w:kern w:val="0"/>
                <w:sz w:val="18"/>
                <w:szCs w:val="24"/>
              </w:rPr>
            </w:pPr>
            <w:r>
              <w:rPr>
                <w:rFonts w:hint="eastAsia" w:ascii="宋体" w:hAnsi="宋体" w:eastAsia="宋体" w:cs="宋体"/>
                <w:kern w:val="0"/>
                <w:sz w:val="18"/>
                <w:szCs w:val="24"/>
              </w:rPr>
              <w:t>服务内容</w:t>
            </w:r>
          </w:p>
        </w:tc>
        <w:tc>
          <w:tcPr>
            <w:tcW w:w="476" w:type="pct"/>
            <w:tcMar>
              <w:top w:w="15" w:type="dxa"/>
              <w:left w:w="15" w:type="dxa"/>
              <w:bottom w:w="0" w:type="dxa"/>
              <w:right w:w="15" w:type="dxa"/>
            </w:tcMar>
            <w:vAlign w:val="center"/>
          </w:tcPr>
          <w:p w14:paraId="1FB13428">
            <w:pPr>
              <w:spacing w:before="5" w:line="360" w:lineRule="auto"/>
              <w:jc w:val="center"/>
              <w:rPr>
                <w:rFonts w:ascii="宋体" w:hAnsi="宋体" w:eastAsia="宋体" w:cs="宋体"/>
                <w:kern w:val="0"/>
                <w:sz w:val="18"/>
                <w:szCs w:val="24"/>
              </w:rPr>
            </w:pPr>
            <w:r>
              <w:rPr>
                <w:rFonts w:hint="eastAsia" w:ascii="宋体" w:hAnsi="宋体" w:eastAsia="宋体" w:cs="宋体"/>
                <w:kern w:val="0"/>
                <w:sz w:val="18"/>
                <w:szCs w:val="24"/>
              </w:rPr>
              <w:t>数量</w:t>
            </w:r>
          </w:p>
        </w:tc>
        <w:tc>
          <w:tcPr>
            <w:tcW w:w="361" w:type="pct"/>
            <w:vAlign w:val="center"/>
          </w:tcPr>
          <w:p w14:paraId="2E34EB27">
            <w:pPr>
              <w:spacing w:before="5" w:line="360" w:lineRule="auto"/>
              <w:jc w:val="center"/>
              <w:rPr>
                <w:rFonts w:ascii="宋体" w:hAnsi="宋体" w:eastAsia="宋体" w:cs="宋体"/>
                <w:bCs/>
                <w:kern w:val="0"/>
                <w:sz w:val="18"/>
                <w:szCs w:val="24"/>
              </w:rPr>
            </w:pPr>
            <w:r>
              <w:rPr>
                <w:rFonts w:hint="eastAsia" w:ascii="宋体" w:hAnsi="宋体" w:eastAsia="宋体" w:cs="宋体"/>
                <w:bCs/>
                <w:kern w:val="0"/>
                <w:sz w:val="18"/>
                <w:szCs w:val="24"/>
              </w:rPr>
              <w:t>税率</w:t>
            </w:r>
          </w:p>
        </w:tc>
        <w:tc>
          <w:tcPr>
            <w:tcW w:w="1160" w:type="pct"/>
            <w:vAlign w:val="center"/>
          </w:tcPr>
          <w:p w14:paraId="2CB31D49">
            <w:pPr>
              <w:spacing w:before="5" w:line="360" w:lineRule="auto"/>
              <w:jc w:val="center"/>
              <w:rPr>
                <w:rFonts w:ascii="宋体" w:hAnsi="宋体" w:eastAsia="宋体" w:cs="宋体"/>
                <w:kern w:val="0"/>
                <w:sz w:val="18"/>
                <w:szCs w:val="24"/>
              </w:rPr>
            </w:pPr>
            <w:r>
              <w:rPr>
                <w:rFonts w:hint="eastAsia" w:ascii="宋体" w:hAnsi="宋体" w:eastAsia="宋体" w:cs="宋体"/>
                <w:bCs/>
                <w:kern w:val="0"/>
                <w:sz w:val="18"/>
                <w:szCs w:val="24"/>
              </w:rPr>
              <w:t>单报价（含税）</w:t>
            </w:r>
          </w:p>
        </w:tc>
        <w:tc>
          <w:tcPr>
            <w:tcW w:w="688" w:type="pct"/>
            <w:vAlign w:val="center"/>
          </w:tcPr>
          <w:p w14:paraId="498EB740">
            <w:pPr>
              <w:spacing w:before="5" w:line="360" w:lineRule="auto"/>
              <w:jc w:val="center"/>
              <w:rPr>
                <w:rFonts w:ascii="宋体" w:hAnsi="宋体" w:eastAsia="宋体" w:cs="宋体"/>
                <w:kern w:val="0"/>
                <w:sz w:val="18"/>
                <w:szCs w:val="24"/>
              </w:rPr>
            </w:pPr>
            <w:r>
              <w:rPr>
                <w:rFonts w:hint="eastAsia" w:ascii="宋体" w:hAnsi="宋体" w:eastAsia="宋体" w:cs="宋体"/>
                <w:bCs/>
                <w:kern w:val="0"/>
                <w:sz w:val="18"/>
                <w:szCs w:val="24"/>
              </w:rPr>
              <w:t>分项总报价（含税）</w:t>
            </w:r>
          </w:p>
        </w:tc>
      </w:tr>
      <w:tr w14:paraId="34075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6" w:hRule="atLeast"/>
          <w:jc w:val="center"/>
        </w:trPr>
        <w:tc>
          <w:tcPr>
            <w:tcW w:w="233" w:type="pct"/>
            <w:noWrap/>
            <w:tcMar>
              <w:top w:w="15" w:type="dxa"/>
              <w:left w:w="15" w:type="dxa"/>
              <w:bottom w:w="0" w:type="dxa"/>
              <w:right w:w="15" w:type="dxa"/>
            </w:tcMar>
            <w:vAlign w:val="center"/>
          </w:tcPr>
          <w:p w14:paraId="540BF0A0">
            <w:pPr>
              <w:spacing w:before="5" w:line="360" w:lineRule="auto"/>
              <w:jc w:val="center"/>
              <w:rPr>
                <w:rFonts w:ascii="宋体" w:hAnsi="宋体" w:eastAsia="宋体" w:cs="宋体"/>
                <w:sz w:val="18"/>
                <w:szCs w:val="18"/>
              </w:rPr>
            </w:pPr>
            <w:r>
              <w:rPr>
                <w:rFonts w:hint="eastAsia" w:ascii="宋体" w:hAnsi="宋体" w:eastAsia="宋体" w:cs="宋体"/>
                <w:sz w:val="18"/>
                <w:szCs w:val="18"/>
              </w:rPr>
              <w:t>1</w:t>
            </w:r>
          </w:p>
        </w:tc>
        <w:tc>
          <w:tcPr>
            <w:tcW w:w="2080" w:type="pct"/>
            <w:noWrap/>
            <w:tcMar>
              <w:top w:w="15" w:type="dxa"/>
              <w:left w:w="15" w:type="dxa"/>
              <w:bottom w:w="0" w:type="dxa"/>
              <w:right w:w="15" w:type="dxa"/>
            </w:tcMar>
            <w:vAlign w:val="center"/>
          </w:tcPr>
          <w:p w14:paraId="3D5648A8">
            <w:pPr>
              <w:spacing w:line="360" w:lineRule="auto"/>
              <w:jc w:val="center"/>
              <w:rPr>
                <w:rFonts w:ascii="宋体" w:hAnsi="宋体" w:eastAsia="宋体" w:cs="宋体"/>
                <w:bCs/>
                <w:kern w:val="0"/>
                <w:sz w:val="18"/>
                <w:szCs w:val="24"/>
              </w:rPr>
            </w:pPr>
          </w:p>
        </w:tc>
        <w:tc>
          <w:tcPr>
            <w:tcW w:w="476" w:type="pct"/>
            <w:tcMar>
              <w:top w:w="15" w:type="dxa"/>
              <w:left w:w="15" w:type="dxa"/>
              <w:bottom w:w="0" w:type="dxa"/>
              <w:right w:w="15" w:type="dxa"/>
            </w:tcMar>
            <w:vAlign w:val="center"/>
          </w:tcPr>
          <w:p w14:paraId="08529EC2">
            <w:pPr>
              <w:spacing w:line="360" w:lineRule="auto"/>
              <w:jc w:val="center"/>
              <w:rPr>
                <w:rFonts w:ascii="宋体" w:hAnsi="宋体" w:eastAsia="宋体" w:cs="宋体"/>
                <w:b/>
                <w:bCs/>
                <w:kern w:val="0"/>
                <w:szCs w:val="24"/>
              </w:rPr>
            </w:pPr>
          </w:p>
        </w:tc>
        <w:tc>
          <w:tcPr>
            <w:tcW w:w="361" w:type="pct"/>
            <w:vAlign w:val="center"/>
          </w:tcPr>
          <w:p w14:paraId="2545C43E">
            <w:pPr>
              <w:spacing w:line="360" w:lineRule="auto"/>
              <w:jc w:val="center"/>
              <w:rPr>
                <w:rFonts w:ascii="宋体" w:hAnsi="宋体" w:eastAsia="宋体" w:cs="宋体"/>
                <w:b/>
                <w:bCs/>
                <w:kern w:val="0"/>
                <w:szCs w:val="24"/>
              </w:rPr>
            </w:pPr>
          </w:p>
        </w:tc>
        <w:tc>
          <w:tcPr>
            <w:tcW w:w="1160" w:type="pct"/>
            <w:vAlign w:val="center"/>
          </w:tcPr>
          <w:p w14:paraId="30C261C3">
            <w:pPr>
              <w:spacing w:line="360" w:lineRule="auto"/>
              <w:jc w:val="center"/>
              <w:rPr>
                <w:rFonts w:ascii="宋体" w:hAnsi="宋体" w:eastAsia="宋体" w:cs="宋体"/>
                <w:b/>
                <w:bCs/>
                <w:kern w:val="0"/>
                <w:szCs w:val="24"/>
              </w:rPr>
            </w:pPr>
          </w:p>
        </w:tc>
        <w:tc>
          <w:tcPr>
            <w:tcW w:w="688" w:type="pct"/>
            <w:vAlign w:val="center"/>
          </w:tcPr>
          <w:p w14:paraId="367AEC1E">
            <w:pPr>
              <w:spacing w:line="360" w:lineRule="auto"/>
              <w:jc w:val="center"/>
              <w:rPr>
                <w:rFonts w:ascii="宋体" w:hAnsi="宋体" w:eastAsia="宋体" w:cs="宋体"/>
                <w:b/>
                <w:bCs/>
                <w:kern w:val="0"/>
                <w:sz w:val="24"/>
                <w:szCs w:val="24"/>
              </w:rPr>
            </w:pPr>
          </w:p>
        </w:tc>
      </w:tr>
      <w:tr w14:paraId="0BF17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6" w:hRule="atLeast"/>
          <w:jc w:val="center"/>
        </w:trPr>
        <w:tc>
          <w:tcPr>
            <w:tcW w:w="233" w:type="pct"/>
            <w:noWrap/>
            <w:tcMar>
              <w:top w:w="15" w:type="dxa"/>
              <w:left w:w="15" w:type="dxa"/>
              <w:bottom w:w="0" w:type="dxa"/>
              <w:right w:w="15" w:type="dxa"/>
            </w:tcMar>
            <w:vAlign w:val="center"/>
          </w:tcPr>
          <w:p w14:paraId="728515CF">
            <w:pPr>
              <w:spacing w:before="5" w:line="360" w:lineRule="auto"/>
              <w:jc w:val="center"/>
              <w:rPr>
                <w:rFonts w:ascii="宋体" w:hAnsi="宋体" w:eastAsia="宋体" w:cs="宋体"/>
                <w:sz w:val="18"/>
                <w:szCs w:val="18"/>
              </w:rPr>
            </w:pPr>
            <w:r>
              <w:rPr>
                <w:rFonts w:hint="eastAsia" w:ascii="宋体" w:hAnsi="宋体" w:eastAsia="宋体" w:cs="宋体"/>
                <w:sz w:val="18"/>
                <w:szCs w:val="18"/>
              </w:rPr>
              <w:t>2</w:t>
            </w:r>
          </w:p>
        </w:tc>
        <w:tc>
          <w:tcPr>
            <w:tcW w:w="2080" w:type="pct"/>
            <w:noWrap/>
            <w:tcMar>
              <w:top w:w="15" w:type="dxa"/>
              <w:left w:w="15" w:type="dxa"/>
              <w:bottom w:w="0" w:type="dxa"/>
              <w:right w:w="15" w:type="dxa"/>
            </w:tcMar>
            <w:vAlign w:val="center"/>
          </w:tcPr>
          <w:p w14:paraId="7BA15070">
            <w:pPr>
              <w:spacing w:line="360" w:lineRule="auto"/>
              <w:jc w:val="center"/>
              <w:rPr>
                <w:rFonts w:ascii="宋体" w:hAnsi="宋体" w:eastAsia="宋体" w:cs="宋体"/>
                <w:bCs/>
                <w:kern w:val="0"/>
                <w:sz w:val="18"/>
                <w:szCs w:val="24"/>
              </w:rPr>
            </w:pPr>
          </w:p>
        </w:tc>
        <w:tc>
          <w:tcPr>
            <w:tcW w:w="476" w:type="pct"/>
            <w:tcMar>
              <w:top w:w="15" w:type="dxa"/>
              <w:left w:w="15" w:type="dxa"/>
              <w:bottom w:w="0" w:type="dxa"/>
              <w:right w:w="15" w:type="dxa"/>
            </w:tcMar>
            <w:vAlign w:val="center"/>
          </w:tcPr>
          <w:p w14:paraId="1F7B3B11">
            <w:pPr>
              <w:spacing w:line="360" w:lineRule="auto"/>
              <w:jc w:val="center"/>
              <w:rPr>
                <w:rFonts w:ascii="宋体" w:hAnsi="宋体" w:eastAsia="宋体" w:cs="宋体"/>
                <w:b/>
                <w:bCs/>
                <w:kern w:val="0"/>
                <w:szCs w:val="24"/>
              </w:rPr>
            </w:pPr>
          </w:p>
        </w:tc>
        <w:tc>
          <w:tcPr>
            <w:tcW w:w="361" w:type="pct"/>
            <w:vAlign w:val="center"/>
          </w:tcPr>
          <w:p w14:paraId="3510A541">
            <w:pPr>
              <w:spacing w:line="360" w:lineRule="auto"/>
              <w:jc w:val="center"/>
              <w:rPr>
                <w:rFonts w:ascii="宋体" w:hAnsi="宋体" w:eastAsia="宋体" w:cs="宋体"/>
                <w:b/>
                <w:bCs/>
                <w:kern w:val="0"/>
                <w:szCs w:val="24"/>
              </w:rPr>
            </w:pPr>
          </w:p>
        </w:tc>
        <w:tc>
          <w:tcPr>
            <w:tcW w:w="1160" w:type="pct"/>
            <w:vAlign w:val="center"/>
          </w:tcPr>
          <w:p w14:paraId="215E3685">
            <w:pPr>
              <w:spacing w:line="360" w:lineRule="auto"/>
              <w:jc w:val="center"/>
              <w:rPr>
                <w:rFonts w:ascii="宋体" w:hAnsi="宋体" w:eastAsia="宋体" w:cs="宋体"/>
                <w:b/>
                <w:bCs/>
                <w:kern w:val="0"/>
                <w:szCs w:val="24"/>
              </w:rPr>
            </w:pPr>
          </w:p>
        </w:tc>
        <w:tc>
          <w:tcPr>
            <w:tcW w:w="688" w:type="pct"/>
            <w:vAlign w:val="center"/>
          </w:tcPr>
          <w:p w14:paraId="0C94829C">
            <w:pPr>
              <w:spacing w:line="360" w:lineRule="auto"/>
              <w:jc w:val="center"/>
              <w:rPr>
                <w:rFonts w:ascii="宋体" w:hAnsi="宋体" w:eastAsia="宋体" w:cs="宋体"/>
                <w:b/>
                <w:bCs/>
                <w:kern w:val="0"/>
                <w:sz w:val="24"/>
                <w:szCs w:val="24"/>
              </w:rPr>
            </w:pPr>
          </w:p>
        </w:tc>
      </w:tr>
      <w:tr w14:paraId="3EFDF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6" w:hRule="atLeast"/>
          <w:jc w:val="center"/>
        </w:trPr>
        <w:tc>
          <w:tcPr>
            <w:tcW w:w="233" w:type="pct"/>
            <w:noWrap/>
            <w:tcMar>
              <w:top w:w="15" w:type="dxa"/>
              <w:left w:w="15" w:type="dxa"/>
              <w:bottom w:w="0" w:type="dxa"/>
              <w:right w:w="15" w:type="dxa"/>
            </w:tcMar>
            <w:vAlign w:val="center"/>
          </w:tcPr>
          <w:p w14:paraId="7C899CA5">
            <w:pPr>
              <w:spacing w:before="5" w:line="360" w:lineRule="auto"/>
              <w:jc w:val="center"/>
              <w:rPr>
                <w:rFonts w:ascii="宋体" w:hAnsi="宋体" w:eastAsia="宋体" w:cs="宋体"/>
                <w:sz w:val="18"/>
                <w:szCs w:val="18"/>
              </w:rPr>
            </w:pPr>
            <w:r>
              <w:rPr>
                <w:rFonts w:hint="eastAsia" w:ascii="宋体" w:hAnsi="宋体" w:eastAsia="宋体" w:cs="宋体"/>
                <w:sz w:val="18"/>
                <w:szCs w:val="18"/>
              </w:rPr>
              <w:t>3</w:t>
            </w:r>
          </w:p>
        </w:tc>
        <w:tc>
          <w:tcPr>
            <w:tcW w:w="2080" w:type="pct"/>
            <w:noWrap/>
            <w:tcMar>
              <w:top w:w="15" w:type="dxa"/>
              <w:left w:w="15" w:type="dxa"/>
              <w:bottom w:w="0" w:type="dxa"/>
              <w:right w:w="15" w:type="dxa"/>
            </w:tcMar>
            <w:vAlign w:val="center"/>
          </w:tcPr>
          <w:p w14:paraId="1EEE9AE0">
            <w:pPr>
              <w:spacing w:line="360" w:lineRule="auto"/>
              <w:jc w:val="center"/>
              <w:rPr>
                <w:rFonts w:ascii="宋体" w:hAnsi="宋体" w:eastAsia="宋体" w:cs="宋体"/>
                <w:bCs/>
                <w:kern w:val="0"/>
                <w:sz w:val="18"/>
                <w:szCs w:val="24"/>
              </w:rPr>
            </w:pPr>
          </w:p>
        </w:tc>
        <w:tc>
          <w:tcPr>
            <w:tcW w:w="476" w:type="pct"/>
            <w:tcMar>
              <w:top w:w="15" w:type="dxa"/>
              <w:left w:w="15" w:type="dxa"/>
              <w:bottom w:w="0" w:type="dxa"/>
              <w:right w:w="15" w:type="dxa"/>
            </w:tcMar>
            <w:vAlign w:val="center"/>
          </w:tcPr>
          <w:p w14:paraId="466E378A">
            <w:pPr>
              <w:spacing w:line="360" w:lineRule="auto"/>
              <w:jc w:val="center"/>
              <w:rPr>
                <w:rFonts w:ascii="宋体" w:hAnsi="宋体" w:eastAsia="宋体" w:cs="宋体"/>
                <w:b/>
                <w:bCs/>
                <w:kern w:val="0"/>
                <w:sz w:val="24"/>
                <w:szCs w:val="24"/>
              </w:rPr>
            </w:pPr>
            <w:r>
              <w:rPr>
                <w:rFonts w:hint="eastAsia" w:ascii="宋体" w:hAnsi="宋体" w:eastAsia="宋体" w:cs="宋体"/>
                <w:b/>
                <w:bCs/>
                <w:kern w:val="0"/>
                <w:szCs w:val="24"/>
              </w:rPr>
              <w:t>　</w:t>
            </w:r>
          </w:p>
        </w:tc>
        <w:tc>
          <w:tcPr>
            <w:tcW w:w="361" w:type="pct"/>
            <w:vAlign w:val="center"/>
          </w:tcPr>
          <w:p w14:paraId="7F0FD3E0">
            <w:pPr>
              <w:spacing w:line="360" w:lineRule="auto"/>
              <w:jc w:val="center"/>
              <w:rPr>
                <w:rFonts w:ascii="宋体" w:hAnsi="宋体" w:eastAsia="宋体" w:cs="宋体"/>
                <w:b/>
                <w:bCs/>
                <w:kern w:val="0"/>
                <w:szCs w:val="24"/>
              </w:rPr>
            </w:pPr>
          </w:p>
        </w:tc>
        <w:tc>
          <w:tcPr>
            <w:tcW w:w="1160" w:type="pct"/>
            <w:vAlign w:val="center"/>
          </w:tcPr>
          <w:p w14:paraId="4377428F">
            <w:pPr>
              <w:spacing w:line="360" w:lineRule="auto"/>
              <w:jc w:val="center"/>
              <w:rPr>
                <w:rFonts w:ascii="宋体" w:hAnsi="宋体" w:eastAsia="宋体" w:cs="宋体"/>
                <w:b/>
                <w:bCs/>
                <w:kern w:val="0"/>
                <w:sz w:val="24"/>
                <w:szCs w:val="24"/>
              </w:rPr>
            </w:pPr>
            <w:r>
              <w:rPr>
                <w:rFonts w:hint="eastAsia" w:ascii="宋体" w:hAnsi="宋体" w:eastAsia="宋体" w:cs="宋体"/>
                <w:b/>
                <w:bCs/>
                <w:kern w:val="0"/>
                <w:szCs w:val="24"/>
              </w:rPr>
              <w:t>　</w:t>
            </w:r>
          </w:p>
        </w:tc>
        <w:tc>
          <w:tcPr>
            <w:tcW w:w="688" w:type="pct"/>
            <w:vAlign w:val="center"/>
          </w:tcPr>
          <w:p w14:paraId="1ADC56C5">
            <w:pPr>
              <w:spacing w:line="360" w:lineRule="auto"/>
              <w:jc w:val="center"/>
              <w:rPr>
                <w:rFonts w:ascii="宋体" w:hAnsi="宋体" w:eastAsia="宋体" w:cs="宋体"/>
                <w:b/>
                <w:bCs/>
                <w:kern w:val="0"/>
                <w:sz w:val="24"/>
                <w:szCs w:val="24"/>
              </w:rPr>
            </w:pPr>
          </w:p>
        </w:tc>
      </w:tr>
      <w:tr w14:paraId="67898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6" w:hRule="atLeast"/>
          <w:jc w:val="center"/>
        </w:trPr>
        <w:tc>
          <w:tcPr>
            <w:tcW w:w="5000" w:type="pct"/>
            <w:gridSpan w:val="6"/>
            <w:tcMar>
              <w:top w:w="15" w:type="dxa"/>
              <w:left w:w="15" w:type="dxa"/>
              <w:bottom w:w="0" w:type="dxa"/>
              <w:right w:w="15" w:type="dxa"/>
            </w:tcMar>
            <w:vAlign w:val="center"/>
          </w:tcPr>
          <w:p w14:paraId="3F1EE90E">
            <w:pPr>
              <w:spacing w:line="360" w:lineRule="auto"/>
              <w:rPr>
                <w:rFonts w:ascii="宋体" w:hAnsi="宋体" w:eastAsia="宋体" w:cs="宋体"/>
                <w:kern w:val="0"/>
                <w:szCs w:val="21"/>
              </w:rPr>
            </w:pPr>
            <w:r>
              <w:rPr>
                <w:rFonts w:hint="eastAsia" w:ascii="宋体" w:hAnsi="宋体" w:eastAsia="宋体" w:cs="宋体"/>
                <w:b/>
                <w:bCs/>
                <w:kern w:val="0"/>
                <w:szCs w:val="21"/>
              </w:rPr>
              <w:t>总报价：大写                                           小写</w:t>
            </w:r>
          </w:p>
        </w:tc>
      </w:tr>
    </w:tbl>
    <w:p w14:paraId="61F37532">
      <w:pPr>
        <w:pStyle w:val="3"/>
        <w:spacing w:before="145" w:beforeLines="50" w:after="145" w:afterLines="50" w:line="360" w:lineRule="auto"/>
        <w:jc w:val="left"/>
        <w:rPr>
          <w:rFonts w:hint="eastAsia" w:ascii="宋体" w:hAnsi="宋体" w:eastAsia="宋体"/>
          <w:sz w:val="28"/>
          <w:szCs w:val="28"/>
        </w:rPr>
      </w:pPr>
      <w:r>
        <w:rPr>
          <w:rFonts w:ascii="宋体" w:hAnsi="宋体" w:eastAsia="宋体"/>
          <w:sz w:val="28"/>
          <w:szCs w:val="28"/>
        </w:rPr>
        <w:br w:type="page"/>
      </w:r>
      <w:bookmarkStart w:id="121" w:name="_Toc24962244"/>
      <w:bookmarkStart w:id="122" w:name="_Toc21781761"/>
      <w:r>
        <w:rPr>
          <w:rFonts w:hint="eastAsia" w:ascii="宋体" w:hAnsi="宋体" w:eastAsia="宋体"/>
          <w:sz w:val="28"/>
          <w:szCs w:val="28"/>
        </w:rPr>
        <w:t>附件十四、</w:t>
      </w:r>
      <w:bookmarkEnd w:id="121"/>
      <w:bookmarkEnd w:id="122"/>
      <w:r>
        <w:rPr>
          <w:rFonts w:hint="eastAsia" w:ascii="宋体" w:hAnsi="宋体" w:eastAsia="宋体"/>
          <w:sz w:val="28"/>
          <w:szCs w:val="28"/>
        </w:rPr>
        <w:t>其他证明文件</w:t>
      </w:r>
      <w:bookmarkEnd w:id="103"/>
      <w:bookmarkEnd w:id="104"/>
      <w:bookmarkEnd w:id="105"/>
      <w:bookmarkEnd w:id="106"/>
      <w:bookmarkEnd w:id="107"/>
      <w:bookmarkEnd w:id="108"/>
      <w:bookmarkEnd w:id="109"/>
      <w:bookmarkEnd w:id="110"/>
      <w:bookmarkEnd w:id="118"/>
      <w:bookmarkEnd w:id="119"/>
      <w:bookmarkStart w:id="123" w:name="_Toc197181362"/>
      <w:bookmarkEnd w:id="123"/>
    </w:p>
    <w:p w14:paraId="53E3EC2F">
      <w:pPr>
        <w:pStyle w:val="5"/>
        <w:rPr>
          <w:sz w:val="24"/>
          <w:szCs w:val="24"/>
        </w:rPr>
      </w:pPr>
    </w:p>
    <w:sectPr>
      <w:headerReference r:id="rId13" w:type="first"/>
      <w:footerReference r:id="rId15" w:type="first"/>
      <w:footerReference r:id="rId14" w:type="default"/>
      <w:pgSz w:w="11906" w:h="16838"/>
      <w:pgMar w:top="1418" w:right="1274" w:bottom="1418" w:left="1365" w:header="851" w:footer="907" w:gutter="0"/>
      <w:cols w:space="720" w:num="1"/>
      <w:titlePg/>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Univers 57 Condensed">
    <w:panose1 w:val="020B0606020202060204"/>
    <w:charset w:val="00"/>
    <w:family w:val="swiss"/>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Arial Unicode MS">
    <w:altName w:val="宋体"/>
    <w:panose1 w:val="020B0604020202020204"/>
    <w:charset w:val="86"/>
    <w:family w:val="roman"/>
    <w:pitch w:val="default"/>
    <w:sig w:usb0="00000000" w:usb1="00000000" w:usb2="0000003F" w:usb3="00000000" w:csb0="603F01FF" w:csb1="FFFF0000"/>
  </w:font>
  <w:font w:name="方正黑体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Book Antiqua">
    <w:panose1 w:val="02040602050305030304"/>
    <w:charset w:val="00"/>
    <w:family w:val="roman"/>
    <w:pitch w:val="default"/>
    <w:sig w:usb0="00000287" w:usb1="00000000" w:usb2="00000000" w:usb3="00000000" w:csb0="2000009F" w:csb1="DFD70000"/>
  </w:font>
  <w:font w:name="方正小标宋_GBK">
    <w:altName w:val="微软雅黑"/>
    <w:panose1 w:val="00000000000000000000"/>
    <w:charset w:val="86"/>
    <w:family w:val="script"/>
    <w:pitch w:val="default"/>
    <w:sig w:usb0="00000000" w:usb1="00000000" w:usb2="00082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61F0F">
    <w:pPr>
      <w:pStyle w:val="26"/>
      <w:jc w:val="center"/>
    </w:pPr>
    <w:r>
      <w:fldChar w:fldCharType="begin"/>
    </w:r>
    <w:r>
      <w:instrText xml:space="preserve">PAGE   \* MERGEFORMAT</w:instrText>
    </w:r>
    <w:r>
      <w:fldChar w:fldCharType="separate"/>
    </w:r>
    <w:r>
      <w:rPr>
        <w:rFonts w:hint="eastAsia"/>
        <w:lang w:val="zh-CN"/>
      </w:rPr>
      <w:t>１</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22412">
    <w:pPr>
      <w:pStyle w:val="26"/>
      <w:framePr w:wrap="around" w:vAnchor="text" w:hAnchor="margin" w:xAlign="center" w:y="1"/>
      <w:rPr>
        <w:rStyle w:val="43"/>
      </w:rPr>
    </w:pPr>
    <w:r>
      <w:fldChar w:fldCharType="begin"/>
    </w:r>
    <w:r>
      <w:rPr>
        <w:rStyle w:val="43"/>
      </w:rPr>
      <w:instrText xml:space="preserve">PAGE  </w:instrText>
    </w:r>
    <w:r>
      <w:fldChar w:fldCharType="separate"/>
    </w:r>
    <w:r>
      <w:rPr>
        <w:rStyle w:val="43"/>
      </w:rPr>
      <w:t>1</w:t>
    </w:r>
    <w:r>
      <w:fldChar w:fldCharType="end"/>
    </w:r>
  </w:p>
  <w:p w14:paraId="436EA360">
    <w:pPr>
      <w:pStyle w:val="26"/>
    </w:pPr>
  </w:p>
  <w:p w14:paraId="067E75BE"/>
  <w:p w14:paraId="3C77A1A9"/>
  <w:p w14:paraId="5481AD9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04A65">
    <w:pPr>
      <w:pStyle w:val="26"/>
      <w:jc w:val="center"/>
    </w:pPr>
  </w:p>
  <w:p w14:paraId="5652D9BC">
    <w:pPr>
      <w:pStyle w:val="2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B05BF">
    <w:pPr>
      <w:pStyle w:val="2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F7E0DE">
                          <w:pPr>
                            <w:pStyle w:val="26"/>
                          </w:pPr>
                          <w:r>
                            <w:t xml:space="preserve">第 </w:t>
                          </w:r>
                          <w:r>
                            <w:fldChar w:fldCharType="begin"/>
                          </w:r>
                          <w:r>
                            <w:instrText xml:space="preserve"> PAGE  \* MERGEFORMAT </w:instrText>
                          </w:r>
                          <w:r>
                            <w:fldChar w:fldCharType="separate"/>
                          </w:r>
                          <w:r>
                            <w:t>２６</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1FF7E0DE">
                    <w:pPr>
                      <w:pStyle w:val="26"/>
                    </w:pPr>
                    <w:r>
                      <w:t xml:space="preserve">第 </w:t>
                    </w:r>
                    <w:r>
                      <w:fldChar w:fldCharType="begin"/>
                    </w:r>
                    <w:r>
                      <w:instrText xml:space="preserve"> PAGE  \* MERGEFORMAT </w:instrText>
                    </w:r>
                    <w:r>
                      <w:fldChar w:fldCharType="separate"/>
                    </w:r>
                    <w:r>
                      <w:t>２６</w:t>
                    </w:r>
                    <w:r>
                      <w:fldChar w:fldCharType="end"/>
                    </w:r>
                    <w:r>
                      <w:t xml:space="preserve"> 页</w:t>
                    </w:r>
                  </w:p>
                </w:txbxContent>
              </v:textbox>
            </v:shape>
          </w:pict>
        </mc:Fallback>
      </mc:AlternateContent>
    </w:r>
  </w:p>
  <w:p w14:paraId="57682762">
    <w:pPr>
      <w:spacing w:line="220" w:lineRule="auto"/>
      <w:ind w:left="3323"/>
      <w:rPr>
        <w:rFonts w:hint="eastAsia" w:ascii="宋体" w:hAnsi="宋体" w:cs="宋体"/>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F0B78">
    <w:pPr>
      <w:spacing w:line="174" w:lineRule="auto"/>
      <w:ind w:left="4873"/>
      <w:rPr>
        <w:rFonts w:eastAsia="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87BECC">
                          <w:pPr>
                            <w:pStyle w:val="26"/>
                          </w:pPr>
                          <w:r>
                            <w:t xml:space="preserve">第 </w:t>
                          </w:r>
                          <w:r>
                            <w:fldChar w:fldCharType="begin"/>
                          </w:r>
                          <w:r>
                            <w:instrText xml:space="preserve"> PAGE  \* MERGEFORMAT </w:instrText>
                          </w:r>
                          <w:r>
                            <w:fldChar w:fldCharType="separate"/>
                          </w:r>
                          <w:r>
                            <w:t>２８</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0987BECC">
                    <w:pPr>
                      <w:pStyle w:val="26"/>
                    </w:pPr>
                    <w:r>
                      <w:t xml:space="preserve">第 </w:t>
                    </w:r>
                    <w:r>
                      <w:fldChar w:fldCharType="begin"/>
                    </w:r>
                    <w:r>
                      <w:instrText xml:space="preserve"> PAGE  \* MERGEFORMAT </w:instrText>
                    </w:r>
                    <w:r>
                      <w:fldChar w:fldCharType="separate"/>
                    </w:r>
                    <w:r>
                      <w:t>２８</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81FD5">
    <w:pPr>
      <w:pStyle w:val="26"/>
      <w:rPr>
        <w:sz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98845A">
                          <w:pPr>
                            <w:pStyle w:val="26"/>
                          </w:pPr>
                          <w:r>
                            <w:t xml:space="preserve">第 </w:t>
                          </w:r>
                          <w:r>
                            <w:fldChar w:fldCharType="begin"/>
                          </w:r>
                          <w:r>
                            <w:instrText xml:space="preserve"> PAGE  \* MERGEFORMAT </w:instrText>
                          </w:r>
                          <w:r>
                            <w:fldChar w:fldCharType="separate"/>
                          </w:r>
                          <w:r>
                            <w:t>２</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2998845A">
                    <w:pPr>
                      <w:pStyle w:val="26"/>
                    </w:pPr>
                    <w:r>
                      <w:t xml:space="preserve">第 </w:t>
                    </w:r>
                    <w:r>
                      <w:fldChar w:fldCharType="begin"/>
                    </w:r>
                    <w:r>
                      <w:instrText xml:space="preserve"> PAGE  \* MERGEFORMAT </w:instrText>
                    </w:r>
                    <w:r>
                      <w:fldChar w:fldCharType="separate"/>
                    </w:r>
                    <w:r>
                      <w:t>２</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6A4A9">
    <w:pPr>
      <w:pStyle w:val="26"/>
      <w:rPr>
        <w:sz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A87781">
                          <w:pPr>
                            <w:pStyle w:val="26"/>
                          </w:pPr>
                          <w:r>
                            <w:t xml:space="preserve">第 </w:t>
                          </w:r>
                          <w:r>
                            <w:fldChar w:fldCharType="begin"/>
                          </w:r>
                          <w:r>
                            <w:instrText xml:space="preserve"> PAGE  \* MERGEFORMAT </w:instrText>
                          </w:r>
                          <w:r>
                            <w:fldChar w:fldCharType="separate"/>
                          </w:r>
                          <w:r>
                            <w:t>３２</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5CA87781">
                    <w:pPr>
                      <w:pStyle w:val="26"/>
                    </w:pPr>
                    <w:r>
                      <w:t xml:space="preserve">第 </w:t>
                    </w:r>
                    <w:r>
                      <w:fldChar w:fldCharType="begin"/>
                    </w:r>
                    <w:r>
                      <w:instrText xml:space="preserve"> PAGE  \* MERGEFORMAT </w:instrText>
                    </w:r>
                    <w:r>
                      <w:fldChar w:fldCharType="separate"/>
                    </w:r>
                    <w:r>
                      <w:t>３２</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D252E">
    <w:pPr>
      <w:pStyle w:val="27"/>
    </w:pPr>
  </w:p>
  <w:p w14:paraId="1668231D">
    <w:pPr>
      <w:pStyle w:val="27"/>
    </w:pPr>
  </w:p>
  <w:p w14:paraId="3417DB5D">
    <w:pPr>
      <w:pStyle w:val="27"/>
    </w:pPr>
  </w:p>
  <w:p w14:paraId="124751BC">
    <w:pPr>
      <w:pStyle w:val="27"/>
    </w:pPr>
  </w:p>
  <w:p w14:paraId="55174FB2">
    <w:pPr>
      <w:pStyle w:val="27"/>
      <w:jc w:val="right"/>
    </w:pPr>
    <w:r>
      <w:rPr>
        <w:rFonts w:hint="eastAsia" w:ascii="宋体" w:hAnsi="宋体" w:cs="宋体"/>
        <w:sz w:val="21"/>
        <w:szCs w:val="21"/>
      </w:rPr>
      <w:t>南京机电职业技术学院电梯维保服务项目竞争性磋商文件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4495C">
    <w:pPr>
      <w:pStyle w:val="2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878E5">
    <w:pPr>
      <w:pStyle w:val="27"/>
      <w:ind w:right="9030"/>
      <w:jc w:val="both"/>
      <w:rPr>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56839">
    <w:pPr>
      <w:pStyle w:val="27"/>
      <w:jc w:val="right"/>
    </w:pPr>
    <w:r>
      <w:rPr>
        <w:rFonts w:hint="eastAsia" w:ascii="宋体" w:hAnsi="宋体" w:cs="宋体"/>
        <w:sz w:val="21"/>
        <w:szCs w:val="21"/>
      </w:rPr>
      <w:t>南京机电职业技术学院电梯维保服务项目竞争性磋商文件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34F42">
    <w:pPr>
      <w:spacing w:line="221" w:lineRule="auto"/>
      <w:jc w:val="right"/>
      <w:rPr>
        <w:rFonts w:hint="eastAsia" w:ascii="仿宋" w:hAnsi="仿宋" w:eastAsia="仿宋" w:cs="仿宋"/>
      </w:rPr>
    </w:pPr>
    <w:r>
      <w:rPr>
        <w:rFonts w:hint="eastAsia"/>
      </w:rPr>
      <w:t>南京机电职业技术学院电梯维保服务项目</w:t>
    </w:r>
    <w:r>
      <mc:AlternateContent>
        <mc:Choice Requires="wps">
          <w:drawing>
            <wp:anchor distT="0" distB="0" distL="114300" distR="114300" simplePos="0" relativeHeight="251659264" behindDoc="0" locked="0" layoutInCell="0" allowOverlap="1">
              <wp:simplePos x="0" y="0"/>
              <wp:positionH relativeFrom="page">
                <wp:posOffset>918845</wp:posOffset>
              </wp:positionH>
              <wp:positionV relativeFrom="page">
                <wp:posOffset>530860</wp:posOffset>
              </wp:positionV>
              <wp:extent cx="5850890" cy="352425"/>
              <wp:effectExtent l="0" t="0" r="0" b="0"/>
              <wp:wrapNone/>
              <wp:docPr id="3" name="任意多边形 3"/>
              <wp:cNvGraphicFramePr/>
              <a:graphic xmlns:a="http://schemas.openxmlformats.org/drawingml/2006/main">
                <a:graphicData uri="http://schemas.microsoft.com/office/word/2010/wordprocessingShape">
                  <wps:wsp>
                    <wps:cNvSpPr/>
                    <wps:spPr>
                      <a:xfrm flipV="1">
                        <a:off x="0" y="0"/>
                        <a:ext cx="5850890" cy="352425"/>
                      </a:xfrm>
                      <a:custGeom>
                        <a:avLst/>
                        <a:gdLst/>
                        <a:ahLst/>
                        <a:cxnLst/>
                        <a:rect l="0" t="0" r="0" b="0"/>
                        <a:pathLst>
                          <a:path w="9922" h="15">
                            <a:moveTo>
                              <a:pt x="0" y="7"/>
                            </a:moveTo>
                            <a:lnTo>
                              <a:pt x="9922" y="7"/>
                            </a:lnTo>
                          </a:path>
                        </a:pathLst>
                      </a:custGeom>
                      <a:noFill/>
                      <a:ln w="9525" cap="flat" cmpd="sng">
                        <a:solidFill>
                          <a:srgbClr val="000000"/>
                        </a:solidFill>
                        <a:prstDash val="solid"/>
                        <a:miter lim="1000000"/>
                        <a:headEnd type="none" w="med" len="med"/>
                        <a:tailEnd type="none" w="med" len="med"/>
                      </a:ln>
                    </wps:spPr>
                    <wps:bodyPr upright="1"/>
                  </wps:wsp>
                </a:graphicData>
              </a:graphic>
            </wp:anchor>
          </w:drawing>
        </mc:Choice>
        <mc:Fallback>
          <w:pict>
            <v:shape id="_x0000_s1026" o:spid="_x0000_s1026" o:spt="100" style="position:absolute;left:0pt;flip:y;margin-left:72.35pt;margin-top:41.8pt;height:27.75pt;width:460.7pt;mso-position-horizontal-relative:page;mso-position-vertical-relative:page;z-index:251659264;mso-width-relative:page;mso-height-relative:page;" filled="f" stroked="t" coordsize="9922,15" o:allowincell="f" o:gfxdata="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omkE/NgAAAALAQAADwAA&#10;AAAAAAABACAAAAAiAAAAZHJzL2Rvd25yZXYueG1sUEsBAhQAFAAAAAgAh07iQNkZZhNPAgAA0QQA&#10;AA4AAAAAAAAAAQAgAAAAJwEAAGRycy9lMm9Eb2MueG1sUEsFBgAAAAAGAAYAWQEAAOgFAAAAAA==&#10;" path="m0,7l9922,7e">
              <v:fill on="f" focussize="0,0"/>
              <v:stroke color="#000000" miterlimit="10" joinstyle="miter"/>
              <v:imagedata o:title=""/>
              <o:lock v:ext="edit" aspectratio="f"/>
            </v:shape>
          </w:pict>
        </mc:Fallback>
      </mc:AlternateContent>
    </w:r>
    <w:r>
      <w:rPr>
        <w:rFonts w:hint="eastAsia" w:ascii="宋体" w:hAnsi="宋体" w:cs="宋体"/>
      </w:rPr>
      <w:t>竞争性磋商文件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79B50">
    <w:pPr>
      <w:pStyle w:val="27"/>
      <w:jc w:val="right"/>
      <w:rPr>
        <w:sz w:val="21"/>
      </w:rPr>
    </w:pPr>
    <w:r>
      <w:rPr>
        <w:rFonts w:hint="eastAsia" w:ascii="宋体" w:hAnsi="宋体" w:cs="宋体"/>
        <w:sz w:val="21"/>
        <w:szCs w:val="21"/>
      </w:rPr>
      <w:t>南京机电职业技术学院电梯维保服务项目竞争性磋商文件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784D56"/>
    <w:multiLevelType w:val="singleLevel"/>
    <w:tmpl w:val="06784D56"/>
    <w:lvl w:ilvl="0" w:tentative="0">
      <w:start w:val="1"/>
      <w:numFmt w:val="upperLetter"/>
      <w:pStyle w:val="142"/>
      <w:lvlText w:val="附录%1."/>
      <w:lvlJc w:val="left"/>
      <w:pPr>
        <w:tabs>
          <w:tab w:val="left" w:pos="907"/>
        </w:tabs>
        <w:ind w:left="907" w:hanging="907"/>
      </w:pPr>
      <w:rPr>
        <w:rFonts w:hint="eastAsia"/>
      </w:rPr>
    </w:lvl>
  </w:abstractNum>
  <w:abstractNum w:abstractNumId="1">
    <w:nsid w:val="0D4C9E79"/>
    <w:multiLevelType w:val="singleLevel"/>
    <w:tmpl w:val="0D4C9E79"/>
    <w:lvl w:ilvl="0" w:tentative="0">
      <w:start w:val="2"/>
      <w:numFmt w:val="decimal"/>
      <w:lvlText w:val="%1."/>
      <w:lvlJc w:val="left"/>
      <w:pPr>
        <w:tabs>
          <w:tab w:val="left" w:pos="312"/>
        </w:tabs>
      </w:pPr>
    </w:lvl>
  </w:abstractNum>
  <w:abstractNum w:abstractNumId="2">
    <w:nsid w:val="171657A1"/>
    <w:multiLevelType w:val="multilevel"/>
    <w:tmpl w:val="171657A1"/>
    <w:lvl w:ilvl="0" w:tentative="0">
      <w:start w:val="1"/>
      <w:numFmt w:val="decimal"/>
      <w:suff w:val="nothing"/>
      <w:lvlText w:val="%1 "/>
      <w:lvlJc w:val="left"/>
      <w:pPr>
        <w:ind w:left="0" w:firstLine="0"/>
      </w:pPr>
      <w:rPr>
        <w:rFonts w:hint="default" w:ascii="Book Antiqua" w:hAnsi="Book Antiqua" w:eastAsia="黑体" w:cs="Book Antiqua"/>
        <w:b/>
        <w:bCs/>
        <w:i w:val="0"/>
        <w:iCs w:val="0"/>
        <w:caps w:val="0"/>
        <w:strike w:val="0"/>
        <w:dstrike w:val="0"/>
        <w:vanish w:val="0"/>
        <w:color w:val="000000"/>
        <w:sz w:val="144"/>
        <w:szCs w:val="144"/>
        <w:vertAlign w:val="baseline"/>
      </w:rPr>
    </w:lvl>
    <w:lvl w:ilvl="1" w:tentative="0">
      <w:start w:val="1"/>
      <w:numFmt w:val="decimal"/>
      <w:suff w:val="nothing"/>
      <w:lvlText w:val="%1.%2 "/>
      <w:lvlJc w:val="left"/>
      <w:pPr>
        <w:ind w:left="568" w:firstLine="0"/>
      </w:pPr>
      <w:rPr>
        <w:rFonts w:hint="default" w:ascii="Book Antiqua" w:hAnsi="Book Antiqua" w:eastAsia="黑体" w:cs="Book Antiqua"/>
        <w:b w:val="0"/>
        <w:bCs/>
        <w:i w:val="0"/>
        <w:iCs w:val="0"/>
        <w:caps w:val="0"/>
        <w:strike w:val="0"/>
        <w:dstrike w:val="0"/>
        <w:snapToGrid w:val="0"/>
        <w:vanish w:val="0"/>
        <w:spacing w:val="0"/>
        <w:kern w:val="0"/>
        <w:sz w:val="36"/>
        <w:szCs w:val="36"/>
        <w:vertAlign w:val="baseline"/>
      </w:rPr>
    </w:lvl>
    <w:lvl w:ilvl="2" w:tentative="0">
      <w:start w:val="1"/>
      <w:numFmt w:val="decimal"/>
      <w:suff w:val="nothing"/>
      <w:lvlText w:val="%1.%2.%3 "/>
      <w:lvlJc w:val="left"/>
      <w:pPr>
        <w:ind w:left="142" w:firstLine="0"/>
      </w:pPr>
      <w:rPr>
        <w:rFonts w:hint="default" w:ascii="Book Antiqua" w:hAnsi="Book Antiqua" w:eastAsia="黑体" w:cs="Book Antiqua"/>
        <w:b w:val="0"/>
        <w:bCs/>
        <w:i w:val="0"/>
        <w:iCs w:val="0"/>
        <w:caps w:val="0"/>
        <w:strike w:val="0"/>
        <w:dstrike w:val="0"/>
        <w:snapToGrid w:val="0"/>
        <w:vanish w:val="0"/>
        <w:color w:val="auto"/>
        <w:kern w:val="0"/>
        <w:sz w:val="32"/>
        <w:szCs w:val="32"/>
        <w:vertAlign w:val="baseline"/>
      </w:rPr>
    </w:lvl>
    <w:lvl w:ilvl="3" w:tentative="0">
      <w:start w:val="1"/>
      <w:numFmt w:val="none"/>
      <w:lvlRestart w:val="0"/>
      <w:suff w:val="nothing"/>
      <w:lvlText w:val=""/>
      <w:lvlJc w:val="left"/>
      <w:pPr>
        <w:ind w:left="0" w:firstLine="0"/>
      </w:pPr>
      <w:rPr>
        <w:rFonts w:hint="default" w:ascii="Arial" w:hAnsi="Arial" w:cs="Arial"/>
        <w:b/>
        <w:bCs/>
        <w:i w:val="0"/>
        <w:iCs w:val="0"/>
        <w:caps w:val="0"/>
        <w:strike w:val="0"/>
        <w:dstrike w:val="0"/>
        <w:vanish w:val="0"/>
        <w:sz w:val="20"/>
        <w:szCs w:val="20"/>
        <w:vertAlign w:val="baseline"/>
      </w:rPr>
    </w:lvl>
    <w:lvl w:ilvl="4" w:tentative="0">
      <w:start w:val="1"/>
      <w:numFmt w:val="upperRoman"/>
      <w:suff w:val="nothing"/>
      <w:lvlText w:val="%5. "/>
      <w:lvlJc w:val="left"/>
      <w:pPr>
        <w:ind w:left="1702" w:hanging="227"/>
      </w:pPr>
      <w:rPr>
        <w:rFonts w:hint="default" w:ascii="Times New Roman" w:hAnsi="Times New Roman" w:eastAsia="黑体" w:cs="Times New Roman"/>
        <w:b/>
        <w:bCs/>
        <w:i w:val="0"/>
        <w:iCs w:val="0"/>
        <w:sz w:val="24"/>
        <w:szCs w:val="24"/>
        <w:u w:val="none"/>
      </w:rPr>
    </w:lvl>
    <w:lvl w:ilvl="5" w:tentative="0">
      <w:start w:val="1"/>
      <w:numFmt w:val="bullet"/>
      <w:lvlText w:val=""/>
      <w:lvlJc w:val="left"/>
      <w:pPr>
        <w:tabs>
          <w:tab w:val="left" w:pos="1701"/>
        </w:tabs>
        <w:ind w:left="1701" w:hanging="159"/>
      </w:pPr>
      <w:rPr>
        <w:rFonts w:hint="default" w:ascii="Wingdings" w:hAnsi="Wingdings"/>
        <w:b w:val="0"/>
        <w:bCs/>
        <w:i w:val="0"/>
        <w:iCs w:val="0"/>
        <w:color w:val="auto"/>
        <w:sz w:val="21"/>
        <w:szCs w:val="21"/>
      </w:rPr>
    </w:lvl>
    <w:lvl w:ilvl="6" w:tentative="0">
      <w:start w:val="1"/>
      <w:numFmt w:val="lowerLetter"/>
      <w:lvlText w:val="%7."/>
      <w:lvlJc w:val="left"/>
      <w:pPr>
        <w:tabs>
          <w:tab w:val="left" w:pos="2126"/>
        </w:tabs>
        <w:ind w:left="2126" w:hanging="425"/>
      </w:pPr>
      <w:rPr>
        <w:rFonts w:hint="default" w:ascii="Times New Roman" w:hAnsi="Times New Roman" w:cs="Book Antiqua"/>
        <w:b w:val="0"/>
        <w:bCs/>
        <w:i w:val="0"/>
        <w:iCs w:val="0"/>
        <w:sz w:val="21"/>
        <w:szCs w:val="21"/>
        <w:u w:val="none"/>
      </w:rPr>
    </w:lvl>
    <w:lvl w:ilvl="7" w:tentative="0">
      <w:start w:val="1"/>
      <w:numFmt w:val="decimal"/>
      <w:lvlRestart w:val="1"/>
      <w:pStyle w:val="243"/>
      <w:suff w:val="space"/>
      <w:lvlText w:val="图%1-%8"/>
      <w:lvlJc w:val="left"/>
      <w:pPr>
        <w:ind w:left="1702" w:firstLine="0"/>
      </w:pPr>
      <w:rPr>
        <w:rFonts w:hint="default" w:ascii="Times New Roman" w:hAnsi="Times New Roman" w:eastAsia="黑体" w:cs="Book Antiqua"/>
        <w:b w:val="0"/>
        <w:bCs/>
        <w:i w:val="0"/>
        <w:iCs w:val="0"/>
        <w:strike w:val="0"/>
        <w:dstrike w:val="0"/>
        <w:color w:val="auto"/>
        <w:sz w:val="21"/>
        <w:szCs w:val="21"/>
        <w:vertAlign w:val="baseline"/>
        <w:lang w:val="en-US"/>
      </w:rPr>
    </w:lvl>
    <w:lvl w:ilvl="8" w:tentative="0">
      <w:start w:val="1"/>
      <w:numFmt w:val="decimal"/>
      <w:lvlRestart w:val="1"/>
      <w:pStyle w:val="225"/>
      <w:suff w:val="space"/>
      <w:lvlText w:val="表%1-%9"/>
      <w:lvlJc w:val="left"/>
      <w:pPr>
        <w:ind w:left="1701" w:firstLine="0"/>
      </w:pPr>
      <w:rPr>
        <w:rFonts w:hint="default" w:ascii="Times New Roman" w:hAnsi="Times New Roman" w:eastAsia="黑体"/>
        <w:b w:val="0"/>
        <w:bCs/>
        <w:i w:val="0"/>
        <w:iCs w:val="0"/>
        <w:color w:val="auto"/>
        <w:sz w:val="21"/>
        <w:szCs w:val="21"/>
      </w:rPr>
    </w:lvl>
  </w:abstractNum>
  <w:abstractNum w:abstractNumId="3">
    <w:nsid w:val="1D5755D3"/>
    <w:multiLevelType w:val="multilevel"/>
    <w:tmpl w:val="1D5755D3"/>
    <w:lvl w:ilvl="0" w:tentative="0">
      <w:start w:val="1"/>
      <w:numFmt w:val="bullet"/>
      <w:pStyle w:val="170"/>
      <w:lvlText w:val=""/>
      <w:lvlJc w:val="left"/>
      <w:pPr>
        <w:tabs>
          <w:tab w:val="left" w:pos="2126"/>
        </w:tabs>
        <w:ind w:left="2126" w:hanging="425"/>
      </w:pPr>
      <w:rPr>
        <w:rFonts w:hint="default" w:ascii="Wingdings" w:hAnsi="Wingdings" w:cs="Wingdings"/>
        <w:b w:val="0"/>
        <w:bCs w:val="0"/>
        <w:i w:val="0"/>
        <w:iCs w:val="0"/>
        <w:caps w:val="0"/>
        <w:strike w:val="0"/>
        <w:dstrike w:val="0"/>
        <w:vanish w:val="0"/>
        <w:spacing w:val="0"/>
        <w:w w:val="100"/>
        <w:position w:val="2"/>
        <w:sz w:val="16"/>
        <w:szCs w:val="16"/>
        <w:vertAlign w:val="baseli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24935C97"/>
    <w:multiLevelType w:val="multilevel"/>
    <w:tmpl w:val="24935C97"/>
    <w:lvl w:ilvl="0" w:tentative="0">
      <w:start w:val="3"/>
      <w:numFmt w:val="decimal"/>
      <w:pStyle w:val="247"/>
      <w:lvlText w:val="%1)"/>
      <w:lvlJc w:val="left"/>
      <w:pPr>
        <w:tabs>
          <w:tab w:val="left" w:pos="830"/>
        </w:tabs>
        <w:ind w:left="830" w:hanging="405"/>
      </w:pPr>
      <w:rPr>
        <w:rFonts w:hint="eastAsia"/>
      </w:rPr>
    </w:lvl>
    <w:lvl w:ilvl="1" w:tentative="0">
      <w:start w:val="1"/>
      <w:numFmt w:val="lowerLetter"/>
      <w:lvlText w:val="%2)"/>
      <w:lvlJc w:val="left"/>
      <w:pPr>
        <w:tabs>
          <w:tab w:val="left" w:pos="1265"/>
        </w:tabs>
        <w:ind w:left="1265" w:hanging="420"/>
      </w:pPr>
    </w:lvl>
    <w:lvl w:ilvl="2" w:tentative="0">
      <w:start w:val="1"/>
      <w:numFmt w:val="lowerRoman"/>
      <w:lvlText w:val="%3."/>
      <w:lvlJc w:val="right"/>
      <w:pPr>
        <w:tabs>
          <w:tab w:val="left" w:pos="1685"/>
        </w:tabs>
        <w:ind w:left="1685" w:hanging="420"/>
      </w:pPr>
    </w:lvl>
    <w:lvl w:ilvl="3" w:tentative="0">
      <w:start w:val="1"/>
      <w:numFmt w:val="decimal"/>
      <w:lvlText w:val="%4."/>
      <w:lvlJc w:val="left"/>
      <w:pPr>
        <w:tabs>
          <w:tab w:val="left" w:pos="2105"/>
        </w:tabs>
        <w:ind w:left="2105" w:hanging="420"/>
      </w:pPr>
    </w:lvl>
    <w:lvl w:ilvl="4" w:tentative="0">
      <w:start w:val="1"/>
      <w:numFmt w:val="lowerLetter"/>
      <w:lvlText w:val="%5)"/>
      <w:lvlJc w:val="left"/>
      <w:pPr>
        <w:tabs>
          <w:tab w:val="left" w:pos="2525"/>
        </w:tabs>
        <w:ind w:left="2525" w:hanging="420"/>
      </w:pPr>
    </w:lvl>
    <w:lvl w:ilvl="5" w:tentative="0">
      <w:start w:val="1"/>
      <w:numFmt w:val="lowerRoman"/>
      <w:lvlText w:val="%6."/>
      <w:lvlJc w:val="right"/>
      <w:pPr>
        <w:tabs>
          <w:tab w:val="left" w:pos="2945"/>
        </w:tabs>
        <w:ind w:left="2945" w:hanging="420"/>
      </w:pPr>
    </w:lvl>
    <w:lvl w:ilvl="6" w:tentative="0">
      <w:start w:val="1"/>
      <w:numFmt w:val="decimal"/>
      <w:lvlText w:val="%7."/>
      <w:lvlJc w:val="left"/>
      <w:pPr>
        <w:tabs>
          <w:tab w:val="left" w:pos="3365"/>
        </w:tabs>
        <w:ind w:left="3365" w:hanging="420"/>
      </w:pPr>
    </w:lvl>
    <w:lvl w:ilvl="7" w:tentative="0">
      <w:start w:val="1"/>
      <w:numFmt w:val="lowerLetter"/>
      <w:lvlText w:val="%8)"/>
      <w:lvlJc w:val="left"/>
      <w:pPr>
        <w:tabs>
          <w:tab w:val="left" w:pos="3785"/>
        </w:tabs>
        <w:ind w:left="3785" w:hanging="420"/>
      </w:pPr>
    </w:lvl>
    <w:lvl w:ilvl="8" w:tentative="0">
      <w:start w:val="1"/>
      <w:numFmt w:val="lowerRoman"/>
      <w:lvlText w:val="%9."/>
      <w:lvlJc w:val="right"/>
      <w:pPr>
        <w:tabs>
          <w:tab w:val="left" w:pos="4205"/>
        </w:tabs>
        <w:ind w:left="4205" w:hanging="420"/>
      </w:pPr>
    </w:lvl>
  </w:abstractNum>
  <w:abstractNum w:abstractNumId="5">
    <w:nsid w:val="420C153B"/>
    <w:multiLevelType w:val="multilevel"/>
    <w:tmpl w:val="420C153B"/>
    <w:lvl w:ilvl="0" w:tentative="0">
      <w:start w:val="1"/>
      <w:numFmt w:val="decimal"/>
      <w:pStyle w:val="215"/>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58784A79"/>
    <w:multiLevelType w:val="multilevel"/>
    <w:tmpl w:val="58784A79"/>
    <w:lvl w:ilvl="0" w:tentative="0">
      <w:start w:val="1"/>
      <w:numFmt w:val="bullet"/>
      <w:pStyle w:val="249"/>
      <w:lvlText w:val=""/>
      <w:lvlJc w:val="left"/>
      <w:pPr>
        <w:tabs>
          <w:tab w:val="left" w:pos="851"/>
        </w:tabs>
        <w:ind w:left="851" w:hanging="426"/>
      </w:pPr>
      <w:rPr>
        <w:rFonts w:hint="default" w:ascii="Wingdings" w:hAnsi="Wingdings"/>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num w:numId="1">
    <w:abstractNumId w:val="7"/>
  </w:num>
  <w:num w:numId="2">
    <w:abstractNumId w:val="0"/>
  </w:num>
  <w:num w:numId="3">
    <w:abstractNumId w:val="3"/>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3"/>
    </w:lvlOverride>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4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JlMDE5MWUzNzhmOGUwMTVkMjQ0YzFlNzNlNzg3MmIifQ=="/>
  </w:docVars>
  <w:rsids>
    <w:rsidRoot w:val="00156679"/>
    <w:rsid w:val="000008E7"/>
    <w:rsid w:val="00000C18"/>
    <w:rsid w:val="00001312"/>
    <w:rsid w:val="000018F2"/>
    <w:rsid w:val="00003544"/>
    <w:rsid w:val="00003D2F"/>
    <w:rsid w:val="000050E8"/>
    <w:rsid w:val="0000714B"/>
    <w:rsid w:val="000078BE"/>
    <w:rsid w:val="000103AB"/>
    <w:rsid w:val="0001167B"/>
    <w:rsid w:val="00011734"/>
    <w:rsid w:val="00011DFF"/>
    <w:rsid w:val="00012C6B"/>
    <w:rsid w:val="00012D28"/>
    <w:rsid w:val="00012DDF"/>
    <w:rsid w:val="00015F02"/>
    <w:rsid w:val="00016530"/>
    <w:rsid w:val="0001688E"/>
    <w:rsid w:val="00016F7D"/>
    <w:rsid w:val="00020384"/>
    <w:rsid w:val="000229A4"/>
    <w:rsid w:val="00022C69"/>
    <w:rsid w:val="00025042"/>
    <w:rsid w:val="000269DE"/>
    <w:rsid w:val="00026BB3"/>
    <w:rsid w:val="0002722B"/>
    <w:rsid w:val="00027EA4"/>
    <w:rsid w:val="0003123E"/>
    <w:rsid w:val="00031266"/>
    <w:rsid w:val="00031B44"/>
    <w:rsid w:val="00032DBE"/>
    <w:rsid w:val="0003418C"/>
    <w:rsid w:val="00034E42"/>
    <w:rsid w:val="000366A2"/>
    <w:rsid w:val="00036C63"/>
    <w:rsid w:val="00036FA9"/>
    <w:rsid w:val="00037909"/>
    <w:rsid w:val="00041701"/>
    <w:rsid w:val="00041C55"/>
    <w:rsid w:val="0004422C"/>
    <w:rsid w:val="000442A9"/>
    <w:rsid w:val="00044BD8"/>
    <w:rsid w:val="00044C6F"/>
    <w:rsid w:val="00044EEE"/>
    <w:rsid w:val="0004643E"/>
    <w:rsid w:val="000470D5"/>
    <w:rsid w:val="00050068"/>
    <w:rsid w:val="000502D1"/>
    <w:rsid w:val="00050729"/>
    <w:rsid w:val="000512EB"/>
    <w:rsid w:val="000517EA"/>
    <w:rsid w:val="00052A16"/>
    <w:rsid w:val="00053729"/>
    <w:rsid w:val="00054B3B"/>
    <w:rsid w:val="00055C80"/>
    <w:rsid w:val="0005617D"/>
    <w:rsid w:val="00057C6D"/>
    <w:rsid w:val="00061DDD"/>
    <w:rsid w:val="00063769"/>
    <w:rsid w:val="00065657"/>
    <w:rsid w:val="00065A8D"/>
    <w:rsid w:val="00066A3C"/>
    <w:rsid w:val="00066E05"/>
    <w:rsid w:val="000674A6"/>
    <w:rsid w:val="000679D9"/>
    <w:rsid w:val="0007108A"/>
    <w:rsid w:val="0007389E"/>
    <w:rsid w:val="000744D8"/>
    <w:rsid w:val="00074E97"/>
    <w:rsid w:val="00075234"/>
    <w:rsid w:val="00075457"/>
    <w:rsid w:val="00075BD8"/>
    <w:rsid w:val="00076AB1"/>
    <w:rsid w:val="0008041E"/>
    <w:rsid w:val="00081659"/>
    <w:rsid w:val="0008280D"/>
    <w:rsid w:val="000846A2"/>
    <w:rsid w:val="000859F7"/>
    <w:rsid w:val="00086237"/>
    <w:rsid w:val="000869D2"/>
    <w:rsid w:val="00090686"/>
    <w:rsid w:val="00090AD2"/>
    <w:rsid w:val="00090FCF"/>
    <w:rsid w:val="00091B27"/>
    <w:rsid w:val="00093014"/>
    <w:rsid w:val="00094318"/>
    <w:rsid w:val="00095578"/>
    <w:rsid w:val="00095719"/>
    <w:rsid w:val="00095974"/>
    <w:rsid w:val="00096D0A"/>
    <w:rsid w:val="00096FEC"/>
    <w:rsid w:val="000A1400"/>
    <w:rsid w:val="000A175E"/>
    <w:rsid w:val="000A188C"/>
    <w:rsid w:val="000A492F"/>
    <w:rsid w:val="000A4D0F"/>
    <w:rsid w:val="000A4F4F"/>
    <w:rsid w:val="000A5523"/>
    <w:rsid w:val="000A5AA1"/>
    <w:rsid w:val="000A5F5A"/>
    <w:rsid w:val="000A6056"/>
    <w:rsid w:val="000A6361"/>
    <w:rsid w:val="000A6F35"/>
    <w:rsid w:val="000A6F73"/>
    <w:rsid w:val="000A7A77"/>
    <w:rsid w:val="000A7B5E"/>
    <w:rsid w:val="000B083B"/>
    <w:rsid w:val="000B0B6B"/>
    <w:rsid w:val="000B17B4"/>
    <w:rsid w:val="000B1D1D"/>
    <w:rsid w:val="000B290C"/>
    <w:rsid w:val="000B340F"/>
    <w:rsid w:val="000B3523"/>
    <w:rsid w:val="000B39CD"/>
    <w:rsid w:val="000B4870"/>
    <w:rsid w:val="000B5A98"/>
    <w:rsid w:val="000B5E1C"/>
    <w:rsid w:val="000C2883"/>
    <w:rsid w:val="000C5600"/>
    <w:rsid w:val="000C5F3C"/>
    <w:rsid w:val="000C63C8"/>
    <w:rsid w:val="000C644E"/>
    <w:rsid w:val="000C6BC7"/>
    <w:rsid w:val="000C7F1F"/>
    <w:rsid w:val="000D0E42"/>
    <w:rsid w:val="000D1F74"/>
    <w:rsid w:val="000D25E3"/>
    <w:rsid w:val="000D4DBA"/>
    <w:rsid w:val="000D5122"/>
    <w:rsid w:val="000D6080"/>
    <w:rsid w:val="000D7A2C"/>
    <w:rsid w:val="000E07C2"/>
    <w:rsid w:val="000E0E6B"/>
    <w:rsid w:val="000E1B58"/>
    <w:rsid w:val="000E2293"/>
    <w:rsid w:val="000E22F5"/>
    <w:rsid w:val="000E28AA"/>
    <w:rsid w:val="000E30C9"/>
    <w:rsid w:val="000E39DB"/>
    <w:rsid w:val="000E3C51"/>
    <w:rsid w:val="000E52E8"/>
    <w:rsid w:val="000E580F"/>
    <w:rsid w:val="000E597B"/>
    <w:rsid w:val="000E5FFB"/>
    <w:rsid w:val="000E62A4"/>
    <w:rsid w:val="000E7DB3"/>
    <w:rsid w:val="000F1185"/>
    <w:rsid w:val="000F195B"/>
    <w:rsid w:val="000F1A59"/>
    <w:rsid w:val="000F2F80"/>
    <w:rsid w:val="000F3D40"/>
    <w:rsid w:val="000F4086"/>
    <w:rsid w:val="000F4EB1"/>
    <w:rsid w:val="000F6F55"/>
    <w:rsid w:val="000F7FF5"/>
    <w:rsid w:val="001020DC"/>
    <w:rsid w:val="00103A7C"/>
    <w:rsid w:val="00103CA5"/>
    <w:rsid w:val="00104DAB"/>
    <w:rsid w:val="001066D8"/>
    <w:rsid w:val="00106C3D"/>
    <w:rsid w:val="00106FC9"/>
    <w:rsid w:val="00107036"/>
    <w:rsid w:val="001071AC"/>
    <w:rsid w:val="00110FEB"/>
    <w:rsid w:val="00111E81"/>
    <w:rsid w:val="001135C0"/>
    <w:rsid w:val="00113A9D"/>
    <w:rsid w:val="00115F0A"/>
    <w:rsid w:val="001179E9"/>
    <w:rsid w:val="00117B0F"/>
    <w:rsid w:val="00120CF7"/>
    <w:rsid w:val="00122B9F"/>
    <w:rsid w:val="00123D51"/>
    <w:rsid w:val="00123DD2"/>
    <w:rsid w:val="0012411E"/>
    <w:rsid w:val="001244E7"/>
    <w:rsid w:val="001254CE"/>
    <w:rsid w:val="00125600"/>
    <w:rsid w:val="001268EF"/>
    <w:rsid w:val="00126AA2"/>
    <w:rsid w:val="00126CCC"/>
    <w:rsid w:val="00127A98"/>
    <w:rsid w:val="00130381"/>
    <w:rsid w:val="001304FF"/>
    <w:rsid w:val="00130910"/>
    <w:rsid w:val="00131668"/>
    <w:rsid w:val="00132941"/>
    <w:rsid w:val="00132BD7"/>
    <w:rsid w:val="001336E7"/>
    <w:rsid w:val="001339FC"/>
    <w:rsid w:val="00136ECB"/>
    <w:rsid w:val="00136F1E"/>
    <w:rsid w:val="00137E06"/>
    <w:rsid w:val="001406AE"/>
    <w:rsid w:val="00140B33"/>
    <w:rsid w:val="00140E16"/>
    <w:rsid w:val="0014201E"/>
    <w:rsid w:val="00142265"/>
    <w:rsid w:val="00142863"/>
    <w:rsid w:val="00142CE1"/>
    <w:rsid w:val="00143619"/>
    <w:rsid w:val="00143C05"/>
    <w:rsid w:val="00144411"/>
    <w:rsid w:val="001444D7"/>
    <w:rsid w:val="00144DBD"/>
    <w:rsid w:val="00144FAF"/>
    <w:rsid w:val="00151A12"/>
    <w:rsid w:val="00152AB4"/>
    <w:rsid w:val="00152CA2"/>
    <w:rsid w:val="00152DBE"/>
    <w:rsid w:val="00153AF5"/>
    <w:rsid w:val="0015550F"/>
    <w:rsid w:val="001564AD"/>
    <w:rsid w:val="00156679"/>
    <w:rsid w:val="00156A83"/>
    <w:rsid w:val="00157572"/>
    <w:rsid w:val="001575EA"/>
    <w:rsid w:val="00157A5D"/>
    <w:rsid w:val="00157B6E"/>
    <w:rsid w:val="00160E2D"/>
    <w:rsid w:val="00162385"/>
    <w:rsid w:val="00162629"/>
    <w:rsid w:val="00163092"/>
    <w:rsid w:val="001647A5"/>
    <w:rsid w:val="00164A43"/>
    <w:rsid w:val="00164E18"/>
    <w:rsid w:val="00165296"/>
    <w:rsid w:val="001660D9"/>
    <w:rsid w:val="001668EA"/>
    <w:rsid w:val="00167C59"/>
    <w:rsid w:val="00170205"/>
    <w:rsid w:val="00170250"/>
    <w:rsid w:val="001709C1"/>
    <w:rsid w:val="00171726"/>
    <w:rsid w:val="00171E5F"/>
    <w:rsid w:val="00171E84"/>
    <w:rsid w:val="00171F28"/>
    <w:rsid w:val="00172EF2"/>
    <w:rsid w:val="00172F1D"/>
    <w:rsid w:val="00173269"/>
    <w:rsid w:val="0017447F"/>
    <w:rsid w:val="001766C0"/>
    <w:rsid w:val="00176BB4"/>
    <w:rsid w:val="00176D54"/>
    <w:rsid w:val="0018061D"/>
    <w:rsid w:val="00181B5B"/>
    <w:rsid w:val="0018210B"/>
    <w:rsid w:val="00182B94"/>
    <w:rsid w:val="001842E0"/>
    <w:rsid w:val="00184437"/>
    <w:rsid w:val="00184D90"/>
    <w:rsid w:val="00185660"/>
    <w:rsid w:val="0018613F"/>
    <w:rsid w:val="0019001C"/>
    <w:rsid w:val="00190299"/>
    <w:rsid w:val="001902F4"/>
    <w:rsid w:val="00190F0F"/>
    <w:rsid w:val="00193784"/>
    <w:rsid w:val="001973BB"/>
    <w:rsid w:val="00197700"/>
    <w:rsid w:val="00197F8F"/>
    <w:rsid w:val="001A07A6"/>
    <w:rsid w:val="001A13BC"/>
    <w:rsid w:val="001A222F"/>
    <w:rsid w:val="001A235F"/>
    <w:rsid w:val="001A28B8"/>
    <w:rsid w:val="001A3155"/>
    <w:rsid w:val="001A3F3B"/>
    <w:rsid w:val="001A40B4"/>
    <w:rsid w:val="001A4DCF"/>
    <w:rsid w:val="001A4EC5"/>
    <w:rsid w:val="001A5B9C"/>
    <w:rsid w:val="001A6339"/>
    <w:rsid w:val="001A764C"/>
    <w:rsid w:val="001B0B5C"/>
    <w:rsid w:val="001B11D8"/>
    <w:rsid w:val="001B2A79"/>
    <w:rsid w:val="001B2E93"/>
    <w:rsid w:val="001B3DCD"/>
    <w:rsid w:val="001B5D8A"/>
    <w:rsid w:val="001B6511"/>
    <w:rsid w:val="001B7092"/>
    <w:rsid w:val="001B75CE"/>
    <w:rsid w:val="001B772A"/>
    <w:rsid w:val="001C0157"/>
    <w:rsid w:val="001C1183"/>
    <w:rsid w:val="001C32B2"/>
    <w:rsid w:val="001C32C0"/>
    <w:rsid w:val="001C3B6F"/>
    <w:rsid w:val="001C4390"/>
    <w:rsid w:val="001C4624"/>
    <w:rsid w:val="001C4640"/>
    <w:rsid w:val="001C49C6"/>
    <w:rsid w:val="001C4A91"/>
    <w:rsid w:val="001C4DC0"/>
    <w:rsid w:val="001C521D"/>
    <w:rsid w:val="001C5DB8"/>
    <w:rsid w:val="001C7F6B"/>
    <w:rsid w:val="001D0112"/>
    <w:rsid w:val="001D15ED"/>
    <w:rsid w:val="001D178F"/>
    <w:rsid w:val="001D2B16"/>
    <w:rsid w:val="001D2E1A"/>
    <w:rsid w:val="001D4519"/>
    <w:rsid w:val="001D60F3"/>
    <w:rsid w:val="001D62CE"/>
    <w:rsid w:val="001D6F95"/>
    <w:rsid w:val="001D7693"/>
    <w:rsid w:val="001E0F8C"/>
    <w:rsid w:val="001E15F5"/>
    <w:rsid w:val="001E4458"/>
    <w:rsid w:val="001E4E3D"/>
    <w:rsid w:val="001E5463"/>
    <w:rsid w:val="001E6152"/>
    <w:rsid w:val="001E6C8F"/>
    <w:rsid w:val="001F09A0"/>
    <w:rsid w:val="001F1750"/>
    <w:rsid w:val="001F1985"/>
    <w:rsid w:val="001F4C22"/>
    <w:rsid w:val="001F5497"/>
    <w:rsid w:val="001F65B5"/>
    <w:rsid w:val="001F7592"/>
    <w:rsid w:val="001F7758"/>
    <w:rsid w:val="00200AED"/>
    <w:rsid w:val="00200DD9"/>
    <w:rsid w:val="00201769"/>
    <w:rsid w:val="00201909"/>
    <w:rsid w:val="002023E7"/>
    <w:rsid w:val="00203390"/>
    <w:rsid w:val="00204F9C"/>
    <w:rsid w:val="00205C5F"/>
    <w:rsid w:val="002065FD"/>
    <w:rsid w:val="00206854"/>
    <w:rsid w:val="002069E5"/>
    <w:rsid w:val="00210E35"/>
    <w:rsid w:val="002112A9"/>
    <w:rsid w:val="00211407"/>
    <w:rsid w:val="00211589"/>
    <w:rsid w:val="0021291A"/>
    <w:rsid w:val="002132AC"/>
    <w:rsid w:val="002135F2"/>
    <w:rsid w:val="00213A9C"/>
    <w:rsid w:val="002161C4"/>
    <w:rsid w:val="002166AA"/>
    <w:rsid w:val="00216C48"/>
    <w:rsid w:val="00216C5B"/>
    <w:rsid w:val="0021745C"/>
    <w:rsid w:val="0022098A"/>
    <w:rsid w:val="002222AA"/>
    <w:rsid w:val="002238D1"/>
    <w:rsid w:val="00225819"/>
    <w:rsid w:val="002261EE"/>
    <w:rsid w:val="00226DE5"/>
    <w:rsid w:val="00226F4E"/>
    <w:rsid w:val="002309A7"/>
    <w:rsid w:val="002333F1"/>
    <w:rsid w:val="00233EF1"/>
    <w:rsid w:val="00237515"/>
    <w:rsid w:val="00237F1D"/>
    <w:rsid w:val="0024089C"/>
    <w:rsid w:val="00240CD1"/>
    <w:rsid w:val="00240F4A"/>
    <w:rsid w:val="002410D7"/>
    <w:rsid w:val="0024296E"/>
    <w:rsid w:val="00243E04"/>
    <w:rsid w:val="00244831"/>
    <w:rsid w:val="002462E9"/>
    <w:rsid w:val="002463B4"/>
    <w:rsid w:val="00246488"/>
    <w:rsid w:val="00246E38"/>
    <w:rsid w:val="00247381"/>
    <w:rsid w:val="00247882"/>
    <w:rsid w:val="00247B73"/>
    <w:rsid w:val="00250239"/>
    <w:rsid w:val="002516E2"/>
    <w:rsid w:val="0025261C"/>
    <w:rsid w:val="002539D0"/>
    <w:rsid w:val="00253E89"/>
    <w:rsid w:val="002544BB"/>
    <w:rsid w:val="0025680A"/>
    <w:rsid w:val="00257109"/>
    <w:rsid w:val="00257136"/>
    <w:rsid w:val="00257B20"/>
    <w:rsid w:val="00260480"/>
    <w:rsid w:val="002606C7"/>
    <w:rsid w:val="002610B2"/>
    <w:rsid w:val="002627B3"/>
    <w:rsid w:val="002628AA"/>
    <w:rsid w:val="0026328E"/>
    <w:rsid w:val="00263FD5"/>
    <w:rsid w:val="0026678B"/>
    <w:rsid w:val="00270513"/>
    <w:rsid w:val="002737AD"/>
    <w:rsid w:val="00273E51"/>
    <w:rsid w:val="002752E1"/>
    <w:rsid w:val="00275C34"/>
    <w:rsid w:val="00277698"/>
    <w:rsid w:val="00280384"/>
    <w:rsid w:val="00281548"/>
    <w:rsid w:val="00284DE0"/>
    <w:rsid w:val="002853CE"/>
    <w:rsid w:val="00286C33"/>
    <w:rsid w:val="0029121D"/>
    <w:rsid w:val="00291611"/>
    <w:rsid w:val="002929AE"/>
    <w:rsid w:val="00294BE3"/>
    <w:rsid w:val="002977DF"/>
    <w:rsid w:val="002A207B"/>
    <w:rsid w:val="002A20DC"/>
    <w:rsid w:val="002A2BAB"/>
    <w:rsid w:val="002A59DC"/>
    <w:rsid w:val="002A65D7"/>
    <w:rsid w:val="002A6698"/>
    <w:rsid w:val="002A7592"/>
    <w:rsid w:val="002A77C9"/>
    <w:rsid w:val="002A7DE0"/>
    <w:rsid w:val="002B1812"/>
    <w:rsid w:val="002B1B59"/>
    <w:rsid w:val="002B1EF0"/>
    <w:rsid w:val="002B2326"/>
    <w:rsid w:val="002B297C"/>
    <w:rsid w:val="002B3B89"/>
    <w:rsid w:val="002B4AF1"/>
    <w:rsid w:val="002B6548"/>
    <w:rsid w:val="002B6BA5"/>
    <w:rsid w:val="002B6F46"/>
    <w:rsid w:val="002B7369"/>
    <w:rsid w:val="002B7736"/>
    <w:rsid w:val="002B79AA"/>
    <w:rsid w:val="002B7A64"/>
    <w:rsid w:val="002B7C18"/>
    <w:rsid w:val="002C064B"/>
    <w:rsid w:val="002C2957"/>
    <w:rsid w:val="002C3389"/>
    <w:rsid w:val="002C54BD"/>
    <w:rsid w:val="002C5548"/>
    <w:rsid w:val="002C55F6"/>
    <w:rsid w:val="002C6527"/>
    <w:rsid w:val="002C72AF"/>
    <w:rsid w:val="002C7B35"/>
    <w:rsid w:val="002D2B83"/>
    <w:rsid w:val="002D372A"/>
    <w:rsid w:val="002D4570"/>
    <w:rsid w:val="002D510D"/>
    <w:rsid w:val="002D5D0E"/>
    <w:rsid w:val="002D5DA2"/>
    <w:rsid w:val="002D6389"/>
    <w:rsid w:val="002D681F"/>
    <w:rsid w:val="002D7291"/>
    <w:rsid w:val="002D7ABE"/>
    <w:rsid w:val="002E0C66"/>
    <w:rsid w:val="002E442F"/>
    <w:rsid w:val="002E49CB"/>
    <w:rsid w:val="002E4C75"/>
    <w:rsid w:val="002E5331"/>
    <w:rsid w:val="002E5C59"/>
    <w:rsid w:val="002E635D"/>
    <w:rsid w:val="002E7BD4"/>
    <w:rsid w:val="002E7C07"/>
    <w:rsid w:val="002F3E0A"/>
    <w:rsid w:val="002F3F78"/>
    <w:rsid w:val="002F42FE"/>
    <w:rsid w:val="002F4438"/>
    <w:rsid w:val="002F46AC"/>
    <w:rsid w:val="002F62CD"/>
    <w:rsid w:val="002F771D"/>
    <w:rsid w:val="002F7987"/>
    <w:rsid w:val="00303B91"/>
    <w:rsid w:val="00305286"/>
    <w:rsid w:val="003072E1"/>
    <w:rsid w:val="00310EB5"/>
    <w:rsid w:val="0031137B"/>
    <w:rsid w:val="003116B2"/>
    <w:rsid w:val="00311EDE"/>
    <w:rsid w:val="00312E50"/>
    <w:rsid w:val="00313ADB"/>
    <w:rsid w:val="00314C5D"/>
    <w:rsid w:val="00314DAF"/>
    <w:rsid w:val="00315F21"/>
    <w:rsid w:val="00316D02"/>
    <w:rsid w:val="00316FC0"/>
    <w:rsid w:val="00317EF7"/>
    <w:rsid w:val="003206A5"/>
    <w:rsid w:val="003211B8"/>
    <w:rsid w:val="00324D5E"/>
    <w:rsid w:val="00325B76"/>
    <w:rsid w:val="00327223"/>
    <w:rsid w:val="0032795B"/>
    <w:rsid w:val="00327CD0"/>
    <w:rsid w:val="00330988"/>
    <w:rsid w:val="00332A47"/>
    <w:rsid w:val="00334DB4"/>
    <w:rsid w:val="0033552B"/>
    <w:rsid w:val="003362F3"/>
    <w:rsid w:val="00336EC4"/>
    <w:rsid w:val="003374F3"/>
    <w:rsid w:val="00337BB6"/>
    <w:rsid w:val="00342052"/>
    <w:rsid w:val="00344554"/>
    <w:rsid w:val="00344B9C"/>
    <w:rsid w:val="00344D4C"/>
    <w:rsid w:val="00344E77"/>
    <w:rsid w:val="00344F10"/>
    <w:rsid w:val="00346A19"/>
    <w:rsid w:val="0034709F"/>
    <w:rsid w:val="00347B08"/>
    <w:rsid w:val="00350980"/>
    <w:rsid w:val="0035149F"/>
    <w:rsid w:val="0035156A"/>
    <w:rsid w:val="00351B59"/>
    <w:rsid w:val="00352B6C"/>
    <w:rsid w:val="00352BE6"/>
    <w:rsid w:val="0035340B"/>
    <w:rsid w:val="00353E46"/>
    <w:rsid w:val="003554A6"/>
    <w:rsid w:val="003558CA"/>
    <w:rsid w:val="00357CC1"/>
    <w:rsid w:val="003616A8"/>
    <w:rsid w:val="003620DB"/>
    <w:rsid w:val="003642F9"/>
    <w:rsid w:val="00364708"/>
    <w:rsid w:val="00364899"/>
    <w:rsid w:val="003649ED"/>
    <w:rsid w:val="00364FBD"/>
    <w:rsid w:val="0036553C"/>
    <w:rsid w:val="00367367"/>
    <w:rsid w:val="00370FF6"/>
    <w:rsid w:val="003722AD"/>
    <w:rsid w:val="00372FC8"/>
    <w:rsid w:val="0037419F"/>
    <w:rsid w:val="00375232"/>
    <w:rsid w:val="0037737E"/>
    <w:rsid w:val="00380CA6"/>
    <w:rsid w:val="0038119C"/>
    <w:rsid w:val="00381240"/>
    <w:rsid w:val="003852E3"/>
    <w:rsid w:val="00385D5F"/>
    <w:rsid w:val="00387619"/>
    <w:rsid w:val="0039018C"/>
    <w:rsid w:val="00391F27"/>
    <w:rsid w:val="00392D0C"/>
    <w:rsid w:val="00392D2E"/>
    <w:rsid w:val="00393A82"/>
    <w:rsid w:val="00394B0A"/>
    <w:rsid w:val="00394E17"/>
    <w:rsid w:val="003955AB"/>
    <w:rsid w:val="003974BE"/>
    <w:rsid w:val="003A139A"/>
    <w:rsid w:val="003A2177"/>
    <w:rsid w:val="003A3DCF"/>
    <w:rsid w:val="003A4DDE"/>
    <w:rsid w:val="003A5609"/>
    <w:rsid w:val="003A67A5"/>
    <w:rsid w:val="003A77E8"/>
    <w:rsid w:val="003B12EE"/>
    <w:rsid w:val="003B13AB"/>
    <w:rsid w:val="003B1FDF"/>
    <w:rsid w:val="003B2175"/>
    <w:rsid w:val="003B2199"/>
    <w:rsid w:val="003B3F5F"/>
    <w:rsid w:val="003B4036"/>
    <w:rsid w:val="003C13C5"/>
    <w:rsid w:val="003C1F9F"/>
    <w:rsid w:val="003C249B"/>
    <w:rsid w:val="003C27CE"/>
    <w:rsid w:val="003C377B"/>
    <w:rsid w:val="003C51AB"/>
    <w:rsid w:val="003C585A"/>
    <w:rsid w:val="003C67D9"/>
    <w:rsid w:val="003C778E"/>
    <w:rsid w:val="003C7E17"/>
    <w:rsid w:val="003D0147"/>
    <w:rsid w:val="003D0979"/>
    <w:rsid w:val="003D2401"/>
    <w:rsid w:val="003D33F7"/>
    <w:rsid w:val="003D4098"/>
    <w:rsid w:val="003D51D0"/>
    <w:rsid w:val="003D6174"/>
    <w:rsid w:val="003D7917"/>
    <w:rsid w:val="003D7D43"/>
    <w:rsid w:val="003E164A"/>
    <w:rsid w:val="003E22C1"/>
    <w:rsid w:val="003E3180"/>
    <w:rsid w:val="003E3C51"/>
    <w:rsid w:val="003E4971"/>
    <w:rsid w:val="003E5723"/>
    <w:rsid w:val="003E68AA"/>
    <w:rsid w:val="003E7805"/>
    <w:rsid w:val="003E7ED8"/>
    <w:rsid w:val="003F0221"/>
    <w:rsid w:val="003F0859"/>
    <w:rsid w:val="003F16D1"/>
    <w:rsid w:val="003F1B79"/>
    <w:rsid w:val="003F1FE3"/>
    <w:rsid w:val="003F355F"/>
    <w:rsid w:val="003F3901"/>
    <w:rsid w:val="003F41FD"/>
    <w:rsid w:val="003F6868"/>
    <w:rsid w:val="003F698B"/>
    <w:rsid w:val="003F6B4B"/>
    <w:rsid w:val="003F7043"/>
    <w:rsid w:val="003F7DAA"/>
    <w:rsid w:val="004019BA"/>
    <w:rsid w:val="00401DE9"/>
    <w:rsid w:val="00401FBB"/>
    <w:rsid w:val="00402255"/>
    <w:rsid w:val="00403256"/>
    <w:rsid w:val="0040396A"/>
    <w:rsid w:val="00403A07"/>
    <w:rsid w:val="00404127"/>
    <w:rsid w:val="004043DC"/>
    <w:rsid w:val="00404868"/>
    <w:rsid w:val="004074CD"/>
    <w:rsid w:val="00410747"/>
    <w:rsid w:val="00410FA7"/>
    <w:rsid w:val="00411734"/>
    <w:rsid w:val="00411BC9"/>
    <w:rsid w:val="00413646"/>
    <w:rsid w:val="00413C0C"/>
    <w:rsid w:val="00414058"/>
    <w:rsid w:val="004143D9"/>
    <w:rsid w:val="00415739"/>
    <w:rsid w:val="0041650C"/>
    <w:rsid w:val="00417508"/>
    <w:rsid w:val="0042033C"/>
    <w:rsid w:val="00420AF8"/>
    <w:rsid w:val="00420BD7"/>
    <w:rsid w:val="00420FD9"/>
    <w:rsid w:val="004214DF"/>
    <w:rsid w:val="004216DD"/>
    <w:rsid w:val="00421FC5"/>
    <w:rsid w:val="00422179"/>
    <w:rsid w:val="0042241B"/>
    <w:rsid w:val="00423521"/>
    <w:rsid w:val="00423BBB"/>
    <w:rsid w:val="00425C90"/>
    <w:rsid w:val="00426D7B"/>
    <w:rsid w:val="00427952"/>
    <w:rsid w:val="004322FB"/>
    <w:rsid w:val="004327C1"/>
    <w:rsid w:val="00432DF4"/>
    <w:rsid w:val="00432E42"/>
    <w:rsid w:val="004356FB"/>
    <w:rsid w:val="0043593C"/>
    <w:rsid w:val="00436060"/>
    <w:rsid w:val="004406D7"/>
    <w:rsid w:val="00441B84"/>
    <w:rsid w:val="004423B8"/>
    <w:rsid w:val="0044427E"/>
    <w:rsid w:val="004459EC"/>
    <w:rsid w:val="0044661A"/>
    <w:rsid w:val="00446A6C"/>
    <w:rsid w:val="00446F67"/>
    <w:rsid w:val="004478C8"/>
    <w:rsid w:val="00450A3B"/>
    <w:rsid w:val="0045135F"/>
    <w:rsid w:val="00453B89"/>
    <w:rsid w:val="00454FED"/>
    <w:rsid w:val="004551A7"/>
    <w:rsid w:val="00455BCA"/>
    <w:rsid w:val="004563B8"/>
    <w:rsid w:val="00460758"/>
    <w:rsid w:val="00460D9E"/>
    <w:rsid w:val="00460E9F"/>
    <w:rsid w:val="004612BF"/>
    <w:rsid w:val="00463C35"/>
    <w:rsid w:val="0046495F"/>
    <w:rsid w:val="00464A4E"/>
    <w:rsid w:val="00465AFA"/>
    <w:rsid w:val="00466D83"/>
    <w:rsid w:val="00470142"/>
    <w:rsid w:val="00470655"/>
    <w:rsid w:val="004754D0"/>
    <w:rsid w:val="00476DD6"/>
    <w:rsid w:val="00477001"/>
    <w:rsid w:val="004778D2"/>
    <w:rsid w:val="00477ABE"/>
    <w:rsid w:val="00477EE5"/>
    <w:rsid w:val="00480E55"/>
    <w:rsid w:val="00481E28"/>
    <w:rsid w:val="004830BC"/>
    <w:rsid w:val="0048330C"/>
    <w:rsid w:val="0048359B"/>
    <w:rsid w:val="004838E3"/>
    <w:rsid w:val="00485766"/>
    <w:rsid w:val="00485FE4"/>
    <w:rsid w:val="00486C03"/>
    <w:rsid w:val="00487B94"/>
    <w:rsid w:val="00487F62"/>
    <w:rsid w:val="004902CA"/>
    <w:rsid w:val="004907BA"/>
    <w:rsid w:val="00491E8F"/>
    <w:rsid w:val="00491EC9"/>
    <w:rsid w:val="00492EC8"/>
    <w:rsid w:val="00493BA7"/>
    <w:rsid w:val="0049443B"/>
    <w:rsid w:val="00494DAF"/>
    <w:rsid w:val="004A1167"/>
    <w:rsid w:val="004A14F1"/>
    <w:rsid w:val="004A4C6A"/>
    <w:rsid w:val="004A4DC3"/>
    <w:rsid w:val="004A512A"/>
    <w:rsid w:val="004A5DF3"/>
    <w:rsid w:val="004A6A74"/>
    <w:rsid w:val="004A7CC6"/>
    <w:rsid w:val="004B065F"/>
    <w:rsid w:val="004B0C9B"/>
    <w:rsid w:val="004B0CE3"/>
    <w:rsid w:val="004B0E75"/>
    <w:rsid w:val="004B16D0"/>
    <w:rsid w:val="004B1AAA"/>
    <w:rsid w:val="004B2B8A"/>
    <w:rsid w:val="004C1469"/>
    <w:rsid w:val="004C2667"/>
    <w:rsid w:val="004C2EA0"/>
    <w:rsid w:val="004C3C63"/>
    <w:rsid w:val="004C4B49"/>
    <w:rsid w:val="004C5061"/>
    <w:rsid w:val="004C51C7"/>
    <w:rsid w:val="004C75D0"/>
    <w:rsid w:val="004D02BF"/>
    <w:rsid w:val="004D037B"/>
    <w:rsid w:val="004D0C69"/>
    <w:rsid w:val="004D2AB6"/>
    <w:rsid w:val="004D5575"/>
    <w:rsid w:val="004D6276"/>
    <w:rsid w:val="004E249C"/>
    <w:rsid w:val="004E2AFF"/>
    <w:rsid w:val="004E2C1E"/>
    <w:rsid w:val="004E2D0A"/>
    <w:rsid w:val="004E3E87"/>
    <w:rsid w:val="004E7471"/>
    <w:rsid w:val="004E76D2"/>
    <w:rsid w:val="004F0BDE"/>
    <w:rsid w:val="004F191E"/>
    <w:rsid w:val="004F2E5A"/>
    <w:rsid w:val="004F4A17"/>
    <w:rsid w:val="004F5D85"/>
    <w:rsid w:val="004F73D6"/>
    <w:rsid w:val="00501662"/>
    <w:rsid w:val="00501A04"/>
    <w:rsid w:val="005043B8"/>
    <w:rsid w:val="00504D3E"/>
    <w:rsid w:val="00504FB2"/>
    <w:rsid w:val="0050573D"/>
    <w:rsid w:val="00506354"/>
    <w:rsid w:val="00506D7A"/>
    <w:rsid w:val="00506E11"/>
    <w:rsid w:val="00513019"/>
    <w:rsid w:val="005150A5"/>
    <w:rsid w:val="00515363"/>
    <w:rsid w:val="00515F7D"/>
    <w:rsid w:val="00516300"/>
    <w:rsid w:val="005220F9"/>
    <w:rsid w:val="00522B1B"/>
    <w:rsid w:val="0052309B"/>
    <w:rsid w:val="00524CC3"/>
    <w:rsid w:val="0052516C"/>
    <w:rsid w:val="005263C3"/>
    <w:rsid w:val="00526A29"/>
    <w:rsid w:val="0052707D"/>
    <w:rsid w:val="0053063F"/>
    <w:rsid w:val="00532626"/>
    <w:rsid w:val="005339CC"/>
    <w:rsid w:val="005343E2"/>
    <w:rsid w:val="00536406"/>
    <w:rsid w:val="00536659"/>
    <w:rsid w:val="005367DE"/>
    <w:rsid w:val="00536F7E"/>
    <w:rsid w:val="0053709F"/>
    <w:rsid w:val="00540827"/>
    <w:rsid w:val="005408FF"/>
    <w:rsid w:val="005410FB"/>
    <w:rsid w:val="00542786"/>
    <w:rsid w:val="005435E4"/>
    <w:rsid w:val="00543F39"/>
    <w:rsid w:val="005443DA"/>
    <w:rsid w:val="005467A4"/>
    <w:rsid w:val="0054719E"/>
    <w:rsid w:val="005471CE"/>
    <w:rsid w:val="00551795"/>
    <w:rsid w:val="00551883"/>
    <w:rsid w:val="00553216"/>
    <w:rsid w:val="00553AF7"/>
    <w:rsid w:val="00553FAC"/>
    <w:rsid w:val="0055554F"/>
    <w:rsid w:val="00556552"/>
    <w:rsid w:val="00556BE1"/>
    <w:rsid w:val="005576C0"/>
    <w:rsid w:val="00560185"/>
    <w:rsid w:val="005617E4"/>
    <w:rsid w:val="00561A36"/>
    <w:rsid w:val="005645EA"/>
    <w:rsid w:val="005673A7"/>
    <w:rsid w:val="0057183B"/>
    <w:rsid w:val="00571CFD"/>
    <w:rsid w:val="0057224E"/>
    <w:rsid w:val="005733B8"/>
    <w:rsid w:val="005757D5"/>
    <w:rsid w:val="005769B0"/>
    <w:rsid w:val="00576EE0"/>
    <w:rsid w:val="00577E6D"/>
    <w:rsid w:val="00580642"/>
    <w:rsid w:val="00580F90"/>
    <w:rsid w:val="0058362B"/>
    <w:rsid w:val="00583A59"/>
    <w:rsid w:val="0058436F"/>
    <w:rsid w:val="005845C0"/>
    <w:rsid w:val="0058510F"/>
    <w:rsid w:val="00585BC8"/>
    <w:rsid w:val="005861D9"/>
    <w:rsid w:val="00586281"/>
    <w:rsid w:val="0058746A"/>
    <w:rsid w:val="00587D79"/>
    <w:rsid w:val="0059100B"/>
    <w:rsid w:val="0059212A"/>
    <w:rsid w:val="00593297"/>
    <w:rsid w:val="00593C59"/>
    <w:rsid w:val="00594D72"/>
    <w:rsid w:val="00595EE0"/>
    <w:rsid w:val="00596C02"/>
    <w:rsid w:val="005971C9"/>
    <w:rsid w:val="00597D4D"/>
    <w:rsid w:val="005A0321"/>
    <w:rsid w:val="005A07D6"/>
    <w:rsid w:val="005A24DA"/>
    <w:rsid w:val="005A32D7"/>
    <w:rsid w:val="005A3D99"/>
    <w:rsid w:val="005A425F"/>
    <w:rsid w:val="005A4589"/>
    <w:rsid w:val="005A4639"/>
    <w:rsid w:val="005A4B54"/>
    <w:rsid w:val="005A52B0"/>
    <w:rsid w:val="005A5316"/>
    <w:rsid w:val="005A551D"/>
    <w:rsid w:val="005A7AD8"/>
    <w:rsid w:val="005B02A8"/>
    <w:rsid w:val="005B129A"/>
    <w:rsid w:val="005B23C6"/>
    <w:rsid w:val="005B24A9"/>
    <w:rsid w:val="005B38D7"/>
    <w:rsid w:val="005B4B7A"/>
    <w:rsid w:val="005B6227"/>
    <w:rsid w:val="005B6AFC"/>
    <w:rsid w:val="005C01CA"/>
    <w:rsid w:val="005C01D7"/>
    <w:rsid w:val="005C1C7C"/>
    <w:rsid w:val="005C31C0"/>
    <w:rsid w:val="005C4CAC"/>
    <w:rsid w:val="005C77F2"/>
    <w:rsid w:val="005D3628"/>
    <w:rsid w:val="005D70BF"/>
    <w:rsid w:val="005D71AD"/>
    <w:rsid w:val="005D73C2"/>
    <w:rsid w:val="005D75C7"/>
    <w:rsid w:val="005D7CDD"/>
    <w:rsid w:val="005E0D4F"/>
    <w:rsid w:val="005E0EF9"/>
    <w:rsid w:val="005E101B"/>
    <w:rsid w:val="005E3342"/>
    <w:rsid w:val="005E7622"/>
    <w:rsid w:val="005E7CDC"/>
    <w:rsid w:val="005F0CFF"/>
    <w:rsid w:val="005F4FC8"/>
    <w:rsid w:val="005F5333"/>
    <w:rsid w:val="005F6B0E"/>
    <w:rsid w:val="00600D3B"/>
    <w:rsid w:val="0060156B"/>
    <w:rsid w:val="006020AC"/>
    <w:rsid w:val="00602240"/>
    <w:rsid w:val="0060389E"/>
    <w:rsid w:val="00605281"/>
    <w:rsid w:val="00605CD8"/>
    <w:rsid w:val="00605FAD"/>
    <w:rsid w:val="006072F5"/>
    <w:rsid w:val="00607B2D"/>
    <w:rsid w:val="00610B39"/>
    <w:rsid w:val="00611487"/>
    <w:rsid w:val="00611C32"/>
    <w:rsid w:val="00612072"/>
    <w:rsid w:val="006127C7"/>
    <w:rsid w:val="0061287C"/>
    <w:rsid w:val="0061333B"/>
    <w:rsid w:val="00613FD2"/>
    <w:rsid w:val="00614956"/>
    <w:rsid w:val="006169F3"/>
    <w:rsid w:val="00616E0A"/>
    <w:rsid w:val="00617470"/>
    <w:rsid w:val="006175D2"/>
    <w:rsid w:val="00620626"/>
    <w:rsid w:val="006212FA"/>
    <w:rsid w:val="00621E25"/>
    <w:rsid w:val="006230AE"/>
    <w:rsid w:val="00623187"/>
    <w:rsid w:val="006241D9"/>
    <w:rsid w:val="0062457D"/>
    <w:rsid w:val="0062463B"/>
    <w:rsid w:val="00625D29"/>
    <w:rsid w:val="00627C1E"/>
    <w:rsid w:val="00627D32"/>
    <w:rsid w:val="0063012E"/>
    <w:rsid w:val="006317C0"/>
    <w:rsid w:val="0063256E"/>
    <w:rsid w:val="00632686"/>
    <w:rsid w:val="00632B8C"/>
    <w:rsid w:val="00633F20"/>
    <w:rsid w:val="00635A26"/>
    <w:rsid w:val="00635B8C"/>
    <w:rsid w:val="00636DF2"/>
    <w:rsid w:val="00637A02"/>
    <w:rsid w:val="00640E2A"/>
    <w:rsid w:val="006429C9"/>
    <w:rsid w:val="00643AB8"/>
    <w:rsid w:val="0064501A"/>
    <w:rsid w:val="00645208"/>
    <w:rsid w:val="00645A46"/>
    <w:rsid w:val="00645ED6"/>
    <w:rsid w:val="006461F1"/>
    <w:rsid w:val="00646DFA"/>
    <w:rsid w:val="00647992"/>
    <w:rsid w:val="00647B3B"/>
    <w:rsid w:val="00647FAE"/>
    <w:rsid w:val="006500E2"/>
    <w:rsid w:val="00651C09"/>
    <w:rsid w:val="00652882"/>
    <w:rsid w:val="00652D7A"/>
    <w:rsid w:val="00655662"/>
    <w:rsid w:val="00656DFF"/>
    <w:rsid w:val="00660588"/>
    <w:rsid w:val="0066112C"/>
    <w:rsid w:val="0066425A"/>
    <w:rsid w:val="00664D71"/>
    <w:rsid w:val="0066519E"/>
    <w:rsid w:val="006652AB"/>
    <w:rsid w:val="00665E28"/>
    <w:rsid w:val="00666C98"/>
    <w:rsid w:val="00666C9C"/>
    <w:rsid w:val="00666F81"/>
    <w:rsid w:val="00667418"/>
    <w:rsid w:val="00670DC7"/>
    <w:rsid w:val="00672D48"/>
    <w:rsid w:val="00672D70"/>
    <w:rsid w:val="0067493D"/>
    <w:rsid w:val="00674A62"/>
    <w:rsid w:val="00674B2E"/>
    <w:rsid w:val="006755CC"/>
    <w:rsid w:val="00675D82"/>
    <w:rsid w:val="00675DC2"/>
    <w:rsid w:val="006765AB"/>
    <w:rsid w:val="00676A7F"/>
    <w:rsid w:val="00676BFA"/>
    <w:rsid w:val="00677685"/>
    <w:rsid w:val="00681152"/>
    <w:rsid w:val="00681477"/>
    <w:rsid w:val="006826AE"/>
    <w:rsid w:val="006844C8"/>
    <w:rsid w:val="00684CEE"/>
    <w:rsid w:val="006916B3"/>
    <w:rsid w:val="00691B6E"/>
    <w:rsid w:val="00691B7B"/>
    <w:rsid w:val="00691C7F"/>
    <w:rsid w:val="00692E70"/>
    <w:rsid w:val="00694035"/>
    <w:rsid w:val="0069525E"/>
    <w:rsid w:val="0069651E"/>
    <w:rsid w:val="006967C5"/>
    <w:rsid w:val="00697486"/>
    <w:rsid w:val="00697AC2"/>
    <w:rsid w:val="006A0A08"/>
    <w:rsid w:val="006A1DB4"/>
    <w:rsid w:val="006A1F87"/>
    <w:rsid w:val="006A261A"/>
    <w:rsid w:val="006A2985"/>
    <w:rsid w:val="006A30C5"/>
    <w:rsid w:val="006A5A60"/>
    <w:rsid w:val="006A6EE3"/>
    <w:rsid w:val="006A7678"/>
    <w:rsid w:val="006A785A"/>
    <w:rsid w:val="006A78A1"/>
    <w:rsid w:val="006A7B10"/>
    <w:rsid w:val="006B1775"/>
    <w:rsid w:val="006B1A6D"/>
    <w:rsid w:val="006B33D0"/>
    <w:rsid w:val="006B4F4F"/>
    <w:rsid w:val="006B5168"/>
    <w:rsid w:val="006B5655"/>
    <w:rsid w:val="006B56AD"/>
    <w:rsid w:val="006B7528"/>
    <w:rsid w:val="006B7662"/>
    <w:rsid w:val="006B7DFF"/>
    <w:rsid w:val="006C230A"/>
    <w:rsid w:val="006C2808"/>
    <w:rsid w:val="006C36D0"/>
    <w:rsid w:val="006C3A08"/>
    <w:rsid w:val="006C3DF1"/>
    <w:rsid w:val="006C3F05"/>
    <w:rsid w:val="006C6F38"/>
    <w:rsid w:val="006C71A1"/>
    <w:rsid w:val="006D0479"/>
    <w:rsid w:val="006D1776"/>
    <w:rsid w:val="006D1D6D"/>
    <w:rsid w:val="006D2553"/>
    <w:rsid w:val="006D27CB"/>
    <w:rsid w:val="006D2B57"/>
    <w:rsid w:val="006D31B1"/>
    <w:rsid w:val="006D4187"/>
    <w:rsid w:val="006D4AD4"/>
    <w:rsid w:val="006D61AD"/>
    <w:rsid w:val="006D6A8C"/>
    <w:rsid w:val="006D6C0D"/>
    <w:rsid w:val="006D7452"/>
    <w:rsid w:val="006E0F9D"/>
    <w:rsid w:val="006E355E"/>
    <w:rsid w:val="006E3AB7"/>
    <w:rsid w:val="006E44F3"/>
    <w:rsid w:val="006E4AD5"/>
    <w:rsid w:val="006E5236"/>
    <w:rsid w:val="006E5ECD"/>
    <w:rsid w:val="006E7870"/>
    <w:rsid w:val="006F2679"/>
    <w:rsid w:val="006F2B57"/>
    <w:rsid w:val="006F2D65"/>
    <w:rsid w:val="006F42ED"/>
    <w:rsid w:val="006F4F52"/>
    <w:rsid w:val="006F5AAB"/>
    <w:rsid w:val="006F5B70"/>
    <w:rsid w:val="006F6549"/>
    <w:rsid w:val="006F6630"/>
    <w:rsid w:val="006F741D"/>
    <w:rsid w:val="006F7B90"/>
    <w:rsid w:val="0070286F"/>
    <w:rsid w:val="0070308E"/>
    <w:rsid w:val="00703612"/>
    <w:rsid w:val="00703A2F"/>
    <w:rsid w:val="0070429E"/>
    <w:rsid w:val="0070439A"/>
    <w:rsid w:val="007068EB"/>
    <w:rsid w:val="007100D9"/>
    <w:rsid w:val="0071080E"/>
    <w:rsid w:val="0071175D"/>
    <w:rsid w:val="00711D25"/>
    <w:rsid w:val="007120E5"/>
    <w:rsid w:val="0071290C"/>
    <w:rsid w:val="007129AA"/>
    <w:rsid w:val="00713393"/>
    <w:rsid w:val="0071428C"/>
    <w:rsid w:val="00715737"/>
    <w:rsid w:val="007166D1"/>
    <w:rsid w:val="007207B2"/>
    <w:rsid w:val="00721FEC"/>
    <w:rsid w:val="00722099"/>
    <w:rsid w:val="00722140"/>
    <w:rsid w:val="00723542"/>
    <w:rsid w:val="0072607C"/>
    <w:rsid w:val="00726AAD"/>
    <w:rsid w:val="00730477"/>
    <w:rsid w:val="007309AB"/>
    <w:rsid w:val="00730A66"/>
    <w:rsid w:val="00731EF4"/>
    <w:rsid w:val="007320CD"/>
    <w:rsid w:val="00732D70"/>
    <w:rsid w:val="00733E38"/>
    <w:rsid w:val="00733E51"/>
    <w:rsid w:val="00734139"/>
    <w:rsid w:val="00734A4D"/>
    <w:rsid w:val="007352C5"/>
    <w:rsid w:val="00735C71"/>
    <w:rsid w:val="00735E61"/>
    <w:rsid w:val="00736069"/>
    <w:rsid w:val="0073699E"/>
    <w:rsid w:val="00736D0E"/>
    <w:rsid w:val="00737400"/>
    <w:rsid w:val="00737B5B"/>
    <w:rsid w:val="00740B4E"/>
    <w:rsid w:val="00740E45"/>
    <w:rsid w:val="00741619"/>
    <w:rsid w:val="00741B8B"/>
    <w:rsid w:val="00742752"/>
    <w:rsid w:val="00742E9C"/>
    <w:rsid w:val="00743920"/>
    <w:rsid w:val="007439C6"/>
    <w:rsid w:val="00744134"/>
    <w:rsid w:val="00746D68"/>
    <w:rsid w:val="007474C6"/>
    <w:rsid w:val="007508AD"/>
    <w:rsid w:val="00750AF4"/>
    <w:rsid w:val="00752916"/>
    <w:rsid w:val="00752F6B"/>
    <w:rsid w:val="007530A3"/>
    <w:rsid w:val="007538E2"/>
    <w:rsid w:val="00753929"/>
    <w:rsid w:val="0075501B"/>
    <w:rsid w:val="00755B41"/>
    <w:rsid w:val="007562A9"/>
    <w:rsid w:val="007574A9"/>
    <w:rsid w:val="00757769"/>
    <w:rsid w:val="00757DAA"/>
    <w:rsid w:val="0076161D"/>
    <w:rsid w:val="00762699"/>
    <w:rsid w:val="0076321F"/>
    <w:rsid w:val="00764083"/>
    <w:rsid w:val="007654F7"/>
    <w:rsid w:val="00765F15"/>
    <w:rsid w:val="007666A8"/>
    <w:rsid w:val="00766C22"/>
    <w:rsid w:val="00766F86"/>
    <w:rsid w:val="0076715B"/>
    <w:rsid w:val="00767423"/>
    <w:rsid w:val="00770D02"/>
    <w:rsid w:val="0077229F"/>
    <w:rsid w:val="007722C2"/>
    <w:rsid w:val="00773256"/>
    <w:rsid w:val="00774BF7"/>
    <w:rsid w:val="00780477"/>
    <w:rsid w:val="00780F56"/>
    <w:rsid w:val="007813D1"/>
    <w:rsid w:val="00782D53"/>
    <w:rsid w:val="00783833"/>
    <w:rsid w:val="007843C8"/>
    <w:rsid w:val="007858DF"/>
    <w:rsid w:val="007862F3"/>
    <w:rsid w:val="00787595"/>
    <w:rsid w:val="007876CB"/>
    <w:rsid w:val="0079044D"/>
    <w:rsid w:val="00792BC4"/>
    <w:rsid w:val="00793FC0"/>
    <w:rsid w:val="00795B14"/>
    <w:rsid w:val="00796FAF"/>
    <w:rsid w:val="007972B2"/>
    <w:rsid w:val="00797C39"/>
    <w:rsid w:val="00797C5D"/>
    <w:rsid w:val="007A0B31"/>
    <w:rsid w:val="007A0DF9"/>
    <w:rsid w:val="007A1E32"/>
    <w:rsid w:val="007A2226"/>
    <w:rsid w:val="007A26F3"/>
    <w:rsid w:val="007A29FD"/>
    <w:rsid w:val="007A2F6F"/>
    <w:rsid w:val="007A2FFD"/>
    <w:rsid w:val="007A74DF"/>
    <w:rsid w:val="007A79D6"/>
    <w:rsid w:val="007B06DC"/>
    <w:rsid w:val="007B14E4"/>
    <w:rsid w:val="007B161F"/>
    <w:rsid w:val="007B4CA0"/>
    <w:rsid w:val="007B5252"/>
    <w:rsid w:val="007B53A5"/>
    <w:rsid w:val="007B699B"/>
    <w:rsid w:val="007B75E1"/>
    <w:rsid w:val="007B78A0"/>
    <w:rsid w:val="007B79C7"/>
    <w:rsid w:val="007C0479"/>
    <w:rsid w:val="007C05C7"/>
    <w:rsid w:val="007C0FCD"/>
    <w:rsid w:val="007C1854"/>
    <w:rsid w:val="007C2003"/>
    <w:rsid w:val="007C3F14"/>
    <w:rsid w:val="007C454F"/>
    <w:rsid w:val="007C4CBD"/>
    <w:rsid w:val="007C5482"/>
    <w:rsid w:val="007C6353"/>
    <w:rsid w:val="007C6C8B"/>
    <w:rsid w:val="007D38DA"/>
    <w:rsid w:val="007D3E8F"/>
    <w:rsid w:val="007D4064"/>
    <w:rsid w:val="007D4101"/>
    <w:rsid w:val="007D496A"/>
    <w:rsid w:val="007D4E76"/>
    <w:rsid w:val="007D62F1"/>
    <w:rsid w:val="007D7994"/>
    <w:rsid w:val="007E004B"/>
    <w:rsid w:val="007E0400"/>
    <w:rsid w:val="007E0A18"/>
    <w:rsid w:val="007E196B"/>
    <w:rsid w:val="007E2214"/>
    <w:rsid w:val="007E271F"/>
    <w:rsid w:val="007E2C47"/>
    <w:rsid w:val="007E34D8"/>
    <w:rsid w:val="007E373B"/>
    <w:rsid w:val="007E3B11"/>
    <w:rsid w:val="007E5BA2"/>
    <w:rsid w:val="007E6912"/>
    <w:rsid w:val="007F365D"/>
    <w:rsid w:val="007F3984"/>
    <w:rsid w:val="007F3DD8"/>
    <w:rsid w:val="007F495A"/>
    <w:rsid w:val="007F69EA"/>
    <w:rsid w:val="008016BE"/>
    <w:rsid w:val="0080191D"/>
    <w:rsid w:val="008019EC"/>
    <w:rsid w:val="00802B7B"/>
    <w:rsid w:val="0080361A"/>
    <w:rsid w:val="008049B6"/>
    <w:rsid w:val="00807181"/>
    <w:rsid w:val="0080785E"/>
    <w:rsid w:val="0081168B"/>
    <w:rsid w:val="008116A5"/>
    <w:rsid w:val="008120A3"/>
    <w:rsid w:val="008130BD"/>
    <w:rsid w:val="0081457B"/>
    <w:rsid w:val="0081491C"/>
    <w:rsid w:val="00814B50"/>
    <w:rsid w:val="008172CF"/>
    <w:rsid w:val="00817492"/>
    <w:rsid w:val="00817906"/>
    <w:rsid w:val="00817AF8"/>
    <w:rsid w:val="00817E30"/>
    <w:rsid w:val="0082013F"/>
    <w:rsid w:val="00820ECA"/>
    <w:rsid w:val="00823789"/>
    <w:rsid w:val="00823C6F"/>
    <w:rsid w:val="00825B41"/>
    <w:rsid w:val="00826FA2"/>
    <w:rsid w:val="00826FA5"/>
    <w:rsid w:val="00827CCD"/>
    <w:rsid w:val="0083120D"/>
    <w:rsid w:val="00831C3B"/>
    <w:rsid w:val="00833A91"/>
    <w:rsid w:val="00833CD7"/>
    <w:rsid w:val="00836E4F"/>
    <w:rsid w:val="0083710D"/>
    <w:rsid w:val="008373AB"/>
    <w:rsid w:val="00841568"/>
    <w:rsid w:val="00841C58"/>
    <w:rsid w:val="00844CA4"/>
    <w:rsid w:val="00845AA4"/>
    <w:rsid w:val="00846718"/>
    <w:rsid w:val="0084713D"/>
    <w:rsid w:val="00850B35"/>
    <w:rsid w:val="00850F9D"/>
    <w:rsid w:val="00851E18"/>
    <w:rsid w:val="00855B98"/>
    <w:rsid w:val="0085623D"/>
    <w:rsid w:val="008570E0"/>
    <w:rsid w:val="00857A36"/>
    <w:rsid w:val="00860805"/>
    <w:rsid w:val="008615F5"/>
    <w:rsid w:val="00861B8D"/>
    <w:rsid w:val="00862286"/>
    <w:rsid w:val="008638B3"/>
    <w:rsid w:val="0086433C"/>
    <w:rsid w:val="00865C57"/>
    <w:rsid w:val="00867E96"/>
    <w:rsid w:val="00870E80"/>
    <w:rsid w:val="008710BB"/>
    <w:rsid w:val="0087259A"/>
    <w:rsid w:val="00872A65"/>
    <w:rsid w:val="00872C15"/>
    <w:rsid w:val="008737F1"/>
    <w:rsid w:val="008747A0"/>
    <w:rsid w:val="00874AD4"/>
    <w:rsid w:val="00874B91"/>
    <w:rsid w:val="00876271"/>
    <w:rsid w:val="00877A49"/>
    <w:rsid w:val="00877F91"/>
    <w:rsid w:val="00883200"/>
    <w:rsid w:val="008845EB"/>
    <w:rsid w:val="00884D91"/>
    <w:rsid w:val="008864A2"/>
    <w:rsid w:val="008868BB"/>
    <w:rsid w:val="00886BC0"/>
    <w:rsid w:val="00890251"/>
    <w:rsid w:val="008907DD"/>
    <w:rsid w:val="00890929"/>
    <w:rsid w:val="00891BF9"/>
    <w:rsid w:val="00892124"/>
    <w:rsid w:val="00892FFE"/>
    <w:rsid w:val="00894E32"/>
    <w:rsid w:val="008A0A93"/>
    <w:rsid w:val="008A1C38"/>
    <w:rsid w:val="008A2124"/>
    <w:rsid w:val="008A2382"/>
    <w:rsid w:val="008A3819"/>
    <w:rsid w:val="008A4C0F"/>
    <w:rsid w:val="008A672B"/>
    <w:rsid w:val="008B1791"/>
    <w:rsid w:val="008B18B2"/>
    <w:rsid w:val="008B2C0E"/>
    <w:rsid w:val="008B2F75"/>
    <w:rsid w:val="008B404E"/>
    <w:rsid w:val="008B4686"/>
    <w:rsid w:val="008B4807"/>
    <w:rsid w:val="008B4F18"/>
    <w:rsid w:val="008B6FDF"/>
    <w:rsid w:val="008C2557"/>
    <w:rsid w:val="008C2E1F"/>
    <w:rsid w:val="008C33C3"/>
    <w:rsid w:val="008C6045"/>
    <w:rsid w:val="008C7AD5"/>
    <w:rsid w:val="008C7EC9"/>
    <w:rsid w:val="008D0119"/>
    <w:rsid w:val="008D06AB"/>
    <w:rsid w:val="008D474D"/>
    <w:rsid w:val="008D4896"/>
    <w:rsid w:val="008D5BE1"/>
    <w:rsid w:val="008D64DC"/>
    <w:rsid w:val="008D6633"/>
    <w:rsid w:val="008D66B6"/>
    <w:rsid w:val="008E02EB"/>
    <w:rsid w:val="008E0384"/>
    <w:rsid w:val="008E36F2"/>
    <w:rsid w:val="008E4CC1"/>
    <w:rsid w:val="008E56DF"/>
    <w:rsid w:val="008E6ED1"/>
    <w:rsid w:val="008F0A13"/>
    <w:rsid w:val="008F0C93"/>
    <w:rsid w:val="008F1A25"/>
    <w:rsid w:val="008F30A5"/>
    <w:rsid w:val="008F45BE"/>
    <w:rsid w:val="008F6945"/>
    <w:rsid w:val="008F6DF2"/>
    <w:rsid w:val="008F7121"/>
    <w:rsid w:val="008F7360"/>
    <w:rsid w:val="0090008B"/>
    <w:rsid w:val="00900972"/>
    <w:rsid w:val="0090138E"/>
    <w:rsid w:val="009014EE"/>
    <w:rsid w:val="00903A46"/>
    <w:rsid w:val="0090433A"/>
    <w:rsid w:val="00904A35"/>
    <w:rsid w:val="00905A60"/>
    <w:rsid w:val="00906977"/>
    <w:rsid w:val="0090734A"/>
    <w:rsid w:val="00907A6A"/>
    <w:rsid w:val="00910C9F"/>
    <w:rsid w:val="0091129B"/>
    <w:rsid w:val="00911A97"/>
    <w:rsid w:val="0091294C"/>
    <w:rsid w:val="0091522F"/>
    <w:rsid w:val="0091569F"/>
    <w:rsid w:val="00916FFD"/>
    <w:rsid w:val="0092032B"/>
    <w:rsid w:val="00920F28"/>
    <w:rsid w:val="00921C25"/>
    <w:rsid w:val="009221F6"/>
    <w:rsid w:val="00922247"/>
    <w:rsid w:val="0092225D"/>
    <w:rsid w:val="00923523"/>
    <w:rsid w:val="009235E6"/>
    <w:rsid w:val="009241F9"/>
    <w:rsid w:val="00924DE8"/>
    <w:rsid w:val="00924E29"/>
    <w:rsid w:val="00927538"/>
    <w:rsid w:val="00930CCB"/>
    <w:rsid w:val="0093178E"/>
    <w:rsid w:val="00933520"/>
    <w:rsid w:val="0093516B"/>
    <w:rsid w:val="00941368"/>
    <w:rsid w:val="00941487"/>
    <w:rsid w:val="009414C9"/>
    <w:rsid w:val="00942519"/>
    <w:rsid w:val="00942745"/>
    <w:rsid w:val="009432C9"/>
    <w:rsid w:val="00946337"/>
    <w:rsid w:val="00946AA5"/>
    <w:rsid w:val="009503DD"/>
    <w:rsid w:val="0095089F"/>
    <w:rsid w:val="0095254E"/>
    <w:rsid w:val="00953B19"/>
    <w:rsid w:val="00956446"/>
    <w:rsid w:val="00956E98"/>
    <w:rsid w:val="0096137D"/>
    <w:rsid w:val="00961BCA"/>
    <w:rsid w:val="00962223"/>
    <w:rsid w:val="00963AE8"/>
    <w:rsid w:val="00963BB7"/>
    <w:rsid w:val="00963C65"/>
    <w:rsid w:val="009643BC"/>
    <w:rsid w:val="00964E77"/>
    <w:rsid w:val="00964F30"/>
    <w:rsid w:val="009651ED"/>
    <w:rsid w:val="00965A67"/>
    <w:rsid w:val="00965D60"/>
    <w:rsid w:val="009661E6"/>
    <w:rsid w:val="009664F4"/>
    <w:rsid w:val="009702DA"/>
    <w:rsid w:val="0097213D"/>
    <w:rsid w:val="00972B62"/>
    <w:rsid w:val="00972F2E"/>
    <w:rsid w:val="00974CCA"/>
    <w:rsid w:val="00974E83"/>
    <w:rsid w:val="00976A24"/>
    <w:rsid w:val="00976AC5"/>
    <w:rsid w:val="00976B09"/>
    <w:rsid w:val="00981EFA"/>
    <w:rsid w:val="00982959"/>
    <w:rsid w:val="00983702"/>
    <w:rsid w:val="00983BC1"/>
    <w:rsid w:val="009843EE"/>
    <w:rsid w:val="009852FE"/>
    <w:rsid w:val="00985635"/>
    <w:rsid w:val="00986313"/>
    <w:rsid w:val="00987084"/>
    <w:rsid w:val="0098719D"/>
    <w:rsid w:val="00987442"/>
    <w:rsid w:val="00990398"/>
    <w:rsid w:val="00990EEB"/>
    <w:rsid w:val="00991377"/>
    <w:rsid w:val="00991EDE"/>
    <w:rsid w:val="0099332B"/>
    <w:rsid w:val="00993D4F"/>
    <w:rsid w:val="00993EE9"/>
    <w:rsid w:val="009967D4"/>
    <w:rsid w:val="009A020F"/>
    <w:rsid w:val="009A05A3"/>
    <w:rsid w:val="009A07C0"/>
    <w:rsid w:val="009A14F4"/>
    <w:rsid w:val="009A1C81"/>
    <w:rsid w:val="009A1D0F"/>
    <w:rsid w:val="009A34A5"/>
    <w:rsid w:val="009A4849"/>
    <w:rsid w:val="009A5FD4"/>
    <w:rsid w:val="009B0694"/>
    <w:rsid w:val="009B0C6D"/>
    <w:rsid w:val="009B21B1"/>
    <w:rsid w:val="009B32CE"/>
    <w:rsid w:val="009B38F8"/>
    <w:rsid w:val="009B4483"/>
    <w:rsid w:val="009B4C27"/>
    <w:rsid w:val="009B4CCD"/>
    <w:rsid w:val="009B6283"/>
    <w:rsid w:val="009B6774"/>
    <w:rsid w:val="009B7508"/>
    <w:rsid w:val="009B7673"/>
    <w:rsid w:val="009B76A5"/>
    <w:rsid w:val="009B7ABF"/>
    <w:rsid w:val="009C04AE"/>
    <w:rsid w:val="009C0903"/>
    <w:rsid w:val="009C0FAC"/>
    <w:rsid w:val="009C2223"/>
    <w:rsid w:val="009C26E6"/>
    <w:rsid w:val="009C4A04"/>
    <w:rsid w:val="009C4EC1"/>
    <w:rsid w:val="009C4F0B"/>
    <w:rsid w:val="009C57F8"/>
    <w:rsid w:val="009C64E5"/>
    <w:rsid w:val="009C6641"/>
    <w:rsid w:val="009C6C8B"/>
    <w:rsid w:val="009C794B"/>
    <w:rsid w:val="009C79C9"/>
    <w:rsid w:val="009D0E9B"/>
    <w:rsid w:val="009D0FA7"/>
    <w:rsid w:val="009D11D5"/>
    <w:rsid w:val="009D16B6"/>
    <w:rsid w:val="009D1D46"/>
    <w:rsid w:val="009D2BB3"/>
    <w:rsid w:val="009D303B"/>
    <w:rsid w:val="009D53A2"/>
    <w:rsid w:val="009D5B42"/>
    <w:rsid w:val="009D5DDC"/>
    <w:rsid w:val="009D6D92"/>
    <w:rsid w:val="009D6E23"/>
    <w:rsid w:val="009D79C5"/>
    <w:rsid w:val="009E07BA"/>
    <w:rsid w:val="009E1538"/>
    <w:rsid w:val="009E2021"/>
    <w:rsid w:val="009E3930"/>
    <w:rsid w:val="009E3BC4"/>
    <w:rsid w:val="009E3FB6"/>
    <w:rsid w:val="009E4539"/>
    <w:rsid w:val="009E46F4"/>
    <w:rsid w:val="009E501A"/>
    <w:rsid w:val="009E5FA8"/>
    <w:rsid w:val="009E6BCB"/>
    <w:rsid w:val="009E6D61"/>
    <w:rsid w:val="009E7F10"/>
    <w:rsid w:val="009F03A3"/>
    <w:rsid w:val="009F177B"/>
    <w:rsid w:val="009F184D"/>
    <w:rsid w:val="009F28F7"/>
    <w:rsid w:val="009F3DB2"/>
    <w:rsid w:val="009F4550"/>
    <w:rsid w:val="009F48C7"/>
    <w:rsid w:val="009F5037"/>
    <w:rsid w:val="009F5890"/>
    <w:rsid w:val="009F6747"/>
    <w:rsid w:val="009F67EC"/>
    <w:rsid w:val="009F72E8"/>
    <w:rsid w:val="00A00634"/>
    <w:rsid w:val="00A006E0"/>
    <w:rsid w:val="00A024D6"/>
    <w:rsid w:val="00A028E5"/>
    <w:rsid w:val="00A02B60"/>
    <w:rsid w:val="00A0356C"/>
    <w:rsid w:val="00A048F5"/>
    <w:rsid w:val="00A055A8"/>
    <w:rsid w:val="00A05AC6"/>
    <w:rsid w:val="00A05B08"/>
    <w:rsid w:val="00A06A2E"/>
    <w:rsid w:val="00A06B57"/>
    <w:rsid w:val="00A06E96"/>
    <w:rsid w:val="00A076D1"/>
    <w:rsid w:val="00A0771D"/>
    <w:rsid w:val="00A078E6"/>
    <w:rsid w:val="00A07EDE"/>
    <w:rsid w:val="00A10FC8"/>
    <w:rsid w:val="00A11BC3"/>
    <w:rsid w:val="00A128B5"/>
    <w:rsid w:val="00A13B1C"/>
    <w:rsid w:val="00A13E33"/>
    <w:rsid w:val="00A151E5"/>
    <w:rsid w:val="00A16DC6"/>
    <w:rsid w:val="00A16EDF"/>
    <w:rsid w:val="00A2004B"/>
    <w:rsid w:val="00A2071F"/>
    <w:rsid w:val="00A20EEB"/>
    <w:rsid w:val="00A22D77"/>
    <w:rsid w:val="00A24FF5"/>
    <w:rsid w:val="00A26133"/>
    <w:rsid w:val="00A261C9"/>
    <w:rsid w:val="00A266E0"/>
    <w:rsid w:val="00A2735E"/>
    <w:rsid w:val="00A27E34"/>
    <w:rsid w:val="00A30C68"/>
    <w:rsid w:val="00A31BCC"/>
    <w:rsid w:val="00A32ECC"/>
    <w:rsid w:val="00A33C8D"/>
    <w:rsid w:val="00A33E58"/>
    <w:rsid w:val="00A33F60"/>
    <w:rsid w:val="00A341EE"/>
    <w:rsid w:val="00A34DC6"/>
    <w:rsid w:val="00A3514F"/>
    <w:rsid w:val="00A35B2B"/>
    <w:rsid w:val="00A35D88"/>
    <w:rsid w:val="00A36417"/>
    <w:rsid w:val="00A36C49"/>
    <w:rsid w:val="00A40103"/>
    <w:rsid w:val="00A415B7"/>
    <w:rsid w:val="00A4178B"/>
    <w:rsid w:val="00A41EC3"/>
    <w:rsid w:val="00A4255A"/>
    <w:rsid w:val="00A42A08"/>
    <w:rsid w:val="00A4360E"/>
    <w:rsid w:val="00A43A04"/>
    <w:rsid w:val="00A43AC6"/>
    <w:rsid w:val="00A43AD5"/>
    <w:rsid w:val="00A44470"/>
    <w:rsid w:val="00A47B7C"/>
    <w:rsid w:val="00A51D73"/>
    <w:rsid w:val="00A52544"/>
    <w:rsid w:val="00A52688"/>
    <w:rsid w:val="00A53987"/>
    <w:rsid w:val="00A5412A"/>
    <w:rsid w:val="00A556C4"/>
    <w:rsid w:val="00A55DC9"/>
    <w:rsid w:val="00A561BD"/>
    <w:rsid w:val="00A56220"/>
    <w:rsid w:val="00A56B5E"/>
    <w:rsid w:val="00A57919"/>
    <w:rsid w:val="00A6021D"/>
    <w:rsid w:val="00A605FE"/>
    <w:rsid w:val="00A60F23"/>
    <w:rsid w:val="00A629D5"/>
    <w:rsid w:val="00A63488"/>
    <w:rsid w:val="00A63564"/>
    <w:rsid w:val="00A637E1"/>
    <w:rsid w:val="00A63910"/>
    <w:rsid w:val="00A6401C"/>
    <w:rsid w:val="00A647CF"/>
    <w:rsid w:val="00A658B7"/>
    <w:rsid w:val="00A70C65"/>
    <w:rsid w:val="00A71A84"/>
    <w:rsid w:val="00A71EA0"/>
    <w:rsid w:val="00A7428B"/>
    <w:rsid w:val="00A74806"/>
    <w:rsid w:val="00A75496"/>
    <w:rsid w:val="00A761D5"/>
    <w:rsid w:val="00A76A0A"/>
    <w:rsid w:val="00A801FD"/>
    <w:rsid w:val="00A804A8"/>
    <w:rsid w:val="00A845EC"/>
    <w:rsid w:val="00A848D4"/>
    <w:rsid w:val="00A85B1C"/>
    <w:rsid w:val="00A85E37"/>
    <w:rsid w:val="00A861FB"/>
    <w:rsid w:val="00A8649B"/>
    <w:rsid w:val="00A90336"/>
    <w:rsid w:val="00A92837"/>
    <w:rsid w:val="00A93503"/>
    <w:rsid w:val="00A937EA"/>
    <w:rsid w:val="00A94B1F"/>
    <w:rsid w:val="00A94E1C"/>
    <w:rsid w:val="00A956E6"/>
    <w:rsid w:val="00A9593B"/>
    <w:rsid w:val="00A97FE7"/>
    <w:rsid w:val="00AA06AC"/>
    <w:rsid w:val="00AA0C5D"/>
    <w:rsid w:val="00AA112D"/>
    <w:rsid w:val="00AA11A5"/>
    <w:rsid w:val="00AA146A"/>
    <w:rsid w:val="00AA1CAC"/>
    <w:rsid w:val="00AA2557"/>
    <w:rsid w:val="00AA4C21"/>
    <w:rsid w:val="00AA5776"/>
    <w:rsid w:val="00AA61D8"/>
    <w:rsid w:val="00AB02FB"/>
    <w:rsid w:val="00AB052A"/>
    <w:rsid w:val="00AB065A"/>
    <w:rsid w:val="00AB1404"/>
    <w:rsid w:val="00AB16DE"/>
    <w:rsid w:val="00AB224A"/>
    <w:rsid w:val="00AB2316"/>
    <w:rsid w:val="00AB2FA3"/>
    <w:rsid w:val="00AB52F6"/>
    <w:rsid w:val="00AB7241"/>
    <w:rsid w:val="00AC37C8"/>
    <w:rsid w:val="00AC4F82"/>
    <w:rsid w:val="00AC5E32"/>
    <w:rsid w:val="00AC6A5B"/>
    <w:rsid w:val="00AC74B1"/>
    <w:rsid w:val="00AD091D"/>
    <w:rsid w:val="00AD234E"/>
    <w:rsid w:val="00AD2674"/>
    <w:rsid w:val="00AD2CE2"/>
    <w:rsid w:val="00AD36F3"/>
    <w:rsid w:val="00AD3818"/>
    <w:rsid w:val="00AD47F0"/>
    <w:rsid w:val="00AD4B0E"/>
    <w:rsid w:val="00AD4FC3"/>
    <w:rsid w:val="00AD63A0"/>
    <w:rsid w:val="00AD6AE7"/>
    <w:rsid w:val="00AD7300"/>
    <w:rsid w:val="00AD7B69"/>
    <w:rsid w:val="00AE0067"/>
    <w:rsid w:val="00AE0875"/>
    <w:rsid w:val="00AE1A75"/>
    <w:rsid w:val="00AE1BAD"/>
    <w:rsid w:val="00AE291F"/>
    <w:rsid w:val="00AE3143"/>
    <w:rsid w:val="00AE43D1"/>
    <w:rsid w:val="00AE60D1"/>
    <w:rsid w:val="00AE709B"/>
    <w:rsid w:val="00AF01E2"/>
    <w:rsid w:val="00AF09AC"/>
    <w:rsid w:val="00AF1591"/>
    <w:rsid w:val="00AF321A"/>
    <w:rsid w:val="00AF32B2"/>
    <w:rsid w:val="00AF3FEB"/>
    <w:rsid w:val="00AF5353"/>
    <w:rsid w:val="00AF542A"/>
    <w:rsid w:val="00AF5C46"/>
    <w:rsid w:val="00AF6E81"/>
    <w:rsid w:val="00B01D28"/>
    <w:rsid w:val="00B02DBF"/>
    <w:rsid w:val="00B047CA"/>
    <w:rsid w:val="00B056C3"/>
    <w:rsid w:val="00B06484"/>
    <w:rsid w:val="00B07AC3"/>
    <w:rsid w:val="00B1148D"/>
    <w:rsid w:val="00B11BC3"/>
    <w:rsid w:val="00B1309B"/>
    <w:rsid w:val="00B131FF"/>
    <w:rsid w:val="00B138E2"/>
    <w:rsid w:val="00B13A46"/>
    <w:rsid w:val="00B140D4"/>
    <w:rsid w:val="00B15BD9"/>
    <w:rsid w:val="00B1616F"/>
    <w:rsid w:val="00B1709E"/>
    <w:rsid w:val="00B2193F"/>
    <w:rsid w:val="00B21F8A"/>
    <w:rsid w:val="00B239EE"/>
    <w:rsid w:val="00B23F43"/>
    <w:rsid w:val="00B248D4"/>
    <w:rsid w:val="00B253AB"/>
    <w:rsid w:val="00B25855"/>
    <w:rsid w:val="00B2722A"/>
    <w:rsid w:val="00B3007F"/>
    <w:rsid w:val="00B30511"/>
    <w:rsid w:val="00B32AE4"/>
    <w:rsid w:val="00B32E59"/>
    <w:rsid w:val="00B3456F"/>
    <w:rsid w:val="00B35253"/>
    <w:rsid w:val="00B36BCC"/>
    <w:rsid w:val="00B40644"/>
    <w:rsid w:val="00B407C6"/>
    <w:rsid w:val="00B40F62"/>
    <w:rsid w:val="00B41A8E"/>
    <w:rsid w:val="00B41EF2"/>
    <w:rsid w:val="00B4298C"/>
    <w:rsid w:val="00B45A05"/>
    <w:rsid w:val="00B46B43"/>
    <w:rsid w:val="00B503D9"/>
    <w:rsid w:val="00B508CE"/>
    <w:rsid w:val="00B51253"/>
    <w:rsid w:val="00B5148F"/>
    <w:rsid w:val="00B51691"/>
    <w:rsid w:val="00B51FF3"/>
    <w:rsid w:val="00B52DB6"/>
    <w:rsid w:val="00B52FC6"/>
    <w:rsid w:val="00B5358E"/>
    <w:rsid w:val="00B5579E"/>
    <w:rsid w:val="00B5659C"/>
    <w:rsid w:val="00B567FF"/>
    <w:rsid w:val="00B57D97"/>
    <w:rsid w:val="00B60B89"/>
    <w:rsid w:val="00B611D3"/>
    <w:rsid w:val="00B61C6A"/>
    <w:rsid w:val="00B62F24"/>
    <w:rsid w:val="00B64AA0"/>
    <w:rsid w:val="00B65311"/>
    <w:rsid w:val="00B655EA"/>
    <w:rsid w:val="00B658AE"/>
    <w:rsid w:val="00B667EE"/>
    <w:rsid w:val="00B67640"/>
    <w:rsid w:val="00B72E99"/>
    <w:rsid w:val="00B76D0E"/>
    <w:rsid w:val="00B76D75"/>
    <w:rsid w:val="00B801C9"/>
    <w:rsid w:val="00B80200"/>
    <w:rsid w:val="00B806AD"/>
    <w:rsid w:val="00B80AE4"/>
    <w:rsid w:val="00B80EAE"/>
    <w:rsid w:val="00B81063"/>
    <w:rsid w:val="00B81BD6"/>
    <w:rsid w:val="00B821DC"/>
    <w:rsid w:val="00B82838"/>
    <w:rsid w:val="00B82E92"/>
    <w:rsid w:val="00B834D5"/>
    <w:rsid w:val="00B83B93"/>
    <w:rsid w:val="00B84B72"/>
    <w:rsid w:val="00B86590"/>
    <w:rsid w:val="00B909BC"/>
    <w:rsid w:val="00B91395"/>
    <w:rsid w:val="00B91735"/>
    <w:rsid w:val="00B91B9A"/>
    <w:rsid w:val="00B9213B"/>
    <w:rsid w:val="00B92BF8"/>
    <w:rsid w:val="00B93959"/>
    <w:rsid w:val="00B93EB9"/>
    <w:rsid w:val="00B93F96"/>
    <w:rsid w:val="00B960B6"/>
    <w:rsid w:val="00B970BE"/>
    <w:rsid w:val="00BA15A2"/>
    <w:rsid w:val="00BA2CE3"/>
    <w:rsid w:val="00BA32C9"/>
    <w:rsid w:val="00BA383A"/>
    <w:rsid w:val="00BA3FF0"/>
    <w:rsid w:val="00BA5199"/>
    <w:rsid w:val="00BA7125"/>
    <w:rsid w:val="00BA76F7"/>
    <w:rsid w:val="00BA7ED1"/>
    <w:rsid w:val="00BB0603"/>
    <w:rsid w:val="00BB2B0D"/>
    <w:rsid w:val="00BB2B9F"/>
    <w:rsid w:val="00BB4AD6"/>
    <w:rsid w:val="00BB4C4F"/>
    <w:rsid w:val="00BB574F"/>
    <w:rsid w:val="00BB5DE6"/>
    <w:rsid w:val="00BB5E7B"/>
    <w:rsid w:val="00BB712B"/>
    <w:rsid w:val="00BB766C"/>
    <w:rsid w:val="00BB7BA1"/>
    <w:rsid w:val="00BC16F3"/>
    <w:rsid w:val="00BC19E4"/>
    <w:rsid w:val="00BC1A7D"/>
    <w:rsid w:val="00BC2704"/>
    <w:rsid w:val="00BC28AE"/>
    <w:rsid w:val="00BC3FB9"/>
    <w:rsid w:val="00BC45E3"/>
    <w:rsid w:val="00BC54B1"/>
    <w:rsid w:val="00BC65BB"/>
    <w:rsid w:val="00BC6E43"/>
    <w:rsid w:val="00BD0798"/>
    <w:rsid w:val="00BD106D"/>
    <w:rsid w:val="00BD2AF4"/>
    <w:rsid w:val="00BD32A1"/>
    <w:rsid w:val="00BD3BEC"/>
    <w:rsid w:val="00BD3FB9"/>
    <w:rsid w:val="00BD4337"/>
    <w:rsid w:val="00BD6942"/>
    <w:rsid w:val="00BD6EF3"/>
    <w:rsid w:val="00BD74E7"/>
    <w:rsid w:val="00BD77BA"/>
    <w:rsid w:val="00BD7B97"/>
    <w:rsid w:val="00BD7F88"/>
    <w:rsid w:val="00BE05AD"/>
    <w:rsid w:val="00BE19C2"/>
    <w:rsid w:val="00BE2719"/>
    <w:rsid w:val="00BE3606"/>
    <w:rsid w:val="00BE3A92"/>
    <w:rsid w:val="00BE6381"/>
    <w:rsid w:val="00BE65AF"/>
    <w:rsid w:val="00BE6894"/>
    <w:rsid w:val="00BE7128"/>
    <w:rsid w:val="00BE7775"/>
    <w:rsid w:val="00BF2DD8"/>
    <w:rsid w:val="00BF3110"/>
    <w:rsid w:val="00BF3979"/>
    <w:rsid w:val="00BF4E79"/>
    <w:rsid w:val="00BF67D4"/>
    <w:rsid w:val="00BF7437"/>
    <w:rsid w:val="00BF7624"/>
    <w:rsid w:val="00C00413"/>
    <w:rsid w:val="00C00EE0"/>
    <w:rsid w:val="00C0197A"/>
    <w:rsid w:val="00C02FCC"/>
    <w:rsid w:val="00C0350F"/>
    <w:rsid w:val="00C03D7D"/>
    <w:rsid w:val="00C0473A"/>
    <w:rsid w:val="00C04F34"/>
    <w:rsid w:val="00C06683"/>
    <w:rsid w:val="00C105E6"/>
    <w:rsid w:val="00C10CC1"/>
    <w:rsid w:val="00C11528"/>
    <w:rsid w:val="00C11700"/>
    <w:rsid w:val="00C12DDF"/>
    <w:rsid w:val="00C1374E"/>
    <w:rsid w:val="00C13DDB"/>
    <w:rsid w:val="00C13F46"/>
    <w:rsid w:val="00C144C3"/>
    <w:rsid w:val="00C14DBD"/>
    <w:rsid w:val="00C14FDE"/>
    <w:rsid w:val="00C15060"/>
    <w:rsid w:val="00C168E1"/>
    <w:rsid w:val="00C17B0E"/>
    <w:rsid w:val="00C17EDD"/>
    <w:rsid w:val="00C20BEB"/>
    <w:rsid w:val="00C2104D"/>
    <w:rsid w:val="00C21078"/>
    <w:rsid w:val="00C21BD1"/>
    <w:rsid w:val="00C21BFE"/>
    <w:rsid w:val="00C22281"/>
    <w:rsid w:val="00C240D1"/>
    <w:rsid w:val="00C25403"/>
    <w:rsid w:val="00C25B94"/>
    <w:rsid w:val="00C26BD2"/>
    <w:rsid w:val="00C27856"/>
    <w:rsid w:val="00C30217"/>
    <w:rsid w:val="00C3054D"/>
    <w:rsid w:val="00C3166F"/>
    <w:rsid w:val="00C31873"/>
    <w:rsid w:val="00C31B55"/>
    <w:rsid w:val="00C31B8A"/>
    <w:rsid w:val="00C327FE"/>
    <w:rsid w:val="00C361EC"/>
    <w:rsid w:val="00C4110D"/>
    <w:rsid w:val="00C4201F"/>
    <w:rsid w:val="00C42D00"/>
    <w:rsid w:val="00C430D2"/>
    <w:rsid w:val="00C43352"/>
    <w:rsid w:val="00C445D7"/>
    <w:rsid w:val="00C44A05"/>
    <w:rsid w:val="00C44FCA"/>
    <w:rsid w:val="00C45891"/>
    <w:rsid w:val="00C46281"/>
    <w:rsid w:val="00C46493"/>
    <w:rsid w:val="00C46895"/>
    <w:rsid w:val="00C47567"/>
    <w:rsid w:val="00C50215"/>
    <w:rsid w:val="00C50435"/>
    <w:rsid w:val="00C50B6D"/>
    <w:rsid w:val="00C50D96"/>
    <w:rsid w:val="00C50DCA"/>
    <w:rsid w:val="00C50FDD"/>
    <w:rsid w:val="00C53A63"/>
    <w:rsid w:val="00C54BBD"/>
    <w:rsid w:val="00C5526C"/>
    <w:rsid w:val="00C55E62"/>
    <w:rsid w:val="00C55FBD"/>
    <w:rsid w:val="00C56E55"/>
    <w:rsid w:val="00C572D2"/>
    <w:rsid w:val="00C603AA"/>
    <w:rsid w:val="00C612B5"/>
    <w:rsid w:val="00C63148"/>
    <w:rsid w:val="00C633B8"/>
    <w:rsid w:val="00C63C5A"/>
    <w:rsid w:val="00C64E47"/>
    <w:rsid w:val="00C65699"/>
    <w:rsid w:val="00C66934"/>
    <w:rsid w:val="00C66C0F"/>
    <w:rsid w:val="00C71177"/>
    <w:rsid w:val="00C72278"/>
    <w:rsid w:val="00C7261A"/>
    <w:rsid w:val="00C73FA7"/>
    <w:rsid w:val="00C74061"/>
    <w:rsid w:val="00C74195"/>
    <w:rsid w:val="00C74354"/>
    <w:rsid w:val="00C743DA"/>
    <w:rsid w:val="00C7582D"/>
    <w:rsid w:val="00C75A73"/>
    <w:rsid w:val="00C75E97"/>
    <w:rsid w:val="00C75FE9"/>
    <w:rsid w:val="00C77E80"/>
    <w:rsid w:val="00C808DD"/>
    <w:rsid w:val="00C80FD0"/>
    <w:rsid w:val="00C80FF7"/>
    <w:rsid w:val="00C81FB3"/>
    <w:rsid w:val="00C82497"/>
    <w:rsid w:val="00C83B99"/>
    <w:rsid w:val="00C8449A"/>
    <w:rsid w:val="00C84816"/>
    <w:rsid w:val="00C84955"/>
    <w:rsid w:val="00C85E65"/>
    <w:rsid w:val="00C863A5"/>
    <w:rsid w:val="00C8724B"/>
    <w:rsid w:val="00C91732"/>
    <w:rsid w:val="00C91B4F"/>
    <w:rsid w:val="00C92495"/>
    <w:rsid w:val="00C92C28"/>
    <w:rsid w:val="00C9431C"/>
    <w:rsid w:val="00C9479F"/>
    <w:rsid w:val="00C952E5"/>
    <w:rsid w:val="00C95E24"/>
    <w:rsid w:val="00C96020"/>
    <w:rsid w:val="00C96547"/>
    <w:rsid w:val="00C9689A"/>
    <w:rsid w:val="00C971DF"/>
    <w:rsid w:val="00C9793E"/>
    <w:rsid w:val="00CA1C9E"/>
    <w:rsid w:val="00CA2276"/>
    <w:rsid w:val="00CA2493"/>
    <w:rsid w:val="00CA3AD5"/>
    <w:rsid w:val="00CA4ACE"/>
    <w:rsid w:val="00CA507E"/>
    <w:rsid w:val="00CA5239"/>
    <w:rsid w:val="00CA6A4E"/>
    <w:rsid w:val="00CB02D4"/>
    <w:rsid w:val="00CB1DAB"/>
    <w:rsid w:val="00CB249C"/>
    <w:rsid w:val="00CB293F"/>
    <w:rsid w:val="00CB2B92"/>
    <w:rsid w:val="00CB3034"/>
    <w:rsid w:val="00CB30AC"/>
    <w:rsid w:val="00CB3B4B"/>
    <w:rsid w:val="00CB3D39"/>
    <w:rsid w:val="00CB560F"/>
    <w:rsid w:val="00CB7EBC"/>
    <w:rsid w:val="00CC0757"/>
    <w:rsid w:val="00CC10AD"/>
    <w:rsid w:val="00CC1C46"/>
    <w:rsid w:val="00CC1EDD"/>
    <w:rsid w:val="00CC2405"/>
    <w:rsid w:val="00CC24F9"/>
    <w:rsid w:val="00CC25C4"/>
    <w:rsid w:val="00CC2874"/>
    <w:rsid w:val="00CC3C04"/>
    <w:rsid w:val="00CC64AD"/>
    <w:rsid w:val="00CC7247"/>
    <w:rsid w:val="00CC736A"/>
    <w:rsid w:val="00CC7BE1"/>
    <w:rsid w:val="00CD146A"/>
    <w:rsid w:val="00CD35CA"/>
    <w:rsid w:val="00CD3906"/>
    <w:rsid w:val="00CD472E"/>
    <w:rsid w:val="00CD4DC6"/>
    <w:rsid w:val="00CD54C1"/>
    <w:rsid w:val="00CD5C39"/>
    <w:rsid w:val="00CD609F"/>
    <w:rsid w:val="00CD6129"/>
    <w:rsid w:val="00CD7239"/>
    <w:rsid w:val="00CD7ED5"/>
    <w:rsid w:val="00CE00D0"/>
    <w:rsid w:val="00CE0417"/>
    <w:rsid w:val="00CE055B"/>
    <w:rsid w:val="00CE0E15"/>
    <w:rsid w:val="00CE11DA"/>
    <w:rsid w:val="00CE1466"/>
    <w:rsid w:val="00CE2AEB"/>
    <w:rsid w:val="00CE33E8"/>
    <w:rsid w:val="00CE4579"/>
    <w:rsid w:val="00CE47E6"/>
    <w:rsid w:val="00CE6A94"/>
    <w:rsid w:val="00CF1052"/>
    <w:rsid w:val="00CF2EAF"/>
    <w:rsid w:val="00CF4663"/>
    <w:rsid w:val="00CF4EAB"/>
    <w:rsid w:val="00CF653D"/>
    <w:rsid w:val="00CF7652"/>
    <w:rsid w:val="00D00A0A"/>
    <w:rsid w:val="00D00E81"/>
    <w:rsid w:val="00D0334E"/>
    <w:rsid w:val="00D0351D"/>
    <w:rsid w:val="00D04291"/>
    <w:rsid w:val="00D04709"/>
    <w:rsid w:val="00D04CEF"/>
    <w:rsid w:val="00D05647"/>
    <w:rsid w:val="00D068E6"/>
    <w:rsid w:val="00D06BE6"/>
    <w:rsid w:val="00D07A1C"/>
    <w:rsid w:val="00D103DD"/>
    <w:rsid w:val="00D11BCA"/>
    <w:rsid w:val="00D11E80"/>
    <w:rsid w:val="00D12463"/>
    <w:rsid w:val="00D13760"/>
    <w:rsid w:val="00D153AD"/>
    <w:rsid w:val="00D1667A"/>
    <w:rsid w:val="00D16A06"/>
    <w:rsid w:val="00D1793E"/>
    <w:rsid w:val="00D20292"/>
    <w:rsid w:val="00D20553"/>
    <w:rsid w:val="00D20DB5"/>
    <w:rsid w:val="00D21F57"/>
    <w:rsid w:val="00D23A37"/>
    <w:rsid w:val="00D23D02"/>
    <w:rsid w:val="00D2523E"/>
    <w:rsid w:val="00D25E37"/>
    <w:rsid w:val="00D265CD"/>
    <w:rsid w:val="00D26DAB"/>
    <w:rsid w:val="00D26EAD"/>
    <w:rsid w:val="00D27DED"/>
    <w:rsid w:val="00D304E3"/>
    <w:rsid w:val="00D30920"/>
    <w:rsid w:val="00D3144B"/>
    <w:rsid w:val="00D31F32"/>
    <w:rsid w:val="00D32561"/>
    <w:rsid w:val="00D33BCE"/>
    <w:rsid w:val="00D34FB6"/>
    <w:rsid w:val="00D35665"/>
    <w:rsid w:val="00D35873"/>
    <w:rsid w:val="00D35D40"/>
    <w:rsid w:val="00D37604"/>
    <w:rsid w:val="00D37F0A"/>
    <w:rsid w:val="00D40157"/>
    <w:rsid w:val="00D401D9"/>
    <w:rsid w:val="00D41973"/>
    <w:rsid w:val="00D42347"/>
    <w:rsid w:val="00D44180"/>
    <w:rsid w:val="00D445C8"/>
    <w:rsid w:val="00D448A9"/>
    <w:rsid w:val="00D44DE3"/>
    <w:rsid w:val="00D45F03"/>
    <w:rsid w:val="00D4687C"/>
    <w:rsid w:val="00D47ABC"/>
    <w:rsid w:val="00D52737"/>
    <w:rsid w:val="00D52ECF"/>
    <w:rsid w:val="00D53E82"/>
    <w:rsid w:val="00D53F26"/>
    <w:rsid w:val="00D54122"/>
    <w:rsid w:val="00D5446A"/>
    <w:rsid w:val="00D5503B"/>
    <w:rsid w:val="00D559C8"/>
    <w:rsid w:val="00D576A5"/>
    <w:rsid w:val="00D57CEB"/>
    <w:rsid w:val="00D57D23"/>
    <w:rsid w:val="00D61897"/>
    <w:rsid w:val="00D62FA3"/>
    <w:rsid w:val="00D638E6"/>
    <w:rsid w:val="00D649BF"/>
    <w:rsid w:val="00D6528D"/>
    <w:rsid w:val="00D662DB"/>
    <w:rsid w:val="00D66667"/>
    <w:rsid w:val="00D67685"/>
    <w:rsid w:val="00D704B2"/>
    <w:rsid w:val="00D704F7"/>
    <w:rsid w:val="00D721F1"/>
    <w:rsid w:val="00D725A2"/>
    <w:rsid w:val="00D73123"/>
    <w:rsid w:val="00D73A79"/>
    <w:rsid w:val="00D73A86"/>
    <w:rsid w:val="00D751E8"/>
    <w:rsid w:val="00D7595D"/>
    <w:rsid w:val="00D760F2"/>
    <w:rsid w:val="00D77377"/>
    <w:rsid w:val="00D8077C"/>
    <w:rsid w:val="00D808B4"/>
    <w:rsid w:val="00D82074"/>
    <w:rsid w:val="00D824F6"/>
    <w:rsid w:val="00D83C4E"/>
    <w:rsid w:val="00D843B1"/>
    <w:rsid w:val="00D8669A"/>
    <w:rsid w:val="00D877D4"/>
    <w:rsid w:val="00D90C72"/>
    <w:rsid w:val="00D91A9E"/>
    <w:rsid w:val="00D920DF"/>
    <w:rsid w:val="00D92E7B"/>
    <w:rsid w:val="00D937B7"/>
    <w:rsid w:val="00D948EF"/>
    <w:rsid w:val="00D959F0"/>
    <w:rsid w:val="00D95AA2"/>
    <w:rsid w:val="00D95CB3"/>
    <w:rsid w:val="00D96A12"/>
    <w:rsid w:val="00DA0FF2"/>
    <w:rsid w:val="00DA165B"/>
    <w:rsid w:val="00DA1B27"/>
    <w:rsid w:val="00DA300A"/>
    <w:rsid w:val="00DA31DA"/>
    <w:rsid w:val="00DA3D94"/>
    <w:rsid w:val="00DA4DF0"/>
    <w:rsid w:val="00DA523B"/>
    <w:rsid w:val="00DA66FB"/>
    <w:rsid w:val="00DA7510"/>
    <w:rsid w:val="00DB02B3"/>
    <w:rsid w:val="00DB1435"/>
    <w:rsid w:val="00DB1477"/>
    <w:rsid w:val="00DB18B3"/>
    <w:rsid w:val="00DB35A7"/>
    <w:rsid w:val="00DB3775"/>
    <w:rsid w:val="00DB3918"/>
    <w:rsid w:val="00DB43DC"/>
    <w:rsid w:val="00DB4B52"/>
    <w:rsid w:val="00DB5986"/>
    <w:rsid w:val="00DB6E1B"/>
    <w:rsid w:val="00DB7A93"/>
    <w:rsid w:val="00DB7D34"/>
    <w:rsid w:val="00DC06F4"/>
    <w:rsid w:val="00DC0B2A"/>
    <w:rsid w:val="00DC0DF7"/>
    <w:rsid w:val="00DC117D"/>
    <w:rsid w:val="00DC1FFB"/>
    <w:rsid w:val="00DC3AEE"/>
    <w:rsid w:val="00DC44E1"/>
    <w:rsid w:val="00DC49BE"/>
    <w:rsid w:val="00DC5BF8"/>
    <w:rsid w:val="00DC6897"/>
    <w:rsid w:val="00DD0D64"/>
    <w:rsid w:val="00DD1CA5"/>
    <w:rsid w:val="00DD2063"/>
    <w:rsid w:val="00DD35F3"/>
    <w:rsid w:val="00DD4B29"/>
    <w:rsid w:val="00DD6686"/>
    <w:rsid w:val="00DD6BFF"/>
    <w:rsid w:val="00DD7112"/>
    <w:rsid w:val="00DD7A64"/>
    <w:rsid w:val="00DD7B11"/>
    <w:rsid w:val="00DD7BBB"/>
    <w:rsid w:val="00DE005B"/>
    <w:rsid w:val="00DE015D"/>
    <w:rsid w:val="00DE0BB1"/>
    <w:rsid w:val="00DE1C3D"/>
    <w:rsid w:val="00DE2A04"/>
    <w:rsid w:val="00DE464C"/>
    <w:rsid w:val="00DE4BEF"/>
    <w:rsid w:val="00DE6444"/>
    <w:rsid w:val="00DE6CF7"/>
    <w:rsid w:val="00DF0D88"/>
    <w:rsid w:val="00DF3039"/>
    <w:rsid w:val="00DF4760"/>
    <w:rsid w:val="00DF4B82"/>
    <w:rsid w:val="00DF4E70"/>
    <w:rsid w:val="00DF6382"/>
    <w:rsid w:val="00DF6E54"/>
    <w:rsid w:val="00E00B9A"/>
    <w:rsid w:val="00E012FA"/>
    <w:rsid w:val="00E02CC8"/>
    <w:rsid w:val="00E046FB"/>
    <w:rsid w:val="00E104B0"/>
    <w:rsid w:val="00E11222"/>
    <w:rsid w:val="00E129E5"/>
    <w:rsid w:val="00E16921"/>
    <w:rsid w:val="00E1775E"/>
    <w:rsid w:val="00E20A22"/>
    <w:rsid w:val="00E22F29"/>
    <w:rsid w:val="00E24DEC"/>
    <w:rsid w:val="00E26439"/>
    <w:rsid w:val="00E3008E"/>
    <w:rsid w:val="00E31390"/>
    <w:rsid w:val="00E327AE"/>
    <w:rsid w:val="00E3380B"/>
    <w:rsid w:val="00E34942"/>
    <w:rsid w:val="00E34EEF"/>
    <w:rsid w:val="00E358CA"/>
    <w:rsid w:val="00E36C7E"/>
    <w:rsid w:val="00E377FA"/>
    <w:rsid w:val="00E403F1"/>
    <w:rsid w:val="00E4092E"/>
    <w:rsid w:val="00E42291"/>
    <w:rsid w:val="00E42962"/>
    <w:rsid w:val="00E42D40"/>
    <w:rsid w:val="00E45742"/>
    <w:rsid w:val="00E460FB"/>
    <w:rsid w:val="00E47BF2"/>
    <w:rsid w:val="00E47D49"/>
    <w:rsid w:val="00E500B6"/>
    <w:rsid w:val="00E503E0"/>
    <w:rsid w:val="00E50AC4"/>
    <w:rsid w:val="00E50C38"/>
    <w:rsid w:val="00E51F09"/>
    <w:rsid w:val="00E53DAE"/>
    <w:rsid w:val="00E5412C"/>
    <w:rsid w:val="00E541B9"/>
    <w:rsid w:val="00E54A40"/>
    <w:rsid w:val="00E55800"/>
    <w:rsid w:val="00E55D59"/>
    <w:rsid w:val="00E560F9"/>
    <w:rsid w:val="00E56D06"/>
    <w:rsid w:val="00E604FE"/>
    <w:rsid w:val="00E60958"/>
    <w:rsid w:val="00E6110D"/>
    <w:rsid w:val="00E63FE1"/>
    <w:rsid w:val="00E64677"/>
    <w:rsid w:val="00E65912"/>
    <w:rsid w:val="00E66586"/>
    <w:rsid w:val="00E66B09"/>
    <w:rsid w:val="00E67058"/>
    <w:rsid w:val="00E701B9"/>
    <w:rsid w:val="00E72142"/>
    <w:rsid w:val="00E72B62"/>
    <w:rsid w:val="00E72F6D"/>
    <w:rsid w:val="00E734A3"/>
    <w:rsid w:val="00E7374A"/>
    <w:rsid w:val="00E75537"/>
    <w:rsid w:val="00E75AFF"/>
    <w:rsid w:val="00E801A3"/>
    <w:rsid w:val="00E802C3"/>
    <w:rsid w:val="00E807DF"/>
    <w:rsid w:val="00E80EFB"/>
    <w:rsid w:val="00E83D5B"/>
    <w:rsid w:val="00E843CF"/>
    <w:rsid w:val="00E845A8"/>
    <w:rsid w:val="00E84D27"/>
    <w:rsid w:val="00E853BC"/>
    <w:rsid w:val="00E85CAD"/>
    <w:rsid w:val="00E85EF4"/>
    <w:rsid w:val="00E92AFA"/>
    <w:rsid w:val="00E92FE6"/>
    <w:rsid w:val="00E93F06"/>
    <w:rsid w:val="00E9495A"/>
    <w:rsid w:val="00E94CD6"/>
    <w:rsid w:val="00E96C40"/>
    <w:rsid w:val="00EA0768"/>
    <w:rsid w:val="00EA0786"/>
    <w:rsid w:val="00EA125F"/>
    <w:rsid w:val="00EA14D6"/>
    <w:rsid w:val="00EA2567"/>
    <w:rsid w:val="00EA2E34"/>
    <w:rsid w:val="00EA4A5E"/>
    <w:rsid w:val="00EA53B5"/>
    <w:rsid w:val="00EA586E"/>
    <w:rsid w:val="00EB0E89"/>
    <w:rsid w:val="00EB2362"/>
    <w:rsid w:val="00EB27EE"/>
    <w:rsid w:val="00EB2D47"/>
    <w:rsid w:val="00EB3164"/>
    <w:rsid w:val="00EB3354"/>
    <w:rsid w:val="00EB3E0B"/>
    <w:rsid w:val="00EB4CDC"/>
    <w:rsid w:val="00EB50B6"/>
    <w:rsid w:val="00EB5A7D"/>
    <w:rsid w:val="00EB6FBD"/>
    <w:rsid w:val="00EC070F"/>
    <w:rsid w:val="00EC2E52"/>
    <w:rsid w:val="00EC305B"/>
    <w:rsid w:val="00EC3254"/>
    <w:rsid w:val="00EC3A06"/>
    <w:rsid w:val="00EC3B72"/>
    <w:rsid w:val="00EC43F5"/>
    <w:rsid w:val="00EC5463"/>
    <w:rsid w:val="00EC69B3"/>
    <w:rsid w:val="00EC7FD7"/>
    <w:rsid w:val="00ED0EE4"/>
    <w:rsid w:val="00ED27C6"/>
    <w:rsid w:val="00ED2A1C"/>
    <w:rsid w:val="00ED2FCA"/>
    <w:rsid w:val="00ED4499"/>
    <w:rsid w:val="00ED4544"/>
    <w:rsid w:val="00ED573D"/>
    <w:rsid w:val="00ED5BCB"/>
    <w:rsid w:val="00EE001C"/>
    <w:rsid w:val="00EE0BC6"/>
    <w:rsid w:val="00EE306F"/>
    <w:rsid w:val="00EE4350"/>
    <w:rsid w:val="00EE4AB2"/>
    <w:rsid w:val="00EE6633"/>
    <w:rsid w:val="00EE7103"/>
    <w:rsid w:val="00EE7E27"/>
    <w:rsid w:val="00EF0CF2"/>
    <w:rsid w:val="00EF2936"/>
    <w:rsid w:val="00EF2CC0"/>
    <w:rsid w:val="00EF37DE"/>
    <w:rsid w:val="00EF597C"/>
    <w:rsid w:val="00EF6BBD"/>
    <w:rsid w:val="00EF73D9"/>
    <w:rsid w:val="00F01C33"/>
    <w:rsid w:val="00F022F2"/>
    <w:rsid w:val="00F027ED"/>
    <w:rsid w:val="00F02DC2"/>
    <w:rsid w:val="00F069D6"/>
    <w:rsid w:val="00F07128"/>
    <w:rsid w:val="00F107E1"/>
    <w:rsid w:val="00F10815"/>
    <w:rsid w:val="00F10FC5"/>
    <w:rsid w:val="00F118E0"/>
    <w:rsid w:val="00F11901"/>
    <w:rsid w:val="00F12B54"/>
    <w:rsid w:val="00F15E8D"/>
    <w:rsid w:val="00F16747"/>
    <w:rsid w:val="00F1725A"/>
    <w:rsid w:val="00F2096E"/>
    <w:rsid w:val="00F21052"/>
    <w:rsid w:val="00F21D5C"/>
    <w:rsid w:val="00F233EE"/>
    <w:rsid w:val="00F24BCD"/>
    <w:rsid w:val="00F24BD4"/>
    <w:rsid w:val="00F24C00"/>
    <w:rsid w:val="00F2525F"/>
    <w:rsid w:val="00F25FD3"/>
    <w:rsid w:val="00F263B1"/>
    <w:rsid w:val="00F2702F"/>
    <w:rsid w:val="00F27AA6"/>
    <w:rsid w:val="00F306B4"/>
    <w:rsid w:val="00F313E1"/>
    <w:rsid w:val="00F3221C"/>
    <w:rsid w:val="00F33431"/>
    <w:rsid w:val="00F33706"/>
    <w:rsid w:val="00F34492"/>
    <w:rsid w:val="00F3483F"/>
    <w:rsid w:val="00F350E9"/>
    <w:rsid w:val="00F36232"/>
    <w:rsid w:val="00F36C07"/>
    <w:rsid w:val="00F37768"/>
    <w:rsid w:val="00F378AB"/>
    <w:rsid w:val="00F37E7A"/>
    <w:rsid w:val="00F41283"/>
    <w:rsid w:val="00F41FD8"/>
    <w:rsid w:val="00F43246"/>
    <w:rsid w:val="00F4331A"/>
    <w:rsid w:val="00F446BB"/>
    <w:rsid w:val="00F45970"/>
    <w:rsid w:val="00F45ACD"/>
    <w:rsid w:val="00F46658"/>
    <w:rsid w:val="00F46B4D"/>
    <w:rsid w:val="00F47B56"/>
    <w:rsid w:val="00F50ACF"/>
    <w:rsid w:val="00F51580"/>
    <w:rsid w:val="00F523BB"/>
    <w:rsid w:val="00F530A3"/>
    <w:rsid w:val="00F544EF"/>
    <w:rsid w:val="00F5494D"/>
    <w:rsid w:val="00F56354"/>
    <w:rsid w:val="00F56C31"/>
    <w:rsid w:val="00F6110C"/>
    <w:rsid w:val="00F62B5E"/>
    <w:rsid w:val="00F641FD"/>
    <w:rsid w:val="00F646A0"/>
    <w:rsid w:val="00F65425"/>
    <w:rsid w:val="00F6551C"/>
    <w:rsid w:val="00F65652"/>
    <w:rsid w:val="00F65942"/>
    <w:rsid w:val="00F67B9A"/>
    <w:rsid w:val="00F67FC2"/>
    <w:rsid w:val="00F70344"/>
    <w:rsid w:val="00F7097F"/>
    <w:rsid w:val="00F70CC7"/>
    <w:rsid w:val="00F73E21"/>
    <w:rsid w:val="00F7437A"/>
    <w:rsid w:val="00F746BB"/>
    <w:rsid w:val="00F75280"/>
    <w:rsid w:val="00F759E4"/>
    <w:rsid w:val="00F75C9C"/>
    <w:rsid w:val="00F762CC"/>
    <w:rsid w:val="00F76335"/>
    <w:rsid w:val="00F76760"/>
    <w:rsid w:val="00F768E4"/>
    <w:rsid w:val="00F77AA1"/>
    <w:rsid w:val="00F77DE4"/>
    <w:rsid w:val="00F83AC3"/>
    <w:rsid w:val="00F84AF9"/>
    <w:rsid w:val="00F85122"/>
    <w:rsid w:val="00F85B5B"/>
    <w:rsid w:val="00F8717B"/>
    <w:rsid w:val="00F8756E"/>
    <w:rsid w:val="00F87934"/>
    <w:rsid w:val="00F9224F"/>
    <w:rsid w:val="00F92D78"/>
    <w:rsid w:val="00F93E61"/>
    <w:rsid w:val="00F942AB"/>
    <w:rsid w:val="00F94422"/>
    <w:rsid w:val="00F946EC"/>
    <w:rsid w:val="00F94729"/>
    <w:rsid w:val="00F9490A"/>
    <w:rsid w:val="00F9502F"/>
    <w:rsid w:val="00F95566"/>
    <w:rsid w:val="00F96CAD"/>
    <w:rsid w:val="00FA0FEA"/>
    <w:rsid w:val="00FA14E3"/>
    <w:rsid w:val="00FA17AB"/>
    <w:rsid w:val="00FA47BC"/>
    <w:rsid w:val="00FA4945"/>
    <w:rsid w:val="00FA4D3C"/>
    <w:rsid w:val="00FA5C2F"/>
    <w:rsid w:val="00FA68C2"/>
    <w:rsid w:val="00FA6926"/>
    <w:rsid w:val="00FB0B03"/>
    <w:rsid w:val="00FB300E"/>
    <w:rsid w:val="00FB336E"/>
    <w:rsid w:val="00FB3595"/>
    <w:rsid w:val="00FB52EE"/>
    <w:rsid w:val="00FC019B"/>
    <w:rsid w:val="00FC045C"/>
    <w:rsid w:val="00FC3679"/>
    <w:rsid w:val="00FC395F"/>
    <w:rsid w:val="00FC698A"/>
    <w:rsid w:val="00FC6AB5"/>
    <w:rsid w:val="00FC7B89"/>
    <w:rsid w:val="00FD101E"/>
    <w:rsid w:val="00FD1042"/>
    <w:rsid w:val="00FD14BF"/>
    <w:rsid w:val="00FD255A"/>
    <w:rsid w:val="00FD34F2"/>
    <w:rsid w:val="00FD4306"/>
    <w:rsid w:val="00FD4340"/>
    <w:rsid w:val="00FD4610"/>
    <w:rsid w:val="00FD4B24"/>
    <w:rsid w:val="00FD4E8D"/>
    <w:rsid w:val="00FD5973"/>
    <w:rsid w:val="00FD5A57"/>
    <w:rsid w:val="00FD65E5"/>
    <w:rsid w:val="00FD6BE6"/>
    <w:rsid w:val="00FD711A"/>
    <w:rsid w:val="00FD73EB"/>
    <w:rsid w:val="00FD75B0"/>
    <w:rsid w:val="00FE1562"/>
    <w:rsid w:val="00FE3766"/>
    <w:rsid w:val="00FE3A35"/>
    <w:rsid w:val="00FE60A9"/>
    <w:rsid w:val="00FE61FE"/>
    <w:rsid w:val="00FE62C5"/>
    <w:rsid w:val="00FE63E9"/>
    <w:rsid w:val="00FF0544"/>
    <w:rsid w:val="00FF07BE"/>
    <w:rsid w:val="00FF221C"/>
    <w:rsid w:val="00FF323F"/>
    <w:rsid w:val="00FF3360"/>
    <w:rsid w:val="00FF3BE5"/>
    <w:rsid w:val="00FF4214"/>
    <w:rsid w:val="00FF5F96"/>
    <w:rsid w:val="00FF6756"/>
    <w:rsid w:val="00FF72E7"/>
    <w:rsid w:val="015F5E57"/>
    <w:rsid w:val="0174398E"/>
    <w:rsid w:val="03D4254C"/>
    <w:rsid w:val="03E607D9"/>
    <w:rsid w:val="044D0447"/>
    <w:rsid w:val="04747DF2"/>
    <w:rsid w:val="04B1558F"/>
    <w:rsid w:val="057448C8"/>
    <w:rsid w:val="065D56C6"/>
    <w:rsid w:val="067F35F9"/>
    <w:rsid w:val="06B01930"/>
    <w:rsid w:val="08F621F1"/>
    <w:rsid w:val="09007C16"/>
    <w:rsid w:val="09B23C11"/>
    <w:rsid w:val="09D8613F"/>
    <w:rsid w:val="0A1B17B6"/>
    <w:rsid w:val="0AD5267D"/>
    <w:rsid w:val="0BB25E5E"/>
    <w:rsid w:val="0C0668B6"/>
    <w:rsid w:val="0C5C1C12"/>
    <w:rsid w:val="0CB94496"/>
    <w:rsid w:val="0CD406A3"/>
    <w:rsid w:val="0CF83755"/>
    <w:rsid w:val="0D056843"/>
    <w:rsid w:val="0DD06475"/>
    <w:rsid w:val="0DDC64FF"/>
    <w:rsid w:val="0DDF0994"/>
    <w:rsid w:val="0DEE181C"/>
    <w:rsid w:val="0E3E59DD"/>
    <w:rsid w:val="0E53337E"/>
    <w:rsid w:val="0EBC02D8"/>
    <w:rsid w:val="10031B6A"/>
    <w:rsid w:val="10036F74"/>
    <w:rsid w:val="10D64707"/>
    <w:rsid w:val="11812967"/>
    <w:rsid w:val="11E32DA0"/>
    <w:rsid w:val="12C31CDD"/>
    <w:rsid w:val="13135720"/>
    <w:rsid w:val="135B3C8C"/>
    <w:rsid w:val="13750189"/>
    <w:rsid w:val="148F7029"/>
    <w:rsid w:val="14C506CE"/>
    <w:rsid w:val="15842905"/>
    <w:rsid w:val="15A67D69"/>
    <w:rsid w:val="15A93C9E"/>
    <w:rsid w:val="163C559C"/>
    <w:rsid w:val="164D19AD"/>
    <w:rsid w:val="16B61176"/>
    <w:rsid w:val="17032DD8"/>
    <w:rsid w:val="17F12F6C"/>
    <w:rsid w:val="19113C88"/>
    <w:rsid w:val="196646C5"/>
    <w:rsid w:val="19FD2C86"/>
    <w:rsid w:val="1A560C75"/>
    <w:rsid w:val="1A7B2214"/>
    <w:rsid w:val="1B8D71DC"/>
    <w:rsid w:val="1C9A168E"/>
    <w:rsid w:val="1CBE4755"/>
    <w:rsid w:val="1D605C05"/>
    <w:rsid w:val="1DC835AB"/>
    <w:rsid w:val="1E091E3B"/>
    <w:rsid w:val="1E3B1FCF"/>
    <w:rsid w:val="1E6A4663"/>
    <w:rsid w:val="1F6D009A"/>
    <w:rsid w:val="1F892CB9"/>
    <w:rsid w:val="1FF16A10"/>
    <w:rsid w:val="200B618C"/>
    <w:rsid w:val="207676DB"/>
    <w:rsid w:val="213F61E3"/>
    <w:rsid w:val="215070E5"/>
    <w:rsid w:val="2170255E"/>
    <w:rsid w:val="22547A99"/>
    <w:rsid w:val="227B6E3E"/>
    <w:rsid w:val="230A4A43"/>
    <w:rsid w:val="23DC2855"/>
    <w:rsid w:val="24030E99"/>
    <w:rsid w:val="245B7410"/>
    <w:rsid w:val="24C6774B"/>
    <w:rsid w:val="24F42ED8"/>
    <w:rsid w:val="256642CE"/>
    <w:rsid w:val="25741487"/>
    <w:rsid w:val="258925DD"/>
    <w:rsid w:val="26AC3A6A"/>
    <w:rsid w:val="26E66355"/>
    <w:rsid w:val="271D2A41"/>
    <w:rsid w:val="28043721"/>
    <w:rsid w:val="28066AD2"/>
    <w:rsid w:val="28B4081D"/>
    <w:rsid w:val="290F177E"/>
    <w:rsid w:val="29270DC1"/>
    <w:rsid w:val="293D6BFB"/>
    <w:rsid w:val="29B80978"/>
    <w:rsid w:val="2A3C5105"/>
    <w:rsid w:val="2ACE140C"/>
    <w:rsid w:val="2AFE3CF5"/>
    <w:rsid w:val="2B331EC1"/>
    <w:rsid w:val="2BED3A64"/>
    <w:rsid w:val="2C54236A"/>
    <w:rsid w:val="2CA3146B"/>
    <w:rsid w:val="2CF51E10"/>
    <w:rsid w:val="2D5E5392"/>
    <w:rsid w:val="2DA14C37"/>
    <w:rsid w:val="2E3C3401"/>
    <w:rsid w:val="2F0444D8"/>
    <w:rsid w:val="2F141AE1"/>
    <w:rsid w:val="2FE90241"/>
    <w:rsid w:val="303D43E8"/>
    <w:rsid w:val="304010E4"/>
    <w:rsid w:val="305C48CB"/>
    <w:rsid w:val="3123040A"/>
    <w:rsid w:val="317C7D2F"/>
    <w:rsid w:val="318E6CF1"/>
    <w:rsid w:val="31D43C68"/>
    <w:rsid w:val="31FC7DFC"/>
    <w:rsid w:val="323075D4"/>
    <w:rsid w:val="324C29E0"/>
    <w:rsid w:val="32B75280"/>
    <w:rsid w:val="334119DE"/>
    <w:rsid w:val="34152B0F"/>
    <w:rsid w:val="34700CF9"/>
    <w:rsid w:val="349239FE"/>
    <w:rsid w:val="34C673C8"/>
    <w:rsid w:val="34D52BC4"/>
    <w:rsid w:val="37402A7B"/>
    <w:rsid w:val="37485858"/>
    <w:rsid w:val="380E3DA8"/>
    <w:rsid w:val="38561E9A"/>
    <w:rsid w:val="38E076C1"/>
    <w:rsid w:val="395107FC"/>
    <w:rsid w:val="396957EB"/>
    <w:rsid w:val="3A913696"/>
    <w:rsid w:val="3AC33F60"/>
    <w:rsid w:val="3BEE0D81"/>
    <w:rsid w:val="3CA704F0"/>
    <w:rsid w:val="3CB67FF8"/>
    <w:rsid w:val="3CEC57BF"/>
    <w:rsid w:val="3D2F0AF9"/>
    <w:rsid w:val="3E125AE7"/>
    <w:rsid w:val="3E2315D6"/>
    <w:rsid w:val="3E2B6D35"/>
    <w:rsid w:val="3E6A003B"/>
    <w:rsid w:val="3E7C4437"/>
    <w:rsid w:val="3FCC4960"/>
    <w:rsid w:val="40E541EA"/>
    <w:rsid w:val="41674009"/>
    <w:rsid w:val="41FD1CCA"/>
    <w:rsid w:val="42101713"/>
    <w:rsid w:val="42396836"/>
    <w:rsid w:val="43EA1EFC"/>
    <w:rsid w:val="448073F4"/>
    <w:rsid w:val="44AB315B"/>
    <w:rsid w:val="45340FD9"/>
    <w:rsid w:val="45CA7006"/>
    <w:rsid w:val="45F965C7"/>
    <w:rsid w:val="46EE4BD8"/>
    <w:rsid w:val="47596E0D"/>
    <w:rsid w:val="48250072"/>
    <w:rsid w:val="48627FD5"/>
    <w:rsid w:val="49976882"/>
    <w:rsid w:val="49DE74B1"/>
    <w:rsid w:val="49EF2527"/>
    <w:rsid w:val="49FB2B6F"/>
    <w:rsid w:val="4A0155CC"/>
    <w:rsid w:val="4A6D4F71"/>
    <w:rsid w:val="4A722E2E"/>
    <w:rsid w:val="4A73326F"/>
    <w:rsid w:val="4AAA5C63"/>
    <w:rsid w:val="4AE9678B"/>
    <w:rsid w:val="4B112D89"/>
    <w:rsid w:val="4B266183"/>
    <w:rsid w:val="4B6B53F2"/>
    <w:rsid w:val="4C126562"/>
    <w:rsid w:val="4CF10952"/>
    <w:rsid w:val="4D86747F"/>
    <w:rsid w:val="4E0219BA"/>
    <w:rsid w:val="4EC872CC"/>
    <w:rsid w:val="4EF70AC6"/>
    <w:rsid w:val="4EFC6962"/>
    <w:rsid w:val="4F6355D0"/>
    <w:rsid w:val="4F994BE7"/>
    <w:rsid w:val="503F4B9E"/>
    <w:rsid w:val="51B01DB1"/>
    <w:rsid w:val="51DB71EA"/>
    <w:rsid w:val="5373753A"/>
    <w:rsid w:val="53803A05"/>
    <w:rsid w:val="53926DEC"/>
    <w:rsid w:val="53F35D09"/>
    <w:rsid w:val="542C11F0"/>
    <w:rsid w:val="54611FEE"/>
    <w:rsid w:val="551B501A"/>
    <w:rsid w:val="5563357E"/>
    <w:rsid w:val="55986416"/>
    <w:rsid w:val="55CD5668"/>
    <w:rsid w:val="56102C76"/>
    <w:rsid w:val="567B7C22"/>
    <w:rsid w:val="573214BA"/>
    <w:rsid w:val="580D7778"/>
    <w:rsid w:val="58B43375"/>
    <w:rsid w:val="58CC02F7"/>
    <w:rsid w:val="58F95992"/>
    <w:rsid w:val="59A83E75"/>
    <w:rsid w:val="59BB4A58"/>
    <w:rsid w:val="5A8C61E1"/>
    <w:rsid w:val="5AC14A9C"/>
    <w:rsid w:val="5ADC0A74"/>
    <w:rsid w:val="5ADE798F"/>
    <w:rsid w:val="5BE9334E"/>
    <w:rsid w:val="5C3225AE"/>
    <w:rsid w:val="5C495F3C"/>
    <w:rsid w:val="5C994CF2"/>
    <w:rsid w:val="5CA03A74"/>
    <w:rsid w:val="5D7DC045"/>
    <w:rsid w:val="5EDD4E84"/>
    <w:rsid w:val="5F343FED"/>
    <w:rsid w:val="607A59A4"/>
    <w:rsid w:val="61110CC7"/>
    <w:rsid w:val="61166E31"/>
    <w:rsid w:val="614917FD"/>
    <w:rsid w:val="617B63A2"/>
    <w:rsid w:val="61966160"/>
    <w:rsid w:val="61C4173C"/>
    <w:rsid w:val="61F53D27"/>
    <w:rsid w:val="62EB1A8D"/>
    <w:rsid w:val="635562A1"/>
    <w:rsid w:val="646E146A"/>
    <w:rsid w:val="64B778A8"/>
    <w:rsid w:val="65290A93"/>
    <w:rsid w:val="655A0520"/>
    <w:rsid w:val="65B437BA"/>
    <w:rsid w:val="65ED4F2A"/>
    <w:rsid w:val="663E5786"/>
    <w:rsid w:val="66D17AD1"/>
    <w:rsid w:val="68D128E1"/>
    <w:rsid w:val="68DD5B96"/>
    <w:rsid w:val="698E1867"/>
    <w:rsid w:val="6A862946"/>
    <w:rsid w:val="6A8B4D12"/>
    <w:rsid w:val="6A926C65"/>
    <w:rsid w:val="6B52551E"/>
    <w:rsid w:val="6B9D4828"/>
    <w:rsid w:val="6BA75F5B"/>
    <w:rsid w:val="6BF96226"/>
    <w:rsid w:val="6C4753FA"/>
    <w:rsid w:val="6C9149FB"/>
    <w:rsid w:val="6D36235F"/>
    <w:rsid w:val="6D3A6EFD"/>
    <w:rsid w:val="6E1F366A"/>
    <w:rsid w:val="6E9E0582"/>
    <w:rsid w:val="6F593630"/>
    <w:rsid w:val="6F990EEE"/>
    <w:rsid w:val="6FA30E57"/>
    <w:rsid w:val="6FCA665D"/>
    <w:rsid w:val="6FCC2FF8"/>
    <w:rsid w:val="704B11CB"/>
    <w:rsid w:val="70646C0A"/>
    <w:rsid w:val="71FE13A2"/>
    <w:rsid w:val="723914F7"/>
    <w:rsid w:val="72A86819"/>
    <w:rsid w:val="72B94177"/>
    <w:rsid w:val="72C35DBB"/>
    <w:rsid w:val="73773EA2"/>
    <w:rsid w:val="73C52EE5"/>
    <w:rsid w:val="75BD7442"/>
    <w:rsid w:val="76341F78"/>
    <w:rsid w:val="7657341B"/>
    <w:rsid w:val="76C20CC8"/>
    <w:rsid w:val="76DB33BF"/>
    <w:rsid w:val="77446974"/>
    <w:rsid w:val="777A2396"/>
    <w:rsid w:val="77CD7B9D"/>
    <w:rsid w:val="78BC7D80"/>
    <w:rsid w:val="78C03317"/>
    <w:rsid w:val="79347F4E"/>
    <w:rsid w:val="79D61D9A"/>
    <w:rsid w:val="79D73ACF"/>
    <w:rsid w:val="79E146EA"/>
    <w:rsid w:val="7A2941EE"/>
    <w:rsid w:val="7A3ED03B"/>
    <w:rsid w:val="7A4D2DD6"/>
    <w:rsid w:val="7AAF0850"/>
    <w:rsid w:val="7ABA306E"/>
    <w:rsid w:val="7DAC437E"/>
    <w:rsid w:val="7E4E00D8"/>
    <w:rsid w:val="7EC35B36"/>
    <w:rsid w:val="7F1928C9"/>
    <w:rsid w:val="7FFD38E7"/>
    <w:rsid w:val="ABFFBD7A"/>
    <w:rsid w:val="FCDB4C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49"/>
    <w:qFormat/>
    <w:uiPriority w:val="0"/>
    <w:pPr>
      <w:keepNext/>
      <w:jc w:val="center"/>
      <w:outlineLvl w:val="0"/>
    </w:pPr>
    <w:rPr>
      <w:rFonts w:ascii="楷体_GB2312" w:eastAsia="楷体_GB2312"/>
      <w:sz w:val="28"/>
      <w:szCs w:val="28"/>
    </w:rPr>
  </w:style>
  <w:style w:type="paragraph" w:styleId="3">
    <w:name w:val="heading 2"/>
    <w:basedOn w:val="1"/>
    <w:next w:val="1"/>
    <w:link w:val="50"/>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4">
    <w:name w:val="heading 3"/>
    <w:basedOn w:val="1"/>
    <w:next w:val="5"/>
    <w:link w:val="51"/>
    <w:qFormat/>
    <w:uiPriority w:val="0"/>
    <w:pPr>
      <w:keepNext/>
      <w:keepLines/>
      <w:spacing w:before="260" w:after="260" w:line="416" w:lineRule="auto"/>
      <w:outlineLvl w:val="2"/>
    </w:pPr>
    <w:rPr>
      <w:b/>
      <w:bCs/>
      <w:sz w:val="32"/>
      <w:szCs w:val="32"/>
    </w:rPr>
  </w:style>
  <w:style w:type="paragraph" w:styleId="6">
    <w:name w:val="heading 4"/>
    <w:basedOn w:val="1"/>
    <w:next w:val="5"/>
    <w:link w:val="53"/>
    <w:qFormat/>
    <w:uiPriority w:val="0"/>
    <w:pPr>
      <w:keepNext/>
      <w:keepLines/>
      <w:spacing w:before="280" w:after="290" w:line="376" w:lineRule="auto"/>
      <w:outlineLvl w:val="3"/>
    </w:pPr>
    <w:rPr>
      <w:rFonts w:ascii="Arial" w:hAnsi="Arial" w:eastAsia="黑体" w:cs="Arial"/>
      <w:b/>
      <w:bCs/>
      <w:sz w:val="28"/>
      <w:szCs w:val="28"/>
    </w:rPr>
  </w:style>
  <w:style w:type="paragraph" w:styleId="7">
    <w:name w:val="heading 5"/>
    <w:basedOn w:val="1"/>
    <w:next w:val="5"/>
    <w:link w:val="54"/>
    <w:qFormat/>
    <w:uiPriority w:val="0"/>
    <w:pPr>
      <w:keepNext/>
      <w:autoSpaceDE w:val="0"/>
      <w:autoSpaceDN w:val="0"/>
      <w:adjustRightInd w:val="0"/>
      <w:outlineLvl w:val="4"/>
    </w:pPr>
    <w:rPr>
      <w:rFonts w:ascii="宋体"/>
      <w:color w:val="000000"/>
      <w:kern w:val="0"/>
      <w:sz w:val="28"/>
      <w:szCs w:val="28"/>
    </w:rPr>
  </w:style>
  <w:style w:type="paragraph" w:styleId="8">
    <w:name w:val="heading 6"/>
    <w:basedOn w:val="1"/>
    <w:next w:val="1"/>
    <w:link w:val="55"/>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styleId="9">
    <w:name w:val="heading 7"/>
    <w:basedOn w:val="1"/>
    <w:next w:val="1"/>
    <w:link w:val="56"/>
    <w:qFormat/>
    <w:uiPriority w:val="0"/>
    <w:pPr>
      <w:keepNext/>
      <w:keepLines/>
      <w:numPr>
        <w:ilvl w:val="6"/>
        <w:numId w:val="1"/>
      </w:numPr>
      <w:spacing w:before="240" w:after="64" w:line="320" w:lineRule="auto"/>
      <w:outlineLvl w:val="6"/>
    </w:pPr>
    <w:rPr>
      <w:b/>
      <w:bCs/>
      <w:sz w:val="24"/>
      <w:szCs w:val="24"/>
    </w:rPr>
  </w:style>
  <w:style w:type="paragraph" w:styleId="10">
    <w:name w:val="heading 8"/>
    <w:basedOn w:val="1"/>
    <w:next w:val="1"/>
    <w:link w:val="57"/>
    <w:qFormat/>
    <w:uiPriority w:val="0"/>
    <w:pPr>
      <w:keepNext/>
      <w:keepLines/>
      <w:numPr>
        <w:ilvl w:val="7"/>
        <w:numId w:val="1"/>
      </w:numPr>
      <w:spacing w:before="240" w:after="64" w:line="320" w:lineRule="auto"/>
      <w:outlineLvl w:val="7"/>
    </w:pPr>
    <w:rPr>
      <w:rFonts w:ascii="Arial" w:hAnsi="Arial" w:eastAsia="黑体"/>
      <w:sz w:val="24"/>
      <w:szCs w:val="24"/>
    </w:rPr>
  </w:style>
  <w:style w:type="paragraph" w:styleId="11">
    <w:name w:val="heading 9"/>
    <w:basedOn w:val="1"/>
    <w:next w:val="1"/>
    <w:link w:val="58"/>
    <w:qFormat/>
    <w:uiPriority w:val="0"/>
    <w:pPr>
      <w:keepNext/>
      <w:keepLines/>
      <w:numPr>
        <w:ilvl w:val="8"/>
        <w:numId w:val="1"/>
      </w:numPr>
      <w:spacing w:before="240" w:after="64" w:line="320" w:lineRule="auto"/>
      <w:outlineLvl w:val="8"/>
    </w:pPr>
    <w:rPr>
      <w:rFonts w:ascii="Arial" w:hAnsi="Arial" w:eastAsia="黑体"/>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52"/>
    <w:qFormat/>
    <w:uiPriority w:val="0"/>
    <w:pPr>
      <w:ind w:firstLine="420"/>
    </w:pPr>
  </w:style>
  <w:style w:type="paragraph" w:styleId="12">
    <w:name w:val="List 3"/>
    <w:basedOn w:val="1"/>
    <w:qFormat/>
    <w:uiPriority w:val="0"/>
    <w:pPr>
      <w:ind w:left="100" w:leftChars="400" w:hanging="200" w:hangingChars="200"/>
    </w:pPr>
  </w:style>
  <w:style w:type="paragraph" w:styleId="13">
    <w:name w:val="Document Map"/>
    <w:basedOn w:val="1"/>
    <w:link w:val="59"/>
    <w:semiHidden/>
    <w:qFormat/>
    <w:uiPriority w:val="0"/>
    <w:pPr>
      <w:shd w:val="clear" w:color="auto" w:fill="000080"/>
    </w:pPr>
  </w:style>
  <w:style w:type="paragraph" w:styleId="14">
    <w:name w:val="annotation text"/>
    <w:basedOn w:val="1"/>
    <w:link w:val="60"/>
    <w:qFormat/>
    <w:uiPriority w:val="0"/>
    <w:pPr>
      <w:jc w:val="left"/>
    </w:pPr>
    <w:rPr>
      <w:rFonts w:ascii="Calibri" w:hAnsi="Calibri"/>
      <w:szCs w:val="24"/>
    </w:rPr>
  </w:style>
  <w:style w:type="paragraph" w:styleId="15">
    <w:name w:val="Salutation"/>
    <w:basedOn w:val="1"/>
    <w:next w:val="1"/>
    <w:link w:val="61"/>
    <w:qFormat/>
    <w:uiPriority w:val="0"/>
    <w:rPr>
      <w:szCs w:val="20"/>
    </w:rPr>
  </w:style>
  <w:style w:type="paragraph" w:styleId="16">
    <w:name w:val="Body Text 3"/>
    <w:basedOn w:val="1"/>
    <w:qFormat/>
    <w:uiPriority w:val="0"/>
    <w:rPr>
      <w:rFonts w:ascii="仿宋_GB2312" w:hAnsi="Arial" w:eastAsia="仿宋_GB2312"/>
      <w:sz w:val="32"/>
      <w:szCs w:val="32"/>
    </w:rPr>
  </w:style>
  <w:style w:type="paragraph" w:styleId="17">
    <w:name w:val="Body Text"/>
    <w:basedOn w:val="1"/>
    <w:next w:val="1"/>
    <w:link w:val="62"/>
    <w:qFormat/>
    <w:uiPriority w:val="0"/>
    <w:rPr>
      <w:rFonts w:ascii="楷体_GB2312" w:hAnsi="Arial" w:eastAsia="楷体_GB2312"/>
      <w:sz w:val="28"/>
      <w:szCs w:val="28"/>
    </w:rPr>
  </w:style>
  <w:style w:type="paragraph" w:styleId="18">
    <w:name w:val="Body Text Indent"/>
    <w:basedOn w:val="1"/>
    <w:link w:val="63"/>
    <w:qFormat/>
    <w:uiPriority w:val="0"/>
    <w:pPr>
      <w:ind w:firstLine="645"/>
    </w:pPr>
    <w:rPr>
      <w:rFonts w:ascii="楷体_GB2312" w:eastAsia="楷体_GB2312"/>
      <w:sz w:val="32"/>
      <w:szCs w:val="32"/>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tabs>
        <w:tab w:val="left" w:pos="1440"/>
      </w:tabs>
      <w:spacing w:after="100"/>
      <w:ind w:left="3600" w:right="-288" w:hanging="2880"/>
    </w:pPr>
    <w:rPr>
      <w:snapToGrid w:val="0"/>
      <w:kern w:val="0"/>
      <w:sz w:val="22"/>
      <w:szCs w:val="20"/>
      <w:lang w:eastAsia="en-US"/>
    </w:rPr>
  </w:style>
  <w:style w:type="paragraph" w:styleId="21">
    <w:name w:val="toc 3"/>
    <w:basedOn w:val="1"/>
    <w:next w:val="1"/>
    <w:qFormat/>
    <w:uiPriority w:val="39"/>
    <w:pPr>
      <w:ind w:left="840" w:leftChars="400"/>
    </w:pPr>
  </w:style>
  <w:style w:type="paragraph" w:styleId="22">
    <w:name w:val="Plain Text"/>
    <w:basedOn w:val="1"/>
    <w:link w:val="64"/>
    <w:qFormat/>
    <w:uiPriority w:val="0"/>
    <w:rPr>
      <w:rFonts w:ascii="宋体" w:hAnsi="Courier New" w:cs="Courier New"/>
    </w:rPr>
  </w:style>
  <w:style w:type="paragraph" w:styleId="23">
    <w:name w:val="Date"/>
    <w:basedOn w:val="1"/>
    <w:next w:val="1"/>
    <w:link w:val="65"/>
    <w:qFormat/>
    <w:uiPriority w:val="0"/>
    <w:rPr>
      <w:sz w:val="24"/>
      <w:szCs w:val="24"/>
    </w:rPr>
  </w:style>
  <w:style w:type="paragraph" w:styleId="24">
    <w:name w:val="Body Text Indent 2"/>
    <w:basedOn w:val="1"/>
    <w:qFormat/>
    <w:uiPriority w:val="0"/>
    <w:pPr>
      <w:ind w:left="630" w:firstLine="645"/>
    </w:pPr>
    <w:rPr>
      <w:rFonts w:ascii="Arial" w:hAnsi="Arial" w:eastAsia="仿宋_GB2312" w:cs="Arial"/>
      <w:sz w:val="32"/>
      <w:szCs w:val="32"/>
    </w:rPr>
  </w:style>
  <w:style w:type="paragraph" w:styleId="25">
    <w:name w:val="Balloon Text"/>
    <w:basedOn w:val="1"/>
    <w:link w:val="66"/>
    <w:qFormat/>
    <w:uiPriority w:val="0"/>
    <w:rPr>
      <w:sz w:val="18"/>
      <w:szCs w:val="18"/>
    </w:rPr>
  </w:style>
  <w:style w:type="paragraph" w:styleId="26">
    <w:name w:val="footer"/>
    <w:basedOn w:val="1"/>
    <w:link w:val="67"/>
    <w:qFormat/>
    <w:uiPriority w:val="99"/>
    <w:pPr>
      <w:tabs>
        <w:tab w:val="center" w:pos="4153"/>
        <w:tab w:val="right" w:pos="8306"/>
      </w:tabs>
      <w:snapToGrid w:val="0"/>
      <w:jc w:val="left"/>
    </w:pPr>
    <w:rPr>
      <w:sz w:val="18"/>
      <w:szCs w:val="18"/>
    </w:rPr>
  </w:style>
  <w:style w:type="paragraph" w:styleId="27">
    <w:name w:val="header"/>
    <w:basedOn w:val="1"/>
    <w:link w:val="68"/>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tabs>
        <w:tab w:val="right" w:leader="dot" w:pos="8296"/>
      </w:tabs>
    </w:pPr>
    <w:rPr>
      <w:rFonts w:eastAsia="黑体"/>
      <w:sz w:val="24"/>
      <w:szCs w:val="24"/>
    </w:rPr>
  </w:style>
  <w:style w:type="paragraph" w:styleId="29">
    <w:name w:val="List"/>
    <w:basedOn w:val="1"/>
    <w:qFormat/>
    <w:uiPriority w:val="0"/>
    <w:pPr>
      <w:ind w:left="200" w:hanging="200" w:hangingChars="200"/>
    </w:pPr>
  </w:style>
  <w:style w:type="paragraph" w:styleId="30">
    <w:name w:val="Body Text Indent 3"/>
    <w:basedOn w:val="1"/>
    <w:qFormat/>
    <w:uiPriority w:val="0"/>
    <w:pPr>
      <w:ind w:left="645" w:firstLine="645"/>
    </w:pPr>
    <w:rPr>
      <w:rFonts w:ascii="Arial" w:hAnsi="Arial" w:eastAsia="仿宋_GB2312" w:cs="Arial"/>
      <w:color w:val="FFFF00"/>
      <w:sz w:val="32"/>
      <w:szCs w:val="32"/>
    </w:rPr>
  </w:style>
  <w:style w:type="paragraph" w:styleId="31">
    <w:name w:val="toc 2"/>
    <w:basedOn w:val="1"/>
    <w:next w:val="1"/>
    <w:qFormat/>
    <w:uiPriority w:val="39"/>
    <w:pPr>
      <w:tabs>
        <w:tab w:val="left" w:pos="840"/>
        <w:tab w:val="right" w:leader="dot" w:pos="8494"/>
      </w:tabs>
      <w:spacing w:line="360" w:lineRule="auto"/>
      <w:jc w:val="left"/>
    </w:pPr>
    <w:rPr>
      <w:smallCaps/>
      <w:sz w:val="20"/>
      <w:szCs w:val="20"/>
    </w:rPr>
  </w:style>
  <w:style w:type="paragraph" w:styleId="32">
    <w:name w:val="Body Text 2"/>
    <w:basedOn w:val="1"/>
    <w:qFormat/>
    <w:uiPriority w:val="0"/>
    <w:pPr>
      <w:widowControl/>
      <w:jc w:val="center"/>
    </w:pPr>
    <w:rPr>
      <w:rFonts w:ascii="楷体_GB2312" w:eastAsia="楷体_GB2312"/>
      <w:sz w:val="28"/>
      <w:szCs w:val="28"/>
    </w:rPr>
  </w:style>
  <w:style w:type="paragraph" w:styleId="33">
    <w:name w:val="HTML Preformatted"/>
    <w:basedOn w:val="1"/>
    <w:link w:val="69"/>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3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35">
    <w:name w:val="Title"/>
    <w:basedOn w:val="1"/>
    <w:next w:val="1"/>
    <w:link w:val="70"/>
    <w:qFormat/>
    <w:uiPriority w:val="0"/>
    <w:pPr>
      <w:jc w:val="center"/>
    </w:pPr>
    <w:rPr>
      <w:sz w:val="30"/>
      <w:szCs w:val="24"/>
    </w:rPr>
  </w:style>
  <w:style w:type="paragraph" w:styleId="36">
    <w:name w:val="annotation subject"/>
    <w:basedOn w:val="14"/>
    <w:next w:val="14"/>
    <w:link w:val="71"/>
    <w:qFormat/>
    <w:uiPriority w:val="0"/>
    <w:rPr>
      <w:b/>
      <w:bCs/>
      <w:szCs w:val="21"/>
    </w:rPr>
  </w:style>
  <w:style w:type="paragraph" w:styleId="37">
    <w:name w:val="Body Text First Indent"/>
    <w:basedOn w:val="17"/>
    <w:qFormat/>
    <w:uiPriority w:val="0"/>
    <w:pPr>
      <w:spacing w:line="360" w:lineRule="auto"/>
      <w:ind w:firstLine="200" w:firstLineChars="200"/>
    </w:pPr>
    <w:rPr>
      <w:rFonts w:ascii="仿宋_GB2312" w:eastAsia="仿宋_GB2312"/>
      <w:sz w:val="30"/>
      <w:szCs w:val="30"/>
    </w:rPr>
  </w:style>
  <w:style w:type="paragraph" w:styleId="38">
    <w:name w:val="Body Text First Indent 2"/>
    <w:basedOn w:val="18"/>
    <w:qFormat/>
    <w:uiPriority w:val="0"/>
    <w:pPr>
      <w:spacing w:line="360" w:lineRule="auto"/>
      <w:ind w:firstLine="420" w:firstLineChars="200"/>
    </w:pPr>
    <w:rPr>
      <w:rFonts w:ascii="宋体" w:hAnsi="宋体" w:eastAsia="宋体"/>
      <w:sz w:val="21"/>
      <w:szCs w:val="20"/>
    </w:rPr>
  </w:style>
  <w:style w:type="table" w:styleId="40">
    <w:name w:val="Table Grid"/>
    <w:basedOn w:val="3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qFormat/>
    <w:uiPriority w:val="0"/>
    <w:rPr>
      <w:b/>
      <w:bCs/>
    </w:rPr>
  </w:style>
  <w:style w:type="character" w:styleId="43">
    <w:name w:val="page number"/>
    <w:qFormat/>
    <w:uiPriority w:val="0"/>
  </w:style>
  <w:style w:type="character" w:styleId="44">
    <w:name w:val="FollowedHyperlink"/>
    <w:qFormat/>
    <w:uiPriority w:val="99"/>
    <w:rPr>
      <w:color w:val="954F72"/>
      <w:u w:val="single"/>
    </w:rPr>
  </w:style>
  <w:style w:type="character" w:styleId="45">
    <w:name w:val="Emphasis"/>
    <w:qFormat/>
    <w:uiPriority w:val="0"/>
    <w:rPr>
      <w:rFonts w:cs="Times New Roman"/>
      <w:i/>
    </w:rPr>
  </w:style>
  <w:style w:type="character" w:styleId="46">
    <w:name w:val="Hyperlink"/>
    <w:qFormat/>
    <w:uiPriority w:val="99"/>
    <w:rPr>
      <w:color w:val="0000FF"/>
      <w:u w:val="single"/>
    </w:rPr>
  </w:style>
  <w:style w:type="character" w:styleId="47">
    <w:name w:val="annotation reference"/>
    <w:qFormat/>
    <w:uiPriority w:val="0"/>
    <w:rPr>
      <w:sz w:val="21"/>
      <w:szCs w:val="21"/>
    </w:rPr>
  </w:style>
  <w:style w:type="paragraph" w:customStyle="1" w:styleId="48">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49">
    <w:name w:val="标题 1 字符"/>
    <w:basedOn w:val="41"/>
    <w:link w:val="2"/>
    <w:qFormat/>
    <w:uiPriority w:val="0"/>
    <w:rPr>
      <w:rFonts w:ascii="楷体_GB2312" w:eastAsia="楷体_GB2312"/>
      <w:kern w:val="2"/>
      <w:sz w:val="28"/>
      <w:szCs w:val="28"/>
    </w:rPr>
  </w:style>
  <w:style w:type="character" w:customStyle="1" w:styleId="50">
    <w:name w:val="标题 2 字符1"/>
    <w:link w:val="3"/>
    <w:qFormat/>
    <w:uiPriority w:val="0"/>
    <w:rPr>
      <w:rFonts w:ascii="Arial" w:hAnsi="Arial" w:eastAsia="幼圆" w:cs="Arial"/>
      <w:b/>
      <w:bCs/>
      <w:kern w:val="2"/>
      <w:sz w:val="44"/>
      <w:szCs w:val="44"/>
      <w:lang w:val="en-US" w:eastAsia="zh-CN" w:bidi="ar-SA"/>
    </w:rPr>
  </w:style>
  <w:style w:type="character" w:customStyle="1" w:styleId="51">
    <w:name w:val="标题 3 字符1"/>
    <w:link w:val="4"/>
    <w:qFormat/>
    <w:uiPriority w:val="0"/>
    <w:rPr>
      <w:b/>
      <w:bCs/>
      <w:kern w:val="2"/>
      <w:sz w:val="32"/>
      <w:szCs w:val="32"/>
    </w:rPr>
  </w:style>
  <w:style w:type="character" w:customStyle="1" w:styleId="52">
    <w:name w:val="正文缩进 字符"/>
    <w:link w:val="5"/>
    <w:qFormat/>
    <w:uiPriority w:val="0"/>
    <w:rPr>
      <w:kern w:val="2"/>
      <w:sz w:val="21"/>
      <w:szCs w:val="21"/>
    </w:rPr>
  </w:style>
  <w:style w:type="character" w:customStyle="1" w:styleId="53">
    <w:name w:val="标题 4 字符"/>
    <w:link w:val="6"/>
    <w:qFormat/>
    <w:uiPriority w:val="0"/>
    <w:rPr>
      <w:b/>
      <w:bCs/>
      <w:kern w:val="2"/>
      <w:sz w:val="24"/>
      <w:szCs w:val="28"/>
    </w:rPr>
  </w:style>
  <w:style w:type="character" w:customStyle="1" w:styleId="54">
    <w:name w:val="标题 5 字符"/>
    <w:link w:val="7"/>
    <w:qFormat/>
    <w:uiPriority w:val="0"/>
    <w:rPr>
      <w:b/>
      <w:bCs/>
      <w:kern w:val="2"/>
      <w:sz w:val="24"/>
      <w:szCs w:val="28"/>
    </w:rPr>
  </w:style>
  <w:style w:type="character" w:customStyle="1" w:styleId="55">
    <w:name w:val="标题 6 字符"/>
    <w:link w:val="8"/>
    <w:qFormat/>
    <w:uiPriority w:val="0"/>
    <w:rPr>
      <w:b/>
      <w:bCs/>
      <w:kern w:val="2"/>
      <w:sz w:val="24"/>
      <w:szCs w:val="24"/>
    </w:rPr>
  </w:style>
  <w:style w:type="character" w:customStyle="1" w:styleId="56">
    <w:name w:val="标题 7 字符"/>
    <w:link w:val="9"/>
    <w:qFormat/>
    <w:uiPriority w:val="0"/>
    <w:rPr>
      <w:b/>
      <w:bCs/>
      <w:kern w:val="2"/>
      <w:sz w:val="24"/>
      <w:szCs w:val="24"/>
    </w:rPr>
  </w:style>
  <w:style w:type="character" w:customStyle="1" w:styleId="57">
    <w:name w:val="标题 8 字符"/>
    <w:link w:val="10"/>
    <w:qFormat/>
    <w:uiPriority w:val="0"/>
    <w:rPr>
      <w:rFonts w:ascii="Arial" w:hAnsi="Arial" w:eastAsia="黑体" w:cs="Arial"/>
      <w:kern w:val="2"/>
      <w:sz w:val="24"/>
      <w:szCs w:val="24"/>
    </w:rPr>
  </w:style>
  <w:style w:type="character" w:customStyle="1" w:styleId="58">
    <w:name w:val="标题 9 字符"/>
    <w:link w:val="11"/>
    <w:qFormat/>
    <w:uiPriority w:val="0"/>
    <w:rPr>
      <w:rFonts w:hint="default" w:ascii="Arial" w:hAnsi="Arial" w:eastAsia="黑体" w:cs="Arial"/>
      <w:kern w:val="2"/>
      <w:sz w:val="24"/>
      <w:szCs w:val="21"/>
    </w:rPr>
  </w:style>
  <w:style w:type="character" w:customStyle="1" w:styleId="59">
    <w:name w:val="文档结构图 字符"/>
    <w:link w:val="13"/>
    <w:qFormat/>
    <w:uiPriority w:val="0"/>
    <w:rPr>
      <w:kern w:val="2"/>
      <w:sz w:val="24"/>
      <w:szCs w:val="24"/>
      <w:shd w:val="clear" w:color="auto" w:fill="000080"/>
    </w:rPr>
  </w:style>
  <w:style w:type="character" w:customStyle="1" w:styleId="60">
    <w:name w:val="批注文字 字符2"/>
    <w:link w:val="14"/>
    <w:qFormat/>
    <w:uiPriority w:val="0"/>
    <w:rPr>
      <w:kern w:val="2"/>
      <w:sz w:val="21"/>
    </w:rPr>
  </w:style>
  <w:style w:type="character" w:customStyle="1" w:styleId="61">
    <w:name w:val="称呼 字符"/>
    <w:link w:val="15"/>
    <w:qFormat/>
    <w:uiPriority w:val="0"/>
    <w:rPr>
      <w:kern w:val="2"/>
      <w:sz w:val="21"/>
    </w:rPr>
  </w:style>
  <w:style w:type="character" w:customStyle="1" w:styleId="62">
    <w:name w:val="正文文本 字符"/>
    <w:link w:val="17"/>
    <w:qFormat/>
    <w:uiPriority w:val="0"/>
    <w:rPr>
      <w:rFonts w:ascii="楷体_GB2312" w:hAnsi="Arial" w:eastAsia="楷体_GB2312"/>
      <w:kern w:val="2"/>
      <w:sz w:val="28"/>
      <w:szCs w:val="28"/>
      <w:lang w:val="en-US" w:eastAsia="zh-CN" w:bidi="ar-SA"/>
    </w:rPr>
  </w:style>
  <w:style w:type="character" w:customStyle="1" w:styleId="63">
    <w:name w:val="正文文本缩进 字符"/>
    <w:link w:val="18"/>
    <w:qFormat/>
    <w:uiPriority w:val="0"/>
    <w:rPr>
      <w:sz w:val="24"/>
      <w:szCs w:val="24"/>
    </w:rPr>
  </w:style>
  <w:style w:type="character" w:customStyle="1" w:styleId="64">
    <w:name w:val="纯文本 字符1"/>
    <w:link w:val="22"/>
    <w:qFormat/>
    <w:locked/>
    <w:uiPriority w:val="0"/>
    <w:rPr>
      <w:rFonts w:ascii="宋体" w:hAnsi="Courier New" w:eastAsia="宋体" w:cs="Courier New"/>
      <w:kern w:val="2"/>
      <w:sz w:val="21"/>
      <w:szCs w:val="21"/>
      <w:lang w:val="en-US" w:eastAsia="zh-CN" w:bidi="ar-SA"/>
    </w:rPr>
  </w:style>
  <w:style w:type="character" w:customStyle="1" w:styleId="65">
    <w:name w:val="日期 字符"/>
    <w:link w:val="23"/>
    <w:qFormat/>
    <w:uiPriority w:val="0"/>
    <w:rPr>
      <w:kern w:val="2"/>
      <w:sz w:val="24"/>
      <w:szCs w:val="24"/>
    </w:rPr>
  </w:style>
  <w:style w:type="character" w:customStyle="1" w:styleId="66">
    <w:name w:val="批注框文本 字符"/>
    <w:link w:val="25"/>
    <w:qFormat/>
    <w:uiPriority w:val="0"/>
    <w:rPr>
      <w:kern w:val="2"/>
      <w:sz w:val="18"/>
      <w:szCs w:val="18"/>
    </w:rPr>
  </w:style>
  <w:style w:type="character" w:customStyle="1" w:styleId="67">
    <w:name w:val="页脚 字符"/>
    <w:link w:val="26"/>
    <w:qFormat/>
    <w:uiPriority w:val="99"/>
    <w:rPr>
      <w:rFonts w:eastAsia="宋体"/>
      <w:kern w:val="2"/>
      <w:sz w:val="18"/>
      <w:szCs w:val="18"/>
      <w:lang w:val="en-US" w:eastAsia="zh-CN" w:bidi="ar-SA"/>
    </w:rPr>
  </w:style>
  <w:style w:type="character" w:customStyle="1" w:styleId="68">
    <w:name w:val="页眉 字符"/>
    <w:link w:val="27"/>
    <w:qFormat/>
    <w:uiPriority w:val="99"/>
    <w:rPr>
      <w:kern w:val="2"/>
      <w:sz w:val="18"/>
      <w:szCs w:val="18"/>
    </w:rPr>
  </w:style>
  <w:style w:type="character" w:customStyle="1" w:styleId="69">
    <w:name w:val="HTML 预设格式 字符"/>
    <w:link w:val="33"/>
    <w:qFormat/>
    <w:uiPriority w:val="99"/>
    <w:rPr>
      <w:rFonts w:ascii="宋体" w:hAnsi="宋体" w:cs="宋体"/>
      <w:sz w:val="24"/>
      <w:szCs w:val="24"/>
    </w:rPr>
  </w:style>
  <w:style w:type="character" w:customStyle="1" w:styleId="70">
    <w:name w:val="标题 字符"/>
    <w:link w:val="35"/>
    <w:qFormat/>
    <w:uiPriority w:val="0"/>
    <w:rPr>
      <w:rFonts w:hint="eastAsia" w:ascii="等线 Light" w:hAnsi="等线 Light" w:eastAsia="等线 Light" w:cs="等线 Light"/>
      <w:b/>
      <w:bCs/>
      <w:kern w:val="2"/>
      <w:sz w:val="32"/>
      <w:szCs w:val="32"/>
    </w:rPr>
  </w:style>
  <w:style w:type="character" w:customStyle="1" w:styleId="71">
    <w:name w:val="批注主题 字符"/>
    <w:link w:val="36"/>
    <w:qFormat/>
    <w:uiPriority w:val="0"/>
    <w:rPr>
      <w:b/>
      <w:bCs/>
      <w:kern w:val="2"/>
      <w:sz w:val="21"/>
      <w:szCs w:val="21"/>
    </w:rPr>
  </w:style>
  <w:style w:type="character" w:customStyle="1" w:styleId="72">
    <w:name w:val="批注文字 字符1"/>
    <w:qFormat/>
    <w:uiPriority w:val="0"/>
    <w:rPr>
      <w:kern w:val="2"/>
      <w:sz w:val="21"/>
    </w:rPr>
  </w:style>
  <w:style w:type="character" w:customStyle="1" w:styleId="73">
    <w:name w:val="标题 3 字符"/>
    <w:qFormat/>
    <w:uiPriority w:val="0"/>
    <w:rPr>
      <w:b/>
      <w:bCs/>
      <w:kern w:val="2"/>
      <w:sz w:val="32"/>
      <w:szCs w:val="32"/>
    </w:rPr>
  </w:style>
  <w:style w:type="character" w:customStyle="1" w:styleId="74">
    <w:name w:val="z-窗体底端 Char1"/>
    <w:semiHidden/>
    <w:qFormat/>
    <w:uiPriority w:val="99"/>
    <w:rPr>
      <w:rFonts w:ascii="Arial" w:hAnsi="Arial" w:cs="Arial"/>
      <w:vanish/>
      <w:kern w:val="2"/>
      <w:sz w:val="16"/>
      <w:szCs w:val="16"/>
    </w:rPr>
  </w:style>
  <w:style w:type="character" w:customStyle="1" w:styleId="75">
    <w:name w:val="ca-20"/>
    <w:qFormat/>
    <w:uiPriority w:val="0"/>
  </w:style>
  <w:style w:type="character" w:customStyle="1" w:styleId="76">
    <w:name w:val="font5 Char"/>
    <w:qFormat/>
    <w:uiPriority w:val="0"/>
    <w:rPr>
      <w:rFonts w:ascii="宋体" w:hAnsi="宋体" w:eastAsia="宋体"/>
      <w:sz w:val="28"/>
      <w:szCs w:val="28"/>
      <w:lang w:val="en-US" w:eastAsia="zh-CN" w:bidi="ar-SA"/>
    </w:rPr>
  </w:style>
  <w:style w:type="character" w:customStyle="1" w:styleId="77">
    <w:name w:val="font21"/>
    <w:qFormat/>
    <w:uiPriority w:val="0"/>
    <w:rPr>
      <w:rFonts w:hint="eastAsia" w:ascii="宋体" w:hAnsi="宋体" w:eastAsia="宋体" w:cs="宋体"/>
      <w:color w:val="000000"/>
      <w:sz w:val="20"/>
      <w:szCs w:val="20"/>
      <w:u w:val="none"/>
    </w:rPr>
  </w:style>
  <w:style w:type="character" w:customStyle="1" w:styleId="78">
    <w:name w:val="ca-0"/>
    <w:qFormat/>
    <w:uiPriority w:val="0"/>
  </w:style>
  <w:style w:type="character" w:customStyle="1" w:styleId="79">
    <w:name w:val="z-窗体底端 Char"/>
    <w:link w:val="80"/>
    <w:qFormat/>
    <w:uiPriority w:val="0"/>
    <w:rPr>
      <w:rFonts w:ascii="Arial" w:hAnsi="Arial" w:cs="Arial"/>
      <w:vanish/>
      <w:sz w:val="16"/>
      <w:szCs w:val="16"/>
    </w:rPr>
  </w:style>
  <w:style w:type="paragraph" w:customStyle="1" w:styleId="80">
    <w:name w:val="z-窗体底端1"/>
    <w:basedOn w:val="1"/>
    <w:next w:val="1"/>
    <w:link w:val="79"/>
    <w:unhideWhenUsed/>
    <w:qFormat/>
    <w:uiPriority w:val="0"/>
    <w:pPr>
      <w:widowControl/>
      <w:pBdr>
        <w:top w:val="single" w:color="auto" w:sz="6" w:space="1"/>
      </w:pBdr>
      <w:jc w:val="center"/>
    </w:pPr>
    <w:rPr>
      <w:rFonts w:ascii="Arial" w:hAnsi="Arial"/>
      <w:vanish/>
      <w:kern w:val="0"/>
      <w:sz w:val="16"/>
      <w:szCs w:val="16"/>
    </w:rPr>
  </w:style>
  <w:style w:type="character" w:customStyle="1" w:styleId="81">
    <w:name w:val="ca-7"/>
    <w:qFormat/>
    <w:uiPriority w:val="0"/>
  </w:style>
  <w:style w:type="character" w:customStyle="1" w:styleId="82">
    <w:name w:val="ca-5"/>
    <w:qFormat/>
    <w:uiPriority w:val="0"/>
  </w:style>
  <w:style w:type="character" w:customStyle="1" w:styleId="83">
    <w:name w:val="A4"/>
    <w:qFormat/>
    <w:uiPriority w:val="99"/>
    <w:rPr>
      <w:rFonts w:cs="Univers 57 Condensed"/>
      <w:color w:val="221E1F"/>
      <w:sz w:val="12"/>
      <w:szCs w:val="12"/>
    </w:rPr>
  </w:style>
  <w:style w:type="character" w:customStyle="1" w:styleId="84">
    <w:name w:val="ca-38"/>
    <w:qFormat/>
    <w:uiPriority w:val="0"/>
  </w:style>
  <w:style w:type="character" w:customStyle="1" w:styleId="85">
    <w:name w:val="ca-1"/>
    <w:qFormat/>
    <w:uiPriority w:val="0"/>
  </w:style>
  <w:style w:type="character" w:customStyle="1" w:styleId="86">
    <w:name w:val="ca-26"/>
    <w:qFormat/>
    <w:uiPriority w:val="0"/>
  </w:style>
  <w:style w:type="character" w:customStyle="1" w:styleId="87">
    <w:name w:val="ca-10"/>
    <w:qFormat/>
    <w:uiPriority w:val="0"/>
  </w:style>
  <w:style w:type="character" w:customStyle="1" w:styleId="88">
    <w:name w:val="ca-2"/>
    <w:qFormat/>
    <w:uiPriority w:val="0"/>
  </w:style>
  <w:style w:type="character" w:customStyle="1" w:styleId="89">
    <w:name w:val="纯文本 字符"/>
    <w:qFormat/>
    <w:locked/>
    <w:uiPriority w:val="0"/>
    <w:rPr>
      <w:rFonts w:ascii="宋体" w:hAnsi="Courier New" w:eastAsia="宋体" w:cs="Courier New"/>
      <w:kern w:val="2"/>
      <w:sz w:val="21"/>
      <w:szCs w:val="21"/>
      <w:lang w:val="en-US" w:eastAsia="zh-CN" w:bidi="ar-SA"/>
    </w:rPr>
  </w:style>
  <w:style w:type="character" w:customStyle="1" w:styleId="90">
    <w:name w:val="font51"/>
    <w:qFormat/>
    <w:uiPriority w:val="0"/>
    <w:rPr>
      <w:rFonts w:hint="eastAsia" w:ascii="宋体" w:hAnsi="宋体" w:eastAsia="宋体" w:cs="宋体"/>
      <w:color w:val="FF0000"/>
      <w:sz w:val="24"/>
      <w:szCs w:val="24"/>
      <w:u w:val="none"/>
    </w:rPr>
  </w:style>
  <w:style w:type="character" w:customStyle="1" w:styleId="91">
    <w:name w:val="font71"/>
    <w:qFormat/>
    <w:uiPriority w:val="0"/>
    <w:rPr>
      <w:rFonts w:hint="eastAsia" w:ascii="宋体" w:hAnsi="宋体" w:eastAsia="宋体" w:cs="宋体"/>
      <w:color w:val="000000"/>
      <w:sz w:val="24"/>
      <w:szCs w:val="24"/>
      <w:u w:val="none"/>
    </w:rPr>
  </w:style>
  <w:style w:type="character" w:customStyle="1" w:styleId="92">
    <w:name w:val="font41"/>
    <w:qFormat/>
    <w:uiPriority w:val="0"/>
    <w:rPr>
      <w:rFonts w:hint="default" w:ascii="Times New Roman" w:hAnsi="Times New Roman" w:cs="Times New Roman"/>
      <w:color w:val="000000"/>
      <w:sz w:val="20"/>
      <w:szCs w:val="20"/>
      <w:u w:val="none"/>
    </w:rPr>
  </w:style>
  <w:style w:type="character" w:customStyle="1" w:styleId="93">
    <w:name w:val="font101"/>
    <w:qFormat/>
    <w:uiPriority w:val="0"/>
    <w:rPr>
      <w:rFonts w:hint="eastAsia" w:ascii="宋体" w:hAnsi="宋体" w:eastAsia="宋体" w:cs="宋体"/>
      <w:color w:val="000000"/>
      <w:sz w:val="24"/>
      <w:szCs w:val="24"/>
      <w:u w:val="none"/>
    </w:rPr>
  </w:style>
  <w:style w:type="character" w:customStyle="1" w:styleId="94">
    <w:name w:val="ca-4"/>
    <w:qFormat/>
    <w:uiPriority w:val="0"/>
  </w:style>
  <w:style w:type="character" w:customStyle="1" w:styleId="95">
    <w:name w:val="ca-8"/>
    <w:qFormat/>
    <w:uiPriority w:val="0"/>
  </w:style>
  <w:style w:type="character" w:customStyle="1" w:styleId="96">
    <w:name w:val="ca-6"/>
    <w:qFormat/>
    <w:uiPriority w:val="0"/>
  </w:style>
  <w:style w:type="character" w:customStyle="1" w:styleId="97">
    <w:name w:val="ca-21"/>
    <w:qFormat/>
    <w:uiPriority w:val="0"/>
    <w:rPr>
      <w:rFonts w:hint="eastAsia" w:ascii="楷体_GB2312" w:eastAsia="楷体_GB2312"/>
      <w:b/>
      <w:bCs/>
      <w:spacing w:val="-20"/>
      <w:sz w:val="24"/>
      <w:szCs w:val="24"/>
    </w:rPr>
  </w:style>
  <w:style w:type="character" w:customStyle="1" w:styleId="98">
    <w:name w:val="h"/>
    <w:qFormat/>
    <w:uiPriority w:val="0"/>
  </w:style>
  <w:style w:type="character" w:customStyle="1" w:styleId="99">
    <w:name w:val="ca-3"/>
    <w:qFormat/>
    <w:uiPriority w:val="0"/>
  </w:style>
  <w:style w:type="character" w:customStyle="1" w:styleId="100">
    <w:name w:val="ca-11"/>
    <w:qFormat/>
    <w:uiPriority w:val="0"/>
    <w:rPr>
      <w:rFonts w:hint="eastAsia" w:ascii="宋体" w:hAnsi="宋体" w:eastAsia="宋体"/>
      <w:sz w:val="24"/>
      <w:szCs w:val="24"/>
    </w:rPr>
  </w:style>
  <w:style w:type="character" w:customStyle="1" w:styleId="101">
    <w:name w:val="ca-18"/>
    <w:qFormat/>
    <w:uiPriority w:val="0"/>
  </w:style>
  <w:style w:type="character" w:customStyle="1" w:styleId="102">
    <w:name w:val="页脚 Char"/>
    <w:qFormat/>
    <w:uiPriority w:val="99"/>
  </w:style>
  <w:style w:type="character" w:customStyle="1" w:styleId="103">
    <w:name w:val="ca-36"/>
    <w:qFormat/>
    <w:uiPriority w:val="0"/>
  </w:style>
  <w:style w:type="character" w:customStyle="1" w:styleId="104">
    <w:name w:val="标题 2 Char"/>
    <w:qFormat/>
    <w:uiPriority w:val="0"/>
    <w:rPr>
      <w:rFonts w:ascii="Arial" w:hAnsi="Arial" w:eastAsia="幼圆" w:cs="Arial"/>
      <w:b/>
      <w:bCs/>
      <w:kern w:val="2"/>
      <w:sz w:val="44"/>
      <w:szCs w:val="44"/>
      <w:lang w:val="en-US" w:eastAsia="zh-CN" w:bidi="ar-SA"/>
    </w:rPr>
  </w:style>
  <w:style w:type="character" w:customStyle="1" w:styleId="105">
    <w:name w:val="apple-converted-space"/>
    <w:qFormat/>
    <w:uiPriority w:val="0"/>
  </w:style>
  <w:style w:type="character" w:customStyle="1" w:styleId="106">
    <w:name w:val="ca-37"/>
    <w:qFormat/>
    <w:uiPriority w:val="0"/>
  </w:style>
  <w:style w:type="character" w:customStyle="1" w:styleId="107">
    <w:name w:val="正文文本 Char"/>
    <w:qFormat/>
    <w:uiPriority w:val="99"/>
    <w:rPr>
      <w:rFonts w:ascii="楷体_GB2312" w:hAnsi="Arial" w:eastAsia="楷体_GB2312"/>
      <w:kern w:val="2"/>
      <w:sz w:val="28"/>
      <w:szCs w:val="28"/>
      <w:lang w:val="en-US" w:eastAsia="zh-CN" w:bidi="ar-SA"/>
    </w:rPr>
  </w:style>
  <w:style w:type="character" w:customStyle="1" w:styleId="108">
    <w:name w:val="font81"/>
    <w:qFormat/>
    <w:uiPriority w:val="0"/>
    <w:rPr>
      <w:rFonts w:hint="eastAsia" w:ascii="宋体" w:hAnsi="宋体" w:eastAsia="宋体" w:cs="宋体"/>
      <w:color w:val="000000"/>
      <w:sz w:val="24"/>
      <w:szCs w:val="24"/>
      <w:u w:val="none"/>
    </w:rPr>
  </w:style>
  <w:style w:type="character" w:customStyle="1" w:styleId="109">
    <w:name w:val="标题 2 字符"/>
    <w:qFormat/>
    <w:uiPriority w:val="0"/>
    <w:rPr>
      <w:rFonts w:ascii="Arial" w:hAnsi="Arial" w:eastAsia="幼圆" w:cs="Arial"/>
      <w:b/>
      <w:bCs/>
      <w:kern w:val="2"/>
      <w:sz w:val="44"/>
      <w:szCs w:val="44"/>
      <w:lang w:val="en-US" w:eastAsia="zh-CN" w:bidi="ar-SA"/>
    </w:rPr>
  </w:style>
  <w:style w:type="character" w:customStyle="1" w:styleId="110">
    <w:name w:val="ca-01"/>
    <w:qFormat/>
    <w:uiPriority w:val="0"/>
    <w:rPr>
      <w:rFonts w:hint="default" w:ascii="Times New Roman" w:hAnsi="Times New Roman" w:cs="Times New Roman"/>
      <w:sz w:val="24"/>
      <w:szCs w:val="24"/>
    </w:rPr>
  </w:style>
  <w:style w:type="character" w:customStyle="1" w:styleId="111">
    <w:name w:val="ca-9"/>
    <w:qFormat/>
    <w:uiPriority w:val="0"/>
  </w:style>
  <w:style w:type="character" w:customStyle="1" w:styleId="112">
    <w:name w:val="font91"/>
    <w:qFormat/>
    <w:uiPriority w:val="0"/>
    <w:rPr>
      <w:rFonts w:hint="eastAsia" w:ascii="宋体" w:hAnsi="宋体" w:eastAsia="宋体" w:cs="宋体"/>
      <w:color w:val="000000"/>
      <w:sz w:val="24"/>
      <w:szCs w:val="24"/>
      <w:u w:val="none"/>
    </w:rPr>
  </w:style>
  <w:style w:type="character" w:customStyle="1" w:styleId="113">
    <w:name w:val="纯文本 Char1"/>
    <w:qFormat/>
    <w:uiPriority w:val="99"/>
    <w:rPr>
      <w:rFonts w:ascii="宋体" w:hAnsi="Courier New" w:cs="Courier New"/>
      <w:kern w:val="2"/>
      <w:sz w:val="21"/>
      <w:szCs w:val="21"/>
    </w:rPr>
  </w:style>
  <w:style w:type="character" w:customStyle="1" w:styleId="114">
    <w:name w:val="正文缩进 Char1"/>
    <w:qFormat/>
    <w:uiPriority w:val="0"/>
    <w:rPr>
      <w:rFonts w:eastAsia="宋体"/>
      <w:sz w:val="24"/>
      <w:lang w:val="en-US" w:eastAsia="zh-CN" w:bidi="ar-SA"/>
    </w:rPr>
  </w:style>
  <w:style w:type="character" w:customStyle="1" w:styleId="115">
    <w:name w:val="批注文字 Char1"/>
    <w:qFormat/>
    <w:uiPriority w:val="0"/>
    <w:rPr>
      <w:kern w:val="2"/>
      <w:sz w:val="21"/>
      <w:szCs w:val="21"/>
    </w:rPr>
  </w:style>
  <w:style w:type="character" w:customStyle="1" w:styleId="116">
    <w:name w:val="Variable"/>
    <w:qFormat/>
    <w:uiPriority w:val="0"/>
    <w:rPr>
      <w:i/>
    </w:rPr>
  </w:style>
  <w:style w:type="character" w:customStyle="1" w:styleId="117">
    <w:name w:val="批注文字 字符"/>
    <w:qFormat/>
    <w:uiPriority w:val="0"/>
    <w:rPr>
      <w:kern w:val="2"/>
      <w:sz w:val="21"/>
    </w:rPr>
  </w:style>
  <w:style w:type="character" w:customStyle="1" w:styleId="118">
    <w:name w:val="style41"/>
    <w:qFormat/>
    <w:uiPriority w:val="0"/>
    <w:rPr>
      <w:color w:val="404040"/>
    </w:rPr>
  </w:style>
  <w:style w:type="character" w:customStyle="1" w:styleId="119">
    <w:name w:val="sh141"/>
    <w:qFormat/>
    <w:uiPriority w:val="0"/>
    <w:rPr>
      <w:color w:val="2B2B2B"/>
      <w:sz w:val="21"/>
      <w:szCs w:val="21"/>
    </w:rPr>
  </w:style>
  <w:style w:type="character" w:customStyle="1" w:styleId="120">
    <w:name w:val="high-light-bg4"/>
    <w:qFormat/>
    <w:uiPriority w:val="0"/>
  </w:style>
  <w:style w:type="character" w:customStyle="1" w:styleId="121">
    <w:name w:val="apple-style-span"/>
    <w:qFormat/>
    <w:uiPriority w:val="0"/>
  </w:style>
  <w:style w:type="character" w:customStyle="1" w:styleId="122">
    <w:name w:val="标题 3 Char"/>
    <w:qFormat/>
    <w:uiPriority w:val="0"/>
    <w:rPr>
      <w:b/>
      <w:bCs/>
      <w:kern w:val="2"/>
      <w:sz w:val="32"/>
      <w:szCs w:val="32"/>
    </w:rPr>
  </w:style>
  <w:style w:type="paragraph" w:customStyle="1" w:styleId="123">
    <w:name w:val="p0"/>
    <w:basedOn w:val="1"/>
    <w:qFormat/>
    <w:uiPriority w:val="0"/>
    <w:pPr>
      <w:widowControl/>
    </w:pPr>
    <w:rPr>
      <w:kern w:val="0"/>
    </w:rPr>
  </w:style>
  <w:style w:type="paragraph" w:customStyle="1" w:styleId="124">
    <w:name w:val="Char Char Char Char"/>
    <w:basedOn w:val="13"/>
    <w:qFormat/>
    <w:uiPriority w:val="0"/>
    <w:pPr>
      <w:adjustRightInd w:val="0"/>
      <w:snapToGrid w:val="0"/>
      <w:spacing w:line="360" w:lineRule="auto"/>
    </w:pPr>
    <w:rPr>
      <w:rFonts w:ascii="Tahoma" w:hAnsi="Tahoma"/>
      <w:sz w:val="24"/>
      <w:szCs w:val="24"/>
    </w:rPr>
  </w:style>
  <w:style w:type="paragraph" w:customStyle="1" w:styleId="125">
    <w:name w:val="pa-11"/>
    <w:basedOn w:val="1"/>
    <w:qFormat/>
    <w:uiPriority w:val="0"/>
    <w:pPr>
      <w:widowControl/>
      <w:spacing w:before="150" w:after="150"/>
      <w:jc w:val="left"/>
    </w:pPr>
    <w:rPr>
      <w:rFonts w:ascii="宋体" w:hAnsi="宋体" w:cs="宋体"/>
      <w:kern w:val="0"/>
      <w:sz w:val="24"/>
      <w:szCs w:val="24"/>
    </w:rPr>
  </w:style>
  <w:style w:type="paragraph" w:customStyle="1" w:styleId="126">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27">
    <w:name w:val="Char1"/>
    <w:basedOn w:val="1"/>
    <w:qFormat/>
    <w:uiPriority w:val="0"/>
    <w:pPr>
      <w:tabs>
        <w:tab w:val="left" w:pos="360"/>
      </w:tabs>
    </w:pPr>
    <w:rPr>
      <w:sz w:val="24"/>
      <w:szCs w:val="24"/>
    </w:rPr>
  </w:style>
  <w:style w:type="paragraph" w:customStyle="1" w:styleId="128">
    <w:name w:val="xl7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129">
    <w:name w:val="xl97"/>
    <w:basedOn w:val="1"/>
    <w:qFormat/>
    <w:uiPriority w:val="0"/>
    <w:pPr>
      <w:widowControl/>
      <w:pBdr>
        <w:top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130">
    <w:name w:val="pa-13"/>
    <w:basedOn w:val="1"/>
    <w:qFormat/>
    <w:uiPriority w:val="0"/>
    <w:pPr>
      <w:widowControl/>
      <w:spacing w:before="150" w:after="150"/>
      <w:jc w:val="left"/>
    </w:pPr>
    <w:rPr>
      <w:rFonts w:ascii="宋体" w:hAnsi="宋体" w:cs="宋体"/>
      <w:kern w:val="0"/>
      <w:sz w:val="24"/>
      <w:szCs w:val="24"/>
    </w:rPr>
  </w:style>
  <w:style w:type="paragraph" w:customStyle="1" w:styleId="131">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132">
    <w:name w:val="Default"/>
    <w:qFormat/>
    <w:uiPriority w:val="0"/>
    <w:pPr>
      <w:autoSpaceDE w:val="0"/>
      <w:autoSpaceDN w:val="0"/>
      <w:adjustRightInd w:val="0"/>
    </w:pPr>
    <w:rPr>
      <w:rFonts w:ascii="宋体" w:hAnsi="Times New Roman" w:eastAsia="宋体" w:cs="宋体"/>
      <w:color w:val="000000"/>
      <w:sz w:val="24"/>
      <w:szCs w:val="24"/>
      <w:lang w:val="en-US" w:eastAsia="zh-CN" w:bidi="ar-SA"/>
    </w:rPr>
  </w:style>
  <w:style w:type="paragraph" w:customStyle="1" w:styleId="133">
    <w:name w:val="List Paragraph2"/>
    <w:basedOn w:val="1"/>
    <w:qFormat/>
    <w:uiPriority w:val="0"/>
    <w:pPr>
      <w:ind w:left="480" w:leftChars="200"/>
      <w:jc w:val="left"/>
    </w:pPr>
    <w:rPr>
      <w:rFonts w:ascii="Calibri" w:hAnsi="Calibri" w:eastAsia="PMingLiU"/>
      <w:sz w:val="24"/>
      <w:szCs w:val="22"/>
      <w:lang w:eastAsia="zh-TW"/>
    </w:rPr>
  </w:style>
  <w:style w:type="paragraph" w:customStyle="1" w:styleId="134">
    <w:name w:val="Address"/>
    <w:basedOn w:val="1"/>
    <w:next w:val="1"/>
    <w:qFormat/>
    <w:uiPriority w:val="0"/>
    <w:pPr>
      <w:autoSpaceDE w:val="0"/>
      <w:autoSpaceDN w:val="0"/>
      <w:adjustRightInd w:val="0"/>
      <w:jc w:val="left"/>
    </w:pPr>
    <w:rPr>
      <w:i/>
      <w:kern w:val="0"/>
      <w:sz w:val="24"/>
      <w:szCs w:val="20"/>
    </w:rPr>
  </w:style>
  <w:style w:type="paragraph" w:customStyle="1" w:styleId="135">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6"/>
      <w:szCs w:val="16"/>
    </w:rPr>
  </w:style>
  <w:style w:type="paragraph" w:customStyle="1" w:styleId="136">
    <w:name w:val="table_lines"/>
    <w:basedOn w:val="1"/>
    <w:qFormat/>
    <w:uiPriority w:val="0"/>
    <w:pPr>
      <w:widowControl/>
      <w:jc w:val="left"/>
    </w:pPr>
    <w:rPr>
      <w:kern w:val="0"/>
      <w:sz w:val="20"/>
      <w:szCs w:val="20"/>
      <w:lang w:val="de-DE" w:eastAsia="de-DE"/>
    </w:rPr>
  </w:style>
  <w:style w:type="paragraph" w:customStyle="1" w:styleId="137">
    <w:name w:val="pa-67"/>
    <w:basedOn w:val="1"/>
    <w:qFormat/>
    <w:uiPriority w:val="0"/>
    <w:pPr>
      <w:widowControl/>
      <w:spacing w:before="150" w:after="150"/>
      <w:jc w:val="left"/>
    </w:pPr>
    <w:rPr>
      <w:rFonts w:ascii="宋体" w:hAnsi="宋体" w:cs="宋体"/>
      <w:kern w:val="0"/>
      <w:sz w:val="24"/>
      <w:szCs w:val="24"/>
    </w:rPr>
  </w:style>
  <w:style w:type="paragraph" w:customStyle="1" w:styleId="138">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6"/>
      <w:szCs w:val="16"/>
    </w:rPr>
  </w:style>
  <w:style w:type="paragraph" w:customStyle="1" w:styleId="139">
    <w:name w:val="xl91"/>
    <w:basedOn w:val="1"/>
    <w:qFormat/>
    <w:uiPriority w:val="0"/>
    <w:pPr>
      <w:widowControl/>
      <w:shd w:val="clear" w:color="000000" w:fill="FFFFFF"/>
      <w:spacing w:before="100" w:beforeAutospacing="1" w:after="100" w:afterAutospacing="1"/>
      <w:jc w:val="center"/>
    </w:pPr>
    <w:rPr>
      <w:rFonts w:ascii="宋体" w:hAnsi="宋体" w:cs="宋体"/>
      <w:kern w:val="0"/>
      <w:sz w:val="16"/>
      <w:szCs w:val="16"/>
    </w:rPr>
  </w:style>
  <w:style w:type="paragraph" w:customStyle="1" w:styleId="140">
    <w:name w:val="font5"/>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141">
    <w:name w:val="pa-8"/>
    <w:basedOn w:val="1"/>
    <w:qFormat/>
    <w:uiPriority w:val="0"/>
    <w:pPr>
      <w:widowControl/>
      <w:spacing w:before="150" w:after="150"/>
      <w:jc w:val="left"/>
    </w:pPr>
    <w:rPr>
      <w:rFonts w:ascii="宋体" w:hAnsi="宋体" w:cs="宋体"/>
      <w:kern w:val="0"/>
      <w:sz w:val="24"/>
      <w:szCs w:val="24"/>
    </w:rPr>
  </w:style>
  <w:style w:type="paragraph" w:customStyle="1" w:styleId="142">
    <w:name w:val="附录1"/>
    <w:qFormat/>
    <w:uiPriority w:val="0"/>
    <w:pPr>
      <w:numPr>
        <w:ilvl w:val="0"/>
        <w:numId w:val="2"/>
      </w:numPr>
      <w:snapToGrid w:val="0"/>
      <w:spacing w:before="240" w:line="600" w:lineRule="atLeast"/>
    </w:pPr>
    <w:rPr>
      <w:rFonts w:ascii="Times New Roman" w:hAnsi="Times New Roman" w:eastAsia="宋体" w:cs="Times New Roman"/>
      <w:b/>
      <w:i/>
      <w:sz w:val="28"/>
      <w:lang w:val="en-US" w:eastAsia="zh-CN" w:bidi="ar-SA"/>
    </w:rPr>
  </w:style>
  <w:style w:type="paragraph" w:customStyle="1" w:styleId="143">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44">
    <w:name w:val="默认段落字体 Para Char Char Char Char"/>
    <w:basedOn w:val="1"/>
    <w:qFormat/>
    <w:uiPriority w:val="0"/>
    <w:rPr>
      <w:szCs w:val="24"/>
    </w:rPr>
  </w:style>
  <w:style w:type="paragraph" w:customStyle="1" w:styleId="145">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146">
    <w:name w:val="pa-1"/>
    <w:basedOn w:val="1"/>
    <w:qFormat/>
    <w:uiPriority w:val="0"/>
    <w:pPr>
      <w:widowControl/>
      <w:spacing w:before="150" w:after="150"/>
      <w:jc w:val="left"/>
    </w:pPr>
    <w:rPr>
      <w:rFonts w:ascii="宋体" w:hAnsi="宋体" w:cs="宋体"/>
      <w:kern w:val="0"/>
      <w:sz w:val="24"/>
      <w:szCs w:val="24"/>
    </w:rPr>
  </w:style>
  <w:style w:type="paragraph" w:customStyle="1" w:styleId="147">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48">
    <w:name w:val="SADPOINT"/>
    <w:basedOn w:val="1"/>
    <w:qFormat/>
    <w:uiPriority w:val="0"/>
    <w:pPr>
      <w:widowControl/>
      <w:tabs>
        <w:tab w:val="right" w:pos="7655"/>
        <w:tab w:val="right" w:pos="8222"/>
      </w:tabs>
      <w:spacing w:line="240" w:lineRule="exact"/>
      <w:ind w:left="1702" w:right="1418" w:hanging="284"/>
    </w:pPr>
    <w:rPr>
      <w:rFonts w:ascii="Arial" w:hAnsi="Arial"/>
      <w:kern w:val="0"/>
      <w:sz w:val="22"/>
      <w:szCs w:val="20"/>
      <w:lang w:val="de-DE"/>
    </w:rPr>
  </w:style>
  <w:style w:type="paragraph" w:customStyle="1" w:styleId="149">
    <w:name w:val="defaul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50">
    <w:name w:val="xl90"/>
    <w:basedOn w:val="1"/>
    <w:qFormat/>
    <w:uiPriority w:val="0"/>
    <w:pPr>
      <w:widowControl/>
      <w:shd w:val="clear" w:color="000000" w:fill="FFFFFF"/>
      <w:spacing w:before="100" w:beforeAutospacing="1" w:after="100" w:afterAutospacing="1"/>
      <w:jc w:val="left"/>
    </w:pPr>
    <w:rPr>
      <w:rFonts w:ascii="宋体" w:hAnsi="宋体" w:cs="宋体"/>
      <w:kern w:val="0"/>
      <w:sz w:val="16"/>
      <w:szCs w:val="16"/>
    </w:rPr>
  </w:style>
  <w:style w:type="paragraph" w:customStyle="1" w:styleId="151">
    <w:name w:val="列出段落2"/>
    <w:basedOn w:val="1"/>
    <w:qFormat/>
    <w:uiPriority w:val="0"/>
    <w:pPr>
      <w:widowControl/>
      <w:ind w:firstLine="420" w:firstLineChars="200"/>
      <w:jc w:val="left"/>
    </w:pPr>
    <w:rPr>
      <w:rFonts w:eastAsia="PMingLiU"/>
      <w:kern w:val="0"/>
      <w:sz w:val="24"/>
      <w:szCs w:val="20"/>
    </w:rPr>
  </w:style>
  <w:style w:type="paragraph" w:customStyle="1" w:styleId="152">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153">
    <w:name w:val="pa-69"/>
    <w:basedOn w:val="1"/>
    <w:qFormat/>
    <w:uiPriority w:val="0"/>
    <w:pPr>
      <w:widowControl/>
      <w:spacing w:before="150" w:after="150"/>
      <w:jc w:val="left"/>
    </w:pPr>
    <w:rPr>
      <w:rFonts w:ascii="宋体" w:hAnsi="宋体" w:cs="宋体"/>
      <w:kern w:val="0"/>
      <w:sz w:val="24"/>
      <w:szCs w:val="24"/>
    </w:rPr>
  </w:style>
  <w:style w:type="paragraph" w:customStyle="1" w:styleId="154">
    <w:name w:val="p15"/>
    <w:basedOn w:val="1"/>
    <w:qFormat/>
    <w:uiPriority w:val="0"/>
    <w:pPr>
      <w:widowControl/>
      <w:jc w:val="left"/>
    </w:pPr>
    <w:rPr>
      <w:kern w:val="0"/>
      <w:sz w:val="20"/>
      <w:szCs w:val="20"/>
    </w:rPr>
  </w:style>
  <w:style w:type="paragraph" w:customStyle="1" w:styleId="155">
    <w:name w:val="pa-7"/>
    <w:basedOn w:val="1"/>
    <w:qFormat/>
    <w:uiPriority w:val="0"/>
    <w:pPr>
      <w:widowControl/>
      <w:spacing w:before="150" w:after="150" w:line="300" w:lineRule="atLeast"/>
    </w:pPr>
    <w:rPr>
      <w:rFonts w:ascii="宋体" w:hAnsi="宋体" w:cs="宋体"/>
      <w:kern w:val="0"/>
      <w:sz w:val="24"/>
      <w:szCs w:val="24"/>
    </w:rPr>
  </w:style>
  <w:style w:type="paragraph" w:customStyle="1" w:styleId="156">
    <w:name w:val="Char Char Char Char1"/>
    <w:basedOn w:val="13"/>
    <w:qFormat/>
    <w:uiPriority w:val="0"/>
    <w:pPr>
      <w:adjustRightInd w:val="0"/>
      <w:snapToGrid w:val="0"/>
      <w:spacing w:line="360" w:lineRule="auto"/>
    </w:pPr>
    <w:rPr>
      <w:rFonts w:ascii="Tahoma" w:hAnsi="Tahoma"/>
      <w:sz w:val="24"/>
      <w:szCs w:val="24"/>
    </w:rPr>
  </w:style>
  <w:style w:type="paragraph" w:customStyle="1" w:styleId="157">
    <w:name w:val="4"/>
    <w:basedOn w:val="1"/>
    <w:next w:val="30"/>
    <w:qFormat/>
    <w:uiPriority w:val="0"/>
    <w:pPr>
      <w:spacing w:line="360" w:lineRule="auto"/>
      <w:ind w:firstLine="420"/>
    </w:pPr>
    <w:rPr>
      <w:color w:val="FF0000"/>
      <w:sz w:val="24"/>
      <w:szCs w:val="24"/>
    </w:rPr>
  </w:style>
  <w:style w:type="paragraph" w:customStyle="1" w:styleId="158">
    <w:name w:val="pa-70"/>
    <w:basedOn w:val="1"/>
    <w:qFormat/>
    <w:uiPriority w:val="0"/>
    <w:pPr>
      <w:widowControl/>
      <w:spacing w:before="150" w:after="150"/>
      <w:jc w:val="left"/>
    </w:pPr>
    <w:rPr>
      <w:rFonts w:ascii="宋体" w:hAnsi="宋体" w:cs="宋体"/>
      <w:kern w:val="0"/>
      <w:sz w:val="24"/>
      <w:szCs w:val="24"/>
    </w:rPr>
  </w:style>
  <w:style w:type="paragraph" w:customStyle="1" w:styleId="159">
    <w:name w:val="Char Char1"/>
    <w:basedOn w:val="1"/>
    <w:qFormat/>
    <w:uiPriority w:val="0"/>
    <w:pPr>
      <w:widowControl/>
      <w:spacing w:after="160" w:line="240" w:lineRule="exact"/>
      <w:jc w:val="left"/>
    </w:pPr>
    <w:rPr>
      <w:szCs w:val="20"/>
    </w:rPr>
  </w:style>
  <w:style w:type="paragraph" w:styleId="160">
    <w:name w:val="List Paragraph"/>
    <w:basedOn w:val="1"/>
    <w:qFormat/>
    <w:uiPriority w:val="99"/>
    <w:pPr>
      <w:ind w:firstLine="420" w:firstLineChars="200"/>
    </w:pPr>
  </w:style>
  <w:style w:type="paragraph" w:customStyle="1" w:styleId="161">
    <w:name w:val="普通(网站)1"/>
    <w:basedOn w:val="1"/>
    <w:qFormat/>
    <w:uiPriority w:val="0"/>
    <w:pPr>
      <w:widowControl/>
      <w:spacing w:before="100" w:beforeAutospacing="1" w:after="100" w:afterAutospacing="1"/>
      <w:jc w:val="left"/>
    </w:pPr>
    <w:rPr>
      <w:kern w:val="0"/>
      <w:sz w:val="24"/>
      <w:szCs w:val="24"/>
    </w:rPr>
  </w:style>
  <w:style w:type="paragraph" w:customStyle="1" w:styleId="162">
    <w:name w:val="xl103"/>
    <w:basedOn w:val="1"/>
    <w:qFormat/>
    <w:uiPriority w:val="0"/>
    <w:pPr>
      <w:widowControl/>
      <w:pBdr>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163">
    <w:name w:val="pa-12"/>
    <w:basedOn w:val="1"/>
    <w:qFormat/>
    <w:uiPriority w:val="0"/>
    <w:pPr>
      <w:widowControl/>
      <w:spacing w:before="150" w:after="150"/>
      <w:jc w:val="left"/>
    </w:pPr>
    <w:rPr>
      <w:rFonts w:ascii="宋体" w:hAnsi="宋体" w:cs="宋体"/>
      <w:kern w:val="0"/>
      <w:sz w:val="24"/>
      <w:szCs w:val="24"/>
    </w:rPr>
  </w:style>
  <w:style w:type="paragraph" w:customStyle="1" w:styleId="164">
    <w:name w:val="pa-68"/>
    <w:basedOn w:val="1"/>
    <w:qFormat/>
    <w:uiPriority w:val="0"/>
    <w:pPr>
      <w:widowControl/>
      <w:spacing w:before="150" w:after="150"/>
      <w:jc w:val="left"/>
    </w:pPr>
    <w:rPr>
      <w:rFonts w:ascii="宋体" w:hAnsi="宋体" w:cs="宋体"/>
      <w:kern w:val="0"/>
      <w:sz w:val="24"/>
      <w:szCs w:val="24"/>
    </w:rPr>
  </w:style>
  <w:style w:type="paragraph" w:customStyle="1" w:styleId="165">
    <w:name w:val="Body Text(ch)"/>
    <w:basedOn w:val="1"/>
    <w:next w:val="17"/>
    <w:qFormat/>
    <w:uiPriority w:val="0"/>
    <w:pPr>
      <w:spacing w:after="120"/>
    </w:pPr>
    <w:rPr>
      <w:rFonts w:ascii="宋体" w:hAnsi="Arial"/>
      <w:bCs/>
      <w:iCs/>
      <w:szCs w:val="24"/>
    </w:rPr>
  </w:style>
  <w:style w:type="paragraph" w:customStyle="1" w:styleId="166">
    <w:name w:val="Char"/>
    <w:basedOn w:val="13"/>
    <w:qFormat/>
    <w:uiPriority w:val="0"/>
    <w:rPr>
      <w:rFonts w:ascii="Tahoma" w:hAnsi="Tahoma"/>
      <w:sz w:val="24"/>
      <w:szCs w:val="24"/>
    </w:rPr>
  </w:style>
  <w:style w:type="paragraph" w:customStyle="1" w:styleId="167">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168">
    <w:name w:val="标题3"/>
    <w:basedOn w:val="1"/>
    <w:next w:val="1"/>
    <w:qFormat/>
    <w:uiPriority w:val="0"/>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169">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6"/>
      <w:szCs w:val="16"/>
    </w:rPr>
  </w:style>
  <w:style w:type="paragraph" w:customStyle="1" w:styleId="170">
    <w:name w:val="Item List"/>
    <w:qFormat/>
    <w:uiPriority w:val="0"/>
    <w:pPr>
      <w:numPr>
        <w:ilvl w:val="0"/>
        <w:numId w:val="3"/>
      </w:numPr>
      <w:adjustRightInd w:val="0"/>
      <w:snapToGrid w:val="0"/>
      <w:spacing w:before="80" w:after="80" w:line="240" w:lineRule="atLeast"/>
    </w:pPr>
    <w:rPr>
      <w:rFonts w:ascii="Times New Roman" w:hAnsi="Times New Roman" w:eastAsia="宋体" w:cs="Arial"/>
      <w:kern w:val="2"/>
      <w:sz w:val="21"/>
      <w:szCs w:val="21"/>
      <w:lang w:val="en-US" w:eastAsia="zh-CN" w:bidi="ar-SA"/>
    </w:rPr>
  </w:style>
  <w:style w:type="paragraph" w:customStyle="1" w:styleId="171">
    <w:name w:val="Char Char Char"/>
    <w:basedOn w:val="13"/>
    <w:qFormat/>
    <w:uiPriority w:val="0"/>
    <w:pPr>
      <w:spacing w:line="436" w:lineRule="exact"/>
    </w:pPr>
    <w:rPr>
      <w:rFonts w:ascii="Tahoma" w:hAnsi="Tahoma"/>
      <w:sz w:val="24"/>
      <w:szCs w:val="20"/>
    </w:rPr>
  </w:style>
  <w:style w:type="paragraph" w:customStyle="1" w:styleId="172">
    <w:name w:val="Char Char Char Char Char Char Char Char Char Char"/>
    <w:basedOn w:val="1"/>
    <w:qFormat/>
    <w:uiPriority w:val="0"/>
    <w:pPr>
      <w:adjustRightInd w:val="0"/>
      <w:spacing w:line="360" w:lineRule="auto"/>
    </w:pPr>
    <w:rPr>
      <w:kern w:val="0"/>
      <w:sz w:val="24"/>
      <w:szCs w:val="20"/>
    </w:rPr>
  </w:style>
  <w:style w:type="paragraph" w:customStyle="1" w:styleId="173">
    <w:name w:val="Table Text"/>
    <w:basedOn w:val="1"/>
    <w:qFormat/>
    <w:uiPriority w:val="0"/>
    <w:pPr>
      <w:spacing w:before="80" w:after="80"/>
    </w:pPr>
    <w:rPr>
      <w:snapToGrid w:val="0"/>
      <w:kern w:val="0"/>
      <w:szCs w:val="24"/>
    </w:rPr>
  </w:style>
  <w:style w:type="paragraph" w:customStyle="1" w:styleId="174">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175">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176">
    <w:name w:val="TOC 标题1"/>
    <w:basedOn w:val="2"/>
    <w:next w:val="1"/>
    <w:qFormat/>
    <w:uiPriority w:val="39"/>
    <w:pPr>
      <w:keepLines/>
      <w:widowControl/>
      <w:spacing w:before="240" w:line="259" w:lineRule="auto"/>
      <w:jc w:val="left"/>
      <w:outlineLvl w:val="9"/>
    </w:pPr>
    <w:rPr>
      <w:rFonts w:ascii="等线 Light" w:hAnsi="等线 Light" w:eastAsia="等线 Light"/>
      <w:color w:val="2F5496"/>
      <w:kern w:val="0"/>
      <w:sz w:val="32"/>
      <w:szCs w:val="32"/>
    </w:rPr>
  </w:style>
  <w:style w:type="paragraph" w:customStyle="1" w:styleId="177">
    <w:name w:val="xl101"/>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178">
    <w:name w:val="pa-0"/>
    <w:basedOn w:val="1"/>
    <w:qFormat/>
    <w:uiPriority w:val="0"/>
    <w:pPr>
      <w:widowControl/>
      <w:spacing w:before="150" w:after="150"/>
      <w:jc w:val="left"/>
    </w:pPr>
    <w:rPr>
      <w:rFonts w:ascii="宋体" w:hAnsi="宋体" w:cs="宋体"/>
      <w:kern w:val="0"/>
      <w:sz w:val="24"/>
      <w:szCs w:val="24"/>
    </w:rPr>
  </w:style>
  <w:style w:type="paragraph" w:customStyle="1" w:styleId="179">
    <w:name w:val="Table Heading"/>
    <w:basedOn w:val="1"/>
    <w:qFormat/>
    <w:uiPriority w:val="0"/>
    <w:pPr>
      <w:keepNext/>
      <w:topLinePunct/>
      <w:adjustRightInd w:val="0"/>
      <w:snapToGrid w:val="0"/>
      <w:spacing w:before="80" w:after="80" w:line="240" w:lineRule="atLeast"/>
      <w:jc w:val="left"/>
    </w:pPr>
    <w:rPr>
      <w:rFonts w:ascii="Book Antiqua" w:hAnsi="Book Antiqua" w:eastAsia="黑体" w:cs="Book Antiqua"/>
      <w:bCs/>
      <w:snapToGrid w:val="0"/>
      <w:kern w:val="0"/>
    </w:rPr>
  </w:style>
  <w:style w:type="paragraph" w:customStyle="1" w:styleId="180">
    <w:name w:val="Char11"/>
    <w:basedOn w:val="1"/>
    <w:qFormat/>
    <w:uiPriority w:val="0"/>
    <w:rPr>
      <w:rFonts w:ascii="仿宋_GB2312" w:eastAsia="仿宋_GB2312"/>
      <w:b/>
      <w:sz w:val="32"/>
      <w:szCs w:val="32"/>
    </w:rPr>
  </w:style>
  <w:style w:type="paragraph" w:customStyle="1" w:styleId="181">
    <w:name w:val="Pa3"/>
    <w:basedOn w:val="1"/>
    <w:next w:val="1"/>
    <w:qFormat/>
    <w:uiPriority w:val="99"/>
    <w:pPr>
      <w:widowControl/>
      <w:autoSpaceDE w:val="0"/>
      <w:autoSpaceDN w:val="0"/>
      <w:adjustRightInd w:val="0"/>
      <w:spacing w:line="141" w:lineRule="atLeast"/>
      <w:jc w:val="left"/>
    </w:pPr>
    <w:rPr>
      <w:rFonts w:ascii="Univers 57 Condensed" w:eastAsia="Univers 57 Condensed"/>
      <w:kern w:val="0"/>
      <w:sz w:val="24"/>
      <w:szCs w:val="24"/>
    </w:rPr>
  </w:style>
  <w:style w:type="paragraph" w:customStyle="1" w:styleId="182">
    <w:name w:val="pa-23"/>
    <w:basedOn w:val="1"/>
    <w:qFormat/>
    <w:uiPriority w:val="0"/>
    <w:pPr>
      <w:widowControl/>
      <w:spacing w:before="150" w:after="150"/>
      <w:jc w:val="left"/>
    </w:pPr>
    <w:rPr>
      <w:rFonts w:ascii="宋体" w:hAnsi="宋体" w:cs="宋体"/>
      <w:kern w:val="0"/>
      <w:sz w:val="24"/>
      <w:szCs w:val="24"/>
    </w:rPr>
  </w:style>
  <w:style w:type="paragraph" w:customStyle="1" w:styleId="183">
    <w:name w:val="xl84"/>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184">
    <w:name w:val="xl86"/>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185">
    <w:name w:val="xl100"/>
    <w:basedOn w:val="1"/>
    <w:qFormat/>
    <w:uiPriority w:val="0"/>
    <w:pPr>
      <w:widowControl/>
      <w:pBdr>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186">
    <w:name w:val="Normal Paragraph"/>
    <w:basedOn w:val="1"/>
    <w:qFormat/>
    <w:uiPriority w:val="0"/>
    <w:pPr>
      <w:widowControl/>
      <w:spacing w:before="120"/>
      <w:ind w:firstLine="425"/>
    </w:pPr>
    <w:rPr>
      <w:rFonts w:ascii="Verdana" w:hAnsi="Verdana"/>
      <w:kern w:val="0"/>
    </w:rPr>
  </w:style>
  <w:style w:type="paragraph" w:customStyle="1" w:styleId="187">
    <w:name w:val="pa-14"/>
    <w:basedOn w:val="1"/>
    <w:qFormat/>
    <w:uiPriority w:val="0"/>
    <w:pPr>
      <w:widowControl/>
      <w:spacing w:before="150" w:after="150"/>
      <w:jc w:val="left"/>
    </w:pPr>
    <w:rPr>
      <w:rFonts w:ascii="宋体" w:hAnsi="宋体" w:cs="宋体"/>
      <w:kern w:val="0"/>
      <w:sz w:val="24"/>
      <w:szCs w:val="24"/>
    </w:rPr>
  </w:style>
  <w:style w:type="paragraph" w:customStyle="1" w:styleId="188">
    <w:name w:val="xl96"/>
    <w:basedOn w:val="1"/>
    <w:qFormat/>
    <w:uiPriority w:val="0"/>
    <w:pPr>
      <w:widowControl/>
      <w:pBdr>
        <w:top w:val="single" w:color="auto" w:sz="4" w:space="0"/>
        <w:lef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189">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190">
    <w:name w:val="xl98"/>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191">
    <w:name w:val="font6"/>
    <w:basedOn w:val="1"/>
    <w:qFormat/>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192">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19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94">
    <w:name w:val="xl75"/>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16"/>
      <w:szCs w:val="16"/>
    </w:rPr>
  </w:style>
  <w:style w:type="paragraph" w:customStyle="1" w:styleId="195">
    <w:name w:val="pa-5"/>
    <w:basedOn w:val="1"/>
    <w:qFormat/>
    <w:uiPriority w:val="0"/>
    <w:pPr>
      <w:widowControl/>
      <w:spacing w:before="150" w:after="150" w:line="280" w:lineRule="atLeast"/>
      <w:jc w:val="left"/>
    </w:pPr>
    <w:rPr>
      <w:rFonts w:ascii="宋体" w:hAnsi="宋体" w:cs="宋体"/>
      <w:kern w:val="0"/>
      <w:sz w:val="24"/>
      <w:szCs w:val="24"/>
    </w:rPr>
  </w:style>
  <w:style w:type="paragraph" w:customStyle="1" w:styleId="196">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6"/>
      <w:szCs w:val="16"/>
    </w:rPr>
  </w:style>
  <w:style w:type="paragraph" w:customStyle="1" w:styleId="197">
    <w:name w:val="彩色列表 - 着色 11"/>
    <w:basedOn w:val="1"/>
    <w:qFormat/>
    <w:uiPriority w:val="99"/>
    <w:pPr>
      <w:widowControl/>
      <w:ind w:left="720"/>
      <w:contextualSpacing/>
      <w:jc w:val="left"/>
    </w:pPr>
    <w:rPr>
      <w:rFonts w:ascii="Calibri" w:hAnsi="Calibri"/>
      <w:kern w:val="0"/>
      <w:sz w:val="24"/>
      <w:szCs w:val="24"/>
      <w:lang w:eastAsia="en-US" w:bidi="en-US"/>
    </w:rPr>
  </w:style>
  <w:style w:type="paragraph" w:customStyle="1" w:styleId="198">
    <w:name w:val="xl95"/>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199">
    <w:name w:val="pa-6"/>
    <w:basedOn w:val="1"/>
    <w:qFormat/>
    <w:uiPriority w:val="0"/>
    <w:pPr>
      <w:widowControl/>
      <w:spacing w:before="150" w:after="150" w:line="360" w:lineRule="atLeast"/>
      <w:jc w:val="left"/>
    </w:pPr>
    <w:rPr>
      <w:rFonts w:ascii="宋体" w:hAnsi="宋体" w:cs="宋体"/>
      <w:kern w:val="0"/>
      <w:sz w:val="24"/>
      <w:szCs w:val="24"/>
    </w:rPr>
  </w:style>
  <w:style w:type="paragraph" w:customStyle="1" w:styleId="200">
    <w:name w:val="yiv410645557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1">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202">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203">
    <w:name w:val="xl7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204">
    <w:name w:val="pa-64"/>
    <w:basedOn w:val="1"/>
    <w:qFormat/>
    <w:uiPriority w:val="0"/>
    <w:pPr>
      <w:widowControl/>
      <w:spacing w:before="150" w:after="150"/>
      <w:jc w:val="left"/>
    </w:pPr>
    <w:rPr>
      <w:rFonts w:ascii="宋体" w:hAnsi="宋体" w:cs="宋体"/>
      <w:kern w:val="0"/>
      <w:sz w:val="24"/>
      <w:szCs w:val="24"/>
    </w:rPr>
  </w:style>
  <w:style w:type="paragraph" w:customStyle="1" w:styleId="205">
    <w:name w:val="彩色列表1"/>
    <w:basedOn w:val="1"/>
    <w:qFormat/>
    <w:uiPriority w:val="34"/>
    <w:pPr>
      <w:ind w:firstLine="420" w:firstLineChars="200"/>
    </w:pPr>
  </w:style>
  <w:style w:type="paragraph" w:customStyle="1" w:styleId="206">
    <w:name w:val="List Paragraph1"/>
    <w:basedOn w:val="1"/>
    <w:qFormat/>
    <w:uiPriority w:val="0"/>
    <w:pPr>
      <w:ind w:left="480" w:leftChars="200"/>
      <w:jc w:val="left"/>
    </w:pPr>
    <w:rPr>
      <w:rFonts w:ascii="Calibri" w:hAnsi="Calibri" w:eastAsia="PMingLiU" w:cs="Calibri"/>
      <w:sz w:val="24"/>
      <w:szCs w:val="24"/>
      <w:lang w:eastAsia="zh-TW"/>
    </w:rPr>
  </w:style>
  <w:style w:type="paragraph" w:customStyle="1" w:styleId="207">
    <w:name w:val="xl81"/>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208">
    <w:name w:val="默认段落字体 Para Char Char Char Char Char Char Char"/>
    <w:basedOn w:val="13"/>
    <w:qFormat/>
    <w:uiPriority w:val="0"/>
    <w:pPr>
      <w:adjustRightInd w:val="0"/>
      <w:spacing w:before="50" w:beforeLines="50" w:after="50" w:afterLines="50" w:line="360" w:lineRule="auto"/>
      <w:ind w:left="357"/>
      <w:jc w:val="left"/>
      <w:outlineLvl w:val="3"/>
    </w:pPr>
    <w:rPr>
      <w:rFonts w:ascii="Tahoma" w:hAnsi="Tahoma"/>
      <w:b/>
      <w:sz w:val="24"/>
      <w:szCs w:val="24"/>
    </w:rPr>
  </w:style>
  <w:style w:type="paragraph" w:customStyle="1" w:styleId="209">
    <w:name w:val="table_1stline"/>
    <w:basedOn w:val="1"/>
    <w:qFormat/>
    <w:uiPriority w:val="0"/>
    <w:pPr>
      <w:widowControl/>
      <w:spacing w:before="120"/>
      <w:jc w:val="left"/>
    </w:pPr>
    <w:rPr>
      <w:bCs/>
      <w:kern w:val="0"/>
      <w:sz w:val="20"/>
      <w:szCs w:val="20"/>
      <w:lang w:val="de-DE" w:eastAsia="de-DE"/>
    </w:rPr>
  </w:style>
  <w:style w:type="paragraph" w:customStyle="1" w:styleId="210">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211">
    <w:name w:val="xl82"/>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212">
    <w:name w:val="xl104"/>
    <w:basedOn w:val="1"/>
    <w:qFormat/>
    <w:uiPriority w:val="0"/>
    <w:pPr>
      <w:widowControl/>
      <w:shd w:val="clear" w:color="000000" w:fill="FFFFFF"/>
      <w:spacing w:before="100" w:beforeAutospacing="1" w:after="100" w:afterAutospacing="1"/>
      <w:jc w:val="center"/>
    </w:pPr>
    <w:rPr>
      <w:rFonts w:ascii="宋体" w:hAnsi="宋体" w:cs="宋体"/>
      <w:kern w:val="0"/>
      <w:sz w:val="16"/>
      <w:szCs w:val="16"/>
    </w:rPr>
  </w:style>
  <w:style w:type="paragraph" w:customStyle="1" w:styleId="213">
    <w:name w:val="pa-10"/>
    <w:basedOn w:val="1"/>
    <w:qFormat/>
    <w:uiPriority w:val="0"/>
    <w:pPr>
      <w:widowControl/>
      <w:spacing w:before="150" w:after="150"/>
      <w:jc w:val="left"/>
    </w:pPr>
    <w:rPr>
      <w:rFonts w:ascii="宋体" w:hAnsi="宋体" w:cs="宋体"/>
      <w:kern w:val="0"/>
      <w:sz w:val="24"/>
      <w:szCs w:val="24"/>
    </w:rPr>
  </w:style>
  <w:style w:type="paragraph" w:customStyle="1" w:styleId="214">
    <w:name w:val="xl88"/>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215">
    <w:name w:val="样式1"/>
    <w:basedOn w:val="1"/>
    <w:qFormat/>
    <w:uiPriority w:val="0"/>
    <w:pPr>
      <w:numPr>
        <w:ilvl w:val="0"/>
        <w:numId w:val="4"/>
      </w:numPr>
      <w:adjustRightInd w:val="0"/>
      <w:textAlignment w:val="baseline"/>
    </w:pPr>
    <w:rPr>
      <w:rFonts w:ascii="宋体" w:hAnsi="宋体"/>
      <w:kern w:val="0"/>
    </w:rPr>
  </w:style>
  <w:style w:type="paragraph" w:customStyle="1" w:styleId="216">
    <w:name w:val="xl89"/>
    <w:basedOn w:val="1"/>
    <w:qFormat/>
    <w:uiPriority w:val="0"/>
    <w:pPr>
      <w:widowControl/>
      <w:spacing w:before="100" w:beforeAutospacing="1" w:after="100" w:afterAutospacing="1"/>
      <w:jc w:val="center"/>
    </w:pPr>
    <w:rPr>
      <w:rFonts w:ascii="宋体" w:hAnsi="宋体" w:cs="宋体"/>
      <w:kern w:val="0"/>
      <w:sz w:val="16"/>
      <w:szCs w:val="16"/>
    </w:rPr>
  </w:style>
  <w:style w:type="paragraph" w:customStyle="1" w:styleId="217">
    <w:name w:val="正文00"/>
    <w:basedOn w:val="1"/>
    <w:qFormat/>
    <w:uiPriority w:val="0"/>
    <w:pPr>
      <w:topLinePunct/>
      <w:spacing w:line="360" w:lineRule="auto"/>
      <w:ind w:firstLine="200" w:firstLineChars="200"/>
    </w:pPr>
    <w:rPr>
      <w:sz w:val="24"/>
    </w:rPr>
  </w:style>
  <w:style w:type="paragraph" w:customStyle="1" w:styleId="218">
    <w:name w:val="pa-15"/>
    <w:basedOn w:val="1"/>
    <w:qFormat/>
    <w:uiPriority w:val="0"/>
    <w:pPr>
      <w:widowControl/>
      <w:spacing w:before="150" w:after="150"/>
      <w:jc w:val="left"/>
    </w:pPr>
    <w:rPr>
      <w:rFonts w:ascii="宋体" w:hAnsi="宋体" w:cs="宋体"/>
      <w:kern w:val="0"/>
      <w:sz w:val="24"/>
      <w:szCs w:val="24"/>
    </w:rPr>
  </w:style>
  <w:style w:type="paragraph" w:customStyle="1" w:styleId="219">
    <w:name w:val="xl99"/>
    <w:basedOn w:val="1"/>
    <w:qFormat/>
    <w:uiPriority w:val="0"/>
    <w:pPr>
      <w:widowControl/>
      <w:pBdr>
        <w:lef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220">
    <w:name w:val="pa-66"/>
    <w:basedOn w:val="1"/>
    <w:qFormat/>
    <w:uiPriority w:val="0"/>
    <w:pPr>
      <w:widowControl/>
      <w:spacing w:before="150" w:after="150"/>
      <w:jc w:val="left"/>
    </w:pPr>
    <w:rPr>
      <w:rFonts w:ascii="宋体" w:hAnsi="宋体" w:cs="宋体"/>
      <w:kern w:val="0"/>
      <w:sz w:val="24"/>
      <w:szCs w:val="24"/>
    </w:rPr>
  </w:style>
  <w:style w:type="paragraph" w:customStyle="1" w:styleId="221">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16"/>
      <w:szCs w:val="16"/>
    </w:rPr>
  </w:style>
  <w:style w:type="paragraph" w:customStyle="1" w:styleId="222">
    <w:name w:val="pa-3"/>
    <w:basedOn w:val="1"/>
    <w:qFormat/>
    <w:uiPriority w:val="0"/>
    <w:pPr>
      <w:widowControl/>
      <w:spacing w:before="150" w:after="150" w:line="360" w:lineRule="atLeast"/>
      <w:ind w:firstLine="420"/>
    </w:pPr>
    <w:rPr>
      <w:rFonts w:ascii="宋体" w:hAnsi="宋体" w:cs="宋体"/>
      <w:kern w:val="0"/>
      <w:sz w:val="24"/>
      <w:szCs w:val="24"/>
    </w:rPr>
  </w:style>
  <w:style w:type="paragraph" w:customStyle="1" w:styleId="223">
    <w:name w:val="pa-2"/>
    <w:basedOn w:val="1"/>
    <w:qFormat/>
    <w:uiPriority w:val="0"/>
    <w:pPr>
      <w:widowControl/>
      <w:spacing w:before="150" w:after="150" w:line="360" w:lineRule="atLeast"/>
      <w:ind w:firstLine="480"/>
    </w:pPr>
    <w:rPr>
      <w:rFonts w:ascii="宋体" w:hAnsi="宋体" w:cs="宋体"/>
      <w:kern w:val="0"/>
      <w:sz w:val="24"/>
      <w:szCs w:val="24"/>
    </w:rPr>
  </w:style>
  <w:style w:type="paragraph" w:customStyle="1" w:styleId="224">
    <w:name w:val="xl93"/>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225">
    <w:name w:val="Table Description"/>
    <w:basedOn w:val="1"/>
    <w:next w:val="1"/>
    <w:qFormat/>
    <w:uiPriority w:val="0"/>
    <w:pPr>
      <w:keepNext/>
      <w:widowControl/>
      <w:numPr>
        <w:ilvl w:val="8"/>
        <w:numId w:val="5"/>
      </w:numPr>
      <w:topLinePunct/>
      <w:adjustRightInd w:val="0"/>
      <w:snapToGrid w:val="0"/>
      <w:spacing w:before="320" w:after="80" w:line="240" w:lineRule="atLeast"/>
      <w:jc w:val="left"/>
    </w:pPr>
    <w:rPr>
      <w:rFonts w:eastAsia="黑体" w:cs="Arial"/>
      <w:spacing w:val="-4"/>
    </w:rPr>
  </w:style>
  <w:style w:type="paragraph" w:customStyle="1" w:styleId="226">
    <w:name w:val="xl105"/>
    <w:basedOn w:val="1"/>
    <w:qFormat/>
    <w:uiPriority w:val="0"/>
    <w:pPr>
      <w:widowControl/>
      <w:shd w:val="clear" w:color="000000" w:fill="FFFFFF"/>
      <w:spacing w:before="100" w:beforeAutospacing="1" w:after="100" w:afterAutospacing="1"/>
      <w:jc w:val="center"/>
    </w:pPr>
    <w:rPr>
      <w:rFonts w:ascii="宋体" w:hAnsi="宋体" w:cs="宋体"/>
      <w:kern w:val="0"/>
      <w:sz w:val="16"/>
      <w:szCs w:val="16"/>
    </w:rPr>
  </w:style>
  <w:style w:type="paragraph" w:customStyle="1" w:styleId="22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228">
    <w:name w:val="pa-25"/>
    <w:basedOn w:val="1"/>
    <w:qFormat/>
    <w:uiPriority w:val="0"/>
    <w:pPr>
      <w:widowControl/>
      <w:spacing w:before="150" w:after="150"/>
      <w:jc w:val="left"/>
    </w:pPr>
    <w:rPr>
      <w:rFonts w:ascii="宋体" w:hAnsi="宋体" w:cs="宋体"/>
      <w:kern w:val="0"/>
      <w:sz w:val="24"/>
      <w:szCs w:val="24"/>
    </w:rPr>
  </w:style>
  <w:style w:type="paragraph" w:customStyle="1" w:styleId="229">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230">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231">
    <w:name w:val="pa-4"/>
    <w:basedOn w:val="1"/>
    <w:qFormat/>
    <w:uiPriority w:val="0"/>
    <w:pPr>
      <w:widowControl/>
      <w:spacing w:before="150" w:after="150"/>
      <w:jc w:val="left"/>
    </w:pPr>
    <w:rPr>
      <w:rFonts w:ascii="宋体" w:hAnsi="宋体" w:cs="宋体"/>
      <w:kern w:val="0"/>
      <w:sz w:val="24"/>
      <w:szCs w:val="24"/>
    </w:rPr>
  </w:style>
  <w:style w:type="paragraph" w:customStyle="1" w:styleId="232">
    <w:name w:val="pa-9"/>
    <w:basedOn w:val="1"/>
    <w:qFormat/>
    <w:uiPriority w:val="0"/>
    <w:pPr>
      <w:widowControl/>
      <w:spacing w:before="150" w:after="150"/>
      <w:jc w:val="left"/>
    </w:pPr>
    <w:rPr>
      <w:rFonts w:ascii="宋体" w:hAnsi="宋体" w:cs="宋体"/>
      <w:kern w:val="0"/>
      <w:sz w:val="24"/>
      <w:szCs w:val="24"/>
    </w:rPr>
  </w:style>
  <w:style w:type="paragraph" w:customStyle="1" w:styleId="233">
    <w:name w:val="fix16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34">
    <w:name w:val="xl85"/>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23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236">
    <w:name w:val="xl94"/>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237">
    <w:name w:val="Table Paragraph"/>
    <w:basedOn w:val="1"/>
    <w:qFormat/>
    <w:uiPriority w:val="1"/>
    <w:rPr>
      <w:rFonts w:ascii="Calibri" w:hAnsi="Calibri"/>
      <w:szCs w:val="24"/>
    </w:rPr>
  </w:style>
  <w:style w:type="paragraph" w:customStyle="1" w:styleId="238">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6"/>
      <w:szCs w:val="16"/>
    </w:rPr>
  </w:style>
  <w:style w:type="paragraph" w:customStyle="1" w:styleId="239">
    <w:name w:val="xl102"/>
    <w:basedOn w:val="1"/>
    <w:qFormat/>
    <w:uiPriority w:val="0"/>
    <w:pPr>
      <w:widowControl/>
      <w:pBdr>
        <w:left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240">
    <w:name w:val="Char Char Char Char Char Char Char Char Char Char Char Char Char"/>
    <w:basedOn w:val="13"/>
    <w:qFormat/>
    <w:uiPriority w:val="0"/>
    <w:rPr>
      <w:rFonts w:ascii="Tahoma" w:hAnsi="Tahoma"/>
      <w:sz w:val="24"/>
      <w:szCs w:val="24"/>
    </w:rPr>
  </w:style>
  <w:style w:type="paragraph" w:customStyle="1" w:styleId="241">
    <w:name w:val="Char2"/>
    <w:basedOn w:val="1"/>
    <w:qFormat/>
    <w:uiPriority w:val="0"/>
    <w:pPr>
      <w:tabs>
        <w:tab w:val="left" w:pos="360"/>
      </w:tabs>
    </w:pPr>
    <w:rPr>
      <w:sz w:val="24"/>
      <w:szCs w:val="24"/>
    </w:rPr>
  </w:style>
  <w:style w:type="paragraph" w:customStyle="1" w:styleId="242">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243">
    <w:name w:val="Figure Description"/>
    <w:next w:val="1"/>
    <w:qFormat/>
    <w:uiPriority w:val="0"/>
    <w:pPr>
      <w:keepNext/>
      <w:numPr>
        <w:ilvl w:val="7"/>
        <w:numId w:val="5"/>
      </w:numPr>
      <w:adjustRightInd w:val="0"/>
      <w:snapToGrid w:val="0"/>
      <w:spacing w:before="320" w:after="80" w:line="240" w:lineRule="atLeast"/>
    </w:pPr>
    <w:rPr>
      <w:rFonts w:ascii="Times New Roman" w:hAnsi="Times New Roman" w:eastAsia="黑体" w:cs="Arial"/>
      <w:spacing w:val="-4"/>
      <w:kern w:val="2"/>
      <w:sz w:val="21"/>
      <w:szCs w:val="21"/>
      <w:lang w:val="en-US" w:eastAsia="zh-CN" w:bidi="ar-SA"/>
    </w:rPr>
  </w:style>
  <w:style w:type="paragraph" w:customStyle="1" w:styleId="244">
    <w:name w:val="font7"/>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245">
    <w:name w:val="xl30"/>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246">
    <w:name w:val="表身（左）"/>
    <w:qFormat/>
    <w:uiPriority w:val="0"/>
    <w:pPr>
      <w:adjustRightInd w:val="0"/>
      <w:snapToGrid w:val="0"/>
      <w:spacing w:line="300" w:lineRule="auto"/>
      <w:textAlignment w:val="center"/>
    </w:pPr>
    <w:rPr>
      <w:rFonts w:ascii="Times New Roman" w:hAnsi="Times New Roman" w:eastAsia="宋体" w:cs="Times New Roman"/>
      <w:sz w:val="16"/>
      <w:szCs w:val="22"/>
      <w:lang w:val="en-US" w:eastAsia="zh-CN" w:bidi="ar-SA"/>
    </w:rPr>
  </w:style>
  <w:style w:type="paragraph" w:customStyle="1" w:styleId="247">
    <w:name w:val="符号正文文字缩进"/>
    <w:basedOn w:val="1"/>
    <w:qFormat/>
    <w:uiPriority w:val="0"/>
    <w:pPr>
      <w:numPr>
        <w:ilvl w:val="0"/>
        <w:numId w:val="6"/>
      </w:numPr>
      <w:spacing w:after="120" w:line="288" w:lineRule="auto"/>
      <w:ind w:right="210" w:rightChars="100"/>
    </w:pPr>
    <w:rPr>
      <w:szCs w:val="20"/>
    </w:rPr>
  </w:style>
  <w:style w:type="paragraph" w:customStyle="1" w:styleId="248">
    <w:name w:val="列出段落1"/>
    <w:basedOn w:val="1"/>
    <w:qFormat/>
    <w:uiPriority w:val="0"/>
    <w:pPr>
      <w:ind w:left="200" w:leftChars="200"/>
      <w:jc w:val="left"/>
    </w:pPr>
    <w:rPr>
      <w:rFonts w:ascii="Calibri" w:hAnsi="Calibri" w:eastAsia="PMingLiU" w:cs="宋体"/>
      <w:sz w:val="24"/>
      <w:szCs w:val="22"/>
      <w:lang w:eastAsia="zh-TW"/>
    </w:rPr>
  </w:style>
  <w:style w:type="paragraph" w:customStyle="1" w:styleId="249">
    <w:name w:val="符号正文文字缩进3"/>
    <w:basedOn w:val="1"/>
    <w:qFormat/>
    <w:uiPriority w:val="0"/>
    <w:pPr>
      <w:numPr>
        <w:ilvl w:val="0"/>
        <w:numId w:val="7"/>
      </w:numPr>
      <w:adjustRightInd w:val="0"/>
      <w:snapToGrid w:val="0"/>
      <w:spacing w:after="120" w:line="360" w:lineRule="auto"/>
    </w:pPr>
    <w:rPr>
      <w:b/>
      <w:color w:val="008000"/>
      <w:szCs w:val="20"/>
    </w:rPr>
  </w:style>
  <w:style w:type="paragraph" w:customStyle="1" w:styleId="250">
    <w:name w:val="正文 A"/>
    <w:next w:val="1"/>
    <w:qFormat/>
    <w:uiPriority w:val="0"/>
    <w:pPr>
      <w:widowControl w:val="0"/>
      <w:jc w:val="both"/>
    </w:pPr>
    <w:rPr>
      <w:rFonts w:ascii="Times New Roman" w:hAnsi="Times New Roman" w:eastAsia="Times New Roman" w:cs="Times New Roman"/>
      <w:color w:val="000000"/>
      <w:kern w:val="2"/>
      <w:sz w:val="21"/>
      <w:szCs w:val="21"/>
      <w:lang w:val="en-US" w:eastAsia="zh-CN" w:bidi="ar-SA"/>
    </w:rPr>
  </w:style>
  <w:style w:type="paragraph" w:customStyle="1" w:styleId="251">
    <w:name w:val="p16"/>
    <w:basedOn w:val="1"/>
    <w:qFormat/>
    <w:uiPriority w:val="0"/>
    <w:pPr>
      <w:widowControl/>
      <w:spacing w:line="360" w:lineRule="auto"/>
    </w:pPr>
    <w:rPr>
      <w:b/>
      <w:bCs/>
      <w:color w:val="000000"/>
      <w:kern w:val="0"/>
      <w:sz w:val="24"/>
    </w:rPr>
  </w:style>
  <w:style w:type="paragraph" w:customStyle="1" w:styleId="252">
    <w:name w:val="xl106"/>
    <w:basedOn w:val="1"/>
    <w:qFormat/>
    <w:uiPriority w:val="0"/>
    <w:pPr>
      <w:widowControl/>
      <w:shd w:val="clear" w:color="000000" w:fill="FFFFFF"/>
      <w:spacing w:before="100" w:beforeAutospacing="1" w:after="100" w:afterAutospacing="1"/>
      <w:jc w:val="left"/>
    </w:pPr>
    <w:rPr>
      <w:rFonts w:ascii="宋体" w:hAnsi="宋体" w:cs="宋体"/>
      <w:kern w:val="0"/>
      <w:sz w:val="16"/>
      <w:szCs w:val="16"/>
    </w:rPr>
  </w:style>
  <w:style w:type="paragraph" w:customStyle="1" w:styleId="25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254">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255">
    <w:name w:val="正文首行缩进 21"/>
    <w:basedOn w:val="1"/>
    <w:next w:val="1"/>
    <w:qFormat/>
    <w:uiPriority w:val="0"/>
    <w:pPr>
      <w:ind w:firstLine="420" w:firstLineChars="200"/>
    </w:pPr>
  </w:style>
  <w:style w:type="character" w:customStyle="1" w:styleId="256">
    <w:name w:val="font01"/>
    <w:qFormat/>
    <w:uiPriority w:val="0"/>
    <w:rPr>
      <w:rFonts w:hint="eastAsia" w:ascii="等线" w:hAnsi="等线" w:eastAsia="等线"/>
      <w:color w:val="000000"/>
      <w:sz w:val="22"/>
      <w:szCs w:val="22"/>
      <w:u w:val="none"/>
    </w:rPr>
  </w:style>
  <w:style w:type="character" w:customStyle="1" w:styleId="257">
    <w:name w:val="font11"/>
    <w:qFormat/>
    <w:uiPriority w:val="0"/>
    <w:rPr>
      <w:rFonts w:hint="eastAsia" w:ascii="等线" w:hAnsi="等线" w:eastAsia="等线"/>
      <w:color w:val="000000"/>
      <w:sz w:val="22"/>
      <w:szCs w:val="22"/>
      <w:u w:val="none"/>
      <w:vertAlign w:val="superscript"/>
    </w:rPr>
  </w:style>
  <w:style w:type="table" w:customStyle="1" w:styleId="258">
    <w:name w:val="Table Normal1"/>
    <w:basedOn w:val="39"/>
    <w:semiHidden/>
    <w:qFormat/>
    <w:uiPriority w:val="0"/>
    <w:tblPr>
      <w:tblCellMar>
        <w:left w:w="0" w:type="dxa"/>
        <w:right w:w="0" w:type="dxa"/>
      </w:tblCellMar>
    </w:tblPr>
  </w:style>
  <w:style w:type="paragraph" w:customStyle="1" w:styleId="259">
    <w:name w:val="msolistparagraph"/>
    <w:basedOn w:val="1"/>
    <w:qFormat/>
    <w:uiPriority w:val="0"/>
    <w:pPr>
      <w:autoSpaceDE w:val="0"/>
      <w:autoSpaceDN w:val="0"/>
      <w:spacing w:before="161"/>
      <w:ind w:left="721" w:hanging="602"/>
      <w:jc w:val="left"/>
    </w:pPr>
    <w:rPr>
      <w:rFonts w:hint="eastAsia" w:ascii="宋体" w:hAnsi="宋体"/>
      <w:kern w:val="0"/>
      <w:sz w:val="22"/>
      <w:szCs w:val="22"/>
    </w:rPr>
  </w:style>
  <w:style w:type="character" w:customStyle="1" w:styleId="260">
    <w:name w:val="msoplaceholdertext"/>
    <w:qFormat/>
    <w:uiPriority w:val="0"/>
    <w:rPr>
      <w:color w:val="808080"/>
    </w:rPr>
  </w:style>
  <w:style w:type="character" w:customStyle="1" w:styleId="261">
    <w:name w:val="idp-ltr-html-tablenumber"/>
    <w:qFormat/>
    <w:uiPriority w:val="0"/>
  </w:style>
  <w:style w:type="character" w:customStyle="1" w:styleId="262">
    <w:name w:val="idp-ltr-html-cmdname"/>
    <w:qFormat/>
    <w:uiPriority w:val="0"/>
  </w:style>
  <w:style w:type="character" w:customStyle="1" w:styleId="263">
    <w:name w:val="idp-ltr-html-keyword"/>
    <w:qFormat/>
    <w:uiPriority w:val="0"/>
  </w:style>
  <w:style w:type="character" w:customStyle="1" w:styleId="264">
    <w:name w:val="font61"/>
    <w:qFormat/>
    <w:uiPriority w:val="0"/>
    <w:rPr>
      <w:rFonts w:hint="eastAsia" w:ascii="微软雅黑" w:hAnsi="微软雅黑" w:eastAsia="微软雅黑" w:cs="微软雅黑"/>
      <w:color w:val="000000"/>
      <w:sz w:val="24"/>
      <w:szCs w:val="24"/>
      <w:u w:val="none"/>
    </w:rPr>
  </w:style>
  <w:style w:type="character" w:customStyle="1" w:styleId="265">
    <w:name w:val="idp-ltr-html-tablecap"/>
    <w:qFormat/>
    <w:uiPriority w:val="0"/>
  </w:style>
  <w:style w:type="character" w:customStyle="1" w:styleId="266">
    <w:name w:val="idp-ltr-html-varname"/>
    <w:qFormat/>
    <w:uiPriority w:val="0"/>
  </w:style>
  <w:style w:type="character" w:customStyle="1" w:styleId="267">
    <w:name w:val="cm-string"/>
    <w:qFormat/>
    <w:uiPriority w:val="0"/>
  </w:style>
  <w:style w:type="character" w:customStyle="1" w:styleId="268">
    <w:name w:val="cm-number"/>
    <w:qFormat/>
    <w:uiPriority w:val="0"/>
  </w:style>
  <w:style w:type="character" w:customStyle="1" w:styleId="269">
    <w:name w:val="未处理的提及1"/>
    <w:qFormat/>
    <w:uiPriority w:val="0"/>
    <w:rPr>
      <w:color w:val="605E5C"/>
      <w:shd w:val="clear" w:color="auto" w:fill="E1DFDD"/>
    </w:rPr>
  </w:style>
  <w:style w:type="character" w:customStyle="1" w:styleId="270">
    <w:name w:val="无间隔 字符"/>
    <w:qFormat/>
    <w:uiPriority w:val="0"/>
    <w:rPr>
      <w:rFonts w:hint="eastAsia" w:ascii="等线" w:hAnsi="等线" w:eastAsia="等线" w:cs="等线"/>
      <w:sz w:val="22"/>
      <w:szCs w:val="22"/>
    </w:rPr>
  </w:style>
  <w:style w:type="character" w:customStyle="1" w:styleId="271">
    <w:name w:val="明显强调1"/>
    <w:qFormat/>
    <w:uiPriority w:val="0"/>
    <w:rPr>
      <w:i/>
      <w:iCs/>
      <w:color w:val="4472C4"/>
    </w:rPr>
  </w:style>
  <w:style w:type="character" w:customStyle="1" w:styleId="272">
    <w:name w:val="15"/>
    <w:qFormat/>
    <w:uiPriority w:val="0"/>
    <w:rPr>
      <w:rFonts w:hint="default" w:ascii="Calibri" w:hAnsi="Calibri" w:cs="Calibri"/>
      <w:sz w:val="16"/>
      <w:szCs w:val="16"/>
    </w:rPr>
  </w:style>
  <w:style w:type="character" w:customStyle="1" w:styleId="273">
    <w:name w:val="10"/>
    <w:qFormat/>
    <w:uiPriority w:val="0"/>
    <w:rPr>
      <w:rFonts w:hint="default" w:ascii="Calibri" w:hAnsi="Calibri" w:cs="Calibri"/>
    </w:rPr>
  </w:style>
  <w:style w:type="paragraph" w:customStyle="1" w:styleId="274">
    <w:name w:val="修订1"/>
    <w:unhideWhenUsed/>
    <w:qFormat/>
    <w:uiPriority w:val="99"/>
    <w:rPr>
      <w:rFonts w:ascii="Times New Roman" w:hAnsi="Times New Roman" w:eastAsia="宋体" w:cs="Times New Roman"/>
      <w:kern w:val="2"/>
      <w:sz w:val="21"/>
      <w:szCs w:val="21"/>
      <w:lang w:val="en-US" w:eastAsia="zh-CN" w:bidi="ar-SA"/>
    </w:rPr>
  </w:style>
  <w:style w:type="character" w:customStyle="1" w:styleId="275">
    <w:name w:val="正文文本首行缩进 2 字符"/>
    <w:qFormat/>
    <w:uiPriority w:val="0"/>
    <w:rPr>
      <w:sz w:val="24"/>
      <w:szCs w:val="24"/>
    </w:rPr>
  </w:style>
  <w:style w:type="paragraph" w:customStyle="1" w:styleId="276">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277">
    <w:name w:val="修订3"/>
    <w:hidden/>
    <w:semiHidden/>
    <w:qFormat/>
    <w:uiPriority w:val="99"/>
    <w:rPr>
      <w:rFonts w:ascii="Times New Roman" w:hAnsi="Times New Roman" w:eastAsia="宋体" w:cs="Times New Roman"/>
      <w:kern w:val="2"/>
      <w:sz w:val="21"/>
      <w:szCs w:val="21"/>
      <w:lang w:val="en-US" w:eastAsia="zh-CN" w:bidi="ar-SA"/>
    </w:rPr>
  </w:style>
  <w:style w:type="character" w:customStyle="1" w:styleId="278">
    <w:name w:val="列表段落 字符"/>
    <w:basedOn w:val="41"/>
    <w:qFormat/>
    <w:uiPriority w:val="0"/>
    <w:rPr>
      <w:kern w:val="2"/>
      <w:sz w:val="21"/>
      <w:szCs w:val="22"/>
    </w:rPr>
  </w:style>
  <w:style w:type="paragraph" w:customStyle="1" w:styleId="279">
    <w:name w:val="列表段落1"/>
    <w:basedOn w:val="1"/>
    <w:qFormat/>
    <w:uiPriority w:val="0"/>
    <w:pPr>
      <w:ind w:firstLine="420" w:firstLineChars="200"/>
    </w:pPr>
    <w:rPr>
      <w:szCs w:val="20"/>
    </w:rPr>
  </w:style>
  <w:style w:type="paragraph" w:customStyle="1" w:styleId="280">
    <w:name w:val="修订4"/>
    <w:hidden/>
    <w:unhideWhenUsed/>
    <w:qFormat/>
    <w:uiPriority w:val="99"/>
    <w:rPr>
      <w:rFonts w:ascii="Times New Roman" w:hAnsi="Times New Roman" w:eastAsia="宋体" w:cs="Times New Roman"/>
      <w:kern w:val="2"/>
      <w:sz w:val="21"/>
      <w:szCs w:val="21"/>
      <w:lang w:val="en-US" w:eastAsia="zh-CN" w:bidi="ar-SA"/>
    </w:rPr>
  </w:style>
  <w:style w:type="paragraph" w:customStyle="1" w:styleId="281">
    <w:name w:val="修订5"/>
    <w:hidden/>
    <w:unhideWhenUsed/>
    <w:qFormat/>
    <w:uiPriority w:val="99"/>
    <w:rPr>
      <w:rFonts w:ascii="Times New Roman" w:hAnsi="Times New Roman" w:eastAsia="宋体" w:cs="Times New Roman"/>
      <w:kern w:val="2"/>
      <w:sz w:val="21"/>
      <w:szCs w:val="21"/>
      <w:lang w:val="en-US" w:eastAsia="zh-CN" w:bidi="ar-SA"/>
    </w:rPr>
  </w:style>
  <w:style w:type="character" w:customStyle="1" w:styleId="282">
    <w:name w:val="NormalCharacter"/>
    <w:basedOn w:val="41"/>
    <w:qFormat/>
    <w:uiPriority w:val="0"/>
  </w:style>
  <w:style w:type="character" w:customStyle="1" w:styleId="283">
    <w:name w:val="AnnotationReference"/>
    <w:basedOn w:val="41"/>
    <w:qFormat/>
    <w:uiPriority w:val="0"/>
    <w:rPr>
      <w:sz w:val="21"/>
      <w:szCs w:val="21"/>
    </w:rPr>
  </w:style>
  <w:style w:type="paragraph" w:customStyle="1" w:styleId="284">
    <w:name w:val="正文_3"/>
    <w:qFormat/>
    <w:uiPriority w:val="0"/>
    <w:pPr>
      <w:widowControl w:val="0"/>
      <w:jc w:val="both"/>
    </w:pPr>
    <w:rPr>
      <w:rFonts w:ascii="Times New Roman" w:hAnsi="Times New Roman" w:eastAsia="宋体" w:cs="Times New Roman"/>
      <w:kern w:val="2"/>
      <w:sz w:val="21"/>
      <w:lang w:val="en-US" w:eastAsia="zh-CN" w:bidi="ar-SA"/>
    </w:rPr>
  </w:style>
  <w:style w:type="table" w:customStyle="1" w:styleId="28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56</Pages>
  <Words>2058</Words>
  <Characters>2805</Characters>
  <Lines>998</Lines>
  <Paragraphs>812</Paragraphs>
  <TotalTime>6</TotalTime>
  <ScaleCrop>false</ScaleCrop>
  <LinksUpToDate>false</LinksUpToDate>
  <CharactersWithSpaces>2845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2025-05-16T03:17:00Z</dcterms:created>
  <dc:creator>微软用户</dc:creator>
  <cp:lastModifiedBy>1</cp:lastModifiedBy>
  <cp:lastPrinted>2023-02-14T01:05:00Z</cp:lastPrinted>
  <dcterms:modified xsi:type="dcterms:W3CDTF">2025-11-27T03:21:52Z</dcterms:modified>
  <dc:title>招　标　文　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3E53D681AFA54E81B9F20C1A2A203AC1_13</vt:lpwstr>
  </property>
  <property fmtid="{D5CDD505-2E9C-101B-9397-08002B2CF9AE}" pid="4" name="KSOTemplateDocerSaveRecord">
    <vt:lpwstr>eyJoZGlkIjoiNTE3ODBhODAwYWZlYmM2Zjk2MjA5ZjdiYTk1Y2U0OTQiLCJ1c2VySWQiOiI5NTc1NDY5NDYifQ==</vt:lpwstr>
  </property>
</Properties>
</file>