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D990">
      <w:pP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14:paraId="27CC953C">
      <w:pPr>
        <w:rPr>
          <w:rFonts w:hint="eastAsia" w:ascii="宋体" w:hAnsi="宋体" w:cs="宋体"/>
          <w:color w:val="000000" w:themeColor="text1"/>
          <w:sz w:val="28"/>
          <w:szCs w:val="28"/>
          <w:highlight w:val="none"/>
          <w14:textFill>
            <w14:solidFill>
              <w14:schemeClr w14:val="tx1"/>
            </w14:solidFill>
          </w14:textFill>
        </w:rPr>
      </w:pPr>
    </w:p>
    <w:p w14:paraId="78AB4EB7">
      <w:pPr>
        <w:tabs>
          <w:tab w:val="left" w:pos="390"/>
          <w:tab w:val="center" w:pos="4404"/>
        </w:tabs>
        <w:jc w:val="center"/>
        <w:rPr>
          <w:rFonts w:hint="eastAsia" w:ascii="宋体" w:hAnsi="宋体" w:cs="宋体"/>
          <w:b/>
          <w:bCs/>
          <w:color w:val="000000" w:themeColor="text1"/>
          <w:sz w:val="28"/>
          <w:szCs w:val="28"/>
          <w:highlight w:val="none"/>
          <w14:textFill>
            <w14:solidFill>
              <w14:schemeClr w14:val="tx1"/>
            </w14:solidFill>
          </w14:textFill>
        </w:rPr>
      </w:pPr>
    </w:p>
    <w:p w14:paraId="3C91AA0D">
      <w:pPr>
        <w:tabs>
          <w:tab w:val="left" w:pos="390"/>
          <w:tab w:val="center" w:pos="4404"/>
        </w:tabs>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竞争性磋商文件</w:t>
      </w:r>
    </w:p>
    <w:p w14:paraId="2376C097">
      <w:pPr>
        <w:rPr>
          <w:rFonts w:hint="eastAsia" w:ascii="宋体" w:hAnsi="宋体" w:cs="宋体"/>
          <w:color w:val="000000" w:themeColor="text1"/>
          <w:sz w:val="28"/>
          <w:szCs w:val="28"/>
          <w:highlight w:val="none"/>
          <w14:textFill>
            <w14:solidFill>
              <w14:schemeClr w14:val="tx1"/>
            </w14:solidFill>
          </w14:textFill>
        </w:rPr>
      </w:pPr>
    </w:p>
    <w:p w14:paraId="71DF41F9">
      <w:pPr>
        <w:rPr>
          <w:rFonts w:hint="eastAsia" w:ascii="宋体" w:hAnsi="宋体" w:cs="宋体"/>
          <w:color w:val="000000" w:themeColor="text1"/>
          <w:sz w:val="28"/>
          <w:szCs w:val="28"/>
          <w:highlight w:val="none"/>
          <w14:textFill>
            <w14:solidFill>
              <w14:schemeClr w14:val="tx1"/>
            </w14:solidFill>
          </w14:textFill>
        </w:rPr>
      </w:pPr>
    </w:p>
    <w:p w14:paraId="189B3196">
      <w:pPr>
        <w:rPr>
          <w:rFonts w:hint="eastAsia" w:ascii="宋体" w:hAnsi="宋体" w:cs="宋体"/>
          <w:color w:val="000000" w:themeColor="text1"/>
          <w:sz w:val="28"/>
          <w:szCs w:val="28"/>
          <w:highlight w:val="none"/>
          <w14:textFill>
            <w14:solidFill>
              <w14:schemeClr w14:val="tx1"/>
            </w14:solidFill>
          </w14:textFill>
        </w:rPr>
      </w:pPr>
    </w:p>
    <w:p w14:paraId="4B3C5C6D">
      <w:pPr>
        <w:jc w:val="center"/>
        <w:rPr>
          <w:rFonts w:hint="eastAsia" w:ascii="宋体" w:hAnsi="宋体" w:cs="宋体"/>
          <w:color w:val="000000" w:themeColor="text1"/>
          <w:sz w:val="28"/>
          <w:szCs w:val="28"/>
          <w:highlight w:val="none"/>
          <w14:textFill>
            <w14:solidFill>
              <w14:schemeClr w14:val="tx1"/>
            </w14:solidFill>
          </w14:textFill>
        </w:rPr>
      </w:pPr>
    </w:p>
    <w:p w14:paraId="1CC63266">
      <w:pPr>
        <w:rPr>
          <w:rFonts w:hint="eastAsia" w:ascii="宋体" w:hAnsi="宋体" w:cs="宋体"/>
          <w:color w:val="000000" w:themeColor="text1"/>
          <w:sz w:val="28"/>
          <w:szCs w:val="28"/>
          <w:highlight w:val="none"/>
          <w14:textFill>
            <w14:solidFill>
              <w14:schemeClr w14:val="tx1"/>
            </w14:solidFill>
          </w14:textFill>
        </w:rPr>
      </w:pPr>
    </w:p>
    <w:p w14:paraId="06AF03FF">
      <w:pPr>
        <w:rPr>
          <w:rFonts w:hint="eastAsia" w:ascii="宋体" w:hAnsi="宋体" w:cs="宋体"/>
          <w:color w:val="000000" w:themeColor="text1"/>
          <w:sz w:val="28"/>
          <w:szCs w:val="28"/>
          <w:highlight w:val="none"/>
          <w14:textFill>
            <w14:solidFill>
              <w14:schemeClr w14:val="tx1"/>
            </w14:solidFill>
          </w14:textFill>
        </w:rPr>
      </w:pPr>
    </w:p>
    <w:p w14:paraId="6B0AF966">
      <w:pPr>
        <w:rPr>
          <w:rFonts w:hint="eastAsia" w:ascii="宋体" w:hAnsi="宋体" w:cs="宋体"/>
          <w:color w:val="000000" w:themeColor="text1"/>
          <w:sz w:val="28"/>
          <w:szCs w:val="28"/>
          <w:highlight w:val="none"/>
          <w14:textFill>
            <w14:solidFill>
              <w14:schemeClr w14:val="tx1"/>
            </w14:solidFill>
          </w14:textFill>
        </w:rPr>
      </w:pPr>
    </w:p>
    <w:tbl>
      <w:tblPr>
        <w:tblStyle w:val="34"/>
        <w:tblW w:w="82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7"/>
      </w:tblGrid>
      <w:tr w14:paraId="1BF0D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jc w:val="center"/>
        </w:trPr>
        <w:tc>
          <w:tcPr>
            <w:tcW w:w="8227" w:type="dxa"/>
            <w:noWrap/>
            <w:vAlign w:val="center"/>
          </w:tcPr>
          <w:p w14:paraId="324596BD">
            <w:pPr>
              <w:jc w:val="left"/>
              <w:rPr>
                <w:rFonts w:hint="eastAsia" w:ascii="宋体" w:hAnsi="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项目编号：</w:t>
            </w:r>
            <w:r>
              <w:rPr>
                <w:rFonts w:hint="eastAsia" w:ascii="宋体" w:hAnsi="宋体" w:cs="宋体"/>
                <w:color w:val="000000" w:themeColor="text1"/>
                <w:sz w:val="32"/>
                <w:szCs w:val="32"/>
                <w:highlight w:val="none"/>
                <w:lang w:eastAsia="zh-CN"/>
                <w14:textFill>
                  <w14:solidFill>
                    <w14:schemeClr w14:val="tx1"/>
                  </w14:solidFill>
                </w14:textFill>
              </w:rPr>
              <w:t>NJKJ</w:t>
            </w:r>
            <w:r>
              <w:rPr>
                <w:rFonts w:hint="eastAsia" w:ascii="宋体" w:hAnsi="宋体" w:cs="宋体"/>
                <w:color w:val="000000" w:themeColor="text1"/>
                <w:sz w:val="32"/>
                <w:szCs w:val="32"/>
                <w:highlight w:val="none"/>
                <w:lang w:val="en-US" w:eastAsia="zh-CN"/>
                <w14:textFill>
                  <w14:solidFill>
                    <w14:schemeClr w14:val="tx1"/>
                  </w14:solidFill>
                </w14:textFill>
              </w:rPr>
              <w:t>-</w:t>
            </w:r>
            <w:r>
              <w:rPr>
                <w:rFonts w:hint="eastAsia" w:ascii="宋体" w:hAnsi="宋体" w:cs="宋体"/>
                <w:color w:val="000000" w:themeColor="text1"/>
                <w:sz w:val="32"/>
                <w:szCs w:val="32"/>
                <w:highlight w:val="none"/>
                <w:lang w:eastAsia="zh-CN"/>
                <w14:textFill>
                  <w14:solidFill>
                    <w14:schemeClr w14:val="tx1"/>
                  </w14:solidFill>
                </w14:textFill>
              </w:rPr>
              <w:t>2025</w:t>
            </w:r>
            <w:r>
              <w:rPr>
                <w:rFonts w:hint="eastAsia" w:ascii="宋体" w:hAnsi="宋体" w:cs="宋体"/>
                <w:color w:val="000000" w:themeColor="text1"/>
                <w:sz w:val="32"/>
                <w:szCs w:val="32"/>
                <w:highlight w:val="none"/>
                <w:lang w:val="en-US" w:eastAsia="zh-CN"/>
                <w14:textFill>
                  <w14:solidFill>
                    <w14:schemeClr w14:val="tx1"/>
                  </w14:solidFill>
                </w14:textFill>
              </w:rPr>
              <w:t>0924</w:t>
            </w:r>
          </w:p>
          <w:p w14:paraId="7575F2A6">
            <w:pPr>
              <w:jc w:val="left"/>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项目名称：</w:t>
            </w:r>
            <w:r>
              <w:rPr>
                <w:rFonts w:hint="eastAsia" w:ascii="宋体" w:hAnsi="宋体" w:cs="宋体"/>
                <w:color w:val="000000" w:themeColor="text1"/>
                <w:sz w:val="32"/>
                <w:szCs w:val="32"/>
                <w:highlight w:val="none"/>
                <w:lang w:eastAsia="zh-CN"/>
                <w14:textFill>
                  <w14:solidFill>
                    <w14:schemeClr w14:val="tx1"/>
                  </w14:solidFill>
                </w14:textFill>
              </w:rPr>
              <w:t>南京市栖霞区神马路市政道路养护工程</w:t>
            </w:r>
          </w:p>
          <w:p w14:paraId="00725E0C">
            <w:pPr>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采购类别：工程类</w:t>
            </w:r>
          </w:p>
        </w:tc>
      </w:tr>
    </w:tbl>
    <w:p w14:paraId="2DF56891">
      <w:pPr>
        <w:rPr>
          <w:rFonts w:hint="eastAsia" w:ascii="宋体" w:hAnsi="宋体" w:cs="宋体"/>
          <w:color w:val="000000" w:themeColor="text1"/>
          <w:sz w:val="28"/>
          <w:szCs w:val="28"/>
          <w:highlight w:val="none"/>
          <w14:textFill>
            <w14:solidFill>
              <w14:schemeClr w14:val="tx1"/>
            </w14:solidFill>
          </w14:textFill>
        </w:rPr>
      </w:pPr>
    </w:p>
    <w:p w14:paraId="0A5BE531">
      <w:pPr>
        <w:pStyle w:val="224"/>
        <w:rPr>
          <w:rFonts w:hint="eastAsia" w:ascii="宋体" w:hAnsi="宋体" w:eastAsia="宋体" w:cs="宋体"/>
          <w:color w:val="000000" w:themeColor="text1"/>
          <w:szCs w:val="28"/>
          <w:highlight w:val="none"/>
          <w14:textFill>
            <w14:solidFill>
              <w14:schemeClr w14:val="tx1"/>
            </w14:solidFill>
          </w14:textFill>
        </w:rPr>
      </w:pPr>
    </w:p>
    <w:p w14:paraId="1A11180A">
      <w:pPr>
        <w:rPr>
          <w:rFonts w:hint="eastAsia" w:ascii="宋体" w:hAnsi="宋体" w:cs="宋体"/>
          <w:color w:val="000000" w:themeColor="text1"/>
          <w:sz w:val="28"/>
          <w:szCs w:val="28"/>
          <w:highlight w:val="none"/>
          <w14:textFill>
            <w14:solidFill>
              <w14:schemeClr w14:val="tx1"/>
            </w14:solidFill>
          </w14:textFill>
        </w:rPr>
      </w:pPr>
    </w:p>
    <w:p w14:paraId="0352BDA6">
      <w:pPr>
        <w:rPr>
          <w:rFonts w:hint="eastAsia" w:ascii="宋体" w:hAnsi="宋体" w:cs="宋体"/>
          <w:color w:val="000000" w:themeColor="text1"/>
          <w:sz w:val="28"/>
          <w:szCs w:val="28"/>
          <w:highlight w:val="none"/>
          <w14:textFill>
            <w14:solidFill>
              <w14:schemeClr w14:val="tx1"/>
            </w14:solidFill>
          </w14:textFill>
        </w:rPr>
      </w:pPr>
    </w:p>
    <w:p w14:paraId="2C6AB9ED">
      <w:pPr>
        <w:pStyle w:val="224"/>
        <w:rPr>
          <w:rFonts w:hint="eastAsia" w:ascii="宋体" w:hAnsi="宋体" w:eastAsia="宋体" w:cs="宋体"/>
          <w:color w:val="000000" w:themeColor="text1"/>
          <w:szCs w:val="28"/>
          <w:highlight w:val="none"/>
          <w14:textFill>
            <w14:solidFill>
              <w14:schemeClr w14:val="tx1"/>
            </w14:solidFill>
          </w14:textFill>
        </w:rPr>
      </w:pPr>
    </w:p>
    <w:p w14:paraId="48C3A561">
      <w:pPr>
        <w:rPr>
          <w:rFonts w:hint="eastAsia" w:ascii="宋体" w:hAnsi="宋体" w:cs="宋体"/>
          <w:color w:val="000000" w:themeColor="text1"/>
          <w:sz w:val="28"/>
          <w:szCs w:val="28"/>
          <w:highlight w:val="none"/>
          <w14:textFill>
            <w14:solidFill>
              <w14:schemeClr w14:val="tx1"/>
            </w14:solidFill>
          </w14:textFill>
        </w:rPr>
      </w:pPr>
    </w:p>
    <w:p w14:paraId="1973D66D">
      <w:pPr>
        <w:ind w:firstLine="640"/>
        <w:jc w:val="left"/>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eastAsia="zh-CN"/>
          <w14:textFill>
            <w14:solidFill>
              <w14:schemeClr w14:val="tx1"/>
            </w14:solidFill>
          </w14:textFill>
        </w:rPr>
        <w:t>南京市栖霞区市政设施综合养护管理所</w:t>
      </w:r>
    </w:p>
    <w:p w14:paraId="617C1D50">
      <w:pPr>
        <w:ind w:firstLine="640"/>
        <w:jc w:val="left"/>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招标代理机构：</w:t>
      </w:r>
      <w:r>
        <w:rPr>
          <w:rFonts w:hint="eastAsia" w:ascii="宋体" w:hAnsi="宋体" w:cs="宋体"/>
          <w:color w:val="000000" w:themeColor="text1"/>
          <w:sz w:val="32"/>
          <w:szCs w:val="32"/>
          <w:highlight w:val="none"/>
          <w:lang w:eastAsia="zh-CN"/>
          <w14:textFill>
            <w14:solidFill>
              <w14:schemeClr w14:val="tx1"/>
            </w14:solidFill>
          </w14:textFill>
        </w:rPr>
        <w:t>南京科谨工程管理咨询有限责任公司</w:t>
      </w:r>
    </w:p>
    <w:p w14:paraId="4F508CB5">
      <w:pPr>
        <w:ind w:firstLine="64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日期：二〇二五年</w:t>
      </w:r>
      <w:r>
        <w:rPr>
          <w:rFonts w:hint="eastAsia" w:ascii="宋体" w:hAnsi="宋体" w:cs="宋体"/>
          <w:color w:val="000000" w:themeColor="text1"/>
          <w:sz w:val="32"/>
          <w:szCs w:val="32"/>
          <w:highlight w:val="none"/>
          <w:lang w:val="en-US" w:eastAsia="zh-CN"/>
          <w14:textFill>
            <w14:solidFill>
              <w14:schemeClr w14:val="tx1"/>
            </w14:solidFill>
          </w14:textFill>
        </w:rPr>
        <w:t>九</w:t>
      </w:r>
      <w:r>
        <w:rPr>
          <w:rFonts w:hint="eastAsia" w:ascii="宋体" w:hAnsi="宋体" w:cs="宋体"/>
          <w:color w:val="000000" w:themeColor="text1"/>
          <w:sz w:val="32"/>
          <w:szCs w:val="32"/>
          <w:highlight w:val="none"/>
          <w14:textFill>
            <w14:solidFill>
              <w14:schemeClr w14:val="tx1"/>
            </w14:solidFill>
          </w14:textFill>
        </w:rPr>
        <w:t>月</w:t>
      </w:r>
    </w:p>
    <w:p w14:paraId="35219495">
      <w:pPr>
        <w:jc w:val="center"/>
        <w:rPr>
          <w:rFonts w:hint="eastAsia" w:ascii="宋体" w:hAnsi="宋体" w:cs="宋体"/>
          <w:color w:val="000000" w:themeColor="text1"/>
          <w:sz w:val="36"/>
          <w:szCs w:val="36"/>
          <w:highlight w:val="none"/>
          <w:lang w:val="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clear="all"/>
      </w:r>
      <w:r>
        <w:rPr>
          <w:rFonts w:hint="eastAsia" w:ascii="宋体" w:hAnsi="宋体" w:cs="宋体"/>
          <w:color w:val="000000" w:themeColor="text1"/>
          <w:sz w:val="36"/>
          <w:szCs w:val="36"/>
          <w:highlight w:val="none"/>
          <w14:textFill>
            <w14:solidFill>
              <w14:schemeClr w14:val="tx1"/>
            </w14:solidFill>
          </w14:textFill>
        </w:rPr>
        <w:t>第一章 竞争性磋商邀请</w:t>
      </w:r>
    </w:p>
    <w:p w14:paraId="6AB659AF">
      <w:pPr>
        <w:pBdr>
          <w:top w:val="single" w:color="000000" w:sz="4" w:space="0"/>
          <w:left w:val="single" w:color="000000" w:sz="4" w:space="0"/>
          <w:bottom w:val="single" w:color="000000" w:sz="4" w:space="0"/>
          <w:right w:val="single" w:color="000000" w:sz="4" w:space="0"/>
        </w:pBd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项目概况</w:t>
      </w:r>
    </w:p>
    <w:p w14:paraId="3DE5B921">
      <w:pPr>
        <w:pBdr>
          <w:top w:val="single" w:color="000000" w:sz="4" w:space="0"/>
          <w:left w:val="single" w:color="000000" w:sz="4" w:space="0"/>
          <w:bottom w:val="single" w:color="000000" w:sz="4" w:space="0"/>
          <w:right w:val="single" w:color="000000" w:sz="4" w:space="0"/>
        </w:pBd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lang w:eastAsia="zh-CN"/>
          <w14:textFill>
            <w14:solidFill>
              <w14:schemeClr w14:val="tx1"/>
            </w14:solidFill>
          </w14:textFill>
        </w:rPr>
        <w:t>南京市栖霞区神马路市政道路养护工程</w:t>
      </w:r>
      <w:r>
        <w:rPr>
          <w:rFonts w:hint="eastAsia" w:ascii="宋体" w:hAnsi="宋体" w:cs="宋体"/>
          <w:color w:val="000000" w:themeColor="text1"/>
          <w:sz w:val="28"/>
          <w:szCs w:val="28"/>
          <w:highlight w:val="none"/>
          <w14:textFill>
            <w14:solidFill>
              <w14:schemeClr w14:val="tx1"/>
            </w14:solidFill>
          </w14:textFill>
        </w:rPr>
        <w:t>采购项目的潜在供应商应在</w:t>
      </w:r>
      <w:r>
        <w:rPr>
          <w:rFonts w:hint="eastAsia" w:ascii="宋体" w:hAnsi="宋体" w:cs="宋体"/>
          <w:color w:val="000000"/>
          <w:sz w:val="28"/>
          <w:szCs w:val="28"/>
          <w:highlight w:val="none"/>
          <w:u w:val="single"/>
        </w:rPr>
        <w:t>南京市建邺区广聚路33号2505室</w:t>
      </w:r>
      <w:r>
        <w:rPr>
          <w:rFonts w:hint="eastAsia" w:ascii="宋体" w:hAnsi="宋体" w:cs="宋体"/>
          <w:color w:val="000000" w:themeColor="text1"/>
          <w:sz w:val="28"/>
          <w:szCs w:val="28"/>
          <w:highlight w:val="none"/>
          <w14:textFill>
            <w14:solidFill>
              <w14:schemeClr w14:val="tx1"/>
            </w14:solidFill>
          </w14:textFill>
        </w:rPr>
        <w:t>获取采购文件，并于</w:t>
      </w:r>
      <w:r>
        <w:rPr>
          <w:rFonts w:hint="eastAsia" w:ascii="宋体" w:hAnsi="宋体" w:cs="宋体"/>
          <w:color w:val="000000" w:themeColor="text1"/>
          <w:sz w:val="28"/>
          <w:szCs w:val="28"/>
          <w:highlight w:val="none"/>
          <w:u w:val="single"/>
          <w14:textFill>
            <w14:solidFill>
              <w14:schemeClr w14:val="tx1"/>
            </w14:solidFill>
          </w14:textFill>
        </w:rPr>
        <w:t>2025年</w:t>
      </w:r>
      <w:r>
        <w:rPr>
          <w:rFonts w:hint="eastAsia" w:ascii="宋体" w:hAnsi="宋体" w:cs="宋体"/>
          <w:color w:val="000000" w:themeColor="text1"/>
          <w:sz w:val="28"/>
          <w:szCs w:val="28"/>
          <w:highlight w:val="none"/>
          <w:u w:val="single"/>
          <w:lang w:val="en-US" w:eastAsia="zh-CN"/>
          <w14:textFill>
            <w14:solidFill>
              <w14:schemeClr w14:val="tx1"/>
            </w14:solidFill>
          </w14:textFill>
        </w:rPr>
        <w:t>10</w:t>
      </w:r>
      <w:r>
        <w:rPr>
          <w:rFonts w:hint="eastAsia" w:ascii="宋体" w:hAnsi="宋体" w:cs="宋体"/>
          <w:color w:val="000000" w:themeColor="text1"/>
          <w:sz w:val="28"/>
          <w:szCs w:val="28"/>
          <w:highlight w:val="none"/>
          <w:u w:val="single"/>
          <w14:textFill>
            <w14:solidFill>
              <w14:schemeClr w14:val="tx1"/>
            </w14:solidFill>
          </w14:textFill>
        </w:rPr>
        <w:t>月</w:t>
      </w:r>
      <w:r>
        <w:rPr>
          <w:rFonts w:hint="eastAsia" w:ascii="宋体" w:hAnsi="宋体" w:cs="宋体"/>
          <w:color w:val="000000" w:themeColor="text1"/>
          <w:sz w:val="28"/>
          <w:szCs w:val="28"/>
          <w:highlight w:val="none"/>
          <w:u w:val="single"/>
          <w:lang w:val="en-US" w:eastAsia="zh-CN"/>
          <w14:textFill>
            <w14:solidFill>
              <w14:schemeClr w14:val="tx1"/>
            </w14:solidFill>
          </w14:textFill>
        </w:rPr>
        <w:t>13</w:t>
      </w:r>
      <w:r>
        <w:rPr>
          <w:rFonts w:hint="eastAsia" w:ascii="宋体" w:hAnsi="宋体" w:cs="宋体"/>
          <w:color w:val="000000" w:themeColor="text1"/>
          <w:sz w:val="28"/>
          <w:szCs w:val="28"/>
          <w:highlight w:val="none"/>
          <w:u w:val="single"/>
          <w14:textFill>
            <w14:solidFill>
              <w14:schemeClr w14:val="tx1"/>
            </w14:solidFill>
          </w14:textFill>
        </w:rPr>
        <w:t>日</w:t>
      </w:r>
      <w:r>
        <w:rPr>
          <w:rFonts w:hint="eastAsia" w:ascii="宋体" w:hAnsi="宋体" w:cs="宋体"/>
          <w:color w:val="000000" w:themeColor="text1"/>
          <w:sz w:val="28"/>
          <w:szCs w:val="28"/>
          <w:highlight w:val="none"/>
          <w:u w:val="single"/>
          <w:lang w:val="en-US" w:eastAsia="zh-CN"/>
          <w14:textFill>
            <w14:solidFill>
              <w14:schemeClr w14:val="tx1"/>
            </w14:solidFill>
          </w14:textFill>
        </w:rPr>
        <w:t>9</w:t>
      </w:r>
      <w:r>
        <w:rPr>
          <w:rFonts w:hint="eastAsia" w:ascii="宋体" w:hAnsi="宋体" w:cs="宋体"/>
          <w:color w:val="000000" w:themeColor="text1"/>
          <w:sz w:val="28"/>
          <w:szCs w:val="28"/>
          <w:highlight w:val="none"/>
          <w:u w:val="single"/>
          <w14:textFill>
            <w14:solidFill>
              <w14:schemeClr w14:val="tx1"/>
            </w14:solidFill>
          </w14:textFill>
        </w:rPr>
        <w:t>点</w:t>
      </w:r>
      <w:r>
        <w:rPr>
          <w:rFonts w:hint="eastAsia" w:ascii="宋体" w:hAnsi="宋体" w:cs="宋体"/>
          <w:color w:val="000000" w:themeColor="text1"/>
          <w:sz w:val="28"/>
          <w:szCs w:val="28"/>
          <w:highlight w:val="none"/>
          <w:u w:val="single"/>
          <w:lang w:val="en-US" w:eastAsia="zh-CN"/>
          <w14:textFill>
            <w14:solidFill>
              <w14:schemeClr w14:val="tx1"/>
            </w14:solidFill>
          </w14:textFill>
        </w:rPr>
        <w:t>30</w:t>
      </w:r>
      <w:r>
        <w:rPr>
          <w:rFonts w:hint="eastAsia" w:ascii="宋体" w:hAnsi="宋体" w:cs="宋体"/>
          <w:color w:val="000000" w:themeColor="text1"/>
          <w:sz w:val="28"/>
          <w:szCs w:val="28"/>
          <w:highlight w:val="none"/>
          <w:u w:val="single"/>
          <w14:textFill>
            <w14:solidFill>
              <w14:schemeClr w14:val="tx1"/>
            </w14:solidFill>
          </w14:textFill>
        </w:rPr>
        <w:t>分</w:t>
      </w:r>
      <w:r>
        <w:rPr>
          <w:rFonts w:hint="eastAsia" w:ascii="宋体" w:hAnsi="宋体" w:cs="宋体"/>
          <w:color w:val="000000" w:themeColor="text1"/>
          <w:sz w:val="28"/>
          <w:szCs w:val="28"/>
          <w:highlight w:val="none"/>
          <w14:textFill>
            <w14:solidFill>
              <w14:schemeClr w14:val="tx1"/>
            </w14:solidFill>
          </w14:textFill>
        </w:rPr>
        <w:t>（北京时间）前递交响应文件。</w:t>
      </w:r>
    </w:p>
    <w:p w14:paraId="422E1732">
      <w:pPr>
        <w:spacing w:line="360" w:lineRule="auto"/>
        <w:jc w:val="left"/>
        <w:rPr>
          <w:rFonts w:hint="eastAsia" w:ascii="宋体" w:hAnsi="宋体" w:cs="宋体"/>
          <w:color w:val="000000" w:themeColor="text1"/>
          <w:sz w:val="28"/>
          <w:szCs w:val="28"/>
          <w:highlight w:val="none"/>
          <w14:textFill>
            <w14:solidFill>
              <w14:schemeClr w14:val="tx1"/>
            </w14:solidFill>
          </w14:textFill>
        </w:rPr>
      </w:pPr>
      <w:bookmarkStart w:id="0" w:name="_Toc35393622"/>
      <w:bookmarkStart w:id="1" w:name="_Toc28359080"/>
      <w:bookmarkStart w:id="2" w:name="_Toc35393791"/>
      <w:bookmarkStart w:id="3" w:name="_Toc28359003"/>
      <w:r>
        <w:rPr>
          <w:rFonts w:hint="eastAsia" w:ascii="宋体" w:hAnsi="宋体" w:cs="宋体"/>
          <w:color w:val="000000" w:themeColor="text1"/>
          <w:sz w:val="28"/>
          <w:szCs w:val="28"/>
          <w:highlight w:val="none"/>
          <w14:textFill>
            <w14:solidFill>
              <w14:schemeClr w14:val="tx1"/>
            </w14:solidFill>
          </w14:textFill>
        </w:rPr>
        <w:t>一、项目基本情况</w:t>
      </w:r>
    </w:p>
    <w:bookmarkEnd w:id="0"/>
    <w:bookmarkEnd w:id="1"/>
    <w:bookmarkEnd w:id="2"/>
    <w:bookmarkEnd w:id="3"/>
    <w:p w14:paraId="775F248F">
      <w:pPr>
        <w:spacing w:line="360" w:lineRule="auto"/>
        <w:ind w:firstLine="56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项目编号：NJKJ</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2025092</w:t>
      </w:r>
      <w:r>
        <w:rPr>
          <w:rFonts w:hint="eastAsia" w:ascii="宋体" w:hAnsi="宋体" w:cs="宋体"/>
          <w:color w:val="000000" w:themeColor="text1"/>
          <w:sz w:val="28"/>
          <w:szCs w:val="28"/>
          <w:highlight w:val="none"/>
          <w:lang w:val="en-US" w:eastAsia="zh-CN"/>
          <w14:textFill>
            <w14:solidFill>
              <w14:schemeClr w14:val="tx1"/>
            </w14:solidFill>
          </w14:textFill>
        </w:rPr>
        <w:t>4</w:t>
      </w:r>
    </w:p>
    <w:p w14:paraId="702E2EE1">
      <w:pPr>
        <w:spacing w:line="360" w:lineRule="auto"/>
        <w:ind w:firstLine="56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项目名称：</w:t>
      </w:r>
      <w:r>
        <w:rPr>
          <w:rFonts w:hint="eastAsia" w:ascii="宋体" w:hAnsi="宋体" w:cs="宋体"/>
          <w:color w:val="000000" w:themeColor="text1"/>
          <w:sz w:val="28"/>
          <w:szCs w:val="28"/>
          <w:highlight w:val="none"/>
          <w:lang w:eastAsia="zh-CN"/>
          <w14:textFill>
            <w14:solidFill>
              <w14:schemeClr w14:val="tx1"/>
            </w14:solidFill>
          </w14:textFill>
        </w:rPr>
        <w:t>南京市栖霞区神马路市</w:t>
      </w:r>
      <w:bookmarkStart w:id="1006" w:name="_GoBack"/>
      <w:bookmarkEnd w:id="1006"/>
      <w:r>
        <w:rPr>
          <w:rFonts w:hint="eastAsia" w:ascii="宋体" w:hAnsi="宋体" w:cs="宋体"/>
          <w:color w:val="000000" w:themeColor="text1"/>
          <w:sz w:val="28"/>
          <w:szCs w:val="28"/>
          <w:highlight w:val="none"/>
          <w:lang w:eastAsia="zh-CN"/>
          <w14:textFill>
            <w14:solidFill>
              <w14:schemeClr w14:val="tx1"/>
            </w14:solidFill>
          </w14:textFill>
        </w:rPr>
        <w:t>政道路养护工程</w:t>
      </w:r>
    </w:p>
    <w:p w14:paraId="79FA4844">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采购方式：竞争性磋商</w:t>
      </w:r>
    </w:p>
    <w:p w14:paraId="57AC9B0B">
      <w:pPr>
        <w:spacing w:line="360" w:lineRule="auto"/>
        <w:ind w:firstLine="56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预算金额：</w:t>
      </w:r>
      <w:r>
        <w:rPr>
          <w:rFonts w:hint="eastAsia" w:ascii="宋体" w:hAnsi="宋体" w:cs="宋体"/>
          <w:color w:val="000000" w:themeColor="text1"/>
          <w:sz w:val="28"/>
          <w:szCs w:val="28"/>
          <w:highlight w:val="none"/>
          <w:lang w:val="en-US" w:eastAsia="zh-CN"/>
          <w14:textFill>
            <w14:solidFill>
              <w14:schemeClr w14:val="tx1"/>
            </w14:solidFill>
          </w14:textFill>
        </w:rPr>
        <w:t>55.236072</w:t>
      </w:r>
      <w:r>
        <w:rPr>
          <w:rFonts w:hint="eastAsia" w:ascii="宋体" w:hAnsi="宋体" w:cs="宋体"/>
          <w:color w:val="000000" w:themeColor="text1"/>
          <w:sz w:val="28"/>
          <w:szCs w:val="28"/>
          <w:highlight w:val="none"/>
          <w14:textFill>
            <w14:solidFill>
              <w14:schemeClr w14:val="tx1"/>
            </w14:solidFill>
          </w14:textFill>
        </w:rPr>
        <w:t>万元</w:t>
      </w:r>
    </w:p>
    <w:p w14:paraId="196C3838">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最高限价：</w:t>
      </w:r>
      <w:r>
        <w:rPr>
          <w:rFonts w:hint="eastAsia" w:ascii="宋体" w:hAnsi="宋体" w:cs="宋体"/>
          <w:color w:val="000000" w:themeColor="text1"/>
          <w:sz w:val="28"/>
          <w:szCs w:val="28"/>
          <w:highlight w:val="none"/>
          <w:lang w:val="en-US" w:eastAsia="zh-CN"/>
          <w14:textFill>
            <w14:solidFill>
              <w14:schemeClr w14:val="tx1"/>
            </w14:solidFill>
          </w14:textFill>
        </w:rPr>
        <w:t>55.236072</w:t>
      </w:r>
      <w:r>
        <w:rPr>
          <w:rFonts w:hint="eastAsia" w:ascii="宋体" w:hAnsi="宋体" w:cs="宋体"/>
          <w:color w:val="000000" w:themeColor="text1"/>
          <w:sz w:val="28"/>
          <w:szCs w:val="28"/>
          <w:highlight w:val="none"/>
          <w14:textFill>
            <w14:solidFill>
              <w14:schemeClr w14:val="tx1"/>
            </w14:solidFill>
          </w14:textFill>
        </w:rPr>
        <w:t>万元，投标报价超过最高限价的为无效投标。</w:t>
      </w:r>
    </w:p>
    <w:p w14:paraId="5424DEDA">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采购需求：</w:t>
      </w:r>
      <w:r>
        <w:rPr>
          <w:rFonts w:hint="eastAsia" w:ascii="宋体" w:hAnsi="宋体" w:cs="宋体"/>
          <w:color w:val="000000" w:themeColor="text1"/>
          <w:sz w:val="28"/>
          <w:szCs w:val="28"/>
          <w:highlight w:val="none"/>
          <w:lang w:eastAsia="zh-CN"/>
          <w14:textFill>
            <w14:solidFill>
              <w14:schemeClr w14:val="tx1"/>
            </w14:solidFill>
          </w14:textFill>
        </w:rPr>
        <w:t>栖霞区神马路市政道路养护工程，</w:t>
      </w:r>
      <w:r>
        <w:rPr>
          <w:rFonts w:hint="eastAsia" w:ascii="宋体" w:hAnsi="宋体" w:cs="宋体"/>
          <w:color w:val="000000" w:themeColor="text1"/>
          <w:sz w:val="28"/>
          <w:szCs w:val="28"/>
          <w:highlight w:val="none"/>
          <w14:textFill>
            <w14:solidFill>
              <w14:schemeClr w14:val="tx1"/>
            </w14:solidFill>
          </w14:textFill>
        </w:rPr>
        <w:t>具体详见磋商文件。</w:t>
      </w:r>
    </w:p>
    <w:p w14:paraId="324EFA3F">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合同履行期限（工期）：</w:t>
      </w:r>
      <w:r>
        <w:rPr>
          <w:rFonts w:hint="eastAsia" w:ascii="宋体" w:hAnsi="宋体" w:cs="宋体"/>
          <w:color w:val="000000" w:themeColor="text1"/>
          <w:sz w:val="28"/>
          <w:szCs w:val="28"/>
          <w:highlight w:val="none"/>
          <w:lang w:val="en-US" w:eastAsia="zh-CN"/>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t>日历日。</w:t>
      </w:r>
    </w:p>
    <w:p w14:paraId="349C723F">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本项目不接受联合体投标。</w:t>
      </w:r>
    </w:p>
    <w:p w14:paraId="21E23241">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bookmarkStart w:id="4" w:name="_Toc35393627"/>
      <w:bookmarkStart w:id="5" w:name="_Toc35393796"/>
      <w:bookmarkStart w:id="6" w:name="_Toc28359085"/>
      <w:bookmarkStart w:id="7" w:name="_Toc28359008"/>
      <w:r>
        <w:rPr>
          <w:rFonts w:hint="eastAsia" w:ascii="宋体" w:hAnsi="宋体" w:cs="宋体"/>
          <w:color w:val="000000" w:themeColor="text1"/>
          <w:sz w:val="28"/>
          <w:szCs w:val="28"/>
          <w:highlight w:val="none"/>
          <w14:textFill>
            <w14:solidFill>
              <w14:schemeClr w14:val="tx1"/>
            </w14:solidFill>
          </w14:textFill>
        </w:rPr>
        <w:t>二、申请人的资格要求：</w:t>
      </w:r>
    </w:p>
    <w:p w14:paraId="12F220ED">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bookmarkStart w:id="8" w:name="_Toc28359081"/>
      <w:bookmarkStart w:id="9" w:name="_Toc35393792"/>
      <w:bookmarkStart w:id="10" w:name="_Toc35393623"/>
      <w:bookmarkStart w:id="11" w:name="_Toc28359004"/>
      <w:r>
        <w:rPr>
          <w:rFonts w:hint="eastAsia" w:ascii="宋体" w:hAnsi="宋体" w:cs="宋体"/>
          <w:color w:val="000000" w:themeColor="text1"/>
          <w:sz w:val="28"/>
          <w:szCs w:val="28"/>
          <w:highlight w:val="none"/>
          <w14:textFill>
            <w14:solidFill>
              <w14:schemeClr w14:val="tx1"/>
            </w14:solidFill>
          </w14:textFill>
        </w:rPr>
        <w:t>1.满足《中华人民共和国政府采购法》第二十二条规定；</w:t>
      </w:r>
    </w:p>
    <w:p w14:paraId="264814B7">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（1）具有独立承担民事责任的能力（提供法人或者其他组织的营业执照，自然人的身份证）；</w:t>
      </w:r>
    </w:p>
    <w:p w14:paraId="6FFE474F">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eastAsia="zh-CN"/>
          <w14:textFill>
            <w14:solidFill>
              <w14:schemeClr w14:val="tx1"/>
            </w14:solidFill>
          </w14:textFill>
        </w:rPr>
        <w:t>具有良好的商业信誉和健全的财务会计制度（提供评审前六个月(2025年4月-2025年9月）内银行出具的资信证明，或评审前六个月(2025年4月-2025年9月）内任意一个月的财务状况报告（至少包括资产负债表和利润表），或上一年度经审计的财务报告）</w:t>
      </w:r>
      <w:r>
        <w:rPr>
          <w:rFonts w:hint="eastAsia" w:ascii="宋体" w:hAnsi="宋体" w:cs="宋体"/>
          <w:color w:val="000000" w:themeColor="text1"/>
          <w:sz w:val="28"/>
          <w:szCs w:val="28"/>
          <w:highlight w:val="none"/>
          <w14:textFill>
            <w14:solidFill>
              <w14:schemeClr w14:val="tx1"/>
            </w14:solidFill>
          </w14:textFill>
        </w:rPr>
        <w:t>；</w:t>
      </w:r>
    </w:p>
    <w:p w14:paraId="47A01678">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（3）具有履行合同所必需的设备和专业技术能力（根据项目需求提供履行合同所必需的设备和专业技术能力的声明及证明材料）；</w:t>
      </w:r>
    </w:p>
    <w:p w14:paraId="59B05B7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w:t>
      </w:r>
      <w:r>
        <w:rPr>
          <w:rFonts w:hint="eastAsia" w:ascii="宋体" w:hAnsi="宋体" w:cs="宋体"/>
          <w:color w:val="000000" w:themeColor="text1"/>
          <w:sz w:val="28"/>
          <w:szCs w:val="28"/>
          <w:highlight w:val="none"/>
          <w:lang w:eastAsia="zh-CN"/>
          <w14:textFill>
            <w14:solidFill>
              <w14:schemeClr w14:val="tx1"/>
            </w14:solidFill>
          </w14:textFill>
        </w:rPr>
        <w:t>具</w:t>
      </w:r>
      <w:r>
        <w:rPr>
          <w:rFonts w:hint="eastAsia" w:ascii="宋体" w:hAnsi="宋体" w:cs="宋体"/>
          <w:color w:val="000000" w:themeColor="text1"/>
          <w:sz w:val="28"/>
          <w:szCs w:val="28"/>
          <w:highlight w:val="none"/>
          <w14:textFill>
            <w14:solidFill>
              <w14:schemeClr w14:val="tx1"/>
            </w14:solidFill>
          </w14:textFill>
        </w:rPr>
        <w:t>有依法缴纳税收和社会保障资金的良好记录（</w:t>
      </w:r>
      <w:r>
        <w:rPr>
          <w:rFonts w:hint="eastAsia" w:ascii="宋体" w:hAnsi="宋体" w:cs="宋体"/>
          <w:color w:val="000000" w:themeColor="text1"/>
          <w:sz w:val="28"/>
          <w:szCs w:val="28"/>
          <w:highlight w:val="none"/>
          <w:lang w:eastAsia="zh-CN"/>
          <w14:textFill>
            <w14:solidFill>
              <w14:schemeClr w14:val="tx1"/>
            </w14:solidFill>
          </w14:textFill>
        </w:rPr>
        <w:t>提供评审前六个月(2025年4月-2025年9月）内</w:t>
      </w:r>
      <w:r>
        <w:rPr>
          <w:rFonts w:hint="eastAsia" w:ascii="宋体" w:hAnsi="宋体" w:cs="宋体"/>
          <w:color w:val="000000" w:themeColor="text1"/>
          <w:sz w:val="28"/>
          <w:szCs w:val="28"/>
          <w:highlight w:val="none"/>
          <w14:textFill>
            <w14:solidFill>
              <w14:schemeClr w14:val="tx1"/>
            </w14:solidFill>
          </w14:textFill>
        </w:rPr>
        <w:t>任意一个月的纳税证明文件（依法免缴的应提供相应文件说明）；并</w:t>
      </w:r>
      <w:r>
        <w:rPr>
          <w:rFonts w:hint="eastAsia" w:ascii="宋体" w:hAnsi="宋体" w:cs="宋体"/>
          <w:color w:val="000000" w:themeColor="text1"/>
          <w:sz w:val="28"/>
          <w:szCs w:val="28"/>
          <w:highlight w:val="none"/>
          <w:lang w:eastAsia="zh-CN"/>
          <w14:textFill>
            <w14:solidFill>
              <w14:schemeClr w14:val="tx1"/>
            </w14:solidFill>
          </w14:textFill>
        </w:rPr>
        <w:t>提供评审前六个月(2025年4月-2025年9月）内</w:t>
      </w:r>
      <w:r>
        <w:rPr>
          <w:rFonts w:hint="eastAsia" w:ascii="宋体" w:hAnsi="宋体" w:cs="宋体"/>
          <w:color w:val="000000" w:themeColor="text1"/>
          <w:sz w:val="28"/>
          <w:szCs w:val="28"/>
          <w:highlight w:val="none"/>
          <w14:textFill>
            <w14:solidFill>
              <w14:schemeClr w14:val="tx1"/>
            </w14:solidFill>
          </w14:textFill>
        </w:rPr>
        <w:t>任意一个月依法为员工缴纳社会保障资金的证明材料，证明材料可以是缴费的银行单据复印件、社保机构开具的证明（依法不需要缴纳社会保障资金的应提供相应文件说明））；</w:t>
      </w:r>
    </w:p>
    <w:p w14:paraId="28E55F71">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（5）参加政府采购活动前三年内，在经营活动中没有重大违法记录（提供参加本次政府采购活动前三年内在经营活动中没有重大违法记录的书面声明）（格式见后附件）；</w:t>
      </w:r>
    </w:p>
    <w:p w14:paraId="44216B26">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（6）法律、行政法规规定的其他条件。</w:t>
      </w:r>
    </w:p>
    <w:p w14:paraId="58387790">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t>注：①第（5）条所称重大违法记录，是指供应商因违法经营受到刑事处罚或者责令停产停业、吊销许可证或者执照、较大数额罚款等行政处罚。</w:t>
      </w:r>
    </w:p>
    <w:p w14:paraId="16D58BC3">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②供应商在参加政府采购活动前3年内因违法经营被禁止在一定期限内参加政府采购活动，期限届满的，可以参加政府采购活动。</w:t>
      </w:r>
    </w:p>
    <w:p w14:paraId="2AF6B555">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2.落实政府采购政策需满足的资格要求：（如属于专门面向中小企业采购的项目，供应商应为中小微企业、监狱企业、残疾人福利性单位）本项目按照采用以下第（</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）种方式落实政府采购促进中小企业发展的要求：</w:t>
      </w:r>
    </w:p>
    <w:p w14:paraId="678A5035">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（1）本项目整体专门面向中小企业采购工程。</w:t>
      </w:r>
    </w:p>
    <w:p w14:paraId="58EDE798">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（2）本项目整体专门面向小微企业采购工程。</w:t>
      </w:r>
    </w:p>
    <w:p w14:paraId="7F85B3CE">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（3）本项目通过以下第（）种方式预留部分采购份额采购中小企业工程：</w:t>
      </w:r>
    </w:p>
    <w:p w14:paraId="4842EDDF">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①本项目要求供应商以联合体形式参加，中小企业合同金额应当达到的比例为/%。</w:t>
      </w:r>
    </w:p>
    <w:p w14:paraId="4D2DB26B">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②本项目要求供应商进行合同分包，中小企业合同金额应当达到的比例为/%。</w:t>
      </w:r>
    </w:p>
    <w:p w14:paraId="75E3710A">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（4）本项目为非预留份额的采购项目或采购包，执行价格扣除优惠政策，具体详见第三章。</w:t>
      </w:r>
    </w:p>
    <w:p w14:paraId="59FE363D">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3.本项目的特定资格要求：</w:t>
      </w:r>
    </w:p>
    <w:p w14:paraId="36F66FB4">
      <w:pPr>
        <w:spacing w:line="36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（1）供应商资质等级及范围：施工总承包市政公用工程三级(含)以上且同时具</w:t>
      </w:r>
      <w:r>
        <w:rPr>
          <w:rFonts w:hint="eastAsia" w:ascii="宋体" w:hAnsi="宋体" w:cs="宋体"/>
          <w:color w:val="000000" w:themeColor="text1"/>
          <w:sz w:val="28"/>
          <w:szCs w:val="28"/>
          <w:highlight w:val="none"/>
          <w:lang w:val="en-US" w:eastAsia="zh-CN"/>
          <w14:textFill>
            <w14:solidFill>
              <w14:schemeClr w14:val="tx1"/>
            </w14:solidFill>
          </w14:textFill>
        </w:rPr>
        <w:t>有</w:t>
      </w:r>
      <w:r>
        <w:rPr>
          <w:rFonts w:hint="eastAsia" w:ascii="宋体" w:hAnsi="宋体" w:cs="宋体"/>
          <w:color w:val="000000" w:themeColor="text1"/>
          <w:sz w:val="28"/>
          <w:szCs w:val="28"/>
          <w:highlight w:val="none"/>
          <w14:textFill>
            <w14:solidFill>
              <w14:schemeClr w14:val="tx1"/>
            </w14:solidFill>
          </w14:textFill>
        </w:rPr>
        <w:t>有效的安全生产许可证</w:t>
      </w:r>
      <w:r>
        <w:rPr>
          <w:rFonts w:hint="eastAsia" w:ascii="宋体" w:hAnsi="宋体" w:eastAsia="宋体" w:cs="宋体"/>
          <w:color w:val="000000" w:themeColor="text1"/>
          <w:sz w:val="28"/>
          <w:szCs w:val="28"/>
          <w:highlight w:val="none"/>
          <w14:textFill>
            <w14:solidFill>
              <w14:schemeClr w14:val="tx1"/>
            </w14:solidFill>
          </w14:textFill>
        </w:rPr>
        <w:t>。（提供有效期内的证书复印件加盖公章）</w:t>
      </w:r>
    </w:p>
    <w:p w14:paraId="5AF93D0B">
      <w:pPr>
        <w:spacing w:line="36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（2）项目经理资质类别和等级：注册建造师证市政公用工程二级(含)以上且同时具有有效的安全生产考核B证。（提供有效期内的证书复印件及近半年内(202</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月至2025年</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月)任意一个月供应商为其缴纳社保证明及有效期内证书复印件加盖公章）。</w:t>
      </w:r>
    </w:p>
    <w:p w14:paraId="4AE0BED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（3）本项目要求项目负责人无在建工程（提供承诺书原件加盖公章，格式自拟）。</w:t>
      </w:r>
    </w:p>
    <w:bookmarkEnd w:id="8"/>
    <w:bookmarkEnd w:id="9"/>
    <w:bookmarkEnd w:id="10"/>
    <w:bookmarkEnd w:id="11"/>
    <w:p w14:paraId="1BA212B3">
      <w:pPr>
        <w:spacing w:line="360" w:lineRule="auto"/>
        <w:ind w:firstLine="0"/>
        <w:jc w:val="left"/>
        <w:rPr>
          <w:rFonts w:hint="eastAsia" w:ascii="宋体" w:hAnsi="宋体" w:eastAsia="宋体" w:cs="宋体"/>
          <w:color w:val="000000" w:themeColor="text1"/>
          <w:sz w:val="28"/>
          <w:szCs w:val="28"/>
          <w:highlight w:val="none"/>
          <w14:textFill>
            <w14:solidFill>
              <w14:schemeClr w14:val="tx1"/>
            </w14:solidFill>
          </w14:textFill>
        </w:rPr>
      </w:pPr>
      <w:bookmarkStart w:id="12" w:name="_Toc35393793"/>
      <w:bookmarkStart w:id="13" w:name="_Toc28359005"/>
      <w:bookmarkStart w:id="14" w:name="_Toc35393624"/>
      <w:bookmarkStart w:id="15" w:name="_Toc28359082"/>
      <w:r>
        <w:rPr>
          <w:rFonts w:hint="eastAsia" w:ascii="宋体" w:hAnsi="宋体" w:eastAsia="宋体" w:cs="宋体"/>
          <w:color w:val="000000" w:themeColor="text1"/>
          <w:sz w:val="28"/>
          <w:szCs w:val="28"/>
          <w:highlight w:val="none"/>
          <w14:textFill>
            <w14:solidFill>
              <w14:schemeClr w14:val="tx1"/>
            </w14:solidFill>
          </w14:textFill>
        </w:rPr>
        <w:t>三、获取磋商文件</w:t>
      </w:r>
    </w:p>
    <w:p w14:paraId="396DC156">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时间：2025年</w:t>
      </w:r>
      <w:r>
        <w:rPr>
          <w:rFonts w:hint="eastAsia" w:ascii="宋体" w:hAnsi="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9</w:t>
      </w: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25</w:t>
      </w: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日至2025年</w:t>
      </w:r>
      <w:r>
        <w:rPr>
          <w:rFonts w:hint="eastAsia" w:ascii="宋体" w:hAnsi="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9</w:t>
      </w: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30</w:t>
      </w: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日，每天上午9:00至11:30，下午14:00至17:00（北京时间，法定节假日除外）</w:t>
      </w:r>
    </w:p>
    <w:p w14:paraId="7057E934">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地点：线上获取</w:t>
      </w:r>
    </w:p>
    <w:p w14:paraId="0E48528F">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方式：请各潜在供应商将以附件形式提供以下文件：</w:t>
      </w:r>
    </w:p>
    <w:p w14:paraId="5E7A0B50">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（1）投标供应商授权委托书原件和委托代理人的身份证复印件。</w:t>
      </w:r>
    </w:p>
    <w:p w14:paraId="62E8702D">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将【（1）投标供应商授权委托书原件和委托代理人的身份证复印件加盖公章扫描件。】</w:t>
      </w:r>
    </w:p>
    <w:p w14:paraId="1C0435DC">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以附件形式上传发送至代理机构邮箱3691323609@qq.com，邮件主题须标明项目编号和项目名称+申请人名称，邮件正文须包含申请人名称（全称）、授权委托人、授权委托人联系电话。交纳费用后，代理机构将会提供纸质版（纸质版文件提供地址以便邮寄）与电子版采购文件。</w:t>
      </w:r>
    </w:p>
    <w:p w14:paraId="628845E5">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采购文件费缴纳支付宝账户如下（请备注供应商名称+项目编号）：15651712525。</w:t>
      </w:r>
    </w:p>
    <w:p w14:paraId="0A010657">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未按照上述要求合法获取招标（采购）文件的，招标（采购）人将不予受理其投标（响应）。</w:t>
      </w:r>
    </w:p>
    <w:p w14:paraId="4FF241BF">
      <w:pPr>
        <w:keepNext w:val="0"/>
        <w:keepLines w:val="0"/>
        <w:widowControl/>
        <w:suppressLineNumbers w:val="0"/>
        <w:shd w:val="clear"/>
        <w:spacing w:before="0" w:beforeAutospacing="0" w:after="0" w:afterAutospacing="0" w:line="360" w:lineRule="auto"/>
        <w:ind w:left="0" w:right="0" w:firstLine="560"/>
        <w:jc w:val="left"/>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lang w:val="en-US" w:eastAsia="zh-CN" w:bidi="ar"/>
          <w14:textFill>
            <w14:solidFill>
              <w14:schemeClr w14:val="tx1"/>
            </w14:solidFill>
          </w14:textFill>
        </w:rPr>
        <w:t>售价：200.00元</w:t>
      </w:r>
    </w:p>
    <w:bookmarkEnd w:id="12"/>
    <w:bookmarkEnd w:id="13"/>
    <w:bookmarkEnd w:id="14"/>
    <w:bookmarkEnd w:id="15"/>
    <w:p w14:paraId="11E73A3A">
      <w:pPr>
        <w:spacing w:line="360" w:lineRule="auto"/>
        <w:jc w:val="left"/>
        <w:rPr>
          <w:rFonts w:hint="eastAsia" w:ascii="宋体" w:hAnsi="宋体" w:cs="宋体"/>
          <w:color w:val="000000" w:themeColor="text1"/>
          <w:sz w:val="28"/>
          <w:szCs w:val="28"/>
          <w:highlight w:val="none"/>
          <w14:textFill>
            <w14:solidFill>
              <w14:schemeClr w14:val="tx1"/>
            </w14:solidFill>
          </w14:textFill>
        </w:rPr>
      </w:pPr>
      <w:bookmarkStart w:id="16" w:name="_Toc35393803"/>
      <w:bookmarkStart w:id="17" w:name="_Toc28359094"/>
      <w:bookmarkStart w:id="18" w:name="_Toc35393634"/>
      <w:bookmarkStart w:id="19" w:name="_Toc28359017"/>
      <w:r>
        <w:rPr>
          <w:rFonts w:hint="eastAsia" w:ascii="宋体" w:hAnsi="宋体" w:cs="宋体"/>
          <w:color w:val="000000" w:themeColor="text1"/>
          <w:sz w:val="28"/>
          <w:szCs w:val="28"/>
          <w:highlight w:val="none"/>
          <w14:textFill>
            <w14:solidFill>
              <w14:schemeClr w14:val="tx1"/>
            </w14:solidFill>
          </w14:textFill>
        </w:rPr>
        <w:t>四、提交投标文件截止时间、开标时间和地点</w:t>
      </w:r>
    </w:p>
    <w:p w14:paraId="788366B5">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时间：</w:t>
      </w:r>
      <w:r>
        <w:rPr>
          <w:rFonts w:hint="eastAsia" w:ascii="宋体" w:hAnsi="宋体" w:cs="宋体"/>
          <w:color w:val="000000" w:themeColor="text1"/>
          <w:sz w:val="28"/>
          <w:szCs w:val="28"/>
          <w:highlight w:val="none"/>
          <w:u w:val="single"/>
          <w14:textFill>
            <w14:solidFill>
              <w14:schemeClr w14:val="tx1"/>
            </w14:solidFill>
          </w14:textFill>
        </w:rPr>
        <w:t>2025年10月13日9点30分</w:t>
      </w:r>
      <w:r>
        <w:rPr>
          <w:rFonts w:hint="eastAsia" w:ascii="宋体" w:hAnsi="宋体" w:cs="宋体"/>
          <w:color w:val="000000" w:themeColor="text1"/>
          <w:sz w:val="28"/>
          <w:szCs w:val="28"/>
          <w:highlight w:val="none"/>
          <w14:textFill>
            <w14:solidFill>
              <w14:schemeClr w14:val="tx1"/>
            </w14:solidFill>
          </w14:textFill>
        </w:rPr>
        <w:t>（北京时间）</w:t>
      </w:r>
    </w:p>
    <w:p w14:paraId="4BD4A396">
      <w:pPr>
        <w:spacing w:line="360" w:lineRule="auto"/>
        <w:ind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地点：</w:t>
      </w:r>
      <w:r>
        <w:rPr>
          <w:rFonts w:hint="eastAsia" w:ascii="宋体" w:hAnsi="宋体" w:cs="宋体"/>
          <w:color w:val="000000"/>
          <w:sz w:val="28"/>
          <w:szCs w:val="28"/>
          <w:highlight w:val="none"/>
          <w:u w:val="single"/>
        </w:rPr>
        <w:t>南京市建邺区广聚路33号2505室</w:t>
      </w:r>
    </w:p>
    <w:p w14:paraId="5737181A">
      <w:pPr>
        <w:spacing w:line="360" w:lineRule="auto"/>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五、公告期限</w:t>
      </w:r>
    </w:p>
    <w:p w14:paraId="467727C7">
      <w:pPr>
        <w:spacing w:line="360" w:lineRule="auto"/>
        <w:ind w:firstLine="560"/>
        <w:jc w:val="lef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自本公告在法定媒体发布之日起3个工作日。</w:t>
      </w:r>
    </w:p>
    <w:bookmarkEnd w:id="16"/>
    <w:bookmarkEnd w:id="17"/>
    <w:bookmarkEnd w:id="18"/>
    <w:bookmarkEnd w:id="19"/>
    <w:p w14:paraId="44D48969">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六、</w:t>
      </w:r>
      <w:bookmarkStart w:id="20" w:name="_Toc35393795"/>
      <w:bookmarkStart w:id="21" w:name="_Toc35393626"/>
      <w:r>
        <w:rPr>
          <w:rFonts w:hint="eastAsia" w:ascii="宋体" w:hAnsi="宋体" w:cs="宋体"/>
          <w:color w:val="000000" w:themeColor="text1"/>
          <w:sz w:val="28"/>
          <w:szCs w:val="28"/>
          <w:highlight w:val="none"/>
          <w14:textFill>
            <w14:solidFill>
              <w14:schemeClr w14:val="tx1"/>
            </w14:solidFill>
          </w14:textFill>
        </w:rPr>
        <w:t>其他补充事宜</w:t>
      </w:r>
      <w:bookmarkEnd w:id="20"/>
      <w:bookmarkEnd w:id="21"/>
    </w:p>
    <w:p w14:paraId="521C2CE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质量要求：符合国家现行质量验收标准。</w:t>
      </w:r>
    </w:p>
    <w:p w14:paraId="413C0171">
      <w:pPr>
        <w:pStyle w:val="228"/>
        <w:spacing w:line="360" w:lineRule="auto"/>
        <w:ind w:left="0"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本项目采购标的所属行业为：建筑业</w:t>
      </w:r>
    </w:p>
    <w:p w14:paraId="16649BFE">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cs="宋体"/>
          <w:color w:val="000000" w:themeColor="text1"/>
          <w:sz w:val="28"/>
          <w:szCs w:val="28"/>
          <w:highlight w:val="none"/>
          <w14:textFill>
            <w14:solidFill>
              <w14:schemeClr w14:val="tx1"/>
            </w14:solidFill>
          </w14:textFill>
        </w:rPr>
        <w:t>拒绝下述供应商参加本次采购活动：</w:t>
      </w:r>
    </w:p>
    <w:p w14:paraId="5A3FFBB7">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（1）供应商单位负责人为同一人或者存在直接控股、管理关系的不同供应商，不得参加同一合同项下的采购活动。</w:t>
      </w:r>
    </w:p>
    <w:p w14:paraId="3B293775">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（2）凡为采购项目提供整体设计、规范编制或者项目管理、监理、检测等服务的供应商，不得再参加本项目的采购活动。</w:t>
      </w:r>
    </w:p>
    <w:p w14:paraId="2F8D7A4B">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（3）拒绝列入失信被执行人、重大税收违法失信主体、政府采购严重违法失信行为记录名单中的供应商参加本项目的采购活动。</w:t>
      </w:r>
    </w:p>
    <w:p w14:paraId="1E7E15B6">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（4）供应商未提供《南京市政府采购供应商信用记录表暨信用承诺书》的。</w:t>
      </w:r>
    </w:p>
    <w:p w14:paraId="343EDCA6">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t>集中考察或答疑：</w:t>
      </w:r>
    </w:p>
    <w:p w14:paraId="47BBE57B">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039C09A4">
      <w:pPr>
        <w:spacing w:line="360" w:lineRule="auto"/>
        <w:ind w:firstLine="560"/>
        <w:jc w:val="left"/>
        <w:rPr>
          <w:rFonts w:hint="eastAsia" w:ascii="宋体" w:hAnsi="宋体" w:cs="宋体"/>
          <w:strike w:val="0"/>
          <w:color w:val="000000" w:themeColor="text1"/>
          <w:sz w:val="28"/>
          <w:szCs w:val="28"/>
          <w:highlight w:val="none"/>
          <w14:textFill>
            <w14:solidFill>
              <w14:schemeClr w14:val="tx1"/>
            </w14:solidFill>
          </w14:textFill>
        </w:rPr>
      </w:pPr>
      <w:r>
        <w:rPr>
          <w:rFonts w:hint="eastAsia" w:ascii="宋体" w:hAnsi="宋体" w:cs="宋体"/>
          <w:strike w:val="0"/>
          <w:color w:val="000000" w:themeColor="text1"/>
          <w:sz w:val="28"/>
          <w:szCs w:val="28"/>
          <w:highlight w:val="none"/>
          <w:lang w:val="en-US" w:eastAsia="zh-CN"/>
          <w14:textFill>
            <w14:solidFill>
              <w14:schemeClr w14:val="tx1"/>
            </w14:solidFill>
          </w14:textFill>
        </w:rPr>
        <w:t>5、</w:t>
      </w:r>
      <w:r>
        <w:rPr>
          <w:rFonts w:hint="eastAsia" w:ascii="宋体" w:hAnsi="宋体" w:cs="宋体"/>
          <w:strike w:val="0"/>
          <w:color w:val="000000" w:themeColor="text1"/>
          <w:sz w:val="28"/>
          <w:szCs w:val="28"/>
          <w:highlight w:val="none"/>
          <w14:textFill>
            <w14:solidFill>
              <w14:schemeClr w14:val="tx1"/>
            </w14:solidFill>
          </w14:textFill>
        </w:rPr>
        <w:t>公告媒体</w:t>
      </w:r>
    </w:p>
    <w:p w14:paraId="5EAE7323">
      <w:pPr>
        <w:spacing w:line="360" w:lineRule="auto"/>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本公告在南京公共采购信息网（https://njgc.jfh.com/）公示发布，敬请各投标人关注；</w:t>
      </w:r>
    </w:p>
    <w:p w14:paraId="6A29E484">
      <w:pPr>
        <w:spacing w:line="360" w:lineRule="auto"/>
        <w:ind w:firstLine="560"/>
        <w:jc w:val="left"/>
        <w:rPr>
          <w:rFonts w:hint="default"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若有关本次采购存在变动或修改，敬请各投标人及时关注南京公共采购信息网（https://njgc.jfh.com/）发布的关于本项目的信息更正公告。</w:t>
      </w:r>
    </w:p>
    <w:p w14:paraId="076610C8">
      <w:pPr>
        <w:spacing w:line="360" w:lineRule="auto"/>
        <w:ind w:firstLine="560"/>
        <w:jc w:val="left"/>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6、响应文件份数：一式伍份（壹份正本、肆份副本），电子版响应文件壹份（一般应为正本盖章的扫描件PDF格式、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w:t>
      </w:r>
    </w:p>
    <w:p w14:paraId="69CAB3CF">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t>采购项目需要落实的政府采购政策：</w:t>
      </w:r>
    </w:p>
    <w:p w14:paraId="6FBCB3A3">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（1）政府采购促进中小企业发展</w:t>
      </w:r>
    </w:p>
    <w:p w14:paraId="78EA6725">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（2）政府采购支持监狱企业发展</w:t>
      </w:r>
    </w:p>
    <w:p w14:paraId="0386C403">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（3）政府采购促进残疾人就业</w:t>
      </w:r>
    </w:p>
    <w:p w14:paraId="626B8D19">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（4）政府采购鼓励采购节能环保产品</w:t>
      </w:r>
    </w:p>
    <w:p w14:paraId="4FE78FF1">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cs="宋体"/>
          <w:color w:val="000000" w:themeColor="text1"/>
          <w:sz w:val="28"/>
          <w:szCs w:val="28"/>
          <w:highlight w:val="none"/>
          <w14:textFill>
            <w14:solidFill>
              <w14:schemeClr w14:val="tx1"/>
            </w14:solidFill>
          </w14:textFill>
        </w:rPr>
        <w:t>政府采购信用承诺：根据《关于在政府采购活动中推行信用承诺制的通知》宁财购通〔2021〕5号规定， 参加南京地区政府采购活动的供应商，应以书面形式向采购人或政府采购代理机构作出信用承诺。信用承诺以《南京市政府采购供应商信用记录表暨信用承诺书》体现。供应商应尽早做好承诺书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信用记录表，由法人签字并盖单位公章，随响应文件一并递交。</w:t>
      </w:r>
    </w:p>
    <w:p w14:paraId="45B68E84">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在政府采购资格审查环节，供应商只需提供书面《南京市政府采购供应商信用记录表暨信用承诺书》，即可替代以下证明材料：</w:t>
      </w:r>
    </w:p>
    <w:p w14:paraId="7DE82E30">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（1）符合国家相关规定的财务状况报告；</w:t>
      </w:r>
    </w:p>
    <w:p w14:paraId="64D8C421">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（2）依法缴纳税收的证明材料；</w:t>
      </w:r>
    </w:p>
    <w:p w14:paraId="1F4EF3A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（3）依法缴纳社会保障资金的证明材料；</w:t>
      </w:r>
    </w:p>
    <w:p w14:paraId="060DC784">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（4）具备履行政府采购合同所必需的设备和专业技术能力的证明材料；</w:t>
      </w:r>
    </w:p>
    <w:p w14:paraId="6382F023">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（5）参加政府采购活动前三年内在经营活动中没有重大违法记录的证明材料；</w:t>
      </w:r>
    </w:p>
    <w:p w14:paraId="0EBB9130">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（6）未被列入失信被执行人、重大税收违法失信主体、政府采购严重违法失信行为记录名单的证明材料。</w:t>
      </w:r>
    </w:p>
    <w:p w14:paraId="1C6159F1">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供应商在中标（成交）后，应上述由信用承诺书替代的证明材料（一式伍份），加盖公章按采购文件要求胶装提交采购人或采购代理机构核验。经核验无误后，由采购人或采购代理机构发出中标（成交）通知书。</w:t>
      </w:r>
    </w:p>
    <w:p w14:paraId="63F2DF2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供应商涉及以下情形的，不适用信用承诺，仍须提供上述证明材料：</w:t>
      </w:r>
    </w:p>
    <w:p w14:paraId="361CFEE8">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（1）供应商被列入严重失信主体名单；</w:t>
      </w:r>
    </w:p>
    <w:p w14:paraId="7A25CE79">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（2）被相关监管部门作出行政处罚且尚在处罚有效期内；</w:t>
      </w:r>
    </w:p>
    <w:p w14:paraId="1A6B22F7">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（3）其他法律、行政法规规定的不适用信用承诺的情形。</w:t>
      </w:r>
    </w:p>
    <w:p w14:paraId="1361B276">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供应商对信用承诺内容的真实性、合法性、有效性负责。如作出虚假信用承诺，视同为“提供虚假材料谋取中标、成交”的违法行为。</w:t>
      </w:r>
    </w:p>
    <w:p w14:paraId="5CD015D5">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七、对本次招标提出询问，请按以下方式联系。</w:t>
      </w:r>
      <w:bookmarkEnd w:id="4"/>
      <w:bookmarkEnd w:id="5"/>
      <w:bookmarkEnd w:id="6"/>
      <w:bookmarkEnd w:id="7"/>
    </w:p>
    <w:p w14:paraId="6AFAE12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bookmarkStart w:id="22" w:name="_Toc35393806"/>
      <w:bookmarkStart w:id="23" w:name="_Toc35393637"/>
      <w:bookmarkStart w:id="24" w:name="_Toc28359096"/>
      <w:bookmarkStart w:id="25" w:name="_Toc28359019"/>
      <w:r>
        <w:rPr>
          <w:rFonts w:hint="eastAsia" w:ascii="宋体" w:hAnsi="宋体" w:cs="宋体"/>
          <w:color w:val="000000" w:themeColor="text1"/>
          <w:sz w:val="28"/>
          <w:szCs w:val="28"/>
          <w:highlight w:val="none"/>
          <w14:textFill>
            <w14:solidFill>
              <w14:schemeClr w14:val="tx1"/>
            </w14:solidFill>
          </w14:textFill>
        </w:rPr>
        <w:t>1.采购人信息</w:t>
      </w:r>
      <w:bookmarkEnd w:id="22"/>
      <w:bookmarkEnd w:id="23"/>
      <w:bookmarkEnd w:id="24"/>
      <w:bookmarkEnd w:id="25"/>
    </w:p>
    <w:p w14:paraId="603F6CF8">
      <w:pPr>
        <w:spacing w:line="360" w:lineRule="auto"/>
        <w:ind w:firstLine="560"/>
        <w:jc w:val="left"/>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26" w:name="_Toc35393807"/>
      <w:bookmarkStart w:id="27" w:name="_Toc28359020"/>
      <w:bookmarkStart w:id="28" w:name="_Toc28359097"/>
      <w:bookmarkStart w:id="29" w:name="_Toc35393638"/>
      <w:r>
        <w:rPr>
          <w:rFonts w:hint="eastAsia" w:ascii="宋体" w:hAnsi="宋体" w:cs="宋体"/>
          <w:color w:val="000000" w:themeColor="text1"/>
          <w:sz w:val="28"/>
          <w:szCs w:val="28"/>
          <w:highlight w:val="none"/>
          <w14:textFill>
            <w14:solidFill>
              <w14:schemeClr w14:val="tx1"/>
            </w14:solidFill>
          </w14:textFill>
        </w:rPr>
        <w:t>名称：</w:t>
      </w:r>
      <w:r>
        <w:rPr>
          <w:rFonts w:hint="eastAsia" w:ascii="宋体" w:hAnsi="宋体" w:cs="宋体"/>
          <w:color w:val="000000" w:themeColor="text1"/>
          <w:sz w:val="28"/>
          <w:szCs w:val="28"/>
          <w:highlight w:val="none"/>
          <w:u w:val="single"/>
          <w:lang w:eastAsia="zh-CN"/>
          <w14:textFill>
            <w14:solidFill>
              <w14:schemeClr w14:val="tx1"/>
            </w14:solidFill>
          </w14:textFill>
        </w:rPr>
        <w:t>南京市栖霞区市政设施综合养护管理所</w:t>
      </w:r>
    </w:p>
    <w:p w14:paraId="25004BBB">
      <w:pPr>
        <w:spacing w:line="360" w:lineRule="auto"/>
        <w:ind w:firstLine="560"/>
        <w:jc w:val="left"/>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地址：</w:t>
      </w:r>
      <w:r>
        <w:rPr>
          <w:rFonts w:hint="eastAsia" w:ascii="宋体" w:hAnsi="宋体" w:cs="宋体"/>
          <w:color w:val="000000" w:themeColor="text1"/>
          <w:sz w:val="28"/>
          <w:szCs w:val="28"/>
          <w:highlight w:val="none"/>
          <w:u w:val="single"/>
          <w:lang w:eastAsia="zh-CN"/>
          <w14:textFill>
            <w14:solidFill>
              <w14:schemeClr w14:val="tx1"/>
            </w14:solidFill>
          </w14:textFill>
        </w:rPr>
        <w:t>南京市栖霞区仙林大学城文成路1号</w:t>
      </w:r>
    </w:p>
    <w:p w14:paraId="4E3C1BC9">
      <w:pPr>
        <w:spacing w:line="360" w:lineRule="auto"/>
        <w:ind w:firstLine="560"/>
        <w:jc w:val="left"/>
        <w:rPr>
          <w:rFonts w:hint="eastAsia" w:ascii="宋体" w:hAnsi="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w:t>
      </w:r>
      <w:r>
        <w:rPr>
          <w:rFonts w:hint="eastAsia" w:ascii="宋体" w:hAnsi="宋体" w:cs="宋体"/>
          <w:color w:val="000000" w:themeColor="text1"/>
          <w:sz w:val="28"/>
          <w:szCs w:val="28"/>
          <w:highlight w:val="none"/>
          <w:u w:val="single"/>
          <w:lang w:eastAsia="zh-CN"/>
          <w14:textFill>
            <w14:solidFill>
              <w14:schemeClr w14:val="tx1"/>
            </w14:solidFill>
          </w14:textFill>
        </w:rPr>
        <w:t>戴工025-85580265</w:t>
      </w:r>
    </w:p>
    <w:bookmarkEnd w:id="26"/>
    <w:bookmarkEnd w:id="27"/>
    <w:bookmarkEnd w:id="28"/>
    <w:bookmarkEnd w:id="29"/>
    <w:p w14:paraId="0A0BACCE">
      <w:pPr>
        <w:spacing w:line="360" w:lineRule="auto"/>
        <w:ind w:firstLine="56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2.采购代理机构信息</w:t>
      </w:r>
    </w:p>
    <w:p w14:paraId="0677F934">
      <w:pPr>
        <w:spacing w:line="360" w:lineRule="auto"/>
        <w:ind w:firstLine="560"/>
        <w:jc w:val="left"/>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名称：</w:t>
      </w:r>
      <w:r>
        <w:rPr>
          <w:rFonts w:hint="eastAsia" w:ascii="宋体" w:hAnsi="宋体" w:cs="宋体"/>
          <w:color w:val="000000" w:themeColor="text1"/>
          <w:sz w:val="28"/>
          <w:szCs w:val="28"/>
          <w:highlight w:val="none"/>
          <w:u w:val="single"/>
          <w:lang w:eastAsia="zh-CN"/>
          <w14:textFill>
            <w14:solidFill>
              <w14:schemeClr w14:val="tx1"/>
            </w14:solidFill>
          </w14:textFill>
        </w:rPr>
        <w:t>南京科谨工程管理咨询有限责任公司</w:t>
      </w:r>
    </w:p>
    <w:p w14:paraId="3013FAF0">
      <w:pPr>
        <w:spacing w:line="360" w:lineRule="auto"/>
        <w:ind w:firstLine="560"/>
        <w:jc w:val="left"/>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地址：</w:t>
      </w:r>
      <w:r>
        <w:rPr>
          <w:rFonts w:hint="eastAsia" w:ascii="宋体" w:hAnsi="宋体" w:cs="宋体"/>
          <w:color w:val="000000" w:themeColor="text1"/>
          <w:sz w:val="28"/>
          <w:szCs w:val="28"/>
          <w:highlight w:val="none"/>
          <w:u w:val="single"/>
          <w:lang w:eastAsia="zh-CN"/>
          <w14:textFill>
            <w14:solidFill>
              <w14:schemeClr w14:val="tx1"/>
            </w14:solidFill>
          </w14:textFill>
        </w:rPr>
        <w:t>南京市建邺区广聚路33号2505室</w:t>
      </w:r>
    </w:p>
    <w:p w14:paraId="75056649">
      <w:pPr>
        <w:spacing w:line="360" w:lineRule="auto"/>
        <w:ind w:firstLine="560"/>
        <w:jc w:val="left"/>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w:t>
      </w:r>
      <w:r>
        <w:rPr>
          <w:rFonts w:hint="eastAsia" w:ascii="宋体" w:hAnsi="宋体" w:cs="宋体"/>
          <w:color w:val="000000" w:themeColor="text1"/>
          <w:sz w:val="28"/>
          <w:szCs w:val="28"/>
          <w:highlight w:val="none"/>
          <w:u w:val="single"/>
          <w:lang w:eastAsia="zh-CN"/>
          <w14:textFill>
            <w14:solidFill>
              <w14:schemeClr w14:val="tx1"/>
            </w14:solidFill>
          </w14:textFill>
        </w:rPr>
        <w:t>潘工 15651712525</w:t>
      </w:r>
    </w:p>
    <w:p w14:paraId="1423A5C6">
      <w:pPr>
        <w:spacing w:line="360" w:lineRule="auto"/>
        <w:ind w:firstLine="560"/>
        <w:jc w:val="left"/>
        <w:rPr>
          <w:rFonts w:ascii="宋体" w:hAnsi="宋体" w:cs="宋体"/>
          <w:color w:val="000000" w:themeColor="text1"/>
          <w:sz w:val="28"/>
          <w:szCs w:val="28"/>
          <w:highlight w:val="none"/>
          <w14:textFill>
            <w14:solidFill>
              <w14:schemeClr w14:val="tx1"/>
            </w14:solidFill>
          </w14:textFill>
        </w:rPr>
      </w:pPr>
      <w:bookmarkStart w:id="30" w:name="_Toc35393639"/>
      <w:bookmarkStart w:id="31" w:name="_Toc28359021"/>
      <w:bookmarkStart w:id="32" w:name="_Toc28359098"/>
      <w:bookmarkStart w:id="33" w:name="_Toc35393808"/>
      <w:r>
        <w:rPr>
          <w:rFonts w:hint="eastAsia" w:ascii="宋体" w:hAnsi="宋体" w:cs="宋体"/>
          <w:color w:val="000000" w:themeColor="text1"/>
          <w:sz w:val="28"/>
          <w:szCs w:val="28"/>
          <w:highlight w:val="none"/>
          <w14:textFill>
            <w14:solidFill>
              <w14:schemeClr w14:val="tx1"/>
            </w14:solidFill>
          </w14:textFill>
        </w:rPr>
        <w:t>3.项目联系方式</w:t>
      </w:r>
      <w:bookmarkEnd w:id="30"/>
      <w:bookmarkEnd w:id="31"/>
      <w:bookmarkEnd w:id="32"/>
      <w:bookmarkEnd w:id="33"/>
    </w:p>
    <w:p w14:paraId="564E282D">
      <w:pPr>
        <w:spacing w:line="360" w:lineRule="auto"/>
        <w:ind w:firstLine="560"/>
        <w:jc w:val="left"/>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项目联系人：</w:t>
      </w:r>
      <w:r>
        <w:rPr>
          <w:rFonts w:hint="eastAsia" w:ascii="宋体" w:hAnsi="宋体" w:cs="宋体"/>
          <w:color w:val="000000" w:themeColor="text1"/>
          <w:sz w:val="28"/>
          <w:szCs w:val="28"/>
          <w:highlight w:val="none"/>
          <w:u w:val="single"/>
          <w:lang w:eastAsia="zh-CN"/>
          <w14:textFill>
            <w14:solidFill>
              <w14:schemeClr w14:val="tx1"/>
            </w14:solidFill>
          </w14:textFill>
        </w:rPr>
        <w:t>潘工</w:t>
      </w:r>
    </w:p>
    <w:p w14:paraId="71FC9E8F">
      <w:pPr>
        <w:spacing w:line="360" w:lineRule="auto"/>
        <w:ind w:firstLine="56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电话：</w:t>
      </w:r>
      <w:r>
        <w:rPr>
          <w:rFonts w:hint="eastAsia" w:ascii="宋体" w:hAnsi="宋体" w:cs="宋体"/>
          <w:color w:val="000000" w:themeColor="text1"/>
          <w:sz w:val="28"/>
          <w:szCs w:val="28"/>
          <w:highlight w:val="none"/>
          <w:u w:val="single"/>
          <w:lang w:eastAsia="zh-CN"/>
          <w14:textFill>
            <w14:solidFill>
              <w14:schemeClr w14:val="tx1"/>
            </w14:solidFill>
          </w14:textFill>
        </w:rPr>
        <w:t xml:space="preserve"> 15651712525</w:t>
      </w:r>
    </w:p>
    <w:p w14:paraId="3EB12B44">
      <w:pPr>
        <w:jc w:val="center"/>
        <w:rPr>
          <w:rFonts w:hint="eastAsia" w:ascii="宋体" w:hAnsi="宋体" w:cs="宋体"/>
          <w:color w:val="000000" w:themeColor="text1"/>
          <w:sz w:val="28"/>
          <w:szCs w:val="28"/>
          <w:highlight w:val="none"/>
          <w14:textFill>
            <w14:solidFill>
              <w14:schemeClr w14:val="tx1"/>
            </w14:solidFill>
          </w14:textFill>
        </w:rPr>
        <w:sectPr>
          <w:headerReference r:id="rId3" w:type="default"/>
          <w:footerReference r:id="rId4" w:type="default"/>
          <w:pgSz w:w="11906" w:h="16838"/>
          <w:pgMar w:top="850" w:right="609" w:bottom="850" w:left="1417" w:header="340" w:footer="397" w:gutter="0"/>
          <w:pgBorders>
            <w:top w:val="none" w:sz="0" w:space="0"/>
            <w:left w:val="none" w:sz="0" w:space="0"/>
            <w:bottom w:val="none" w:sz="0" w:space="0"/>
            <w:right w:val="none" w:sz="0" w:space="0"/>
          </w:pgBorders>
          <w:pgNumType w:fmt="decimal"/>
          <w:cols w:space="1701" w:num="1"/>
          <w:docGrid w:linePitch="360" w:charSpace="0"/>
        </w:sectPr>
      </w:pPr>
    </w:p>
    <w:p w14:paraId="2D033C07">
      <w:pPr>
        <w:jc w:val="center"/>
        <w:rPr>
          <w:rFonts w:hint="eastAsia"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第二章 竞争性磋商须知</w:t>
      </w:r>
    </w:p>
    <w:p w14:paraId="60E7C67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一、总则</w:t>
      </w:r>
    </w:p>
    <w:p w14:paraId="1F8508A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1、适用法律</w:t>
      </w:r>
    </w:p>
    <w:p w14:paraId="1C3C48B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1.1《中华人民共和国政府采购法》、《中华人民共和国政府采购法实施条例》、《政府采购非招标方式管理办法》等有关法律、规章和规定等。</w:t>
      </w:r>
    </w:p>
    <w:p w14:paraId="2962899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2、定义</w:t>
      </w:r>
    </w:p>
    <w:p w14:paraId="39FB904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2.1“采购人”是指依法进行政府采购的国家机关、事业单位、团体组织。</w:t>
      </w:r>
    </w:p>
    <w:p w14:paraId="51EA40C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2.2“投标人（供应商）”是指参加投标竞争，并符合招标文件规定资格条件的法人、其他组织或者自然人。</w:t>
      </w:r>
    </w:p>
    <w:p w14:paraId="644EE42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2.3“采购代理机构”是指集中采购机构和集中采购机构以外的采购代理机构，集中采购机构以外的采购代理机构，是从事采购代理业务的社会中介机构。</w:t>
      </w:r>
    </w:p>
    <w:p w14:paraId="5075059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2.4“工程”指本采购文件中所述工程。</w:t>
      </w:r>
    </w:p>
    <w:p w14:paraId="44012DB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2.5“用户或使用单位”是指使用货物，接受服务的单位。</w:t>
      </w:r>
    </w:p>
    <w:p w14:paraId="62F512E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3、政策功能</w:t>
      </w:r>
    </w:p>
    <w:p w14:paraId="6D0BDA8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3.1政府采购促进中小企业发展，在政府采购活动中，供应商提供的货物、工程或者服务符合下列情形的，享受中小企业扶持政策：</w:t>
      </w:r>
    </w:p>
    <w:p w14:paraId="14EAA34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（1）在货物采购项目中，货物由中小企业制造，即货物由中小企业生产且使用该中小企业商号或者注册商标；</w:t>
      </w:r>
    </w:p>
    <w:p w14:paraId="339D381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（2）在工程采购项目中，工程由中小企业承建，即工程施工单位为中小企业；</w:t>
      </w:r>
    </w:p>
    <w:p w14:paraId="13850A8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中小企业扶持政策。以联合体形式参加政府采购活动，联合体各方均为中小企业的，联合体视同中小企业。其中，联合体各方均为小微企业的，联合体视同小微企业。中小企业供应商参加政府采购活动，应当出具《中小企业声明函》（格式见后附件），否则不得享受相关中小企业扶持政策。中小企业，是指在中华人民共和国境内依法设立，依据国务院批准的中小企业划分标准（详见《关于印发中小企业划型标准规定的通知》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14E58D1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3.2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号。</w:t>
      </w:r>
    </w:p>
    <w:p w14:paraId="472B044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3.3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号。</w:t>
      </w:r>
    </w:p>
    <w:p w14:paraId="4E8DCA4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3.4强制采购节能产品、信息安全产品，优先采购环境标志产品。节能产品是指列入财政部、国家发展和改革委员会制定的节能产品品目政府采购清单，且经过认定的节能产品；信息安全产品是指列入国家质检总局国家认监委《信息安全产品强制性认证目录》，并获得强制性产品认证证书的产品；环境标志产品是指列入财政部、国家环保总局制定的环境标志产品品目政府采购清单，且经过认证的环境标志产品。</w:t>
      </w:r>
    </w:p>
    <w:p w14:paraId="4F5369C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3.5提供的产品属于信息安全产品的，供应商应当选择经国家认证的信息安全产品磋商，并提供由中国信息安全认证中心按国家标准认证颁发的有效认证证书复印件。</w:t>
      </w:r>
    </w:p>
    <w:p w14:paraId="53AEAE0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3.6提供的产品属于政府强制采购节能产品的，供应商应当选择经过认证的节能产品磋商，并提供有效的节能产品认证证书复印件。</w:t>
      </w:r>
    </w:p>
    <w:p w14:paraId="64EB3D3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3.7提供的产品属于环境标志产品的,供应商应当选择经过认证的环境标志产品磋商,并提供有效的环境标志产品认证证书复印件。</w:t>
      </w:r>
    </w:p>
    <w:p w14:paraId="1BEB3FB8">
      <w:pPr>
        <w:widowControl/>
        <w:shd w:val="clear" w:color="auto" w:fill="FFFFFF"/>
        <w:spacing w:line="360" w:lineRule="auto"/>
        <w:ind w:firstLine="630" w:firstLineChars="300"/>
        <w:rPr>
          <w:rFonts w:ascii="Arial" w:hAnsi="Arial" w:cs="Arial"/>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3.8</w:t>
      </w:r>
      <w:r>
        <w:rPr>
          <w:rFonts w:hint="eastAsia" w:ascii="Arial" w:hAnsi="Arial" w:cs="Arial"/>
          <w:color w:val="000000" w:themeColor="text1"/>
          <w:szCs w:val="21"/>
          <w:highlight w:val="none"/>
          <w14:textFill>
            <w14:solidFill>
              <w14:schemeClr w14:val="tx1"/>
            </w14:solidFill>
          </w14:textFill>
        </w:rPr>
        <w:t>未按要求提供相关材料的，不享受相关政策</w:t>
      </w:r>
      <w:r>
        <w:rPr>
          <w:rFonts w:ascii="Arial" w:hAnsi="宋体" w:cs="Arial"/>
          <w:color w:val="000000" w:themeColor="text1"/>
          <w:szCs w:val="21"/>
          <w:highlight w:val="none"/>
          <w14:textFill>
            <w14:solidFill>
              <w14:schemeClr w14:val="tx1"/>
            </w14:solidFill>
          </w14:textFill>
        </w:rPr>
        <w:t>。</w:t>
      </w:r>
    </w:p>
    <w:p w14:paraId="54FF23E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4、磋商费用</w:t>
      </w:r>
    </w:p>
    <w:p w14:paraId="03F5F37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4.1 供应商应承担所有与准备和参加磋商有关的费用，无论采购结果如何，代理机构和采购人在任何情况下均无义务和责任承担这些费用。</w:t>
      </w:r>
    </w:p>
    <w:p w14:paraId="368D26F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w:t>
      </w:r>
      <w:r>
        <w:rPr>
          <w:rFonts w:hint="eastAsia" w:ascii="宋体" w:hAnsi="宋体" w:eastAsia="宋体" w:cs="宋体"/>
          <w:color w:val="000000" w:themeColor="text1"/>
          <w:sz w:val="21"/>
          <w:szCs w:val="21"/>
          <w:highlight w:val="none"/>
          <w:lang w:val="zh-CN"/>
          <w14:textFill>
            <w14:solidFill>
              <w14:schemeClr w14:val="tx1"/>
            </w14:solidFill>
          </w14:textFill>
        </w:rPr>
        <w:t>本次招标，中标人按《招标代理服务费管理暂行办法》（国家发展计划委员会计价格【2002】1980号）代理服务招标收费标准</w:t>
      </w:r>
      <w:r>
        <w:rPr>
          <w:rFonts w:hint="eastAsia" w:ascii="宋体" w:hAnsi="宋体" w:cs="宋体"/>
          <w:color w:val="000000" w:themeColor="text1"/>
          <w:sz w:val="21"/>
          <w:szCs w:val="21"/>
          <w:highlight w:val="none"/>
          <w:lang w:val="zh-CN"/>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lang w:val="zh-CN"/>
          <w14:textFill>
            <w14:solidFill>
              <w14:schemeClr w14:val="tx1"/>
            </w14:solidFill>
          </w14:textFill>
        </w:rPr>
        <w:t>计算，向招标代理机构支付招标服务费。该项费用请投标人综合考虑在投标报价中，后期采购人不单独列支，必须在领取中标通知书前向招标代理机构支付招标服务费。</w:t>
      </w:r>
    </w:p>
    <w:p w14:paraId="0B18E233">
      <w:pPr>
        <w:ind w:firstLine="56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4.3清单编制费：中标人按《“苏价服（2014）383号文”》收费标准</w:t>
      </w:r>
      <w:r>
        <w:rPr>
          <w:rFonts w:hint="eastAsia" w:ascii="宋体" w:hAnsi="宋体" w:cs="宋体"/>
          <w:color w:val="000000" w:themeColor="text1"/>
          <w:sz w:val="21"/>
          <w:szCs w:val="21"/>
          <w:highlight w:val="none"/>
          <w:lang w:val="zh-CN"/>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lang w:val="zh-CN"/>
          <w14:textFill>
            <w14:solidFill>
              <w14:schemeClr w14:val="tx1"/>
            </w14:solidFill>
          </w14:textFill>
        </w:rPr>
        <w:t>计算，向招标代理机构支付支付清单编制费。该项费用请投标人综合考虑在投标报价中，后期采购人不单独列支，必须在领取中标通知书前向招标代理机构支付清单编制费。</w:t>
      </w:r>
    </w:p>
    <w:p w14:paraId="45E0A40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二、响应文件编制</w:t>
      </w:r>
    </w:p>
    <w:p w14:paraId="7B9533E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5.递交响应文件</w:t>
      </w:r>
    </w:p>
    <w:p w14:paraId="1CF45CD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5.1供应商应由其法定代表人或法定代表人授权委托人在规定的响应时间内，递交响应文件。</w:t>
      </w:r>
    </w:p>
    <w:p w14:paraId="3DC342A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5.2供应商应当对采购文件提出的要求和条件作出实质性响应，并在响应文件中逐条应答。</w:t>
      </w:r>
    </w:p>
    <w:p w14:paraId="160090C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供应商应对要求提供的证明文件提供复印件加盖公章。</w:t>
      </w:r>
    </w:p>
    <w:p w14:paraId="0FB4509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工程属于小微企业提供的，应在响应文件中说明。</w:t>
      </w:r>
    </w:p>
    <w:p w14:paraId="098C011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6、响应文件的语言、计量单位、货币和编制</w:t>
      </w:r>
    </w:p>
    <w:p w14:paraId="7E141AF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6.1供应商提交的响应文件、技术文件和资料。响应文件中若有英文或其他语言文字的资料，应提供相应的中文翻译资料。对不同文本响应文件的解释发生异议的，以中文文本为准。</w:t>
      </w:r>
    </w:p>
    <w:p w14:paraId="4DCEC7E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6.2供应商所使用的计量单位应为国家法定计量单位。</w:t>
      </w:r>
    </w:p>
    <w:p w14:paraId="331A7C5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6.3供应商所使用的币种位应为人民币，单位为“元”。</w:t>
      </w:r>
    </w:p>
    <w:p w14:paraId="112FBD7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6.4供应商所使用的技术标准应遵循国家最新标准及规范。</w:t>
      </w:r>
    </w:p>
    <w:p w14:paraId="44889B8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7、响应文件的组成</w:t>
      </w:r>
    </w:p>
    <w:p w14:paraId="0352E87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7.1供应商应当根据磋商文件要求编制响应文件，并根据自己的商务能力、技术水平对磋商文件提出的要求和条件逐条标明是否响应。响应文件由商务部分、技术部分、价格部分，以及其他部分组成。</w:t>
      </w:r>
    </w:p>
    <w:p w14:paraId="2552E06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7.2响应文件的商务部分。商务部分是证明供应商有资格参加磋商和成交后有能力履行合同的文件，这些文件应能满足竞争性磋商采购文件的要求，包括但不限于下列文件，其中加“★”项目不得有缺失或无效：</w:t>
      </w:r>
    </w:p>
    <w:p w14:paraId="352A983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（1）★竞争性磋商申请及声明；</w:t>
      </w:r>
    </w:p>
    <w:p w14:paraId="76EE390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（2）★法定代表人授权委托书、委托代理人的身份证复印件；</w:t>
      </w:r>
    </w:p>
    <w:p w14:paraId="4677BBB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（3）★第一章磋商邀请中</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二、申请人的资格要求；</w:t>
      </w:r>
    </w:p>
    <w:p w14:paraId="2AD0A7F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（4）★《南京市政府采购供应商信用记录表暨信用承诺书》；</w:t>
      </w:r>
    </w:p>
    <w:p w14:paraId="482F0BF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（5）★《商务条款偏离表》；</w:t>
      </w:r>
    </w:p>
    <w:p w14:paraId="5277B0C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（6）合同草案条款；</w:t>
      </w:r>
    </w:p>
    <w:p w14:paraId="7EC3956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（7）供应商认为需要提供的其他资格证明文件和商务资料。</w:t>
      </w:r>
    </w:p>
    <w:p w14:paraId="23D75A5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7.3技术部分是证明供应商提供的服务是合格的，并符合磋商文件要求的证明文件，以及对工程的详细说明，这些文件可以是文字资料和数据等。若技术性能无特殊说明，则按国家有关部门最新颁布的标准及规范为准。提供的服务如与磋商文件要求有不符之处，应说明其差别之所在。响应文件应按照磋商文件要求提供技术资料、文件和有关证明，包括但不限于下列文件，其中加“★”项目不得有缺失或无效：</w:t>
      </w:r>
    </w:p>
    <w:p w14:paraId="4D13B68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（1）技术说明或服务方案；</w:t>
      </w:r>
    </w:p>
    <w:p w14:paraId="23E2025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 xml:space="preserve">（2）《技术条款偏离表》； </w:t>
      </w:r>
    </w:p>
    <w:p w14:paraId="3963142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 xml:space="preserve">（3）服务承诺； </w:t>
      </w:r>
    </w:p>
    <w:p w14:paraId="20581EA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 xml:space="preserve">（4）投标人拟投入本项目的设备、人员情况一览表； </w:t>
      </w:r>
    </w:p>
    <w:p w14:paraId="7A3AE2A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★（5）供应商须依据现行版《清单计价规范》和现行版《工程计价表》要求来编制，按照工程量清单、结合施工图纸（若有）进行报价；</w:t>
      </w:r>
    </w:p>
    <w:p w14:paraId="7956D83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（6）供应商认为需要提供的其他技术资料。</w:t>
      </w:r>
    </w:p>
    <w:p w14:paraId="7AAFEE7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7.4响应文件的价格部分</w:t>
      </w:r>
    </w:p>
    <w:p w14:paraId="68567EF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价格部分内容是对采购标的价格构成的说明，招标文件如无特别说明，每一项货物及服务、工程仅接受一个价格。供应商应按照文件所提供的工程量清单，报价、施工。按照《建设工程工程量清单计价规范》（GB50500-2013）、工程量清单指定的定额等造价计算程序、及现行的法律法规确定分项综合预算单价，并根据本企业水平研究最终确定总报价。</w:t>
      </w:r>
    </w:p>
    <w:p w14:paraId="264CA1B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F68302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供应商的任何错漏、优惠、竞争性报价不得作为减轻责任、减少服务、增加收费、降低质量的理由。</w:t>
      </w:r>
    </w:p>
    <w:p w14:paraId="7270920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6B504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）响应文件的其他部分。其他部分由供应商根据编制响应文件需要提供的其他相关文件。</w:t>
      </w:r>
    </w:p>
    <w:p w14:paraId="18B95656">
      <w:pPr>
        <w:ind w:firstLine="56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7.5评审过程中出现下列情形之一的，评审委员会应当启动异常低价投标（响应）审查程序：</w:t>
      </w:r>
    </w:p>
    <w:p w14:paraId="06CB878C">
      <w:pPr>
        <w:ind w:firstLine="56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（1）投标（响应）报价低于采购项目预算50%的，即投标（响应）报价&lt;采购项目预算×50%；</w:t>
      </w:r>
    </w:p>
    <w:p w14:paraId="14B325CD">
      <w:pPr>
        <w:ind w:firstLine="56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（2）投标（响应）报价低于采购项目最高限价45%的，即投标（响应）报价&lt;采购项目最高限价×45%；</w:t>
      </w:r>
    </w:p>
    <w:p w14:paraId="21A71821">
      <w:pPr>
        <w:ind w:firstLine="56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评审委员会认定的供应商报价过低、有可能影响产品质量或者不能诚信履约的其他情形。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2DFBDB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8.竞争性磋商保证金：无。</w:t>
      </w:r>
    </w:p>
    <w:p w14:paraId="166EFBC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三、响应文件盖章、修改和撤回</w:t>
      </w:r>
    </w:p>
    <w:p w14:paraId="56666E3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9.响应文件盖章</w:t>
      </w:r>
    </w:p>
    <w:p w14:paraId="10B7057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9.1供应商应按照采购文件要求，对需要加盖公章的资格证明文件和有关资料加盖公章后编入响应文件。</w:t>
      </w:r>
    </w:p>
    <w:p w14:paraId="1B7C9C2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9.2供应商应在响应文件指定位置加盖公章。</w:t>
      </w:r>
    </w:p>
    <w:p w14:paraId="26569E8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9.3有下列情形之一的响应文件将拒收：</w:t>
      </w:r>
    </w:p>
    <w:p w14:paraId="1342514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（1）在磋商文件要求提交响应文件的截止时间之后递交的。</w:t>
      </w:r>
    </w:p>
    <w:p w14:paraId="0E632AF3">
      <w:pPr>
        <w:ind w:firstLine="56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9.4响应文件的份数、签署</w:t>
      </w:r>
    </w:p>
    <w:p w14:paraId="16167E5D">
      <w:pPr>
        <w:ind w:firstLine="56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9.4.1供应商应严格按照磋商文件要求的份数准备投标文件，响应文件份数：一式伍份（壹份正本、肆份副本），电子版响应文件壹份（一般应为正本盖章的扫描件PDF格式、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w:t>
      </w:r>
    </w:p>
    <w:p w14:paraId="28C322C2">
      <w:pPr>
        <w:ind w:firstLine="56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9.4.2响应文件正本中，除磋商文件规定的可提交复印件外，其他文件均须提交原件，文字材料需打印或用不褪色墨水书写。响应文件的正本须经法定代表人或经正式授权并对供应商有约束力的委托代理人签字和加盖供应商公章。本磋商文件所表述（指定）的公章是指法定名称章，不包括合同专用章、业务专用章等印章。</w:t>
      </w:r>
    </w:p>
    <w:p w14:paraId="3483E563">
      <w:pPr>
        <w:ind w:firstLine="560"/>
        <w:jc w:val="left"/>
        <w:rPr>
          <w:rFonts w:hint="default" w:eastAsia="宋体"/>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9.4.3除供应商对错处做必要修改外，响应文件不得行间插字、涂改或增删。如有修改错漏处，必须由响应文件签署人签字或盖章。</w:t>
      </w:r>
    </w:p>
    <w:p w14:paraId="5E9AEC2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10.响应文件的修改和撤回</w:t>
      </w:r>
    </w:p>
    <w:p w14:paraId="3E18875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10.1供应商在响应截止时间前，可以对所提交的响应文件进行补充、修改或撤回。</w:t>
      </w:r>
    </w:p>
    <w:p w14:paraId="32BA23A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10.2响应截止时间后，响应文件不能修改和撤回；如果以书面形式向代理机构申请撤回的，一年内不得参加</w:t>
      </w:r>
      <w:r>
        <w:rPr>
          <w:rFonts w:hint="eastAsia" w:ascii="宋体" w:hAnsi="宋体" w:cs="宋体"/>
          <w:color w:val="000000" w:themeColor="text1"/>
          <w:sz w:val="21"/>
          <w:szCs w:val="21"/>
          <w:highlight w:val="none"/>
          <w:lang w:eastAsia="zh-CN"/>
          <w14:textFill>
            <w14:solidFill>
              <w14:schemeClr w14:val="tx1"/>
            </w14:solidFill>
          </w14:textFill>
        </w:rPr>
        <w:t>南京市栖霞区市政设施综合养护管理所</w:t>
      </w:r>
      <w:r>
        <w:rPr>
          <w:rFonts w:hint="eastAsia" w:ascii="宋体" w:hAnsi="宋体" w:eastAsia="宋体" w:cs="宋体"/>
          <w:color w:val="000000" w:themeColor="text1"/>
          <w:sz w:val="21"/>
          <w:szCs w:val="21"/>
          <w:highlight w:val="none"/>
          <w:lang w:val="zh-CN"/>
          <w14:textFill>
            <w14:solidFill>
              <w14:schemeClr w14:val="tx1"/>
            </w14:solidFill>
          </w14:textFill>
        </w:rPr>
        <w:t>组织的政府采购活动。</w:t>
      </w:r>
    </w:p>
    <w:p w14:paraId="46B8A30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四、磋商</w:t>
      </w:r>
    </w:p>
    <w:p w14:paraId="1D65AA9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11.联合体：本项目不接受联合体投标。</w:t>
      </w:r>
    </w:p>
    <w:p w14:paraId="031BADB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11.1两个以上的自然人、法人或者其他组织可以组成一个联合体，以一个供应商的身份共同参加竞争性磋商。</w:t>
      </w:r>
    </w:p>
    <w:p w14:paraId="0F691EC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11.2鼓励大中型企业和其他自然人、法人或者其他组织与小型、微型企业组成联合体共同参加非专门面向中小企业的政府采购活动。大中型企业和其他自然人、法人或者其他组织可以与小型、微型企业组成联合体共同参加非专门面向中小企业的政府采购活动。联合协议中约定，小型、微型企业的协议合同金额占到联合体协议合同总金额30%以上的，给予联合体</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%的价格扣除。联合体各方均为小型、微型企业的，联合体视同为小型、微型企业享受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%价格扣除。组成联合体的大中型企业和其他自然人、法人或者其他组织，与小型、微型企业之间不得存在投资关系。</w:t>
      </w:r>
    </w:p>
    <w:p w14:paraId="75223DB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11.3以联合体形式参加竞争性磋商的，联合体各方均应当符合《政府采购法》第二十二条第一款规定的条件；采购人根据采购项目的特殊要求规定供应商特定条件的，联合体各方中至少应当有一方符合采购人规定的特定条件并在响应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5F94B91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11.4联合体各方之间应当签订共同投标联合体协议，明确约定联合体各方承担的工作和相应的责任，并将联合体共同投标协议连同投标文件一并提交。联合体各方签订联合体共同投标协议后，不得再以自己名义单独在同一项目中投标，也不得组成新的联合体参加同一项目投标。</w:t>
      </w:r>
    </w:p>
    <w:p w14:paraId="789671C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11.5政府采购合同分包履行的，中标供应商就采购项目和分包项目向采购人负责，分包项目供应商就分包项目承担责任，中标供应商与分包供应商之间应该签订分包意向协议。</w:t>
      </w:r>
    </w:p>
    <w:p w14:paraId="4095A3C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11.6享受中小企业扶持政策获得政府采购合同的，小微企业不得将合同分包给大中型企业，中型企业不得将合同分包给大型企业。</w:t>
      </w:r>
    </w:p>
    <w:p w14:paraId="39485AD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11.7预留份额的采购项目中，组成联合体或者接受分包的中小企业与联合体内其他企业、分包企业之间不得存在直接控股、管理关系。未预留份额的采购项目或采购包中，组成联合体或者接受分包的中小企业与联合体内其他企业、分包企业之间存在直接控股、管理关系的，不享受价格扣除优惠政策。</w:t>
      </w:r>
    </w:p>
    <w:p w14:paraId="5BE8E80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12.磋商组织及程序</w:t>
      </w:r>
    </w:p>
    <w:p w14:paraId="5823E65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12.1在提交响应文件时间截止后，代理机构在规定的时间和地点组织磋商小组分别与供应商进行磋商。</w:t>
      </w:r>
    </w:p>
    <w:p w14:paraId="2996519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12.2磋商工作由代理机构负责组织，具体磋商事务由依法组建的磋商小组负责。</w:t>
      </w:r>
    </w:p>
    <w:p w14:paraId="6344FBC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12.3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5E0AF29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12.4磋商小组所有成员集中与单一供应商分别进行磋商，所有参加磋商的供应商均有同等的磋商机会。</w:t>
      </w:r>
    </w:p>
    <w:p w14:paraId="0998AEA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12.5磋商过程中，磋商小组根据磋商文件和磋商情况可能实质性变动采购需求中的技术、服务要求以及合同草案条款。实质性变动是磋商文件的有效组成部分，磋商小组将以书面形式通知所有参加磋商的供应商。实质性要求是指本磋商文件中用带星号（“★”）的商务和服务要求或文件中作出特别说明的其他要求。</w:t>
      </w:r>
    </w:p>
    <w:p w14:paraId="623C7D5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如果响应文件实质上没有响应磋商文件的要求，磋商小组将予以拒绝，供应商不得通过修改或撤销不合要求的偏离或保留而使其投标成为实质性响应的投标。</w:t>
      </w:r>
    </w:p>
    <w:p w14:paraId="0C374A8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12.6供应商应当按照磋商文件的变动情况和磋商小组的要求重新提交响应文件，并由法定代表人或授权代表签字确认。</w:t>
      </w:r>
    </w:p>
    <w:p w14:paraId="45A8BB8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12.7磋商结束后，磋商小组将要求所有继续参加磋商的供应商在规定时间内提交最后报价并由法定代表人或授权委托人签字确认，最后报价是供应商响应文件的有效组成部分。</w:t>
      </w:r>
    </w:p>
    <w:p w14:paraId="7F3DFAE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12.8已提交响应文件的供应商，在提交最后报价之前，可以根据磋商情况退出磋商。</w:t>
      </w:r>
    </w:p>
    <w:p w14:paraId="59C7E84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12.9出现下列情形之一的响应文件按照无效处理：</w:t>
      </w:r>
    </w:p>
    <w:p w14:paraId="2498A9B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（1）未按磋商文件规定签署、盖章的；</w:t>
      </w:r>
    </w:p>
    <w:p w14:paraId="02DC301F">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（2）不具备磋商文件规定资格条件的；</w:t>
      </w:r>
    </w:p>
    <w:p w14:paraId="150A452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供应商被“信用中国”网站（www.creditchina.gov.cn）、“中国政府采购网”（www.ccgp.gov.cn）列入失信被执行人、重大税收违法失信主体、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2A8300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（4）未提供《南京市政府采购供应商信用记录表暨信用承诺书》的</w:t>
      </w:r>
      <w:r>
        <w:rPr>
          <w:rFonts w:hint="eastAsia" w:ascii="宋体" w:hAnsi="宋体" w:eastAsia="宋体" w:cs="宋体"/>
          <w:color w:val="000000" w:themeColor="text1"/>
          <w:sz w:val="21"/>
          <w:szCs w:val="21"/>
          <w:highlight w:val="none"/>
          <w14:textFill>
            <w14:solidFill>
              <w14:schemeClr w14:val="tx1"/>
            </w14:solidFill>
          </w14:textFill>
        </w:rPr>
        <w:t>或未按要求签字、盖章的</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2A35D4D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（5）未实质性响应磋商文件要求的；</w:t>
      </w:r>
    </w:p>
    <w:p w14:paraId="3D0C375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（6）属于磋商邀请中拒绝参加本次采购活动供应商的；</w:t>
      </w:r>
    </w:p>
    <w:p w14:paraId="016A4BE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zh-CN"/>
          <w14:textFill>
            <w14:solidFill>
              <w14:schemeClr w14:val="tx1"/>
            </w14:solidFill>
          </w14:textFill>
        </w:rPr>
        <w:t>）磋商小组认为供应商的报价明显低于其他供应商的报价，有可能影响服务质量或者不能诚信履约的，未在磋商现场合理的时间内提供书面说明或相关证明材料，不能证明其报价合理的；</w:t>
      </w:r>
    </w:p>
    <w:p w14:paraId="067883A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zh-CN"/>
          <w14:textFill>
            <w14:solidFill>
              <w14:schemeClr w14:val="tx1"/>
            </w14:solidFill>
          </w14:textFill>
        </w:rPr>
        <w:t>）不符合法律、法规和磋商文件规定的其他实质性要求的。</w:t>
      </w:r>
    </w:p>
    <w:p w14:paraId="5EAEC8C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12.10出现下列情形之一的，磋商终止：</w:t>
      </w:r>
    </w:p>
    <w:p w14:paraId="6A921917">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（1）因情况变化，不再符合规定的竞争性磋商采购方式适用情形的；</w:t>
      </w:r>
    </w:p>
    <w:p w14:paraId="787C2DC1">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（2）所有供应商的投标文件被磋商小组认定为无效的；</w:t>
      </w:r>
    </w:p>
    <w:p w14:paraId="764B2D7E">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（3）出现影响采购公正的违法、违规行为的；</w:t>
      </w:r>
    </w:p>
    <w:p w14:paraId="2D10FDB8">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（4）所有供应商的最终报价均超过采购预算或最高限价的；</w:t>
      </w:r>
    </w:p>
    <w:p w14:paraId="5F2EDB28">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（5）因重大变故，采购任务取消的；</w:t>
      </w:r>
    </w:p>
    <w:p w14:paraId="31C2A7AE">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（6）采购人需求发生重大变化暂时不能确定或供应商提供的货物和服务不能满足需求等。</w:t>
      </w:r>
    </w:p>
    <w:p w14:paraId="379AE605">
      <w:pPr>
        <w:ind w:firstLine="42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（7）预留份额的采购项目或采购包，通过发布公告方式邀请供应商后，符合资格条件的中小企业数量不足3家的。</w:t>
      </w:r>
    </w:p>
    <w:p w14:paraId="14E345D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13.评定成交方法和标准</w:t>
      </w:r>
    </w:p>
    <w:p w14:paraId="7C7608E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13.1采用综合评分法。即在最大限度地满足竞争性磋商文件实质性要求前提下，按照磋商文件中规定的各项因素及诚信记录进行综合评审后，以评审总得分最高的供应商作为成交候选供应商或者成交供应商的评审方法。</w:t>
      </w:r>
    </w:p>
    <w:p w14:paraId="0F0431B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13.2综合评分的主要因素是：详见磋商文件第三章。</w:t>
      </w:r>
    </w:p>
    <w:p w14:paraId="64AF615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13.4评定方法，详见磋商文件第三章。</w:t>
      </w:r>
    </w:p>
    <w:p w14:paraId="66D052E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14.确定成交供应商</w:t>
      </w:r>
    </w:p>
    <w:p w14:paraId="71F0D47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14.1综合比较与评价后按照得分高低顺序对供应商进行排列。得分相同的，按响应报价由低到高顺序排列。得分且响应报价相同的，按技术指标优劣顺序排列。</w:t>
      </w:r>
    </w:p>
    <w:p w14:paraId="1C8B706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14.2按以下第（1）种方式确定成交供应商</w:t>
      </w:r>
    </w:p>
    <w:p w14:paraId="36D2E29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（1）磋商小组直接确定排名第一的成交候选人为成交供应商；</w:t>
      </w:r>
    </w:p>
    <w:p w14:paraId="19CEB24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采购人在磋商小组推荐的成交候选人中按顺序确定成交供应商。按第二种方式确定成交供应商的，代理机构自评审结束之日起两个工作日内将评审报告送交采购人，采购人应当自收到评审报告之日起五个工作日内，在评审报告推荐的成交候选人中按顺序确定成交供应商。</w:t>
      </w:r>
    </w:p>
    <w:p w14:paraId="187D7D8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14.3《成交通知书》对采购人和成交供应商具有同等法律效力。</w:t>
      </w:r>
    </w:p>
    <w:p w14:paraId="3E6BD17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14.4代理机构对未成交的供应商不作未成交原因的解释。</w:t>
      </w:r>
    </w:p>
    <w:p w14:paraId="1B823DC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14.5所有响应文件不论成交与否，代理机构均不退回。</w:t>
      </w:r>
    </w:p>
    <w:p w14:paraId="5C16893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14.6成交供应商及时到代理机构领取《成交通知书》。</w:t>
      </w:r>
    </w:p>
    <w:p w14:paraId="3215ED9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15.编写评审报告</w:t>
      </w:r>
    </w:p>
    <w:p w14:paraId="4FC74412">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15.1磋商小组根据磋商过程和结果编写评审报告。</w:t>
      </w:r>
    </w:p>
    <w:p w14:paraId="385F434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16.签订合同</w:t>
      </w:r>
    </w:p>
    <w:p w14:paraId="4C177830">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16.1成交供应商应当自成交通知书发出之日起三十日内，与采购人签订政府采购合同，所签订的合同不得对磋商文件和响应文件作实质性修改。</w:t>
      </w:r>
    </w:p>
    <w:p w14:paraId="30EF446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16.2采购人不得向成交供应商提出任何不合理的要求作为签订合同的条件，不得与成交供应商私下订立背离合同实质性内容的协议。</w:t>
      </w:r>
    </w:p>
    <w:p w14:paraId="5CB23D4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16.3除不可抗力等因素外，成交通知书发出后，采购人改变成交结果，或者成交供应商拒绝签订政府采购合同的，应当承担相应的法律责任。</w:t>
      </w:r>
    </w:p>
    <w:p w14:paraId="2DF3095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16.4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288D73F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16.5成交供应商拒绝签订政府采购合同的，或因不可抗力或者自身原因不能履行政府采购合同的，采购人可以视情与排位在成交供应商之后第一位的成交候选供应商签订政府采购合同，也可以重新开展采购活动。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6F8FC8A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16.6政府采购合同履行中，采购人需追加与合同标的相同的服务的，在不改变合同其他条款的前提下，可以与供应商协商签订补充合同，但所有补充合同的采购金额不得超过原合同采购金额的百分之十。</w:t>
      </w:r>
    </w:p>
    <w:p w14:paraId="0DB572B3">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六、询问、质疑、投诉和诚实信用</w:t>
      </w:r>
    </w:p>
    <w:p w14:paraId="440AC8D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17、询问</w:t>
      </w:r>
    </w:p>
    <w:p w14:paraId="1CF75CF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17.1供应商对采购活动事项有疑问的，可以向代理机构提出询问，代理机构将在两个工作日内作出答复，但答复的内容不涉及商业秘密。</w:t>
      </w:r>
    </w:p>
    <w:p w14:paraId="1FAB271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18、质疑</w:t>
      </w:r>
    </w:p>
    <w:p w14:paraId="52D10978">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18.1供应商认为采购文件、采购过程和成交结果使自己的合法权益受到损害的，可以在知道或者应当知道其权益受到损害之日起七个工作日内，将质疑文件原件送达</w:t>
      </w:r>
      <w:r>
        <w:rPr>
          <w:rFonts w:hint="eastAsia" w:ascii="宋体" w:hAnsi="宋体" w:cs="宋体"/>
          <w:color w:val="000000" w:themeColor="text1"/>
          <w:sz w:val="21"/>
          <w:szCs w:val="21"/>
          <w:highlight w:val="none"/>
          <w:lang w:val="zh-CN"/>
          <w14:textFill>
            <w14:solidFill>
              <w14:schemeClr w14:val="tx1"/>
            </w14:solidFill>
          </w14:textFill>
        </w:rPr>
        <w:t>南京科谨工程管理咨询有限责任公司</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4E918187">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18.2质疑供应商的质疑行为和质疑函的主要内容应符合财政部94号令相关规定，未参加采购活动的供应商或在采购活动中自身权益未受到损害的供应商所提出的质疑不予受理。</w:t>
      </w:r>
    </w:p>
    <w:p w14:paraId="3CEF9BA9">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18.3上述应知其权益受到损害之日是指：</w:t>
      </w:r>
    </w:p>
    <w:p w14:paraId="4C93F25D">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（1）对采购文件提出质疑的，为采购文件公告期限届满之日起计算；</w:t>
      </w:r>
    </w:p>
    <w:p w14:paraId="784312D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（2）对采购过程提出质疑的，自采购程序环节结束之日起计算；</w:t>
      </w:r>
    </w:p>
    <w:p w14:paraId="28F0D6FE">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（3）对采购结果提出质疑的，自采购结果公告期限届满之日起计算。</w:t>
      </w:r>
    </w:p>
    <w:p w14:paraId="0AF13D45">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18.4质疑供应商在法定质疑期内应当一次性提出针对同一采购环节的质疑事项。</w:t>
      </w:r>
    </w:p>
    <w:p w14:paraId="3E1B021C">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18.5代理机构在收到供应商的质疑后将及时组织调查核实，在七个工作日内作出答复，答复的内容不涉及商业秘密。</w:t>
      </w:r>
    </w:p>
    <w:p w14:paraId="2DBCE364">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18.6代理机构遵循“谁过错谁负担”的原则，有过错的一方承担调查论证费用。违规质疑或多次质疑不成立的，将被列入不良行为记录。</w:t>
      </w:r>
    </w:p>
    <w:p w14:paraId="0962C7F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19、投诉</w:t>
      </w:r>
    </w:p>
    <w:p w14:paraId="56EE23F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19.1质疑供应商对代理机构的答复不满意，或代理机构未在规定的时间内作出答复的，可以在答复期满后十五个工作日内向采购项目同级财政部门投诉。</w:t>
      </w:r>
    </w:p>
    <w:p w14:paraId="2B7DCC41">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20、诚实信用</w:t>
      </w:r>
    </w:p>
    <w:p w14:paraId="6AF451CB">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20.1供应商之间不得相互串通报价，不得妨碍其他供应商的公平竞争，不得损害采购人和其他供应商的合法权益。</w:t>
      </w:r>
    </w:p>
    <w:p w14:paraId="383C5C4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20.2供应商不得以向代理机构工作人员、磋商小组成员行贿或者采取其他不正当手段谋取成交。经查实供应商有此行为的，政府采购管理部门将供应商列入不良行为记录名单，按照《政府采购法》有关规定处理。</w:t>
      </w:r>
    </w:p>
    <w:p w14:paraId="653AE1C6">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20.3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0C65497A">
      <w:pPr>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20.4供应商不得虚假承诺，否则，按照提供虚假材料谋取成交处理。</w:t>
      </w:r>
    </w:p>
    <w:p w14:paraId="55EFF9C0">
      <w:pPr>
        <w:spacing w:line="259" w:lineRule="auto"/>
        <w:ind w:firstLine="560"/>
        <w:jc w:val="left"/>
        <w:rPr>
          <w:rFonts w:hint="eastAsia" w:ascii="宋体" w:hAnsi="宋体" w:eastAsia="宋体" w:cs="宋体"/>
          <w:color w:val="000000" w:themeColor="text1"/>
          <w:sz w:val="21"/>
          <w:szCs w:val="21"/>
          <w:highlight w:val="none"/>
          <w:lang w:val="zh-CN"/>
          <w14:textFill>
            <w14:solidFill>
              <w14:schemeClr w14:val="tx1"/>
            </w14:solidFill>
          </w14:textFill>
        </w:rPr>
        <w:sectPr>
          <w:pgSz w:w="11906" w:h="16838"/>
          <w:pgMar w:top="850" w:right="850" w:bottom="850" w:left="1417" w:header="340" w:footer="397" w:gutter="0"/>
          <w:pgBorders>
            <w:top w:val="none" w:sz="0" w:space="0"/>
            <w:left w:val="none" w:sz="0" w:space="0"/>
            <w:bottom w:val="none" w:sz="0" w:space="0"/>
            <w:right w:val="none" w:sz="0" w:space="0"/>
          </w:pgBorders>
          <w:pgNumType w:fmt="decimal"/>
          <w:cols w:space="1701" w:num="1"/>
          <w:docGrid w:linePitch="360" w:charSpace="0"/>
        </w:sectPr>
      </w:pPr>
      <w:r>
        <w:rPr>
          <w:rFonts w:hint="eastAsia" w:ascii="宋体" w:hAnsi="宋体" w:eastAsia="宋体" w:cs="宋体"/>
          <w:color w:val="000000" w:themeColor="text1"/>
          <w:sz w:val="21"/>
          <w:szCs w:val="21"/>
          <w:highlight w:val="none"/>
          <w:lang w:val="zh-CN"/>
          <w14:textFill>
            <w14:solidFill>
              <w14:schemeClr w14:val="tx1"/>
            </w14:solidFill>
          </w14:textFill>
        </w:rPr>
        <w:t>20.5供应商应自觉遵守磋商、评审纪律，扰乱磋商、评审现场秩序的，属于失信行为，根据《江苏省政府采购供应商监督管理暂行办法》，失信行为将被记入供应商诚信档案。</w:t>
      </w:r>
    </w:p>
    <w:p w14:paraId="0E1B17FB">
      <w:pPr>
        <w:spacing w:line="360" w:lineRule="auto"/>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第三章 成交标准</w:t>
      </w:r>
      <w:bookmarkStart w:id="34" w:name="_Toc150538845"/>
    </w:p>
    <w:p w14:paraId="4C127F20">
      <w:pPr>
        <w:spacing w:line="360" w:lineRule="auto"/>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一、评标方法：本项目评标方法采用综合评分法，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3098C0A1">
      <w:pPr>
        <w:pStyle w:val="263"/>
        <w:spacing w:before="0" w:beforeAutospacing="0" w:after="0" w:afterAutospacing="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二、评标标准：</w:t>
      </w:r>
    </w:p>
    <w:tbl>
      <w:tblPr>
        <w:tblStyle w:val="34"/>
        <w:tblW w:w="9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7879"/>
        <w:gridCol w:w="685"/>
      </w:tblGrid>
      <w:tr w14:paraId="5608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275" w:type="dxa"/>
            <w:noWrap w:val="0"/>
            <w:vAlign w:val="center"/>
          </w:tcPr>
          <w:p w14:paraId="75BF2FCE">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评分因素</w:t>
            </w:r>
          </w:p>
        </w:tc>
        <w:tc>
          <w:tcPr>
            <w:tcW w:w="7879" w:type="dxa"/>
            <w:noWrap w:val="0"/>
            <w:vAlign w:val="center"/>
          </w:tcPr>
          <w:p w14:paraId="30060CAF">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评分标准</w:t>
            </w:r>
          </w:p>
        </w:tc>
        <w:tc>
          <w:tcPr>
            <w:tcW w:w="685" w:type="dxa"/>
            <w:noWrap w:val="0"/>
            <w:vAlign w:val="center"/>
          </w:tcPr>
          <w:p w14:paraId="0BA913D6">
            <w:pPr>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分值</w:t>
            </w:r>
          </w:p>
        </w:tc>
      </w:tr>
      <w:tr w14:paraId="55E5B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8" w:hRule="atLeast"/>
          <w:jc w:val="center"/>
        </w:trPr>
        <w:tc>
          <w:tcPr>
            <w:tcW w:w="1275" w:type="dxa"/>
            <w:noWrap w:val="0"/>
            <w:vAlign w:val="center"/>
          </w:tcPr>
          <w:p w14:paraId="4FDA9B5C">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w:t>
            </w:r>
          </w:p>
        </w:tc>
        <w:tc>
          <w:tcPr>
            <w:tcW w:w="7879" w:type="dxa"/>
            <w:noWrap w:val="0"/>
            <w:vAlign w:val="center"/>
          </w:tcPr>
          <w:p w14:paraId="738979E4">
            <w:pPr>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采用</w:t>
            </w:r>
            <w:r>
              <w:rPr>
                <w:rFonts w:hint="eastAsia" w:ascii="宋体" w:hAnsi="宋体" w:cs="宋体"/>
                <w:bCs/>
                <w:color w:val="000000" w:themeColor="text1"/>
                <w:sz w:val="24"/>
                <w:szCs w:val="24"/>
                <w:highlight w:val="none"/>
                <w14:textFill>
                  <w14:solidFill>
                    <w14:schemeClr w14:val="tx1"/>
                  </w14:solidFill>
                </w14:textFill>
              </w:rPr>
              <w:t xml:space="preserve">低价优先法计算，即满足磋商文件要求且最终投标价格最低的投标报价为评标基准价，其价格分为满分。 </w:t>
            </w:r>
          </w:p>
          <w:p w14:paraId="74919F0A">
            <w:pPr>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其他供应商的价格分统一按照下列公式计算：投标报价得分=(评标基准价/投标报价)×</w:t>
            </w:r>
            <w:r>
              <w:rPr>
                <w:rFonts w:hint="eastAsia" w:ascii="宋体" w:hAnsi="宋体" w:cs="宋体"/>
                <w:bCs/>
                <w:color w:val="000000" w:themeColor="text1"/>
                <w:sz w:val="24"/>
                <w:szCs w:val="24"/>
                <w:highlight w:val="none"/>
                <w:lang w:val="en-US" w:eastAsia="zh-CN"/>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 xml:space="preserve">（小数点保留两位）。 </w:t>
            </w:r>
          </w:p>
          <w:p w14:paraId="31EC3558">
            <w:pPr>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磋商小组在认为供应商最终报价明显低于其他实质响应供应商报价、有可能影响施工质量、难以诚信履约时，可以要求供应商在合理的时间内提供书面说明，内容包括但不限于其最后报价与首次报价差额的原因、具体可落实环节和理由等。供应商不能按磋商小组要求说明报价合理性的，磋商小组可以将其作为无效响应。</w:t>
            </w:r>
          </w:p>
        </w:tc>
        <w:tc>
          <w:tcPr>
            <w:tcW w:w="685" w:type="dxa"/>
            <w:noWrap w:val="0"/>
            <w:vAlign w:val="center"/>
          </w:tcPr>
          <w:p w14:paraId="72998CD3">
            <w:pPr>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10</w:t>
            </w:r>
          </w:p>
        </w:tc>
      </w:tr>
      <w:tr w14:paraId="1F77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4" w:hRule="atLeast"/>
          <w:jc w:val="center"/>
        </w:trPr>
        <w:tc>
          <w:tcPr>
            <w:tcW w:w="1275" w:type="dxa"/>
            <w:vMerge w:val="restart"/>
            <w:noWrap w:val="0"/>
            <w:vAlign w:val="center"/>
          </w:tcPr>
          <w:p w14:paraId="353C7422">
            <w:pPr>
              <w:pStyle w:val="536"/>
              <w:spacing w:before="0" w:line="240" w:lineRule="auto"/>
              <w:ind w:firstLine="0"/>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项目组成员</w:t>
            </w:r>
          </w:p>
        </w:tc>
        <w:tc>
          <w:tcPr>
            <w:tcW w:w="7879" w:type="dxa"/>
            <w:noWrap w:val="0"/>
            <w:vAlign w:val="center"/>
          </w:tcPr>
          <w:p w14:paraId="4DAD60DC">
            <w:pPr>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14:textFill>
                  <w14:solidFill>
                    <w14:schemeClr w14:val="tx1"/>
                  </w14:solidFill>
                </w14:textFill>
              </w:rPr>
              <w:t>项目技术负责人：</w:t>
            </w:r>
          </w:p>
          <w:p w14:paraId="68FFC5BE">
            <w:pPr>
              <w:ind w:right="-23" w:rightChars="-11"/>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为本项目配备的</w:t>
            </w:r>
            <w:r>
              <w:rPr>
                <w:rFonts w:hint="eastAsia" w:ascii="宋体" w:hAnsi="宋体" w:cs="宋体"/>
                <w:color w:val="000000" w:themeColor="text1"/>
                <w:sz w:val="24"/>
                <w:szCs w:val="24"/>
                <w:highlight w:val="none"/>
                <w:lang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负责人具有建设工程类中级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以上职称的得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具有建设工程类具有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color w:val="000000" w:themeColor="text1"/>
                <w:sz w:val="24"/>
                <w:szCs w:val="24"/>
                <w:highlight w:val="none"/>
                <w14:textFill>
                  <w14:solidFill>
                    <w14:schemeClr w14:val="tx1"/>
                  </w14:solidFill>
                </w14:textFill>
              </w:rPr>
              <w:t>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含</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以上职称的得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分。专业以职称证书为准，若职称证书无法体现以毕业证书专业为准，提供职称证书复印件、毕业证书（若需）及供应商为其缴纳的近六个月</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202</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月-2025年</w:t>
            </w: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任意一个月的社保证明材料复印件加盖投标人公章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456470D">
            <w:pPr>
              <w:ind w:right="-23" w:rightChars="-11"/>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供应商为本项目配备的项目技术负责人具备注册建造师证市政公用工程二级(含)以上得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分。（提供人员证书复印件及供应商为其缴纳的近六个月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2025年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月-2025年</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任</w:t>
            </w:r>
            <w:r>
              <w:rPr>
                <w:rFonts w:hint="eastAsia" w:ascii="宋体" w:hAnsi="宋体" w:eastAsia="宋体" w:cs="宋体"/>
                <w:bCs/>
                <w:color w:val="000000" w:themeColor="text1"/>
                <w:sz w:val="24"/>
                <w:szCs w:val="24"/>
                <w:highlight w:val="none"/>
                <w14:textFill>
                  <w14:solidFill>
                    <w14:schemeClr w14:val="tx1"/>
                  </w14:solidFill>
                </w14:textFill>
              </w:rPr>
              <w:t>意一个月的社保证</w:t>
            </w:r>
            <w:r>
              <w:rPr>
                <w:rFonts w:hint="eastAsia" w:ascii="宋体" w:hAnsi="宋体" w:cs="宋体"/>
                <w:color w:val="000000" w:themeColor="text1"/>
                <w:sz w:val="24"/>
                <w:szCs w:val="24"/>
                <w:highlight w:val="none"/>
                <w14:textFill>
                  <w14:solidFill>
                    <w14:schemeClr w14:val="tx1"/>
                  </w14:solidFill>
                </w14:textFill>
              </w:rPr>
              <w:t>明材料复印件加盖公章，未提供或资料不完整不得分）</w:t>
            </w:r>
          </w:p>
        </w:tc>
        <w:tc>
          <w:tcPr>
            <w:tcW w:w="685" w:type="dxa"/>
            <w:noWrap w:val="0"/>
            <w:vAlign w:val="center"/>
          </w:tcPr>
          <w:p w14:paraId="3918B045">
            <w:pPr>
              <w:pStyle w:val="536"/>
              <w:spacing w:before="0" w:line="240" w:lineRule="auto"/>
              <w:ind w:firstLine="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r>
      <w:tr w14:paraId="7DEF7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9" w:hRule="atLeast"/>
          <w:jc w:val="center"/>
        </w:trPr>
        <w:tc>
          <w:tcPr>
            <w:tcW w:w="1275" w:type="dxa"/>
            <w:vMerge w:val="continue"/>
            <w:noWrap w:val="0"/>
            <w:vAlign w:val="center"/>
          </w:tcPr>
          <w:p w14:paraId="265C4E34">
            <w:pPr>
              <w:pStyle w:val="536"/>
              <w:spacing w:before="0" w:line="240" w:lineRule="auto"/>
              <w:ind w:firstLine="0"/>
              <w:jc w:val="center"/>
              <w:rPr>
                <w:color w:val="000000" w:themeColor="text1"/>
                <w:sz w:val="24"/>
                <w:szCs w:val="24"/>
                <w:highlight w:val="none"/>
                <w14:textFill>
                  <w14:solidFill>
                    <w14:schemeClr w14:val="tx1"/>
                  </w14:solidFill>
                </w14:textFill>
              </w:rPr>
            </w:pPr>
          </w:p>
        </w:tc>
        <w:tc>
          <w:tcPr>
            <w:tcW w:w="7879" w:type="dxa"/>
            <w:noWrap w:val="0"/>
            <w:vAlign w:val="center"/>
          </w:tcPr>
          <w:p w14:paraId="4084888A">
            <w:pPr>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w:t>
            </w:r>
            <w:r>
              <w:rPr>
                <w:rFonts w:hint="eastAsia" w:ascii="宋体" w:hAnsi="宋体" w:cs="宋体"/>
                <w:b/>
                <w:color w:val="000000" w:themeColor="text1"/>
                <w:sz w:val="24"/>
                <w:szCs w:val="24"/>
                <w:highlight w:val="none"/>
                <w14:textFill>
                  <w14:solidFill>
                    <w14:schemeClr w14:val="tx1"/>
                  </w14:solidFill>
                </w14:textFill>
              </w:rPr>
              <w:t>项目组成员（项目负责人、项目技术负责人除外）：</w:t>
            </w:r>
          </w:p>
          <w:p w14:paraId="35A08073">
            <w:pPr>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供应商配备的项目组成员中包含施工员（1名）、</w:t>
            </w:r>
            <w:r>
              <w:rPr>
                <w:rFonts w:hint="eastAsia" w:ascii="宋体" w:hAnsi="宋体" w:cs="宋体"/>
                <w:bCs/>
                <w:color w:val="000000" w:themeColor="text1"/>
                <w:sz w:val="24"/>
                <w:szCs w:val="24"/>
                <w:highlight w:val="none"/>
                <w:lang w:eastAsia="zh-CN"/>
                <w14:textFill>
                  <w14:solidFill>
                    <w14:schemeClr w14:val="tx1"/>
                  </w14:solidFill>
                </w14:textFill>
              </w:rPr>
              <w:t>质量（检）员（</w:t>
            </w:r>
            <w:r>
              <w:rPr>
                <w:rFonts w:hint="eastAsia" w:ascii="宋体" w:hAnsi="宋体" w:cs="宋体"/>
                <w:bCs/>
                <w:color w:val="000000" w:themeColor="text1"/>
                <w:sz w:val="24"/>
                <w:szCs w:val="24"/>
                <w:highlight w:val="none"/>
                <w:lang w:val="en-US" w:eastAsia="zh-CN"/>
                <w14:textFill>
                  <w14:solidFill>
                    <w14:schemeClr w14:val="tx1"/>
                  </w14:solidFill>
                </w14:textFill>
              </w:rPr>
              <w:t>1名</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、安全员（1名）、材料员（1名）</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每有一个得3分，满分12分</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一人多证的</w:t>
            </w:r>
            <w:r>
              <w:rPr>
                <w:rFonts w:hint="eastAsia" w:ascii="宋体" w:hAnsi="宋体" w:cs="宋体"/>
                <w:color w:val="000000" w:themeColor="text1"/>
                <w:sz w:val="24"/>
                <w:szCs w:val="24"/>
                <w:highlight w:val="none"/>
                <w14:textFill>
                  <w14:solidFill>
                    <w14:schemeClr w14:val="tx1"/>
                  </w14:solidFill>
                </w14:textFill>
              </w:rPr>
              <w:t>只按一人计算，提供人员证书复印件及供应商为其缴纳的近六个月</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202</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月-2025年</w:t>
            </w: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任意一个月的社保证明材料复印件加盖公章，未提供或资料不完整不得分</w:t>
            </w:r>
            <w:r>
              <w:rPr>
                <w:rFonts w:hint="eastAsia" w:ascii="宋体" w:hAnsi="宋体" w:cs="宋体"/>
                <w:color w:val="000000" w:themeColor="text1"/>
                <w:sz w:val="24"/>
                <w:szCs w:val="24"/>
                <w:highlight w:val="none"/>
                <w:lang w:eastAsia="zh-CN"/>
                <w14:textFill>
                  <w14:solidFill>
                    <w14:schemeClr w14:val="tx1"/>
                  </w14:solidFill>
                </w14:textFill>
              </w:rPr>
              <w:t>）</w:t>
            </w:r>
          </w:p>
          <w:p w14:paraId="6BDA7103">
            <w:pPr>
              <w:ind w:right="-248" w:rightChars="-118"/>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供应商配备的项目组成员</w:t>
            </w:r>
            <w:r>
              <w:rPr>
                <w:rFonts w:hint="eastAsia" w:ascii="宋体" w:hAnsi="宋体" w:eastAsia="宋体" w:cs="宋体"/>
                <w:bCs/>
                <w:color w:val="000000" w:themeColor="text1"/>
                <w:sz w:val="24"/>
                <w:szCs w:val="24"/>
                <w:highlight w:val="none"/>
                <w14:textFill>
                  <w14:solidFill>
                    <w14:schemeClr w14:val="tx1"/>
                  </w14:solidFill>
                </w14:textFill>
              </w:rPr>
              <w:t>中包含造价员，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得</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Cs/>
                <w:color w:val="000000" w:themeColor="text1"/>
                <w:sz w:val="24"/>
                <w:szCs w:val="24"/>
                <w:highlight w:val="none"/>
                <w14:textFill>
                  <w14:solidFill>
                    <w14:schemeClr w14:val="tx1"/>
                  </w14:solidFill>
                </w14:textFill>
              </w:rPr>
              <w:t>提供须二级(含)以上注册造价师证复印件及供应商为其缴纳的近六个月</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202</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月-2025年</w:t>
            </w: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任意一个月的社保证明材料复印件加盖公章，未提供或资料不完整不得分）</w:t>
            </w:r>
          </w:p>
        </w:tc>
        <w:tc>
          <w:tcPr>
            <w:tcW w:w="685" w:type="dxa"/>
            <w:noWrap w:val="0"/>
            <w:vAlign w:val="center"/>
          </w:tcPr>
          <w:p w14:paraId="72C46F28">
            <w:pPr>
              <w:pStyle w:val="536"/>
              <w:spacing w:before="0" w:line="240" w:lineRule="auto"/>
              <w:ind w:firstLine="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r>
      <w:tr w14:paraId="7CCD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noWrap w:val="0"/>
            <w:vAlign w:val="center"/>
          </w:tcPr>
          <w:p w14:paraId="646AE528">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w:t>
            </w:r>
          </w:p>
          <w:p w14:paraId="72C2A7FC">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业绩</w:t>
            </w:r>
          </w:p>
        </w:tc>
        <w:tc>
          <w:tcPr>
            <w:tcW w:w="7879" w:type="dxa"/>
            <w:noWrap w:val="0"/>
            <w:vAlign w:val="center"/>
          </w:tcPr>
          <w:p w14:paraId="60202DC8">
            <w:pPr>
              <w:jc w:val="left"/>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供应商自2022年</w:t>
            </w: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cs="宋体"/>
                <w:bCs/>
                <w:color w:val="000000" w:themeColor="text1"/>
                <w:sz w:val="24"/>
                <w:szCs w:val="24"/>
                <w:highlight w:val="none"/>
                <w14:textFill>
                  <w14:solidFill>
                    <w14:schemeClr w14:val="tx1"/>
                  </w14:solidFill>
                </w14:textFill>
              </w:rPr>
              <w:t>月1日（含）以来，承担过类似项目业绩，每提供一个得</w:t>
            </w: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cs="宋体"/>
                <w:bCs/>
                <w:color w:val="000000" w:themeColor="text1"/>
                <w:sz w:val="24"/>
                <w:szCs w:val="24"/>
                <w:highlight w:val="none"/>
                <w14:textFill>
                  <w14:solidFill>
                    <w14:schemeClr w14:val="tx1"/>
                  </w14:solidFill>
                </w14:textFill>
              </w:rPr>
              <w:t>分，满分</w:t>
            </w:r>
            <w:r>
              <w:rPr>
                <w:rFonts w:hint="eastAsia" w:ascii="宋体" w:hAnsi="宋体" w:cs="宋体"/>
                <w:bCs/>
                <w:color w:val="000000" w:themeColor="text1"/>
                <w:sz w:val="24"/>
                <w:szCs w:val="24"/>
                <w:highlight w:val="none"/>
                <w:lang w:val="en-US" w:eastAsia="zh-CN"/>
                <w14:textFill>
                  <w14:solidFill>
                    <w14:schemeClr w14:val="tx1"/>
                  </w14:solidFill>
                </w14:textFill>
              </w:rPr>
              <w:t>9</w:t>
            </w:r>
            <w:r>
              <w:rPr>
                <w:rFonts w:hint="eastAsia" w:ascii="宋体" w:hAnsi="宋体" w:cs="宋体"/>
                <w:bCs/>
                <w:color w:val="000000" w:themeColor="text1"/>
                <w:sz w:val="24"/>
                <w:szCs w:val="24"/>
                <w:highlight w:val="none"/>
                <w14:textFill>
                  <w14:solidFill>
                    <w14:schemeClr w14:val="tx1"/>
                  </w14:solidFill>
                </w14:textFill>
              </w:rPr>
              <w:t>分。（提供：①中标（成交）通知书②施工合同③竣工验收证明（或合同工程完工验收证明）</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三</w:t>
            </w:r>
            <w:r>
              <w:rPr>
                <w:rFonts w:hint="eastAsia" w:ascii="宋体" w:hAnsi="宋体" w:cs="宋体"/>
                <w:bCs/>
                <w:color w:val="000000" w:themeColor="text1"/>
                <w:sz w:val="24"/>
                <w:szCs w:val="24"/>
                <w:highlight w:val="none"/>
                <w14:textFill>
                  <w14:solidFill>
                    <w14:schemeClr w14:val="tx1"/>
                  </w14:solidFill>
                </w14:textFill>
              </w:rPr>
              <w:t>者缺一不可，日期以竣工验收证明（或合同工程完工验收证明）</w:t>
            </w:r>
            <w:r>
              <w:rPr>
                <w:rFonts w:hint="eastAsia" w:ascii="宋体" w:hAnsi="宋体" w:cs="宋体"/>
                <w:bCs/>
                <w:color w:val="000000" w:themeColor="text1"/>
                <w:sz w:val="24"/>
                <w:szCs w:val="24"/>
                <w:highlight w:val="none"/>
                <w:lang w:val="en-US" w:eastAsia="zh-CN"/>
                <w14:textFill>
                  <w14:solidFill>
                    <w14:schemeClr w14:val="tx1"/>
                  </w14:solidFill>
                </w14:textFill>
              </w:rPr>
              <w:t>中的竣工验收</w:t>
            </w:r>
            <w:r>
              <w:rPr>
                <w:rFonts w:hint="eastAsia" w:ascii="宋体" w:hAnsi="宋体" w:cs="宋体"/>
                <w:bCs/>
                <w:color w:val="000000" w:themeColor="text1"/>
                <w:sz w:val="24"/>
                <w:szCs w:val="24"/>
                <w:highlight w:val="none"/>
                <w14:textFill>
                  <w14:solidFill>
                    <w14:schemeClr w14:val="tx1"/>
                  </w14:solidFill>
                </w14:textFill>
              </w:rPr>
              <w:t>日期为</w:t>
            </w:r>
            <w:r>
              <w:rPr>
                <w:rFonts w:hint="eastAsia" w:ascii="宋体" w:hAnsi="宋体" w:cs="宋体"/>
                <w:bCs/>
                <w:color w:val="000000" w:themeColor="text1"/>
                <w:sz w:val="24"/>
                <w:szCs w:val="24"/>
                <w:highlight w:val="none"/>
                <w:lang w:val="en-US" w:eastAsia="zh-CN"/>
                <w14:textFill>
                  <w14:solidFill>
                    <w14:schemeClr w14:val="tx1"/>
                  </w14:solidFill>
                </w14:textFill>
              </w:rPr>
              <w:t>准</w:t>
            </w:r>
            <w:r>
              <w:rPr>
                <w:rFonts w:hint="eastAsia" w:ascii="宋体" w:hAnsi="宋体" w:cs="宋体"/>
                <w:bCs/>
                <w:color w:val="000000" w:themeColor="text1"/>
                <w:sz w:val="24"/>
                <w:szCs w:val="24"/>
                <w:highlight w:val="none"/>
                <w14:textFill>
                  <w14:solidFill>
                    <w14:schemeClr w14:val="tx1"/>
                  </w14:solidFill>
                </w14:textFill>
              </w:rPr>
              <w:t>，提供以上材料复印件并加盖公章</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未提供或资料不完整不得分。）。</w:t>
            </w:r>
          </w:p>
          <w:p w14:paraId="0942B504">
            <w:pPr>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注：供应商业绩与项目负责人业绩不可以兼得。</w:t>
            </w:r>
          </w:p>
        </w:tc>
        <w:tc>
          <w:tcPr>
            <w:tcW w:w="685" w:type="dxa"/>
            <w:noWrap w:val="0"/>
            <w:vAlign w:val="center"/>
          </w:tcPr>
          <w:p w14:paraId="15A57D53">
            <w:pPr>
              <w:pStyle w:val="536"/>
              <w:spacing w:before="0" w:line="240" w:lineRule="auto"/>
              <w:ind w:firstLine="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p>
        </w:tc>
      </w:tr>
      <w:tr w14:paraId="203F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73BD2981">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施工组织总体方案与技术措施</w:t>
            </w:r>
          </w:p>
        </w:tc>
        <w:tc>
          <w:tcPr>
            <w:tcW w:w="7879" w:type="dxa"/>
            <w:noWrap w:val="0"/>
            <w:vAlign w:val="center"/>
          </w:tcPr>
          <w:p w14:paraId="5CFE87E5">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根据投标人提供的施工组织总体设想、方案针对性及施工段划分合理性施工方案与技术措施进行综合评审：方案措施组织科学严密、具有前瞻性、考虑周全，先进可行，得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分；方案措施完整，思路清晰、可实施性尚可，得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分；方案措施缺乏逻辑，简单粗糙、勉强可行，得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分；相关措施方案无针对性不可行或未提供不得分。</w:t>
            </w:r>
          </w:p>
        </w:tc>
        <w:tc>
          <w:tcPr>
            <w:tcW w:w="685" w:type="dxa"/>
            <w:noWrap w:val="0"/>
            <w:vAlign w:val="center"/>
          </w:tcPr>
          <w:p w14:paraId="494333B9">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p>
        </w:tc>
      </w:tr>
      <w:tr w14:paraId="02D8C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6A8FFB19">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施工进度计划保障措施</w:t>
            </w:r>
          </w:p>
        </w:tc>
        <w:tc>
          <w:tcPr>
            <w:tcW w:w="7879" w:type="dxa"/>
            <w:noWrap w:val="0"/>
            <w:vAlign w:val="center"/>
          </w:tcPr>
          <w:p w14:paraId="02274D4D">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将根据投标人提供的施工进度计划方案进行综合评审：进度计划节点把控精准，组织严密科学，得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分；进度计划合理，基本满足项目工期要求，得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分；进度计划存在瑕疵，勉强满足项目需求，得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分；相关措施不满足工程需要或未提供不得分。</w:t>
            </w:r>
          </w:p>
        </w:tc>
        <w:tc>
          <w:tcPr>
            <w:tcW w:w="685" w:type="dxa"/>
            <w:noWrap w:val="0"/>
            <w:vAlign w:val="center"/>
          </w:tcPr>
          <w:p w14:paraId="712C9548">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p>
        </w:tc>
      </w:tr>
      <w:tr w14:paraId="76404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6DD5B1B5">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施工质量保障措施</w:t>
            </w:r>
          </w:p>
        </w:tc>
        <w:tc>
          <w:tcPr>
            <w:tcW w:w="7879" w:type="dxa"/>
            <w:noWrap w:val="0"/>
            <w:vAlign w:val="center"/>
          </w:tcPr>
          <w:p w14:paraId="5A1612AD">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将根据投标人提供的各阶段进度的质量保证措施进行综合评审：质量保障措施科学高效、贴合实际，得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分；质量保障措施合理可行，得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分；质量保障措施存在漏洞，勉强满足项目需求，得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分；相关措施不满足工程需要或未提供不得分。</w:t>
            </w:r>
          </w:p>
        </w:tc>
        <w:tc>
          <w:tcPr>
            <w:tcW w:w="685" w:type="dxa"/>
            <w:noWrap w:val="0"/>
            <w:vAlign w:val="center"/>
          </w:tcPr>
          <w:p w14:paraId="07BEFC9F">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p>
        </w:tc>
      </w:tr>
      <w:tr w14:paraId="350C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6E1FCDE4">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安全文明施工及环境保护措施</w:t>
            </w:r>
          </w:p>
        </w:tc>
        <w:tc>
          <w:tcPr>
            <w:tcW w:w="7879" w:type="dxa"/>
            <w:noWrap w:val="0"/>
            <w:vAlign w:val="center"/>
          </w:tcPr>
          <w:p w14:paraId="4B45C6B9">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将根据投标人提供的安全文明施工及环境保护措施进行综合评审：保证措施中安全文明及环保意识强，措施完善，可行有力，得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分；保证措施完整但缺乏针对性，基本满足项目需求，得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分；保障措施</w:t>
            </w:r>
            <w:r>
              <w:rPr>
                <w:rFonts w:hint="eastAsia" w:ascii="宋体" w:hAnsi="宋体" w:eastAsia="宋体" w:cs="宋体"/>
                <w:bCs/>
                <w:color w:val="000000" w:themeColor="text1"/>
                <w:sz w:val="24"/>
                <w:szCs w:val="24"/>
                <w:highlight w:val="none"/>
                <w:lang w:eastAsia="zh-CN"/>
                <w14:textFill>
                  <w14:solidFill>
                    <w14:schemeClr w14:val="tx1"/>
                  </w14:solidFill>
                </w14:textFill>
              </w:rPr>
              <w:t>有所疏漏</w:t>
            </w:r>
            <w:r>
              <w:rPr>
                <w:rFonts w:hint="eastAsia" w:ascii="宋体" w:hAnsi="宋体" w:eastAsia="宋体" w:cs="宋体"/>
                <w:bCs/>
                <w:color w:val="000000" w:themeColor="text1"/>
                <w:sz w:val="24"/>
                <w:szCs w:val="24"/>
                <w:highlight w:val="none"/>
                <w14:textFill>
                  <w14:solidFill>
                    <w14:schemeClr w14:val="tx1"/>
                  </w14:solidFill>
                </w14:textFill>
              </w:rPr>
              <w:t>，勉强满足项目求，得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分；相关措施不满足工程需要或未提供不得分。</w:t>
            </w:r>
          </w:p>
        </w:tc>
        <w:tc>
          <w:tcPr>
            <w:tcW w:w="685" w:type="dxa"/>
            <w:noWrap w:val="0"/>
            <w:vAlign w:val="center"/>
          </w:tcPr>
          <w:p w14:paraId="2D2F6196">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p>
        </w:tc>
      </w:tr>
      <w:tr w14:paraId="70ED8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4441BABA">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劳动力、机械设备和材料投入计划</w:t>
            </w:r>
          </w:p>
        </w:tc>
        <w:tc>
          <w:tcPr>
            <w:tcW w:w="7879" w:type="dxa"/>
            <w:noWrap w:val="0"/>
            <w:vAlign w:val="center"/>
          </w:tcPr>
          <w:p w14:paraId="35E5138E">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根据投标人提供的劳动力、机械设备和材料投入计划进行综合评审：劳动力、机械种类丰富齐全，数量充足，材料投入计划科学严谨，循序渐进，得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分；劳动力、机械种类全，数量尚可，材料投入计划完整，得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分；劳动力、机械种类存在不足，数量少，材料投入计划不完整，顺序混乱，勉强满足项目需求得</w:t>
            </w: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分；相关措施不满足工程需要或未提供不得分。</w:t>
            </w:r>
          </w:p>
        </w:tc>
        <w:tc>
          <w:tcPr>
            <w:tcW w:w="685" w:type="dxa"/>
            <w:noWrap w:val="0"/>
            <w:vAlign w:val="center"/>
          </w:tcPr>
          <w:p w14:paraId="0628562A">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p>
        </w:tc>
      </w:tr>
      <w:tr w14:paraId="5B90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66F9A07B">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项目实施的重点、难点和解决方案</w:t>
            </w:r>
          </w:p>
        </w:tc>
        <w:tc>
          <w:tcPr>
            <w:tcW w:w="7879" w:type="dxa"/>
            <w:noWrap w:val="0"/>
            <w:vAlign w:val="center"/>
          </w:tcPr>
          <w:p w14:paraId="42F71387">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根据投标人提供的关键施工技术、工艺及工程项目实施的重点、难点和解决方案进行综合评审：重难点及关键点把握十分精准，配备解决方案科学可行，得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分；重难点及关键点把握一般，解决方案基本符合项目需求，得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分；重难点及关键点与项目实际存在偏离，解决方案勉强符合项目需求，得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分；未提供相关描述或不符合招标要求的不得分。</w:t>
            </w:r>
          </w:p>
        </w:tc>
        <w:tc>
          <w:tcPr>
            <w:tcW w:w="685" w:type="dxa"/>
            <w:noWrap w:val="0"/>
            <w:vAlign w:val="center"/>
          </w:tcPr>
          <w:p w14:paraId="3F36BB79">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p>
        </w:tc>
      </w:tr>
      <w:tr w14:paraId="3DAF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275" w:type="dxa"/>
            <w:shd w:val="clear" w:color="auto" w:fill="auto"/>
            <w:noWrap w:val="0"/>
            <w:vAlign w:val="center"/>
          </w:tcPr>
          <w:p w14:paraId="6839AE81">
            <w:pPr>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售后服务方案</w:t>
            </w:r>
          </w:p>
        </w:tc>
        <w:tc>
          <w:tcPr>
            <w:tcW w:w="7879" w:type="dxa"/>
            <w:noWrap w:val="0"/>
            <w:vAlign w:val="center"/>
          </w:tcPr>
          <w:p w14:paraId="1274EFB7">
            <w:pPr>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Cs/>
                <w:color w:val="000000" w:themeColor="text1"/>
                <w:sz w:val="24"/>
                <w:szCs w:val="24"/>
                <w:highlight w:val="none"/>
                <w14:textFill>
                  <w14:solidFill>
                    <w14:schemeClr w14:val="tx1"/>
                  </w14:solidFill>
                </w14:textFill>
              </w:rPr>
              <w:t>根据投标人针对本项目提供的售后服务方案（包括但不限于售后服务人员的配备、服务响应时间、质保期后服务</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培训方案等技术指导）进行综合评审：服务方案全面，细致，有针对性，且售后服务、质保期后服务等技术指导方案周全的，得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分；服务方案较全面，细致，有较强针对性，且售后服务、质保期后服务等技术指导方案基本周全的，得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分；服务方案不够全面，细致，无针对性，且售后服务、质保期后服务等技术指导方案内容不够周全的，得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分；方案无实质性内容、没有可操作性或未提供的不得分。</w:t>
            </w:r>
          </w:p>
        </w:tc>
        <w:tc>
          <w:tcPr>
            <w:tcW w:w="685" w:type="dxa"/>
            <w:noWrap w:val="0"/>
            <w:vAlign w:val="center"/>
          </w:tcPr>
          <w:p w14:paraId="56267058">
            <w:pPr>
              <w:jc w:val="lef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p>
        </w:tc>
      </w:tr>
      <w:tr w14:paraId="0D2A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9154" w:type="dxa"/>
            <w:gridSpan w:val="2"/>
            <w:noWrap w:val="0"/>
            <w:vAlign w:val="center"/>
          </w:tcPr>
          <w:p w14:paraId="39081616">
            <w:pPr>
              <w:pStyle w:val="536"/>
              <w:spacing w:before="0" w:line="240" w:lineRule="auto"/>
              <w:ind w:firstLine="560"/>
              <w:jc w:val="left"/>
              <w:rPr>
                <w:rFonts w:hint="eastAsia" w:ascii="宋体"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合计</w:t>
            </w:r>
          </w:p>
        </w:tc>
        <w:tc>
          <w:tcPr>
            <w:tcW w:w="685" w:type="dxa"/>
            <w:noWrap w:val="0"/>
            <w:vAlign w:val="center"/>
          </w:tcPr>
          <w:p w14:paraId="54FE5E61">
            <w:pPr>
              <w:pStyle w:val="536"/>
              <w:spacing w:before="0" w:line="240" w:lineRule="auto"/>
              <w:ind w:firstLine="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w:t>
            </w:r>
          </w:p>
        </w:tc>
      </w:tr>
    </w:tbl>
    <w:p w14:paraId="480B504A">
      <w:pPr>
        <w:jc w:val="left"/>
        <w:rPr>
          <w:rFonts w:hint="eastAsia" w:ascii="宋体" w:hAnsi="宋体" w:cs="宋体"/>
          <w:b/>
          <w:color w:val="000000" w:themeColor="text1"/>
          <w:sz w:val="28"/>
          <w:szCs w:val="28"/>
          <w:highlight w:val="none"/>
          <w14:textFill>
            <w14:solidFill>
              <w14:schemeClr w14:val="tx1"/>
            </w14:solidFill>
          </w14:textFill>
        </w:rPr>
      </w:pPr>
    </w:p>
    <w:p w14:paraId="11EA4434">
      <w:pPr>
        <w:pStyle w:val="284"/>
        <w:ind w:left="0" w:leftChars="0" w:firstLine="0" w:firstLineChars="0"/>
        <w:rPr>
          <w:rFonts w:hint="eastAsia" w:hAnsi="宋体" w:cs="宋体"/>
          <w:b/>
          <w:bCs w:val="0"/>
          <w:color w:val="000000" w:themeColor="text1"/>
          <w:sz w:val="21"/>
          <w:szCs w:val="21"/>
          <w:highlight w:val="none"/>
          <w14:textFill>
            <w14:solidFill>
              <w14:schemeClr w14:val="tx1"/>
            </w14:solidFill>
          </w14:textFill>
        </w:rPr>
      </w:pPr>
      <w:r>
        <w:rPr>
          <w:rFonts w:hint="eastAsia" w:hAnsi="宋体" w:cs="宋体"/>
          <w:b/>
          <w:bCs w:val="0"/>
          <w:color w:val="000000" w:themeColor="text1"/>
          <w:sz w:val="21"/>
          <w:szCs w:val="21"/>
          <w:highlight w:val="none"/>
          <w14:textFill>
            <w14:solidFill>
              <w14:schemeClr w14:val="tx1"/>
            </w14:solidFill>
          </w14:textFill>
        </w:rPr>
        <w:t>说明：</w:t>
      </w:r>
    </w:p>
    <w:p w14:paraId="22898547">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一、对国家认定的节能产品和环保产品分别给予投标价的5%价格扣除，用扣除后的价格参与评审（特别说明：节能、环保产品必须纳入“中国政府采购网http://www.ccgp.gov.cn”等官方网站“节能、环保产品查询系统”，且以提供的证书复印件为准）。</w:t>
      </w:r>
    </w:p>
    <w:p w14:paraId="3384731D">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二、小微企业的价格扣除</w:t>
      </w:r>
    </w:p>
    <w:p w14:paraId="0BA75A99">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1.对于未预留份额专门面向中小企业采购的采购项目或预留份额项目中的非预留部分采购包，给予小微企业报价5%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联合体各方均为小微企业的，联合体视同为小微企业，享受5%的价格扣除。</w:t>
      </w:r>
    </w:p>
    <w:p w14:paraId="789539C2">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2.价格扣除比例或者价格分加分比例对小型企业和微型企业同等对待，不作区分。</w:t>
      </w:r>
    </w:p>
    <w:p w14:paraId="358F4A38">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三、监狱和戒毒企业的价格扣除</w:t>
      </w:r>
    </w:p>
    <w:p w14:paraId="74B67501">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1.本项目对监狱和戒毒企业（简称监狱企业）视同小型、微型企业，享受相同的价格扣除优惠政策。</w:t>
      </w:r>
    </w:p>
    <w:p w14:paraId="393C41DF">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2.监狱企业需提供由省级以上监狱管理局、戒毒管理局（含新疆生产建设兵团）出具的属于监狱企业的证明文件。</w:t>
      </w:r>
    </w:p>
    <w:p w14:paraId="4DCD1104">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3.监狱企业标准请参照《关于政府采购支持监狱企业发展有关问题的通知》（财库〔2014〕68号）。</w:t>
      </w:r>
    </w:p>
    <w:p w14:paraId="5451B22A">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四、残疾人福利性单位的价格扣除</w:t>
      </w:r>
    </w:p>
    <w:p w14:paraId="23B5F9FD">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1.本项目对残疾人福利性单位视同小型、微型企业，享受相同的价格扣除优惠政策。</w:t>
      </w:r>
    </w:p>
    <w:p w14:paraId="1B4AE2EC">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2.残疾人福利性单位需按照招标文件的要求提供《残疾人福利性单位声明函》。</w:t>
      </w:r>
    </w:p>
    <w:p w14:paraId="0F024D26">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3.残疾人福利性单位标准请参照《关于促进残疾人就业政府采购政策的通知》（财库〔2017〕141号）。</w:t>
      </w:r>
    </w:p>
    <w:p w14:paraId="6112BDF1">
      <w:pPr>
        <w:pStyle w:val="284"/>
        <w:ind w:firstLine="560"/>
        <w:rPr>
          <w:rFonts w:hint="eastAsia" w:hAnsi="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五、监狱企业、残疾人福利性单位属于小型、微型企业的，不重复享受政策。</w:t>
      </w:r>
    </w:p>
    <w:p w14:paraId="3F1ECACC">
      <w:pPr>
        <w:pStyle w:val="284"/>
        <w:ind w:firstLine="560"/>
        <w:rPr>
          <w:rFonts w:hint="eastAsia" w:ascii="宋体" w:hAnsi="宋体" w:cs="宋体"/>
          <w:b w:val="0"/>
          <w:bCs/>
          <w:color w:val="000000" w:themeColor="text1"/>
          <w:sz w:val="21"/>
          <w:szCs w:val="21"/>
          <w:highlight w:val="none"/>
          <w:lang w:val="en-US"/>
          <w14:textFill>
            <w14:solidFill>
              <w14:schemeClr w14:val="tx1"/>
            </w14:solidFill>
          </w14:textFill>
        </w:rPr>
        <w:sectPr>
          <w:pgSz w:w="11906" w:h="16838"/>
          <w:pgMar w:top="850" w:right="850" w:bottom="850" w:left="1417" w:header="340" w:footer="397" w:gutter="0"/>
          <w:pgBorders>
            <w:top w:val="none" w:sz="0" w:space="0"/>
            <w:left w:val="none" w:sz="0" w:space="0"/>
            <w:bottom w:val="none" w:sz="0" w:space="0"/>
            <w:right w:val="none" w:sz="0" w:space="0"/>
          </w:pgBorders>
          <w:pgNumType w:fmt="decimal"/>
          <w:cols w:space="1701" w:num="1"/>
          <w:docGrid w:linePitch="360" w:charSpace="0"/>
        </w:sectPr>
      </w:pPr>
      <w:r>
        <w:rPr>
          <w:rFonts w:hint="eastAsia" w:hAnsi="宋体" w:cs="宋体"/>
          <w:b w:val="0"/>
          <w:bCs/>
          <w:color w:val="000000" w:themeColor="text1"/>
          <w:sz w:val="21"/>
          <w:szCs w:val="21"/>
          <w:highlight w:val="none"/>
          <w14:textFill>
            <w14:solidFill>
              <w14:schemeClr w14:val="tx1"/>
            </w14:solidFill>
          </w14:textFill>
        </w:rPr>
        <w:t>六、除评分标准中另有说明外，所有认证、证明和业绩均以有效的证明文件的复印件为依据。</w:t>
      </w:r>
    </w:p>
    <w:bookmarkEnd w:id="34"/>
    <w:p w14:paraId="03715695">
      <w:pPr>
        <w:spacing w:line="360" w:lineRule="auto"/>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第四章   采购需求</w:t>
      </w:r>
    </w:p>
    <w:p w14:paraId="4EAAC84E">
      <w:pPr>
        <w:spacing w:line="360" w:lineRule="auto"/>
        <w:ind w:firstLine="562"/>
        <w:rPr>
          <w:rStyle w:val="588"/>
          <w:rFonts w:hint="eastAsia" w:ascii="宋体" w:hAnsi="宋体" w:cs="宋体"/>
          <w:color w:val="000000" w:themeColor="text1"/>
          <w:sz w:val="24"/>
          <w:szCs w:val="24"/>
          <w:highlight w:val="none"/>
          <w:lang w:eastAsia="zh-CN"/>
          <w14:textFill>
            <w14:solidFill>
              <w14:schemeClr w14:val="tx1"/>
            </w14:solidFill>
          </w14:textFill>
        </w:rPr>
      </w:pPr>
      <w:r>
        <w:rPr>
          <w:rStyle w:val="588"/>
          <w:rFonts w:hint="eastAsia" w:ascii="宋体" w:hAnsi="宋体" w:cs="宋体"/>
          <w:b/>
          <w:bCs/>
          <w:color w:val="000000" w:themeColor="text1"/>
          <w:sz w:val="24"/>
          <w:szCs w:val="24"/>
          <w:highlight w:val="none"/>
          <w14:textFill>
            <w14:solidFill>
              <w14:schemeClr w14:val="tx1"/>
            </w14:solidFill>
          </w14:textFill>
        </w:rPr>
        <w:t>一、项目名称：</w:t>
      </w:r>
      <w:r>
        <w:rPr>
          <w:rStyle w:val="588"/>
          <w:rFonts w:hint="eastAsia" w:ascii="宋体" w:hAnsi="宋体" w:cs="宋体"/>
          <w:color w:val="000000" w:themeColor="text1"/>
          <w:sz w:val="24"/>
          <w:szCs w:val="24"/>
          <w:highlight w:val="none"/>
          <w:lang w:eastAsia="zh-CN"/>
          <w14:textFill>
            <w14:solidFill>
              <w14:schemeClr w14:val="tx1"/>
            </w14:solidFill>
          </w14:textFill>
        </w:rPr>
        <w:t>南京市栖霞区神马路市政道路养护工程</w:t>
      </w:r>
    </w:p>
    <w:p w14:paraId="4FBC14D4">
      <w:pPr>
        <w:widowControl/>
        <w:spacing w:line="360" w:lineRule="auto"/>
        <w:ind w:firstLine="482" w:firstLineChars="200"/>
        <w:jc w:val="left"/>
        <w:rPr>
          <w:rStyle w:val="588"/>
          <w:rFonts w:hint="eastAsia" w:ascii="宋体" w:hAnsi="宋体" w:cs="宋体"/>
          <w:color w:val="000000" w:themeColor="text1"/>
          <w:sz w:val="24"/>
          <w:szCs w:val="24"/>
          <w:highlight w:val="none"/>
          <w:lang w:eastAsia="zh-CN"/>
          <w14:textFill>
            <w14:solidFill>
              <w14:schemeClr w14:val="tx1"/>
            </w14:solidFill>
          </w14:textFill>
        </w:rPr>
      </w:pPr>
      <w:r>
        <w:rPr>
          <w:rStyle w:val="588"/>
          <w:rFonts w:hint="eastAsia" w:ascii="宋体" w:hAnsi="宋体" w:cs="宋体"/>
          <w:b/>
          <w:bCs/>
          <w:color w:val="000000" w:themeColor="text1"/>
          <w:sz w:val="24"/>
          <w:szCs w:val="24"/>
          <w:highlight w:val="none"/>
          <w:lang w:eastAsia="zh-CN"/>
          <w14:textFill>
            <w14:solidFill>
              <w14:schemeClr w14:val="tx1"/>
            </w14:solidFill>
          </w14:textFill>
        </w:rPr>
        <w:t>二、项目概况：</w:t>
      </w:r>
      <w:r>
        <w:rPr>
          <w:rFonts w:hint="eastAsia" w:ascii="宋体" w:hAnsi="宋体" w:eastAsia="宋体" w:cs="宋体"/>
          <w:color w:val="000000"/>
          <w:kern w:val="0"/>
          <w:sz w:val="24"/>
          <w:szCs w:val="24"/>
          <w:lang w:val="en-US" w:eastAsia="zh-CN" w:bidi="ar"/>
        </w:rPr>
        <w:t>神马路（金马路-沪蓉高速涵洞）位于南京市栖霞区，呈南北走向，北起金马路，南至沪蓉高速涵洞，路线长427.119m，道路宽约12m，设计速度30km/h，为城市主干路。现状机动车道沥青路面网状裂缝、龟裂、沟槽回填破损、沉陷，水泥路面破损，为提高道路路面效果，本次对神马路路面进行病害整治处理。</w:t>
      </w:r>
    </w:p>
    <w:p w14:paraId="6FEF0F34">
      <w:pPr>
        <w:spacing w:line="360" w:lineRule="auto"/>
        <w:ind w:firstLine="560"/>
        <w:jc w:val="left"/>
        <w:outlineLvl w:val="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三</w:t>
      </w:r>
      <w:r>
        <w:rPr>
          <w:rFonts w:hint="eastAsia" w:ascii="宋体" w:hAnsi="宋体" w:cs="宋体"/>
          <w:b/>
          <w:bCs/>
          <w:color w:val="000000" w:themeColor="text1"/>
          <w:sz w:val="24"/>
          <w:szCs w:val="24"/>
          <w:highlight w:val="none"/>
          <w14:textFill>
            <w14:solidFill>
              <w14:schemeClr w14:val="tx1"/>
            </w14:solidFill>
          </w14:textFill>
        </w:rPr>
        <w:t>、招标范围：</w:t>
      </w:r>
      <w:r>
        <w:rPr>
          <w:rStyle w:val="588"/>
          <w:rFonts w:hint="eastAsia" w:ascii="宋体" w:hAnsi="宋体" w:cs="宋体"/>
          <w:color w:val="000000" w:themeColor="text1"/>
          <w:sz w:val="24"/>
          <w:szCs w:val="24"/>
          <w:highlight w:val="none"/>
          <w:lang w:eastAsia="zh-CN"/>
          <w14:textFill>
            <w14:solidFill>
              <w14:schemeClr w14:val="tx1"/>
            </w14:solidFill>
          </w14:textFill>
        </w:rPr>
        <w:t>南京市栖霞区神马路市政道路养护工程，具体详见工程量清单及图纸（另附）。</w:t>
      </w:r>
    </w:p>
    <w:p w14:paraId="7E845260">
      <w:pPr>
        <w:numPr>
          <w:ilvl w:val="0"/>
          <w:numId w:val="0"/>
        </w:numPr>
        <w:spacing w:line="360" w:lineRule="auto"/>
        <w:ind w:firstLine="482" w:firstLineChars="0"/>
        <w:outlineLvl w:val="1"/>
        <w:rPr>
          <w:rStyle w:val="597"/>
          <w:rFonts w:hint="eastAsia" w:ascii="宋体" w:hAnsi="宋体" w:eastAsia="宋体" w:cs="宋体"/>
          <w:b w:val="0"/>
          <w:bCs/>
          <w:color w:val="000000" w:themeColor="text1"/>
          <w:sz w:val="24"/>
          <w:szCs w:val="24"/>
          <w:highlight w:val="none"/>
          <w:u w:val="single"/>
          <w14:textFill>
            <w14:solidFill>
              <w14:schemeClr w14:val="tx1"/>
            </w14:solidFill>
          </w14:textFill>
        </w:rPr>
      </w:pPr>
      <w:r>
        <w:rPr>
          <w:rFonts w:hint="eastAsia" w:ascii="宋体" w:hAnsi="宋体" w:cs="宋体"/>
          <w:b w:val="0"/>
          <w:bCs/>
          <w:color w:val="000000" w:themeColor="text1"/>
          <w:sz w:val="24"/>
          <w:szCs w:val="24"/>
          <w:highlight w:val="none"/>
          <w:lang w:val="en-US" w:eastAsia="zh-CN" w:bidi="ar-SA"/>
          <w14:textFill>
            <w14:solidFill>
              <w14:schemeClr w14:val="tx1"/>
            </w14:solidFill>
          </w14:textFill>
        </w:rPr>
        <w:t>四</w:t>
      </w:r>
      <w:r>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t>、</w:t>
      </w:r>
      <w:r>
        <w:rPr>
          <w:rStyle w:val="597"/>
          <w:rFonts w:hint="eastAsia" w:ascii="宋体" w:hAnsi="宋体" w:eastAsia="宋体" w:cs="宋体"/>
          <w:color w:val="000000" w:themeColor="text1"/>
          <w:sz w:val="24"/>
          <w:szCs w:val="24"/>
          <w:highlight w:val="none"/>
          <w14:textFill>
            <w14:solidFill>
              <w14:schemeClr w14:val="tx1"/>
            </w14:solidFill>
          </w14:textFill>
        </w:rPr>
        <w:t>工程量清单编制说明：</w:t>
      </w:r>
      <w:r>
        <w:rPr>
          <w:rStyle w:val="597"/>
          <w:rFonts w:hint="eastAsia" w:ascii="宋体" w:hAnsi="宋体" w:eastAsia="宋体" w:cs="宋体"/>
          <w:b w:val="0"/>
          <w:bCs/>
          <w:color w:val="000000" w:themeColor="text1"/>
          <w:sz w:val="24"/>
          <w:szCs w:val="24"/>
          <w:highlight w:val="none"/>
          <w:u w:val="none"/>
          <w14:textFill>
            <w14:solidFill>
              <w14:schemeClr w14:val="tx1"/>
            </w14:solidFill>
          </w14:textFill>
        </w:rPr>
        <w:t>详见清单编制说明</w:t>
      </w:r>
      <w:r>
        <w:rPr>
          <w:rFonts w:hint="eastAsia" w:ascii="宋体" w:hAnsi="宋体" w:cs="宋体"/>
          <w:b w:val="0"/>
          <w:bCs/>
          <w:color w:val="000000" w:themeColor="text1"/>
          <w:sz w:val="24"/>
          <w:szCs w:val="24"/>
          <w:highlight w:val="none"/>
          <w:u w:val="none"/>
          <w14:textFill>
            <w14:solidFill>
              <w14:schemeClr w14:val="tx1"/>
            </w14:solidFill>
          </w14:textFill>
        </w:rPr>
        <w:t>（另附）</w:t>
      </w:r>
      <w:r>
        <w:rPr>
          <w:rStyle w:val="597"/>
          <w:rFonts w:hint="eastAsia" w:ascii="宋体" w:hAnsi="宋体" w:eastAsia="宋体" w:cs="宋体"/>
          <w:b w:val="0"/>
          <w:bCs/>
          <w:color w:val="000000" w:themeColor="text1"/>
          <w:sz w:val="24"/>
          <w:szCs w:val="24"/>
          <w:highlight w:val="none"/>
          <w:u w:val="none"/>
          <w14:textFill>
            <w14:solidFill>
              <w14:schemeClr w14:val="tx1"/>
            </w14:solidFill>
          </w14:textFill>
        </w:rPr>
        <w:t>。</w:t>
      </w:r>
    </w:p>
    <w:p w14:paraId="16C205DB">
      <w:pPr>
        <w:numPr>
          <w:ilvl w:val="0"/>
          <w:numId w:val="0"/>
        </w:numPr>
        <w:spacing w:line="360" w:lineRule="auto"/>
        <w:ind w:firstLine="482" w:firstLineChars="0"/>
        <w:outlineLvl w:val="1"/>
        <w:rPr>
          <w:rStyle w:val="597"/>
          <w:rFonts w:hint="eastAsia" w:ascii="宋体" w:hAnsi="宋体" w:eastAsia="宋体" w:cs="宋体"/>
          <w:b w:val="0"/>
          <w:bCs/>
          <w:color w:val="000000" w:themeColor="text1"/>
          <w:sz w:val="24"/>
          <w:szCs w:val="24"/>
          <w:highlight w:val="none"/>
          <w14:textFill>
            <w14:solidFill>
              <w14:schemeClr w14:val="tx1"/>
            </w14:solidFill>
          </w14:textFill>
        </w:rPr>
      </w:pPr>
      <w:r>
        <w:rPr>
          <w:rStyle w:val="597"/>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cs="宋体"/>
          <w:b/>
          <w:bCs w:val="0"/>
          <w:color w:val="000000" w:themeColor="text1"/>
          <w:sz w:val="24"/>
          <w:szCs w:val="24"/>
          <w:highlight w:val="none"/>
          <w:lang w:val="en-US" w:eastAsia="zh-CN" w:bidi="ar-SA"/>
          <w14:textFill>
            <w14:solidFill>
              <w14:schemeClr w14:val="tx1"/>
            </w14:solidFill>
          </w14:textFill>
        </w:rPr>
        <w:t>五</w:t>
      </w:r>
      <w:r>
        <w:rPr>
          <w:rFonts w:hint="eastAsia" w:ascii="宋体" w:hAnsi="宋体" w:eastAsia="宋体" w:cs="宋体"/>
          <w:b/>
          <w:bCs w:val="0"/>
          <w:color w:val="000000" w:themeColor="text1"/>
          <w:sz w:val="24"/>
          <w:szCs w:val="24"/>
          <w:highlight w:val="none"/>
          <w:lang w:val="en-US" w:eastAsia="zh-CN" w:bidi="ar-SA"/>
          <w14:textFill>
            <w14:solidFill>
              <w14:schemeClr w14:val="tx1"/>
            </w14:solidFill>
          </w14:textFill>
        </w:rPr>
        <w:t>、</w:t>
      </w:r>
      <w:r>
        <w:rPr>
          <w:rStyle w:val="597"/>
          <w:rFonts w:hint="eastAsia" w:ascii="宋体" w:hAnsi="宋体" w:eastAsia="宋体" w:cs="宋体"/>
          <w:color w:val="000000" w:themeColor="text1"/>
          <w:sz w:val="24"/>
          <w:szCs w:val="24"/>
          <w:highlight w:val="none"/>
          <w:lang w:eastAsia="zh-CN"/>
          <w14:textFill>
            <w14:solidFill>
              <w14:schemeClr w14:val="tx1"/>
            </w14:solidFill>
          </w14:textFill>
        </w:rPr>
        <w:t>质量标准：</w:t>
      </w:r>
      <w:r>
        <w:rPr>
          <w:rStyle w:val="597"/>
          <w:rFonts w:hint="eastAsia" w:ascii="宋体" w:hAnsi="宋体" w:eastAsia="宋体" w:cs="宋体"/>
          <w:b w:val="0"/>
          <w:bCs/>
          <w:color w:val="000000" w:themeColor="text1"/>
          <w:sz w:val="24"/>
          <w:szCs w:val="24"/>
          <w:highlight w:val="none"/>
          <w14:textFill>
            <w14:solidFill>
              <w14:schemeClr w14:val="tx1"/>
            </w14:solidFill>
          </w14:textFill>
        </w:rPr>
        <w:t>符合国家现行质量验收标准。</w:t>
      </w:r>
    </w:p>
    <w:p w14:paraId="566FB793">
      <w:pPr>
        <w:tabs>
          <w:tab w:val="left" w:pos="142"/>
        </w:tabs>
        <w:spacing w:line="360" w:lineRule="auto"/>
        <w:ind w:firstLine="480"/>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Style w:val="597"/>
          <w:rFonts w:hint="eastAsia" w:ascii="宋体" w:hAnsi="宋体" w:eastAsia="宋体" w:cs="宋体"/>
          <w:color w:val="000000" w:themeColor="text1"/>
          <w:sz w:val="24"/>
          <w:szCs w:val="24"/>
          <w:highlight w:val="none"/>
          <w:lang w:val="zh-CN" w:eastAsia="zh-CN"/>
          <w14:textFill>
            <w14:solidFill>
              <w14:schemeClr w14:val="tx1"/>
            </w14:solidFill>
          </w14:textFill>
        </w:rPr>
        <w:t>★</w:t>
      </w:r>
      <w:r>
        <w:rPr>
          <w:rStyle w:val="597"/>
          <w:rFonts w:hint="eastAsia" w:ascii="宋体" w:hAnsi="宋体" w:cs="宋体"/>
          <w:color w:val="000000" w:themeColor="text1"/>
          <w:sz w:val="24"/>
          <w:szCs w:val="24"/>
          <w:highlight w:val="none"/>
          <w:lang w:eastAsia="zh-CN"/>
          <w14:textFill>
            <w14:solidFill>
              <w14:schemeClr w14:val="tx1"/>
            </w14:solidFill>
          </w14:textFill>
        </w:rPr>
        <w:t>六</w:t>
      </w:r>
      <w:r>
        <w:rPr>
          <w:rStyle w:val="597"/>
          <w:rFonts w:hint="eastAsia" w:ascii="宋体" w:hAnsi="宋体" w:eastAsia="宋体" w:cs="宋体"/>
          <w:color w:val="000000" w:themeColor="text1"/>
          <w:sz w:val="24"/>
          <w:szCs w:val="24"/>
          <w:highlight w:val="none"/>
          <w:lang w:eastAsia="zh-CN"/>
          <w14:textFill>
            <w14:solidFill>
              <w14:schemeClr w14:val="tx1"/>
            </w14:solidFill>
          </w14:textFill>
        </w:rPr>
        <w:t>、技术要求：</w:t>
      </w:r>
      <w:r>
        <w:rPr>
          <w:rFonts w:hint="eastAsia" w:ascii="宋体" w:hAnsi="宋体" w:eastAsia="宋体" w:cs="宋体"/>
          <w:color w:val="000000" w:themeColor="text1"/>
          <w:sz w:val="24"/>
          <w:szCs w:val="24"/>
          <w:highlight w:val="none"/>
          <w:lang w:val="zh-CN"/>
          <w14:textFill>
            <w14:solidFill>
              <w14:schemeClr w14:val="tx1"/>
            </w14:solidFill>
          </w14:textFill>
        </w:rPr>
        <w:t>提供技术及施工组织方案，详细准确的工程进度表，现场各工种施工人员的人员配备表，明确项目负责人及其施工现场时间保证承诺；</w:t>
      </w:r>
    </w:p>
    <w:p w14:paraId="2DBB094E">
      <w:pPr>
        <w:spacing w:line="360" w:lineRule="auto"/>
        <w:ind w:firstLine="482"/>
        <w:rPr>
          <w:rStyle w:val="597"/>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597"/>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★七、投标报价应考虑的有关问题说明</w:t>
      </w:r>
    </w:p>
    <w:p w14:paraId="6FE4C828">
      <w:pPr>
        <w:tabs>
          <w:tab w:val="left" w:pos="142"/>
        </w:tabs>
        <w:spacing w:line="360" w:lineRule="auto"/>
        <w:ind w:firstLine="48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14:textFill>
            <w14:solidFill>
              <w14:schemeClr w14:val="tx1"/>
            </w14:solidFill>
          </w14:textFill>
        </w:rPr>
        <w:t>须依据现行版《清单计价规范》和现行版《工程计价表》要求编制，按照工程量清单、结合施工图纸（若有）进行报价。</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090CD6D2">
      <w:pPr>
        <w:tabs>
          <w:tab w:val="left" w:pos="1067"/>
        </w:tabs>
        <w:spacing w:line="360" w:lineRule="auto"/>
        <w:ind w:firstLine="48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、供应商应充分考虑投入本项目的成本(包括但不限于：人、</w:t>
      </w:r>
      <w:r>
        <w:rPr>
          <w:rFonts w:hint="eastAsia" w:ascii="宋体" w:hAnsi="宋体"/>
          <w:color w:val="000000" w:themeColor="text1"/>
          <w:sz w:val="24"/>
          <w:szCs w:val="24"/>
          <w:highlight w:val="none"/>
          <w:lang w:val="en-US" w:eastAsia="zh-CN"/>
          <w14:textFill>
            <w14:solidFill>
              <w14:schemeClr w14:val="tx1"/>
            </w14:solidFill>
          </w14:textFill>
        </w:rPr>
        <w:t>材、机、规费、税金、服务时间、工资社保等，评审过程中出现下列情形之一的，评审委员会应当启动异常低价投标（响应）审查程序：</w:t>
      </w:r>
    </w:p>
    <w:p w14:paraId="4A4048E3">
      <w:pPr>
        <w:tabs>
          <w:tab w:val="left" w:pos="1067"/>
        </w:tabs>
        <w:spacing w:line="360" w:lineRule="auto"/>
        <w:ind w:firstLine="48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（1）投标（响应）报价低于采购项目预算50%的，即投标（响应）报价&lt;采购项目预算×50%；</w:t>
      </w:r>
    </w:p>
    <w:p w14:paraId="58636AA2">
      <w:pPr>
        <w:tabs>
          <w:tab w:val="left" w:pos="1067"/>
        </w:tabs>
        <w:spacing w:line="360" w:lineRule="auto"/>
        <w:ind w:firstLine="48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（2）投标（响应）报价低于采购项目最高限价45%的，即投标（响应）报价&lt;采购项目最高限价×45%；</w:t>
      </w:r>
    </w:p>
    <w:p w14:paraId="7F35BDBE">
      <w:pPr>
        <w:tabs>
          <w:tab w:val="left" w:pos="1067"/>
        </w:tabs>
        <w:spacing w:line="360" w:lineRule="auto"/>
        <w:ind w:firstLine="480"/>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评审委员会认定的供应商报价过低、有可能影响产品质量或者不能诚信履约的其他情形。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FA952AC">
      <w:pPr>
        <w:widowControl/>
        <w:adjustRightInd w:val="0"/>
        <w:snapToGrid w:val="0"/>
        <w:spacing w:line="360" w:lineRule="auto"/>
        <w:ind w:firstLine="480" w:firstLineChars="200"/>
        <w:jc w:val="left"/>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结算综合单价={（最后投标报价-暂列金额-专业工程暂估价）/（首轮投标报价-暂列金额-专业工程暂估价）}*首轮报价中的综合单价。</w:t>
      </w:r>
    </w:p>
    <w:p w14:paraId="040F5759">
      <w:pPr>
        <w:spacing w:line="360" w:lineRule="auto"/>
        <w:ind w:firstLine="482"/>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w:t>
      </w:r>
      <w:r>
        <w:rPr>
          <w:rFonts w:hint="eastAsia" w:asciiTheme="minorEastAsia" w:hAnsiTheme="minorEastAsia" w:cstheme="minorEastAsia"/>
          <w:b/>
          <w:bCs/>
          <w:color w:val="000000" w:themeColor="text1"/>
          <w:sz w:val="24"/>
          <w:szCs w:val="24"/>
          <w:highlight w:val="none"/>
          <w:lang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、商务要求</w:t>
      </w:r>
    </w:p>
    <w:p w14:paraId="591F700B">
      <w:pPr>
        <w:tabs>
          <w:tab w:val="left" w:pos="1067"/>
        </w:tabs>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项目负责人及施工管理人员必须常驻现场，每周不少于5个工作日，每天不少于8小时。现场进行每日三次打卡考勤，如缺席，每人每次罚款1000元，上不封顶，建设单位有权从任意一期支付的工程款中直接扣除。</w:t>
      </w:r>
      <w:r>
        <w:rPr>
          <w:rFonts w:hint="eastAsia" w:ascii="宋体" w:hAnsi="宋体"/>
          <w:b/>
          <w:bCs/>
          <w:color w:val="000000" w:themeColor="text1"/>
          <w:sz w:val="24"/>
          <w:szCs w:val="24"/>
          <w:highlight w:val="none"/>
          <w14:textFill>
            <w14:solidFill>
              <w14:schemeClr w14:val="tx1"/>
            </w14:solidFill>
          </w14:textFill>
        </w:rPr>
        <w:t>（请各投标单位提供承诺书加盖公章，如未提供作为无效标处理</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承诺书格式自拟。）</w:t>
      </w:r>
    </w:p>
    <w:p w14:paraId="364B7B21">
      <w:pPr>
        <w:tabs>
          <w:tab w:val="left" w:pos="2310"/>
        </w:tabs>
        <w:spacing w:line="360" w:lineRule="auto"/>
        <w:ind w:firstLine="480"/>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2、施工期间必须遵守建设单位要求，符合招标文件《第四章</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采购需求》的各项条件。</w:t>
      </w:r>
    </w:p>
    <w:p w14:paraId="10BBE3EF">
      <w:pPr>
        <w:spacing w:line="360" w:lineRule="auto"/>
        <w:ind w:firstLine="482"/>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w:t>
      </w:r>
      <w:r>
        <w:rPr>
          <w:rFonts w:hint="eastAsia" w:asciiTheme="minorEastAsia" w:hAnsiTheme="minorEastAsia" w:cstheme="minorEastAsia"/>
          <w:b/>
          <w:bCs/>
          <w:color w:val="000000" w:themeColor="text1"/>
          <w:sz w:val="24"/>
          <w:szCs w:val="24"/>
          <w:highlight w:val="none"/>
          <w:lang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、工期：</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日历日</w:t>
      </w:r>
      <w:r>
        <w:rPr>
          <w:rFonts w:hint="eastAsia" w:eastAsia="宋体"/>
          <w:color w:val="000000" w:themeColor="text1"/>
          <w:sz w:val="24"/>
          <w:szCs w:val="24"/>
          <w:highlight w:val="none"/>
          <w:lang w:val="en-US" w:eastAsia="zh-CN"/>
          <w14:textFill>
            <w14:solidFill>
              <w14:schemeClr w14:val="tx1"/>
            </w14:solidFill>
          </w14:textFill>
        </w:rPr>
        <w:t>。</w:t>
      </w:r>
    </w:p>
    <w:p w14:paraId="4FAEB9B9">
      <w:pPr>
        <w:spacing w:line="360" w:lineRule="auto"/>
        <w:ind w:firstLine="482"/>
        <w:jc w:val="lef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w:t>
      </w:r>
      <w:r>
        <w:rPr>
          <w:rFonts w:hint="eastAsia" w:asciiTheme="minorEastAsia" w:hAnsiTheme="minorEastAsia" w:cstheme="minorEastAsia"/>
          <w:b/>
          <w:bCs/>
          <w:color w:val="000000" w:themeColor="text1"/>
          <w:sz w:val="24"/>
          <w:szCs w:val="24"/>
          <w:highlight w:val="none"/>
          <w:lang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、付款条件：</w:t>
      </w:r>
    </w:p>
    <w:p w14:paraId="602D29C7">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（1）工程款支付时间和方式：</w:t>
      </w:r>
    </w:p>
    <w:p w14:paraId="36F73EA4">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第一期：</w:t>
      </w:r>
      <w:r>
        <w:rPr>
          <w:rFonts w:hint="eastAsia" w:ascii="宋体" w:hAnsi="宋体" w:eastAsia="宋体" w:cs="Times New Roman"/>
          <w:color w:val="000000" w:themeColor="text1"/>
          <w:sz w:val="24"/>
          <w:szCs w:val="24"/>
          <w:highlight w:val="none"/>
          <w14:textFill>
            <w14:solidFill>
              <w14:schemeClr w14:val="tx1"/>
            </w14:solidFill>
          </w14:textFill>
        </w:rPr>
        <w:t>合同签订并缴纳履约保证金或保函后付至合同价的10%；</w:t>
      </w:r>
    </w:p>
    <w:p w14:paraId="09F453B5">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第二期：</w:t>
      </w:r>
      <w:r>
        <w:rPr>
          <w:rFonts w:hint="eastAsia" w:ascii="宋体" w:hAnsi="宋体" w:eastAsia="宋体" w:cs="Times New Roman"/>
          <w:color w:val="000000" w:themeColor="text1"/>
          <w:sz w:val="24"/>
          <w:szCs w:val="24"/>
          <w:highlight w:val="none"/>
          <w14:textFill>
            <w14:solidFill>
              <w14:schemeClr w14:val="tx1"/>
            </w14:solidFill>
          </w14:textFill>
        </w:rPr>
        <w:t>工程结束并验收合格后付至合同价的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60</w:t>
      </w:r>
      <w:r>
        <w:rPr>
          <w:rFonts w:hint="eastAsia" w:ascii="宋体" w:hAnsi="宋体" w:eastAsia="宋体" w:cs="Times New Roman"/>
          <w:color w:val="000000" w:themeColor="text1"/>
          <w:sz w:val="24"/>
          <w:szCs w:val="24"/>
          <w:highlight w:val="none"/>
          <w14:textFill>
            <w14:solidFill>
              <w14:schemeClr w14:val="tx1"/>
            </w14:solidFill>
          </w14:textFill>
        </w:rPr>
        <w:t>%；</w:t>
      </w:r>
    </w:p>
    <w:p w14:paraId="2B70C80A">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第三期：</w:t>
      </w:r>
      <w:r>
        <w:rPr>
          <w:rFonts w:hint="eastAsia" w:ascii="宋体" w:hAnsi="宋体" w:eastAsia="宋体" w:cs="Times New Roman"/>
          <w:color w:val="000000" w:themeColor="text1"/>
          <w:sz w:val="24"/>
          <w:szCs w:val="24"/>
          <w:highlight w:val="none"/>
          <w14:textFill>
            <w14:solidFill>
              <w14:schemeClr w14:val="tx1"/>
            </w14:solidFill>
          </w14:textFill>
        </w:rPr>
        <w:t>审计结束后付至审定价的 9</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w:t>
      </w:r>
    </w:p>
    <w:p w14:paraId="415840E6">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尾款：剩余3%的质量保修金在缺陷责任期满后15日内一次性支付完毕（无息）。</w:t>
      </w:r>
    </w:p>
    <w:p w14:paraId="42294988">
      <w:pPr>
        <w:spacing w:line="360" w:lineRule="auto"/>
        <w:ind w:firstLine="480" w:firstLineChars="20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结算审减率超过10%以上的，审核费用</w:t>
      </w:r>
      <w:r>
        <w:rPr>
          <w:rFonts w:hint="eastAsia" w:ascii="宋体" w:hAnsi="宋体" w:cs="宋体"/>
          <w:bCs/>
          <w:color w:val="000000" w:themeColor="text1"/>
          <w:sz w:val="24"/>
          <w:highlight w:val="none"/>
          <w:lang w:eastAsia="zh-CN"/>
          <w14:textFill>
            <w14:solidFill>
              <w14:schemeClr w14:val="tx1"/>
            </w14:solidFill>
          </w14:textFill>
        </w:rPr>
        <w:t>全部</w:t>
      </w:r>
      <w:r>
        <w:rPr>
          <w:rFonts w:hint="eastAsia" w:ascii="宋体" w:hAnsi="宋体" w:cs="宋体"/>
          <w:bCs/>
          <w:color w:val="000000" w:themeColor="text1"/>
          <w:sz w:val="24"/>
          <w:highlight w:val="none"/>
          <w14:textFill>
            <w14:solidFill>
              <w14:schemeClr w14:val="tx1"/>
            </w14:solidFill>
          </w14:textFill>
        </w:rPr>
        <w:t>由施工单位承担，从工程结算价款中扣除。</w:t>
      </w:r>
    </w:p>
    <w:p w14:paraId="581DF88A">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须在每次工程款付款节点前结清应缴的违约金等，否则</w:t>
      </w:r>
      <w:r>
        <w:rPr>
          <w:rFonts w:hint="eastAsia" w:ascii="宋体" w:hAnsi="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有权推迟付款直至结清。同时，</w:t>
      </w:r>
      <w:r>
        <w:rPr>
          <w:rFonts w:hint="eastAsia" w:ascii="宋体" w:hAnsi="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有权按本合同和现场管理的规定直接在工程款中扣除</w:t>
      </w:r>
      <w:r>
        <w:rPr>
          <w:rFonts w:hint="eastAsia" w:ascii="宋体" w:hAnsi="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应向</w:t>
      </w:r>
      <w:r>
        <w:rPr>
          <w:rFonts w:hint="eastAsia" w:ascii="宋体" w:hAnsi="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支付的赔偿和违约金包括罚款。</w:t>
      </w:r>
    </w:p>
    <w:p w14:paraId="7FFE226E">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支付给</w:t>
      </w:r>
      <w:r>
        <w:rPr>
          <w:rFonts w:hint="eastAsia" w:ascii="宋体" w:hAnsi="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的工程进度款，</w:t>
      </w:r>
      <w:r>
        <w:rPr>
          <w:rFonts w:hint="eastAsia" w:ascii="宋体" w:hAnsi="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只能用于本工程有关的劳力、材料、机械等费用。</w:t>
      </w:r>
      <w:r>
        <w:rPr>
          <w:rFonts w:hint="eastAsia" w:ascii="宋体" w:hAnsi="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有权对</w:t>
      </w:r>
      <w:r>
        <w:rPr>
          <w:rFonts w:hint="eastAsia" w:ascii="宋体" w:hAnsi="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工程款的使用进行监督，如进度款用于支付与本工程无关的费用，</w:t>
      </w:r>
      <w:r>
        <w:rPr>
          <w:rFonts w:hint="eastAsia" w:ascii="宋体" w:hAnsi="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将立即停止付款。</w:t>
      </w:r>
    </w:p>
    <w:p w14:paraId="1C207330">
      <w:pPr>
        <w:jc w:val="center"/>
        <w:rPr>
          <w:rFonts w:hint="eastAsia" w:ascii="宋体" w:hAnsi="宋体" w:cs="宋体"/>
          <w:b/>
          <w:bCs/>
          <w:color w:val="000000" w:themeColor="text1"/>
          <w:sz w:val="36"/>
          <w:szCs w:val="36"/>
          <w:highlight w:val="none"/>
          <w:lang w:val="zh-TW"/>
          <w14:textFill>
            <w14:solidFill>
              <w14:schemeClr w14:val="tx1"/>
            </w14:solidFill>
          </w14:textFill>
        </w:rPr>
      </w:pPr>
    </w:p>
    <w:p w14:paraId="1F4CA7A3">
      <w:pPr>
        <w:jc w:val="center"/>
        <w:rPr>
          <w:rFonts w:hint="eastAsia" w:ascii="宋体" w:hAnsi="宋体" w:cs="宋体"/>
          <w:b/>
          <w:bCs/>
          <w:color w:val="000000" w:themeColor="text1"/>
          <w:sz w:val="36"/>
          <w:szCs w:val="36"/>
          <w:highlight w:val="none"/>
          <w:lang w:val="zh-TW"/>
          <w14:textFill>
            <w14:solidFill>
              <w14:schemeClr w14:val="tx1"/>
            </w14:solidFill>
          </w14:textFill>
        </w:rPr>
      </w:pPr>
    </w:p>
    <w:p w14:paraId="1737AC67">
      <w:pPr>
        <w:jc w:val="center"/>
        <w:rPr>
          <w:rFonts w:hint="eastAsia" w:ascii="宋体" w:hAnsi="宋体" w:cs="宋体"/>
          <w:b/>
          <w:bCs/>
          <w:color w:val="000000" w:themeColor="text1"/>
          <w:sz w:val="36"/>
          <w:szCs w:val="36"/>
          <w:highlight w:val="none"/>
          <w:lang w:val="zh-TW"/>
          <w14:textFill>
            <w14:solidFill>
              <w14:schemeClr w14:val="tx1"/>
            </w14:solidFill>
          </w14:textFill>
        </w:rPr>
        <w:sectPr>
          <w:footerReference r:id="rId5" w:type="first"/>
          <w:endnotePr>
            <w:numFmt w:val="decimal"/>
          </w:endnotePr>
          <w:pgSz w:w="11906" w:h="16838"/>
          <w:pgMar w:top="850" w:right="850" w:bottom="850" w:left="1417" w:header="227" w:footer="720" w:gutter="0"/>
          <w:pgBorders>
            <w:top w:val="none" w:sz="0" w:space="0"/>
            <w:left w:val="none" w:sz="0" w:space="0"/>
            <w:bottom w:val="none" w:sz="0" w:space="0"/>
            <w:right w:val="none" w:sz="0" w:space="0"/>
          </w:pgBorders>
          <w:cols w:space="720" w:num="1"/>
        </w:sectPr>
      </w:pPr>
    </w:p>
    <w:p w14:paraId="2D1EDF61">
      <w:pPr>
        <w:jc w:val="center"/>
        <w:rPr>
          <w:rFonts w:hint="eastAsia" w:ascii="宋体" w:hAnsi="宋体" w:cs="宋体"/>
          <w:b/>
          <w:bCs/>
          <w:color w:val="000000" w:themeColor="text1"/>
          <w:sz w:val="36"/>
          <w:szCs w:val="36"/>
          <w:highlight w:val="none"/>
          <w:lang w:val="zh-TW"/>
          <w14:textFill>
            <w14:solidFill>
              <w14:schemeClr w14:val="tx1"/>
            </w14:solidFill>
          </w14:textFill>
        </w:rPr>
      </w:pPr>
      <w:r>
        <w:rPr>
          <w:rFonts w:hint="eastAsia" w:ascii="宋体" w:hAnsi="宋体" w:cs="宋体"/>
          <w:b/>
          <w:bCs/>
          <w:color w:val="000000" w:themeColor="text1"/>
          <w:sz w:val="36"/>
          <w:szCs w:val="36"/>
          <w:highlight w:val="none"/>
          <w:lang w:val="zh-TW"/>
          <w14:textFill>
            <w14:solidFill>
              <w14:schemeClr w14:val="tx1"/>
            </w14:solidFill>
          </w14:textFill>
        </w:rPr>
        <w:t>第五章  合同主要条款及格式</w:t>
      </w:r>
    </w:p>
    <w:p w14:paraId="0EB2C4F9">
      <w:pPr>
        <w:spacing w:line="300" w:lineRule="auto"/>
        <w:rPr>
          <w:rFonts w:hint="eastAsia" w:ascii="宋体" w:hAnsi="宋体" w:cs="宋体"/>
          <w:color w:val="000000" w:themeColor="text1"/>
          <w:sz w:val="28"/>
          <w:szCs w:val="28"/>
          <w:highlight w:val="none"/>
          <w:lang w:val="zh-TW"/>
          <w14:textFill>
            <w14:solidFill>
              <w14:schemeClr w14:val="tx1"/>
            </w14:solidFill>
          </w14:textFill>
        </w:rPr>
      </w:pPr>
    </w:p>
    <w:p w14:paraId="5C714E55">
      <w:pPr>
        <w:spacing w:line="300" w:lineRule="auto"/>
        <w:jc w:val="center"/>
        <w:rPr>
          <w:rFonts w:hint="eastAsia" w:ascii="宋体" w:hAnsi="宋体" w:cs="宋体"/>
          <w:color w:val="000000" w:themeColor="text1"/>
          <w:sz w:val="28"/>
          <w:szCs w:val="28"/>
          <w:highlight w:val="none"/>
          <w:lang w:val="zh-TW"/>
          <w14:textFill>
            <w14:solidFill>
              <w14:schemeClr w14:val="tx1"/>
            </w14:solidFill>
          </w14:textFill>
        </w:rPr>
      </w:pPr>
    </w:p>
    <w:p w14:paraId="085D8879">
      <w:pPr>
        <w:pStyle w:val="16"/>
        <w:jc w:val="center"/>
        <w:rPr>
          <w:rFonts w:ascii="宋体" w:hAnsi="宋体" w:eastAsia="宋体" w:cs="宋体"/>
          <w:color w:val="000000" w:themeColor="text1"/>
          <w:sz w:val="44"/>
          <w:szCs w:val="44"/>
          <w:highlight w:val="none"/>
          <w:lang w:bidi="ar"/>
          <w14:textFill>
            <w14:solidFill>
              <w14:schemeClr w14:val="tx1"/>
            </w14:solidFill>
          </w14:textFill>
        </w:rPr>
      </w:pPr>
      <w:r>
        <w:rPr>
          <w:rFonts w:hint="eastAsia" w:ascii="宋体" w:hAnsi="宋体" w:cs="宋体"/>
          <w:color w:val="000000" w:themeColor="text1"/>
          <w:sz w:val="44"/>
          <w:szCs w:val="44"/>
          <w:highlight w:val="none"/>
          <w:lang w:eastAsia="zh-CN" w:bidi="ar"/>
          <w14:textFill>
            <w14:solidFill>
              <w14:schemeClr w14:val="tx1"/>
            </w14:solidFill>
          </w14:textFill>
        </w:rPr>
        <w:t>南京市栖霞区神马路市政道路养护工程</w:t>
      </w:r>
    </w:p>
    <w:p w14:paraId="37B33B30">
      <w:pPr>
        <w:pStyle w:val="16"/>
        <w:rPr>
          <w:rFonts w:ascii="宋体" w:hAnsi="宋体" w:eastAsia="宋体" w:cs="宋体"/>
          <w:color w:val="000000" w:themeColor="text1"/>
          <w:sz w:val="44"/>
          <w:szCs w:val="44"/>
          <w:highlight w:val="none"/>
          <w:lang w:bidi="ar"/>
          <w14:textFill>
            <w14:solidFill>
              <w14:schemeClr w14:val="tx1"/>
            </w14:solidFill>
          </w14:textFill>
        </w:rPr>
      </w:pPr>
    </w:p>
    <w:p w14:paraId="3F45C2FB">
      <w:pPr>
        <w:pStyle w:val="16"/>
        <w:rPr>
          <w:rFonts w:ascii="宋体" w:hAnsi="宋体" w:eastAsia="宋体" w:cs="宋体"/>
          <w:color w:val="000000" w:themeColor="text1"/>
          <w:sz w:val="44"/>
          <w:szCs w:val="44"/>
          <w:highlight w:val="none"/>
          <w:lang w:bidi="ar"/>
          <w14:textFill>
            <w14:solidFill>
              <w14:schemeClr w14:val="tx1"/>
            </w14:solidFill>
          </w14:textFill>
        </w:rPr>
      </w:pPr>
    </w:p>
    <w:p w14:paraId="5CC90E59">
      <w:pPr>
        <w:spacing w:line="276"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GF—201</w:t>
      </w:r>
      <w:r>
        <w:rPr>
          <w:rFonts w:hint="eastAsia" w:eastAsia="仿宋_GB2312"/>
          <w:color w:val="000000" w:themeColor="text1"/>
          <w:sz w:val="32"/>
          <w:szCs w:val="32"/>
          <w:highlight w:val="none"/>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—0201</w:t>
      </w:r>
      <w:r>
        <w:rPr>
          <w:rFonts w:hint="eastAsia" w:eastAsia="仿宋_GB2312" w:cs="仿宋_GB2312"/>
          <w:color w:val="000000" w:themeColor="text1"/>
          <w:sz w:val="32"/>
          <w:szCs w:val="32"/>
          <w:highlight w:val="none"/>
          <w14:textFill>
            <w14:solidFill>
              <w14:schemeClr w14:val="tx1"/>
            </w14:solidFill>
          </w14:textFill>
        </w:rPr>
        <w:t>）</w:t>
      </w:r>
    </w:p>
    <w:p w14:paraId="13A6A543">
      <w:pPr>
        <w:spacing w:line="276" w:lineRule="auto"/>
        <w:jc w:val="center"/>
        <w:rPr>
          <w:rFonts w:eastAsia="华文中宋"/>
          <w:b/>
          <w:bCs/>
          <w:color w:val="000000" w:themeColor="text1"/>
          <w:sz w:val="52"/>
          <w:szCs w:val="52"/>
          <w:highlight w:val="none"/>
          <w14:textFill>
            <w14:solidFill>
              <w14:schemeClr w14:val="tx1"/>
            </w14:solidFill>
          </w14:textFill>
        </w:rPr>
      </w:pPr>
    </w:p>
    <w:p w14:paraId="2DAA47BB">
      <w:pPr>
        <w:spacing w:line="276" w:lineRule="auto"/>
        <w:jc w:val="center"/>
        <w:rPr>
          <w:rFonts w:eastAsia="华文中宋"/>
          <w:b/>
          <w:bCs/>
          <w:color w:val="000000" w:themeColor="text1"/>
          <w:sz w:val="52"/>
          <w:szCs w:val="52"/>
          <w:highlight w:val="none"/>
          <w14:textFill>
            <w14:solidFill>
              <w14:schemeClr w14:val="tx1"/>
            </w14:solidFill>
          </w14:textFill>
        </w:rPr>
      </w:pPr>
    </w:p>
    <w:p w14:paraId="13E2505F">
      <w:pPr>
        <w:spacing w:line="276" w:lineRule="auto"/>
        <w:jc w:val="center"/>
        <w:rPr>
          <w:rFonts w:eastAsia="华文中宋"/>
          <w:b/>
          <w:bCs/>
          <w:color w:val="000000" w:themeColor="text1"/>
          <w:sz w:val="52"/>
          <w:szCs w:val="52"/>
          <w:highlight w:val="none"/>
          <w14:textFill>
            <w14:solidFill>
              <w14:schemeClr w14:val="tx1"/>
            </w14:solidFill>
          </w14:textFill>
        </w:rPr>
      </w:pPr>
    </w:p>
    <w:p w14:paraId="4CA73098">
      <w:pPr>
        <w:spacing w:line="276" w:lineRule="auto"/>
        <w:jc w:val="center"/>
        <w:rPr>
          <w:rFonts w:asciiTheme="minorEastAsia" w:hAnsiTheme="minorEastAsia" w:eastAsiaTheme="minorEastAsia"/>
          <w:b/>
          <w:bCs/>
          <w:color w:val="000000" w:themeColor="text1"/>
          <w:sz w:val="52"/>
          <w:szCs w:val="52"/>
          <w:highlight w:val="none"/>
          <w14:textFill>
            <w14:solidFill>
              <w14:schemeClr w14:val="tx1"/>
            </w14:solidFill>
          </w14:textFill>
        </w:rPr>
      </w:pPr>
      <w:r>
        <w:rPr>
          <w:rFonts w:hint="eastAsia" w:cs="华文中宋" w:asciiTheme="minorEastAsia" w:hAnsiTheme="minorEastAsia" w:eastAsiaTheme="minorEastAsia"/>
          <w:b/>
          <w:bCs/>
          <w:color w:val="000000" w:themeColor="text1"/>
          <w:sz w:val="72"/>
          <w:szCs w:val="72"/>
          <w:highlight w:val="none"/>
          <w14:textFill>
            <w14:solidFill>
              <w14:schemeClr w14:val="tx1"/>
            </w14:solidFill>
          </w14:textFill>
        </w:rPr>
        <w:t>建设工程施工合同</w:t>
      </w:r>
      <w:r>
        <w:rPr>
          <w:rFonts w:asciiTheme="minorEastAsia" w:hAnsiTheme="minorEastAsia" w:eastAsiaTheme="minorEastAsia"/>
          <w:b/>
          <w:bCs/>
          <w:color w:val="000000" w:themeColor="text1"/>
          <w:sz w:val="52"/>
          <w:szCs w:val="52"/>
          <w:highlight w:val="none"/>
          <w14:textFill>
            <w14:solidFill>
              <w14:schemeClr w14:val="tx1"/>
            </w14:solidFill>
          </w14:textFill>
        </w:rPr>
        <w:br w:type="textWrapping"/>
      </w:r>
    </w:p>
    <w:p w14:paraId="17CF9E5F">
      <w:pPr>
        <w:spacing w:line="276" w:lineRule="auto"/>
        <w:jc w:val="center"/>
        <w:rPr>
          <w:rFonts w:eastAsia="华文中宋"/>
          <w:b/>
          <w:bCs/>
          <w:color w:val="000000" w:themeColor="text1"/>
          <w:sz w:val="52"/>
          <w:szCs w:val="52"/>
          <w:highlight w:val="none"/>
          <w14:textFill>
            <w14:solidFill>
              <w14:schemeClr w14:val="tx1"/>
            </w14:solidFill>
          </w14:textFill>
        </w:rPr>
      </w:pPr>
    </w:p>
    <w:p w14:paraId="5A903A82">
      <w:pPr>
        <w:spacing w:line="276" w:lineRule="auto"/>
        <w:jc w:val="center"/>
        <w:rPr>
          <w:rFonts w:eastAsia="黑体"/>
          <w:b/>
          <w:bCs/>
          <w:color w:val="000000" w:themeColor="text1"/>
          <w:sz w:val="72"/>
          <w:szCs w:val="72"/>
          <w:highlight w:val="none"/>
          <w14:textFill>
            <w14:solidFill>
              <w14:schemeClr w14:val="tx1"/>
            </w14:solidFill>
          </w14:textFill>
        </w:rPr>
      </w:pPr>
    </w:p>
    <w:p w14:paraId="2A2A3375">
      <w:pPr>
        <w:spacing w:line="276" w:lineRule="auto"/>
        <w:rPr>
          <w:b/>
          <w:bCs/>
          <w:color w:val="000000" w:themeColor="text1"/>
          <w:sz w:val="28"/>
          <w:szCs w:val="28"/>
          <w:highlight w:val="none"/>
          <w14:textFill>
            <w14:solidFill>
              <w14:schemeClr w14:val="tx1"/>
            </w14:solidFill>
          </w14:textFill>
        </w:rPr>
      </w:pPr>
    </w:p>
    <w:p w14:paraId="1F1B605A">
      <w:pPr>
        <w:spacing w:line="276" w:lineRule="auto"/>
        <w:rPr>
          <w:b/>
          <w:bCs/>
          <w:color w:val="000000" w:themeColor="text1"/>
          <w:sz w:val="28"/>
          <w:szCs w:val="28"/>
          <w:highlight w:val="none"/>
          <w14:textFill>
            <w14:solidFill>
              <w14:schemeClr w14:val="tx1"/>
            </w14:solidFill>
          </w14:textFill>
        </w:rPr>
      </w:pPr>
    </w:p>
    <w:p w14:paraId="1DB59378">
      <w:pPr>
        <w:spacing w:line="276" w:lineRule="auto"/>
        <w:rPr>
          <w:b/>
          <w:bCs/>
          <w:color w:val="000000" w:themeColor="text1"/>
          <w:sz w:val="28"/>
          <w:szCs w:val="28"/>
          <w:highlight w:val="none"/>
          <w14:textFill>
            <w14:solidFill>
              <w14:schemeClr w14:val="tx1"/>
            </w14:solidFill>
          </w14:textFill>
        </w:rPr>
      </w:pPr>
    </w:p>
    <w:p w14:paraId="6CECB92B">
      <w:pPr>
        <w:spacing w:line="276" w:lineRule="auto"/>
        <w:rPr>
          <w:b/>
          <w:bCs/>
          <w:color w:val="000000" w:themeColor="text1"/>
          <w:sz w:val="28"/>
          <w:szCs w:val="28"/>
          <w:highlight w:val="none"/>
          <w14:textFill>
            <w14:solidFill>
              <w14:schemeClr w14:val="tx1"/>
            </w14:solidFill>
          </w14:textFill>
        </w:rPr>
      </w:pPr>
    </w:p>
    <w:p w14:paraId="4C76F65D">
      <w:pPr>
        <w:spacing w:line="276" w:lineRule="auto"/>
        <w:rPr>
          <w:b/>
          <w:bCs/>
          <w:color w:val="000000" w:themeColor="text1"/>
          <w:sz w:val="28"/>
          <w:szCs w:val="28"/>
          <w:highlight w:val="none"/>
          <w14:textFill>
            <w14:solidFill>
              <w14:schemeClr w14:val="tx1"/>
            </w14:solidFill>
          </w14:textFill>
        </w:rPr>
      </w:pPr>
    </w:p>
    <w:p w14:paraId="3629B4C8">
      <w:pPr>
        <w:spacing w:line="276" w:lineRule="auto"/>
        <w:rPr>
          <w:b/>
          <w:bCs/>
          <w:color w:val="000000" w:themeColor="text1"/>
          <w:sz w:val="28"/>
          <w:szCs w:val="28"/>
          <w:highlight w:val="none"/>
          <w14:textFill>
            <w14:solidFill>
              <w14:schemeClr w14:val="tx1"/>
            </w14:solidFill>
          </w14:textFill>
        </w:rPr>
      </w:pPr>
    </w:p>
    <w:p w14:paraId="023D67F9">
      <w:pPr>
        <w:spacing w:line="276" w:lineRule="auto"/>
        <w:rPr>
          <w:b/>
          <w:bCs/>
          <w:color w:val="000000" w:themeColor="text1"/>
          <w:sz w:val="28"/>
          <w:szCs w:val="28"/>
          <w:highlight w:val="none"/>
          <w14:textFill>
            <w14:solidFill>
              <w14:schemeClr w14:val="tx1"/>
            </w14:solidFill>
          </w14:textFill>
        </w:rPr>
      </w:pPr>
    </w:p>
    <w:p w14:paraId="3EF7F074">
      <w:pPr>
        <w:spacing w:line="276" w:lineRule="auto"/>
        <w:ind w:right="2440" w:rightChars="1162"/>
        <w:jc w:val="center"/>
        <w:rPr>
          <w:rFonts w:hint="eastAsia" w:cs="宋体"/>
          <w:b/>
          <w:bCs/>
          <w:color w:val="000000" w:themeColor="text1"/>
          <w:sz w:val="32"/>
          <w:szCs w:val="32"/>
          <w:highlight w:val="none"/>
          <w14:textFill>
            <w14:solidFill>
              <w14:schemeClr w14:val="tx1"/>
            </w14:solidFill>
          </w14:textFill>
        </w:rPr>
      </w:pPr>
      <w:r>
        <w:rPr>
          <w:color w:val="000000" w:themeColor="text1"/>
          <w:sz w:val="20"/>
          <w:szCs w:val="20"/>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3959860</wp:posOffset>
                </wp:positionH>
                <wp:positionV relativeFrom="paragraph">
                  <wp:posOffset>22225</wp:posOffset>
                </wp:positionV>
                <wp:extent cx="643890" cy="457200"/>
                <wp:effectExtent l="5080" t="4445" r="17780" b="14605"/>
                <wp:wrapNone/>
                <wp:docPr id="3"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643890" cy="457200"/>
                        </a:xfrm>
                        <a:prstGeom prst="rect">
                          <a:avLst/>
                        </a:prstGeom>
                        <a:noFill/>
                        <a:ln w="9525">
                          <a:solidFill>
                            <a:srgbClr val="FFFFFF"/>
                          </a:solidFill>
                          <a:miter lim="200000"/>
                        </a:ln>
                        <a:effectLst/>
                      </wps:spPr>
                      <wps:txbx>
                        <w:txbxContent>
                          <w:p w14:paraId="365F7AEA">
                            <w:pPr>
                              <w:jc w:val="center"/>
                              <w:rPr>
                                <w:b/>
                                <w:bCs/>
                                <w:sz w:val="32"/>
                                <w:szCs w:val="32"/>
                              </w:rPr>
                            </w:pPr>
                            <w:r>
                              <w:rPr>
                                <w:rFonts w:hint="eastAsia" w:cs="宋体"/>
                                <w:b/>
                                <w:bCs/>
                                <w:sz w:val="32"/>
                                <w:szCs w:val="32"/>
                              </w:rPr>
                              <w:t>制定</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11.8pt;margin-top:1.75pt;height:36pt;width:50.7pt;z-index:251660288;mso-width-relative:page;mso-height-relative:page;" filled="f" stroked="t" coordsize="21600,21600" o:gfxdata="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DqT+tgAAAAIAQAADwAAAAAAAAABACAAAAAiAAAAZHJzL2Rvd25yZXYu&#10;eG1sUEsBAhQAFAAAAAgAh07iQFnSoG00AgAAbAQAAA4AAAAAAAAAAQAgAAAAJwEAAGRycy9lMm9E&#10;b2MueG1sUEsFBgAAAAAGAAYAWQEAAM0FAAAAAA==&#10;">
                <v:fill on="f" focussize="0,0"/>
                <v:stroke color="#FFFFFF" miterlimit="2" joinstyle="miter"/>
                <v:imagedata o:title=""/>
                <o:lock v:ext="edit" aspectratio="f"/>
                <v:textbox>
                  <w:txbxContent>
                    <w:p w14:paraId="365F7AEA">
                      <w:pPr>
                        <w:jc w:val="center"/>
                        <w:rPr>
                          <w:b/>
                          <w:bCs/>
                          <w:sz w:val="32"/>
                          <w:szCs w:val="32"/>
                        </w:rPr>
                      </w:pPr>
                      <w:r>
                        <w:rPr>
                          <w:rFonts w:hint="eastAsia" w:cs="宋体"/>
                          <w:b/>
                          <w:bCs/>
                          <w:sz w:val="32"/>
                          <w:szCs w:val="32"/>
                        </w:rPr>
                        <w:t>制定</w:t>
                      </w:r>
                    </w:p>
                  </w:txbxContent>
                </v:textbox>
              </v:shape>
            </w:pict>
          </mc:Fallback>
        </mc:AlternateContent>
      </w:r>
      <w:r>
        <w:rPr>
          <w:rFonts w:hint="eastAsia" w:cs="宋体"/>
          <w:b/>
          <w:bCs/>
          <w:color w:val="000000" w:themeColor="text1"/>
          <w:sz w:val="32"/>
          <w:szCs w:val="32"/>
          <w:highlight w:val="none"/>
          <w14:textFill>
            <w14:solidFill>
              <w14:schemeClr w14:val="tx1"/>
            </w14:solidFill>
          </w14:textFill>
        </w:rPr>
        <w:t>住房和城乡建设部</w:t>
      </w:r>
    </w:p>
    <w:p w14:paraId="37693CE2">
      <w:pPr>
        <w:spacing w:line="276" w:lineRule="auto"/>
        <w:ind w:right="2440" w:rightChars="1162"/>
        <w:jc w:val="center"/>
        <w:rPr>
          <w:b/>
          <w:bCs/>
          <w:color w:val="000000" w:themeColor="text1"/>
          <w:sz w:val="32"/>
          <w:szCs w:val="32"/>
          <w:highlight w:val="none"/>
          <w14:textFill>
            <w14:solidFill>
              <w14:schemeClr w14:val="tx1"/>
            </w14:solidFill>
          </w14:textFill>
        </w:rPr>
      </w:pPr>
      <w:r>
        <w:rPr>
          <w:rFonts w:hint="eastAsia" w:cs="宋体"/>
          <w:b/>
          <w:bCs/>
          <w:color w:val="000000" w:themeColor="text1"/>
          <w:sz w:val="32"/>
          <w:szCs w:val="32"/>
          <w:highlight w:val="none"/>
          <w:lang w:val="en-US" w:eastAsia="zh-CN"/>
          <w14:textFill>
            <w14:solidFill>
              <w14:schemeClr w14:val="tx1"/>
            </w14:solidFill>
          </w14:textFill>
        </w:rPr>
        <w:t xml:space="preserve">    </w:t>
      </w:r>
      <w:r>
        <w:rPr>
          <w:rFonts w:hint="eastAsia" w:cs="宋体"/>
          <w:b/>
          <w:bCs/>
          <w:color w:val="000000" w:themeColor="text1"/>
          <w:sz w:val="32"/>
          <w:szCs w:val="32"/>
          <w:highlight w:val="none"/>
          <w14:textFill>
            <w14:solidFill>
              <w14:schemeClr w14:val="tx1"/>
            </w14:solidFill>
          </w14:textFill>
        </w:rPr>
        <w:t>国家工商行政管理总局</w:t>
      </w:r>
    </w:p>
    <w:p w14:paraId="7F739317">
      <w:pPr>
        <w:tabs>
          <w:tab w:val="left" w:pos="0"/>
          <w:tab w:val="left" w:pos="1134"/>
        </w:tabs>
        <w:adjustRightInd w:val="0"/>
        <w:snapToGrid w:val="0"/>
        <w:spacing w:line="276"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5" w:name="_Toc296503025"/>
      <w:bookmarkStart w:id="36" w:name="_Toc296890982"/>
      <w:bookmarkStart w:id="37" w:name="_Toc351203480"/>
      <w:r>
        <w:rPr>
          <w:rFonts w:hint="eastAsia" w:ascii="宋体" w:hAnsi="宋体" w:eastAsia="宋体" w:cs="宋体"/>
          <w:b/>
          <w:bCs/>
          <w:snapToGrid w:val="0"/>
          <w:color w:val="000000" w:themeColor="text1"/>
          <w:sz w:val="24"/>
          <w:szCs w:val="24"/>
          <w:highlight w:val="none"/>
          <w14:textFill>
            <w14:solidFill>
              <w14:schemeClr w14:val="tx1"/>
            </w14:solidFill>
          </w14:textFill>
        </w:rPr>
        <w:t>第一部分合同协议书</w:t>
      </w:r>
      <w:bookmarkEnd w:id="35"/>
      <w:bookmarkEnd w:id="36"/>
      <w:bookmarkEnd w:id="37"/>
    </w:p>
    <w:p w14:paraId="75D3EF6F">
      <w:pPr>
        <w:spacing w:line="276" w:lineRule="auto"/>
        <w:rPr>
          <w:rFonts w:hint="eastAsia" w:ascii="宋体" w:hAnsi="宋体" w:eastAsia="宋体" w:cs="宋体"/>
          <w:b/>
          <w:bCs/>
          <w:color w:val="000000" w:themeColor="text1"/>
          <w:sz w:val="24"/>
          <w:szCs w:val="24"/>
          <w:highlight w:val="none"/>
          <w14:textFill>
            <w14:solidFill>
              <w14:schemeClr w14:val="tx1"/>
            </w14:solidFill>
          </w14:textFill>
        </w:rPr>
      </w:pPr>
    </w:p>
    <w:p w14:paraId="1211D53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发包人（全称）：</w:t>
      </w:r>
      <w:r>
        <w:rPr>
          <w:rFonts w:hint="eastAsia" w:ascii="宋体" w:hAnsi="宋体" w:cs="宋体"/>
          <w:snapToGrid w:val="0"/>
          <w:color w:val="000000" w:themeColor="text1"/>
          <w:sz w:val="24"/>
          <w:szCs w:val="24"/>
          <w:highlight w:val="none"/>
          <w:u w:val="single"/>
          <w:lang w:eastAsia="zh-CN"/>
          <w14:textFill>
            <w14:solidFill>
              <w14:schemeClr w14:val="tx1"/>
            </w14:solidFill>
          </w14:textFill>
        </w:rPr>
        <w:t>南京市栖霞区市政设施综合养护管理所</w:t>
      </w:r>
    </w:p>
    <w:p w14:paraId="40B45A1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承包人（全称）：</w:t>
      </w:r>
    </w:p>
    <w:p w14:paraId="1DECD49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根据《</w:t>
      </w:r>
      <w:r>
        <w:rPr>
          <w:rFonts w:hint="eastAsia" w:ascii="宋体" w:hAnsi="宋体" w:cs="宋体"/>
          <w:snapToGrid w:val="0"/>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snapToGrid w:val="0"/>
          <w:color w:val="000000" w:themeColor="text1"/>
          <w:sz w:val="24"/>
          <w:szCs w:val="24"/>
          <w:highlight w:val="none"/>
          <w14:textFill>
            <w14:solidFill>
              <w14:schemeClr w14:val="tx1"/>
            </w14:solidFill>
          </w14:textFill>
        </w:rPr>
        <w:t>》、《中华人民共和国建筑法》及有关法律规定，遵循平等、自愿、公平和诚实信用的原则，双方就施工及有关事项协商一致，共同达成如下协议：</w:t>
      </w:r>
    </w:p>
    <w:p w14:paraId="7EFEA99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38" w:name="_Toc351203481"/>
      <w:r>
        <w:rPr>
          <w:rFonts w:hint="eastAsia" w:ascii="宋体" w:hAnsi="宋体" w:eastAsia="宋体" w:cs="宋体"/>
          <w:snapToGrid w:val="0"/>
          <w:color w:val="000000" w:themeColor="text1"/>
          <w:sz w:val="24"/>
          <w:szCs w:val="24"/>
          <w:highlight w:val="none"/>
          <w14:textFill>
            <w14:solidFill>
              <w14:schemeClr w14:val="tx1"/>
            </w14:solidFill>
          </w14:textFill>
        </w:rPr>
        <w:t>一、工程概况</w:t>
      </w:r>
      <w:bookmarkEnd w:id="38"/>
    </w:p>
    <w:p w14:paraId="7AD7D9B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1.工程名称：</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南京市栖霞区神马路市政道路养护工程</w:t>
      </w:r>
    </w:p>
    <w:p w14:paraId="7CF48222">
      <w:pPr>
        <w:tabs>
          <w:tab w:val="left" w:pos="0"/>
          <w:tab w:val="left" w:pos="1134"/>
        </w:tabs>
        <w:adjustRightInd w:val="0"/>
        <w:snapToGrid w:val="0"/>
        <w:spacing w:line="300" w:lineRule="auto"/>
        <w:ind w:firstLine="480" w:firstLineChars="200"/>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2.工程地点：</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南京市栖霞区</w:t>
      </w:r>
    </w:p>
    <w:p w14:paraId="076DB8E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3.工程立项批准文号：/</w:t>
      </w:r>
    </w:p>
    <w:p w14:paraId="70249AD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4.资金来源：财政。</w:t>
      </w:r>
    </w:p>
    <w:p w14:paraId="1A02EB7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5.工程内容：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承包人须完成招标范围内所有的工作，详见工程量清单及招标图纸。</w:t>
      </w:r>
    </w:p>
    <w:p w14:paraId="639537E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群体工程应附《承包人承揽工程项目一览表》（附件1）。</w:t>
      </w:r>
    </w:p>
    <w:p w14:paraId="2A05AA3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6.工程承包范围：</w:t>
      </w:r>
    </w:p>
    <w:p w14:paraId="739F20A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bookmarkStart w:id="39" w:name="_Toc351203482"/>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承包人须完成招标范围内所有的工作，办理相关手续，具体内容详见工程量清单及图纸。  </w:t>
      </w:r>
    </w:p>
    <w:p w14:paraId="6ACDC4A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二、合同工期</w:t>
      </w:r>
      <w:bookmarkEnd w:id="39"/>
    </w:p>
    <w:p w14:paraId="35D35D6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计划开工日期：</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年    月   日</w:t>
      </w:r>
    </w:p>
    <w:p w14:paraId="54175C3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计划竣工日期：</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年    月   日</w:t>
      </w:r>
    </w:p>
    <w:p w14:paraId="730F783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工期总日历天数：。工期总日历天数与根据前述计划开竣工日期计算的工期天数不一致的，以工期总日历天数为准。</w:t>
      </w:r>
    </w:p>
    <w:p w14:paraId="1AB9375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0" w:name="_Toc351203483"/>
      <w:r>
        <w:rPr>
          <w:rFonts w:hint="eastAsia" w:ascii="宋体" w:hAnsi="宋体" w:eastAsia="宋体" w:cs="宋体"/>
          <w:snapToGrid w:val="0"/>
          <w:color w:val="000000" w:themeColor="text1"/>
          <w:sz w:val="24"/>
          <w:szCs w:val="24"/>
          <w:highlight w:val="none"/>
          <w14:textFill>
            <w14:solidFill>
              <w14:schemeClr w14:val="tx1"/>
            </w14:solidFill>
          </w14:textFill>
        </w:rPr>
        <w:t>三、质量标准</w:t>
      </w:r>
      <w:bookmarkEnd w:id="40"/>
    </w:p>
    <w:p w14:paraId="54A355A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工程质量符合</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国家质量验收</w:t>
      </w:r>
      <w:r>
        <w:rPr>
          <w:rFonts w:hint="eastAsia" w:ascii="宋体" w:hAnsi="宋体" w:eastAsia="宋体" w:cs="宋体"/>
          <w:snapToGrid w:val="0"/>
          <w:color w:val="000000" w:themeColor="text1"/>
          <w:sz w:val="24"/>
          <w:szCs w:val="24"/>
          <w:highlight w:val="none"/>
          <w14:textFill>
            <w14:solidFill>
              <w14:schemeClr w14:val="tx1"/>
            </w14:solidFill>
          </w14:textFill>
        </w:rPr>
        <w:t>标准。</w:t>
      </w:r>
    </w:p>
    <w:p w14:paraId="7D9B523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1" w:name="_Toc351203484"/>
      <w:r>
        <w:rPr>
          <w:rFonts w:hint="eastAsia" w:ascii="宋体" w:hAnsi="宋体" w:eastAsia="宋体" w:cs="宋体"/>
          <w:snapToGrid w:val="0"/>
          <w:color w:val="000000" w:themeColor="text1"/>
          <w:sz w:val="24"/>
          <w:szCs w:val="24"/>
          <w:highlight w:val="none"/>
          <w14:textFill>
            <w14:solidFill>
              <w14:schemeClr w14:val="tx1"/>
            </w14:solidFill>
          </w14:textFill>
        </w:rPr>
        <w:t>四、签约合同价与合同价格形式</w:t>
      </w:r>
      <w:bookmarkEnd w:id="41"/>
      <w:r>
        <w:rPr>
          <w:rFonts w:hint="eastAsia" w:ascii="宋体" w:hAnsi="宋体" w:eastAsia="宋体" w:cs="宋体"/>
          <w:snapToGrid w:val="0"/>
          <w:color w:val="000000" w:themeColor="text1"/>
          <w:sz w:val="24"/>
          <w:szCs w:val="24"/>
          <w:highlight w:val="none"/>
          <w14:textFill>
            <w14:solidFill>
              <w14:schemeClr w14:val="tx1"/>
            </w14:solidFill>
          </w14:textFill>
        </w:rPr>
        <w:tab/>
      </w:r>
    </w:p>
    <w:p w14:paraId="6012358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1.签约合同价为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（大写）                       </w:t>
      </w:r>
      <w:r>
        <w:rPr>
          <w:rFonts w:hint="eastAsia" w:ascii="宋体" w:hAnsi="宋体" w:eastAsia="宋体" w:cs="宋体"/>
          <w:snapToGrid w:val="0"/>
          <w:color w:val="000000" w:themeColor="text1"/>
          <w:sz w:val="24"/>
          <w:szCs w:val="24"/>
          <w:highlight w:val="none"/>
          <w14:textFill>
            <w14:solidFill>
              <w14:schemeClr w14:val="tx1"/>
            </w14:solidFill>
          </w14:textFill>
        </w:rPr>
        <w:t>（￥元）；</w:t>
      </w:r>
    </w:p>
    <w:p w14:paraId="62C054E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其中：</w:t>
      </w:r>
    </w:p>
    <w:p w14:paraId="5A95F6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（1）安全文明施工费：</w:t>
      </w:r>
    </w:p>
    <w:p w14:paraId="6C11EBA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人民币</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（大写）                     (¥              元)</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0E5F14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（2）材料和工程设备暂估价金额：</w:t>
      </w:r>
    </w:p>
    <w:p w14:paraId="14CA8CE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人民币</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（大写）                     (¥              元)</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170873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（3）专业工程暂估价金额：</w:t>
      </w:r>
    </w:p>
    <w:p w14:paraId="434D198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人民币</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（大写）                (¥              元)</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F2C0C2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（4）暂列金额：</w:t>
      </w:r>
    </w:p>
    <w:p w14:paraId="79EE689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人民币</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（大写）                (¥               元)</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F883DA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2.合同价格形式：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固定单价合同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309AB2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2" w:name="_Toc351203485"/>
      <w:r>
        <w:rPr>
          <w:rFonts w:hint="eastAsia" w:ascii="宋体" w:hAnsi="宋体" w:eastAsia="宋体" w:cs="宋体"/>
          <w:snapToGrid w:val="0"/>
          <w:color w:val="000000" w:themeColor="text1"/>
          <w:sz w:val="24"/>
          <w:szCs w:val="24"/>
          <w:highlight w:val="none"/>
          <w14:textFill>
            <w14:solidFill>
              <w14:schemeClr w14:val="tx1"/>
            </w14:solidFill>
          </w14:textFill>
        </w:rPr>
        <w:t>五、</w:t>
      </w:r>
      <w:bookmarkEnd w:id="42"/>
      <w:r>
        <w:rPr>
          <w:rFonts w:hint="eastAsia" w:ascii="宋体" w:hAnsi="宋体" w:eastAsia="宋体" w:cs="宋体"/>
          <w:snapToGrid w:val="0"/>
          <w:color w:val="000000" w:themeColor="text1"/>
          <w:sz w:val="24"/>
          <w:szCs w:val="24"/>
          <w:highlight w:val="none"/>
          <w14:textFill>
            <w14:solidFill>
              <w14:schemeClr w14:val="tx1"/>
            </w14:solidFill>
          </w14:textFill>
        </w:rPr>
        <w:t>项目负责人</w:t>
      </w:r>
    </w:p>
    <w:p w14:paraId="10AF85A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承包人项目负责人：。</w:t>
      </w:r>
    </w:p>
    <w:p w14:paraId="45BE1BD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3" w:name="_Toc351203486"/>
      <w:r>
        <w:rPr>
          <w:rFonts w:hint="eastAsia" w:ascii="宋体" w:hAnsi="宋体" w:eastAsia="宋体" w:cs="宋体"/>
          <w:snapToGrid w:val="0"/>
          <w:color w:val="000000" w:themeColor="text1"/>
          <w:sz w:val="24"/>
          <w:szCs w:val="24"/>
          <w:highlight w:val="none"/>
          <w14:textFill>
            <w14:solidFill>
              <w14:schemeClr w14:val="tx1"/>
            </w14:solidFill>
          </w14:textFill>
        </w:rPr>
        <w:t>六、合同文件构成</w:t>
      </w:r>
      <w:bookmarkEnd w:id="43"/>
    </w:p>
    <w:p w14:paraId="7FC6D16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本协议书与下列文件一起构成合同文件：</w:t>
      </w:r>
    </w:p>
    <w:p w14:paraId="48755EA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（1）中标通知书；</w:t>
      </w:r>
    </w:p>
    <w:p w14:paraId="54ECD1C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（2）投标函及其附录；</w:t>
      </w:r>
    </w:p>
    <w:p w14:paraId="4AF0919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（3）专用合同条款及其附件；</w:t>
      </w:r>
    </w:p>
    <w:p w14:paraId="397B3F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（4）通用合同条款；</w:t>
      </w:r>
    </w:p>
    <w:p w14:paraId="2F76A84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（5）技术标准和要求；</w:t>
      </w:r>
    </w:p>
    <w:p w14:paraId="5B046F3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（6）图纸；</w:t>
      </w:r>
    </w:p>
    <w:p w14:paraId="2CA4C35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（7）已标价工程量清单或预算书；</w:t>
      </w:r>
    </w:p>
    <w:p w14:paraId="7CDCF8F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（8）其他合同文件。</w:t>
      </w:r>
    </w:p>
    <w:p w14:paraId="4457275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在合同订立及履行过程中形成的与合同有关的文件均构成合同文件组成部分。</w:t>
      </w:r>
    </w:p>
    <w:p w14:paraId="3F8D9BB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24BC2CC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4" w:name="_Toc351203487"/>
      <w:r>
        <w:rPr>
          <w:rFonts w:hint="eastAsia" w:ascii="宋体" w:hAnsi="宋体" w:eastAsia="宋体" w:cs="宋体"/>
          <w:snapToGrid w:val="0"/>
          <w:color w:val="000000" w:themeColor="text1"/>
          <w:sz w:val="24"/>
          <w:szCs w:val="24"/>
          <w:highlight w:val="none"/>
          <w14:textFill>
            <w14:solidFill>
              <w14:schemeClr w14:val="tx1"/>
            </w14:solidFill>
          </w14:textFill>
        </w:rPr>
        <w:t>七、承诺</w:t>
      </w:r>
      <w:bookmarkEnd w:id="44"/>
    </w:p>
    <w:p w14:paraId="5A969F3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14:paraId="6043501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0F4E4FE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3.发包人和承包人通过招投标形式签订合同的，双方理解并承诺不再就同一工程另行签订与合同实质性内容相背离的协议。</w:t>
      </w:r>
    </w:p>
    <w:p w14:paraId="794353A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5" w:name="_Toc351203488"/>
      <w:r>
        <w:rPr>
          <w:rFonts w:hint="eastAsia" w:ascii="宋体" w:hAnsi="宋体" w:eastAsia="宋体" w:cs="宋体"/>
          <w:snapToGrid w:val="0"/>
          <w:color w:val="000000" w:themeColor="text1"/>
          <w:sz w:val="24"/>
          <w:szCs w:val="24"/>
          <w:highlight w:val="none"/>
          <w14:textFill>
            <w14:solidFill>
              <w14:schemeClr w14:val="tx1"/>
            </w14:solidFill>
          </w14:textFill>
        </w:rPr>
        <w:t>八、词语含义</w:t>
      </w:r>
      <w:bookmarkEnd w:id="45"/>
    </w:p>
    <w:p w14:paraId="332245B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本协议书中词语含义与第二部分通用合同条款中赋予的含义相同。</w:t>
      </w:r>
    </w:p>
    <w:p w14:paraId="0580779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6" w:name="_Toc351203489"/>
      <w:r>
        <w:rPr>
          <w:rFonts w:hint="eastAsia" w:ascii="宋体" w:hAnsi="宋体" w:eastAsia="宋体" w:cs="宋体"/>
          <w:snapToGrid w:val="0"/>
          <w:color w:val="000000" w:themeColor="text1"/>
          <w:sz w:val="24"/>
          <w:szCs w:val="24"/>
          <w:highlight w:val="none"/>
          <w14:textFill>
            <w14:solidFill>
              <w14:schemeClr w14:val="tx1"/>
            </w14:solidFill>
          </w14:textFill>
        </w:rPr>
        <w:t>九、签订时间</w:t>
      </w:r>
      <w:bookmarkEnd w:id="46"/>
    </w:p>
    <w:p w14:paraId="0BCFF89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本合同于年月日签订。</w:t>
      </w:r>
    </w:p>
    <w:p w14:paraId="7486F3B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7" w:name="_Toc351203490"/>
      <w:r>
        <w:rPr>
          <w:rFonts w:hint="eastAsia" w:ascii="宋体" w:hAnsi="宋体" w:eastAsia="宋体" w:cs="宋体"/>
          <w:snapToGrid w:val="0"/>
          <w:color w:val="000000" w:themeColor="text1"/>
          <w:sz w:val="24"/>
          <w:szCs w:val="24"/>
          <w:highlight w:val="none"/>
          <w14:textFill>
            <w14:solidFill>
              <w14:schemeClr w14:val="tx1"/>
            </w14:solidFill>
          </w14:textFill>
        </w:rPr>
        <w:t>十、签订地点</w:t>
      </w:r>
      <w:bookmarkEnd w:id="47"/>
    </w:p>
    <w:p w14:paraId="107C3D3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本合同在</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南京</w:t>
      </w:r>
      <w:r>
        <w:rPr>
          <w:rFonts w:hint="eastAsia" w:ascii="宋体" w:hAnsi="宋体" w:eastAsia="宋体" w:cs="宋体"/>
          <w:snapToGrid w:val="0"/>
          <w:color w:val="000000" w:themeColor="text1"/>
          <w:sz w:val="24"/>
          <w:szCs w:val="24"/>
          <w:highlight w:val="none"/>
          <w14:textFill>
            <w14:solidFill>
              <w14:schemeClr w14:val="tx1"/>
            </w14:solidFill>
          </w14:textFill>
        </w:rPr>
        <w:t>签订。</w:t>
      </w:r>
    </w:p>
    <w:p w14:paraId="2FCE2E4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8" w:name="_Toc351203491"/>
      <w:r>
        <w:rPr>
          <w:rFonts w:hint="eastAsia" w:ascii="宋体" w:hAnsi="宋体" w:eastAsia="宋体" w:cs="宋体"/>
          <w:snapToGrid w:val="0"/>
          <w:color w:val="000000" w:themeColor="text1"/>
          <w:sz w:val="24"/>
          <w:szCs w:val="24"/>
          <w:highlight w:val="none"/>
          <w14:textFill>
            <w14:solidFill>
              <w14:schemeClr w14:val="tx1"/>
            </w14:solidFill>
          </w14:textFill>
        </w:rPr>
        <w:t>十一、补充协议</w:t>
      </w:r>
      <w:bookmarkEnd w:id="48"/>
    </w:p>
    <w:p w14:paraId="46EE886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合同未尽事宜，合同当事人另行签订补充协议，补充协议是合同的组成部分。</w:t>
      </w:r>
    </w:p>
    <w:p w14:paraId="4E08B90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9" w:name="_Toc351203492"/>
      <w:r>
        <w:rPr>
          <w:rFonts w:hint="eastAsia" w:ascii="宋体" w:hAnsi="宋体" w:eastAsia="宋体" w:cs="宋体"/>
          <w:snapToGrid w:val="0"/>
          <w:color w:val="000000" w:themeColor="text1"/>
          <w:sz w:val="24"/>
          <w:szCs w:val="24"/>
          <w:highlight w:val="none"/>
          <w14:textFill>
            <w14:solidFill>
              <w14:schemeClr w14:val="tx1"/>
            </w14:solidFill>
          </w14:textFill>
        </w:rPr>
        <w:t>十二、合同生效</w:t>
      </w:r>
      <w:bookmarkEnd w:id="49"/>
    </w:p>
    <w:p w14:paraId="381DC8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本合同自</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双方签字盖章之日</w:t>
      </w:r>
      <w:r>
        <w:rPr>
          <w:rFonts w:hint="eastAsia" w:ascii="宋体" w:hAnsi="宋体" w:eastAsia="宋体" w:cs="宋体"/>
          <w:snapToGrid w:val="0"/>
          <w:color w:val="000000" w:themeColor="text1"/>
          <w:sz w:val="24"/>
          <w:szCs w:val="24"/>
          <w:highlight w:val="none"/>
          <w14:textFill>
            <w14:solidFill>
              <w14:schemeClr w14:val="tx1"/>
            </w14:solidFill>
          </w14:textFill>
        </w:rPr>
        <w:t>生效。</w:t>
      </w:r>
    </w:p>
    <w:p w14:paraId="362DAE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0" w:name="_Toc351203493"/>
      <w:r>
        <w:rPr>
          <w:rFonts w:hint="eastAsia" w:ascii="宋体" w:hAnsi="宋体" w:eastAsia="宋体" w:cs="宋体"/>
          <w:snapToGrid w:val="0"/>
          <w:color w:val="000000" w:themeColor="text1"/>
          <w:sz w:val="24"/>
          <w:szCs w:val="24"/>
          <w:highlight w:val="none"/>
          <w14:textFill>
            <w14:solidFill>
              <w14:schemeClr w14:val="tx1"/>
            </w14:solidFill>
          </w14:textFill>
        </w:rPr>
        <w:t>十三、合同份数</w:t>
      </w:r>
      <w:bookmarkEnd w:id="50"/>
    </w:p>
    <w:p w14:paraId="1DB76F6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本合同一式 </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捌份</w:t>
      </w:r>
      <w:r>
        <w:rPr>
          <w:rFonts w:hint="eastAsia" w:ascii="宋体" w:hAnsi="宋体" w:eastAsia="宋体" w:cs="宋体"/>
          <w:snapToGrid w:val="0"/>
          <w:color w:val="000000" w:themeColor="text1"/>
          <w:sz w:val="24"/>
          <w:szCs w:val="24"/>
          <w:highlight w:val="none"/>
          <w14:textFill>
            <w14:solidFill>
              <w14:schemeClr w14:val="tx1"/>
            </w14:solidFill>
          </w14:textFill>
        </w:rPr>
        <w:t>，均具有同等法律效力，发包人执</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肆份</w:t>
      </w:r>
      <w:r>
        <w:rPr>
          <w:rFonts w:hint="eastAsia" w:ascii="宋体" w:hAnsi="宋体" w:eastAsia="宋体" w:cs="宋体"/>
          <w:snapToGrid w:val="0"/>
          <w:color w:val="000000" w:themeColor="text1"/>
          <w:sz w:val="24"/>
          <w:szCs w:val="24"/>
          <w:highlight w:val="none"/>
          <w14:textFill>
            <w14:solidFill>
              <w14:schemeClr w14:val="tx1"/>
            </w14:solidFill>
          </w14:textFill>
        </w:rPr>
        <w:t>，承包人执</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肆份</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38BC9E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  (公章)                     承包人：  (公章)</w:t>
      </w:r>
    </w:p>
    <w:p w14:paraId="7380B22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57F64AF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法定代表人或其委托代理人（签字）： 法定代表人或其委托代理人（签字）：</w:t>
      </w:r>
    </w:p>
    <w:p w14:paraId="02D4A1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4C59AFC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组织机构代码：                      组织机构代码：</w:t>
      </w:r>
    </w:p>
    <w:p w14:paraId="79B03FC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地址：                         地址：</w:t>
      </w:r>
    </w:p>
    <w:p w14:paraId="0B45068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邮政编码：                       邮政编码：</w:t>
      </w:r>
    </w:p>
    <w:p w14:paraId="1DA2D87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法定代表人：                     法定代表人：</w:t>
      </w:r>
    </w:p>
    <w:p w14:paraId="5941E6F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委托代理人：                     委托代理人：</w:t>
      </w:r>
    </w:p>
    <w:p w14:paraId="0763799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电话：                         电话：</w:t>
      </w:r>
    </w:p>
    <w:p w14:paraId="6350286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传真：                         传真：</w:t>
      </w:r>
    </w:p>
    <w:p w14:paraId="68EB49E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电子信箱：                     电子信箱：</w:t>
      </w:r>
    </w:p>
    <w:p w14:paraId="4DBED50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开户银行：                     开户银行： </w:t>
      </w:r>
    </w:p>
    <w:p w14:paraId="7DF38A1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账号：                    </w:t>
      </w:r>
      <w:r>
        <w:rPr>
          <w:rFonts w:hint="eastAsia" w:ascii="宋体" w:hAnsi="宋体" w:cs="宋体"/>
          <w:snapToGrid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 xml:space="preserve">   账号：</w:t>
      </w:r>
    </w:p>
    <w:p w14:paraId="49BBC708">
      <w:pPr>
        <w:tabs>
          <w:tab w:val="left" w:pos="0"/>
          <w:tab w:val="left" w:pos="1134"/>
        </w:tabs>
        <w:adjustRightInd w:val="0"/>
        <w:snapToGrid w:val="0"/>
        <w:spacing w:line="276" w:lineRule="auto"/>
        <w:jc w:val="center"/>
        <w:rPr>
          <w:rFonts w:hint="eastAsia" w:ascii="宋体" w:hAnsi="宋体" w:eastAsia="宋体" w:cs="宋体"/>
          <w:b/>
          <w:bCs/>
          <w:snapToGrid w:val="0"/>
          <w:color w:val="000000" w:themeColor="text1"/>
          <w:sz w:val="24"/>
          <w:szCs w:val="24"/>
          <w:highlight w:val="none"/>
          <w14:textFill>
            <w14:solidFill>
              <w14:schemeClr w14:val="tx1"/>
            </w14:solidFill>
          </w14:textFill>
        </w:rPr>
      </w:pPr>
    </w:p>
    <w:p w14:paraId="25A2F4B9">
      <w:pPr>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br w:type="page"/>
      </w:r>
    </w:p>
    <w:p w14:paraId="7B6E43BC">
      <w:pPr>
        <w:tabs>
          <w:tab w:val="left" w:pos="0"/>
          <w:tab w:val="left" w:pos="1134"/>
        </w:tabs>
        <w:adjustRightInd w:val="0"/>
        <w:snapToGrid w:val="0"/>
        <w:spacing w:line="276" w:lineRule="auto"/>
        <w:jc w:val="center"/>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第二部分通用合同条款</w:t>
      </w:r>
    </w:p>
    <w:p w14:paraId="5D463B1A">
      <w:pPr>
        <w:pStyle w:val="14"/>
        <w:kinsoku w:val="0"/>
        <w:autoSpaceDE w:val="0"/>
        <w:autoSpaceDN w:val="0"/>
        <w:adjustRightInd w:val="0"/>
        <w:snapToGrid w:val="0"/>
        <w:spacing w:line="276" w:lineRule="auto"/>
        <w:ind w:firstLine="480"/>
        <w:rPr>
          <w:rFonts w:hint="eastAsia" w:ascii="宋体" w:hAnsi="宋体" w:eastAsia="宋体" w:cs="宋体"/>
          <w:color w:val="000000" w:themeColor="text1"/>
          <w:sz w:val="24"/>
          <w:szCs w:val="24"/>
          <w:highlight w:val="none"/>
          <w14:textFill>
            <w14:solidFill>
              <w14:schemeClr w14:val="tx1"/>
            </w14:solidFill>
          </w14:textFill>
        </w:rPr>
      </w:pPr>
    </w:p>
    <w:p w14:paraId="080FA46A">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51" w:name="_Toc351203495"/>
      <w:r>
        <w:rPr>
          <w:rFonts w:hint="eastAsia"/>
          <w:b w:val="0"/>
          <w:color w:val="000000" w:themeColor="text1"/>
          <w:sz w:val="24"/>
          <w:szCs w:val="24"/>
          <w:highlight w:val="none"/>
          <w:lang w:eastAsia="zh-CN"/>
          <w14:textFill>
            <w14:solidFill>
              <w14:schemeClr w14:val="tx1"/>
            </w14:solidFill>
          </w14:textFill>
        </w:rPr>
        <w:t>1.</w:t>
      </w:r>
      <w:bookmarkStart w:id="52" w:name="_Toc303538973"/>
      <w:bookmarkEnd w:id="52"/>
      <w:bookmarkStart w:id="53" w:name="_Toc303538975"/>
      <w:bookmarkEnd w:id="53"/>
      <w:bookmarkStart w:id="54" w:name="_Toc303538972"/>
      <w:bookmarkEnd w:id="54"/>
      <w:bookmarkStart w:id="55" w:name="_Toc303538976"/>
      <w:bookmarkEnd w:id="55"/>
      <w:bookmarkStart w:id="56" w:name="_Toc303538974"/>
      <w:bookmarkEnd w:id="56"/>
      <w:bookmarkStart w:id="57" w:name="_Toc296346528"/>
      <w:bookmarkStart w:id="58" w:name="_Toc296503027"/>
      <w:r>
        <w:rPr>
          <w:rFonts w:hint="eastAsia"/>
          <w:b w:val="0"/>
          <w:color w:val="000000" w:themeColor="text1"/>
          <w:sz w:val="24"/>
          <w:szCs w:val="24"/>
          <w:highlight w:val="none"/>
          <w:lang w:eastAsia="zh-CN"/>
          <w14:textFill>
            <w14:solidFill>
              <w14:schemeClr w14:val="tx1"/>
            </w14:solidFill>
          </w14:textFill>
        </w:rPr>
        <w:t xml:space="preserve"> 一般约定</w:t>
      </w:r>
      <w:bookmarkEnd w:id="51"/>
      <w:bookmarkEnd w:id="57"/>
      <w:bookmarkEnd w:id="58"/>
    </w:p>
    <w:p w14:paraId="5B232782">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59" w:name="_Toc337558728"/>
      <w:bookmarkStart w:id="60" w:name="_Toc296503028"/>
      <w:bookmarkStart w:id="61" w:name="_Toc296346529"/>
      <w:bookmarkStart w:id="62" w:name="_Toc351203496"/>
      <w:r>
        <w:rPr>
          <w:rFonts w:hint="eastAsia" w:ascii="宋体" w:hAnsi="宋体"/>
          <w:color w:val="000000" w:themeColor="text1"/>
          <w:sz w:val="24"/>
          <w:szCs w:val="24"/>
          <w:highlight w:val="none"/>
          <w:lang w:eastAsia="zh-CN"/>
          <w14:textFill>
            <w14:solidFill>
              <w14:schemeClr w14:val="tx1"/>
            </w14:solidFill>
          </w14:textFill>
        </w:rPr>
        <w:t>1.1词语定义</w:t>
      </w:r>
      <w:bookmarkEnd w:id="59"/>
      <w:bookmarkEnd w:id="60"/>
      <w:bookmarkEnd w:id="61"/>
      <w:r>
        <w:rPr>
          <w:rFonts w:hint="eastAsia" w:ascii="宋体" w:hAnsi="宋体"/>
          <w:color w:val="000000" w:themeColor="text1"/>
          <w:sz w:val="24"/>
          <w:szCs w:val="24"/>
          <w:highlight w:val="none"/>
          <w:lang w:eastAsia="zh-CN"/>
          <w14:textFill>
            <w14:solidFill>
              <w14:schemeClr w14:val="tx1"/>
            </w14:solidFill>
          </w14:textFill>
        </w:rPr>
        <w:t>与解释</w:t>
      </w:r>
      <w:bookmarkEnd w:id="62"/>
    </w:p>
    <w:p w14:paraId="6EAF9E7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合同协议书、通用合同条款、专用合同条款中的下列词语具有本款所赋予的含义：</w:t>
      </w:r>
    </w:p>
    <w:p w14:paraId="625FE957">
      <w:pPr>
        <w:autoSpaceDE w:val="0"/>
        <w:autoSpaceDN w:val="0"/>
        <w:adjustRightInd w:val="0"/>
        <w:spacing w:line="360" w:lineRule="auto"/>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    1.1.1 合同</w:t>
      </w:r>
    </w:p>
    <w:p w14:paraId="148796D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0B2364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1.1.1.2 合同协议书：是指构成合同的由发包人和承包人共同签署的称为“合同协议书”的书面文件。</w:t>
      </w:r>
    </w:p>
    <w:p w14:paraId="3FD8436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1.1.1.3 中标通知书：是指构成合同的由发包人通知承包人中标的书面文件。</w:t>
      </w:r>
    </w:p>
    <w:p w14:paraId="669E1CC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1.1.1.4 投标函：是指构成合同的由承包人填写并签署的用于投标的称为“投标函”的文件。</w:t>
      </w:r>
    </w:p>
    <w:p w14:paraId="5AC2189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1.1.1.5 投标函附录：是指构成合同的附在投标函后的称为“投标函附录”的文件。</w:t>
      </w:r>
    </w:p>
    <w:p w14:paraId="63372C9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1.1.1.6 技术标准和要求：是指构成合同的施工应当遵守的或指导施工的国家、行业或地方的技术标准和要求，以及合同约定的技术标准和要求。</w:t>
      </w:r>
    </w:p>
    <w:p w14:paraId="56B6190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14:paraId="22EB3DFF">
      <w:pPr>
        <w:autoSpaceDE w:val="0"/>
        <w:autoSpaceDN w:val="0"/>
        <w:adjustRightInd w:val="0"/>
        <w:spacing w:line="360" w:lineRule="auto"/>
        <w:ind w:firstLine="468" w:firstLineChars="195"/>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1.1.1.8 已标价工程量清单：是指构成合同的由承包人按照规定的格式和要求填写并标明价格的工程量清单，包括说明和表格。</w:t>
      </w:r>
    </w:p>
    <w:p w14:paraId="35B61D4E">
      <w:pPr>
        <w:autoSpaceDE w:val="0"/>
        <w:autoSpaceDN w:val="0"/>
        <w:adjustRightInd w:val="0"/>
        <w:spacing w:line="360" w:lineRule="auto"/>
        <w:ind w:firstLine="468" w:firstLineChars="195"/>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1.1.1.9 预算书：是指构成合同的由承包人按照发包人规定的格式和要求编制的工程预算文件。</w:t>
      </w:r>
    </w:p>
    <w:p w14:paraId="268EFF9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1.1.1.10 其他合同文件：是指经合同当事人约定的与工程施工有关的具有合同约束力的文件或书面协议。合同当事人可以在专用合同条款中进行约定。</w:t>
      </w:r>
    </w:p>
    <w:p w14:paraId="56F138C6">
      <w:pPr>
        <w:autoSpaceDE w:val="0"/>
        <w:autoSpaceDN w:val="0"/>
        <w:adjustRightInd w:val="0"/>
        <w:spacing w:line="360" w:lineRule="auto"/>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    1.1.2 合同当事人及其他相关方</w:t>
      </w:r>
    </w:p>
    <w:p w14:paraId="7F1BDEB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1.1.2.1 </w:t>
      </w:r>
      <w:r>
        <w:rPr>
          <w:rFonts w:hint="eastAsia" w:ascii="宋体" w:hAnsi="宋体"/>
          <w:color w:val="000000" w:themeColor="text1"/>
          <w:sz w:val="24"/>
          <w:szCs w:val="24"/>
          <w:highlight w:val="none"/>
          <w:lang w:eastAsia="zh-CN"/>
          <w14:textFill>
            <w14:solidFill>
              <w14:schemeClr w14:val="tx1"/>
            </w14:solidFill>
          </w14:textFill>
        </w:rPr>
        <w:t>合同当事人：是指发包人和（或）承包人。</w:t>
      </w:r>
    </w:p>
    <w:p w14:paraId="6B3CFE8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1.1.2.2 </w:t>
      </w:r>
      <w:r>
        <w:rPr>
          <w:rFonts w:hint="eastAsia" w:ascii="宋体" w:hAnsi="宋体"/>
          <w:color w:val="000000" w:themeColor="text1"/>
          <w:sz w:val="24"/>
          <w:szCs w:val="24"/>
          <w:highlight w:val="none"/>
          <w:lang w:eastAsia="zh-CN"/>
          <w14:textFill>
            <w14:solidFill>
              <w14:schemeClr w14:val="tx1"/>
            </w14:solidFill>
          </w14:textFill>
        </w:rPr>
        <w:t>发包人：是指与承包人签订合同协议书的当事人及取得该当事人资格的合法继承人。</w:t>
      </w:r>
    </w:p>
    <w:p w14:paraId="1DFE7E3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1.1.2.3 </w:t>
      </w:r>
      <w:r>
        <w:rPr>
          <w:rFonts w:hint="eastAsia" w:ascii="宋体" w:hAnsi="宋体"/>
          <w:color w:val="000000" w:themeColor="text1"/>
          <w:sz w:val="24"/>
          <w:szCs w:val="24"/>
          <w:highlight w:val="none"/>
          <w:lang w:eastAsia="zh-CN"/>
          <w14:textFill>
            <w14:solidFill>
              <w14:schemeClr w14:val="tx1"/>
            </w14:solidFill>
          </w14:textFill>
        </w:rPr>
        <w:t>承包人：是指与发包人签订合同协议书的，具有相应工程施工承包资质的当事人及取得该当事人资格的合法继承人。</w:t>
      </w:r>
    </w:p>
    <w:p w14:paraId="473C6B0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1.1.2.4 </w:t>
      </w:r>
      <w:r>
        <w:rPr>
          <w:rFonts w:hint="eastAsia" w:ascii="宋体" w:hAnsi="宋体"/>
          <w:color w:val="000000" w:themeColor="text1"/>
          <w:sz w:val="24"/>
          <w:szCs w:val="24"/>
          <w:highlight w:val="none"/>
          <w:lang w:eastAsia="zh-CN"/>
          <w14:textFill>
            <w14:solidFill>
              <w14:schemeClr w14:val="tx1"/>
            </w14:solidFill>
          </w14:textFill>
        </w:rPr>
        <w:t>监理人：是指在专用合同条款中指明的，受发包人委托按照法律规定进行工程监督管理的法人或其他组织。</w:t>
      </w:r>
    </w:p>
    <w:p w14:paraId="73E2D91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1.1.2.5 </w:t>
      </w:r>
      <w:r>
        <w:rPr>
          <w:rFonts w:hint="eastAsia" w:ascii="宋体" w:hAnsi="宋体"/>
          <w:color w:val="000000" w:themeColor="text1"/>
          <w:sz w:val="24"/>
          <w:szCs w:val="24"/>
          <w:highlight w:val="none"/>
          <w:lang w:eastAsia="zh-CN"/>
          <w14:textFill>
            <w14:solidFill>
              <w14:schemeClr w14:val="tx1"/>
            </w14:solidFill>
          </w14:textFill>
        </w:rPr>
        <w:t>设计人：是指在专用合同条款中指明的，受发包人委托负责工程设计并具备相应工程设计资质的法人或其他组织。</w:t>
      </w:r>
    </w:p>
    <w:p w14:paraId="60AF1042">
      <w:pPr>
        <w:spacing w:line="360" w:lineRule="auto"/>
        <w:ind w:firstLine="468" w:firstLineChars="195"/>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1.1.2.6 </w:t>
      </w:r>
      <w:r>
        <w:rPr>
          <w:rFonts w:hint="eastAsia" w:ascii="宋体" w:hAnsi="宋体"/>
          <w:color w:val="000000" w:themeColor="text1"/>
          <w:sz w:val="24"/>
          <w:szCs w:val="24"/>
          <w:highlight w:val="none"/>
          <w:lang w:eastAsia="zh-CN"/>
          <w14:textFill>
            <w14:solidFill>
              <w14:schemeClr w14:val="tx1"/>
            </w14:solidFill>
          </w14:textFill>
        </w:rPr>
        <w:t>分包人：是指按照法律规定和合同约定，分包部分工程或工作，并与承包人签订分包合同的具有相应资质的法人。</w:t>
      </w:r>
    </w:p>
    <w:p w14:paraId="370FAA2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1.1.2.7 </w:t>
      </w:r>
      <w:r>
        <w:rPr>
          <w:rFonts w:hint="eastAsia" w:ascii="宋体" w:hAnsi="宋体"/>
          <w:color w:val="000000" w:themeColor="text1"/>
          <w:sz w:val="24"/>
          <w:szCs w:val="24"/>
          <w:highlight w:val="none"/>
          <w:lang w:eastAsia="zh-CN"/>
          <w14:textFill>
            <w14:solidFill>
              <w14:schemeClr w14:val="tx1"/>
            </w14:solidFill>
          </w14:textFill>
        </w:rPr>
        <w:t>发包人代表：是指由发包人任命并派驻施工现场在发包人授权范围内行使发包人权利的人。</w:t>
      </w:r>
    </w:p>
    <w:p w14:paraId="6EFEEBB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1.1.2.8 </w:t>
      </w:r>
      <w:r>
        <w:rPr>
          <w:rFonts w:hint="eastAsia" w:ascii="宋体" w:hAnsi="宋体"/>
          <w:color w:val="000000" w:themeColor="text1"/>
          <w:sz w:val="24"/>
          <w:szCs w:val="24"/>
          <w:highlight w:val="none"/>
          <w:lang w:eastAsia="zh-CN"/>
          <w14:textFill>
            <w14:solidFill>
              <w14:schemeClr w14:val="tx1"/>
            </w14:solidFill>
          </w14:textFill>
        </w:rPr>
        <w:t>项目经理：是指由承包人任命并派驻施工现场，在承包人授权范围内负责合同履行，且按照法律规定具有相应资格的项目负责人。</w:t>
      </w:r>
    </w:p>
    <w:p w14:paraId="44A58DA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1.1.2.9 </w:t>
      </w:r>
      <w:r>
        <w:rPr>
          <w:rFonts w:hint="eastAsia" w:ascii="宋体" w:hAnsi="宋体"/>
          <w:color w:val="000000" w:themeColor="text1"/>
          <w:sz w:val="24"/>
          <w:szCs w:val="24"/>
          <w:highlight w:val="none"/>
          <w:lang w:eastAsia="zh-CN"/>
          <w14:textFill>
            <w14:solidFill>
              <w14:schemeClr w14:val="tx1"/>
            </w14:solidFill>
          </w14:textFill>
        </w:rPr>
        <w:t>总监理工程师：是指由监理人任命并派驻施工现场进行工程监理的总负责人。</w:t>
      </w:r>
    </w:p>
    <w:p w14:paraId="1E37B56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 </w:t>
      </w:r>
      <w:r>
        <w:rPr>
          <w:rFonts w:hint="eastAsia" w:ascii="宋体" w:hAnsi="宋体"/>
          <w:color w:val="000000" w:themeColor="text1"/>
          <w:sz w:val="24"/>
          <w:szCs w:val="24"/>
          <w:highlight w:val="none"/>
          <w:lang w:eastAsia="zh-CN"/>
          <w14:textFill>
            <w14:solidFill>
              <w14:schemeClr w14:val="tx1"/>
            </w14:solidFill>
          </w14:textFill>
        </w:rPr>
        <w:t>工程和设备</w:t>
      </w:r>
    </w:p>
    <w:p w14:paraId="5A370EA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1.1.3.1 </w:t>
      </w:r>
      <w:r>
        <w:rPr>
          <w:rFonts w:hint="eastAsia" w:ascii="宋体" w:hAnsi="宋体"/>
          <w:color w:val="000000" w:themeColor="text1"/>
          <w:sz w:val="24"/>
          <w:szCs w:val="24"/>
          <w:highlight w:val="none"/>
          <w:lang w:eastAsia="zh-CN"/>
          <w14:textFill>
            <w14:solidFill>
              <w14:schemeClr w14:val="tx1"/>
            </w14:solidFill>
          </w14:textFill>
        </w:rPr>
        <w:t>工程：是指与合同协议书中工程承包范围对应的永久工程和（或）临时工程。</w:t>
      </w:r>
    </w:p>
    <w:p w14:paraId="0D3AF00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1.1.3.2 </w:t>
      </w:r>
      <w:r>
        <w:rPr>
          <w:rFonts w:hint="eastAsia" w:ascii="宋体" w:hAnsi="宋体"/>
          <w:color w:val="000000" w:themeColor="text1"/>
          <w:sz w:val="24"/>
          <w:szCs w:val="24"/>
          <w:highlight w:val="none"/>
          <w:lang w:eastAsia="zh-CN"/>
          <w14:textFill>
            <w14:solidFill>
              <w14:schemeClr w14:val="tx1"/>
            </w14:solidFill>
          </w14:textFill>
        </w:rPr>
        <w:t>永久工程：是指按合同约定建造并移交给发包人的工程，包括工程设备。</w:t>
      </w:r>
    </w:p>
    <w:p w14:paraId="2916BC3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1.1.3.3 </w:t>
      </w:r>
      <w:r>
        <w:rPr>
          <w:rFonts w:hint="eastAsia" w:ascii="宋体" w:hAnsi="宋体"/>
          <w:color w:val="000000" w:themeColor="text1"/>
          <w:sz w:val="24"/>
          <w:szCs w:val="24"/>
          <w:highlight w:val="none"/>
          <w:lang w:eastAsia="zh-CN"/>
          <w14:textFill>
            <w14:solidFill>
              <w14:schemeClr w14:val="tx1"/>
            </w14:solidFill>
          </w14:textFill>
        </w:rPr>
        <w:t>临时工程：是指为完成合同约定的永久工程所修建的各类临时性工程，不包括施工设备。</w:t>
      </w:r>
    </w:p>
    <w:p w14:paraId="68407AD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1.1.3.4 </w:t>
      </w:r>
      <w:r>
        <w:rPr>
          <w:rFonts w:hint="eastAsia" w:ascii="宋体" w:hAnsi="宋体"/>
          <w:color w:val="000000" w:themeColor="text1"/>
          <w:sz w:val="24"/>
          <w:szCs w:val="24"/>
          <w:highlight w:val="none"/>
          <w:lang w:eastAsia="zh-CN"/>
          <w14:textFill>
            <w14:solidFill>
              <w14:schemeClr w14:val="tx1"/>
            </w14:solidFill>
          </w14:textFill>
        </w:rPr>
        <w:t>单位工程：是指在合同协议书中指明的，具备独立施工条件并能形成独立使用功能的永久工程。</w:t>
      </w:r>
    </w:p>
    <w:p w14:paraId="0CB5DF5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1.1.3.5 </w:t>
      </w:r>
      <w:r>
        <w:rPr>
          <w:rFonts w:hint="eastAsia" w:ascii="宋体" w:hAnsi="宋体"/>
          <w:color w:val="000000" w:themeColor="text1"/>
          <w:sz w:val="24"/>
          <w:szCs w:val="24"/>
          <w:highlight w:val="none"/>
          <w:lang w:eastAsia="zh-CN"/>
          <w14:textFill>
            <w14:solidFill>
              <w14:schemeClr w14:val="tx1"/>
            </w14:solidFill>
          </w14:textFill>
        </w:rPr>
        <w:t>工程设备：是指构成永久工程的机电设备、金属结构设备、仪器及其他类似的设备和装置。</w:t>
      </w:r>
    </w:p>
    <w:p w14:paraId="3846579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1.1.3.6 </w:t>
      </w:r>
      <w:r>
        <w:rPr>
          <w:rFonts w:hint="eastAsia" w:ascii="宋体" w:hAnsi="宋体"/>
          <w:color w:val="000000" w:themeColor="text1"/>
          <w:sz w:val="24"/>
          <w:szCs w:val="24"/>
          <w:highlight w:val="none"/>
          <w:lang w:eastAsia="zh-CN"/>
          <w14:textFill>
            <w14:solidFill>
              <w14:schemeClr w14:val="tx1"/>
            </w14:solidFill>
          </w14:textFill>
        </w:rPr>
        <w:t>施工设备：是指为完成合同约定的各项工作所需的设备、器具和其他物品，但不包括工程设备、临时工程和材料。</w:t>
      </w:r>
    </w:p>
    <w:p w14:paraId="7D9AF1C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1.1.3.7 </w:t>
      </w:r>
      <w:r>
        <w:rPr>
          <w:rFonts w:hint="eastAsia" w:ascii="宋体" w:hAnsi="宋体"/>
          <w:color w:val="000000" w:themeColor="text1"/>
          <w:sz w:val="24"/>
          <w:szCs w:val="24"/>
          <w:highlight w:val="none"/>
          <w:lang w:eastAsia="zh-CN"/>
          <w14:textFill>
            <w14:solidFill>
              <w14:schemeClr w14:val="tx1"/>
            </w14:solidFill>
          </w14:textFill>
        </w:rPr>
        <w:t>施工现场：是指用于工程施工的场所，以及在专用合同条款中指明作为施工场所组成部分的其他场所，包括永久占地和临时占地。</w:t>
      </w:r>
    </w:p>
    <w:p w14:paraId="3C3B3D4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1.1.3.8临时设施：是指为完成合同约定的各项工作所服务的临时性生产和生活设施。</w:t>
      </w:r>
    </w:p>
    <w:p w14:paraId="47AADE1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1.1.3.9 </w:t>
      </w:r>
      <w:r>
        <w:rPr>
          <w:rFonts w:hint="eastAsia" w:ascii="宋体" w:hAnsi="宋体"/>
          <w:color w:val="000000" w:themeColor="text1"/>
          <w:sz w:val="24"/>
          <w:szCs w:val="24"/>
          <w:highlight w:val="none"/>
          <w:lang w:eastAsia="zh-CN"/>
          <w14:textFill>
            <w14:solidFill>
              <w14:schemeClr w14:val="tx1"/>
            </w14:solidFill>
          </w14:textFill>
        </w:rPr>
        <w:t>永久占地：是指专用合同条款中指明为实施工程需永久占用的土地。</w:t>
      </w:r>
    </w:p>
    <w:p w14:paraId="011686D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1.1.3.10 </w:t>
      </w:r>
      <w:r>
        <w:rPr>
          <w:rFonts w:hint="eastAsia" w:ascii="宋体" w:hAnsi="宋体"/>
          <w:color w:val="000000" w:themeColor="text1"/>
          <w:sz w:val="24"/>
          <w:szCs w:val="24"/>
          <w:highlight w:val="none"/>
          <w:lang w:eastAsia="zh-CN"/>
          <w14:textFill>
            <w14:solidFill>
              <w14:schemeClr w14:val="tx1"/>
            </w14:solidFill>
          </w14:textFill>
        </w:rPr>
        <w:t>临时占地：是指专用合同条款中指明为实施工程需要临时占用的土地。</w:t>
      </w:r>
    </w:p>
    <w:p w14:paraId="583F132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 </w:t>
      </w:r>
      <w:r>
        <w:rPr>
          <w:rFonts w:hint="eastAsia" w:ascii="宋体" w:hAnsi="宋体"/>
          <w:color w:val="000000" w:themeColor="text1"/>
          <w:sz w:val="24"/>
          <w:szCs w:val="24"/>
          <w:highlight w:val="none"/>
          <w:lang w:eastAsia="zh-CN"/>
          <w14:textFill>
            <w14:solidFill>
              <w14:schemeClr w14:val="tx1"/>
            </w14:solidFill>
          </w14:textFill>
        </w:rPr>
        <w:t>日期和期限</w:t>
      </w:r>
    </w:p>
    <w:p w14:paraId="06CEE2D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1.1.4.1 </w:t>
      </w:r>
      <w:r>
        <w:rPr>
          <w:rFonts w:hint="eastAsia" w:ascii="宋体" w:hAnsi="宋体"/>
          <w:color w:val="000000" w:themeColor="text1"/>
          <w:sz w:val="24"/>
          <w:szCs w:val="24"/>
          <w:highlight w:val="none"/>
          <w:lang w:eastAsia="zh-CN"/>
          <w14:textFill>
            <w14:solidFill>
              <w14:schemeClr w14:val="tx1"/>
            </w14:solidFill>
          </w14:textFill>
        </w:rPr>
        <w:t>开工日期：包括计划开工日期和实际开工日期。计划开工日期是指合同协议书约定的开工日期；实际开工日期是指监理人按照第</w:t>
      </w:r>
      <w:r>
        <w:rPr>
          <w:rFonts w:ascii="宋体" w:hAnsi="宋体"/>
          <w:color w:val="000000" w:themeColor="text1"/>
          <w:sz w:val="24"/>
          <w:szCs w:val="24"/>
          <w:highlight w:val="none"/>
          <w:lang w:eastAsia="zh-CN"/>
          <w14:textFill>
            <w14:solidFill>
              <w14:schemeClr w14:val="tx1"/>
            </w14:solidFill>
          </w14:textFill>
        </w:rPr>
        <w:t>7.3.2项〔开工通知〕约定发出的符合法律规定的开工通知中载明的开工日期。</w:t>
      </w:r>
    </w:p>
    <w:p w14:paraId="49E01F7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14:paraId="362463F6">
      <w:pPr>
        <w:spacing w:line="360" w:lineRule="auto"/>
        <w:ind w:firstLine="487" w:firstLineChars="203"/>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1.1.4.3 </w:t>
      </w:r>
      <w:r>
        <w:rPr>
          <w:rFonts w:hint="eastAsia" w:ascii="宋体" w:hAnsi="宋体"/>
          <w:color w:val="000000" w:themeColor="text1"/>
          <w:sz w:val="24"/>
          <w:szCs w:val="24"/>
          <w:highlight w:val="none"/>
          <w:lang w:eastAsia="zh-CN"/>
          <w14:textFill>
            <w14:solidFill>
              <w14:schemeClr w14:val="tx1"/>
            </w14:solidFill>
          </w14:textFill>
        </w:rPr>
        <w:t>工期：是指在合同协议书约定的承包人完成工程所需的期限，包括按照合同约定所作的期限变更。</w:t>
      </w:r>
    </w:p>
    <w:p w14:paraId="2D1BA9A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1.1.4.4 </w:t>
      </w:r>
      <w:r>
        <w:rPr>
          <w:rFonts w:hint="eastAsia" w:ascii="宋体" w:hAnsi="宋体"/>
          <w:color w:val="000000" w:themeColor="text1"/>
          <w:sz w:val="24"/>
          <w:szCs w:val="24"/>
          <w:highlight w:val="none"/>
          <w:lang w:eastAsia="zh-CN"/>
          <w14:textFill>
            <w14:solidFill>
              <w14:schemeClr w14:val="tx1"/>
            </w14:solidFill>
          </w14:textFill>
        </w:rPr>
        <w:t>缺陷责任期：是指承包人按照合同约定承担缺陷修复义务，且发包人预留质量保证金（已缴纳履约保证金的除外）的期限，自工程实际竣工日期起计算。</w:t>
      </w:r>
    </w:p>
    <w:p w14:paraId="1947A0D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1.1.4.5 </w:t>
      </w:r>
      <w:r>
        <w:rPr>
          <w:rFonts w:hint="eastAsia" w:ascii="宋体" w:hAnsi="宋体"/>
          <w:color w:val="000000" w:themeColor="text1"/>
          <w:sz w:val="24"/>
          <w:szCs w:val="24"/>
          <w:highlight w:val="none"/>
          <w:lang w:eastAsia="zh-CN"/>
          <w14:textFill>
            <w14:solidFill>
              <w14:schemeClr w14:val="tx1"/>
            </w14:solidFill>
          </w14:textFill>
        </w:rPr>
        <w:t>保修期：是指承包人按照合同约定对工程承担保修责任的期限，从工程竣工验收合格之日起计算。</w:t>
      </w:r>
    </w:p>
    <w:p w14:paraId="6BF13A2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1.1.4.6 </w:t>
      </w:r>
      <w:r>
        <w:rPr>
          <w:rFonts w:hint="eastAsia" w:ascii="宋体" w:hAnsi="宋体"/>
          <w:color w:val="000000" w:themeColor="text1"/>
          <w:sz w:val="24"/>
          <w:szCs w:val="24"/>
          <w:highlight w:val="none"/>
          <w:lang w:eastAsia="zh-CN"/>
          <w14:textFill>
            <w14:solidFill>
              <w14:schemeClr w14:val="tx1"/>
            </w14:solidFill>
          </w14:textFill>
        </w:rPr>
        <w:t>基准日期：招标发包的工程以投标截止日前</w:t>
      </w:r>
      <w:r>
        <w:rPr>
          <w:rFonts w:ascii="宋体" w:hAnsi="宋体"/>
          <w:color w:val="000000" w:themeColor="text1"/>
          <w:sz w:val="24"/>
          <w:szCs w:val="24"/>
          <w:highlight w:val="none"/>
          <w:lang w:eastAsia="zh-CN"/>
          <w14:textFill>
            <w14:solidFill>
              <w14:schemeClr w14:val="tx1"/>
            </w14:solidFill>
          </w14:textFill>
        </w:rPr>
        <w:t>28天的日期为基准日期，直接发包的工程以合同签订日前28天的日期为基准日期。</w:t>
      </w:r>
    </w:p>
    <w:p w14:paraId="2050EE4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1.1.4.7 </w:t>
      </w:r>
      <w:r>
        <w:rPr>
          <w:rFonts w:hint="eastAsia" w:ascii="宋体" w:hAnsi="宋体"/>
          <w:color w:val="000000" w:themeColor="text1"/>
          <w:sz w:val="24"/>
          <w:szCs w:val="24"/>
          <w:highlight w:val="none"/>
          <w:lang w:eastAsia="zh-CN"/>
          <w14:textFill>
            <w14:solidFill>
              <w14:schemeClr w14:val="tx1"/>
            </w14:solidFill>
          </w14:textFill>
        </w:rPr>
        <w:t>天：除特别指明外，均指日历天。合同中按天计算时间的，开始当天不计入，从次日开始计算，期限最后一天的截止时间为当天</w:t>
      </w:r>
      <w:r>
        <w:rPr>
          <w:rFonts w:ascii="宋体" w:hAnsi="宋体"/>
          <w:color w:val="000000" w:themeColor="text1"/>
          <w:sz w:val="24"/>
          <w:szCs w:val="24"/>
          <w:highlight w:val="none"/>
          <w:lang w:eastAsia="zh-CN"/>
          <w14:textFill>
            <w14:solidFill>
              <w14:schemeClr w14:val="tx1"/>
            </w14:solidFill>
          </w14:textFill>
        </w:rPr>
        <w:t>24:00时。</w:t>
      </w:r>
    </w:p>
    <w:p w14:paraId="5BD1898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 </w:t>
      </w:r>
      <w:r>
        <w:rPr>
          <w:rFonts w:hint="eastAsia" w:ascii="宋体" w:hAnsi="宋体"/>
          <w:color w:val="000000" w:themeColor="text1"/>
          <w:sz w:val="24"/>
          <w:szCs w:val="24"/>
          <w:highlight w:val="none"/>
          <w:lang w:eastAsia="zh-CN"/>
          <w14:textFill>
            <w14:solidFill>
              <w14:schemeClr w14:val="tx1"/>
            </w14:solidFill>
          </w14:textFill>
        </w:rPr>
        <w:t>合同价格和费用</w:t>
      </w:r>
    </w:p>
    <w:p w14:paraId="109616A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1.1.5.1 </w:t>
      </w:r>
      <w:r>
        <w:rPr>
          <w:rFonts w:hint="eastAsia" w:ascii="宋体" w:hAnsi="宋体"/>
          <w:color w:val="000000" w:themeColor="text1"/>
          <w:sz w:val="24"/>
          <w:szCs w:val="24"/>
          <w:highlight w:val="none"/>
          <w:lang w:eastAsia="zh-CN"/>
          <w14:textFill>
            <w14:solidFill>
              <w14:schemeClr w14:val="tx1"/>
            </w14:solidFill>
          </w14:textFill>
        </w:rPr>
        <w:t>签约合同价：是指发包人和承包人在合同协议书中确定的总金额，包括安全文明施工费、暂估价及暂列金额等。</w:t>
      </w:r>
    </w:p>
    <w:p w14:paraId="68EFBBE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1.1.5.2 </w:t>
      </w:r>
      <w:r>
        <w:rPr>
          <w:rFonts w:hint="eastAsia" w:ascii="宋体" w:hAnsi="宋体"/>
          <w:color w:val="000000" w:themeColor="text1"/>
          <w:sz w:val="24"/>
          <w:szCs w:val="24"/>
          <w:highlight w:val="none"/>
          <w:lang w:eastAsia="zh-CN"/>
          <w14:textFill>
            <w14:solidFill>
              <w14:schemeClr w14:val="tx1"/>
            </w14:solidFill>
          </w14:textFill>
        </w:rPr>
        <w:t>合同价格：是指发包人用于支付承包人按照合同约定完成承包范围内全部工作的金额，包括合同履行过程中按合同约定发生的价格变化。</w:t>
      </w:r>
    </w:p>
    <w:p w14:paraId="5007EEA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1.1.5.3 </w:t>
      </w:r>
      <w:r>
        <w:rPr>
          <w:rFonts w:hint="eastAsia" w:ascii="宋体" w:hAnsi="宋体"/>
          <w:color w:val="000000" w:themeColor="text1"/>
          <w:sz w:val="24"/>
          <w:szCs w:val="24"/>
          <w:highlight w:val="none"/>
          <w:lang w:eastAsia="zh-CN"/>
          <w14:textFill>
            <w14:solidFill>
              <w14:schemeClr w14:val="tx1"/>
            </w14:solidFill>
          </w14:textFill>
        </w:rPr>
        <w:t>费用：是指为履行合同所发生的或将要发生的所有必需的开支，包括管理费和应分摊的其他费用，但不包括利润。</w:t>
      </w:r>
    </w:p>
    <w:p w14:paraId="5B5B217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1.1.5.4 </w:t>
      </w:r>
      <w:r>
        <w:rPr>
          <w:rFonts w:hint="eastAsia" w:ascii="宋体" w:hAnsi="宋体"/>
          <w:color w:val="000000" w:themeColor="text1"/>
          <w:sz w:val="24"/>
          <w:szCs w:val="24"/>
          <w:highlight w:val="none"/>
          <w:lang w:eastAsia="zh-CN"/>
          <w14:textFill>
            <w14:solidFill>
              <w14:schemeClr w14:val="tx1"/>
            </w14:solidFill>
          </w14:textFill>
        </w:rPr>
        <w:t>暂估价：是指发包人在工程量清单或预算书中提供的用于支付必然发生但暂时不能确定价格的材料、工程设备的单价、专业工程以及服务工作的金额。</w:t>
      </w:r>
    </w:p>
    <w:p w14:paraId="521F667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1.1.5.5 </w:t>
      </w:r>
      <w:r>
        <w:rPr>
          <w:rFonts w:hint="eastAsia" w:ascii="宋体" w:hAnsi="宋体"/>
          <w:color w:val="000000" w:themeColor="text1"/>
          <w:sz w:val="24"/>
          <w:szCs w:val="24"/>
          <w:highlight w:val="none"/>
          <w:lang w:eastAsia="zh-CN"/>
          <w14:textFill>
            <w14:solidFill>
              <w14:schemeClr w14:val="tx1"/>
            </w14:solidFill>
          </w14:textFill>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9AA985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1.1.5.6 </w:t>
      </w:r>
      <w:r>
        <w:rPr>
          <w:rFonts w:hint="eastAsia" w:ascii="宋体" w:hAnsi="宋体"/>
          <w:color w:val="000000" w:themeColor="text1"/>
          <w:sz w:val="24"/>
          <w:szCs w:val="24"/>
          <w:highlight w:val="none"/>
          <w:lang w:eastAsia="zh-CN"/>
          <w14:textFill>
            <w14:solidFill>
              <w14:schemeClr w14:val="tx1"/>
            </w14:solidFill>
          </w14:textFill>
        </w:rPr>
        <w:t>计日工：是指合同履行过程中，承包人完成发包人提出的零星工作或需要采用计日工计价的变更工作时，按合同中约定的单价计价的一种方式。</w:t>
      </w:r>
    </w:p>
    <w:p w14:paraId="40A3AC9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1.1.5.7 </w:t>
      </w:r>
      <w:r>
        <w:rPr>
          <w:rFonts w:hint="eastAsia" w:ascii="宋体" w:hAnsi="宋体"/>
          <w:color w:val="000000" w:themeColor="text1"/>
          <w:sz w:val="24"/>
          <w:szCs w:val="24"/>
          <w:highlight w:val="none"/>
          <w:lang w:eastAsia="zh-CN"/>
          <w14:textFill>
            <w14:solidFill>
              <w14:schemeClr w14:val="tx1"/>
            </w14:solidFill>
          </w14:textFill>
        </w:rPr>
        <w:t>质量保证金：是指按照第</w:t>
      </w:r>
      <w:r>
        <w:rPr>
          <w:rFonts w:ascii="宋体" w:hAnsi="宋体"/>
          <w:color w:val="000000" w:themeColor="text1"/>
          <w:sz w:val="24"/>
          <w:szCs w:val="24"/>
          <w:highlight w:val="none"/>
          <w:lang w:eastAsia="zh-CN"/>
          <w14:textFill>
            <w14:solidFill>
              <w14:schemeClr w14:val="tx1"/>
            </w14:solidFill>
          </w14:textFill>
        </w:rPr>
        <w:t>15.3款〔质量保证金〕约定承包人用于保证其在缺陷责任期内履行缺陷修补义务的担保。</w:t>
      </w:r>
    </w:p>
    <w:p w14:paraId="62209B9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1.1.5.8 </w:t>
      </w:r>
      <w:r>
        <w:rPr>
          <w:rFonts w:hint="eastAsia" w:ascii="宋体" w:hAnsi="宋体"/>
          <w:color w:val="000000" w:themeColor="text1"/>
          <w:sz w:val="24"/>
          <w:szCs w:val="24"/>
          <w:highlight w:val="none"/>
          <w:lang w:eastAsia="zh-CN"/>
          <w14:textFill>
            <w14:solidFill>
              <w14:schemeClr w14:val="tx1"/>
            </w14:solidFill>
          </w14:textFill>
        </w:rPr>
        <w:t>总价项目：是指在现行国家、行业以及地方的计量规则中无工程量计算规则，在已标价工程量清单或预算书中以总价或以费率形式计算的项目。</w:t>
      </w:r>
    </w:p>
    <w:p w14:paraId="17FD799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1.1.6 </w:t>
      </w:r>
      <w:r>
        <w:rPr>
          <w:rFonts w:hint="eastAsia" w:ascii="宋体" w:hAnsi="宋体"/>
          <w:color w:val="000000" w:themeColor="text1"/>
          <w:sz w:val="24"/>
          <w:szCs w:val="24"/>
          <w:highlight w:val="none"/>
          <w:lang w:eastAsia="zh-CN"/>
          <w14:textFill>
            <w14:solidFill>
              <w14:schemeClr w14:val="tx1"/>
            </w14:solidFill>
          </w14:textFill>
        </w:rPr>
        <w:t>其他</w:t>
      </w:r>
    </w:p>
    <w:p w14:paraId="722EAD9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1.1.6.1 </w:t>
      </w:r>
      <w:r>
        <w:rPr>
          <w:rFonts w:hint="eastAsia" w:ascii="宋体" w:hAnsi="宋体"/>
          <w:color w:val="000000" w:themeColor="text1"/>
          <w:sz w:val="24"/>
          <w:szCs w:val="24"/>
          <w:highlight w:val="none"/>
          <w:lang w:eastAsia="zh-CN"/>
          <w14:textFill>
            <w14:solidFill>
              <w14:schemeClr w14:val="tx1"/>
            </w14:solidFill>
          </w14:textFill>
        </w:rPr>
        <w:t>书面形式：是指合同文件、信函、电报、传真等可以有形地表现所载内容的形式。</w:t>
      </w:r>
    </w:p>
    <w:p w14:paraId="03C6268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63" w:name="_Toc351203497"/>
      <w:bookmarkStart w:id="64" w:name="_Toc337558729"/>
      <w:bookmarkStart w:id="65" w:name="_Toc296503029"/>
      <w:bookmarkStart w:id="66" w:name="_Toc296346530"/>
      <w:r>
        <w:rPr>
          <w:rFonts w:ascii="宋体" w:hAnsi="宋体"/>
          <w:color w:val="000000" w:themeColor="text1"/>
          <w:sz w:val="24"/>
          <w:szCs w:val="24"/>
          <w:highlight w:val="none"/>
          <w:lang w:eastAsia="zh-CN"/>
          <w14:textFill>
            <w14:solidFill>
              <w14:schemeClr w14:val="tx1"/>
            </w14:solidFill>
          </w14:textFill>
        </w:rPr>
        <w:t>1.2语言文字</w:t>
      </w:r>
      <w:bookmarkEnd w:id="63"/>
      <w:bookmarkEnd w:id="64"/>
      <w:bookmarkEnd w:id="65"/>
      <w:bookmarkEnd w:id="66"/>
    </w:p>
    <w:p w14:paraId="63C0535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合同以中国的汉语简体文字编写、解释和说明。合同当事人在专用合同条款中约定使用两种以上语言时，汉语为优先解释和说明合同的语言。</w:t>
      </w:r>
    </w:p>
    <w:p w14:paraId="6449418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67" w:name="_Toc296503030"/>
      <w:bookmarkStart w:id="68" w:name="_Toc296346531"/>
      <w:bookmarkStart w:id="69" w:name="_Toc351203498"/>
      <w:bookmarkStart w:id="70" w:name="_Toc337558730"/>
      <w:r>
        <w:rPr>
          <w:rFonts w:ascii="宋体" w:hAnsi="宋体"/>
          <w:color w:val="000000" w:themeColor="text1"/>
          <w:sz w:val="24"/>
          <w:szCs w:val="24"/>
          <w:highlight w:val="none"/>
          <w:lang w:eastAsia="zh-CN"/>
          <w14:textFill>
            <w14:solidFill>
              <w14:schemeClr w14:val="tx1"/>
            </w14:solidFill>
          </w14:textFill>
        </w:rPr>
        <w:t>1.3法律</w:t>
      </w:r>
      <w:bookmarkEnd w:id="67"/>
      <w:bookmarkEnd w:id="68"/>
      <w:bookmarkEnd w:id="69"/>
      <w:bookmarkEnd w:id="70"/>
    </w:p>
    <w:p w14:paraId="696503C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合同所称法律是指中华人民共和国法律、行政法规、部门规章，以及工程所在地的地方性法规、自治条例、单行条例和地方政府规章等。</w:t>
      </w:r>
    </w:p>
    <w:p w14:paraId="634FF58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合同当事人可以在专用合同条款中约定合同适用的其他规范性文件。</w:t>
      </w:r>
    </w:p>
    <w:p w14:paraId="0D8A903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71" w:name="_Toc351203499"/>
      <w:r>
        <w:rPr>
          <w:rFonts w:ascii="宋体" w:hAnsi="宋体"/>
          <w:color w:val="000000" w:themeColor="text1"/>
          <w:sz w:val="24"/>
          <w:szCs w:val="24"/>
          <w:highlight w:val="none"/>
          <w:lang w:eastAsia="zh-CN"/>
          <w14:textFill>
            <w14:solidFill>
              <w14:schemeClr w14:val="tx1"/>
            </w14:solidFill>
          </w14:textFill>
        </w:rPr>
        <w:t xml:space="preserve">1.4 </w:t>
      </w:r>
      <w:r>
        <w:rPr>
          <w:rFonts w:hint="eastAsia" w:ascii="宋体" w:hAnsi="宋体"/>
          <w:color w:val="000000" w:themeColor="text1"/>
          <w:sz w:val="24"/>
          <w:szCs w:val="24"/>
          <w:highlight w:val="none"/>
          <w:lang w:eastAsia="zh-CN"/>
          <w14:textFill>
            <w14:solidFill>
              <w14:schemeClr w14:val="tx1"/>
            </w14:solidFill>
          </w14:textFill>
        </w:rPr>
        <w:t>标准和规范</w:t>
      </w:r>
      <w:bookmarkEnd w:id="71"/>
    </w:p>
    <w:p w14:paraId="17CB377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1.4.1 </w:t>
      </w:r>
      <w:r>
        <w:rPr>
          <w:rFonts w:hint="eastAsia" w:ascii="宋体" w:hAnsi="宋体"/>
          <w:color w:val="000000" w:themeColor="text1"/>
          <w:sz w:val="24"/>
          <w:szCs w:val="24"/>
          <w:highlight w:val="none"/>
          <w:lang w:eastAsia="zh-CN"/>
          <w14:textFill>
            <w14:solidFill>
              <w14:schemeClr w14:val="tx1"/>
            </w14:solidFill>
          </w14:textFill>
        </w:rPr>
        <w:t>适用于工程的国家标准、行业标准、工程所在地的地方性标准，以及相应的规范、规程等，合同当事人有特别要求的，应在专用合同条款中约定。</w:t>
      </w:r>
    </w:p>
    <w:p w14:paraId="6A1CA86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1.4.2 </w:t>
      </w:r>
      <w:r>
        <w:rPr>
          <w:rFonts w:hint="eastAsia" w:ascii="宋体" w:hAnsi="宋体"/>
          <w:color w:val="000000" w:themeColor="text1"/>
          <w:sz w:val="24"/>
          <w:szCs w:val="24"/>
          <w:highlight w:val="none"/>
          <w:lang w:eastAsia="zh-CN"/>
          <w14:textFill>
            <w14:solidFill>
              <w14:schemeClr w14:val="tx1"/>
            </w14:solidFill>
          </w14:textFill>
        </w:rPr>
        <w:t>发包人要求使用国外标准、规范的，发包人负责提供原文版本和中文译本，并在专用合同条款中约定提供标准规范的名称、份数和时间。</w:t>
      </w:r>
    </w:p>
    <w:p w14:paraId="68744F4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1.4.3 </w:t>
      </w:r>
      <w:r>
        <w:rPr>
          <w:rFonts w:hint="eastAsia" w:ascii="宋体" w:hAnsi="宋体"/>
          <w:color w:val="000000" w:themeColor="text1"/>
          <w:sz w:val="24"/>
          <w:szCs w:val="24"/>
          <w:highlight w:val="none"/>
          <w:lang w:eastAsia="zh-CN"/>
          <w14:textFill>
            <w14:solidFill>
              <w14:schemeClr w14:val="tx1"/>
            </w14:solidFill>
          </w14:textFill>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1123FEB">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72" w:name="_Toc351203500"/>
      <w:r>
        <w:rPr>
          <w:rFonts w:ascii="宋体" w:hAnsi="宋体"/>
          <w:color w:val="000000" w:themeColor="text1"/>
          <w:sz w:val="24"/>
          <w:szCs w:val="24"/>
          <w:highlight w:val="none"/>
          <w:lang w:eastAsia="zh-CN"/>
          <w14:textFill>
            <w14:solidFill>
              <w14:schemeClr w14:val="tx1"/>
            </w14:solidFill>
          </w14:textFill>
        </w:rPr>
        <w:t>1</w:t>
      </w:r>
      <w:bookmarkStart w:id="73" w:name="_Toc296503031"/>
      <w:bookmarkStart w:id="74" w:name="_Toc337558731"/>
      <w:bookmarkStart w:id="75" w:name="_Toc296346532"/>
      <w:r>
        <w:rPr>
          <w:rFonts w:ascii="宋体" w:hAnsi="宋体"/>
          <w:color w:val="000000" w:themeColor="text1"/>
          <w:sz w:val="24"/>
          <w:szCs w:val="24"/>
          <w:highlight w:val="none"/>
          <w:lang w:eastAsia="zh-CN"/>
          <w14:textFill>
            <w14:solidFill>
              <w14:schemeClr w14:val="tx1"/>
            </w14:solidFill>
          </w14:textFill>
        </w:rPr>
        <w:t xml:space="preserve">.5 </w:t>
      </w:r>
      <w:r>
        <w:rPr>
          <w:rFonts w:hint="eastAsia" w:ascii="宋体" w:hAnsi="宋体"/>
          <w:color w:val="000000" w:themeColor="text1"/>
          <w:sz w:val="24"/>
          <w:szCs w:val="24"/>
          <w:highlight w:val="none"/>
          <w:lang w:eastAsia="zh-CN"/>
          <w14:textFill>
            <w14:solidFill>
              <w14:schemeClr w14:val="tx1"/>
            </w14:solidFill>
          </w14:textFill>
        </w:rPr>
        <w:t>合同文件的优先顺序</w:t>
      </w:r>
      <w:bookmarkEnd w:id="72"/>
    </w:p>
    <w:bookmarkEnd w:id="73"/>
    <w:bookmarkEnd w:id="74"/>
    <w:bookmarkEnd w:id="75"/>
    <w:p w14:paraId="442AEE2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组成合同的各项文件应互相解释，互为说明。除专用合同条款另有约定外，解释合同文件的优先顺序如下：</w:t>
      </w:r>
    </w:p>
    <w:p w14:paraId="3DFEB7C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1）合同协议书；</w:t>
      </w:r>
    </w:p>
    <w:p w14:paraId="6FDCA82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2）中标通知书（如果有）；</w:t>
      </w:r>
    </w:p>
    <w:p w14:paraId="7F2AD03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3）投标函及其附录（如果有）；</w:t>
      </w:r>
    </w:p>
    <w:p w14:paraId="288343F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4）专用合同条款及其附件；</w:t>
      </w:r>
    </w:p>
    <w:p w14:paraId="4ED3678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5）通用合同条款；</w:t>
      </w:r>
    </w:p>
    <w:p w14:paraId="1F373EC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6）技术标准和要求；</w:t>
      </w:r>
    </w:p>
    <w:p w14:paraId="256FE32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7）图纸；</w:t>
      </w:r>
    </w:p>
    <w:p w14:paraId="506A5C5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8）已标价工程量清单或预算书；</w:t>
      </w:r>
    </w:p>
    <w:p w14:paraId="1B650AD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9）其他合同文件。</w:t>
      </w:r>
    </w:p>
    <w:p w14:paraId="0E5C908D">
      <w:pPr>
        <w:spacing w:line="360" w:lineRule="auto"/>
        <w:ind w:firstLine="511" w:firstLineChars="213"/>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上述各项合同文件包括合同当事人就该项合同文件所作出的补充和修改，属于同一类内容的文件，应以最新签署的为准。</w:t>
      </w:r>
    </w:p>
    <w:p w14:paraId="1022338A">
      <w:pPr>
        <w:spacing w:line="360" w:lineRule="auto"/>
        <w:ind w:firstLine="511" w:firstLineChars="213"/>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在合同订立及履行过程中形成的与合同有关的文件均构成合同文件组成部分，并根据其性质确定优先解释顺序。</w:t>
      </w:r>
    </w:p>
    <w:p w14:paraId="0B1FDF1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76" w:name="_Toc351203501"/>
      <w:r>
        <w:rPr>
          <w:rFonts w:ascii="宋体" w:hAnsi="宋体"/>
          <w:color w:val="000000" w:themeColor="text1"/>
          <w:sz w:val="24"/>
          <w:szCs w:val="24"/>
          <w:highlight w:val="none"/>
          <w:lang w:eastAsia="zh-CN"/>
          <w14:textFill>
            <w14:solidFill>
              <w14:schemeClr w14:val="tx1"/>
            </w14:solidFill>
          </w14:textFill>
        </w:rPr>
        <w:t>1</w:t>
      </w:r>
      <w:bookmarkStart w:id="77" w:name="_Toc337558732"/>
      <w:bookmarkStart w:id="78" w:name="_Toc296346533"/>
      <w:bookmarkStart w:id="79" w:name="_Toc296503032"/>
      <w:r>
        <w:rPr>
          <w:rFonts w:ascii="宋体" w:hAnsi="宋体"/>
          <w:color w:val="000000" w:themeColor="text1"/>
          <w:sz w:val="24"/>
          <w:szCs w:val="24"/>
          <w:highlight w:val="none"/>
          <w:lang w:eastAsia="zh-CN"/>
          <w14:textFill>
            <w14:solidFill>
              <w14:schemeClr w14:val="tx1"/>
            </w14:solidFill>
          </w14:textFill>
        </w:rPr>
        <w:t>.6图纸和承包人文件</w:t>
      </w:r>
      <w:bookmarkEnd w:id="76"/>
    </w:p>
    <w:bookmarkEnd w:id="77"/>
    <w:bookmarkEnd w:id="78"/>
    <w:bookmarkEnd w:id="79"/>
    <w:p w14:paraId="60BE6AC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1.6.1 </w:t>
      </w:r>
      <w:r>
        <w:rPr>
          <w:rFonts w:hint="eastAsia" w:ascii="宋体" w:hAnsi="宋体"/>
          <w:color w:val="000000" w:themeColor="text1"/>
          <w:sz w:val="24"/>
          <w:szCs w:val="24"/>
          <w:highlight w:val="none"/>
          <w:lang w:eastAsia="zh-CN"/>
          <w14:textFill>
            <w14:solidFill>
              <w14:schemeClr w14:val="tx1"/>
            </w14:solidFill>
          </w14:textFill>
        </w:rPr>
        <w:t>图纸的提供和交底</w:t>
      </w:r>
    </w:p>
    <w:p w14:paraId="0412D33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发包人应按照专用合同条款约定的期限、数量和内容向承包人免费提供图纸，并组织承包人、监理人和设计人进行图纸会审和设计交底。发包人至迟不得晚于第</w:t>
      </w:r>
      <w:r>
        <w:rPr>
          <w:rFonts w:ascii="宋体" w:hAnsi="宋体"/>
          <w:color w:val="000000" w:themeColor="text1"/>
          <w:sz w:val="24"/>
          <w:szCs w:val="24"/>
          <w:highlight w:val="none"/>
          <w:lang w:eastAsia="zh-CN"/>
          <w14:textFill>
            <w14:solidFill>
              <w14:schemeClr w14:val="tx1"/>
            </w14:solidFill>
          </w14:textFill>
        </w:rPr>
        <w:t>7.3.2项〔开工通知〕载明的开工日期前14天向承包人提供图纸。</w:t>
      </w:r>
    </w:p>
    <w:p w14:paraId="613EDCE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因发包人未按合同约定提供图纸导致承包人费用增加和（或）工期延误的，按照第</w:t>
      </w:r>
      <w:r>
        <w:rPr>
          <w:rFonts w:ascii="宋体" w:hAnsi="宋体"/>
          <w:color w:val="000000" w:themeColor="text1"/>
          <w:sz w:val="24"/>
          <w:szCs w:val="24"/>
          <w:highlight w:val="none"/>
          <w:lang w:eastAsia="zh-CN"/>
          <w14:textFill>
            <w14:solidFill>
              <w14:schemeClr w14:val="tx1"/>
            </w14:solidFill>
          </w14:textFill>
        </w:rPr>
        <w:t>7.5.1</w:t>
      </w:r>
      <w:r>
        <w:rPr>
          <w:rFonts w:hint="eastAsia" w:ascii="宋体" w:hAnsi="宋体"/>
          <w:color w:val="000000" w:themeColor="text1"/>
          <w:sz w:val="24"/>
          <w:szCs w:val="24"/>
          <w:highlight w:val="none"/>
          <w:lang w:eastAsia="zh-CN"/>
          <w14:textFill>
            <w14:solidFill>
              <w14:schemeClr w14:val="tx1"/>
            </w14:solidFill>
          </w14:textFill>
        </w:rPr>
        <w:t>项〔因发包人原因导致工期延误〕约定办理。</w:t>
      </w:r>
    </w:p>
    <w:p w14:paraId="43AD223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1.6.2 </w:t>
      </w:r>
      <w:r>
        <w:rPr>
          <w:rFonts w:hint="eastAsia" w:ascii="宋体" w:hAnsi="宋体"/>
          <w:color w:val="000000" w:themeColor="text1"/>
          <w:sz w:val="24"/>
          <w:szCs w:val="24"/>
          <w:highlight w:val="none"/>
          <w:lang w:eastAsia="zh-CN"/>
          <w14:textFill>
            <w14:solidFill>
              <w14:schemeClr w14:val="tx1"/>
            </w14:solidFill>
          </w14:textFill>
        </w:rPr>
        <w:t>图纸的错误</w:t>
      </w:r>
    </w:p>
    <w:p w14:paraId="6405AC4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8B02BD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1.6.3 </w:t>
      </w:r>
      <w:r>
        <w:rPr>
          <w:rFonts w:hint="eastAsia" w:ascii="宋体" w:hAnsi="宋体"/>
          <w:color w:val="000000" w:themeColor="text1"/>
          <w:sz w:val="24"/>
          <w:szCs w:val="24"/>
          <w:highlight w:val="none"/>
          <w:lang w:eastAsia="zh-CN"/>
          <w14:textFill>
            <w14:solidFill>
              <w14:schemeClr w14:val="tx1"/>
            </w14:solidFill>
          </w14:textFill>
        </w:rPr>
        <w:t>图纸的修改和补充</w:t>
      </w:r>
    </w:p>
    <w:p w14:paraId="298F9CF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0585AE3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1.6.4 </w:t>
      </w:r>
      <w:r>
        <w:rPr>
          <w:rFonts w:hint="eastAsia" w:ascii="宋体" w:hAnsi="宋体"/>
          <w:color w:val="000000" w:themeColor="text1"/>
          <w:sz w:val="24"/>
          <w:szCs w:val="24"/>
          <w:highlight w:val="none"/>
          <w:lang w:eastAsia="zh-CN"/>
          <w14:textFill>
            <w14:solidFill>
              <w14:schemeClr w14:val="tx1"/>
            </w14:solidFill>
          </w14:textFill>
        </w:rPr>
        <w:t>承包人文件</w:t>
      </w:r>
    </w:p>
    <w:p w14:paraId="7479187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64AC9F0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除专用合同条款另有约定外，监理人应在收到承包人文件后</w:t>
      </w:r>
      <w:r>
        <w:rPr>
          <w:rFonts w:ascii="宋体" w:hAnsi="宋体"/>
          <w:color w:val="000000" w:themeColor="text1"/>
          <w:sz w:val="24"/>
          <w:szCs w:val="24"/>
          <w:highlight w:val="none"/>
          <w:lang w:eastAsia="zh-CN"/>
          <w14:textFill>
            <w14:solidFill>
              <w14:schemeClr w14:val="tx1"/>
            </w14:solidFill>
          </w14:textFill>
        </w:rPr>
        <w:t>7天内审查完毕，监理人对承包人文件有异议的，承包人应予以修改，并重新报送监理人。监理人的审查并不减轻或免除承包人根据合同约定应当承担的责任。</w:t>
      </w:r>
    </w:p>
    <w:p w14:paraId="4D5E2EC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1.6.5 </w:t>
      </w:r>
      <w:r>
        <w:rPr>
          <w:rFonts w:hint="eastAsia" w:ascii="宋体" w:hAnsi="宋体"/>
          <w:color w:val="000000" w:themeColor="text1"/>
          <w:sz w:val="24"/>
          <w:szCs w:val="24"/>
          <w:highlight w:val="none"/>
          <w:lang w:eastAsia="zh-CN"/>
          <w14:textFill>
            <w14:solidFill>
              <w14:schemeClr w14:val="tx1"/>
            </w14:solidFill>
          </w14:textFill>
        </w:rPr>
        <w:t>图纸和承包人文件的保管</w:t>
      </w:r>
    </w:p>
    <w:p w14:paraId="3134801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除专用合同条款另有约定外，承包人应在施工现场另外保存一套完整的图纸和承包人文件，供发包人、监理人及有关人员进行工程检查时使用。</w:t>
      </w:r>
    </w:p>
    <w:p w14:paraId="46222A3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80" w:name="_Toc351203502"/>
      <w:r>
        <w:rPr>
          <w:rFonts w:ascii="宋体" w:hAnsi="宋体"/>
          <w:color w:val="000000" w:themeColor="text1"/>
          <w:sz w:val="24"/>
          <w:szCs w:val="24"/>
          <w:highlight w:val="none"/>
          <w:lang w:eastAsia="zh-CN"/>
          <w14:textFill>
            <w14:solidFill>
              <w14:schemeClr w14:val="tx1"/>
            </w14:solidFill>
          </w14:textFill>
        </w:rPr>
        <w:t>1</w:t>
      </w:r>
      <w:bookmarkStart w:id="81" w:name="_Toc296346534"/>
      <w:bookmarkStart w:id="82" w:name="_Toc337558733"/>
      <w:bookmarkStart w:id="83" w:name="_Toc296503033"/>
      <w:r>
        <w:rPr>
          <w:rFonts w:ascii="宋体" w:hAnsi="宋体"/>
          <w:color w:val="000000" w:themeColor="text1"/>
          <w:sz w:val="24"/>
          <w:szCs w:val="24"/>
          <w:highlight w:val="none"/>
          <w:lang w:eastAsia="zh-CN"/>
          <w14:textFill>
            <w14:solidFill>
              <w14:schemeClr w14:val="tx1"/>
            </w14:solidFill>
          </w14:textFill>
        </w:rPr>
        <w:t>.7联络</w:t>
      </w:r>
      <w:bookmarkEnd w:id="80"/>
    </w:p>
    <w:bookmarkEnd w:id="81"/>
    <w:bookmarkEnd w:id="82"/>
    <w:bookmarkEnd w:id="83"/>
    <w:p w14:paraId="27B9C37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1.7.1 </w:t>
      </w:r>
      <w:r>
        <w:rPr>
          <w:rFonts w:hint="eastAsia" w:ascii="宋体" w:hAnsi="宋体"/>
          <w:color w:val="000000" w:themeColor="text1"/>
          <w:sz w:val="24"/>
          <w:szCs w:val="24"/>
          <w:highlight w:val="none"/>
          <w:lang w:eastAsia="zh-CN"/>
          <w14:textFill>
            <w14:solidFill>
              <w14:schemeClr w14:val="tx1"/>
            </w14:solidFill>
          </w14:textFill>
        </w:rPr>
        <w:t>与合同有关的通知、批准、证明、证书、指示、指令、要求、请求、同意、意见、确定和决定等，均应采用书面形式，并应在合同约定的期限内送达接收人和送达地点。</w:t>
      </w:r>
    </w:p>
    <w:p w14:paraId="1C8B828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1.7.2 </w:t>
      </w:r>
      <w:r>
        <w:rPr>
          <w:rFonts w:hint="eastAsia" w:ascii="宋体" w:hAnsi="宋体"/>
          <w:color w:val="000000" w:themeColor="text1"/>
          <w:sz w:val="24"/>
          <w:szCs w:val="24"/>
          <w:highlight w:val="none"/>
          <w:lang w:eastAsia="zh-CN"/>
          <w14:textFill>
            <w14:solidFill>
              <w14:schemeClr w14:val="tx1"/>
            </w14:solidFill>
          </w14:textFill>
        </w:rPr>
        <w:t>发包人和承包人应在专用合同条款中约定各自的送达接收人和送达地点。任何一方合同当事人指定的接收人或送达地点发生变动的，应提前</w:t>
      </w:r>
      <w:r>
        <w:rPr>
          <w:rFonts w:ascii="宋体" w:hAnsi="宋体"/>
          <w:color w:val="000000" w:themeColor="text1"/>
          <w:sz w:val="24"/>
          <w:szCs w:val="24"/>
          <w:highlight w:val="none"/>
          <w:lang w:eastAsia="zh-CN"/>
          <w14:textFill>
            <w14:solidFill>
              <w14:schemeClr w14:val="tx1"/>
            </w14:solidFill>
          </w14:textFill>
        </w:rPr>
        <w:t>3天以书面形式通知对方。</w:t>
      </w:r>
    </w:p>
    <w:p w14:paraId="2F1AF23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1.7.3 </w:t>
      </w:r>
      <w:r>
        <w:rPr>
          <w:rFonts w:hint="eastAsia" w:ascii="宋体" w:hAnsi="宋体"/>
          <w:color w:val="000000" w:themeColor="text1"/>
          <w:sz w:val="24"/>
          <w:szCs w:val="24"/>
          <w:highlight w:val="none"/>
          <w:lang w:eastAsia="zh-CN"/>
          <w14:textFill>
            <w14:solidFill>
              <w14:schemeClr w14:val="tx1"/>
            </w14:solidFill>
          </w14:textFill>
        </w:rPr>
        <w:t>发包人和承包人应当及时签收另一方送达至送达地点和指定接收人的来往信函。拒不签收的，由此增加的费用和（或）延误的工期由拒绝接收一方承担。</w:t>
      </w:r>
    </w:p>
    <w:p w14:paraId="37CA45C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84" w:name="_Toc351203503"/>
      <w:r>
        <w:rPr>
          <w:rFonts w:ascii="宋体" w:hAnsi="宋体"/>
          <w:color w:val="000000" w:themeColor="text1"/>
          <w:sz w:val="24"/>
          <w:szCs w:val="24"/>
          <w:highlight w:val="none"/>
          <w:lang w:eastAsia="zh-CN"/>
          <w14:textFill>
            <w14:solidFill>
              <w14:schemeClr w14:val="tx1"/>
            </w14:solidFill>
          </w14:textFill>
        </w:rPr>
        <w:t>1</w:t>
      </w:r>
      <w:bookmarkStart w:id="85" w:name="_Toc337558734"/>
      <w:bookmarkStart w:id="86" w:name="_Toc296346536"/>
      <w:bookmarkStart w:id="87" w:name="_Toc296503035"/>
      <w:r>
        <w:rPr>
          <w:rFonts w:ascii="宋体" w:hAnsi="宋体"/>
          <w:color w:val="000000" w:themeColor="text1"/>
          <w:sz w:val="24"/>
          <w:szCs w:val="24"/>
          <w:highlight w:val="none"/>
          <w:lang w:eastAsia="zh-CN"/>
          <w14:textFill>
            <w14:solidFill>
              <w14:schemeClr w14:val="tx1"/>
            </w14:solidFill>
          </w14:textFill>
        </w:rPr>
        <w:t>.8严禁贿赂</w:t>
      </w:r>
      <w:bookmarkEnd w:id="84"/>
    </w:p>
    <w:bookmarkEnd w:id="85"/>
    <w:bookmarkEnd w:id="86"/>
    <w:bookmarkEnd w:id="87"/>
    <w:p w14:paraId="65E2AB9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43DCCB3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14:paraId="086BF7C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88" w:name="_Toc351203504"/>
      <w:r>
        <w:rPr>
          <w:rFonts w:ascii="宋体" w:hAnsi="宋体"/>
          <w:color w:val="000000" w:themeColor="text1"/>
          <w:sz w:val="24"/>
          <w:szCs w:val="24"/>
          <w:highlight w:val="none"/>
          <w:lang w:eastAsia="zh-CN"/>
          <w14:textFill>
            <w14:solidFill>
              <w14:schemeClr w14:val="tx1"/>
            </w14:solidFill>
          </w14:textFill>
        </w:rPr>
        <w:t>1</w:t>
      </w:r>
      <w:bookmarkStart w:id="89" w:name="_Toc296346537"/>
      <w:bookmarkStart w:id="90" w:name="_Toc337558735"/>
      <w:bookmarkStart w:id="91" w:name="_Toc296503036"/>
      <w:r>
        <w:rPr>
          <w:rFonts w:ascii="宋体" w:hAnsi="宋体"/>
          <w:color w:val="000000" w:themeColor="text1"/>
          <w:sz w:val="24"/>
          <w:szCs w:val="24"/>
          <w:highlight w:val="none"/>
          <w:lang w:eastAsia="zh-CN"/>
          <w14:textFill>
            <w14:solidFill>
              <w14:schemeClr w14:val="tx1"/>
            </w14:solidFill>
          </w14:textFill>
        </w:rPr>
        <w:t>.9化石、文物</w:t>
      </w:r>
      <w:bookmarkEnd w:id="88"/>
    </w:p>
    <w:bookmarkEnd w:id="89"/>
    <w:bookmarkEnd w:id="90"/>
    <w:bookmarkEnd w:id="91"/>
    <w:p w14:paraId="310CA8F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DBADD4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发包人、监理人和承包人应按有关政府行政管理部门要求采取妥善的保护措施，由此增加的费用和（或）延误的工期由发包人承担。</w:t>
      </w:r>
    </w:p>
    <w:p w14:paraId="14C6D21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承包人发现文物后不及时报告或隐瞒不报，致使文物丢失或损坏的，应赔偿损失，并承担相应的法律责任。</w:t>
      </w:r>
    </w:p>
    <w:p w14:paraId="2A75ACA5">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92" w:name="_Toc351203505"/>
      <w:r>
        <w:rPr>
          <w:rFonts w:ascii="宋体" w:hAnsi="宋体"/>
          <w:color w:val="000000" w:themeColor="text1"/>
          <w:sz w:val="24"/>
          <w:szCs w:val="24"/>
          <w:highlight w:val="none"/>
          <w:lang w:eastAsia="zh-CN"/>
          <w14:textFill>
            <w14:solidFill>
              <w14:schemeClr w14:val="tx1"/>
            </w14:solidFill>
          </w14:textFill>
        </w:rPr>
        <w:t>1</w:t>
      </w:r>
      <w:bookmarkStart w:id="93" w:name="_Toc337558736"/>
      <w:r>
        <w:rPr>
          <w:rFonts w:ascii="宋体" w:hAnsi="宋体"/>
          <w:color w:val="000000" w:themeColor="text1"/>
          <w:sz w:val="24"/>
          <w:szCs w:val="24"/>
          <w:highlight w:val="none"/>
          <w:lang w:eastAsia="zh-CN"/>
          <w14:textFill>
            <w14:solidFill>
              <w14:schemeClr w14:val="tx1"/>
            </w14:solidFill>
          </w14:textFill>
        </w:rPr>
        <w:t>.10交通运输</w:t>
      </w:r>
      <w:bookmarkEnd w:id="92"/>
    </w:p>
    <w:bookmarkEnd w:id="93"/>
    <w:p w14:paraId="7F6D00F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1.10.1出入现场的权利</w:t>
      </w:r>
    </w:p>
    <w:p w14:paraId="13CA16F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ADEB28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5C74C25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1.10.2场外交通</w:t>
      </w:r>
    </w:p>
    <w:p w14:paraId="065115E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FC2B1A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1.10.3场内交通</w:t>
      </w:r>
    </w:p>
    <w:p w14:paraId="1B27743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3A1721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3A3951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场外交通和场内交通的边界由合同当事人在专用合同条款中约定。</w:t>
      </w:r>
    </w:p>
    <w:p w14:paraId="659C0D1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1.10.4超大件和超重件的运输</w:t>
      </w:r>
    </w:p>
    <w:p w14:paraId="2EAF14E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DC2C5A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1.10.5道路和桥梁的损坏责任</w:t>
      </w:r>
    </w:p>
    <w:p w14:paraId="0426682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因承包人运输造成施工场地内外公共道路和桥梁损坏的，由承包人承担修复损坏的全部费用和可能引起的赔偿。</w:t>
      </w:r>
    </w:p>
    <w:p w14:paraId="5077302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1.10.6水路和航空运输</w:t>
      </w:r>
    </w:p>
    <w:p w14:paraId="077F560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3B135EA6">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94" w:name="_Toc351203506"/>
      <w:r>
        <w:rPr>
          <w:rFonts w:ascii="宋体" w:hAnsi="宋体"/>
          <w:color w:val="000000" w:themeColor="text1"/>
          <w:sz w:val="24"/>
          <w:szCs w:val="24"/>
          <w:highlight w:val="none"/>
          <w:lang w:eastAsia="zh-CN"/>
          <w14:textFill>
            <w14:solidFill>
              <w14:schemeClr w14:val="tx1"/>
            </w14:solidFill>
          </w14:textFill>
        </w:rPr>
        <w:t>1</w:t>
      </w:r>
      <w:bookmarkStart w:id="95" w:name="_Toc337558737"/>
      <w:bookmarkStart w:id="96" w:name="_Toc296503037"/>
      <w:bookmarkStart w:id="97" w:name="_Toc296346538"/>
      <w:r>
        <w:rPr>
          <w:rFonts w:ascii="宋体" w:hAnsi="宋体"/>
          <w:color w:val="000000" w:themeColor="text1"/>
          <w:sz w:val="24"/>
          <w:szCs w:val="24"/>
          <w:highlight w:val="none"/>
          <w:lang w:eastAsia="zh-CN"/>
          <w14:textFill>
            <w14:solidFill>
              <w14:schemeClr w14:val="tx1"/>
            </w14:solidFill>
          </w14:textFill>
        </w:rPr>
        <w:t>.11知识产权</w:t>
      </w:r>
      <w:bookmarkEnd w:id="94"/>
      <w:bookmarkEnd w:id="95"/>
    </w:p>
    <w:bookmarkEnd w:id="96"/>
    <w:bookmarkEnd w:id="97"/>
    <w:p w14:paraId="7122CA9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1.11.1 </w:t>
      </w: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EC1E25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1.11.2 </w:t>
      </w: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F15BA9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1.11.3 </w:t>
      </w:r>
      <w:r>
        <w:rPr>
          <w:rFonts w:hint="eastAsia" w:ascii="宋体" w:hAnsi="宋体"/>
          <w:color w:val="000000" w:themeColor="text1"/>
          <w:sz w:val="24"/>
          <w:szCs w:val="24"/>
          <w:highlight w:val="none"/>
          <w:lang w:eastAsia="zh-CN"/>
          <w14:textFill>
            <w14:solidFill>
              <w14:schemeClr w14:val="tx1"/>
            </w14:solidFill>
          </w14:textFill>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FA309A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1.11.4 </w:t>
      </w: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除专用合同条款另有约定外，承包人在合同签订前和签订时已确定采用的专利、专有技术、技术秘密的使用费已包含在签约合同价中。</w:t>
      </w:r>
    </w:p>
    <w:p w14:paraId="7CB6B96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98" w:name="_Toc351203507"/>
      <w:r>
        <w:rPr>
          <w:rFonts w:ascii="宋体" w:hAnsi="宋体"/>
          <w:color w:val="000000" w:themeColor="text1"/>
          <w:sz w:val="24"/>
          <w:szCs w:val="24"/>
          <w:highlight w:val="none"/>
          <w:lang w:eastAsia="zh-CN"/>
          <w14:textFill>
            <w14:solidFill>
              <w14:schemeClr w14:val="tx1"/>
            </w14:solidFill>
          </w14:textFill>
        </w:rPr>
        <w:t>1</w:t>
      </w:r>
      <w:bookmarkStart w:id="99" w:name="_Toc337558738"/>
      <w:r>
        <w:rPr>
          <w:rFonts w:ascii="宋体" w:hAnsi="宋体"/>
          <w:color w:val="000000" w:themeColor="text1"/>
          <w:sz w:val="24"/>
          <w:szCs w:val="24"/>
          <w:highlight w:val="none"/>
          <w:lang w:eastAsia="zh-CN"/>
          <w14:textFill>
            <w14:solidFill>
              <w14:schemeClr w14:val="tx1"/>
            </w14:solidFill>
          </w14:textFill>
        </w:rPr>
        <w:t>.12保密</w:t>
      </w:r>
      <w:bookmarkEnd w:id="98"/>
    </w:p>
    <w:bookmarkEnd w:id="99"/>
    <w:p w14:paraId="08F3FE9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137B7E1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除法律规定或合同另有约定外，未经承包人同意，发包人不得将承包人提供的技术秘密及声明需要保密的资料信息等商业秘密泄露给第三方。</w:t>
      </w:r>
    </w:p>
    <w:p w14:paraId="03A1F76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00" w:name="_Toc351203508"/>
      <w:r>
        <w:rPr>
          <w:rFonts w:ascii="宋体" w:hAnsi="宋体"/>
          <w:color w:val="000000" w:themeColor="text1"/>
          <w:sz w:val="24"/>
          <w:szCs w:val="24"/>
          <w:highlight w:val="none"/>
          <w:lang w:eastAsia="zh-CN"/>
          <w14:textFill>
            <w14:solidFill>
              <w14:schemeClr w14:val="tx1"/>
            </w14:solidFill>
          </w14:textFill>
        </w:rPr>
        <w:t>1.13工程量清单错误的修正</w:t>
      </w:r>
      <w:bookmarkEnd w:id="100"/>
    </w:p>
    <w:p w14:paraId="779CEE3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5A6C0FA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1）工程量清单存在缺项、漏项的；</w:t>
      </w:r>
    </w:p>
    <w:p w14:paraId="7EA202D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2）工程量清单偏差超出专用合同条款约定的工程量偏差范围的；</w:t>
      </w:r>
    </w:p>
    <w:p w14:paraId="2853C54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3）未按照国家现行计量规范强制性规定计量的。</w:t>
      </w:r>
    </w:p>
    <w:p w14:paraId="30C4003F">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101" w:name="_Toc351203509"/>
      <w:r>
        <w:rPr>
          <w:b w:val="0"/>
          <w:color w:val="000000" w:themeColor="text1"/>
          <w:sz w:val="24"/>
          <w:szCs w:val="24"/>
          <w:highlight w:val="none"/>
          <w:lang w:eastAsia="zh-CN"/>
          <w14:textFill>
            <w14:solidFill>
              <w14:schemeClr w14:val="tx1"/>
            </w14:solidFill>
          </w14:textFill>
        </w:rPr>
        <w:t>2</w:t>
      </w:r>
      <w:bookmarkStart w:id="102" w:name="_Toc337558739"/>
      <w:bookmarkStart w:id="103" w:name="_Toc296346539"/>
      <w:bookmarkStart w:id="104" w:name="_Toc296503038"/>
      <w:r>
        <w:rPr>
          <w:b w:val="0"/>
          <w:color w:val="000000" w:themeColor="text1"/>
          <w:sz w:val="24"/>
          <w:szCs w:val="24"/>
          <w:highlight w:val="none"/>
          <w:lang w:eastAsia="zh-CN"/>
          <w14:textFill>
            <w14:solidFill>
              <w14:schemeClr w14:val="tx1"/>
            </w14:solidFill>
          </w14:textFill>
        </w:rPr>
        <w:t xml:space="preserve">. </w:t>
      </w:r>
      <w:r>
        <w:rPr>
          <w:rFonts w:hint="eastAsia"/>
          <w:b w:val="0"/>
          <w:color w:val="000000" w:themeColor="text1"/>
          <w:sz w:val="24"/>
          <w:szCs w:val="24"/>
          <w:highlight w:val="none"/>
          <w:lang w:eastAsia="zh-CN"/>
          <w14:textFill>
            <w14:solidFill>
              <w14:schemeClr w14:val="tx1"/>
            </w14:solidFill>
          </w14:textFill>
        </w:rPr>
        <w:t>发包人</w:t>
      </w:r>
      <w:bookmarkEnd w:id="101"/>
    </w:p>
    <w:bookmarkEnd w:id="102"/>
    <w:bookmarkEnd w:id="103"/>
    <w:bookmarkEnd w:id="104"/>
    <w:p w14:paraId="6A4A475A">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05" w:name="_Toc351203510"/>
      <w:r>
        <w:rPr>
          <w:rFonts w:ascii="宋体" w:hAnsi="宋体"/>
          <w:color w:val="000000" w:themeColor="text1"/>
          <w:sz w:val="24"/>
          <w:szCs w:val="24"/>
          <w:highlight w:val="none"/>
          <w:lang w:eastAsia="zh-CN"/>
          <w14:textFill>
            <w14:solidFill>
              <w14:schemeClr w14:val="tx1"/>
            </w14:solidFill>
          </w14:textFill>
        </w:rPr>
        <w:t>2</w:t>
      </w:r>
      <w:bookmarkStart w:id="106" w:name="_Toc337558740"/>
      <w:bookmarkStart w:id="107" w:name="_Toc296503039"/>
      <w:bookmarkStart w:id="108" w:name="_Toc296346540"/>
      <w:r>
        <w:rPr>
          <w:rFonts w:ascii="宋体" w:hAnsi="宋体"/>
          <w:color w:val="000000" w:themeColor="text1"/>
          <w:sz w:val="24"/>
          <w:szCs w:val="24"/>
          <w:highlight w:val="none"/>
          <w:lang w:eastAsia="zh-CN"/>
          <w14:textFill>
            <w14:solidFill>
              <w14:schemeClr w14:val="tx1"/>
            </w14:solidFill>
          </w14:textFill>
        </w:rPr>
        <w:t xml:space="preserve">.1 </w:t>
      </w:r>
      <w:r>
        <w:rPr>
          <w:rFonts w:hint="eastAsia" w:ascii="宋体" w:hAnsi="宋体"/>
          <w:color w:val="000000" w:themeColor="text1"/>
          <w:sz w:val="24"/>
          <w:szCs w:val="24"/>
          <w:highlight w:val="none"/>
          <w:lang w:eastAsia="zh-CN"/>
          <w14:textFill>
            <w14:solidFill>
              <w14:schemeClr w14:val="tx1"/>
            </w14:solidFill>
          </w14:textFill>
        </w:rPr>
        <w:t>许可或批准</w:t>
      </w:r>
      <w:bookmarkEnd w:id="105"/>
    </w:p>
    <w:p w14:paraId="3EA0391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3B9EDD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因发包人原因未能及时办理完毕前述许可、批准或备案，由发包人承担由此增加的费用和（或）延误的工期，并支付承包人合理的利润。</w:t>
      </w:r>
    </w:p>
    <w:p w14:paraId="2EE5E81C">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09" w:name="_Toc351203511"/>
      <w:r>
        <w:rPr>
          <w:rFonts w:ascii="宋体" w:hAnsi="宋体"/>
          <w:color w:val="000000" w:themeColor="text1"/>
          <w:sz w:val="24"/>
          <w:szCs w:val="24"/>
          <w:highlight w:val="none"/>
          <w:lang w:eastAsia="zh-CN"/>
          <w14:textFill>
            <w14:solidFill>
              <w14:schemeClr w14:val="tx1"/>
            </w14:solidFill>
          </w14:textFill>
        </w:rPr>
        <w:t xml:space="preserve">2.2 </w:t>
      </w:r>
      <w:r>
        <w:rPr>
          <w:rFonts w:hint="eastAsia" w:ascii="宋体" w:hAnsi="宋体"/>
          <w:color w:val="000000" w:themeColor="text1"/>
          <w:sz w:val="24"/>
          <w:szCs w:val="24"/>
          <w:highlight w:val="none"/>
          <w:lang w:eastAsia="zh-CN"/>
          <w14:textFill>
            <w14:solidFill>
              <w14:schemeClr w14:val="tx1"/>
            </w14:solidFill>
          </w14:textFill>
        </w:rPr>
        <w:t>发包人代表</w:t>
      </w:r>
      <w:bookmarkEnd w:id="109"/>
    </w:p>
    <w:p w14:paraId="45064AF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color w:val="000000" w:themeColor="text1"/>
          <w:sz w:val="24"/>
          <w:szCs w:val="24"/>
          <w:highlight w:val="none"/>
          <w:lang w:eastAsia="zh-CN"/>
          <w14:textFill>
            <w14:solidFill>
              <w14:schemeClr w14:val="tx1"/>
            </w14:solidFill>
          </w14:textFill>
        </w:rPr>
        <w:t>7天书面通知承包人。</w:t>
      </w:r>
    </w:p>
    <w:p w14:paraId="1D75F86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发包人代表不能按照合同约定履行其职责及义务，并导致合同无法继续正常履行的，承包人可以要求发包人撤换发包人代表。</w:t>
      </w:r>
    </w:p>
    <w:p w14:paraId="51C7AD7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不属于法定必须监理的工程，监理人的职权可以由发包人代表或发包人指定的其他人员行使。</w:t>
      </w:r>
    </w:p>
    <w:p w14:paraId="74564F1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10" w:name="_Toc351203512"/>
      <w:r>
        <w:rPr>
          <w:rFonts w:ascii="宋体" w:hAnsi="宋体"/>
          <w:color w:val="000000" w:themeColor="text1"/>
          <w:sz w:val="24"/>
          <w:szCs w:val="24"/>
          <w:highlight w:val="none"/>
          <w:lang w:eastAsia="zh-CN"/>
          <w14:textFill>
            <w14:solidFill>
              <w14:schemeClr w14:val="tx1"/>
            </w14:solidFill>
          </w14:textFill>
        </w:rPr>
        <w:t xml:space="preserve">2.3 </w:t>
      </w:r>
      <w:r>
        <w:rPr>
          <w:rFonts w:hint="eastAsia" w:ascii="宋体" w:hAnsi="宋体"/>
          <w:color w:val="000000" w:themeColor="text1"/>
          <w:sz w:val="24"/>
          <w:szCs w:val="24"/>
          <w:highlight w:val="none"/>
          <w:lang w:eastAsia="zh-CN"/>
          <w14:textFill>
            <w14:solidFill>
              <w14:schemeClr w14:val="tx1"/>
            </w14:solidFill>
          </w14:textFill>
        </w:rPr>
        <w:t>发包人人员</w:t>
      </w:r>
      <w:bookmarkEnd w:id="110"/>
    </w:p>
    <w:p w14:paraId="2E264E8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14:paraId="0E9E5041">
      <w:pPr>
        <w:spacing w:line="360" w:lineRule="auto"/>
        <w:ind w:firstLine="64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发包人人员包括发包人代表及其他由发包人派驻施工现场的人员。</w:t>
      </w:r>
      <w:bookmarkEnd w:id="106"/>
      <w:bookmarkEnd w:id="107"/>
      <w:bookmarkEnd w:id="108"/>
    </w:p>
    <w:p w14:paraId="6A79999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11" w:name="_Toc351203513"/>
      <w:r>
        <w:rPr>
          <w:rFonts w:ascii="宋体" w:hAnsi="宋体"/>
          <w:color w:val="000000" w:themeColor="text1"/>
          <w:sz w:val="24"/>
          <w:szCs w:val="24"/>
          <w:highlight w:val="none"/>
          <w:lang w:eastAsia="zh-CN"/>
          <w14:textFill>
            <w14:solidFill>
              <w14:schemeClr w14:val="tx1"/>
            </w14:solidFill>
          </w14:textFill>
        </w:rPr>
        <w:t>2</w:t>
      </w:r>
      <w:bookmarkStart w:id="112" w:name="_Toc337558741"/>
      <w:bookmarkStart w:id="113" w:name="_Toc296503040"/>
      <w:bookmarkStart w:id="114" w:name="_Toc296346541"/>
      <w:r>
        <w:rPr>
          <w:rFonts w:ascii="宋体" w:hAnsi="宋体"/>
          <w:color w:val="000000" w:themeColor="text1"/>
          <w:sz w:val="24"/>
          <w:szCs w:val="24"/>
          <w:highlight w:val="none"/>
          <w:lang w:eastAsia="zh-CN"/>
          <w14:textFill>
            <w14:solidFill>
              <w14:schemeClr w14:val="tx1"/>
            </w14:solidFill>
          </w14:textFill>
        </w:rPr>
        <w:t xml:space="preserve">.4 </w:t>
      </w:r>
      <w:r>
        <w:rPr>
          <w:rFonts w:hint="eastAsia" w:ascii="宋体" w:hAnsi="宋体"/>
          <w:color w:val="000000" w:themeColor="text1"/>
          <w:sz w:val="24"/>
          <w:szCs w:val="24"/>
          <w:highlight w:val="none"/>
          <w:lang w:eastAsia="zh-CN"/>
          <w14:textFill>
            <w14:solidFill>
              <w14:schemeClr w14:val="tx1"/>
            </w14:solidFill>
          </w14:textFill>
        </w:rPr>
        <w:t>施工现场、施工条件和基础资料的提供</w:t>
      </w:r>
      <w:bookmarkEnd w:id="111"/>
      <w:bookmarkEnd w:id="112"/>
      <w:bookmarkEnd w:id="113"/>
      <w:bookmarkEnd w:id="114"/>
    </w:p>
    <w:p w14:paraId="560616B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2.4.1 </w:t>
      </w:r>
      <w:r>
        <w:rPr>
          <w:rFonts w:hint="eastAsia" w:ascii="宋体" w:hAnsi="宋体"/>
          <w:color w:val="000000" w:themeColor="text1"/>
          <w:sz w:val="24"/>
          <w:szCs w:val="24"/>
          <w:highlight w:val="none"/>
          <w:lang w:eastAsia="zh-CN"/>
          <w14:textFill>
            <w14:solidFill>
              <w14:schemeClr w14:val="tx1"/>
            </w14:solidFill>
          </w14:textFill>
        </w:rPr>
        <w:t>提供施工现场</w:t>
      </w:r>
    </w:p>
    <w:p w14:paraId="42A3252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除专用合同条款另有约定外，发包人应最迟于开工日期</w:t>
      </w:r>
      <w:r>
        <w:rPr>
          <w:rFonts w:ascii="宋体" w:hAnsi="宋体"/>
          <w:color w:val="000000" w:themeColor="text1"/>
          <w:sz w:val="24"/>
          <w:szCs w:val="24"/>
          <w:highlight w:val="none"/>
          <w:lang w:eastAsia="zh-CN"/>
          <w14:textFill>
            <w14:solidFill>
              <w14:schemeClr w14:val="tx1"/>
            </w14:solidFill>
          </w14:textFill>
        </w:rPr>
        <w:t>7天前向承包人移交施工现场。</w:t>
      </w:r>
    </w:p>
    <w:p w14:paraId="07D62B5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2.4.2 </w:t>
      </w:r>
      <w:r>
        <w:rPr>
          <w:rFonts w:hint="eastAsia" w:ascii="宋体" w:hAnsi="宋体"/>
          <w:color w:val="000000" w:themeColor="text1"/>
          <w:sz w:val="24"/>
          <w:szCs w:val="24"/>
          <w:highlight w:val="none"/>
          <w:lang w:eastAsia="zh-CN"/>
          <w14:textFill>
            <w14:solidFill>
              <w14:schemeClr w14:val="tx1"/>
            </w14:solidFill>
          </w14:textFill>
        </w:rPr>
        <w:t>提供施工条件</w:t>
      </w:r>
    </w:p>
    <w:p w14:paraId="3E4A0D2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除专用合同条款另有约定外，发包人应负责提供施工所需要的条件，包括：</w:t>
      </w:r>
    </w:p>
    <w:p w14:paraId="39E6D1B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1）将施工用水、电力、通讯线路等施工所必需的条件接至施工现场内；</w:t>
      </w:r>
    </w:p>
    <w:p w14:paraId="6707C5F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2）保证向承包人提供正常施工所需要的进入施工现场的交通条件；</w:t>
      </w:r>
    </w:p>
    <w:p w14:paraId="3043BF2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3）协调处理施工现场周围地下管线和邻近建筑物、构筑物、古树名木的保护工作，并承担相关费用；</w:t>
      </w:r>
    </w:p>
    <w:p w14:paraId="3208E3C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4）按照专用合同条款约定应提供的其他设施和条件。</w:t>
      </w:r>
    </w:p>
    <w:p w14:paraId="1A17345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2.4.3 </w:t>
      </w:r>
      <w:r>
        <w:rPr>
          <w:rFonts w:hint="eastAsia" w:ascii="宋体" w:hAnsi="宋体"/>
          <w:color w:val="000000" w:themeColor="text1"/>
          <w:sz w:val="24"/>
          <w:szCs w:val="24"/>
          <w:highlight w:val="none"/>
          <w:lang w:eastAsia="zh-CN"/>
          <w14:textFill>
            <w14:solidFill>
              <w14:schemeClr w14:val="tx1"/>
            </w14:solidFill>
          </w14:textFill>
        </w:rPr>
        <w:t>提供基础资料</w:t>
      </w:r>
    </w:p>
    <w:p w14:paraId="0740C34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A905F6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6FA989E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2.4.4 </w:t>
      </w:r>
      <w:r>
        <w:rPr>
          <w:rFonts w:hint="eastAsia" w:ascii="宋体" w:hAnsi="宋体"/>
          <w:color w:val="000000" w:themeColor="text1"/>
          <w:sz w:val="24"/>
          <w:szCs w:val="24"/>
          <w:highlight w:val="none"/>
          <w:lang w:eastAsia="zh-CN"/>
          <w14:textFill>
            <w14:solidFill>
              <w14:schemeClr w14:val="tx1"/>
            </w14:solidFill>
          </w14:textFill>
        </w:rPr>
        <w:t>逾期提供的责任</w:t>
      </w:r>
    </w:p>
    <w:p w14:paraId="561C2A5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因发包人原因未能按合同约定及时向承包人提供施工现场、施工条件、基础资料的，由发包人承担由此增加的费用和（或）延误的工期。</w:t>
      </w:r>
    </w:p>
    <w:p w14:paraId="1190900A">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15" w:name="_Toc351203514"/>
      <w:r>
        <w:rPr>
          <w:rFonts w:ascii="宋体" w:hAnsi="宋体"/>
          <w:color w:val="000000" w:themeColor="text1"/>
          <w:sz w:val="24"/>
          <w:szCs w:val="24"/>
          <w:highlight w:val="none"/>
          <w:lang w:eastAsia="zh-CN"/>
          <w14:textFill>
            <w14:solidFill>
              <w14:schemeClr w14:val="tx1"/>
            </w14:solidFill>
          </w14:textFill>
        </w:rPr>
        <w:t>2</w:t>
      </w:r>
      <w:bookmarkStart w:id="116" w:name="_Toc337558745"/>
      <w:bookmarkStart w:id="117" w:name="_Toc296346543"/>
      <w:bookmarkStart w:id="118" w:name="_Toc296503042"/>
      <w:r>
        <w:rPr>
          <w:rFonts w:ascii="宋体" w:hAnsi="宋体"/>
          <w:color w:val="000000" w:themeColor="text1"/>
          <w:sz w:val="24"/>
          <w:szCs w:val="24"/>
          <w:highlight w:val="none"/>
          <w:lang w:eastAsia="zh-CN"/>
          <w14:textFill>
            <w14:solidFill>
              <w14:schemeClr w14:val="tx1"/>
            </w14:solidFill>
          </w14:textFill>
        </w:rPr>
        <w:t xml:space="preserve">.5 </w:t>
      </w:r>
      <w:r>
        <w:rPr>
          <w:rFonts w:hint="eastAsia" w:ascii="宋体" w:hAnsi="宋体"/>
          <w:color w:val="000000" w:themeColor="text1"/>
          <w:sz w:val="24"/>
          <w:szCs w:val="24"/>
          <w:highlight w:val="none"/>
          <w:lang w:eastAsia="zh-CN"/>
          <w14:textFill>
            <w14:solidFill>
              <w14:schemeClr w14:val="tx1"/>
            </w14:solidFill>
          </w14:textFill>
        </w:rPr>
        <w:t>资</w:t>
      </w:r>
      <w:bookmarkEnd w:id="116"/>
      <w:bookmarkEnd w:id="117"/>
      <w:bookmarkEnd w:id="118"/>
      <w:r>
        <w:rPr>
          <w:rFonts w:hint="eastAsia" w:ascii="宋体" w:hAnsi="宋体"/>
          <w:color w:val="000000" w:themeColor="text1"/>
          <w:sz w:val="24"/>
          <w:szCs w:val="24"/>
          <w:highlight w:val="none"/>
          <w:lang w:eastAsia="zh-CN"/>
          <w14:textFill>
            <w14:solidFill>
              <w14:schemeClr w14:val="tx1"/>
            </w14:solidFill>
          </w14:textFill>
        </w:rPr>
        <w:t>金来源证明及支付担保</w:t>
      </w:r>
      <w:bookmarkEnd w:id="115"/>
    </w:p>
    <w:p w14:paraId="71F299F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除专用合同条款另有约定外，发包人应在收到承包人要求提供资金来源证明的书面通知后</w:t>
      </w:r>
      <w:r>
        <w:rPr>
          <w:rFonts w:ascii="宋体" w:hAnsi="宋体"/>
          <w:color w:val="000000" w:themeColor="text1"/>
          <w:sz w:val="24"/>
          <w:szCs w:val="24"/>
          <w:highlight w:val="none"/>
          <w:lang w:eastAsia="zh-CN"/>
          <w14:textFill>
            <w14:solidFill>
              <w14:schemeClr w14:val="tx1"/>
            </w14:solidFill>
          </w14:textFill>
        </w:rPr>
        <w:t>28天内，向承包人提供能够按照合同约定支付合同价款的相应资金来源证明。</w:t>
      </w:r>
    </w:p>
    <w:p w14:paraId="0309536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17D1529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19" w:name="_Toc351203515"/>
      <w:r>
        <w:rPr>
          <w:rFonts w:ascii="宋体" w:hAnsi="宋体"/>
          <w:color w:val="000000" w:themeColor="text1"/>
          <w:sz w:val="24"/>
          <w:szCs w:val="24"/>
          <w:highlight w:val="none"/>
          <w:lang w:eastAsia="zh-CN"/>
          <w14:textFill>
            <w14:solidFill>
              <w14:schemeClr w14:val="tx1"/>
            </w14:solidFill>
          </w14:textFill>
        </w:rPr>
        <w:t xml:space="preserve">2.6 </w:t>
      </w:r>
      <w:r>
        <w:rPr>
          <w:rFonts w:hint="eastAsia" w:ascii="宋体" w:hAnsi="宋体"/>
          <w:color w:val="000000" w:themeColor="text1"/>
          <w:sz w:val="24"/>
          <w:szCs w:val="24"/>
          <w:highlight w:val="none"/>
          <w:lang w:eastAsia="zh-CN"/>
          <w14:textFill>
            <w14:solidFill>
              <w14:schemeClr w14:val="tx1"/>
            </w14:solidFill>
          </w14:textFill>
        </w:rPr>
        <w:t>支付合同价款</w:t>
      </w:r>
      <w:bookmarkEnd w:id="119"/>
    </w:p>
    <w:p w14:paraId="545A18D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发包人应按合同约定向承包人及时支付合同价款。</w:t>
      </w:r>
    </w:p>
    <w:p w14:paraId="1F78B4F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20" w:name="_Toc351203516"/>
      <w:r>
        <w:rPr>
          <w:rFonts w:ascii="宋体" w:hAnsi="宋体"/>
          <w:color w:val="000000" w:themeColor="text1"/>
          <w:sz w:val="24"/>
          <w:szCs w:val="24"/>
          <w:highlight w:val="none"/>
          <w:lang w:eastAsia="zh-CN"/>
          <w14:textFill>
            <w14:solidFill>
              <w14:schemeClr w14:val="tx1"/>
            </w14:solidFill>
          </w14:textFill>
        </w:rPr>
        <w:t xml:space="preserve">2.7 </w:t>
      </w:r>
      <w:r>
        <w:rPr>
          <w:rFonts w:hint="eastAsia" w:ascii="宋体" w:hAnsi="宋体"/>
          <w:color w:val="000000" w:themeColor="text1"/>
          <w:sz w:val="24"/>
          <w:szCs w:val="24"/>
          <w:highlight w:val="none"/>
          <w:lang w:eastAsia="zh-CN"/>
          <w14:textFill>
            <w14:solidFill>
              <w14:schemeClr w14:val="tx1"/>
            </w14:solidFill>
          </w14:textFill>
        </w:rPr>
        <w:t>组织竣工验收</w:t>
      </w:r>
      <w:bookmarkEnd w:id="120"/>
    </w:p>
    <w:p w14:paraId="74C464E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发包人应按合同约定及时组织竣工验收。</w:t>
      </w:r>
    </w:p>
    <w:p w14:paraId="2D5F58E5">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21" w:name="_Toc351203517"/>
      <w:r>
        <w:rPr>
          <w:rFonts w:ascii="宋体" w:hAnsi="宋体"/>
          <w:color w:val="000000" w:themeColor="text1"/>
          <w:sz w:val="24"/>
          <w:szCs w:val="24"/>
          <w:highlight w:val="none"/>
          <w:lang w:eastAsia="zh-CN"/>
          <w14:textFill>
            <w14:solidFill>
              <w14:schemeClr w14:val="tx1"/>
            </w14:solidFill>
          </w14:textFill>
        </w:rPr>
        <w:t xml:space="preserve">2.8 </w:t>
      </w:r>
      <w:r>
        <w:rPr>
          <w:rFonts w:hint="eastAsia" w:ascii="宋体" w:hAnsi="宋体"/>
          <w:color w:val="000000" w:themeColor="text1"/>
          <w:sz w:val="24"/>
          <w:szCs w:val="24"/>
          <w:highlight w:val="none"/>
          <w:lang w:eastAsia="zh-CN"/>
          <w14:textFill>
            <w14:solidFill>
              <w14:schemeClr w14:val="tx1"/>
            </w14:solidFill>
          </w14:textFill>
        </w:rPr>
        <w:t>现场统一管理协议</w:t>
      </w:r>
      <w:bookmarkEnd w:id="121"/>
    </w:p>
    <w:p w14:paraId="3DE2098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2395678D">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122" w:name="_Toc351203518"/>
      <w:r>
        <w:rPr>
          <w:b w:val="0"/>
          <w:color w:val="000000" w:themeColor="text1"/>
          <w:sz w:val="24"/>
          <w:szCs w:val="24"/>
          <w:highlight w:val="none"/>
          <w:lang w:eastAsia="zh-CN"/>
          <w14:textFill>
            <w14:solidFill>
              <w14:schemeClr w14:val="tx1"/>
            </w14:solidFill>
          </w14:textFill>
        </w:rPr>
        <w:t>3</w:t>
      </w:r>
      <w:bookmarkStart w:id="123" w:name="_Toc337558746"/>
      <w:bookmarkStart w:id="124" w:name="_Toc296346546"/>
      <w:bookmarkStart w:id="125" w:name="_Toc296503045"/>
      <w:r>
        <w:rPr>
          <w:b w:val="0"/>
          <w:color w:val="000000" w:themeColor="text1"/>
          <w:sz w:val="24"/>
          <w:szCs w:val="24"/>
          <w:highlight w:val="none"/>
          <w:lang w:eastAsia="zh-CN"/>
          <w14:textFill>
            <w14:solidFill>
              <w14:schemeClr w14:val="tx1"/>
            </w14:solidFill>
          </w14:textFill>
        </w:rPr>
        <w:t xml:space="preserve">. </w:t>
      </w:r>
      <w:r>
        <w:rPr>
          <w:rFonts w:hint="eastAsia"/>
          <w:b w:val="0"/>
          <w:color w:val="000000" w:themeColor="text1"/>
          <w:sz w:val="24"/>
          <w:szCs w:val="24"/>
          <w:highlight w:val="none"/>
          <w:lang w:eastAsia="zh-CN"/>
          <w14:textFill>
            <w14:solidFill>
              <w14:schemeClr w14:val="tx1"/>
            </w14:solidFill>
          </w14:textFill>
        </w:rPr>
        <w:t>承包人</w:t>
      </w:r>
      <w:bookmarkEnd w:id="122"/>
    </w:p>
    <w:bookmarkEnd w:id="123"/>
    <w:bookmarkEnd w:id="124"/>
    <w:bookmarkEnd w:id="125"/>
    <w:p w14:paraId="35B25355">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26" w:name="_Toc351203519"/>
      <w:r>
        <w:rPr>
          <w:rFonts w:ascii="宋体" w:hAnsi="宋体"/>
          <w:color w:val="000000" w:themeColor="text1"/>
          <w:sz w:val="24"/>
          <w:szCs w:val="24"/>
          <w:highlight w:val="none"/>
          <w:lang w:eastAsia="zh-CN"/>
          <w14:textFill>
            <w14:solidFill>
              <w14:schemeClr w14:val="tx1"/>
            </w14:solidFill>
          </w14:textFill>
        </w:rPr>
        <w:t>3</w:t>
      </w:r>
      <w:bookmarkStart w:id="127" w:name="_Toc337558747"/>
      <w:bookmarkStart w:id="128" w:name="_Toc296346547"/>
      <w:bookmarkStart w:id="129" w:name="_Toc296503046"/>
      <w:r>
        <w:rPr>
          <w:rFonts w:ascii="宋体" w:hAnsi="宋体"/>
          <w:color w:val="000000" w:themeColor="text1"/>
          <w:sz w:val="24"/>
          <w:szCs w:val="24"/>
          <w:highlight w:val="none"/>
          <w:lang w:eastAsia="zh-CN"/>
          <w14:textFill>
            <w14:solidFill>
              <w14:schemeClr w14:val="tx1"/>
            </w14:solidFill>
          </w14:textFill>
        </w:rPr>
        <w:t xml:space="preserve">.1 </w:t>
      </w:r>
      <w:r>
        <w:rPr>
          <w:rFonts w:hint="eastAsia" w:ascii="宋体" w:hAnsi="宋体"/>
          <w:color w:val="000000" w:themeColor="text1"/>
          <w:sz w:val="24"/>
          <w:szCs w:val="24"/>
          <w:highlight w:val="none"/>
          <w:lang w:eastAsia="zh-CN"/>
          <w14:textFill>
            <w14:solidFill>
              <w14:schemeClr w14:val="tx1"/>
            </w14:solidFill>
          </w14:textFill>
        </w:rPr>
        <w:t>承包人的一般义务</w:t>
      </w:r>
      <w:bookmarkEnd w:id="126"/>
    </w:p>
    <w:bookmarkEnd w:id="127"/>
    <w:bookmarkEnd w:id="128"/>
    <w:bookmarkEnd w:id="129"/>
    <w:p w14:paraId="1533A5D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承包人在履行合同过程中应遵守法律和工程建设标准规范，并履行以下义务：</w:t>
      </w:r>
    </w:p>
    <w:p w14:paraId="796D16C4">
      <w:pPr>
        <w:autoSpaceDE w:val="0"/>
        <w:autoSpaceDN w:val="0"/>
        <w:adjustRightInd w:val="0"/>
        <w:spacing w:line="360" w:lineRule="auto"/>
        <w:ind w:left="420" w:left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（1）办理法律规定应由承包人办理的许可和批准，并将办理结果书面报送发包人留存；</w:t>
      </w:r>
    </w:p>
    <w:p w14:paraId="690F673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2）按法律规定和合同约定完成工程，并在保修期内承担保修义务；</w:t>
      </w:r>
    </w:p>
    <w:p w14:paraId="0EF7BFA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3）按法律规定和合同约定采取施工安全和环境保护措施，办理工伤保险，确保工程及人员、材料、设备和设施的安全；</w:t>
      </w:r>
    </w:p>
    <w:p w14:paraId="51809AF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4）按合同约定的工作内容和施工进度要求，编制施工组织设计和施工措施计划，并对所有施工作业和</w:t>
      </w:r>
      <w:r>
        <w:rPr>
          <w:rFonts w:hint="eastAsia" w:ascii="宋体" w:hAnsi="宋体"/>
          <w:color w:val="000000" w:themeColor="text1"/>
          <w:sz w:val="24"/>
          <w:szCs w:val="24"/>
          <w:highlight w:val="none"/>
          <w:lang w:eastAsia="zh-CN"/>
          <w14:textFill>
            <w14:solidFill>
              <w14:schemeClr w14:val="tx1"/>
            </w14:solidFill>
          </w14:textFill>
        </w:rPr>
        <w:t>施工方</w:t>
      </w:r>
      <w:r>
        <w:rPr>
          <w:rFonts w:ascii="宋体" w:hAnsi="宋体"/>
          <w:color w:val="000000" w:themeColor="text1"/>
          <w:sz w:val="24"/>
          <w:szCs w:val="24"/>
          <w:highlight w:val="none"/>
          <w:lang w:eastAsia="zh-CN"/>
          <w14:textFill>
            <w14:solidFill>
              <w14:schemeClr w14:val="tx1"/>
            </w14:solidFill>
          </w14:textFill>
        </w:rPr>
        <w:t>法的完备性和安全可靠性负责；</w:t>
      </w:r>
    </w:p>
    <w:p w14:paraId="4DC52CF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5）在进行合同约定的各项工作时，不得侵害发包人与他人使用公用道路、水源、市</w:t>
      </w:r>
      <w:r>
        <w:rPr>
          <w:rFonts w:hint="eastAsia" w:ascii="宋体" w:hAnsi="宋体"/>
          <w:color w:val="000000" w:themeColor="text1"/>
          <w:sz w:val="24"/>
          <w:szCs w:val="24"/>
          <w:highlight w:val="none"/>
          <w:lang w:eastAsia="zh-CN"/>
          <w14:textFill>
            <w14:solidFill>
              <w14:schemeClr w14:val="tx1"/>
            </w14:solidFill>
          </w14:textFill>
        </w:rPr>
        <w:t>政管网等公共设施的权利，避免对邻近的公共设施产生干扰。承包人占用或使用他人的施工场地，影响他人作业或生活的，应承担相应责任；</w:t>
      </w:r>
    </w:p>
    <w:p w14:paraId="205B3E5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6）按照第6.3款〔环境保护〕约定负责施工场地及其周边环境与生态的保护工作；</w:t>
      </w:r>
    </w:p>
    <w:p w14:paraId="6773B9C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7）按第6.1款〔安全文明施工〕约定采取施工安全措施，确保工程及其人员、材料、设备和设施的安全，防止因工程施工造成的人身伤害和财产损失；</w:t>
      </w:r>
    </w:p>
    <w:p w14:paraId="5DAA817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8）将发包人按合同约定支付的各项价款专用于合同工程，且应及时支付其雇用人员工资，并及时向分包人支付合同价款；</w:t>
      </w:r>
    </w:p>
    <w:p w14:paraId="7134EC2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9）按照法律规定和合同约定编制竣工资料，完成竣工资料立卷及归档，并按专用合同条款约定的竣工资料的套数、内容、时间等要求移交发包人；</w:t>
      </w:r>
    </w:p>
    <w:p w14:paraId="1655343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10）应履行的其他义务。</w:t>
      </w:r>
    </w:p>
    <w:p w14:paraId="5DC01E5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30" w:name="_Toc351203520"/>
      <w:r>
        <w:rPr>
          <w:rFonts w:ascii="宋体" w:hAnsi="宋体"/>
          <w:color w:val="000000" w:themeColor="text1"/>
          <w:sz w:val="24"/>
          <w:szCs w:val="24"/>
          <w:highlight w:val="none"/>
          <w:lang w:eastAsia="zh-CN"/>
          <w14:textFill>
            <w14:solidFill>
              <w14:schemeClr w14:val="tx1"/>
            </w14:solidFill>
          </w14:textFill>
        </w:rPr>
        <w:t>3</w:t>
      </w:r>
      <w:bookmarkStart w:id="131" w:name="_Toc337558748"/>
      <w:bookmarkStart w:id="132" w:name="_Toc296503047"/>
      <w:bookmarkStart w:id="133" w:name="_Toc296346548"/>
      <w:r>
        <w:rPr>
          <w:rFonts w:ascii="宋体" w:hAnsi="宋体"/>
          <w:color w:val="000000" w:themeColor="text1"/>
          <w:sz w:val="24"/>
          <w:szCs w:val="24"/>
          <w:highlight w:val="none"/>
          <w:lang w:eastAsia="zh-CN"/>
          <w14:textFill>
            <w14:solidFill>
              <w14:schemeClr w14:val="tx1"/>
            </w14:solidFill>
          </w14:textFill>
        </w:rPr>
        <w:t xml:space="preserve">.2 </w:t>
      </w:r>
      <w:bookmarkEnd w:id="130"/>
      <w:r>
        <w:rPr>
          <w:rFonts w:hint="eastAsia" w:ascii="宋体" w:hAnsi="宋体"/>
          <w:color w:val="000000" w:themeColor="text1"/>
          <w:sz w:val="24"/>
          <w:szCs w:val="24"/>
          <w:highlight w:val="none"/>
          <w:lang w:eastAsia="zh-CN"/>
          <w14:textFill>
            <w14:solidFill>
              <w14:schemeClr w14:val="tx1"/>
            </w14:solidFill>
          </w14:textFill>
        </w:rPr>
        <w:t>项目经理</w:t>
      </w:r>
    </w:p>
    <w:bookmarkEnd w:id="131"/>
    <w:bookmarkEnd w:id="132"/>
    <w:bookmarkEnd w:id="133"/>
    <w:p w14:paraId="2E58774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3.2.1 </w:t>
      </w:r>
      <w:r>
        <w:rPr>
          <w:rFonts w:hint="eastAsia" w:ascii="宋体" w:hAnsi="宋体"/>
          <w:color w:val="000000" w:themeColor="text1"/>
          <w:sz w:val="24"/>
          <w:szCs w:val="24"/>
          <w:highlight w:val="none"/>
          <w:lang w:eastAsia="zh-CN"/>
          <w14:textFill>
            <w14:solidFill>
              <w14:schemeClr w14:val="tx1"/>
            </w14:solidFill>
          </w14:textFill>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E399F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0961F5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承包人违反上述约定的，应按照专用合同条款的约定，承担违约责任。</w:t>
      </w:r>
    </w:p>
    <w:p w14:paraId="5A3C8C6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3.2.2 </w:t>
      </w:r>
      <w:r>
        <w:rPr>
          <w:rFonts w:hint="eastAsia" w:ascii="宋体" w:hAnsi="宋体"/>
          <w:color w:val="000000" w:themeColor="text1"/>
          <w:sz w:val="24"/>
          <w:szCs w:val="24"/>
          <w:highlight w:val="none"/>
          <w:lang w:eastAsia="zh-CN"/>
          <w14:textFill>
            <w14:solidFill>
              <w14:schemeClr w14:val="tx1"/>
            </w14:solidFill>
          </w14:textFill>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color w:val="000000" w:themeColor="text1"/>
          <w:sz w:val="24"/>
          <w:szCs w:val="24"/>
          <w:highlight w:val="none"/>
          <w:lang w:eastAsia="zh-CN"/>
          <w14:textFill>
            <w14:solidFill>
              <w14:schemeClr w14:val="tx1"/>
            </w14:solidFill>
          </w14:textFill>
        </w:rPr>
        <w:t>48小时内向发包人代表和总监理工程师提交书面报告。</w:t>
      </w:r>
    </w:p>
    <w:p w14:paraId="5FE2BEF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3.2.3 </w:t>
      </w:r>
      <w:r>
        <w:rPr>
          <w:rFonts w:hint="eastAsia" w:ascii="宋体" w:hAnsi="宋体"/>
          <w:color w:val="000000" w:themeColor="text1"/>
          <w:sz w:val="24"/>
          <w:szCs w:val="24"/>
          <w:highlight w:val="none"/>
          <w:lang w:eastAsia="zh-CN"/>
          <w14:textFill>
            <w14:solidFill>
              <w14:schemeClr w14:val="tx1"/>
            </w14:solidFill>
          </w14:textFill>
        </w:rPr>
        <w:t>承包人需要更换项目经理的，应提前</w:t>
      </w:r>
      <w:r>
        <w:rPr>
          <w:rFonts w:ascii="宋体" w:hAnsi="宋体"/>
          <w:color w:val="000000" w:themeColor="text1"/>
          <w:sz w:val="24"/>
          <w:szCs w:val="24"/>
          <w:highlight w:val="none"/>
          <w:lang w:eastAsia="zh-CN"/>
          <w14:textFill>
            <w14:solidFill>
              <w14:schemeClr w14:val="tx1"/>
            </w14:solidFill>
          </w14:textFill>
        </w:rPr>
        <w:t>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8C5772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3.2.4 </w:t>
      </w:r>
      <w:r>
        <w:rPr>
          <w:rFonts w:hint="eastAsia" w:ascii="宋体" w:hAnsi="宋体"/>
          <w:color w:val="000000" w:themeColor="text1"/>
          <w:sz w:val="24"/>
          <w:szCs w:val="24"/>
          <w:highlight w:val="none"/>
          <w:lang w:eastAsia="zh-CN"/>
          <w14:textFill>
            <w14:solidFill>
              <w14:schemeClr w14:val="tx1"/>
            </w14:solidFill>
          </w14:textFill>
        </w:rPr>
        <w:t>发包人有权书面通知承包人更换其认为不称职的项目经理，通知中应当载明要求更换的理由。承包人应在接到更换通知后</w:t>
      </w:r>
      <w:r>
        <w:rPr>
          <w:rFonts w:ascii="宋体" w:hAnsi="宋体"/>
          <w:color w:val="000000" w:themeColor="text1"/>
          <w:sz w:val="24"/>
          <w:szCs w:val="24"/>
          <w:highlight w:val="none"/>
          <w:lang w:eastAsia="zh-CN"/>
          <w14:textFill>
            <w14:solidFill>
              <w14:schemeClr w14:val="tx1"/>
            </w14:solidFill>
          </w14:textFill>
        </w:rPr>
        <w:t>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w:t>
      </w:r>
      <w:r>
        <w:rPr>
          <w:rFonts w:hint="eastAsia" w:ascii="宋体" w:hAnsi="宋体"/>
          <w:color w:val="000000" w:themeColor="text1"/>
          <w:sz w:val="24"/>
          <w:szCs w:val="24"/>
          <w:highlight w:val="none"/>
          <w:lang w:eastAsia="zh-CN"/>
          <w14:textFill>
            <w14:solidFill>
              <w14:schemeClr w14:val="tx1"/>
            </w14:solidFill>
          </w14:textFill>
        </w:rPr>
        <w:t>3.2.1项约定的职责。承包人无正当理由拒绝更换项目经理的，应按照专用合同条款的约定承担违约责任。</w:t>
      </w:r>
    </w:p>
    <w:p w14:paraId="6A79EAF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6236E11C">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34" w:name="_Toc351203521"/>
      <w:r>
        <w:rPr>
          <w:rFonts w:ascii="宋体" w:hAnsi="宋体"/>
          <w:color w:val="000000" w:themeColor="text1"/>
          <w:sz w:val="24"/>
          <w:szCs w:val="24"/>
          <w:highlight w:val="none"/>
          <w:lang w:eastAsia="zh-CN"/>
          <w14:textFill>
            <w14:solidFill>
              <w14:schemeClr w14:val="tx1"/>
            </w14:solidFill>
          </w14:textFill>
        </w:rPr>
        <w:t>3</w:t>
      </w:r>
      <w:bookmarkStart w:id="135" w:name="_Toc296503048"/>
      <w:bookmarkStart w:id="136" w:name="_Toc296346549"/>
      <w:bookmarkStart w:id="137" w:name="_Toc337558749"/>
      <w:r>
        <w:rPr>
          <w:rFonts w:ascii="宋体" w:hAnsi="宋体"/>
          <w:color w:val="000000" w:themeColor="text1"/>
          <w:sz w:val="24"/>
          <w:szCs w:val="24"/>
          <w:highlight w:val="none"/>
          <w:lang w:eastAsia="zh-CN"/>
          <w14:textFill>
            <w14:solidFill>
              <w14:schemeClr w14:val="tx1"/>
            </w14:solidFill>
          </w14:textFill>
        </w:rPr>
        <w:t xml:space="preserve">.3 </w:t>
      </w:r>
      <w:bookmarkEnd w:id="135"/>
      <w:bookmarkEnd w:id="136"/>
      <w:r>
        <w:rPr>
          <w:rFonts w:hint="eastAsia" w:ascii="宋体" w:hAnsi="宋体"/>
          <w:color w:val="000000" w:themeColor="text1"/>
          <w:sz w:val="24"/>
          <w:szCs w:val="24"/>
          <w:highlight w:val="none"/>
          <w:lang w:eastAsia="zh-CN"/>
          <w14:textFill>
            <w14:solidFill>
              <w14:schemeClr w14:val="tx1"/>
            </w14:solidFill>
          </w14:textFill>
        </w:rPr>
        <w:t>承包人人员</w:t>
      </w:r>
      <w:bookmarkEnd w:id="134"/>
    </w:p>
    <w:bookmarkEnd w:id="137"/>
    <w:p w14:paraId="6E66ECE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3.3.1 </w:t>
      </w: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除专用合同条款另有约定外，承包人应在接到开工通知后</w:t>
      </w:r>
      <w:r>
        <w:rPr>
          <w:rFonts w:ascii="宋体" w:hAnsi="宋体"/>
          <w:color w:val="000000" w:themeColor="text1"/>
          <w:sz w:val="24"/>
          <w:szCs w:val="24"/>
          <w:highlight w:val="none"/>
          <w:lang w:eastAsia="zh-CN"/>
          <w14:textFill>
            <w14:solidFill>
              <w14:schemeClr w14:val="tx1"/>
            </w14:solidFill>
          </w14:textFill>
        </w:rPr>
        <w:t>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D9B2BD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3.3.2 </w:t>
      </w:r>
      <w:r>
        <w:rPr>
          <w:rFonts w:hint="eastAsia" w:ascii="宋体" w:hAnsi="宋体"/>
          <w:color w:val="000000" w:themeColor="text1"/>
          <w:sz w:val="24"/>
          <w:szCs w:val="24"/>
          <w:highlight w:val="none"/>
          <w:lang w:eastAsia="zh-CN"/>
          <w14:textFill>
            <w14:solidFill>
              <w14:schemeClr w14:val="tx1"/>
            </w14:solidFill>
          </w14:textFill>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color w:val="000000" w:themeColor="text1"/>
          <w:sz w:val="24"/>
          <w:szCs w:val="24"/>
          <w:highlight w:val="none"/>
          <w:lang w:eastAsia="zh-CN"/>
          <w14:textFill>
            <w14:solidFill>
              <w14:schemeClr w14:val="tx1"/>
            </w14:solidFill>
          </w14:textFill>
        </w:rPr>
        <w:t>7天书面通知监理人，并征得发包人书面同意。通知中应当载明继任人员的注册执业资格、管理经验等资料。</w:t>
      </w:r>
    </w:p>
    <w:p w14:paraId="44ECB8E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特殊工种作业人员均应持有相应的资格证明，监理人可以随时检查。</w:t>
      </w:r>
    </w:p>
    <w:p w14:paraId="487F71B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3.3.3 </w:t>
      </w:r>
      <w:r>
        <w:rPr>
          <w:rFonts w:hint="eastAsia" w:ascii="宋体" w:hAnsi="宋体"/>
          <w:color w:val="000000" w:themeColor="text1"/>
          <w:sz w:val="24"/>
          <w:szCs w:val="24"/>
          <w:highlight w:val="none"/>
          <w:lang w:eastAsia="zh-CN"/>
          <w14:textFill>
            <w14:solidFill>
              <w14:schemeClr w14:val="tx1"/>
            </w14:solidFill>
          </w14:textFill>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C3AE2A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3.3.4 </w:t>
      </w: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除专用合同条款另有约定外，承包人的主要施工管理人员离开施工现场每月累计不超过</w:t>
      </w:r>
      <w:r>
        <w:rPr>
          <w:rFonts w:ascii="宋体" w:hAnsi="宋体"/>
          <w:color w:val="000000" w:themeColor="text1"/>
          <w:sz w:val="24"/>
          <w:szCs w:val="24"/>
          <w:highlight w:val="none"/>
          <w:lang w:eastAsia="zh-CN"/>
          <w14:textFill>
            <w14:solidFill>
              <w14:schemeClr w14:val="tx1"/>
            </w14:solidFill>
          </w14:textFill>
        </w:rPr>
        <w:t>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A162B0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3.3.5 </w:t>
      </w:r>
      <w:r>
        <w:rPr>
          <w:rFonts w:hint="eastAsia" w:ascii="宋体" w:hAnsi="宋体"/>
          <w:color w:val="000000" w:themeColor="text1"/>
          <w:sz w:val="24"/>
          <w:szCs w:val="24"/>
          <w:highlight w:val="none"/>
          <w:lang w:eastAsia="zh-CN"/>
          <w14:textFill>
            <w14:solidFill>
              <w14:schemeClr w14:val="tx1"/>
            </w14:solidFill>
          </w14:textFill>
        </w:rPr>
        <w:t>承包人擅自更换主要施工管理人员，或前述人员未经监理人或发包人同意擅自离开施工现场的，应按照专用合同条款约定承担违约责任。</w:t>
      </w:r>
    </w:p>
    <w:p w14:paraId="1F7ECB1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38" w:name="_Toc351203522"/>
      <w:r>
        <w:rPr>
          <w:rFonts w:ascii="宋体" w:hAnsi="宋体"/>
          <w:color w:val="000000" w:themeColor="text1"/>
          <w:sz w:val="24"/>
          <w:szCs w:val="24"/>
          <w:highlight w:val="none"/>
          <w:lang w:eastAsia="zh-CN"/>
          <w14:textFill>
            <w14:solidFill>
              <w14:schemeClr w14:val="tx1"/>
            </w14:solidFill>
          </w14:textFill>
        </w:rPr>
        <w:t>3</w:t>
      </w:r>
      <w:bookmarkStart w:id="139" w:name="_Toc337558750"/>
      <w:bookmarkStart w:id="140" w:name="_Toc296503050"/>
      <w:bookmarkStart w:id="141" w:name="_Toc296346551"/>
      <w:r>
        <w:rPr>
          <w:rFonts w:ascii="宋体" w:hAnsi="宋体"/>
          <w:color w:val="000000" w:themeColor="text1"/>
          <w:sz w:val="24"/>
          <w:szCs w:val="24"/>
          <w:highlight w:val="none"/>
          <w:lang w:eastAsia="zh-CN"/>
          <w14:textFill>
            <w14:solidFill>
              <w14:schemeClr w14:val="tx1"/>
            </w14:solidFill>
          </w14:textFill>
        </w:rPr>
        <w:t xml:space="preserve">.4 </w:t>
      </w:r>
      <w:r>
        <w:rPr>
          <w:rFonts w:hint="eastAsia" w:ascii="宋体" w:hAnsi="宋体"/>
          <w:color w:val="000000" w:themeColor="text1"/>
          <w:sz w:val="24"/>
          <w:szCs w:val="24"/>
          <w:highlight w:val="none"/>
          <w:lang w:eastAsia="zh-CN"/>
          <w14:textFill>
            <w14:solidFill>
              <w14:schemeClr w14:val="tx1"/>
            </w14:solidFill>
          </w14:textFill>
        </w:rPr>
        <w:t>承包人现场查勘</w:t>
      </w:r>
      <w:bookmarkEnd w:id="138"/>
    </w:p>
    <w:bookmarkEnd w:id="139"/>
    <w:bookmarkEnd w:id="140"/>
    <w:bookmarkEnd w:id="141"/>
    <w:p w14:paraId="5E42401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承包人应对基于发包人按照第</w:t>
      </w:r>
      <w:r>
        <w:rPr>
          <w:rFonts w:ascii="宋体" w:hAnsi="宋体"/>
          <w:color w:val="000000" w:themeColor="text1"/>
          <w:sz w:val="24"/>
          <w:szCs w:val="24"/>
          <w:highlight w:val="none"/>
          <w:lang w:eastAsia="zh-CN"/>
          <w14:textFill>
            <w14:solidFill>
              <w14:schemeClr w14:val="tx1"/>
            </w14:solidFill>
          </w14:textFill>
        </w:rPr>
        <w:t>2.4.3项〔提供基础资料〕提交的基础资料所做出的解释和推断负责，但因基础资料存在错误、遗漏导致承包人解释或推断失实的，由发包人承担责任。</w:t>
      </w:r>
    </w:p>
    <w:p w14:paraId="2EA1B38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C7147F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42" w:name="_Toc351203523"/>
      <w:r>
        <w:rPr>
          <w:rFonts w:ascii="宋体" w:hAnsi="宋体"/>
          <w:color w:val="000000" w:themeColor="text1"/>
          <w:sz w:val="24"/>
          <w:szCs w:val="24"/>
          <w:highlight w:val="none"/>
          <w:lang w:eastAsia="zh-CN"/>
          <w14:textFill>
            <w14:solidFill>
              <w14:schemeClr w14:val="tx1"/>
            </w14:solidFill>
          </w14:textFill>
        </w:rPr>
        <w:t>3</w:t>
      </w:r>
      <w:bookmarkStart w:id="143" w:name="_Toc296346552"/>
      <w:bookmarkStart w:id="144" w:name="_Toc296503051"/>
      <w:bookmarkStart w:id="145" w:name="_Toc337558751"/>
      <w:r>
        <w:rPr>
          <w:rFonts w:ascii="宋体" w:hAnsi="宋体"/>
          <w:color w:val="000000" w:themeColor="text1"/>
          <w:sz w:val="24"/>
          <w:szCs w:val="24"/>
          <w:highlight w:val="none"/>
          <w:lang w:eastAsia="zh-CN"/>
          <w14:textFill>
            <w14:solidFill>
              <w14:schemeClr w14:val="tx1"/>
            </w14:solidFill>
          </w14:textFill>
        </w:rPr>
        <w:t xml:space="preserve">.5 </w:t>
      </w:r>
      <w:r>
        <w:rPr>
          <w:rFonts w:hint="eastAsia" w:ascii="宋体" w:hAnsi="宋体"/>
          <w:color w:val="000000" w:themeColor="text1"/>
          <w:sz w:val="24"/>
          <w:szCs w:val="24"/>
          <w:highlight w:val="none"/>
          <w:lang w:eastAsia="zh-CN"/>
          <w14:textFill>
            <w14:solidFill>
              <w14:schemeClr w14:val="tx1"/>
            </w14:solidFill>
          </w14:textFill>
        </w:rPr>
        <w:t>分包</w:t>
      </w:r>
      <w:bookmarkEnd w:id="142"/>
    </w:p>
    <w:bookmarkEnd w:id="143"/>
    <w:bookmarkEnd w:id="144"/>
    <w:bookmarkEnd w:id="145"/>
    <w:p w14:paraId="70E1B2B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3.5.1 </w:t>
      </w:r>
      <w:r>
        <w:rPr>
          <w:rFonts w:hint="eastAsia" w:ascii="宋体" w:hAnsi="宋体"/>
          <w:color w:val="000000" w:themeColor="text1"/>
          <w:sz w:val="24"/>
          <w:szCs w:val="24"/>
          <w:highlight w:val="none"/>
          <w:lang w:eastAsia="zh-CN"/>
          <w14:textFill>
            <w14:solidFill>
              <w14:schemeClr w14:val="tx1"/>
            </w14:solidFill>
          </w14:textFill>
        </w:rPr>
        <w:t>分包的一般约定</w:t>
      </w:r>
    </w:p>
    <w:p w14:paraId="1D92830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8B98E5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承包人不得以劳务分包的名义转包或违法分包工程。</w:t>
      </w:r>
    </w:p>
    <w:p w14:paraId="21958D0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3.5.2 </w:t>
      </w:r>
      <w:r>
        <w:rPr>
          <w:rFonts w:hint="eastAsia" w:ascii="宋体" w:hAnsi="宋体"/>
          <w:color w:val="000000" w:themeColor="text1"/>
          <w:sz w:val="24"/>
          <w:szCs w:val="24"/>
          <w:highlight w:val="none"/>
          <w:lang w:eastAsia="zh-CN"/>
          <w14:textFill>
            <w14:solidFill>
              <w14:schemeClr w14:val="tx1"/>
            </w14:solidFill>
          </w14:textFill>
        </w:rPr>
        <w:t>分包的确定</w:t>
      </w:r>
    </w:p>
    <w:p w14:paraId="0150D41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承包人应按专用合同条款的约定进行分包，确定分包人。已标价工程量清单或预算书中给定暂估价的专业工程，按照第</w:t>
      </w:r>
      <w:r>
        <w:rPr>
          <w:rFonts w:ascii="宋体" w:hAnsi="宋体"/>
          <w:color w:val="000000" w:themeColor="text1"/>
          <w:sz w:val="24"/>
          <w:szCs w:val="24"/>
          <w:highlight w:val="none"/>
          <w:lang w:eastAsia="zh-CN"/>
          <w14:textFill>
            <w14:solidFill>
              <w14:schemeClr w14:val="tx1"/>
            </w14:solidFill>
          </w14:textFill>
        </w:rPr>
        <w:t>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4E60C5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3.5.3 </w:t>
      </w:r>
      <w:r>
        <w:rPr>
          <w:rFonts w:hint="eastAsia" w:ascii="宋体" w:hAnsi="宋体"/>
          <w:color w:val="000000" w:themeColor="text1"/>
          <w:sz w:val="24"/>
          <w:szCs w:val="24"/>
          <w:highlight w:val="none"/>
          <w:lang w:eastAsia="zh-CN"/>
          <w14:textFill>
            <w14:solidFill>
              <w14:schemeClr w14:val="tx1"/>
            </w14:solidFill>
          </w14:textFill>
        </w:rPr>
        <w:t>分包管理</w:t>
      </w:r>
    </w:p>
    <w:p w14:paraId="58743B1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7E0C1D1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3.5.4 </w:t>
      </w:r>
      <w:r>
        <w:rPr>
          <w:rFonts w:hint="eastAsia" w:ascii="宋体" w:hAnsi="宋体"/>
          <w:color w:val="000000" w:themeColor="text1"/>
          <w:sz w:val="24"/>
          <w:szCs w:val="24"/>
          <w:highlight w:val="none"/>
          <w:lang w:eastAsia="zh-CN"/>
          <w14:textFill>
            <w14:solidFill>
              <w14:schemeClr w14:val="tx1"/>
            </w14:solidFill>
          </w14:textFill>
        </w:rPr>
        <w:t>分包合同价款</w:t>
      </w:r>
    </w:p>
    <w:p w14:paraId="31C4C5D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64E66B7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2）生效法律文书要求发包人向分包人支付分包合同价款的，发包人有权从应付承包人工程款中扣除该部分款项。</w:t>
      </w:r>
    </w:p>
    <w:p w14:paraId="76B6CF4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3.5.5 </w:t>
      </w:r>
      <w:r>
        <w:rPr>
          <w:rFonts w:hint="eastAsia" w:ascii="宋体" w:hAnsi="宋体"/>
          <w:color w:val="000000" w:themeColor="text1"/>
          <w:sz w:val="24"/>
          <w:szCs w:val="24"/>
          <w:highlight w:val="none"/>
          <w:lang w:eastAsia="zh-CN"/>
          <w14:textFill>
            <w14:solidFill>
              <w14:schemeClr w14:val="tx1"/>
            </w14:solidFill>
          </w14:textFill>
        </w:rPr>
        <w:t>分包合同权益的转让</w:t>
      </w:r>
    </w:p>
    <w:p w14:paraId="5E3B0FC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46" w:name="_Toc351203524"/>
    </w:p>
    <w:p w14:paraId="1AD9A45B">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3.6 </w:t>
      </w:r>
      <w:r>
        <w:rPr>
          <w:rFonts w:hint="eastAsia" w:ascii="宋体" w:hAnsi="宋体"/>
          <w:color w:val="000000" w:themeColor="text1"/>
          <w:sz w:val="24"/>
          <w:szCs w:val="24"/>
          <w:highlight w:val="none"/>
          <w:lang w:eastAsia="zh-CN"/>
          <w14:textFill>
            <w14:solidFill>
              <w14:schemeClr w14:val="tx1"/>
            </w14:solidFill>
          </w14:textFill>
        </w:rPr>
        <w:t>工程照管与成品、半成品保护</w:t>
      </w:r>
      <w:bookmarkEnd w:id="146"/>
    </w:p>
    <w:p w14:paraId="2A83071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7FB38A2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2）在承包人负责照管期间，因承包人原因造成工程、材料、工程设备损坏的，由承包人负责修复或更换，并承担由此增加的费用和（或）延误的工期。</w:t>
      </w:r>
    </w:p>
    <w:p w14:paraId="25C86FC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w:t>
      </w:r>
      <w:r>
        <w:rPr>
          <w:rFonts w:hint="eastAsia" w:ascii="宋体" w:hAnsi="宋体"/>
          <w:color w:val="000000" w:themeColor="text1"/>
          <w:sz w:val="24"/>
          <w:szCs w:val="24"/>
          <w:highlight w:val="none"/>
          <w:lang w:eastAsia="zh-CN"/>
          <w14:textFill>
            <w14:solidFill>
              <w14:schemeClr w14:val="tx1"/>
            </w14:solidFill>
          </w14:textFill>
        </w:rPr>
        <w:t>的费用和（或）延误的工期。</w:t>
      </w:r>
    </w:p>
    <w:p w14:paraId="157535A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47" w:name="_Toc351203525"/>
      <w:r>
        <w:rPr>
          <w:rFonts w:ascii="宋体" w:hAnsi="宋体"/>
          <w:color w:val="000000" w:themeColor="text1"/>
          <w:sz w:val="24"/>
          <w:szCs w:val="24"/>
          <w:highlight w:val="none"/>
          <w:lang w:eastAsia="zh-CN"/>
          <w14:textFill>
            <w14:solidFill>
              <w14:schemeClr w14:val="tx1"/>
            </w14:solidFill>
          </w14:textFill>
        </w:rPr>
        <w:t>3</w:t>
      </w:r>
      <w:bookmarkStart w:id="148" w:name="_Toc296503052"/>
      <w:bookmarkStart w:id="149" w:name="_Toc337558752"/>
      <w:bookmarkStart w:id="150" w:name="_Toc296346553"/>
      <w:r>
        <w:rPr>
          <w:rFonts w:ascii="宋体" w:hAnsi="宋体"/>
          <w:color w:val="000000" w:themeColor="text1"/>
          <w:sz w:val="24"/>
          <w:szCs w:val="24"/>
          <w:highlight w:val="none"/>
          <w:lang w:eastAsia="zh-CN"/>
          <w14:textFill>
            <w14:solidFill>
              <w14:schemeClr w14:val="tx1"/>
            </w14:solidFill>
          </w14:textFill>
        </w:rPr>
        <w:t xml:space="preserve">.7 </w:t>
      </w:r>
      <w:r>
        <w:rPr>
          <w:rFonts w:hint="eastAsia" w:ascii="宋体" w:hAnsi="宋体"/>
          <w:color w:val="000000" w:themeColor="text1"/>
          <w:sz w:val="24"/>
          <w:szCs w:val="24"/>
          <w:highlight w:val="none"/>
          <w:lang w:eastAsia="zh-CN"/>
          <w14:textFill>
            <w14:solidFill>
              <w14:schemeClr w14:val="tx1"/>
            </w14:solidFill>
          </w14:textFill>
        </w:rPr>
        <w:t>履约担保</w:t>
      </w:r>
      <w:bookmarkEnd w:id="147"/>
    </w:p>
    <w:bookmarkEnd w:id="148"/>
    <w:bookmarkEnd w:id="149"/>
    <w:bookmarkEnd w:id="150"/>
    <w:p w14:paraId="4C992EE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BA818F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6AD2DAE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51" w:name="_Toc351203526"/>
      <w:r>
        <w:rPr>
          <w:rFonts w:ascii="宋体" w:hAnsi="宋体"/>
          <w:color w:val="000000" w:themeColor="text1"/>
          <w:sz w:val="24"/>
          <w:szCs w:val="24"/>
          <w:highlight w:val="none"/>
          <w:lang w:eastAsia="zh-CN"/>
          <w14:textFill>
            <w14:solidFill>
              <w14:schemeClr w14:val="tx1"/>
            </w14:solidFill>
          </w14:textFill>
        </w:rPr>
        <w:t xml:space="preserve">3.8 </w:t>
      </w:r>
      <w:r>
        <w:rPr>
          <w:rFonts w:hint="eastAsia" w:ascii="宋体" w:hAnsi="宋体"/>
          <w:color w:val="000000" w:themeColor="text1"/>
          <w:sz w:val="24"/>
          <w:szCs w:val="24"/>
          <w:highlight w:val="none"/>
          <w:lang w:eastAsia="zh-CN"/>
          <w14:textFill>
            <w14:solidFill>
              <w14:schemeClr w14:val="tx1"/>
            </w14:solidFill>
          </w14:textFill>
        </w:rPr>
        <w:t>联合体</w:t>
      </w:r>
      <w:bookmarkEnd w:id="151"/>
    </w:p>
    <w:p w14:paraId="3623BC1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3.8.1 </w:t>
      </w:r>
      <w:r>
        <w:rPr>
          <w:rFonts w:hint="eastAsia" w:ascii="宋体" w:hAnsi="宋体"/>
          <w:color w:val="000000" w:themeColor="text1"/>
          <w:sz w:val="24"/>
          <w:szCs w:val="24"/>
          <w:highlight w:val="none"/>
          <w:lang w:eastAsia="zh-CN"/>
          <w14:textFill>
            <w14:solidFill>
              <w14:schemeClr w14:val="tx1"/>
            </w14:solidFill>
          </w14:textFill>
        </w:rPr>
        <w:t>联合体各方应共同与发包人签订合同协议书。联合体各方应为履行合同向发包人承担连带责任。</w:t>
      </w:r>
    </w:p>
    <w:p w14:paraId="13F3637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3.8.2 </w:t>
      </w:r>
      <w:r>
        <w:rPr>
          <w:rFonts w:hint="eastAsia" w:ascii="宋体" w:hAnsi="宋体"/>
          <w:color w:val="000000" w:themeColor="text1"/>
          <w:sz w:val="24"/>
          <w:szCs w:val="24"/>
          <w:highlight w:val="none"/>
          <w:lang w:eastAsia="zh-CN"/>
          <w14:textFill>
            <w14:solidFill>
              <w14:schemeClr w14:val="tx1"/>
            </w14:solidFill>
          </w14:textFill>
        </w:rPr>
        <w:t>联合体协议经发包人确认后作为合同附件。在履行合同过程中，未经发包人同意，不得修改联合体协议。</w:t>
      </w:r>
    </w:p>
    <w:p w14:paraId="7B3AE2E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3.8.3 </w:t>
      </w:r>
      <w:r>
        <w:rPr>
          <w:rFonts w:hint="eastAsia" w:ascii="宋体" w:hAnsi="宋体"/>
          <w:color w:val="000000" w:themeColor="text1"/>
          <w:sz w:val="24"/>
          <w:szCs w:val="24"/>
          <w:highlight w:val="none"/>
          <w:lang w:eastAsia="zh-CN"/>
          <w14:textFill>
            <w14:solidFill>
              <w14:schemeClr w14:val="tx1"/>
            </w14:solidFill>
          </w14:textFill>
        </w:rPr>
        <w:t>联合体牵头人负责与发包人和监理人联系，并接受指示，负责组织联合体各成员全面履行合同。</w:t>
      </w:r>
    </w:p>
    <w:p w14:paraId="1D1EC31B">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152" w:name="_Toc351203527"/>
      <w:r>
        <w:rPr>
          <w:b w:val="0"/>
          <w:color w:val="000000" w:themeColor="text1"/>
          <w:sz w:val="24"/>
          <w:szCs w:val="24"/>
          <w:highlight w:val="none"/>
          <w:lang w:eastAsia="zh-CN"/>
          <w14:textFill>
            <w14:solidFill>
              <w14:schemeClr w14:val="tx1"/>
            </w14:solidFill>
          </w14:textFill>
        </w:rPr>
        <w:t>4</w:t>
      </w:r>
      <w:bookmarkStart w:id="153" w:name="_Toc296346554"/>
      <w:bookmarkStart w:id="154" w:name="_Toc296503053"/>
      <w:bookmarkStart w:id="155" w:name="_Toc337558753"/>
      <w:r>
        <w:rPr>
          <w:b w:val="0"/>
          <w:color w:val="000000" w:themeColor="text1"/>
          <w:sz w:val="24"/>
          <w:szCs w:val="24"/>
          <w:highlight w:val="none"/>
          <w:lang w:eastAsia="zh-CN"/>
          <w14:textFill>
            <w14:solidFill>
              <w14:schemeClr w14:val="tx1"/>
            </w14:solidFill>
          </w14:textFill>
        </w:rPr>
        <w:t xml:space="preserve">. </w:t>
      </w:r>
      <w:r>
        <w:rPr>
          <w:rFonts w:hint="eastAsia"/>
          <w:b w:val="0"/>
          <w:color w:val="000000" w:themeColor="text1"/>
          <w:sz w:val="24"/>
          <w:szCs w:val="24"/>
          <w:highlight w:val="none"/>
          <w:lang w:eastAsia="zh-CN"/>
          <w14:textFill>
            <w14:solidFill>
              <w14:schemeClr w14:val="tx1"/>
            </w14:solidFill>
          </w14:textFill>
        </w:rPr>
        <w:t>监</w:t>
      </w:r>
      <w:bookmarkEnd w:id="153"/>
      <w:bookmarkEnd w:id="154"/>
      <w:r>
        <w:rPr>
          <w:rFonts w:hint="eastAsia"/>
          <w:b w:val="0"/>
          <w:color w:val="000000" w:themeColor="text1"/>
          <w:sz w:val="24"/>
          <w:szCs w:val="24"/>
          <w:highlight w:val="none"/>
          <w:lang w:eastAsia="zh-CN"/>
          <w14:textFill>
            <w14:solidFill>
              <w14:schemeClr w14:val="tx1"/>
            </w14:solidFill>
          </w14:textFill>
        </w:rPr>
        <w:t>理人</w:t>
      </w:r>
      <w:bookmarkEnd w:id="152"/>
    </w:p>
    <w:bookmarkEnd w:id="155"/>
    <w:p w14:paraId="402FB5E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56" w:name="_Toc351203528"/>
      <w:r>
        <w:rPr>
          <w:rFonts w:ascii="宋体" w:hAnsi="宋体"/>
          <w:color w:val="000000" w:themeColor="text1"/>
          <w:sz w:val="24"/>
          <w:szCs w:val="24"/>
          <w:highlight w:val="none"/>
          <w:lang w:eastAsia="zh-CN"/>
          <w14:textFill>
            <w14:solidFill>
              <w14:schemeClr w14:val="tx1"/>
            </w14:solidFill>
          </w14:textFill>
        </w:rPr>
        <w:t>4</w:t>
      </w:r>
      <w:bookmarkStart w:id="157" w:name="_Toc296503054"/>
      <w:bookmarkStart w:id="158" w:name="_Toc296346555"/>
      <w:bookmarkStart w:id="159" w:name="_Toc337558754"/>
      <w:r>
        <w:rPr>
          <w:rFonts w:ascii="宋体" w:hAnsi="宋体"/>
          <w:color w:val="000000" w:themeColor="text1"/>
          <w:sz w:val="24"/>
          <w:szCs w:val="24"/>
          <w:highlight w:val="none"/>
          <w:lang w:eastAsia="zh-CN"/>
          <w14:textFill>
            <w14:solidFill>
              <w14:schemeClr w14:val="tx1"/>
            </w14:solidFill>
          </w14:textFill>
        </w:rPr>
        <w:t>.1监理人的一般规定</w:t>
      </w:r>
      <w:bookmarkEnd w:id="156"/>
    </w:p>
    <w:bookmarkEnd w:id="157"/>
    <w:bookmarkEnd w:id="158"/>
    <w:bookmarkEnd w:id="159"/>
    <w:p w14:paraId="0162499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2AEFF0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除专用合同条款另有约定外，监理人在施工现场的办公场所、生活场所由承包人提供，所发生的费用由发包人承担。</w:t>
      </w:r>
    </w:p>
    <w:p w14:paraId="7E7B689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60" w:name="_Toc351203529"/>
      <w:r>
        <w:rPr>
          <w:rFonts w:ascii="宋体" w:hAnsi="宋体"/>
          <w:color w:val="000000" w:themeColor="text1"/>
          <w:sz w:val="24"/>
          <w:szCs w:val="24"/>
          <w:highlight w:val="none"/>
          <w:lang w:eastAsia="zh-CN"/>
          <w14:textFill>
            <w14:solidFill>
              <w14:schemeClr w14:val="tx1"/>
            </w14:solidFill>
          </w14:textFill>
        </w:rPr>
        <w:t>4</w:t>
      </w:r>
      <w:bookmarkStart w:id="161" w:name="_Toc337558755"/>
      <w:r>
        <w:rPr>
          <w:rFonts w:ascii="宋体" w:hAnsi="宋体"/>
          <w:color w:val="000000" w:themeColor="text1"/>
          <w:sz w:val="24"/>
          <w:szCs w:val="24"/>
          <w:highlight w:val="none"/>
          <w:lang w:eastAsia="zh-CN"/>
          <w14:textFill>
            <w14:solidFill>
              <w14:schemeClr w14:val="tx1"/>
            </w14:solidFill>
          </w14:textFill>
        </w:rPr>
        <w:t>.2监理人员</w:t>
      </w:r>
      <w:bookmarkEnd w:id="160"/>
    </w:p>
    <w:bookmarkEnd w:id="161"/>
    <w:p w14:paraId="5F68708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color w:val="000000" w:themeColor="text1"/>
          <w:sz w:val="24"/>
          <w:szCs w:val="24"/>
          <w:highlight w:val="none"/>
          <w:lang w:eastAsia="zh-CN"/>
          <w14:textFill>
            <w14:solidFill>
              <w14:schemeClr w14:val="tx1"/>
            </w14:solidFill>
          </w14:textFill>
        </w:rPr>
        <w:t>7天书面通知承包人；更换其他监理人员，监理人应提前48小时书面通知承包人。</w:t>
      </w:r>
    </w:p>
    <w:p w14:paraId="44B1395E">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62" w:name="_Toc351203530"/>
      <w:r>
        <w:rPr>
          <w:rFonts w:ascii="宋体" w:hAnsi="宋体"/>
          <w:color w:val="000000" w:themeColor="text1"/>
          <w:sz w:val="24"/>
          <w:szCs w:val="24"/>
          <w:highlight w:val="none"/>
          <w:lang w:eastAsia="zh-CN"/>
          <w14:textFill>
            <w14:solidFill>
              <w14:schemeClr w14:val="tx1"/>
            </w14:solidFill>
          </w14:textFill>
        </w:rPr>
        <w:t>4</w:t>
      </w:r>
      <w:bookmarkStart w:id="163" w:name="_Toc296503055"/>
      <w:bookmarkStart w:id="164" w:name="_Toc296346556"/>
      <w:bookmarkStart w:id="165" w:name="_Toc337558756"/>
      <w:r>
        <w:rPr>
          <w:rFonts w:ascii="宋体" w:hAnsi="宋体"/>
          <w:color w:val="000000" w:themeColor="text1"/>
          <w:sz w:val="24"/>
          <w:szCs w:val="24"/>
          <w:highlight w:val="none"/>
          <w:lang w:eastAsia="zh-CN"/>
          <w14:textFill>
            <w14:solidFill>
              <w14:schemeClr w14:val="tx1"/>
            </w14:solidFill>
          </w14:textFill>
        </w:rPr>
        <w:t>.3</w:t>
      </w:r>
      <w:bookmarkEnd w:id="163"/>
      <w:bookmarkEnd w:id="164"/>
      <w:r>
        <w:rPr>
          <w:rFonts w:hint="eastAsia" w:ascii="宋体" w:hAnsi="宋体"/>
          <w:color w:val="000000" w:themeColor="text1"/>
          <w:sz w:val="24"/>
          <w:szCs w:val="24"/>
          <w:highlight w:val="none"/>
          <w:lang w:eastAsia="zh-CN"/>
          <w14:textFill>
            <w14:solidFill>
              <w14:schemeClr w14:val="tx1"/>
            </w14:solidFill>
          </w14:textFill>
        </w:rPr>
        <w:t>监理人的指</w:t>
      </w:r>
      <w:bookmarkEnd w:id="165"/>
      <w:r>
        <w:rPr>
          <w:rFonts w:hint="eastAsia" w:ascii="宋体" w:hAnsi="宋体"/>
          <w:color w:val="000000" w:themeColor="text1"/>
          <w:sz w:val="24"/>
          <w:szCs w:val="24"/>
          <w:highlight w:val="none"/>
          <w:lang w:eastAsia="zh-CN"/>
          <w14:textFill>
            <w14:solidFill>
              <w14:schemeClr w14:val="tx1"/>
            </w14:solidFill>
          </w14:textFill>
        </w:rPr>
        <w:t>示</w:t>
      </w:r>
      <w:bookmarkEnd w:id="162"/>
    </w:p>
    <w:p w14:paraId="5DF2949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宋体" w:hAnsi="宋体"/>
          <w:color w:val="000000" w:themeColor="text1"/>
          <w:sz w:val="24"/>
          <w:szCs w:val="24"/>
          <w:highlight w:val="none"/>
          <w:lang w:eastAsia="zh-CN"/>
          <w14:textFill>
            <w14:solidFill>
              <w14:schemeClr w14:val="tx1"/>
            </w14:solidFill>
          </w14:textFill>
        </w:rPr>
        <w:t>24小时内补发书面监理指示，补发的书面监理指示应与口头指示一致。</w:t>
      </w:r>
    </w:p>
    <w:p w14:paraId="3E3ACBE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70AD4A7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430E802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1E568E8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66" w:name="_Toc351203531"/>
      <w:r>
        <w:rPr>
          <w:rFonts w:hint="eastAsia" w:ascii="宋体" w:hAnsi="宋体"/>
          <w:color w:val="000000" w:themeColor="text1"/>
          <w:sz w:val="24"/>
          <w:szCs w:val="24"/>
          <w:highlight w:val="none"/>
          <w:lang w:eastAsia="zh-CN"/>
          <w14:textFill>
            <w14:solidFill>
              <w14:schemeClr w14:val="tx1"/>
            </w14:solidFill>
          </w14:textFill>
        </w:rPr>
        <w:t>4</w:t>
      </w:r>
      <w:bookmarkStart w:id="167" w:name="_Toc296503057"/>
      <w:bookmarkStart w:id="168" w:name="_Toc337558757"/>
      <w:bookmarkStart w:id="169" w:name="_Toc296346558"/>
      <w:r>
        <w:rPr>
          <w:rFonts w:hint="eastAsia" w:ascii="宋体" w:hAnsi="宋体"/>
          <w:color w:val="000000" w:themeColor="text1"/>
          <w:sz w:val="24"/>
          <w:szCs w:val="24"/>
          <w:highlight w:val="none"/>
          <w:lang w:eastAsia="zh-CN"/>
          <w14:textFill>
            <w14:solidFill>
              <w14:schemeClr w14:val="tx1"/>
            </w14:solidFill>
          </w14:textFill>
        </w:rPr>
        <w:t>.4 商定或确定</w:t>
      </w:r>
      <w:bookmarkEnd w:id="166"/>
    </w:p>
    <w:bookmarkEnd w:id="167"/>
    <w:bookmarkEnd w:id="168"/>
    <w:bookmarkEnd w:id="169"/>
    <w:p w14:paraId="79A6229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7589BD0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0252B47">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170" w:name="_Toc351203532"/>
      <w:r>
        <w:rPr>
          <w:rFonts w:hint="eastAsia"/>
          <w:b w:val="0"/>
          <w:color w:val="000000" w:themeColor="text1"/>
          <w:sz w:val="24"/>
          <w:szCs w:val="24"/>
          <w:highlight w:val="none"/>
          <w:lang w:eastAsia="zh-CN"/>
          <w14:textFill>
            <w14:solidFill>
              <w14:schemeClr w14:val="tx1"/>
            </w14:solidFill>
          </w14:textFill>
        </w:rPr>
        <w:t>5</w:t>
      </w:r>
      <w:bookmarkStart w:id="171" w:name="_Toc337558758"/>
      <w:r>
        <w:rPr>
          <w:rFonts w:hint="eastAsia"/>
          <w:b w:val="0"/>
          <w:color w:val="000000" w:themeColor="text1"/>
          <w:sz w:val="24"/>
          <w:szCs w:val="24"/>
          <w:highlight w:val="none"/>
          <w:lang w:eastAsia="zh-CN"/>
          <w14:textFill>
            <w14:solidFill>
              <w14:schemeClr w14:val="tx1"/>
            </w14:solidFill>
          </w14:textFill>
        </w:rPr>
        <w:t>. 工程质量</w:t>
      </w:r>
      <w:bookmarkEnd w:id="170"/>
    </w:p>
    <w:bookmarkEnd w:id="171"/>
    <w:p w14:paraId="6CFA212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72" w:name="_Toc351203533"/>
      <w:r>
        <w:rPr>
          <w:rFonts w:hint="eastAsia" w:ascii="宋体" w:hAnsi="宋体"/>
          <w:color w:val="000000" w:themeColor="text1"/>
          <w:sz w:val="24"/>
          <w:szCs w:val="24"/>
          <w:highlight w:val="none"/>
          <w:lang w:eastAsia="zh-CN"/>
          <w14:textFill>
            <w14:solidFill>
              <w14:schemeClr w14:val="tx1"/>
            </w14:solidFill>
          </w14:textFill>
        </w:rPr>
        <w:t>5</w:t>
      </w:r>
      <w:bookmarkStart w:id="173" w:name="_Toc337558759"/>
      <w:r>
        <w:rPr>
          <w:rFonts w:hint="eastAsia" w:ascii="宋体" w:hAnsi="宋体"/>
          <w:color w:val="000000" w:themeColor="text1"/>
          <w:sz w:val="24"/>
          <w:szCs w:val="24"/>
          <w:highlight w:val="none"/>
          <w:lang w:eastAsia="zh-CN"/>
          <w14:textFill>
            <w14:solidFill>
              <w14:schemeClr w14:val="tx1"/>
            </w14:solidFill>
          </w14:textFill>
        </w:rPr>
        <w:t>.1质量要求</w:t>
      </w:r>
      <w:bookmarkEnd w:id="172"/>
    </w:p>
    <w:bookmarkEnd w:id="173"/>
    <w:p w14:paraId="52D5BCC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6CB773A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5.1.2 因发包人原因造成工程质量未达到合同约定标准的，由发包人承担由此增加的费用和（或）延误的工期，并支付承包人合理的利润。</w:t>
      </w:r>
    </w:p>
    <w:p w14:paraId="54DCE6A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398A2B0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74" w:name="_Toc351203534"/>
      <w:r>
        <w:rPr>
          <w:rFonts w:hint="eastAsia" w:ascii="宋体" w:hAnsi="宋体"/>
          <w:color w:val="000000" w:themeColor="text1"/>
          <w:sz w:val="24"/>
          <w:szCs w:val="24"/>
          <w:highlight w:val="none"/>
          <w:lang w:eastAsia="zh-CN"/>
          <w14:textFill>
            <w14:solidFill>
              <w14:schemeClr w14:val="tx1"/>
            </w14:solidFill>
          </w14:textFill>
        </w:rPr>
        <w:t>5</w:t>
      </w:r>
      <w:bookmarkStart w:id="175" w:name="_Toc337558760"/>
      <w:r>
        <w:rPr>
          <w:rFonts w:hint="eastAsia" w:ascii="宋体" w:hAnsi="宋体"/>
          <w:color w:val="000000" w:themeColor="text1"/>
          <w:sz w:val="24"/>
          <w:szCs w:val="24"/>
          <w:highlight w:val="none"/>
          <w:lang w:eastAsia="zh-CN"/>
          <w14:textFill>
            <w14:solidFill>
              <w14:schemeClr w14:val="tx1"/>
            </w14:solidFill>
          </w14:textFill>
        </w:rPr>
        <w:t>.2质量保证措施</w:t>
      </w:r>
      <w:bookmarkEnd w:id="174"/>
    </w:p>
    <w:bookmarkEnd w:id="175"/>
    <w:p w14:paraId="04A17D8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5.2.1 发包人的质量管理</w:t>
      </w:r>
    </w:p>
    <w:p w14:paraId="4258FFD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发包人应按照法律规定及合同约定完成与工程质量有关的各项工作。</w:t>
      </w:r>
    </w:p>
    <w:p w14:paraId="6B5C324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5.2.2 承包人的质量管理</w:t>
      </w:r>
    </w:p>
    <w:p w14:paraId="4B02813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A244C0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承包人应对施工人员进行质量教育和技术培训，定期考核施工人员的劳动技能，严格执行施工规范和操作规程。</w:t>
      </w:r>
    </w:p>
    <w:p w14:paraId="1D85D76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2A6487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5.2.3 监理人的质量检查和检验</w:t>
      </w:r>
    </w:p>
    <w:p w14:paraId="3037BFB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5C2EDA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2240A85">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76" w:name="_Toc351203535"/>
      <w:r>
        <w:rPr>
          <w:rFonts w:hint="eastAsia" w:ascii="宋体" w:hAnsi="宋体"/>
          <w:color w:val="000000" w:themeColor="text1"/>
          <w:sz w:val="24"/>
          <w:szCs w:val="24"/>
          <w:highlight w:val="none"/>
          <w:lang w:eastAsia="zh-CN"/>
          <w14:textFill>
            <w14:solidFill>
              <w14:schemeClr w14:val="tx1"/>
            </w14:solidFill>
          </w14:textFill>
        </w:rPr>
        <w:t>5</w:t>
      </w:r>
      <w:bookmarkStart w:id="177" w:name="_Toc337558761"/>
      <w:r>
        <w:rPr>
          <w:rFonts w:hint="eastAsia" w:ascii="宋体" w:hAnsi="宋体"/>
          <w:color w:val="000000" w:themeColor="text1"/>
          <w:sz w:val="24"/>
          <w:szCs w:val="24"/>
          <w:highlight w:val="none"/>
          <w:lang w:eastAsia="zh-CN"/>
          <w14:textFill>
            <w14:solidFill>
              <w14:schemeClr w14:val="tx1"/>
            </w14:solidFill>
          </w14:textFill>
        </w:rPr>
        <w:t>.3 隐蔽工程检查</w:t>
      </w:r>
      <w:bookmarkEnd w:id="176"/>
    </w:p>
    <w:bookmarkEnd w:id="177"/>
    <w:p w14:paraId="3BB4448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5.3.1承包人自检</w:t>
      </w:r>
    </w:p>
    <w:p w14:paraId="0DB6532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承包人应当对工程隐蔽部位进行自检，并经自检确认是否具备覆盖条件。</w:t>
      </w:r>
    </w:p>
    <w:p w14:paraId="269FE02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5.3.2检查程序</w:t>
      </w:r>
    </w:p>
    <w:p w14:paraId="5E67C0E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D5FBA8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C84974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5AB5EE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5.3.3 重新检查</w:t>
      </w:r>
    </w:p>
    <w:p w14:paraId="0A645FB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7B8D83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5.3.4 承包人私自覆盖</w:t>
      </w:r>
    </w:p>
    <w:p w14:paraId="194C26B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1976788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78" w:name="_Toc351203536"/>
      <w:r>
        <w:rPr>
          <w:rFonts w:hint="eastAsia" w:ascii="宋体" w:hAnsi="宋体"/>
          <w:color w:val="000000" w:themeColor="text1"/>
          <w:sz w:val="24"/>
          <w:szCs w:val="24"/>
          <w:highlight w:val="none"/>
          <w:lang w:eastAsia="zh-CN"/>
          <w14:textFill>
            <w14:solidFill>
              <w14:schemeClr w14:val="tx1"/>
            </w14:solidFill>
          </w14:textFill>
        </w:rPr>
        <w:t>5</w:t>
      </w:r>
      <w:bookmarkStart w:id="179" w:name="_Toc337558762"/>
      <w:r>
        <w:rPr>
          <w:rFonts w:hint="eastAsia" w:ascii="宋体" w:hAnsi="宋体"/>
          <w:color w:val="000000" w:themeColor="text1"/>
          <w:sz w:val="24"/>
          <w:szCs w:val="24"/>
          <w:highlight w:val="none"/>
          <w:lang w:eastAsia="zh-CN"/>
          <w14:textFill>
            <w14:solidFill>
              <w14:schemeClr w14:val="tx1"/>
            </w14:solidFill>
          </w14:textFill>
        </w:rPr>
        <w:t>.4不合格工程的处理</w:t>
      </w:r>
      <w:bookmarkEnd w:id="178"/>
    </w:p>
    <w:bookmarkEnd w:id="179"/>
    <w:p w14:paraId="70F9928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178131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5.4.2 因发包人原因造成工程不合格的，由此增加的费用和（或）延误的工期由发包人承担，并支付承包人合理的利润。</w:t>
      </w:r>
    </w:p>
    <w:p w14:paraId="6680907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80" w:name="_Toc351203537"/>
      <w:r>
        <w:rPr>
          <w:rFonts w:hint="eastAsia" w:ascii="宋体" w:hAnsi="宋体"/>
          <w:color w:val="000000" w:themeColor="text1"/>
          <w:sz w:val="24"/>
          <w:szCs w:val="24"/>
          <w:highlight w:val="none"/>
          <w:lang w:eastAsia="zh-CN"/>
          <w14:textFill>
            <w14:solidFill>
              <w14:schemeClr w14:val="tx1"/>
            </w14:solidFill>
          </w14:textFill>
        </w:rPr>
        <w:t>5.5 质量争议检测</w:t>
      </w:r>
      <w:bookmarkEnd w:id="180"/>
    </w:p>
    <w:p w14:paraId="6D326FB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合同当事人对工程质量有争议的，由双方协商确定的工程质量检测机构鉴定，由此产生的费用及因此造成的损失，由责任方承担。</w:t>
      </w:r>
    </w:p>
    <w:p w14:paraId="42F53E9D">
      <w:pPr>
        <w:autoSpaceDE w:val="0"/>
        <w:autoSpaceDN w:val="0"/>
        <w:adjustRightInd w:val="0"/>
        <w:spacing w:line="360" w:lineRule="auto"/>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合同当事人均有责任的，由双方根据其责任分别承担。合同当事人无法达成一致的，按照第4.4款〔商定或确定〕执行。</w:t>
      </w:r>
    </w:p>
    <w:p w14:paraId="556FD33E">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181" w:name="_Toc351203538"/>
      <w:r>
        <w:rPr>
          <w:rFonts w:hint="eastAsia"/>
          <w:b w:val="0"/>
          <w:color w:val="000000" w:themeColor="text1"/>
          <w:sz w:val="24"/>
          <w:szCs w:val="24"/>
          <w:highlight w:val="none"/>
          <w:lang w:eastAsia="zh-CN"/>
          <w14:textFill>
            <w14:solidFill>
              <w14:schemeClr w14:val="tx1"/>
            </w14:solidFill>
          </w14:textFill>
        </w:rPr>
        <w:t>6</w:t>
      </w:r>
      <w:bookmarkStart w:id="182" w:name="_Toc337558763"/>
      <w:r>
        <w:rPr>
          <w:rFonts w:hint="eastAsia"/>
          <w:b w:val="0"/>
          <w:color w:val="000000" w:themeColor="text1"/>
          <w:sz w:val="24"/>
          <w:szCs w:val="24"/>
          <w:highlight w:val="none"/>
          <w:lang w:eastAsia="zh-CN"/>
          <w14:textFill>
            <w14:solidFill>
              <w14:schemeClr w14:val="tx1"/>
            </w14:solidFill>
          </w14:textFill>
        </w:rPr>
        <w:t>. 安全文明施工与环境保护</w:t>
      </w:r>
      <w:bookmarkEnd w:id="181"/>
    </w:p>
    <w:bookmarkEnd w:id="182"/>
    <w:p w14:paraId="3E07D2EE">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83" w:name="_Toc351203539"/>
      <w:r>
        <w:rPr>
          <w:rFonts w:hint="eastAsia" w:ascii="宋体" w:hAnsi="宋体"/>
          <w:color w:val="000000" w:themeColor="text1"/>
          <w:sz w:val="24"/>
          <w:szCs w:val="24"/>
          <w:highlight w:val="none"/>
          <w:lang w:eastAsia="zh-CN"/>
          <w14:textFill>
            <w14:solidFill>
              <w14:schemeClr w14:val="tx1"/>
            </w14:solidFill>
          </w14:textFill>
        </w:rPr>
        <w:t>6</w:t>
      </w:r>
      <w:bookmarkStart w:id="184" w:name="_Toc337558764"/>
      <w:r>
        <w:rPr>
          <w:rFonts w:hint="eastAsia" w:ascii="宋体" w:hAnsi="宋体"/>
          <w:color w:val="000000" w:themeColor="text1"/>
          <w:sz w:val="24"/>
          <w:szCs w:val="24"/>
          <w:highlight w:val="none"/>
          <w:lang w:eastAsia="zh-CN"/>
          <w14:textFill>
            <w14:solidFill>
              <w14:schemeClr w14:val="tx1"/>
            </w14:solidFill>
          </w14:textFill>
        </w:rPr>
        <w:t>.1安全文明施工</w:t>
      </w:r>
      <w:bookmarkEnd w:id="183"/>
    </w:p>
    <w:bookmarkEnd w:id="184"/>
    <w:p w14:paraId="4D33D36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6.1.1安全生产要求</w:t>
      </w:r>
    </w:p>
    <w:p w14:paraId="5841A8D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9F780E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5718B8E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因安全生产需要暂停施工的，按照第7.8款〔暂停施工〕的约定执行。</w:t>
      </w:r>
    </w:p>
    <w:p w14:paraId="6A79EBA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6.1.2 安全生产保证措施</w:t>
      </w:r>
    </w:p>
    <w:p w14:paraId="625243E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0904C84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6.1.3特别安全生产事项</w:t>
      </w:r>
    </w:p>
    <w:p w14:paraId="1783CB7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622851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14:paraId="6559189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2611A3D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0DC7250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6.1.4 治安保卫</w:t>
      </w:r>
    </w:p>
    <w:p w14:paraId="2BE55B8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18F55B4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17BAA73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EAD408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6.1.5 文明施工</w:t>
      </w:r>
    </w:p>
    <w:p w14:paraId="079104D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1743DF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37A28F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6.1.6 安全文明施工费</w:t>
      </w:r>
    </w:p>
    <w:p w14:paraId="4082455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60AB5B5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8DB398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D3A904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ABD383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6.1.7 紧急情况处理</w:t>
      </w:r>
    </w:p>
    <w:p w14:paraId="5822D37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B17B0F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6.1.8 事故处理</w:t>
      </w:r>
    </w:p>
    <w:p w14:paraId="66EC855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AC4286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6.1.9 安全生产责任</w:t>
      </w:r>
    </w:p>
    <w:p w14:paraId="724DFFE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6.1.9.1 发包人的安全责任</w:t>
      </w:r>
    </w:p>
    <w:p w14:paraId="355F4BF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发包人应负责赔偿以下各种情况造成的损失：</w:t>
      </w:r>
    </w:p>
    <w:p w14:paraId="23F2E12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（1）工程或工程的任何部分对土地的占用所造成的第三者财产损失；</w:t>
      </w:r>
    </w:p>
    <w:p w14:paraId="37B58B5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（2）由于发包人原因在施工场地及其毗邻地带造成的第三者人身伤亡和财产损失；</w:t>
      </w:r>
    </w:p>
    <w:p w14:paraId="4AB0269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（3）由于发包人原因对承包人、监理人造成的人员人身伤亡和财产损失；</w:t>
      </w:r>
    </w:p>
    <w:p w14:paraId="62C5EE8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（4）由于发包人原因造成的发包人自身人员的人身伤害以及财产损失。</w:t>
      </w:r>
    </w:p>
    <w:p w14:paraId="5E5BE82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6.1.9.2 承包人的安全责任</w:t>
      </w:r>
    </w:p>
    <w:p w14:paraId="06E56AA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由于承包人原因在施工场地内及其毗邻地带造成的发包人、监理人以及第三者人员伤亡和财产损失，由承包人负责赔偿。</w:t>
      </w:r>
    </w:p>
    <w:p w14:paraId="2A3A07CD">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85" w:name="_Toc351203540"/>
      <w:r>
        <w:rPr>
          <w:rFonts w:hint="eastAsia" w:ascii="宋体" w:hAnsi="宋体"/>
          <w:color w:val="000000" w:themeColor="text1"/>
          <w:sz w:val="24"/>
          <w:szCs w:val="24"/>
          <w:highlight w:val="none"/>
          <w:lang w:eastAsia="zh-CN"/>
          <w14:textFill>
            <w14:solidFill>
              <w14:schemeClr w14:val="tx1"/>
            </w14:solidFill>
          </w14:textFill>
        </w:rPr>
        <w:t>6</w:t>
      </w:r>
      <w:bookmarkStart w:id="186" w:name="_Toc337558765"/>
      <w:r>
        <w:rPr>
          <w:rFonts w:hint="eastAsia" w:ascii="宋体" w:hAnsi="宋体"/>
          <w:color w:val="000000" w:themeColor="text1"/>
          <w:sz w:val="24"/>
          <w:szCs w:val="24"/>
          <w:highlight w:val="none"/>
          <w:lang w:eastAsia="zh-CN"/>
          <w14:textFill>
            <w14:solidFill>
              <w14:schemeClr w14:val="tx1"/>
            </w14:solidFill>
          </w14:textFill>
        </w:rPr>
        <w:t>.2 职业健康</w:t>
      </w:r>
      <w:bookmarkEnd w:id="185"/>
    </w:p>
    <w:bookmarkEnd w:id="186"/>
    <w:p w14:paraId="0F4A099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6.2.1 劳动保护</w:t>
      </w:r>
    </w:p>
    <w:p w14:paraId="265F59C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302D77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F0FE8D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70642AF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6.2.2 生活条件</w:t>
      </w:r>
    </w:p>
    <w:p w14:paraId="4DD11BA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1F7C82">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87" w:name="_Toc351203541"/>
      <w:r>
        <w:rPr>
          <w:rFonts w:hint="eastAsia" w:ascii="宋体" w:hAnsi="宋体"/>
          <w:color w:val="000000" w:themeColor="text1"/>
          <w:sz w:val="24"/>
          <w:szCs w:val="24"/>
          <w:highlight w:val="none"/>
          <w:lang w:eastAsia="zh-CN"/>
          <w14:textFill>
            <w14:solidFill>
              <w14:schemeClr w14:val="tx1"/>
            </w14:solidFill>
          </w14:textFill>
        </w:rPr>
        <w:t>6</w:t>
      </w:r>
      <w:bookmarkStart w:id="188" w:name="_Toc337558766"/>
      <w:r>
        <w:rPr>
          <w:rFonts w:hint="eastAsia" w:ascii="宋体" w:hAnsi="宋体"/>
          <w:color w:val="000000" w:themeColor="text1"/>
          <w:sz w:val="24"/>
          <w:szCs w:val="24"/>
          <w:highlight w:val="none"/>
          <w:lang w:eastAsia="zh-CN"/>
          <w14:textFill>
            <w14:solidFill>
              <w14:schemeClr w14:val="tx1"/>
            </w14:solidFill>
          </w14:textFill>
        </w:rPr>
        <w:t>.3 环境保护</w:t>
      </w:r>
      <w:bookmarkEnd w:id="187"/>
    </w:p>
    <w:bookmarkEnd w:id="188"/>
    <w:p w14:paraId="54F87E1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C0908C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61A363E8">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189" w:name="_Toc351203542"/>
      <w:r>
        <w:rPr>
          <w:rFonts w:hint="eastAsia"/>
          <w:b w:val="0"/>
          <w:color w:val="000000" w:themeColor="text1"/>
          <w:sz w:val="24"/>
          <w:szCs w:val="24"/>
          <w:highlight w:val="none"/>
          <w:lang w:eastAsia="zh-CN"/>
          <w14:textFill>
            <w14:solidFill>
              <w14:schemeClr w14:val="tx1"/>
            </w14:solidFill>
          </w14:textFill>
        </w:rPr>
        <w:t>7</w:t>
      </w:r>
      <w:bookmarkStart w:id="190" w:name="_Toc337558767"/>
      <w:r>
        <w:rPr>
          <w:rFonts w:hint="eastAsia"/>
          <w:b w:val="0"/>
          <w:color w:val="000000" w:themeColor="text1"/>
          <w:sz w:val="24"/>
          <w:szCs w:val="24"/>
          <w:highlight w:val="none"/>
          <w:lang w:eastAsia="zh-CN"/>
          <w14:textFill>
            <w14:solidFill>
              <w14:schemeClr w14:val="tx1"/>
            </w14:solidFill>
          </w14:textFill>
        </w:rPr>
        <w:t>. 工期和进度</w:t>
      </w:r>
      <w:bookmarkEnd w:id="189"/>
    </w:p>
    <w:bookmarkEnd w:id="190"/>
    <w:p w14:paraId="543CA76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91" w:name="_Toc351203543"/>
      <w:r>
        <w:rPr>
          <w:rFonts w:hint="eastAsia" w:ascii="宋体" w:hAnsi="宋体"/>
          <w:color w:val="000000" w:themeColor="text1"/>
          <w:sz w:val="24"/>
          <w:szCs w:val="24"/>
          <w:highlight w:val="none"/>
          <w:lang w:eastAsia="zh-CN"/>
          <w14:textFill>
            <w14:solidFill>
              <w14:schemeClr w14:val="tx1"/>
            </w14:solidFill>
          </w14:textFill>
        </w:rPr>
        <w:t>7</w:t>
      </w:r>
      <w:bookmarkStart w:id="192" w:name="_Toc337558768"/>
      <w:bookmarkStart w:id="193" w:name="_Toc296346567"/>
      <w:bookmarkStart w:id="194" w:name="_Toc296503066"/>
      <w:r>
        <w:rPr>
          <w:rFonts w:hint="eastAsia" w:ascii="宋体" w:hAnsi="宋体"/>
          <w:color w:val="000000" w:themeColor="text1"/>
          <w:sz w:val="24"/>
          <w:szCs w:val="24"/>
          <w:highlight w:val="none"/>
          <w:lang w:eastAsia="zh-CN"/>
          <w14:textFill>
            <w14:solidFill>
              <w14:schemeClr w14:val="tx1"/>
            </w14:solidFill>
          </w14:textFill>
        </w:rPr>
        <w:t>.1施工组织设计</w:t>
      </w:r>
      <w:bookmarkEnd w:id="191"/>
    </w:p>
    <w:bookmarkEnd w:id="192"/>
    <w:p w14:paraId="35EEF86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7.1.1施工组织设计的内容</w:t>
      </w:r>
    </w:p>
    <w:p w14:paraId="2BBB728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施工组织设计应包含以下内容：</w:t>
      </w:r>
    </w:p>
    <w:p w14:paraId="5125CEA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（1）施工方案； </w:t>
      </w:r>
    </w:p>
    <w:p w14:paraId="3276CC0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（2）施工现场平面布置图；</w:t>
      </w:r>
    </w:p>
    <w:p w14:paraId="127E8BE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（3）施工进度计划和保证措施； </w:t>
      </w:r>
    </w:p>
    <w:p w14:paraId="1BC8EDF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（4）劳动力及材料供应计划；</w:t>
      </w:r>
    </w:p>
    <w:p w14:paraId="065DCB3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（5）施工机械设备的选用；</w:t>
      </w:r>
    </w:p>
    <w:p w14:paraId="5748BB9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（6）质量保证体系及措施；</w:t>
      </w:r>
    </w:p>
    <w:p w14:paraId="1C5170D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（7）安全生产、文明施工措施；</w:t>
      </w:r>
    </w:p>
    <w:p w14:paraId="7B61B70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（8）环境保护、成本控制措施；</w:t>
      </w:r>
    </w:p>
    <w:p w14:paraId="6EB83F3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（9）合同当事人约定的其他内容。</w:t>
      </w:r>
    </w:p>
    <w:p w14:paraId="2D5F1F5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7.1.2施工组织设计的提交和修改</w:t>
      </w:r>
    </w:p>
    <w:p w14:paraId="3542232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54B3AC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施工进度计划的编制和修改按照第7.2款〔施工进度计划〕执行。</w:t>
      </w:r>
    </w:p>
    <w:p w14:paraId="721AB33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95" w:name="_Toc351203544"/>
      <w:r>
        <w:rPr>
          <w:rFonts w:hint="eastAsia" w:ascii="宋体" w:hAnsi="宋体"/>
          <w:color w:val="000000" w:themeColor="text1"/>
          <w:sz w:val="24"/>
          <w:szCs w:val="24"/>
          <w:highlight w:val="none"/>
          <w:lang w:eastAsia="zh-CN"/>
          <w14:textFill>
            <w14:solidFill>
              <w14:schemeClr w14:val="tx1"/>
            </w14:solidFill>
          </w14:textFill>
        </w:rPr>
        <w:t>7</w:t>
      </w:r>
      <w:bookmarkStart w:id="196" w:name="_Toc337558769"/>
      <w:r>
        <w:rPr>
          <w:rFonts w:hint="eastAsia" w:ascii="宋体" w:hAnsi="宋体"/>
          <w:color w:val="000000" w:themeColor="text1"/>
          <w:sz w:val="24"/>
          <w:szCs w:val="24"/>
          <w:highlight w:val="none"/>
          <w:lang w:eastAsia="zh-CN"/>
          <w14:textFill>
            <w14:solidFill>
              <w14:schemeClr w14:val="tx1"/>
            </w14:solidFill>
          </w14:textFill>
        </w:rPr>
        <w:t>.2 施工进度计划</w:t>
      </w:r>
      <w:bookmarkEnd w:id="195"/>
    </w:p>
    <w:bookmarkEnd w:id="196"/>
    <w:p w14:paraId="055942E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7.2.1 施工进度计划的编制</w:t>
      </w:r>
    </w:p>
    <w:p w14:paraId="4C688B8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1BDC4A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7.2.2 施工进度计划的修订</w:t>
      </w:r>
    </w:p>
    <w:p w14:paraId="482E629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688CA2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97" w:name="_Toc351203545"/>
      <w:r>
        <w:rPr>
          <w:rFonts w:hint="eastAsia" w:ascii="宋体" w:hAnsi="宋体"/>
          <w:color w:val="000000" w:themeColor="text1"/>
          <w:sz w:val="24"/>
          <w:szCs w:val="24"/>
          <w:highlight w:val="none"/>
          <w:lang w:eastAsia="zh-CN"/>
          <w14:textFill>
            <w14:solidFill>
              <w14:schemeClr w14:val="tx1"/>
            </w14:solidFill>
          </w14:textFill>
        </w:rPr>
        <w:t>7</w:t>
      </w:r>
      <w:bookmarkStart w:id="198" w:name="_Toc337558770"/>
      <w:r>
        <w:rPr>
          <w:rFonts w:hint="eastAsia" w:ascii="宋体" w:hAnsi="宋体"/>
          <w:color w:val="000000" w:themeColor="text1"/>
          <w:sz w:val="24"/>
          <w:szCs w:val="24"/>
          <w:highlight w:val="none"/>
          <w:lang w:eastAsia="zh-CN"/>
          <w14:textFill>
            <w14:solidFill>
              <w14:schemeClr w14:val="tx1"/>
            </w14:solidFill>
          </w14:textFill>
        </w:rPr>
        <w:t>.3 开工</w:t>
      </w:r>
      <w:bookmarkEnd w:id="197"/>
    </w:p>
    <w:p w14:paraId="38BFA30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7.3.1 开工准备</w:t>
      </w:r>
    </w:p>
    <w:p w14:paraId="2ADDA56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41FF95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除专用合同条款另有约定外，合同当事人应按约定完成开工准备工作。</w:t>
      </w:r>
    </w:p>
    <w:p w14:paraId="29ACBDD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7.3.2 开工通知</w:t>
      </w:r>
    </w:p>
    <w:bookmarkEnd w:id="198"/>
    <w:p w14:paraId="62FCC9E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6D9D3F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DA4B385">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199" w:name="_Toc351203546"/>
      <w:r>
        <w:rPr>
          <w:rFonts w:hint="eastAsia" w:ascii="宋体" w:hAnsi="宋体"/>
          <w:color w:val="000000" w:themeColor="text1"/>
          <w:sz w:val="24"/>
          <w:szCs w:val="24"/>
          <w:highlight w:val="none"/>
          <w:lang w:eastAsia="zh-CN"/>
          <w14:textFill>
            <w14:solidFill>
              <w14:schemeClr w14:val="tx1"/>
            </w14:solidFill>
          </w14:textFill>
        </w:rPr>
        <w:t>7.4测量放线</w:t>
      </w:r>
      <w:bookmarkEnd w:id="199"/>
    </w:p>
    <w:p w14:paraId="7287CF8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F31628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49ECCD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B23F84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施工过程中对施工现场内水准点等测量标志物的保护工作由承包人负责。</w:t>
      </w:r>
      <w:bookmarkStart w:id="200" w:name="_Toc351203547"/>
    </w:p>
    <w:p w14:paraId="0DF8251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bookmarkEnd w:id="193"/>
      <w:bookmarkEnd w:id="194"/>
      <w:bookmarkStart w:id="201" w:name="_Toc337558772"/>
      <w:bookmarkStart w:id="202" w:name="_Toc296346574"/>
      <w:bookmarkStart w:id="203" w:name="_Toc296503073"/>
      <w:r>
        <w:rPr>
          <w:rFonts w:hint="eastAsia" w:ascii="宋体" w:hAnsi="宋体"/>
          <w:color w:val="000000" w:themeColor="text1"/>
          <w:sz w:val="24"/>
          <w:szCs w:val="24"/>
          <w:highlight w:val="none"/>
          <w:lang w:eastAsia="zh-CN"/>
          <w14:textFill>
            <w14:solidFill>
              <w14:schemeClr w14:val="tx1"/>
            </w14:solidFill>
          </w14:textFill>
        </w:rPr>
        <w:t>.5工期延误</w:t>
      </w:r>
      <w:bookmarkEnd w:id="200"/>
    </w:p>
    <w:bookmarkEnd w:id="201"/>
    <w:bookmarkEnd w:id="202"/>
    <w:bookmarkEnd w:id="203"/>
    <w:p w14:paraId="03B3BBC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7.5.1 因发包人原因导致工期延误</w:t>
      </w:r>
    </w:p>
    <w:p w14:paraId="21375B4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14:paraId="63B6273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（1）发包人未能按合同约定提供图纸或所提供图纸不符合合同约定的；</w:t>
      </w:r>
    </w:p>
    <w:p w14:paraId="5E0B09B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（2）发包人未能按合同约定提供施工现场、施工条件、基础资料、许可、批准等开工条件的；</w:t>
      </w:r>
    </w:p>
    <w:p w14:paraId="6880E68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（3）发包人提供的测量基准点、基准线和水准点及其书面资料存在错误或疏漏的；</w:t>
      </w:r>
    </w:p>
    <w:p w14:paraId="3417DD1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（4）发包人未能在计划开工日期之日起7天内同意下达开工通知的；</w:t>
      </w:r>
    </w:p>
    <w:p w14:paraId="1288DF3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（5）发包人未能按合同约定日期支付工程预付款、进度款或竣工结算款的；</w:t>
      </w:r>
    </w:p>
    <w:p w14:paraId="27E74AF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（6）监理人未按合同约定发出指示、批准等文件的；</w:t>
      </w:r>
    </w:p>
    <w:p w14:paraId="6F33E2B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（7）专用合同条款中约定的其他情形。</w:t>
      </w:r>
    </w:p>
    <w:p w14:paraId="348D390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8D2BF4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7.5.2 因承包人原因导致工期延误</w:t>
      </w:r>
    </w:p>
    <w:p w14:paraId="3801D86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04" w:name="_Toc296346577"/>
      <w:bookmarkStart w:id="205" w:name="_Toc296503076"/>
      <w:r>
        <w:rPr>
          <w:rFonts w:hint="eastAsia" w:ascii="宋体" w:hAnsi="宋体"/>
          <w:color w:val="000000" w:themeColor="text1"/>
          <w:sz w:val="24"/>
          <w:szCs w:val="24"/>
          <w:highlight w:val="none"/>
          <w:lang w:eastAsia="zh-CN"/>
          <w14:textFill>
            <w14:solidFill>
              <w14:schemeClr w14:val="tx1"/>
            </w14:solidFill>
          </w14:textFill>
        </w:rPr>
        <w:t>因</w:t>
      </w:r>
      <w:bookmarkEnd w:id="204"/>
      <w:bookmarkEnd w:id="205"/>
      <w:r>
        <w:rPr>
          <w:rFonts w:hint="eastAsia" w:ascii="宋体" w:hAnsi="宋体"/>
          <w:color w:val="000000" w:themeColor="text1"/>
          <w:sz w:val="24"/>
          <w:szCs w:val="24"/>
          <w:highlight w:val="none"/>
          <w:lang w:eastAsia="zh-CN"/>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14:paraId="39D86CD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06" w:name="_Toc351203548"/>
      <w:r>
        <w:rPr>
          <w:rFonts w:hint="eastAsia" w:ascii="宋体" w:hAnsi="宋体"/>
          <w:color w:val="000000" w:themeColor="text1"/>
          <w:sz w:val="24"/>
          <w:szCs w:val="24"/>
          <w:highlight w:val="none"/>
          <w:lang w:eastAsia="zh-CN"/>
          <w14:textFill>
            <w14:solidFill>
              <w14:schemeClr w14:val="tx1"/>
            </w14:solidFill>
          </w14:textFill>
        </w:rPr>
        <w:t>7</w:t>
      </w:r>
      <w:bookmarkStart w:id="207" w:name="_Toc337558773"/>
      <w:bookmarkStart w:id="208" w:name="_Toc296503074"/>
      <w:bookmarkStart w:id="209" w:name="_Toc296346575"/>
      <w:bookmarkStart w:id="210" w:name="_Toc296503077"/>
      <w:bookmarkStart w:id="211" w:name="_Toc296346578"/>
      <w:r>
        <w:rPr>
          <w:rFonts w:hint="eastAsia" w:ascii="宋体" w:hAnsi="宋体"/>
          <w:color w:val="000000" w:themeColor="text1"/>
          <w:sz w:val="24"/>
          <w:szCs w:val="24"/>
          <w:highlight w:val="none"/>
          <w:lang w:eastAsia="zh-CN"/>
          <w14:textFill>
            <w14:solidFill>
              <w14:schemeClr w14:val="tx1"/>
            </w14:solidFill>
          </w14:textFill>
        </w:rPr>
        <w:t>.6 不利物质条件</w:t>
      </w:r>
      <w:bookmarkEnd w:id="206"/>
    </w:p>
    <w:bookmarkEnd w:id="207"/>
    <w:bookmarkEnd w:id="208"/>
    <w:bookmarkEnd w:id="209"/>
    <w:p w14:paraId="3ED46A7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6063D4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86B023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12" w:name="_Toc351203549"/>
      <w:r>
        <w:rPr>
          <w:rFonts w:hint="eastAsia" w:ascii="宋体" w:hAnsi="宋体"/>
          <w:color w:val="000000" w:themeColor="text1"/>
          <w:sz w:val="24"/>
          <w:szCs w:val="24"/>
          <w:highlight w:val="none"/>
          <w:lang w:eastAsia="zh-CN"/>
          <w14:textFill>
            <w14:solidFill>
              <w14:schemeClr w14:val="tx1"/>
            </w14:solidFill>
          </w14:textFill>
        </w:rPr>
        <w:t>7</w:t>
      </w:r>
      <w:bookmarkStart w:id="213" w:name="_Toc296346576"/>
      <w:bookmarkStart w:id="214" w:name="_Toc337558774"/>
      <w:bookmarkStart w:id="215" w:name="_Toc296503075"/>
      <w:r>
        <w:rPr>
          <w:rFonts w:hint="eastAsia" w:ascii="宋体" w:hAnsi="宋体"/>
          <w:color w:val="000000" w:themeColor="text1"/>
          <w:sz w:val="24"/>
          <w:szCs w:val="24"/>
          <w:highlight w:val="none"/>
          <w:lang w:eastAsia="zh-CN"/>
          <w14:textFill>
            <w14:solidFill>
              <w14:schemeClr w14:val="tx1"/>
            </w14:solidFill>
          </w14:textFill>
        </w:rPr>
        <w:t>.7异常恶劣的气候条件</w:t>
      </w:r>
      <w:bookmarkEnd w:id="212"/>
    </w:p>
    <w:bookmarkEnd w:id="213"/>
    <w:bookmarkEnd w:id="214"/>
    <w:bookmarkEnd w:id="215"/>
    <w:p w14:paraId="6C412EB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BAA969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16" w:name="_Toc351203550"/>
    </w:p>
    <w:p w14:paraId="7A603D5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w:t>
      </w:r>
      <w:bookmarkStart w:id="217" w:name="_Toc337558775"/>
      <w:r>
        <w:rPr>
          <w:rFonts w:hint="eastAsia" w:ascii="宋体" w:hAnsi="宋体"/>
          <w:color w:val="000000" w:themeColor="text1"/>
          <w:sz w:val="24"/>
          <w:szCs w:val="24"/>
          <w:highlight w:val="none"/>
          <w:lang w:eastAsia="zh-CN"/>
          <w14:textFill>
            <w14:solidFill>
              <w14:schemeClr w14:val="tx1"/>
            </w14:solidFill>
          </w14:textFill>
        </w:rPr>
        <w:t>.8暂停施工</w:t>
      </w:r>
      <w:bookmarkEnd w:id="216"/>
    </w:p>
    <w:bookmarkEnd w:id="210"/>
    <w:bookmarkEnd w:id="211"/>
    <w:bookmarkEnd w:id="217"/>
    <w:p w14:paraId="591D9FD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7.8.1发包人原因引起的暂停施工</w:t>
      </w:r>
    </w:p>
    <w:p w14:paraId="608B1EA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5422E08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因发包人原因引起的暂停施工，发包人应承担由此增加的费用和（或）延误的工期，并支付承包人合理的利润。</w:t>
      </w:r>
    </w:p>
    <w:p w14:paraId="590D67C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7.8.2 承包人原因引起的暂停施工</w:t>
      </w:r>
    </w:p>
    <w:p w14:paraId="7253F07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93E2DD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7.8.3 指示暂停施工</w:t>
      </w:r>
    </w:p>
    <w:p w14:paraId="0171C57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监理人认为有必要时，并经发包人批准后，可向承包人作出暂停施工的指示，承包人应按监理人指示暂停施工。</w:t>
      </w:r>
    </w:p>
    <w:p w14:paraId="04B0FB5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7.8.4 紧急情况下的暂停施工</w:t>
      </w:r>
    </w:p>
    <w:p w14:paraId="14A7DAC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681E2C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7.8.5 暂停施工后的复工</w:t>
      </w:r>
    </w:p>
    <w:p w14:paraId="3FE5502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B41AB9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01618D3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7.8.6 暂停施工持续56天以上</w:t>
      </w:r>
    </w:p>
    <w:p w14:paraId="16732F08">
      <w:pPr>
        <w:spacing w:line="360" w:lineRule="auto"/>
        <w:ind w:firstLine="468" w:firstLineChars="195"/>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BDFF449">
      <w:pPr>
        <w:spacing w:line="360" w:lineRule="auto"/>
        <w:ind w:firstLine="468" w:firstLineChars="195"/>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9AB8A92">
      <w:pPr>
        <w:spacing w:line="360" w:lineRule="auto"/>
        <w:ind w:left="16" w:firstLine="468" w:firstLineChars="195"/>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7.8.7 暂停施工期间的工程照管</w:t>
      </w:r>
    </w:p>
    <w:p w14:paraId="04EFD05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暂停施工期间，承包人应负责妥善照管工程并提供安全保障，由此增加的费用由责任方承担。</w:t>
      </w:r>
    </w:p>
    <w:p w14:paraId="7F196B0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7.8.8 暂停施工的措施</w:t>
      </w:r>
    </w:p>
    <w:p w14:paraId="0D2B02C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暂停施工期间，发包人和承包人均应采取必要的措施确保工程质量及安全，防止因暂停施工扩大损失。</w:t>
      </w:r>
    </w:p>
    <w:p w14:paraId="4617024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18" w:name="_Toc351203551"/>
      <w:r>
        <w:rPr>
          <w:rFonts w:hint="eastAsia" w:ascii="宋体" w:hAnsi="宋体"/>
          <w:color w:val="000000" w:themeColor="text1"/>
          <w:sz w:val="24"/>
          <w:szCs w:val="24"/>
          <w:highlight w:val="none"/>
          <w:lang w:eastAsia="zh-CN"/>
          <w14:textFill>
            <w14:solidFill>
              <w14:schemeClr w14:val="tx1"/>
            </w14:solidFill>
          </w14:textFill>
        </w:rPr>
        <w:t>7.9提前竣工</w:t>
      </w:r>
      <w:bookmarkEnd w:id="218"/>
    </w:p>
    <w:p w14:paraId="7BBF6A8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965DBB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53AAB0E7">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219" w:name="_Toc351203552"/>
      <w:r>
        <w:rPr>
          <w:rFonts w:hint="eastAsia"/>
          <w:b w:val="0"/>
          <w:color w:val="000000" w:themeColor="text1"/>
          <w:sz w:val="24"/>
          <w:szCs w:val="24"/>
          <w:highlight w:val="none"/>
          <w:lang w:eastAsia="zh-CN"/>
          <w14:textFill>
            <w14:solidFill>
              <w14:schemeClr w14:val="tx1"/>
            </w14:solidFill>
          </w14:textFill>
        </w:rPr>
        <w:t>8</w:t>
      </w:r>
      <w:bookmarkStart w:id="220" w:name="_Toc296503058"/>
      <w:bookmarkStart w:id="221" w:name="_Toc337558776"/>
      <w:bookmarkStart w:id="222" w:name="_Toc296346559"/>
      <w:r>
        <w:rPr>
          <w:rFonts w:hint="eastAsia"/>
          <w:b w:val="0"/>
          <w:color w:val="000000" w:themeColor="text1"/>
          <w:sz w:val="24"/>
          <w:szCs w:val="24"/>
          <w:highlight w:val="none"/>
          <w:lang w:eastAsia="zh-CN"/>
          <w14:textFill>
            <w14:solidFill>
              <w14:schemeClr w14:val="tx1"/>
            </w14:solidFill>
          </w14:textFill>
        </w:rPr>
        <w:t>. 材料与设备</w:t>
      </w:r>
      <w:bookmarkEnd w:id="219"/>
    </w:p>
    <w:bookmarkEnd w:id="220"/>
    <w:bookmarkEnd w:id="221"/>
    <w:bookmarkEnd w:id="222"/>
    <w:p w14:paraId="56517B6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23" w:name="_Toc351203553"/>
      <w:r>
        <w:rPr>
          <w:rFonts w:hint="eastAsia" w:ascii="宋体" w:hAnsi="宋体"/>
          <w:color w:val="000000" w:themeColor="text1"/>
          <w:sz w:val="24"/>
          <w:szCs w:val="24"/>
          <w:highlight w:val="none"/>
          <w:lang w:eastAsia="zh-CN"/>
          <w14:textFill>
            <w14:solidFill>
              <w14:schemeClr w14:val="tx1"/>
            </w14:solidFill>
          </w14:textFill>
        </w:rPr>
        <w:t>8</w:t>
      </w:r>
      <w:bookmarkStart w:id="224" w:name="_Toc296503059"/>
      <w:bookmarkStart w:id="225" w:name="_Toc337558777"/>
      <w:bookmarkStart w:id="226" w:name="_Toc296346560"/>
      <w:bookmarkStart w:id="227" w:name="_Toc468936960"/>
      <w:r>
        <w:rPr>
          <w:rFonts w:hint="eastAsia" w:ascii="宋体" w:hAnsi="宋体"/>
          <w:color w:val="000000" w:themeColor="text1"/>
          <w:sz w:val="24"/>
          <w:szCs w:val="24"/>
          <w:highlight w:val="none"/>
          <w:lang w:eastAsia="zh-CN"/>
          <w14:textFill>
            <w14:solidFill>
              <w14:schemeClr w14:val="tx1"/>
            </w14:solidFill>
          </w14:textFill>
        </w:rPr>
        <w:t>.1发包人供应材料与工程设备</w:t>
      </w:r>
      <w:bookmarkEnd w:id="223"/>
    </w:p>
    <w:bookmarkEnd w:id="224"/>
    <w:bookmarkEnd w:id="225"/>
    <w:bookmarkEnd w:id="226"/>
    <w:p w14:paraId="0EF76D4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45279D8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1BD3E78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28" w:name="_Toc351203554"/>
      <w:r>
        <w:rPr>
          <w:rFonts w:hint="eastAsia" w:ascii="宋体" w:hAnsi="宋体"/>
          <w:color w:val="000000" w:themeColor="text1"/>
          <w:sz w:val="24"/>
          <w:szCs w:val="24"/>
          <w:highlight w:val="none"/>
          <w:lang w:eastAsia="zh-CN"/>
          <w14:textFill>
            <w14:solidFill>
              <w14:schemeClr w14:val="tx1"/>
            </w14:solidFill>
          </w14:textFill>
        </w:rPr>
        <w:t>8</w:t>
      </w:r>
      <w:bookmarkStart w:id="229" w:name="_Toc337558778"/>
      <w:bookmarkStart w:id="230" w:name="_Toc296503060"/>
      <w:bookmarkStart w:id="231" w:name="_Toc296346561"/>
      <w:r>
        <w:rPr>
          <w:rFonts w:hint="eastAsia" w:ascii="宋体" w:hAnsi="宋体"/>
          <w:color w:val="000000" w:themeColor="text1"/>
          <w:sz w:val="24"/>
          <w:szCs w:val="24"/>
          <w:highlight w:val="none"/>
          <w:lang w:eastAsia="zh-CN"/>
          <w14:textFill>
            <w14:solidFill>
              <w14:schemeClr w14:val="tx1"/>
            </w14:solidFill>
          </w14:textFill>
        </w:rPr>
        <w:t>.2承包人采购材料与工程设备</w:t>
      </w:r>
      <w:bookmarkEnd w:id="228"/>
    </w:p>
    <w:bookmarkEnd w:id="229"/>
    <w:bookmarkEnd w:id="230"/>
    <w:bookmarkEnd w:id="231"/>
    <w:p w14:paraId="2B657CC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F6FF51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32" w:name="_Toc351203555"/>
      <w:r>
        <w:rPr>
          <w:rFonts w:hint="eastAsia" w:ascii="宋体" w:hAnsi="宋体"/>
          <w:color w:val="000000" w:themeColor="text1"/>
          <w:sz w:val="24"/>
          <w:szCs w:val="24"/>
          <w:highlight w:val="none"/>
          <w:lang w:eastAsia="zh-CN"/>
          <w14:textFill>
            <w14:solidFill>
              <w14:schemeClr w14:val="tx1"/>
            </w14:solidFill>
          </w14:textFill>
        </w:rPr>
        <w:t>8</w:t>
      </w:r>
      <w:bookmarkStart w:id="233" w:name="_Toc296346562"/>
      <w:bookmarkStart w:id="234" w:name="_Toc296503061"/>
      <w:bookmarkStart w:id="235" w:name="_Toc337558779"/>
      <w:r>
        <w:rPr>
          <w:rFonts w:hint="eastAsia" w:ascii="宋体" w:hAnsi="宋体"/>
          <w:color w:val="000000" w:themeColor="text1"/>
          <w:sz w:val="24"/>
          <w:szCs w:val="24"/>
          <w:highlight w:val="none"/>
          <w:lang w:eastAsia="zh-CN"/>
          <w14:textFill>
            <w14:solidFill>
              <w14:schemeClr w14:val="tx1"/>
            </w14:solidFill>
          </w14:textFill>
        </w:rPr>
        <w:t>.3材料与工程设备的接收与拒收</w:t>
      </w:r>
      <w:bookmarkEnd w:id="232"/>
    </w:p>
    <w:bookmarkEnd w:id="233"/>
    <w:bookmarkEnd w:id="234"/>
    <w:bookmarkEnd w:id="235"/>
    <w:p w14:paraId="351A72A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2AD883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6650C45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8.3.2 承包人采购的材料和工程设备，应保证产品质量合格，承包人应在材料和工程设备到货前24小时通知监理人检验。承</w:t>
      </w:r>
      <w:bookmarkStart w:id="236" w:name="_Toc250655469"/>
      <w:r>
        <w:rPr>
          <w:rFonts w:hint="eastAsia" w:ascii="宋体" w:hAnsi="宋体"/>
          <w:color w:val="000000" w:themeColor="text1"/>
          <w:sz w:val="24"/>
          <w:szCs w:val="24"/>
          <w:highlight w:val="none"/>
          <w:lang w:eastAsia="zh-CN"/>
          <w14:textFill>
            <w14:solidFill>
              <w14:schemeClr w14:val="tx1"/>
            </w14:solidFill>
          </w14:textFill>
        </w:rPr>
        <w:t>包人进行永久设备、材料的制造和生产的，应符合相关质量标准，并向监理人提交材料的样本以及有关资料，并应在使用该材料或工程设备之前获得监理人同意。</w:t>
      </w:r>
    </w:p>
    <w:bookmarkEnd w:id="236"/>
    <w:p w14:paraId="4388DCDA">
      <w:pPr>
        <w:autoSpaceDE w:val="0"/>
        <w:autoSpaceDN w:val="0"/>
        <w:adjustRightInd w:val="0"/>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48D673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37" w:name="_Toc351203556"/>
      <w:r>
        <w:rPr>
          <w:rFonts w:hint="eastAsia" w:ascii="宋体" w:hAnsi="宋体"/>
          <w:color w:val="000000" w:themeColor="text1"/>
          <w:sz w:val="24"/>
          <w:szCs w:val="24"/>
          <w:highlight w:val="none"/>
          <w:lang w:eastAsia="zh-CN"/>
          <w14:textFill>
            <w14:solidFill>
              <w14:schemeClr w14:val="tx1"/>
            </w14:solidFill>
          </w14:textFill>
        </w:rPr>
        <w:t>8</w:t>
      </w:r>
      <w:bookmarkStart w:id="238" w:name="_Toc296346563"/>
      <w:bookmarkStart w:id="239" w:name="_Toc337558780"/>
      <w:bookmarkStart w:id="240" w:name="_Toc296503062"/>
      <w:r>
        <w:rPr>
          <w:rFonts w:hint="eastAsia" w:ascii="宋体" w:hAnsi="宋体"/>
          <w:color w:val="000000" w:themeColor="text1"/>
          <w:sz w:val="24"/>
          <w:szCs w:val="24"/>
          <w:highlight w:val="none"/>
          <w:lang w:eastAsia="zh-CN"/>
          <w14:textFill>
            <w14:solidFill>
              <w14:schemeClr w14:val="tx1"/>
            </w14:solidFill>
          </w14:textFill>
        </w:rPr>
        <w:t>.4材料与工程设备的保管与使用</w:t>
      </w:r>
      <w:bookmarkEnd w:id="237"/>
    </w:p>
    <w:bookmarkEnd w:id="238"/>
    <w:bookmarkEnd w:id="239"/>
    <w:bookmarkEnd w:id="240"/>
    <w:p w14:paraId="6FBDA8E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8.4.1 发包人供应材料与工程设备的保管与使用</w:t>
      </w:r>
    </w:p>
    <w:p w14:paraId="5A04C25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3A04E2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发包人供应的材料和工程设备使用前，由承包人负责检验，检验费用由发包人承担，不合格的不得使用。</w:t>
      </w:r>
    </w:p>
    <w:p w14:paraId="37E34A7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8.4.2 承包人采购材料与工程设备的保管与使用</w:t>
      </w:r>
    </w:p>
    <w:p w14:paraId="25ACB3B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D76357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6AEDD77E">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41" w:name="_Toc351203557"/>
      <w:r>
        <w:rPr>
          <w:rFonts w:hint="eastAsia" w:ascii="宋体" w:hAnsi="宋体"/>
          <w:color w:val="000000" w:themeColor="text1"/>
          <w:sz w:val="24"/>
          <w:szCs w:val="24"/>
          <w:highlight w:val="none"/>
          <w:lang w:eastAsia="zh-CN"/>
          <w14:textFill>
            <w14:solidFill>
              <w14:schemeClr w14:val="tx1"/>
            </w14:solidFill>
          </w14:textFill>
        </w:rPr>
        <w:t>8.5禁止使用不合格的材料和工程设备</w:t>
      </w:r>
      <w:bookmarkEnd w:id="241"/>
    </w:p>
    <w:p w14:paraId="4170DEB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221C88D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3BB9833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14:paraId="56EB547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42" w:name="_Toc351203558"/>
      <w:r>
        <w:rPr>
          <w:rFonts w:hint="eastAsia" w:ascii="宋体" w:hAnsi="宋体"/>
          <w:color w:val="000000" w:themeColor="text1"/>
          <w:sz w:val="24"/>
          <w:szCs w:val="24"/>
          <w:highlight w:val="none"/>
          <w:lang w:eastAsia="zh-CN"/>
          <w14:textFill>
            <w14:solidFill>
              <w14:schemeClr w14:val="tx1"/>
            </w14:solidFill>
          </w14:textFill>
        </w:rPr>
        <w:t>8.6 样品</w:t>
      </w:r>
      <w:bookmarkEnd w:id="242"/>
    </w:p>
    <w:p w14:paraId="1D13DBE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8.6.1</w:t>
      </w:r>
      <w:r>
        <w:rPr>
          <w:rFonts w:hint="eastAsia" w:ascii="宋体" w:hAnsi="宋体"/>
          <w:color w:val="000000" w:themeColor="text1"/>
          <w:sz w:val="24"/>
          <w:szCs w:val="24"/>
          <w:highlight w:val="none"/>
          <w:lang w:eastAsia="zh-CN"/>
          <w14:textFill>
            <w14:solidFill>
              <w14:schemeClr w14:val="tx1"/>
            </w14:solidFill>
          </w14:textFill>
        </w:rPr>
        <w:tab/>
      </w:r>
      <w:r>
        <w:rPr>
          <w:rFonts w:hint="eastAsia" w:ascii="宋体" w:hAnsi="宋体"/>
          <w:color w:val="000000" w:themeColor="text1"/>
          <w:sz w:val="24"/>
          <w:szCs w:val="24"/>
          <w:highlight w:val="none"/>
          <w:lang w:eastAsia="zh-CN"/>
          <w14:textFill>
            <w14:solidFill>
              <w14:schemeClr w14:val="tx1"/>
            </w14:solidFill>
          </w14:textFill>
        </w:rPr>
        <w:t>样品的报送与封存</w:t>
      </w:r>
    </w:p>
    <w:p w14:paraId="1DE9019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需要承包人报送样品的材料或工程设备，样品的种类、名称、规格、数量等要求均应在专用合同条款中约定。样品的报送程序如下：</w:t>
      </w:r>
    </w:p>
    <w:p w14:paraId="0EEFE12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39DEF2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CEBD43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7E3A807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55FB17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8.6.2 样品的保管</w:t>
      </w:r>
    </w:p>
    <w:p w14:paraId="6327364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经批准的样品应由监理人负责封存于现场，承包人应在现场为保存样品提供适当和固定的场所并保持适当和良好的存储环境条件。</w:t>
      </w:r>
    </w:p>
    <w:p w14:paraId="725965A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43" w:name="_Toc351203559"/>
      <w:r>
        <w:rPr>
          <w:rFonts w:hint="eastAsia" w:ascii="宋体" w:hAnsi="宋体"/>
          <w:color w:val="000000" w:themeColor="text1"/>
          <w:sz w:val="24"/>
          <w:szCs w:val="24"/>
          <w:highlight w:val="none"/>
          <w:lang w:eastAsia="zh-CN"/>
          <w14:textFill>
            <w14:solidFill>
              <w14:schemeClr w14:val="tx1"/>
            </w14:solidFill>
          </w14:textFill>
        </w:rPr>
        <w:t>8.7材料与工程设备的替代</w:t>
      </w:r>
      <w:bookmarkEnd w:id="243"/>
    </w:p>
    <w:p w14:paraId="6A9CC1A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8.7.1 出现下列情况需要使用替代材料和工程设备的，承包人应按照第8.7.2项约定的程序执行：</w:t>
      </w:r>
    </w:p>
    <w:p w14:paraId="1ABE20B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（1）基准日期后生效的法律规定禁止使用的；</w:t>
      </w:r>
    </w:p>
    <w:p w14:paraId="0AFA391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（2）发包人要求使用替代品的；</w:t>
      </w:r>
    </w:p>
    <w:p w14:paraId="3C6DFA8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（3）因其他原因必须使用替代品的。</w:t>
      </w:r>
    </w:p>
    <w:p w14:paraId="6231FE7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8.7.2 承包人应在使用替代材料和工程设备28天前书面通知监理人，并附下列文件：</w:t>
      </w:r>
    </w:p>
    <w:p w14:paraId="32FAFB4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（1）被替代的材料和工程设备的名称、数量、规格、型号、品牌、性能、价格及其他相关资料；</w:t>
      </w:r>
    </w:p>
    <w:p w14:paraId="6185F46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（2）替代品的名称、数量、规格、型号、品牌、性能、价格及其他相关资料；</w:t>
      </w:r>
    </w:p>
    <w:p w14:paraId="6AFD328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（3）替代品与被替代产品之间的差异以及使用替代品可能对工程产生的影响；</w:t>
      </w:r>
    </w:p>
    <w:p w14:paraId="0E8890E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（4）替代品与被替代产品的价格差异；</w:t>
      </w:r>
    </w:p>
    <w:p w14:paraId="282CC85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（5）使用替代品的理由和原因说明；</w:t>
      </w:r>
    </w:p>
    <w:p w14:paraId="590D745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（6）监理人要求的其他文件。</w:t>
      </w:r>
    </w:p>
    <w:p w14:paraId="7434E7D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监理人应在收到通知后14天内向承包人发出经发包人签认的书面指示；监理人逾期发出书面指示的，视为发包人和监理人同意使用替代品。</w:t>
      </w:r>
    </w:p>
    <w:p w14:paraId="2CAE68A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9F20186">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44" w:name="_Toc351203560"/>
      <w:r>
        <w:rPr>
          <w:rFonts w:hint="eastAsia" w:ascii="宋体" w:hAnsi="宋体"/>
          <w:color w:val="000000" w:themeColor="text1"/>
          <w:sz w:val="24"/>
          <w:szCs w:val="24"/>
          <w:highlight w:val="none"/>
          <w:lang w:eastAsia="zh-CN"/>
          <w14:textFill>
            <w14:solidFill>
              <w14:schemeClr w14:val="tx1"/>
            </w14:solidFill>
          </w14:textFill>
        </w:rPr>
        <w:t>8.8施工设备和临时设施</w:t>
      </w:r>
      <w:bookmarkEnd w:id="244"/>
    </w:p>
    <w:p w14:paraId="14313B4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8.8.1 承包人提供的施工设备和临时设施</w:t>
      </w:r>
    </w:p>
    <w:p w14:paraId="3FBB3B0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0CD5470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除专用合同条款另有约定外，承包人应自行承担修建临时设施的费用，需要临时占地的，应由发包人办理申请手续并承担相应费用。</w:t>
      </w:r>
    </w:p>
    <w:p w14:paraId="6D12A13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8.8.2发包人提供的施工设备和临时设施</w:t>
      </w:r>
    </w:p>
    <w:p w14:paraId="7EBEEA3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发包人提供的施工设备或临时设施在专用合同条款中约定。</w:t>
      </w:r>
    </w:p>
    <w:p w14:paraId="7D2BD49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8.8.3要求承包人增加或更换施工设备</w:t>
      </w:r>
    </w:p>
    <w:p w14:paraId="1587568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040F89BC">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45" w:name="_Toc351203561"/>
      <w:r>
        <w:rPr>
          <w:rFonts w:hint="eastAsia" w:ascii="宋体" w:hAnsi="宋体"/>
          <w:color w:val="000000" w:themeColor="text1"/>
          <w:sz w:val="24"/>
          <w:szCs w:val="24"/>
          <w:highlight w:val="none"/>
          <w:lang w:eastAsia="zh-CN"/>
          <w14:textFill>
            <w14:solidFill>
              <w14:schemeClr w14:val="tx1"/>
            </w14:solidFill>
          </w14:textFill>
        </w:rPr>
        <w:t>8</w:t>
      </w:r>
      <w:bookmarkStart w:id="246" w:name="_Toc296503063"/>
      <w:bookmarkStart w:id="247" w:name="_Toc337558781"/>
      <w:bookmarkStart w:id="248" w:name="_Toc296346564"/>
      <w:r>
        <w:rPr>
          <w:rFonts w:hint="eastAsia" w:ascii="宋体" w:hAnsi="宋体"/>
          <w:color w:val="000000" w:themeColor="text1"/>
          <w:sz w:val="24"/>
          <w:szCs w:val="24"/>
          <w:highlight w:val="none"/>
          <w:lang w:eastAsia="zh-CN"/>
          <w14:textFill>
            <w14:solidFill>
              <w14:schemeClr w14:val="tx1"/>
            </w14:solidFill>
          </w14:textFill>
        </w:rPr>
        <w:t>.9材料与设备专用</w:t>
      </w:r>
      <w:bookmarkEnd w:id="245"/>
      <w:r>
        <w:rPr>
          <w:rFonts w:hint="eastAsia" w:ascii="宋体" w:hAnsi="宋体"/>
          <w:color w:val="000000" w:themeColor="text1"/>
          <w:sz w:val="24"/>
          <w:szCs w:val="24"/>
          <w:highlight w:val="none"/>
          <w:lang w:eastAsia="zh-CN"/>
          <w14:textFill>
            <w14:solidFill>
              <w14:schemeClr w14:val="tx1"/>
            </w14:solidFill>
          </w14:textFill>
        </w:rPr>
        <w:t>要求</w:t>
      </w:r>
    </w:p>
    <w:bookmarkEnd w:id="246"/>
    <w:bookmarkEnd w:id="247"/>
    <w:bookmarkEnd w:id="248"/>
    <w:p w14:paraId="63239B1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227"/>
      <w:r>
        <w:rPr>
          <w:rFonts w:hint="eastAsia" w:ascii="宋体" w:hAnsi="宋体"/>
          <w:color w:val="000000" w:themeColor="text1"/>
          <w:sz w:val="24"/>
          <w:szCs w:val="24"/>
          <w:highlight w:val="none"/>
          <w:lang w:eastAsia="zh-CN"/>
          <w14:textFill>
            <w14:solidFill>
              <w14:schemeClr w14:val="tx1"/>
            </w14:solidFill>
          </w14:textFill>
        </w:rPr>
        <w:t>经发包人批准，承包人可以根据施工进度计划撤走闲置的施工设备和其他物品。</w:t>
      </w:r>
    </w:p>
    <w:p w14:paraId="68024248">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249" w:name="_Toc351203562"/>
      <w:r>
        <w:rPr>
          <w:rFonts w:hint="eastAsia"/>
          <w:b w:val="0"/>
          <w:color w:val="000000" w:themeColor="text1"/>
          <w:sz w:val="24"/>
          <w:szCs w:val="24"/>
          <w:highlight w:val="none"/>
          <w:lang w:eastAsia="zh-CN"/>
          <w14:textFill>
            <w14:solidFill>
              <w14:schemeClr w14:val="tx1"/>
            </w14:solidFill>
          </w14:textFill>
        </w:rPr>
        <w:t>9</w:t>
      </w:r>
      <w:bookmarkStart w:id="250" w:name="_Toc337558782"/>
      <w:bookmarkStart w:id="251" w:name="_Toc296346584"/>
      <w:bookmarkStart w:id="252" w:name="_Toc296503083"/>
      <w:r>
        <w:rPr>
          <w:rFonts w:hint="eastAsia"/>
          <w:b w:val="0"/>
          <w:color w:val="000000" w:themeColor="text1"/>
          <w:sz w:val="24"/>
          <w:szCs w:val="24"/>
          <w:highlight w:val="none"/>
          <w:lang w:eastAsia="zh-CN"/>
          <w14:textFill>
            <w14:solidFill>
              <w14:schemeClr w14:val="tx1"/>
            </w14:solidFill>
          </w14:textFill>
        </w:rPr>
        <w:t>. 试验与检验</w:t>
      </w:r>
      <w:bookmarkEnd w:id="249"/>
    </w:p>
    <w:bookmarkEnd w:id="250"/>
    <w:p w14:paraId="39B5BE7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53" w:name="_Toc351203563"/>
      <w:r>
        <w:rPr>
          <w:rFonts w:hint="eastAsia" w:ascii="宋体" w:hAnsi="宋体"/>
          <w:color w:val="000000" w:themeColor="text1"/>
          <w:sz w:val="24"/>
          <w:szCs w:val="24"/>
          <w:highlight w:val="none"/>
          <w:lang w:eastAsia="zh-CN"/>
          <w14:textFill>
            <w14:solidFill>
              <w14:schemeClr w14:val="tx1"/>
            </w14:solidFill>
          </w14:textFill>
        </w:rPr>
        <w:t>9</w:t>
      </w:r>
      <w:bookmarkStart w:id="254" w:name="_Toc337558783"/>
      <w:r>
        <w:rPr>
          <w:rFonts w:hint="eastAsia" w:ascii="宋体" w:hAnsi="宋体"/>
          <w:color w:val="000000" w:themeColor="text1"/>
          <w:sz w:val="24"/>
          <w:szCs w:val="24"/>
          <w:highlight w:val="none"/>
          <w:lang w:eastAsia="zh-CN"/>
          <w14:textFill>
            <w14:solidFill>
              <w14:schemeClr w14:val="tx1"/>
            </w14:solidFill>
          </w14:textFill>
        </w:rPr>
        <w:t>.1试验设备与试验人员</w:t>
      </w:r>
      <w:bookmarkEnd w:id="253"/>
    </w:p>
    <w:bookmarkEnd w:id="254"/>
    <w:p w14:paraId="0C57B95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6CF7C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9.1.2 承包人应按专用合同条款的约定提供试验设备、取样装置、试验场所和试验条件，并向监理人提交相应进场计划表。</w:t>
      </w:r>
    </w:p>
    <w:p w14:paraId="1B69316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2D982BA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41CFA89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55" w:name="_Toc351203564"/>
      <w:r>
        <w:rPr>
          <w:rFonts w:hint="eastAsia" w:ascii="宋体" w:hAnsi="宋体"/>
          <w:color w:val="000000" w:themeColor="text1"/>
          <w:sz w:val="24"/>
          <w:szCs w:val="24"/>
          <w:highlight w:val="none"/>
          <w:lang w:eastAsia="zh-CN"/>
          <w14:textFill>
            <w14:solidFill>
              <w14:schemeClr w14:val="tx1"/>
            </w14:solidFill>
          </w14:textFill>
        </w:rPr>
        <w:t>9</w:t>
      </w:r>
      <w:bookmarkStart w:id="256" w:name="_Toc337558784"/>
      <w:r>
        <w:rPr>
          <w:rFonts w:hint="eastAsia" w:ascii="宋体" w:hAnsi="宋体"/>
          <w:color w:val="000000" w:themeColor="text1"/>
          <w:sz w:val="24"/>
          <w:szCs w:val="24"/>
          <w:highlight w:val="none"/>
          <w:lang w:eastAsia="zh-CN"/>
          <w14:textFill>
            <w14:solidFill>
              <w14:schemeClr w14:val="tx1"/>
            </w14:solidFill>
          </w14:textFill>
        </w:rPr>
        <w:t>.2取样</w:t>
      </w:r>
      <w:bookmarkEnd w:id="255"/>
    </w:p>
    <w:bookmarkEnd w:id="256"/>
    <w:p w14:paraId="5682A90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试验属于自检性质的，承包人可以单独取样。试验属于监理人抽检性质的，可由监理人取样，也可由承包人的试验人员在监理人的监督下取样。</w:t>
      </w:r>
    </w:p>
    <w:p w14:paraId="6D9B5006">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57" w:name="_Toc351203565"/>
      <w:r>
        <w:rPr>
          <w:rFonts w:hint="eastAsia" w:ascii="宋体" w:hAnsi="宋体"/>
          <w:color w:val="000000" w:themeColor="text1"/>
          <w:sz w:val="24"/>
          <w:szCs w:val="24"/>
          <w:highlight w:val="none"/>
          <w:lang w:eastAsia="zh-CN"/>
          <w14:textFill>
            <w14:solidFill>
              <w14:schemeClr w14:val="tx1"/>
            </w14:solidFill>
          </w14:textFill>
        </w:rPr>
        <w:t>9</w:t>
      </w:r>
      <w:bookmarkStart w:id="258" w:name="_Toc337558785"/>
      <w:r>
        <w:rPr>
          <w:rFonts w:hint="eastAsia" w:ascii="宋体" w:hAnsi="宋体"/>
          <w:color w:val="000000" w:themeColor="text1"/>
          <w:sz w:val="24"/>
          <w:szCs w:val="24"/>
          <w:highlight w:val="none"/>
          <w:lang w:eastAsia="zh-CN"/>
          <w14:textFill>
            <w14:solidFill>
              <w14:schemeClr w14:val="tx1"/>
            </w14:solidFill>
          </w14:textFill>
        </w:rPr>
        <w:t>.3材料、工程设备和工程的试验和检验</w:t>
      </w:r>
      <w:bookmarkEnd w:id="257"/>
    </w:p>
    <w:bookmarkEnd w:id="258"/>
    <w:p w14:paraId="7A59F84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895BC0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35BB12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7FA8507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59" w:name="_Toc351203566"/>
      <w:r>
        <w:rPr>
          <w:rFonts w:hint="eastAsia" w:ascii="宋体" w:hAnsi="宋体"/>
          <w:color w:val="000000" w:themeColor="text1"/>
          <w:sz w:val="24"/>
          <w:szCs w:val="24"/>
          <w:highlight w:val="none"/>
          <w:lang w:eastAsia="zh-CN"/>
          <w14:textFill>
            <w14:solidFill>
              <w14:schemeClr w14:val="tx1"/>
            </w14:solidFill>
          </w14:textFill>
        </w:rPr>
        <w:t>9</w:t>
      </w:r>
      <w:bookmarkStart w:id="260" w:name="_Toc337558786"/>
      <w:r>
        <w:rPr>
          <w:rFonts w:hint="eastAsia" w:ascii="宋体" w:hAnsi="宋体"/>
          <w:color w:val="000000" w:themeColor="text1"/>
          <w:sz w:val="24"/>
          <w:szCs w:val="24"/>
          <w:highlight w:val="none"/>
          <w:lang w:eastAsia="zh-CN"/>
          <w14:textFill>
            <w14:solidFill>
              <w14:schemeClr w14:val="tx1"/>
            </w14:solidFill>
          </w14:textFill>
        </w:rPr>
        <w:t>.4现场工艺试验</w:t>
      </w:r>
      <w:bookmarkEnd w:id="259"/>
    </w:p>
    <w:bookmarkEnd w:id="260"/>
    <w:p w14:paraId="772354D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14:paraId="2179DEAC">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261" w:name="_Toc351203567"/>
      <w:r>
        <w:rPr>
          <w:rFonts w:hint="eastAsia"/>
          <w:b w:val="0"/>
          <w:color w:val="000000" w:themeColor="text1"/>
          <w:sz w:val="24"/>
          <w:szCs w:val="24"/>
          <w:highlight w:val="none"/>
          <w:lang w:eastAsia="zh-CN"/>
          <w14:textFill>
            <w14:solidFill>
              <w14:schemeClr w14:val="tx1"/>
            </w14:solidFill>
          </w14:textFill>
        </w:rPr>
        <w:t>1</w:t>
      </w:r>
      <w:bookmarkStart w:id="262" w:name="_Toc337558787"/>
      <w:r>
        <w:rPr>
          <w:rFonts w:hint="eastAsia"/>
          <w:b w:val="0"/>
          <w:color w:val="000000" w:themeColor="text1"/>
          <w:sz w:val="24"/>
          <w:szCs w:val="24"/>
          <w:highlight w:val="none"/>
          <w:lang w:eastAsia="zh-CN"/>
          <w14:textFill>
            <w14:solidFill>
              <w14:schemeClr w14:val="tx1"/>
            </w14:solidFill>
          </w14:textFill>
        </w:rPr>
        <w:t>0. 变更</w:t>
      </w:r>
      <w:bookmarkEnd w:id="251"/>
      <w:bookmarkEnd w:id="252"/>
      <w:bookmarkEnd w:id="261"/>
    </w:p>
    <w:bookmarkEnd w:id="262"/>
    <w:p w14:paraId="5B6032FE">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63" w:name="_Toc351203568"/>
      <w:r>
        <w:rPr>
          <w:rFonts w:hint="eastAsia" w:ascii="宋体" w:hAnsi="宋体"/>
          <w:color w:val="000000" w:themeColor="text1"/>
          <w:sz w:val="24"/>
          <w:szCs w:val="24"/>
          <w:highlight w:val="none"/>
          <w:lang w:eastAsia="zh-CN"/>
          <w14:textFill>
            <w14:solidFill>
              <w14:schemeClr w14:val="tx1"/>
            </w14:solidFill>
          </w14:textFill>
        </w:rPr>
        <w:t>1</w:t>
      </w:r>
      <w:bookmarkStart w:id="264" w:name="_Toc296503084"/>
      <w:bookmarkStart w:id="265" w:name="_Toc337558788"/>
      <w:bookmarkStart w:id="266" w:name="_Toc296346585"/>
      <w:r>
        <w:rPr>
          <w:rFonts w:hint="eastAsia" w:ascii="宋体" w:hAnsi="宋体"/>
          <w:color w:val="000000" w:themeColor="text1"/>
          <w:sz w:val="24"/>
          <w:szCs w:val="24"/>
          <w:highlight w:val="none"/>
          <w:lang w:eastAsia="zh-CN"/>
          <w14:textFill>
            <w14:solidFill>
              <w14:schemeClr w14:val="tx1"/>
            </w14:solidFill>
          </w14:textFill>
        </w:rPr>
        <w:t>0.1变更的范围</w:t>
      </w:r>
      <w:bookmarkEnd w:id="263"/>
    </w:p>
    <w:bookmarkEnd w:id="264"/>
    <w:bookmarkEnd w:id="265"/>
    <w:bookmarkEnd w:id="266"/>
    <w:p w14:paraId="1491113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除专用合同条款另有约定外，合同履行过程中发生以下情形的，应按照本条约定进行变更：</w:t>
      </w:r>
    </w:p>
    <w:p w14:paraId="1C4D534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（1）增加或减少合同中任何工作，或追加额外的工作；</w:t>
      </w:r>
    </w:p>
    <w:p w14:paraId="5D7F9EE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（2）取消合同中任何工作，但转由他人实施的工作除外；</w:t>
      </w:r>
    </w:p>
    <w:p w14:paraId="0400104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（3）改变合同中任何工作的质量标准或其他特性；</w:t>
      </w:r>
    </w:p>
    <w:p w14:paraId="117C95F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（4）改变工程的基线、标高、位置和尺寸；</w:t>
      </w:r>
    </w:p>
    <w:p w14:paraId="7392AE8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（5）改变工程的时间安排或实施顺序。</w:t>
      </w:r>
    </w:p>
    <w:p w14:paraId="5D3D490D">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67" w:name="_Toc351203569"/>
      <w:r>
        <w:rPr>
          <w:rFonts w:hint="eastAsia" w:ascii="宋体" w:hAnsi="宋体"/>
          <w:color w:val="000000" w:themeColor="text1"/>
          <w:sz w:val="24"/>
          <w:szCs w:val="24"/>
          <w:highlight w:val="none"/>
          <w:lang w:eastAsia="zh-CN"/>
          <w14:textFill>
            <w14:solidFill>
              <w14:schemeClr w14:val="tx1"/>
            </w14:solidFill>
          </w14:textFill>
        </w:rPr>
        <w:t>1</w:t>
      </w:r>
      <w:bookmarkStart w:id="268" w:name="_Toc296346586"/>
      <w:bookmarkStart w:id="269" w:name="_Toc337558789"/>
      <w:bookmarkStart w:id="270" w:name="_Toc296503085"/>
      <w:r>
        <w:rPr>
          <w:rFonts w:hint="eastAsia" w:ascii="宋体" w:hAnsi="宋体"/>
          <w:color w:val="000000" w:themeColor="text1"/>
          <w:sz w:val="24"/>
          <w:szCs w:val="24"/>
          <w:highlight w:val="none"/>
          <w:lang w:eastAsia="zh-CN"/>
          <w14:textFill>
            <w14:solidFill>
              <w14:schemeClr w14:val="tx1"/>
            </w14:solidFill>
          </w14:textFill>
        </w:rPr>
        <w:t>0.2变更权</w:t>
      </w:r>
      <w:bookmarkEnd w:id="267"/>
    </w:p>
    <w:bookmarkEnd w:id="268"/>
    <w:bookmarkEnd w:id="269"/>
    <w:bookmarkEnd w:id="270"/>
    <w:p w14:paraId="13286EF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134A04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2AF60C1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71" w:name="_Toc351203570"/>
      <w:r>
        <w:rPr>
          <w:rFonts w:hint="eastAsia" w:ascii="宋体" w:hAnsi="宋体"/>
          <w:color w:val="000000" w:themeColor="text1"/>
          <w:sz w:val="24"/>
          <w:szCs w:val="24"/>
          <w:highlight w:val="none"/>
          <w:lang w:eastAsia="zh-CN"/>
          <w14:textFill>
            <w14:solidFill>
              <w14:schemeClr w14:val="tx1"/>
            </w14:solidFill>
          </w14:textFill>
        </w:rPr>
        <w:t>1</w:t>
      </w:r>
      <w:bookmarkStart w:id="272" w:name="_Toc337558790"/>
      <w:bookmarkStart w:id="273" w:name="_Toc296503086"/>
      <w:bookmarkStart w:id="274" w:name="_Toc296346587"/>
      <w:r>
        <w:rPr>
          <w:rFonts w:hint="eastAsia" w:ascii="宋体" w:hAnsi="宋体"/>
          <w:color w:val="000000" w:themeColor="text1"/>
          <w:sz w:val="24"/>
          <w:szCs w:val="24"/>
          <w:highlight w:val="none"/>
          <w:lang w:eastAsia="zh-CN"/>
          <w14:textFill>
            <w14:solidFill>
              <w14:schemeClr w14:val="tx1"/>
            </w14:solidFill>
          </w14:textFill>
        </w:rPr>
        <w:t>0.3变更程序</w:t>
      </w:r>
      <w:bookmarkEnd w:id="271"/>
    </w:p>
    <w:bookmarkEnd w:id="272"/>
    <w:bookmarkEnd w:id="273"/>
    <w:bookmarkEnd w:id="274"/>
    <w:p w14:paraId="3C3A22E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10.3.1 发包人提出变更</w:t>
      </w:r>
    </w:p>
    <w:p w14:paraId="1D599DE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发包人提出变更的，应通过监理人向承包人发出变更指示，变更指示应说明计划变更的工程范围和变更的内容。</w:t>
      </w:r>
    </w:p>
    <w:p w14:paraId="120BAAA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10.3.2 监理人提出变更建议</w:t>
      </w:r>
    </w:p>
    <w:p w14:paraId="649E3BD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56B181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10.3.3 变更执行</w:t>
      </w:r>
    </w:p>
    <w:p w14:paraId="188770B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EFCC25A">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75" w:name="_Toc351203571"/>
      <w:r>
        <w:rPr>
          <w:rFonts w:hint="eastAsia" w:ascii="宋体" w:hAnsi="宋体"/>
          <w:color w:val="000000" w:themeColor="text1"/>
          <w:sz w:val="24"/>
          <w:szCs w:val="24"/>
          <w:highlight w:val="none"/>
          <w:lang w:eastAsia="zh-CN"/>
          <w14:textFill>
            <w14:solidFill>
              <w14:schemeClr w14:val="tx1"/>
            </w14:solidFill>
          </w14:textFill>
        </w:rPr>
        <w:t>1</w:t>
      </w:r>
      <w:bookmarkStart w:id="276" w:name="_Toc296503087"/>
      <w:bookmarkStart w:id="277" w:name="_Toc296346588"/>
      <w:bookmarkStart w:id="278" w:name="_Toc337558791"/>
      <w:r>
        <w:rPr>
          <w:rFonts w:hint="eastAsia" w:ascii="宋体" w:hAnsi="宋体"/>
          <w:color w:val="000000" w:themeColor="text1"/>
          <w:sz w:val="24"/>
          <w:szCs w:val="24"/>
          <w:highlight w:val="none"/>
          <w:lang w:eastAsia="zh-CN"/>
          <w14:textFill>
            <w14:solidFill>
              <w14:schemeClr w14:val="tx1"/>
            </w14:solidFill>
          </w14:textFill>
        </w:rPr>
        <w:t>0.4变更估价</w:t>
      </w:r>
      <w:bookmarkEnd w:id="275"/>
    </w:p>
    <w:bookmarkEnd w:id="276"/>
    <w:bookmarkEnd w:id="277"/>
    <w:bookmarkEnd w:id="278"/>
    <w:p w14:paraId="61B8B94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10.4.1 变更估价原则</w:t>
      </w:r>
    </w:p>
    <w:p w14:paraId="06A9D18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除专用合同条款另有约定外，变更估价按照本款约定处理：</w:t>
      </w:r>
    </w:p>
    <w:p w14:paraId="3BD8335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（1）已标价工程量清单或预算书有相同项目的，按照相同项目单价认定；</w:t>
      </w:r>
    </w:p>
    <w:p w14:paraId="7036376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（2）已标价工程量清单或预算书中无相同项目，但有类似项目的，参照类似项目的单价认定；</w:t>
      </w:r>
    </w:p>
    <w:p w14:paraId="6AF8E12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8E29AE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10.4.2 变更估价程序</w:t>
      </w:r>
    </w:p>
    <w:p w14:paraId="585DE5B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541733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因变更引起的价格调整应计入最近一期的进度款中支付。</w:t>
      </w:r>
    </w:p>
    <w:p w14:paraId="5AEEF75A">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79" w:name="_Toc351203572"/>
      <w:r>
        <w:rPr>
          <w:rFonts w:hint="eastAsia" w:ascii="宋体" w:hAnsi="宋体"/>
          <w:color w:val="000000" w:themeColor="text1"/>
          <w:sz w:val="24"/>
          <w:szCs w:val="24"/>
          <w:highlight w:val="none"/>
          <w:lang w:eastAsia="zh-CN"/>
          <w14:textFill>
            <w14:solidFill>
              <w14:schemeClr w14:val="tx1"/>
            </w14:solidFill>
          </w14:textFill>
        </w:rPr>
        <w:t>1</w:t>
      </w:r>
      <w:bookmarkStart w:id="280" w:name="_Toc296503094"/>
      <w:bookmarkStart w:id="281" w:name="_Toc296346595"/>
      <w:bookmarkStart w:id="282" w:name="_Toc337558792"/>
      <w:r>
        <w:rPr>
          <w:rFonts w:hint="eastAsia" w:ascii="宋体" w:hAnsi="宋体"/>
          <w:color w:val="000000" w:themeColor="text1"/>
          <w:sz w:val="24"/>
          <w:szCs w:val="24"/>
          <w:highlight w:val="none"/>
          <w:lang w:eastAsia="zh-CN"/>
          <w14:textFill>
            <w14:solidFill>
              <w14:schemeClr w14:val="tx1"/>
            </w14:solidFill>
          </w14:textFill>
        </w:rPr>
        <w:t>0.5承包人的合理化建议</w:t>
      </w:r>
      <w:bookmarkEnd w:id="279"/>
    </w:p>
    <w:bookmarkEnd w:id="280"/>
    <w:bookmarkEnd w:id="281"/>
    <w:bookmarkEnd w:id="282"/>
    <w:p w14:paraId="1C940BC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承包人提出合理化建议的，应向监理人提交合理化建议说明，说明建议的内容和理由，以及实施该建议对合同价格和工期的影响。</w:t>
      </w:r>
    </w:p>
    <w:p w14:paraId="7694306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E119CD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合理化建议降低了合同价格或者提高了工程经济效益的，发包人可对承包人给予奖励，奖励的方法和金额在专用合同条款中约定。</w:t>
      </w:r>
    </w:p>
    <w:p w14:paraId="74BB7BA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83" w:name="_Toc351203573"/>
      <w:r>
        <w:rPr>
          <w:rFonts w:hint="eastAsia" w:ascii="宋体" w:hAnsi="宋体"/>
          <w:color w:val="000000" w:themeColor="text1"/>
          <w:sz w:val="24"/>
          <w:szCs w:val="24"/>
          <w:highlight w:val="none"/>
          <w:lang w:eastAsia="zh-CN"/>
          <w14:textFill>
            <w14:solidFill>
              <w14:schemeClr w14:val="tx1"/>
            </w14:solidFill>
          </w14:textFill>
        </w:rPr>
        <w:t>1</w:t>
      </w:r>
      <w:bookmarkStart w:id="284" w:name="_Toc337558793"/>
      <w:r>
        <w:rPr>
          <w:rFonts w:hint="eastAsia" w:ascii="宋体" w:hAnsi="宋体"/>
          <w:color w:val="000000" w:themeColor="text1"/>
          <w:sz w:val="24"/>
          <w:szCs w:val="24"/>
          <w:highlight w:val="none"/>
          <w:lang w:eastAsia="zh-CN"/>
          <w14:textFill>
            <w14:solidFill>
              <w14:schemeClr w14:val="tx1"/>
            </w14:solidFill>
          </w14:textFill>
        </w:rPr>
        <w:t>0.6变更引起的工期调整</w:t>
      </w:r>
      <w:bookmarkEnd w:id="283"/>
      <w:bookmarkEnd w:id="284"/>
    </w:p>
    <w:p w14:paraId="5783F72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7CACAD3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85" w:name="_Toc351203574"/>
      <w:r>
        <w:rPr>
          <w:rFonts w:hint="eastAsia" w:ascii="宋体" w:hAnsi="宋体"/>
          <w:color w:val="000000" w:themeColor="text1"/>
          <w:sz w:val="24"/>
          <w:szCs w:val="24"/>
          <w:highlight w:val="none"/>
          <w:lang w:eastAsia="zh-CN"/>
          <w14:textFill>
            <w14:solidFill>
              <w14:schemeClr w14:val="tx1"/>
            </w14:solidFill>
          </w14:textFill>
        </w:rPr>
        <w:t>10.7暂估价</w:t>
      </w:r>
      <w:bookmarkEnd w:id="285"/>
    </w:p>
    <w:p w14:paraId="077D027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暂估价专业分包工程、服务、材料和工程设备的明细由合同当事人在专用合同条款中约定。</w:t>
      </w:r>
    </w:p>
    <w:p w14:paraId="61D4B57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10.7.1 依法必须招标的暂估价项目</w:t>
      </w:r>
    </w:p>
    <w:p w14:paraId="3843A54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对于依法必须招标的暂估价项目，采取以下第1种方式确定。合同当事人也可以在专用合同条款中选择其他招标方式。</w:t>
      </w:r>
    </w:p>
    <w:p w14:paraId="16293E7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第1种方式：对于依法必须招标的暂估价项目，由承包人招标，对该暂估价项目的确认和批准按照以下约定执行：</w:t>
      </w:r>
    </w:p>
    <w:p w14:paraId="474EE7C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91E70C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5FD9073D">
      <w:pPr>
        <w:spacing w:line="360" w:lineRule="auto"/>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3F7888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A3E577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10.7.2不属于依法必须招标的暂估价项目</w:t>
      </w:r>
    </w:p>
    <w:p w14:paraId="74ADA28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除专用合同条款另有约定外，对于不属于依法必须招标的暂估价项目，采取以下第1种方式确定：</w:t>
      </w:r>
    </w:p>
    <w:p w14:paraId="4441076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第1种方式：对于不属于依法必须招标的暂估价项目，按本项约定确认和批准：</w:t>
      </w:r>
    </w:p>
    <w:p w14:paraId="0DC51BA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DC1F84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（2）发包人认为承包人确定的供应商、分包人无法满足工程质量或合同要求的，发包人可以要求承包人重新确定暂估价项目的供应商、分包人;</w:t>
      </w:r>
    </w:p>
    <w:p w14:paraId="755FBC1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（3）承包人应当在签订暂估价合同后7天内，将暂估价合同副本报送发包人留存。</w:t>
      </w:r>
    </w:p>
    <w:p w14:paraId="74BFFD4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第2种方式：承包人按照第10.7.1项〔依法必须招标的暂估价项目〕约定的第1种方式确定暂估价项目。</w:t>
      </w:r>
    </w:p>
    <w:p w14:paraId="0464396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第3种方式：承包人直接实施的暂估价项目</w:t>
      </w:r>
    </w:p>
    <w:p w14:paraId="13F9F4B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772DC5F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210FC2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86" w:name="_Toc351203575"/>
      <w:r>
        <w:rPr>
          <w:rFonts w:hint="eastAsia" w:ascii="宋体" w:hAnsi="宋体"/>
          <w:color w:val="000000" w:themeColor="text1"/>
          <w:sz w:val="24"/>
          <w:szCs w:val="24"/>
          <w:highlight w:val="none"/>
          <w:lang w:eastAsia="zh-CN"/>
          <w14:textFill>
            <w14:solidFill>
              <w14:schemeClr w14:val="tx1"/>
            </w14:solidFill>
          </w14:textFill>
        </w:rPr>
        <w:t>1</w:t>
      </w:r>
      <w:bookmarkStart w:id="287" w:name="_Toc337558794"/>
      <w:bookmarkStart w:id="288" w:name="_Toc296346591"/>
      <w:bookmarkStart w:id="289" w:name="_Toc322522561"/>
      <w:bookmarkStart w:id="290" w:name="_Toc296503090"/>
      <w:r>
        <w:rPr>
          <w:rFonts w:hint="eastAsia" w:ascii="宋体" w:hAnsi="宋体"/>
          <w:color w:val="000000" w:themeColor="text1"/>
          <w:sz w:val="24"/>
          <w:szCs w:val="24"/>
          <w:highlight w:val="none"/>
          <w:lang w:eastAsia="zh-CN"/>
          <w14:textFill>
            <w14:solidFill>
              <w14:schemeClr w14:val="tx1"/>
            </w14:solidFill>
          </w14:textFill>
        </w:rPr>
        <w:t>0.8暂列金额</w:t>
      </w:r>
      <w:bookmarkEnd w:id="286"/>
    </w:p>
    <w:bookmarkEnd w:id="287"/>
    <w:p w14:paraId="50A7745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暂列金额应按照发包人的要求使用，发包人的要求应通过监理人发出。合同当事人可以在专用合同条款中协商确定有关事项。</w:t>
      </w:r>
    </w:p>
    <w:bookmarkEnd w:id="288"/>
    <w:bookmarkEnd w:id="289"/>
    <w:bookmarkEnd w:id="290"/>
    <w:p w14:paraId="4327CCBB">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91" w:name="_Toc351203576"/>
      <w:r>
        <w:rPr>
          <w:rFonts w:hint="eastAsia" w:ascii="宋体" w:hAnsi="宋体"/>
          <w:color w:val="000000" w:themeColor="text1"/>
          <w:sz w:val="24"/>
          <w:szCs w:val="24"/>
          <w:highlight w:val="none"/>
          <w:lang w:eastAsia="zh-CN"/>
          <w14:textFill>
            <w14:solidFill>
              <w14:schemeClr w14:val="tx1"/>
            </w14:solidFill>
          </w14:textFill>
        </w:rPr>
        <w:t>1</w:t>
      </w:r>
      <w:bookmarkStart w:id="292" w:name="_Toc296503091"/>
      <w:bookmarkStart w:id="293" w:name="_Toc296346592"/>
      <w:bookmarkStart w:id="294" w:name="_Toc337558796"/>
      <w:r>
        <w:rPr>
          <w:rFonts w:hint="eastAsia" w:ascii="宋体" w:hAnsi="宋体"/>
          <w:color w:val="000000" w:themeColor="text1"/>
          <w:sz w:val="24"/>
          <w:szCs w:val="24"/>
          <w:highlight w:val="none"/>
          <w:lang w:eastAsia="zh-CN"/>
          <w14:textFill>
            <w14:solidFill>
              <w14:schemeClr w14:val="tx1"/>
            </w14:solidFill>
          </w14:textFill>
        </w:rPr>
        <w:t>0.9计日工</w:t>
      </w:r>
      <w:bookmarkEnd w:id="291"/>
      <w:bookmarkEnd w:id="292"/>
      <w:bookmarkEnd w:id="293"/>
      <w:bookmarkEnd w:id="294"/>
    </w:p>
    <w:p w14:paraId="68E5FD9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A3DA97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采用计日工计价的任何一项工作，承包人应在该项工作实施过程中，每天提交以下报表和有关凭证报送监理人审查：</w:t>
      </w:r>
    </w:p>
    <w:p w14:paraId="0A9C56B7">
      <w:pPr>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（1）工作名称、内容和数量；</w:t>
      </w:r>
    </w:p>
    <w:p w14:paraId="2AB75B56">
      <w:pPr>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（2）投入该工作的所有人员的姓名、专业、工种、级别和耗用工时；</w:t>
      </w:r>
    </w:p>
    <w:p w14:paraId="5737B633">
      <w:pPr>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（3）投入该工作的材料类别和数量；</w:t>
      </w:r>
    </w:p>
    <w:p w14:paraId="0F55B911">
      <w:pPr>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（4）投入该工作的施工设备型号、台数和耗用台时；</w:t>
      </w:r>
    </w:p>
    <w:p w14:paraId="66A98249">
      <w:pPr>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（5）其他有关资料和凭证。</w:t>
      </w:r>
    </w:p>
    <w:p w14:paraId="0FF824CE">
      <w:pPr>
        <w:spacing w:line="360" w:lineRule="auto"/>
        <w:ind w:firstLine="360" w:firstLineChars="15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 计日工由承包人汇总后，列入最近一期进度付款申请单，由监理人审查并经发包人批准后列入进度付款。</w:t>
      </w:r>
    </w:p>
    <w:p w14:paraId="3DA8B719">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295" w:name="_Toc351203577"/>
      <w:r>
        <w:rPr>
          <w:rFonts w:hint="eastAsia"/>
          <w:b w:val="0"/>
          <w:color w:val="000000" w:themeColor="text1"/>
          <w:sz w:val="24"/>
          <w:szCs w:val="24"/>
          <w:highlight w:val="none"/>
          <w:lang w:eastAsia="zh-CN"/>
          <w14:textFill>
            <w14:solidFill>
              <w14:schemeClr w14:val="tx1"/>
            </w14:solidFill>
          </w14:textFill>
        </w:rPr>
        <w:t>11. 价格调整</w:t>
      </w:r>
      <w:bookmarkEnd w:id="295"/>
    </w:p>
    <w:p w14:paraId="0C84FFC5">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296" w:name="_Toc351203578"/>
      <w:bookmarkStart w:id="297" w:name="_Toc296346593"/>
      <w:bookmarkStart w:id="298" w:name="_Toc296503092"/>
      <w:bookmarkStart w:id="299" w:name="_Toc337558797"/>
      <w:r>
        <w:rPr>
          <w:rFonts w:hint="eastAsia" w:ascii="宋体" w:hAnsi="宋体"/>
          <w:color w:val="000000" w:themeColor="text1"/>
          <w:sz w:val="24"/>
          <w:szCs w:val="24"/>
          <w:highlight w:val="none"/>
          <w:lang w:eastAsia="zh-CN"/>
          <w14:textFill>
            <w14:solidFill>
              <w14:schemeClr w14:val="tx1"/>
            </w14:solidFill>
          </w14:textFill>
        </w:rPr>
        <w:t>11.1市场价格波动引起的调整</w:t>
      </w:r>
      <w:bookmarkEnd w:id="296"/>
    </w:p>
    <w:bookmarkEnd w:id="297"/>
    <w:bookmarkEnd w:id="298"/>
    <w:bookmarkEnd w:id="299"/>
    <w:p w14:paraId="6554D93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031D289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第1种方式：采用价格指数进行价格调整。</w:t>
      </w:r>
    </w:p>
    <w:p w14:paraId="10AAB8AB">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（1）价格调整公式</w:t>
      </w:r>
    </w:p>
    <w:p w14:paraId="007B381E">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因人工、材料和设备等价格波动影响合同价格时，根据专用合同条款中约定的数据，按以下公式计算差额并调整合同价格：</w:t>
      </w:r>
    </w:p>
    <w:p w14:paraId="12247FAA">
      <w:pPr>
        <w:tabs>
          <w:tab w:val="left" w:pos="0"/>
          <w:tab w:val="left" w:pos="360"/>
          <w:tab w:val="left" w:pos="540"/>
        </w:tabs>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position w:val="-30"/>
          <w:sz w:val="24"/>
          <w:szCs w:val="24"/>
          <w:highlight w:val="none"/>
          <w14:textFill>
            <w14:solidFill>
              <w14:schemeClr w14:val="tx1"/>
            </w14:solidFill>
          </w14:textFill>
        </w:rPr>
        <w:object>
          <v:shape id="_x0000_i1025" o:spt="75" type="#_x0000_t75" style="height:43.5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1D42490B">
      <w:pPr>
        <w:tabs>
          <w:tab w:val="left" w:pos="0"/>
          <w:tab w:val="left" w:pos="360"/>
          <w:tab w:val="left" w:pos="540"/>
        </w:tabs>
        <w:spacing w:line="360" w:lineRule="auto"/>
        <w:ind w:firstLine="64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公式中：</w:t>
      </w:r>
      <w:r>
        <w:rPr>
          <w:rFonts w:hint="eastAsia" w:ascii="宋体" w:hAnsi="宋体"/>
          <w:color w:val="000000" w:themeColor="text1"/>
          <w:sz w:val="24"/>
          <w:szCs w:val="24"/>
          <w:highlight w:val="none"/>
          <w14:textFill>
            <w14:solidFill>
              <w14:schemeClr w14:val="tx1"/>
            </w14:solidFill>
          </w14:textFill>
        </w:rPr>
        <w:t>Δ</w:t>
      </w:r>
      <w:r>
        <w:rPr>
          <w:rFonts w:hint="eastAsia" w:ascii="宋体" w:hAnsi="宋体"/>
          <w:color w:val="000000" w:themeColor="text1"/>
          <w:sz w:val="24"/>
          <w:szCs w:val="24"/>
          <w:highlight w:val="none"/>
          <w:lang w:eastAsia="zh-CN"/>
          <w14:textFill>
            <w14:solidFill>
              <w14:schemeClr w14:val="tx1"/>
            </w14:solidFill>
          </w14:textFill>
        </w:rPr>
        <w:t>P——需调整的价格差额；</w:t>
      </w:r>
    </w:p>
    <w:p w14:paraId="12F8F763">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position w:val="-6"/>
          <w:sz w:val="24"/>
          <w:szCs w:val="24"/>
          <w:highlight w:val="none"/>
          <w14:textFill>
            <w14:solidFill>
              <w14:schemeClr w14:val="tx1"/>
            </w14:solidFill>
          </w14:textFill>
        </w:rPr>
        <w:object>
          <v:shape id="_x0000_i1026" o:spt="75" type="#_x0000_t75" style="height:12pt;width:19.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color w:val="000000" w:themeColor="text1"/>
          <w:sz w:val="24"/>
          <w:szCs w:val="24"/>
          <w:highlight w:val="none"/>
          <w:lang w:eastAsia="zh-CN"/>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74375EA0">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A——定值权重（即不调部分的权重）；</w:t>
      </w:r>
    </w:p>
    <w:p w14:paraId="0B361787">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position w:val="-10"/>
          <w:sz w:val="24"/>
          <w:szCs w:val="24"/>
          <w:highlight w:val="none"/>
          <w14:textFill>
            <w14:solidFill>
              <w14:schemeClr w14:val="tx1"/>
            </w14:solidFill>
          </w14:textFill>
        </w:rPr>
        <w:object>
          <v:shape id="_x0000_i1027" o:spt="75" type="#_x0000_t75" style="height:12pt;width:95.2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color w:val="000000" w:themeColor="text1"/>
          <w:sz w:val="24"/>
          <w:szCs w:val="24"/>
          <w:highlight w:val="none"/>
          <w:lang w:eastAsia="zh-CN"/>
          <w14:textFill>
            <w14:solidFill>
              <w14:schemeClr w14:val="tx1"/>
            </w14:solidFill>
          </w14:textFill>
        </w:rPr>
        <w:t>——各可调因子的变值权重（即可调部分的权重），为各可调因子在签约合同价中所占的比例；</w:t>
      </w:r>
    </w:p>
    <w:p w14:paraId="3531476C">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position w:val="-10"/>
          <w:sz w:val="24"/>
          <w:szCs w:val="24"/>
          <w:highlight w:val="none"/>
          <w14:textFill>
            <w14:solidFill>
              <w14:schemeClr w14:val="tx1"/>
            </w14:solidFill>
          </w14:textFill>
        </w:rPr>
        <w:object>
          <v:shape id="_x0000_i1028" o:spt="75" type="#_x0000_t75" style="height:15.75pt;width:93.7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color w:val="000000" w:themeColor="text1"/>
          <w:sz w:val="24"/>
          <w:szCs w:val="24"/>
          <w:highlight w:val="none"/>
          <w:lang w:eastAsia="zh-CN"/>
          <w14:textFill>
            <w14:solidFill>
              <w14:schemeClr w14:val="tx1"/>
            </w14:solidFill>
          </w14:textFill>
        </w:rPr>
        <w:t>——各可调因子的现行价格指数，指约定的付款证书相关周期最后一天的前42天的各可调因子的价格指数；</w:t>
      </w:r>
    </w:p>
    <w:p w14:paraId="3E8DC89C">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position w:val="-10"/>
          <w:sz w:val="24"/>
          <w:szCs w:val="24"/>
          <w:highlight w:val="none"/>
          <w14:textFill>
            <w14:solidFill>
              <w14:schemeClr w14:val="tx1"/>
            </w14:solidFill>
          </w14:textFill>
        </w:rPr>
        <w:object>
          <v:shape id="_x0000_i1029" o:spt="75" type="#_x0000_t75" style="height:15.75pt;width:106.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color w:val="000000" w:themeColor="text1"/>
          <w:sz w:val="24"/>
          <w:szCs w:val="24"/>
          <w:highlight w:val="none"/>
          <w:lang w:eastAsia="zh-CN"/>
          <w14:textFill>
            <w14:solidFill>
              <w14:schemeClr w14:val="tx1"/>
            </w14:solidFill>
          </w14:textFill>
        </w:rPr>
        <w:t>——各可调因子的基本价格指数，指基准日期的各可调因子的价格指数。</w:t>
      </w:r>
    </w:p>
    <w:p w14:paraId="6055E25C">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9D9CD85">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（2）暂时确定调整差额</w:t>
      </w:r>
    </w:p>
    <w:p w14:paraId="13AE48F3">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在计算调整差额时无现行价格指数的，合同当事人同意暂用前次价格指数计算。实际价格指数有调整的，合同当事人进行相应调整。</w:t>
      </w:r>
    </w:p>
    <w:p w14:paraId="20315FC1">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（3）权重的调整</w:t>
      </w:r>
    </w:p>
    <w:p w14:paraId="213341E9">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因变更导致合同约定的权重不合理时，按照第4.4款〔商定或确定〕执行。</w:t>
      </w:r>
    </w:p>
    <w:p w14:paraId="46745678">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（4）因承包人原因工期延误后的价格调整</w:t>
      </w:r>
    </w:p>
    <w:p w14:paraId="782616BA">
      <w:pPr>
        <w:tabs>
          <w:tab w:val="left" w:pos="0"/>
          <w:tab w:val="left" w:pos="360"/>
          <w:tab w:val="left" w:pos="540"/>
        </w:tabs>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6842D54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第2种方式：采用造价信息进行价格调整。</w:t>
      </w:r>
    </w:p>
    <w:p w14:paraId="66FDF55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7BADD6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6CDAD5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（2）材料、工程设备价格变化的价款调整按照发包人提供的基准价格，按以下风险范围规定执行:</w:t>
      </w:r>
    </w:p>
    <w:p w14:paraId="6B7F970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①</w:t>
      </w:r>
      <w:r>
        <w:rPr>
          <w:rFonts w:hint="eastAsia" w:ascii="宋体" w:hAnsi="宋体"/>
          <w:color w:val="000000" w:themeColor="text1"/>
          <w:sz w:val="24"/>
          <w:szCs w:val="24"/>
          <w:highlight w:val="none"/>
          <w:lang w:eastAsia="zh-CN"/>
          <w14:textFill>
            <w14:solidFill>
              <w14:schemeClr w14:val="tx1"/>
            </w14:solidFill>
          </w14:textFill>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8D2D39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②</w:t>
      </w:r>
      <w:r>
        <w:rPr>
          <w:rFonts w:hint="eastAsia" w:ascii="宋体" w:hAnsi="宋体"/>
          <w:color w:val="000000" w:themeColor="text1"/>
          <w:sz w:val="24"/>
          <w:szCs w:val="24"/>
          <w:highlight w:val="none"/>
          <w:lang w:eastAsia="zh-CN"/>
          <w14:textFill>
            <w14:solidFill>
              <w14:schemeClr w14:val="tx1"/>
            </w14:solidFill>
          </w14:textFill>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B0D450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③</w:t>
      </w:r>
      <w:r>
        <w:rPr>
          <w:rFonts w:hint="eastAsia" w:ascii="宋体" w:hAnsi="宋体"/>
          <w:color w:val="000000" w:themeColor="text1"/>
          <w:sz w:val="24"/>
          <w:szCs w:val="24"/>
          <w:highlight w:val="none"/>
          <w:lang w:eastAsia="zh-CN"/>
          <w14:textFill>
            <w14:solidFill>
              <w14:schemeClr w14:val="tx1"/>
            </w14:solidFill>
          </w14:textFill>
        </w:rPr>
        <w:t>承包人在已标价工程量清单或预算书中载明材料单价等于基准价格的：除专用合同条款另有约定外，合同履行期间材料单价涨跌幅以基准价格为基础超过±5%时，其超过部分据实调整。</w:t>
      </w:r>
    </w:p>
    <w:p w14:paraId="771D848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④</w:t>
      </w:r>
      <w:r>
        <w:rPr>
          <w:rFonts w:hint="eastAsia" w:ascii="宋体" w:hAnsi="宋体"/>
          <w:color w:val="000000" w:themeColor="text1"/>
          <w:sz w:val="24"/>
          <w:szCs w:val="24"/>
          <w:highlight w:val="none"/>
          <w:lang w:eastAsia="zh-CN"/>
          <w14:textFill>
            <w14:solidFill>
              <w14:schemeClr w14:val="tx1"/>
            </w14:solidFill>
          </w14:textFill>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271A2A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1C7AC84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2D610D5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第3种方式：专用合同条款约定的其他方式。</w:t>
      </w:r>
    </w:p>
    <w:p w14:paraId="7F490D5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00" w:name="_Toc351203579"/>
      <w:bookmarkStart w:id="301" w:name="_Toc337558798"/>
      <w:bookmarkStart w:id="302" w:name="_Toc296346594"/>
      <w:bookmarkStart w:id="303" w:name="_Toc296503093"/>
      <w:r>
        <w:rPr>
          <w:rFonts w:hint="eastAsia" w:ascii="宋体" w:hAnsi="宋体"/>
          <w:color w:val="000000" w:themeColor="text1"/>
          <w:sz w:val="24"/>
          <w:szCs w:val="24"/>
          <w:highlight w:val="none"/>
          <w:lang w:eastAsia="zh-CN"/>
          <w14:textFill>
            <w14:solidFill>
              <w14:schemeClr w14:val="tx1"/>
            </w14:solidFill>
          </w14:textFill>
        </w:rPr>
        <w:t>11.2法律变化引起的调整</w:t>
      </w:r>
      <w:bookmarkEnd w:id="300"/>
    </w:p>
    <w:bookmarkEnd w:id="301"/>
    <w:bookmarkEnd w:id="302"/>
    <w:bookmarkEnd w:id="303"/>
    <w:p w14:paraId="30914A1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0D4813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因法律变化引起的合同价格和工期调整，合同当事人无法达成一致的，由总监理工程师按第4.4款〔商定或确定〕的约定处理。</w:t>
      </w:r>
    </w:p>
    <w:p w14:paraId="036DF68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因承包人原因造成工期延误，在工期延误期间出现法律变化的，由此增加的费用和（或）延误的工期由承包人承担。</w:t>
      </w:r>
    </w:p>
    <w:p w14:paraId="2C980AFD">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304" w:name="_Toc351203580"/>
      <w:bookmarkStart w:id="305" w:name="_Toc337558799"/>
      <w:bookmarkStart w:id="306" w:name="_Toc296503096"/>
      <w:bookmarkStart w:id="307" w:name="_Toc296346597"/>
      <w:r>
        <w:rPr>
          <w:rFonts w:hint="eastAsia"/>
          <w:b w:val="0"/>
          <w:color w:val="000000" w:themeColor="text1"/>
          <w:sz w:val="24"/>
          <w:szCs w:val="24"/>
          <w:highlight w:val="none"/>
          <w:lang w:eastAsia="zh-CN"/>
          <w14:textFill>
            <w14:solidFill>
              <w14:schemeClr w14:val="tx1"/>
            </w14:solidFill>
          </w14:textFill>
        </w:rPr>
        <w:t>12. 合同价格、计量与支付</w:t>
      </w:r>
      <w:bookmarkEnd w:id="304"/>
    </w:p>
    <w:bookmarkEnd w:id="305"/>
    <w:p w14:paraId="5FEA533E">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08" w:name="_Toc351203581"/>
      <w:bookmarkStart w:id="309" w:name="_Toc337558800"/>
      <w:r>
        <w:rPr>
          <w:rFonts w:hint="eastAsia" w:ascii="宋体" w:hAnsi="宋体"/>
          <w:color w:val="000000" w:themeColor="text1"/>
          <w:sz w:val="24"/>
          <w:szCs w:val="24"/>
          <w:highlight w:val="none"/>
          <w:lang w:eastAsia="zh-CN"/>
          <w14:textFill>
            <w14:solidFill>
              <w14:schemeClr w14:val="tx1"/>
            </w14:solidFill>
          </w14:textFill>
        </w:rPr>
        <w:t>12.1 合同价</w:t>
      </w:r>
      <w:bookmarkEnd w:id="306"/>
      <w:bookmarkEnd w:id="307"/>
      <w:r>
        <w:rPr>
          <w:rFonts w:hint="eastAsia" w:ascii="宋体" w:hAnsi="宋体"/>
          <w:color w:val="000000" w:themeColor="text1"/>
          <w:sz w:val="24"/>
          <w:szCs w:val="24"/>
          <w:highlight w:val="none"/>
          <w:lang w:eastAsia="zh-CN"/>
          <w14:textFill>
            <w14:solidFill>
              <w14:schemeClr w14:val="tx1"/>
            </w14:solidFill>
          </w14:textFill>
        </w:rPr>
        <w:t>格形式</w:t>
      </w:r>
      <w:bookmarkEnd w:id="308"/>
    </w:p>
    <w:bookmarkEnd w:id="309"/>
    <w:p w14:paraId="3B88485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发包人和承包人应在合同协议书中选择下列一种合同价格形式： </w:t>
      </w:r>
    </w:p>
    <w:p w14:paraId="764D05A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1、单价合同</w:t>
      </w:r>
    </w:p>
    <w:p w14:paraId="03DDD64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7071D46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2、总价合同</w:t>
      </w:r>
    </w:p>
    <w:p w14:paraId="59ED79B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663FBB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3、其它价格形式</w:t>
      </w:r>
    </w:p>
    <w:p w14:paraId="44BD3E5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合同当事人可在专用合同条款中约定其他合同价格形式。</w:t>
      </w:r>
    </w:p>
    <w:p w14:paraId="2B0DE17B">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10" w:name="_Toc296346598"/>
      <w:bookmarkStart w:id="311" w:name="_Toc296503097"/>
      <w:bookmarkStart w:id="312" w:name="_Toc351203582"/>
      <w:bookmarkStart w:id="313" w:name="_Toc337558801"/>
      <w:r>
        <w:rPr>
          <w:rFonts w:hint="eastAsia" w:ascii="宋体" w:hAnsi="宋体"/>
          <w:color w:val="000000" w:themeColor="text1"/>
          <w:sz w:val="24"/>
          <w:szCs w:val="24"/>
          <w:highlight w:val="none"/>
          <w:lang w:eastAsia="zh-CN"/>
          <w14:textFill>
            <w14:solidFill>
              <w14:schemeClr w14:val="tx1"/>
            </w14:solidFill>
          </w14:textFill>
        </w:rPr>
        <w:t>12.2预</w:t>
      </w:r>
      <w:bookmarkEnd w:id="310"/>
      <w:bookmarkEnd w:id="311"/>
      <w:bookmarkStart w:id="314" w:name="_Toc296503100"/>
      <w:bookmarkStart w:id="315" w:name="_Toc296346601"/>
      <w:r>
        <w:rPr>
          <w:rFonts w:hint="eastAsia" w:ascii="宋体" w:hAnsi="宋体"/>
          <w:color w:val="000000" w:themeColor="text1"/>
          <w:sz w:val="24"/>
          <w:szCs w:val="24"/>
          <w:highlight w:val="none"/>
          <w:lang w:eastAsia="zh-CN"/>
          <w14:textFill>
            <w14:solidFill>
              <w14:schemeClr w14:val="tx1"/>
            </w14:solidFill>
          </w14:textFill>
        </w:rPr>
        <w:t>付款</w:t>
      </w:r>
      <w:bookmarkEnd w:id="312"/>
    </w:p>
    <w:bookmarkEnd w:id="313"/>
    <w:bookmarkEnd w:id="314"/>
    <w:bookmarkEnd w:id="315"/>
    <w:p w14:paraId="4E8FFCE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12.2.1预付款的支付</w:t>
      </w:r>
    </w:p>
    <w:p w14:paraId="04E6263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14:paraId="0C553FA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除专用合同条款另有约定外，预付款在进度付款中同比例扣回。在颁发工程接收证书前，提前解除合同的，尚未扣完的预付款应与合同价款一并结算。</w:t>
      </w:r>
    </w:p>
    <w:p w14:paraId="3D77FFE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3FA0FBA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12.2.2 预付款担保</w:t>
      </w:r>
    </w:p>
    <w:p w14:paraId="1DE36BD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8AC209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发包人在工程款中逐期扣回预付款后，预付款担保额度应相应减少，但剩余的预付款担保金额不得低于未被扣回的预付款金额。</w:t>
      </w:r>
    </w:p>
    <w:p w14:paraId="3E6A4D3E">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16" w:name="_Toc351203583"/>
      <w:bookmarkStart w:id="317" w:name="_Toc337558802"/>
      <w:r>
        <w:rPr>
          <w:rFonts w:hint="eastAsia" w:ascii="宋体" w:hAnsi="宋体"/>
          <w:color w:val="000000" w:themeColor="text1"/>
          <w:sz w:val="24"/>
          <w:szCs w:val="24"/>
          <w:highlight w:val="none"/>
          <w:lang w:eastAsia="zh-CN"/>
          <w14:textFill>
            <w14:solidFill>
              <w14:schemeClr w14:val="tx1"/>
            </w14:solidFill>
          </w14:textFill>
        </w:rPr>
        <w:t>12.3计量</w:t>
      </w:r>
      <w:bookmarkEnd w:id="316"/>
    </w:p>
    <w:bookmarkEnd w:id="317"/>
    <w:p w14:paraId="0F2212F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12.3.1 计量原则</w:t>
      </w:r>
    </w:p>
    <w:p w14:paraId="293DBC6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4072C51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12.3.2 计量周期</w:t>
      </w:r>
    </w:p>
    <w:p w14:paraId="0DFFEA3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除专用合同条款另有约定外，工程量的计量按月进行。</w:t>
      </w:r>
    </w:p>
    <w:p w14:paraId="2DC9C25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12.3.3 单价合同的计量</w:t>
      </w:r>
    </w:p>
    <w:p w14:paraId="30311C1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除专用合同条款另有约定外，单价合同的计量按照本项约定执行：</w:t>
      </w:r>
    </w:p>
    <w:p w14:paraId="671020D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（1）承包人应于每月25日向监理人报送上月20日至当月19日已完成的工程量报告，并附具进度付款申请单、已完成工程量报表和有关资料。</w:t>
      </w:r>
    </w:p>
    <w:p w14:paraId="70C964B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929EE0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589CDD0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12.3.4 总价合同的计量</w:t>
      </w:r>
    </w:p>
    <w:p w14:paraId="14D7493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除专用合同条款另有约定外，按月计量支付的总价合同，按照本项约定执行：</w:t>
      </w:r>
    </w:p>
    <w:p w14:paraId="2220219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（1）承包人应于每月25日向监理人报送上月20日至当月19日已完成的工程量报告，并附具进度付款申请单、已完成工程量报表和有关资料。</w:t>
      </w:r>
    </w:p>
    <w:p w14:paraId="45B46AB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56E499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（3）监理人未在收到承包人提交的工程量报表后的7天内完成复核的，承包人提交的工程量报告中的工程量视为承包人实际完成的工程量。</w:t>
      </w:r>
    </w:p>
    <w:p w14:paraId="630AFE2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12.3.5 总价合同采用支付分解表计量支付的，可以按照第12.3.4项〔总价合同的计量〕约定进行计量，但合同价款按照支付分解表进行支付。</w:t>
      </w:r>
    </w:p>
    <w:p w14:paraId="37C4EA2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12.3.6 </w:t>
      </w:r>
      <w:r>
        <w:rPr>
          <w:rFonts w:hint="eastAsia" w:ascii="宋体" w:hAnsi="宋体"/>
          <w:color w:val="000000" w:themeColor="text1"/>
          <w:sz w:val="24"/>
          <w:szCs w:val="24"/>
          <w:highlight w:val="none"/>
          <w:lang w:eastAsia="zh-CN"/>
          <w14:textFill>
            <w14:solidFill>
              <w14:schemeClr w14:val="tx1"/>
            </w14:solidFill>
          </w14:textFill>
        </w:rPr>
        <w:t>其他价格形式合同的计量</w:t>
      </w:r>
    </w:p>
    <w:p w14:paraId="18576E5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合同当事人可在专用合同条款中约定其他价格形式合同的计量方式和程序。</w:t>
      </w:r>
    </w:p>
    <w:p w14:paraId="6D303AAB">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18" w:name="_Toc296346602"/>
      <w:bookmarkStart w:id="319" w:name="_Toc296503101"/>
      <w:bookmarkStart w:id="320" w:name="_Toc351203584"/>
      <w:bookmarkStart w:id="321" w:name="_Toc337558803"/>
      <w:r>
        <w:rPr>
          <w:rFonts w:ascii="宋体" w:hAnsi="宋体"/>
          <w:color w:val="000000" w:themeColor="text1"/>
          <w:sz w:val="24"/>
          <w:szCs w:val="24"/>
          <w:highlight w:val="none"/>
          <w:lang w:eastAsia="zh-CN"/>
          <w14:textFill>
            <w14:solidFill>
              <w14:schemeClr w14:val="tx1"/>
            </w14:solidFill>
          </w14:textFill>
        </w:rPr>
        <w:t>12.4工程进度款支</w:t>
      </w:r>
      <w:bookmarkEnd w:id="318"/>
      <w:bookmarkEnd w:id="319"/>
      <w:r>
        <w:rPr>
          <w:rFonts w:hint="eastAsia" w:ascii="宋体" w:hAnsi="宋体"/>
          <w:color w:val="000000" w:themeColor="text1"/>
          <w:sz w:val="24"/>
          <w:szCs w:val="24"/>
          <w:highlight w:val="none"/>
          <w:lang w:eastAsia="zh-CN"/>
          <w14:textFill>
            <w14:solidFill>
              <w14:schemeClr w14:val="tx1"/>
            </w14:solidFill>
          </w14:textFill>
        </w:rPr>
        <w:t>付</w:t>
      </w:r>
      <w:bookmarkEnd w:id="320"/>
    </w:p>
    <w:bookmarkEnd w:id="321"/>
    <w:p w14:paraId="6E47AE2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12.4.1 </w:t>
      </w:r>
      <w:r>
        <w:rPr>
          <w:rFonts w:hint="eastAsia" w:ascii="宋体" w:hAnsi="宋体"/>
          <w:color w:val="000000" w:themeColor="text1"/>
          <w:sz w:val="24"/>
          <w:szCs w:val="24"/>
          <w:highlight w:val="none"/>
          <w:lang w:eastAsia="zh-CN"/>
          <w14:textFill>
            <w14:solidFill>
              <w14:schemeClr w14:val="tx1"/>
            </w14:solidFill>
          </w14:textFill>
        </w:rPr>
        <w:t>付款周期</w:t>
      </w:r>
    </w:p>
    <w:p w14:paraId="4EEFF32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除专用合同条款另有约定外，付款周期应按照第</w:t>
      </w:r>
      <w:r>
        <w:rPr>
          <w:rFonts w:ascii="宋体" w:hAnsi="宋体"/>
          <w:color w:val="000000" w:themeColor="text1"/>
          <w:sz w:val="24"/>
          <w:szCs w:val="24"/>
          <w:highlight w:val="none"/>
          <w:lang w:eastAsia="zh-CN"/>
          <w14:textFill>
            <w14:solidFill>
              <w14:schemeClr w14:val="tx1"/>
            </w14:solidFill>
          </w14:textFill>
        </w:rPr>
        <w:t>12.3.2项〔计量周期〕的约定与计量周期保持一致。</w:t>
      </w:r>
    </w:p>
    <w:p w14:paraId="664F8D1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12.4.2 </w:t>
      </w:r>
      <w:r>
        <w:rPr>
          <w:rFonts w:hint="eastAsia" w:ascii="宋体" w:hAnsi="宋体"/>
          <w:color w:val="000000" w:themeColor="text1"/>
          <w:sz w:val="24"/>
          <w:szCs w:val="24"/>
          <w:highlight w:val="none"/>
          <w:lang w:eastAsia="zh-CN"/>
          <w14:textFill>
            <w14:solidFill>
              <w14:schemeClr w14:val="tx1"/>
            </w14:solidFill>
          </w14:textFill>
        </w:rPr>
        <w:t>进度付款申请单的编制</w:t>
      </w:r>
    </w:p>
    <w:p w14:paraId="14E54DA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除专用合同条款另有约定外，进度付款申请单应包括下列内容：</w:t>
      </w:r>
    </w:p>
    <w:p w14:paraId="3BDFE6E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1）截至本次付款周期已完成工作对应的金额；</w:t>
      </w:r>
    </w:p>
    <w:p w14:paraId="17A984A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2）根据第10条〔变更〕应增加和扣减的变更金额；</w:t>
      </w:r>
    </w:p>
    <w:p w14:paraId="5D52F3F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3）根据第12.2款〔预付款〕约定应支付的预付款和扣减的返还预付款；</w:t>
      </w:r>
    </w:p>
    <w:p w14:paraId="52669A9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4）根据第15.3款〔质量保证金〕约定应扣减的质量保证金；</w:t>
      </w:r>
    </w:p>
    <w:p w14:paraId="45451B0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5）根据第19条〔索赔〕应增加和扣减的索赔金额；</w:t>
      </w:r>
    </w:p>
    <w:p w14:paraId="072A874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6）对已签发的进度款支付证书中出现错误的修正，应在本次进度付款中支付或扣除的金额；</w:t>
      </w:r>
    </w:p>
    <w:p w14:paraId="059571D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7）根据合同约定应增加和扣减的其他金额。</w:t>
      </w:r>
    </w:p>
    <w:p w14:paraId="513BEE1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12.4.3 进度付款申请单的提交</w:t>
      </w:r>
    </w:p>
    <w:p w14:paraId="0328A9D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（1）单价合同进度付款申请单的提交</w:t>
      </w:r>
    </w:p>
    <w:p w14:paraId="4A076DC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A0B1D4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（2）总价合同进度付款申请单的提交</w:t>
      </w:r>
    </w:p>
    <w:p w14:paraId="376ED6D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3234590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总价合同按支付分解表支付的，承包人应按照第12.4.6项〔支付分解表〕及第12.4.2项〔进度付款申请单的编制〕的约定向监理人提交进度付款申请单。</w:t>
      </w:r>
    </w:p>
    <w:p w14:paraId="1D4875D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（3）其他价格形式合同的进度付款申请单的提交</w:t>
      </w:r>
    </w:p>
    <w:p w14:paraId="7FDD0B6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合同当事人可在专用合同条款中约定其他价格形式合同的进度付款申请单的编制和提交程序。</w:t>
      </w:r>
    </w:p>
    <w:p w14:paraId="5E0B298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12.4.4 进度款审核和支付</w:t>
      </w:r>
    </w:p>
    <w:p w14:paraId="6D4552B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7844B6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color w:val="000000" w:themeColor="text1"/>
          <w:sz w:val="24"/>
          <w:szCs w:val="24"/>
          <w:highlight w:val="none"/>
          <w:lang w:eastAsia="zh-CN"/>
          <w14:textFill>
            <w14:solidFill>
              <w14:schemeClr w14:val="tx1"/>
            </w14:solidFill>
          </w14:textFill>
        </w:rPr>
        <w:t>7天内完成审查并报送发包人，发包人应在收到监理人报送的进度付款申请单及相关资料后7天内，向承包人签发无异议部分的临时进度款支付证书。存在争议的部分，按照第20条〔争议解决〕的约定处理。</w:t>
      </w:r>
    </w:p>
    <w:p w14:paraId="494D2BA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30903D7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3）发包人签发进度款支付证书或临时进度款支付证书，不表明发包人已同意、批准或接受了承包人完成的相应部分的工作。</w:t>
      </w:r>
    </w:p>
    <w:p w14:paraId="289401D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12.4.5 </w:t>
      </w:r>
      <w:r>
        <w:rPr>
          <w:rFonts w:hint="eastAsia" w:ascii="宋体" w:hAnsi="宋体"/>
          <w:color w:val="000000" w:themeColor="text1"/>
          <w:sz w:val="24"/>
          <w:szCs w:val="24"/>
          <w:highlight w:val="none"/>
          <w:lang w:eastAsia="zh-CN"/>
          <w14:textFill>
            <w14:solidFill>
              <w14:schemeClr w14:val="tx1"/>
            </w14:solidFill>
          </w14:textFill>
        </w:rPr>
        <w:t>进度付款的修正</w:t>
      </w:r>
    </w:p>
    <w:p w14:paraId="51173A4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0323468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12.4.6 </w:t>
      </w:r>
      <w:r>
        <w:rPr>
          <w:rFonts w:hint="eastAsia" w:ascii="宋体" w:hAnsi="宋体"/>
          <w:color w:val="000000" w:themeColor="text1"/>
          <w:sz w:val="24"/>
          <w:szCs w:val="24"/>
          <w:highlight w:val="none"/>
          <w:lang w:eastAsia="zh-CN"/>
          <w14:textFill>
            <w14:solidFill>
              <w14:schemeClr w14:val="tx1"/>
            </w14:solidFill>
          </w14:textFill>
        </w:rPr>
        <w:t>支付分解表</w:t>
      </w:r>
    </w:p>
    <w:p w14:paraId="7B5489B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1、支付分解表的编制要求</w:t>
      </w:r>
    </w:p>
    <w:p w14:paraId="753537C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1）支付分解表中所列的每期付款金额，应为第12.4.2项〔进度付款申请单的编制〕</w:t>
      </w:r>
      <w:r>
        <w:rPr>
          <w:rFonts w:hint="eastAsia" w:ascii="宋体" w:hAnsi="宋体"/>
          <w:color w:val="000000" w:themeColor="text1"/>
          <w:sz w:val="24"/>
          <w:szCs w:val="24"/>
          <w:highlight w:val="none"/>
          <w:lang w:eastAsia="zh-CN"/>
          <w14:textFill>
            <w14:solidFill>
              <w14:schemeClr w14:val="tx1"/>
            </w14:solidFill>
          </w14:textFill>
        </w:rPr>
        <w:t>第（</w:t>
      </w:r>
      <w:r>
        <w:rPr>
          <w:rFonts w:ascii="宋体" w:hAnsi="宋体"/>
          <w:color w:val="000000" w:themeColor="text1"/>
          <w:sz w:val="24"/>
          <w:szCs w:val="24"/>
          <w:highlight w:val="none"/>
          <w:lang w:eastAsia="zh-CN"/>
          <w14:textFill>
            <w14:solidFill>
              <w14:schemeClr w14:val="tx1"/>
            </w14:solidFill>
          </w14:textFill>
        </w:rPr>
        <w:t>1）目的估算金额；</w:t>
      </w:r>
    </w:p>
    <w:p w14:paraId="15A9EAD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2）实际进度与施工进度计划不一致的，合同当事人可按照第4.4款〔商定或确定〕修改支付分解表；</w:t>
      </w:r>
    </w:p>
    <w:p w14:paraId="32A4203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3）不采用支付分解表的，承包人应向发包人和监理人提交按季度编制的支付估算分解表，用于支付参考。</w:t>
      </w:r>
    </w:p>
    <w:p w14:paraId="5D73AD9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2、总价合同支付分解表的编制与审批</w:t>
      </w:r>
    </w:p>
    <w:p w14:paraId="39D7B07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299453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6D01C245">
      <w:pPr>
        <w:spacing w:line="360" w:lineRule="auto"/>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    （3）发包人逾期未完成支付分解表审批的，也未及时要求承包人进行修正和提供补充资料的，则承包人提交的支付分解表视为已经获得发包人批准。</w:t>
      </w:r>
    </w:p>
    <w:p w14:paraId="7786C91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3、单价合同的总价项目支付分解表的编制与审批</w:t>
      </w:r>
    </w:p>
    <w:p w14:paraId="08DDC3F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EB476C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22" w:name="_Toc351203585"/>
      <w:r>
        <w:rPr>
          <w:rFonts w:ascii="宋体" w:hAnsi="宋体"/>
          <w:color w:val="000000" w:themeColor="text1"/>
          <w:sz w:val="24"/>
          <w:szCs w:val="24"/>
          <w:highlight w:val="none"/>
          <w:lang w:eastAsia="zh-CN"/>
          <w14:textFill>
            <w14:solidFill>
              <w14:schemeClr w14:val="tx1"/>
            </w14:solidFill>
          </w14:textFill>
        </w:rPr>
        <w:t>12.5支付账户</w:t>
      </w:r>
      <w:bookmarkEnd w:id="322"/>
    </w:p>
    <w:p w14:paraId="2C3DC78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发包人应将合同价款支付至合同协议书中约定的承包人账户。</w:t>
      </w:r>
    </w:p>
    <w:p w14:paraId="591B421B">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323" w:name="_Toc351203586"/>
      <w:bookmarkStart w:id="324" w:name="_Toc296503106"/>
      <w:bookmarkStart w:id="325" w:name="_Toc322522574"/>
      <w:bookmarkStart w:id="326" w:name="_Toc296346607"/>
      <w:bookmarkStart w:id="327" w:name="_Toc337558804"/>
      <w:r>
        <w:rPr>
          <w:b w:val="0"/>
          <w:color w:val="000000" w:themeColor="text1"/>
          <w:sz w:val="24"/>
          <w:szCs w:val="24"/>
          <w:highlight w:val="none"/>
          <w:lang w:eastAsia="zh-CN"/>
          <w14:textFill>
            <w14:solidFill>
              <w14:schemeClr w14:val="tx1"/>
            </w14:solidFill>
          </w14:textFill>
        </w:rPr>
        <w:t xml:space="preserve">13. </w:t>
      </w:r>
      <w:r>
        <w:rPr>
          <w:rFonts w:hint="eastAsia"/>
          <w:b w:val="0"/>
          <w:color w:val="000000" w:themeColor="text1"/>
          <w:sz w:val="24"/>
          <w:szCs w:val="24"/>
          <w:highlight w:val="none"/>
          <w:lang w:eastAsia="zh-CN"/>
          <w14:textFill>
            <w14:solidFill>
              <w14:schemeClr w14:val="tx1"/>
            </w14:solidFill>
          </w14:textFill>
        </w:rPr>
        <w:t>验收和工程试车</w:t>
      </w:r>
      <w:bookmarkEnd w:id="323"/>
    </w:p>
    <w:bookmarkEnd w:id="324"/>
    <w:bookmarkEnd w:id="325"/>
    <w:bookmarkEnd w:id="326"/>
    <w:bookmarkEnd w:id="327"/>
    <w:p w14:paraId="05C3E00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28" w:name="_Toc351203587"/>
      <w:bookmarkStart w:id="329" w:name="_Toc337558805"/>
      <w:bookmarkStart w:id="330" w:name="_Toc296346611"/>
      <w:bookmarkStart w:id="331" w:name="_Toc296503110"/>
      <w:r>
        <w:rPr>
          <w:rFonts w:ascii="宋体" w:hAnsi="宋体"/>
          <w:color w:val="000000" w:themeColor="text1"/>
          <w:sz w:val="24"/>
          <w:szCs w:val="24"/>
          <w:highlight w:val="none"/>
          <w:lang w:eastAsia="zh-CN"/>
          <w14:textFill>
            <w14:solidFill>
              <w14:schemeClr w14:val="tx1"/>
            </w14:solidFill>
          </w14:textFill>
        </w:rPr>
        <w:t>13.1分部分项工程验收</w:t>
      </w:r>
      <w:bookmarkEnd w:id="328"/>
    </w:p>
    <w:bookmarkEnd w:id="329"/>
    <w:p w14:paraId="4676145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13.1.1 </w:t>
      </w:r>
      <w:r>
        <w:rPr>
          <w:rFonts w:hint="eastAsia" w:ascii="宋体" w:hAnsi="宋体"/>
          <w:color w:val="000000" w:themeColor="text1"/>
          <w:sz w:val="24"/>
          <w:szCs w:val="24"/>
          <w:highlight w:val="none"/>
          <w:lang w:eastAsia="zh-CN"/>
          <w14:textFill>
            <w14:solidFill>
              <w14:schemeClr w14:val="tx1"/>
            </w14:solidFill>
          </w14:textFill>
        </w:rPr>
        <w:t>分部分项工程质量应符合国家有关工程施工验收规范、标准及合同约定，承包人应按照施工组织设计的要求完成分部分项工程施工。</w:t>
      </w:r>
    </w:p>
    <w:p w14:paraId="3AF6C5A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13.1.2 </w:t>
      </w:r>
      <w:r>
        <w:rPr>
          <w:rFonts w:hint="eastAsia" w:ascii="宋体" w:hAnsi="宋体"/>
          <w:color w:val="000000" w:themeColor="text1"/>
          <w:sz w:val="24"/>
          <w:szCs w:val="24"/>
          <w:highlight w:val="none"/>
          <w:lang w:eastAsia="zh-CN"/>
          <w14:textFill>
            <w14:solidFill>
              <w14:schemeClr w14:val="tx1"/>
            </w14:solidFill>
          </w14:textFill>
        </w:rPr>
        <w:t>除专用合同条款另有约定外，分部分项工程经承包人自检合格并具备验收条件的，承包人应提前</w:t>
      </w:r>
      <w:r>
        <w:rPr>
          <w:rFonts w:ascii="宋体" w:hAnsi="宋体"/>
          <w:color w:val="000000" w:themeColor="text1"/>
          <w:sz w:val="24"/>
          <w:szCs w:val="24"/>
          <w:highlight w:val="none"/>
          <w:lang w:eastAsia="zh-CN"/>
          <w14:textFill>
            <w14:solidFill>
              <w14:schemeClr w14:val="tx1"/>
            </w14:solidFill>
          </w14:textFill>
        </w:rPr>
        <w:t>48小时通知监理人进行验收。</w:t>
      </w:r>
      <w:r>
        <w:rPr>
          <w:rFonts w:hint="eastAsia" w:ascii="宋体" w:hAnsi="宋体"/>
          <w:color w:val="000000" w:themeColor="text1"/>
          <w:sz w:val="24"/>
          <w:szCs w:val="24"/>
          <w:highlight w:val="none"/>
          <w:lang w:eastAsia="zh-CN"/>
          <w14:textFill>
            <w14:solidFill>
              <w14:schemeClr w14:val="tx1"/>
            </w14:solidFill>
          </w14:textFill>
        </w:rPr>
        <w:t>监理人不能按时进行验收的，应在验收前</w:t>
      </w:r>
      <w:r>
        <w:rPr>
          <w:rFonts w:ascii="宋体" w:hAnsi="宋体"/>
          <w:color w:val="000000" w:themeColor="text1"/>
          <w:sz w:val="24"/>
          <w:szCs w:val="24"/>
          <w:highlight w:val="none"/>
          <w:lang w:eastAsia="zh-CN"/>
          <w14:textFill>
            <w14:solidFill>
              <w14:schemeClr w14:val="tx1"/>
            </w14:solidFill>
          </w14:textFill>
        </w:rPr>
        <w:t>24小时向承包人提交书面延期要求，但延期不能超过48小时。监理人未按时进行验收，也未提出延期要求的，承包人有权自行验收，监理人应认可验收结果。分部分项工程未经验收的，不得进入下一道工序施工。</w:t>
      </w:r>
    </w:p>
    <w:p w14:paraId="2809DAD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分部分项工程的验收资料应当作为竣工资料的组成部分。</w:t>
      </w:r>
    </w:p>
    <w:p w14:paraId="1D1DE412">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32" w:name="_Toc351203588"/>
      <w:bookmarkStart w:id="333" w:name="_Toc337558806"/>
      <w:r>
        <w:rPr>
          <w:rFonts w:ascii="宋体" w:hAnsi="宋体"/>
          <w:color w:val="000000" w:themeColor="text1"/>
          <w:sz w:val="24"/>
          <w:szCs w:val="24"/>
          <w:highlight w:val="none"/>
          <w:lang w:eastAsia="zh-CN"/>
          <w14:textFill>
            <w14:solidFill>
              <w14:schemeClr w14:val="tx1"/>
            </w14:solidFill>
          </w14:textFill>
        </w:rPr>
        <w:t>13.2竣工验收</w:t>
      </w:r>
      <w:bookmarkEnd w:id="332"/>
    </w:p>
    <w:bookmarkEnd w:id="330"/>
    <w:bookmarkEnd w:id="331"/>
    <w:bookmarkEnd w:id="333"/>
    <w:p w14:paraId="1EC3383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13.2.1竣工验收条件</w:t>
      </w:r>
    </w:p>
    <w:p w14:paraId="4250803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工程具备以下条件的，承包人可以申请竣工验收：</w:t>
      </w:r>
    </w:p>
    <w:p w14:paraId="255420A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2774F8D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2）已按合同约定编制了甩项工作和缺陷修补工作清单以及相应的施工计划；</w:t>
      </w:r>
    </w:p>
    <w:p w14:paraId="4D7A171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3）已按合同约定的内容和份数备齐竣工资料。</w:t>
      </w:r>
    </w:p>
    <w:p w14:paraId="5FD554F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13.2.2竣工验收程序</w:t>
      </w:r>
    </w:p>
    <w:p w14:paraId="1628EEE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除专用合同条款另有约定外，承包人申请竣工验收的，应当按照以下程序进行：</w:t>
      </w:r>
    </w:p>
    <w:p w14:paraId="3B62F59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E7415C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674DD3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6C578A5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562A25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3F9C32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7FC1C01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13.2.3竣工日期</w:t>
      </w:r>
    </w:p>
    <w:p w14:paraId="46F3CA7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w:t>
      </w:r>
      <w:r>
        <w:rPr>
          <w:rFonts w:ascii="宋体" w:hAnsi="宋体"/>
          <w:color w:val="000000" w:themeColor="text1"/>
          <w:sz w:val="24"/>
          <w:szCs w:val="24"/>
          <w:highlight w:val="none"/>
          <w:lang w:eastAsia="zh-CN"/>
          <w14:textFill>
            <w14:solidFill>
              <w14:schemeClr w14:val="tx1"/>
            </w14:solidFill>
          </w14:textFill>
        </w:rPr>
        <w:t>42天内完成竣工验收，或完成竣工验收不予签发工程接收证书的，以提交竣工验收申请报告的日期为实际竣工日期；工程未经竣工验收，发包人擅自使用的，以转移占有工程之日为实际竣工日期。</w:t>
      </w:r>
    </w:p>
    <w:p w14:paraId="11AA03A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13.2.4 </w:t>
      </w:r>
      <w:r>
        <w:rPr>
          <w:rFonts w:hint="eastAsia" w:ascii="宋体" w:hAnsi="宋体"/>
          <w:color w:val="000000" w:themeColor="text1"/>
          <w:sz w:val="24"/>
          <w:szCs w:val="24"/>
          <w:highlight w:val="none"/>
          <w:lang w:eastAsia="zh-CN"/>
          <w14:textFill>
            <w14:solidFill>
              <w14:schemeClr w14:val="tx1"/>
            </w14:solidFill>
          </w14:textFill>
        </w:rPr>
        <w:t>拒绝接收全部或部分工程</w:t>
      </w:r>
    </w:p>
    <w:p w14:paraId="425A024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215CF2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13.2.5 </w:t>
      </w:r>
      <w:r>
        <w:rPr>
          <w:rFonts w:hint="eastAsia" w:ascii="宋体" w:hAnsi="宋体"/>
          <w:color w:val="000000" w:themeColor="text1"/>
          <w:sz w:val="24"/>
          <w:szCs w:val="24"/>
          <w:highlight w:val="none"/>
          <w:lang w:eastAsia="zh-CN"/>
          <w14:textFill>
            <w14:solidFill>
              <w14:schemeClr w14:val="tx1"/>
            </w14:solidFill>
          </w14:textFill>
        </w:rPr>
        <w:t>移交、接收全部与部分工程</w:t>
      </w:r>
    </w:p>
    <w:p w14:paraId="69BA07C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除专用合同条款另有约定外，合同当事人应当在颁发工程接收证书后</w:t>
      </w:r>
      <w:r>
        <w:rPr>
          <w:rFonts w:ascii="宋体" w:hAnsi="宋体"/>
          <w:color w:val="000000" w:themeColor="text1"/>
          <w:sz w:val="24"/>
          <w:szCs w:val="24"/>
          <w:highlight w:val="none"/>
          <w:lang w:eastAsia="zh-CN"/>
          <w14:textFill>
            <w14:solidFill>
              <w14:schemeClr w14:val="tx1"/>
            </w14:solidFill>
          </w14:textFill>
        </w:rPr>
        <w:t>7天内完成工程的移交。</w:t>
      </w:r>
    </w:p>
    <w:p w14:paraId="20CA397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090C271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3245279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34" w:name="_Toc351203589"/>
      <w:bookmarkStart w:id="335" w:name="_Toc337558807"/>
      <w:bookmarkStart w:id="336" w:name="_Toc296346612"/>
      <w:bookmarkStart w:id="337" w:name="_Toc296503111"/>
      <w:r>
        <w:rPr>
          <w:rFonts w:ascii="宋体" w:hAnsi="宋体"/>
          <w:color w:val="000000" w:themeColor="text1"/>
          <w:sz w:val="24"/>
          <w:szCs w:val="24"/>
          <w:highlight w:val="none"/>
          <w:lang w:eastAsia="zh-CN"/>
          <w14:textFill>
            <w14:solidFill>
              <w14:schemeClr w14:val="tx1"/>
            </w14:solidFill>
          </w14:textFill>
        </w:rPr>
        <w:t>13.3工程试车</w:t>
      </w:r>
      <w:bookmarkEnd w:id="334"/>
    </w:p>
    <w:bookmarkEnd w:id="335"/>
    <w:bookmarkEnd w:id="336"/>
    <w:bookmarkEnd w:id="337"/>
    <w:p w14:paraId="220C1A6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13.3.1试车程序</w:t>
      </w:r>
    </w:p>
    <w:p w14:paraId="455DBFC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工程需要试车的，除专用合同条款另有约定外，试车内容应与承包人承包范围相一致，试车费用由承包人承担。工程试车应按如下程序进行：</w:t>
      </w:r>
    </w:p>
    <w:p w14:paraId="38921CE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86B1F2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监理人不能按时参加试车，应在试车前</w:t>
      </w:r>
      <w:r>
        <w:rPr>
          <w:rFonts w:ascii="宋体" w:hAnsi="宋体"/>
          <w:color w:val="000000" w:themeColor="text1"/>
          <w:sz w:val="24"/>
          <w:szCs w:val="24"/>
          <w:highlight w:val="none"/>
          <w:lang w:eastAsia="zh-CN"/>
          <w14:textFill>
            <w14:solidFill>
              <w14:schemeClr w14:val="tx1"/>
            </w14:solidFill>
          </w14:textFill>
        </w:rPr>
        <w:t>24小时以书面形式向承包人提出延期要求，但延期不能超过48小时，由此导致工期延误的，工期应予以顺延。监理人未能在前述期限内提出延期要求，又不参加试车的，视为认可试车记录。</w:t>
      </w:r>
    </w:p>
    <w:p w14:paraId="2096400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F2437B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13.3.2 </w:t>
      </w:r>
      <w:r>
        <w:rPr>
          <w:rFonts w:hint="eastAsia" w:ascii="宋体" w:hAnsi="宋体"/>
          <w:color w:val="000000" w:themeColor="text1"/>
          <w:sz w:val="24"/>
          <w:szCs w:val="24"/>
          <w:highlight w:val="none"/>
          <w:lang w:eastAsia="zh-CN"/>
          <w14:textFill>
            <w14:solidFill>
              <w14:schemeClr w14:val="tx1"/>
            </w14:solidFill>
          </w14:textFill>
        </w:rPr>
        <w:t>试车中的责任</w:t>
      </w:r>
    </w:p>
    <w:p w14:paraId="6B7A777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446FAF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2166F4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13.3.3 </w:t>
      </w:r>
      <w:r>
        <w:rPr>
          <w:rFonts w:hint="eastAsia" w:ascii="宋体" w:hAnsi="宋体"/>
          <w:color w:val="000000" w:themeColor="text1"/>
          <w:sz w:val="24"/>
          <w:szCs w:val="24"/>
          <w:highlight w:val="none"/>
          <w:lang w:eastAsia="zh-CN"/>
          <w14:textFill>
            <w14:solidFill>
              <w14:schemeClr w14:val="tx1"/>
            </w14:solidFill>
          </w14:textFill>
        </w:rPr>
        <w:t>投料试车</w:t>
      </w:r>
    </w:p>
    <w:p w14:paraId="71B7F4A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39324A5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959EB8D">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38" w:name="_Toc351203590"/>
      <w:bookmarkStart w:id="339" w:name="_Toc337558808"/>
      <w:r>
        <w:rPr>
          <w:rFonts w:ascii="宋体" w:hAnsi="宋体"/>
          <w:color w:val="000000" w:themeColor="text1"/>
          <w:sz w:val="24"/>
          <w:szCs w:val="24"/>
          <w:highlight w:val="none"/>
          <w:lang w:eastAsia="zh-CN"/>
          <w14:textFill>
            <w14:solidFill>
              <w14:schemeClr w14:val="tx1"/>
            </w14:solidFill>
          </w14:textFill>
        </w:rPr>
        <w:t>13.4提前交付单位工程的验收</w:t>
      </w:r>
      <w:bookmarkEnd w:id="338"/>
    </w:p>
    <w:bookmarkEnd w:id="339"/>
    <w:p w14:paraId="69AE702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13.4.1 </w:t>
      </w:r>
      <w:r>
        <w:rPr>
          <w:rFonts w:hint="eastAsia" w:ascii="宋体" w:hAnsi="宋体"/>
          <w:color w:val="000000" w:themeColor="text1"/>
          <w:sz w:val="24"/>
          <w:szCs w:val="24"/>
          <w:highlight w:val="none"/>
          <w:lang w:eastAsia="zh-CN"/>
          <w14:textFill>
            <w14:solidFill>
              <w14:schemeClr w14:val="tx1"/>
            </w14:solidFill>
          </w14:textFill>
        </w:rPr>
        <w:t>发包人需要在工程竣工前使用单位工程的，或承包人提出提前交付已经竣工的单位工程且经发包人同意的，可进行单位工程验收，验收的程序按照第</w:t>
      </w:r>
      <w:r>
        <w:rPr>
          <w:rFonts w:ascii="宋体" w:hAnsi="宋体"/>
          <w:color w:val="000000" w:themeColor="text1"/>
          <w:sz w:val="24"/>
          <w:szCs w:val="24"/>
          <w:highlight w:val="none"/>
          <w:lang w:eastAsia="zh-CN"/>
          <w14:textFill>
            <w14:solidFill>
              <w14:schemeClr w14:val="tx1"/>
            </w14:solidFill>
          </w14:textFill>
        </w:rPr>
        <w:t>13.2款〔竣工验收〕的约定进行。</w:t>
      </w:r>
    </w:p>
    <w:p w14:paraId="6411E35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1D4B192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13.4.2 </w:t>
      </w:r>
      <w:r>
        <w:rPr>
          <w:rFonts w:hint="eastAsia" w:ascii="宋体" w:hAnsi="宋体"/>
          <w:color w:val="000000" w:themeColor="text1"/>
          <w:sz w:val="24"/>
          <w:szCs w:val="24"/>
          <w:highlight w:val="none"/>
          <w:lang w:eastAsia="zh-CN"/>
          <w14:textFill>
            <w14:solidFill>
              <w14:schemeClr w14:val="tx1"/>
            </w14:solidFill>
          </w14:textFill>
        </w:rPr>
        <w:t>发包人要求在工程竣工前交付单位工程，由此导致承包人费用增加和（或）工期延误的，由发包人承担由此增加的费用和（或）延误的工期，并支付承包人合理的利润。</w:t>
      </w:r>
    </w:p>
    <w:p w14:paraId="6511E9BA">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40" w:name="_Toc351203591"/>
      <w:r>
        <w:rPr>
          <w:rFonts w:ascii="宋体" w:hAnsi="宋体"/>
          <w:color w:val="000000" w:themeColor="text1"/>
          <w:sz w:val="24"/>
          <w:szCs w:val="24"/>
          <w:highlight w:val="none"/>
          <w:lang w:eastAsia="zh-CN"/>
          <w14:textFill>
            <w14:solidFill>
              <w14:schemeClr w14:val="tx1"/>
            </w14:solidFill>
          </w14:textFill>
        </w:rPr>
        <w:t xml:space="preserve">13.5 </w:t>
      </w:r>
      <w:r>
        <w:rPr>
          <w:rFonts w:hint="eastAsia" w:ascii="宋体" w:hAnsi="宋体"/>
          <w:color w:val="000000" w:themeColor="text1"/>
          <w:sz w:val="24"/>
          <w:szCs w:val="24"/>
          <w:highlight w:val="none"/>
          <w:lang w:eastAsia="zh-CN"/>
          <w14:textFill>
            <w14:solidFill>
              <w14:schemeClr w14:val="tx1"/>
            </w14:solidFill>
          </w14:textFill>
        </w:rPr>
        <w:t>施工期运行</w:t>
      </w:r>
      <w:bookmarkEnd w:id="340"/>
    </w:p>
    <w:p w14:paraId="7B40739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13.5.1 </w:t>
      </w:r>
      <w:r>
        <w:rPr>
          <w:rFonts w:hint="eastAsia" w:ascii="宋体" w:hAnsi="宋体"/>
          <w:color w:val="000000" w:themeColor="text1"/>
          <w:sz w:val="24"/>
          <w:szCs w:val="24"/>
          <w:highlight w:val="none"/>
          <w:lang w:eastAsia="zh-CN"/>
          <w14:textFill>
            <w14:solidFill>
              <w14:schemeClr w14:val="tx1"/>
            </w14:solidFill>
          </w14:textFill>
        </w:rPr>
        <w:t>施工期运行是指合同工程尚未全部竣工，其中某项或某几项单位工程或工程设备安装已竣工，根据专用合同条款约定，需要投入施工期运行的，经发包人按第</w:t>
      </w:r>
      <w:r>
        <w:rPr>
          <w:rFonts w:ascii="宋体" w:hAnsi="宋体"/>
          <w:color w:val="000000" w:themeColor="text1"/>
          <w:sz w:val="24"/>
          <w:szCs w:val="24"/>
          <w:highlight w:val="none"/>
          <w:lang w:eastAsia="zh-CN"/>
          <w14:textFill>
            <w14:solidFill>
              <w14:schemeClr w14:val="tx1"/>
            </w14:solidFill>
          </w14:textFill>
        </w:rPr>
        <w:t>13.4款〔提前交付单位工程的验收〕的约定验收合格，证明能确保安全后，才能在施工期投入运行。</w:t>
      </w:r>
    </w:p>
    <w:p w14:paraId="72A02F3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13.5.2 </w:t>
      </w:r>
      <w:r>
        <w:rPr>
          <w:rFonts w:hint="eastAsia" w:ascii="宋体" w:hAnsi="宋体"/>
          <w:color w:val="000000" w:themeColor="text1"/>
          <w:sz w:val="24"/>
          <w:szCs w:val="24"/>
          <w:highlight w:val="none"/>
          <w:lang w:eastAsia="zh-CN"/>
          <w14:textFill>
            <w14:solidFill>
              <w14:schemeClr w14:val="tx1"/>
            </w14:solidFill>
          </w14:textFill>
        </w:rPr>
        <w:t>在施工期运行中发现工程或工程设备损坏或存在缺陷的，由承包人按第</w:t>
      </w:r>
      <w:r>
        <w:rPr>
          <w:rFonts w:ascii="宋体" w:hAnsi="宋体"/>
          <w:color w:val="000000" w:themeColor="text1"/>
          <w:sz w:val="24"/>
          <w:szCs w:val="24"/>
          <w:highlight w:val="none"/>
          <w:lang w:eastAsia="zh-CN"/>
          <w14:textFill>
            <w14:solidFill>
              <w14:schemeClr w14:val="tx1"/>
            </w14:solidFill>
          </w14:textFill>
        </w:rPr>
        <w:t>15.2款〔缺陷责任期〕约定进行修复。</w:t>
      </w:r>
    </w:p>
    <w:p w14:paraId="0640417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41" w:name="_Toc296503112"/>
      <w:bookmarkStart w:id="342" w:name="_Toc296346613"/>
      <w:bookmarkStart w:id="343" w:name="_Toc351203592"/>
      <w:bookmarkStart w:id="344" w:name="_Toc337558809"/>
      <w:r>
        <w:rPr>
          <w:rFonts w:ascii="宋体" w:hAnsi="宋体"/>
          <w:color w:val="000000" w:themeColor="text1"/>
          <w:sz w:val="24"/>
          <w:szCs w:val="24"/>
          <w:highlight w:val="none"/>
          <w:lang w:eastAsia="zh-CN"/>
          <w14:textFill>
            <w14:solidFill>
              <w14:schemeClr w14:val="tx1"/>
            </w14:solidFill>
          </w14:textFill>
        </w:rPr>
        <w:t xml:space="preserve">13.6 </w:t>
      </w:r>
      <w:r>
        <w:rPr>
          <w:rFonts w:hint="eastAsia" w:ascii="宋体" w:hAnsi="宋体"/>
          <w:color w:val="000000" w:themeColor="text1"/>
          <w:sz w:val="24"/>
          <w:szCs w:val="24"/>
          <w:highlight w:val="none"/>
          <w:lang w:eastAsia="zh-CN"/>
          <w14:textFill>
            <w14:solidFill>
              <w14:schemeClr w14:val="tx1"/>
            </w14:solidFill>
          </w14:textFill>
        </w:rPr>
        <w:t>竣工退</w:t>
      </w:r>
      <w:bookmarkEnd w:id="341"/>
      <w:bookmarkEnd w:id="342"/>
      <w:r>
        <w:rPr>
          <w:rFonts w:hint="eastAsia" w:ascii="宋体" w:hAnsi="宋体"/>
          <w:color w:val="000000" w:themeColor="text1"/>
          <w:sz w:val="24"/>
          <w:szCs w:val="24"/>
          <w:highlight w:val="none"/>
          <w:lang w:eastAsia="zh-CN"/>
          <w14:textFill>
            <w14:solidFill>
              <w14:schemeClr w14:val="tx1"/>
            </w14:solidFill>
          </w14:textFill>
        </w:rPr>
        <w:t>场</w:t>
      </w:r>
      <w:bookmarkEnd w:id="343"/>
    </w:p>
    <w:bookmarkEnd w:id="344"/>
    <w:p w14:paraId="6A1BA4F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13.6.1 </w:t>
      </w:r>
      <w:r>
        <w:rPr>
          <w:rFonts w:hint="eastAsia" w:ascii="宋体" w:hAnsi="宋体"/>
          <w:color w:val="000000" w:themeColor="text1"/>
          <w:sz w:val="24"/>
          <w:szCs w:val="24"/>
          <w:highlight w:val="none"/>
          <w:lang w:eastAsia="zh-CN"/>
          <w14:textFill>
            <w14:solidFill>
              <w14:schemeClr w14:val="tx1"/>
            </w14:solidFill>
          </w14:textFill>
        </w:rPr>
        <w:t>竣工退场</w:t>
      </w:r>
    </w:p>
    <w:p w14:paraId="4195009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颁发工程接收证书后，承包人应按以下要求对施工现场进行清理：</w:t>
      </w:r>
    </w:p>
    <w:p w14:paraId="0C4528D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1）施工现场内残留的垃圾已全部清除出场；</w:t>
      </w:r>
    </w:p>
    <w:p w14:paraId="543C23C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2）临时工程已拆除，场地已进行清理、平整或复原；</w:t>
      </w:r>
    </w:p>
    <w:p w14:paraId="2235968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3）按合同约定应撤离的人员、承包人施工设备和剩余的材料，包括废弃的施工设备和材料，已按计划撤离施工现场；</w:t>
      </w:r>
    </w:p>
    <w:p w14:paraId="7CDCC84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4）施工现场周边及其附近道路、河道的施工堆积物，已全部清理；</w:t>
      </w:r>
    </w:p>
    <w:p w14:paraId="3CFD3D9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5）施工现场其他场地清理工作已全部完成。</w:t>
      </w:r>
    </w:p>
    <w:p w14:paraId="5A2FA67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110EA7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13.6.2 </w:t>
      </w:r>
      <w:r>
        <w:rPr>
          <w:rFonts w:hint="eastAsia" w:ascii="宋体" w:hAnsi="宋体"/>
          <w:color w:val="000000" w:themeColor="text1"/>
          <w:sz w:val="24"/>
          <w:szCs w:val="24"/>
          <w:highlight w:val="none"/>
          <w:lang w:eastAsia="zh-CN"/>
          <w14:textFill>
            <w14:solidFill>
              <w14:schemeClr w14:val="tx1"/>
            </w14:solidFill>
          </w14:textFill>
        </w:rPr>
        <w:t>地表还原</w:t>
      </w:r>
    </w:p>
    <w:p w14:paraId="30FF673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512690CD">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345" w:name="_Toc351203593"/>
      <w:bookmarkStart w:id="346" w:name="_Toc337558810"/>
      <w:bookmarkStart w:id="347" w:name="_Toc296346614"/>
      <w:bookmarkStart w:id="348" w:name="_Toc296503113"/>
      <w:r>
        <w:rPr>
          <w:b w:val="0"/>
          <w:color w:val="000000" w:themeColor="text1"/>
          <w:sz w:val="24"/>
          <w:szCs w:val="24"/>
          <w:highlight w:val="none"/>
          <w:lang w:eastAsia="zh-CN"/>
          <w14:textFill>
            <w14:solidFill>
              <w14:schemeClr w14:val="tx1"/>
            </w14:solidFill>
          </w14:textFill>
        </w:rPr>
        <w:t xml:space="preserve">14. </w:t>
      </w:r>
      <w:r>
        <w:rPr>
          <w:rFonts w:hint="eastAsia"/>
          <w:b w:val="0"/>
          <w:color w:val="000000" w:themeColor="text1"/>
          <w:sz w:val="24"/>
          <w:szCs w:val="24"/>
          <w:highlight w:val="none"/>
          <w:lang w:eastAsia="zh-CN"/>
          <w14:textFill>
            <w14:solidFill>
              <w14:schemeClr w14:val="tx1"/>
            </w14:solidFill>
          </w14:textFill>
        </w:rPr>
        <w:t>竣工结算</w:t>
      </w:r>
      <w:bookmarkEnd w:id="345"/>
    </w:p>
    <w:bookmarkEnd w:id="346"/>
    <w:p w14:paraId="4F8DE5A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49" w:name="_Toc351203594"/>
      <w:bookmarkStart w:id="350" w:name="_Toc337558811"/>
      <w:r>
        <w:rPr>
          <w:rFonts w:ascii="宋体" w:hAnsi="宋体"/>
          <w:color w:val="000000" w:themeColor="text1"/>
          <w:sz w:val="24"/>
          <w:szCs w:val="24"/>
          <w:highlight w:val="none"/>
          <w:lang w:eastAsia="zh-CN"/>
          <w14:textFill>
            <w14:solidFill>
              <w14:schemeClr w14:val="tx1"/>
            </w14:solidFill>
          </w14:textFill>
        </w:rPr>
        <w:t xml:space="preserve">14.1 </w:t>
      </w:r>
      <w:r>
        <w:rPr>
          <w:rFonts w:hint="eastAsia" w:ascii="宋体" w:hAnsi="宋体"/>
          <w:color w:val="000000" w:themeColor="text1"/>
          <w:sz w:val="24"/>
          <w:szCs w:val="24"/>
          <w:highlight w:val="none"/>
          <w:lang w:eastAsia="zh-CN"/>
          <w14:textFill>
            <w14:solidFill>
              <w14:schemeClr w14:val="tx1"/>
            </w14:solidFill>
          </w14:textFill>
        </w:rPr>
        <w:t>竣工结算申请</w:t>
      </w:r>
      <w:bookmarkEnd w:id="349"/>
    </w:p>
    <w:bookmarkEnd w:id="350"/>
    <w:p w14:paraId="11B142E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除专用合同条款另有约定外，承包人应在工程竣工验收合格后</w:t>
      </w:r>
      <w:r>
        <w:rPr>
          <w:rFonts w:ascii="宋体" w:hAnsi="宋体"/>
          <w:color w:val="000000" w:themeColor="text1"/>
          <w:sz w:val="24"/>
          <w:szCs w:val="24"/>
          <w:highlight w:val="none"/>
          <w:lang w:eastAsia="zh-CN"/>
          <w14:textFill>
            <w14:solidFill>
              <w14:schemeClr w14:val="tx1"/>
            </w14:solidFill>
          </w14:textFill>
        </w:rPr>
        <w:t>28天内向发包人和监理人提交竣工结算申请单，并提交完整的结算资料，有关竣工结算申请单的资料清单和份数等要求由合同当事人在专用合同条款中约定。</w:t>
      </w:r>
    </w:p>
    <w:p w14:paraId="5860EAC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除专用合同条款另有约定外，竣工结算申请单应包括以下内容：</w:t>
      </w:r>
    </w:p>
    <w:p w14:paraId="191B404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1）竣工结算合同价格；</w:t>
      </w:r>
    </w:p>
    <w:p w14:paraId="457E1D9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2）发包人已支付承包人的款项；</w:t>
      </w:r>
    </w:p>
    <w:p w14:paraId="1242FBD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 xml:space="preserve">3）应扣留的质量保证金。已缴纳履约保证金的或提供其他工程质量担保方式的除外； </w:t>
      </w:r>
    </w:p>
    <w:p w14:paraId="2EC4E90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4）发包人应支付承包人的合同价款。</w:t>
      </w:r>
    </w:p>
    <w:p w14:paraId="532BD382">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51" w:name="_Toc351203595"/>
      <w:bookmarkStart w:id="352" w:name="_Toc337558812"/>
      <w:r>
        <w:rPr>
          <w:rFonts w:ascii="宋体" w:hAnsi="宋体"/>
          <w:color w:val="000000" w:themeColor="text1"/>
          <w:sz w:val="24"/>
          <w:szCs w:val="24"/>
          <w:highlight w:val="none"/>
          <w:lang w:eastAsia="zh-CN"/>
          <w14:textFill>
            <w14:solidFill>
              <w14:schemeClr w14:val="tx1"/>
            </w14:solidFill>
          </w14:textFill>
        </w:rPr>
        <w:t xml:space="preserve">14.2 </w:t>
      </w:r>
      <w:r>
        <w:rPr>
          <w:rFonts w:hint="eastAsia" w:ascii="宋体" w:hAnsi="宋体"/>
          <w:color w:val="000000" w:themeColor="text1"/>
          <w:sz w:val="24"/>
          <w:szCs w:val="24"/>
          <w:highlight w:val="none"/>
          <w:lang w:eastAsia="zh-CN"/>
          <w14:textFill>
            <w14:solidFill>
              <w14:schemeClr w14:val="tx1"/>
            </w14:solidFill>
          </w14:textFill>
        </w:rPr>
        <w:t>竣工结算审核</w:t>
      </w:r>
      <w:bookmarkEnd w:id="351"/>
    </w:p>
    <w:bookmarkEnd w:id="352"/>
    <w:p w14:paraId="535DFDA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D8472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发包人在收到承包人提交竣工结算申请书后</w:t>
      </w:r>
      <w:r>
        <w:rPr>
          <w:rFonts w:ascii="宋体" w:hAnsi="宋体"/>
          <w:color w:val="000000" w:themeColor="text1"/>
          <w:sz w:val="24"/>
          <w:szCs w:val="24"/>
          <w:highlight w:val="none"/>
          <w:lang w:eastAsia="zh-CN"/>
          <w14:textFill>
            <w14:solidFill>
              <w14:schemeClr w14:val="tx1"/>
            </w14:solidFill>
          </w14:textFill>
        </w:rPr>
        <w:t>28天内未完成审批且未提出异议的，视为发包人认可承包人提交的竣工结算申请单，并自发包人收到承包人提交的竣工结算申请单后第29天起视为已签发竣工付款证书。</w:t>
      </w:r>
    </w:p>
    <w:p w14:paraId="1F2DB2E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 xml:space="preserve">2）除专用合同条款另有约定外，发包人应在签发竣工付款证书后的14 </w:t>
      </w:r>
      <w:r>
        <w:rPr>
          <w:rFonts w:hint="eastAsia" w:ascii="宋体" w:hAnsi="宋体"/>
          <w:color w:val="000000" w:themeColor="text1"/>
          <w:sz w:val="24"/>
          <w:szCs w:val="24"/>
          <w:highlight w:val="none"/>
          <w:lang w:eastAsia="zh-CN"/>
          <w14:textFill>
            <w14:solidFill>
              <w14:schemeClr w14:val="tx1"/>
            </w14:solidFill>
          </w14:textFill>
        </w:rPr>
        <w:t>天内，完成对承包人的竣工付款。发包人逾期支付的，按照中国人民银行发布的同期同类贷款基准利率支付违约金；逾期支付超过</w:t>
      </w:r>
      <w:r>
        <w:rPr>
          <w:rFonts w:ascii="宋体" w:hAnsi="宋体"/>
          <w:color w:val="000000" w:themeColor="text1"/>
          <w:sz w:val="24"/>
          <w:szCs w:val="24"/>
          <w:highlight w:val="none"/>
          <w:lang w:eastAsia="zh-CN"/>
          <w14:textFill>
            <w14:solidFill>
              <w14:schemeClr w14:val="tx1"/>
            </w14:solidFill>
          </w14:textFill>
        </w:rPr>
        <w:t>56天的，按照中国人民银行发布的同期同类贷款基准利率的两倍支付违约金。</w:t>
      </w:r>
    </w:p>
    <w:p w14:paraId="3736043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w:t>
      </w:r>
      <w:r>
        <w:rPr>
          <w:rFonts w:hint="eastAsia" w:ascii="宋体" w:hAnsi="宋体"/>
          <w:color w:val="000000" w:themeColor="text1"/>
          <w:sz w:val="24"/>
          <w:szCs w:val="24"/>
          <w:highlight w:val="none"/>
          <w:lang w:eastAsia="zh-CN"/>
          <w14:textFill>
            <w14:solidFill>
              <w14:schemeClr w14:val="tx1"/>
            </w14:solidFill>
          </w14:textFill>
        </w:rPr>
        <w:t>工付款证书，并按本款第（</w:t>
      </w:r>
      <w:r>
        <w:rPr>
          <w:rFonts w:ascii="宋体" w:hAnsi="宋体"/>
          <w:color w:val="000000" w:themeColor="text1"/>
          <w:sz w:val="24"/>
          <w:szCs w:val="24"/>
          <w:highlight w:val="none"/>
          <w:lang w:eastAsia="zh-CN"/>
          <w14:textFill>
            <w14:solidFill>
              <w14:schemeClr w14:val="tx1"/>
            </w14:solidFill>
          </w14:textFill>
        </w:rPr>
        <w:t>2）项完成付款。承包人逾期未提出异议的，视为认可发包人的审批结果。</w:t>
      </w:r>
    </w:p>
    <w:p w14:paraId="2E4B9A5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53" w:name="_Toc351203596"/>
      <w:bookmarkStart w:id="354" w:name="_Toc337558813"/>
      <w:r>
        <w:rPr>
          <w:rFonts w:ascii="宋体" w:hAnsi="宋体"/>
          <w:color w:val="000000" w:themeColor="text1"/>
          <w:sz w:val="24"/>
          <w:szCs w:val="24"/>
          <w:highlight w:val="none"/>
          <w:lang w:eastAsia="zh-CN"/>
          <w14:textFill>
            <w14:solidFill>
              <w14:schemeClr w14:val="tx1"/>
            </w14:solidFill>
          </w14:textFill>
        </w:rPr>
        <w:t xml:space="preserve">14.3 </w:t>
      </w:r>
      <w:r>
        <w:rPr>
          <w:rFonts w:hint="eastAsia" w:ascii="宋体" w:hAnsi="宋体"/>
          <w:color w:val="000000" w:themeColor="text1"/>
          <w:sz w:val="24"/>
          <w:szCs w:val="24"/>
          <w:highlight w:val="none"/>
          <w:lang w:eastAsia="zh-CN"/>
          <w14:textFill>
            <w14:solidFill>
              <w14:schemeClr w14:val="tx1"/>
            </w14:solidFill>
          </w14:textFill>
        </w:rPr>
        <w:t>甩项竣工协议</w:t>
      </w:r>
      <w:bookmarkEnd w:id="353"/>
    </w:p>
    <w:bookmarkEnd w:id="354"/>
    <w:p w14:paraId="256C49C8">
      <w:pPr>
        <w:autoSpaceDE w:val="0"/>
        <w:autoSpaceDN w:val="0"/>
        <w:adjustRightInd w:val="0"/>
        <w:spacing w:line="360" w:lineRule="auto"/>
        <w:ind w:firstLine="470" w:firstLineChars="196"/>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发包人要求甩项竣工的，合同当事人应签订甩项竣工协议。在甩项竣工协议中应明确，合同当事人按照第</w:t>
      </w:r>
      <w:r>
        <w:rPr>
          <w:rFonts w:ascii="宋体" w:hAnsi="宋体"/>
          <w:color w:val="000000" w:themeColor="text1"/>
          <w:sz w:val="24"/>
          <w:szCs w:val="24"/>
          <w:highlight w:val="none"/>
          <w:lang w:eastAsia="zh-CN"/>
          <w14:textFill>
            <w14:solidFill>
              <w14:schemeClr w14:val="tx1"/>
            </w14:solidFill>
          </w14:textFill>
        </w:rPr>
        <w:t>14.1款〔竣工结算申请〕及14.2款〔竣工结算审核〕的约定，对已完合格工程进行结算，并支付相应合同价款。</w:t>
      </w:r>
    </w:p>
    <w:p w14:paraId="46573926">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55" w:name="_Toc351203597"/>
      <w:bookmarkStart w:id="356" w:name="_Toc337558814"/>
      <w:r>
        <w:rPr>
          <w:rFonts w:ascii="宋体" w:hAnsi="宋体"/>
          <w:color w:val="000000" w:themeColor="text1"/>
          <w:sz w:val="24"/>
          <w:szCs w:val="24"/>
          <w:highlight w:val="none"/>
          <w:lang w:eastAsia="zh-CN"/>
          <w14:textFill>
            <w14:solidFill>
              <w14:schemeClr w14:val="tx1"/>
            </w14:solidFill>
          </w14:textFill>
        </w:rPr>
        <w:t xml:space="preserve">14.4 </w:t>
      </w:r>
      <w:r>
        <w:rPr>
          <w:rFonts w:hint="eastAsia" w:ascii="宋体" w:hAnsi="宋体"/>
          <w:color w:val="000000" w:themeColor="text1"/>
          <w:sz w:val="24"/>
          <w:szCs w:val="24"/>
          <w:highlight w:val="none"/>
          <w:lang w:eastAsia="zh-CN"/>
          <w14:textFill>
            <w14:solidFill>
              <w14:schemeClr w14:val="tx1"/>
            </w14:solidFill>
          </w14:textFill>
        </w:rPr>
        <w:t>最终结清</w:t>
      </w:r>
      <w:bookmarkEnd w:id="355"/>
    </w:p>
    <w:bookmarkEnd w:id="356"/>
    <w:p w14:paraId="1B38493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14.4.1 </w:t>
      </w:r>
      <w:r>
        <w:rPr>
          <w:rFonts w:hint="eastAsia" w:ascii="宋体" w:hAnsi="宋体"/>
          <w:color w:val="000000" w:themeColor="text1"/>
          <w:sz w:val="24"/>
          <w:szCs w:val="24"/>
          <w:highlight w:val="none"/>
          <w:lang w:eastAsia="zh-CN"/>
          <w14:textFill>
            <w14:solidFill>
              <w14:schemeClr w14:val="tx1"/>
            </w14:solidFill>
          </w14:textFill>
        </w:rPr>
        <w:t>最终结清申请单</w:t>
      </w:r>
    </w:p>
    <w:p w14:paraId="595C7CD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4C2F46F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除专用合同条款另有约定外，最终结清申请单应列明质量保证金、应扣除的质量保证金、缺陷责任期内发生的增减费用。</w:t>
      </w:r>
    </w:p>
    <w:p w14:paraId="4CC21DF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2）发包人对最终结清申请单内容有异议的，有权要求承包人进行修正和提供补充资料，承包人应向发包人提交修正后的最终结清申请单。</w:t>
      </w:r>
    </w:p>
    <w:p w14:paraId="4E03607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14.4.2 </w:t>
      </w:r>
      <w:r>
        <w:rPr>
          <w:rFonts w:hint="eastAsia" w:ascii="宋体" w:hAnsi="宋体"/>
          <w:color w:val="000000" w:themeColor="text1"/>
          <w:sz w:val="24"/>
          <w:szCs w:val="24"/>
          <w:highlight w:val="none"/>
          <w:lang w:eastAsia="zh-CN"/>
          <w14:textFill>
            <w14:solidFill>
              <w14:schemeClr w14:val="tx1"/>
            </w14:solidFill>
          </w14:textFill>
        </w:rPr>
        <w:t>最终结清证书和支付</w:t>
      </w:r>
    </w:p>
    <w:p w14:paraId="7298C51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9CDF9F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DFB674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3）承包人对发包人颁发的最终结清证书有异议的，按第20条〔争议解决〕的约定办理。</w:t>
      </w:r>
    </w:p>
    <w:p w14:paraId="50B4D904">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357" w:name="_Toc351203598"/>
      <w:bookmarkStart w:id="358" w:name="_Toc337558815"/>
      <w:r>
        <w:rPr>
          <w:b w:val="0"/>
          <w:color w:val="000000" w:themeColor="text1"/>
          <w:sz w:val="24"/>
          <w:szCs w:val="24"/>
          <w:highlight w:val="none"/>
          <w:lang w:eastAsia="zh-CN"/>
          <w14:textFill>
            <w14:solidFill>
              <w14:schemeClr w14:val="tx1"/>
            </w14:solidFill>
          </w14:textFill>
        </w:rPr>
        <w:t xml:space="preserve">15. </w:t>
      </w:r>
      <w:r>
        <w:rPr>
          <w:rFonts w:hint="eastAsia"/>
          <w:b w:val="0"/>
          <w:color w:val="000000" w:themeColor="text1"/>
          <w:sz w:val="24"/>
          <w:szCs w:val="24"/>
          <w:highlight w:val="none"/>
          <w:lang w:eastAsia="zh-CN"/>
          <w14:textFill>
            <w14:solidFill>
              <w14:schemeClr w14:val="tx1"/>
            </w14:solidFill>
          </w14:textFill>
        </w:rPr>
        <w:t>缺陷责任与保修</w:t>
      </w:r>
      <w:bookmarkEnd w:id="357"/>
    </w:p>
    <w:bookmarkEnd w:id="347"/>
    <w:bookmarkEnd w:id="348"/>
    <w:bookmarkEnd w:id="358"/>
    <w:p w14:paraId="44F6555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59" w:name="_Toc351203599"/>
      <w:bookmarkStart w:id="360" w:name="_Toc337558816"/>
      <w:bookmarkStart w:id="361" w:name="_Toc296503114"/>
      <w:bookmarkStart w:id="362" w:name="_Toc296346615"/>
      <w:r>
        <w:rPr>
          <w:rFonts w:ascii="宋体" w:hAnsi="宋体"/>
          <w:color w:val="000000" w:themeColor="text1"/>
          <w:sz w:val="24"/>
          <w:szCs w:val="24"/>
          <w:highlight w:val="none"/>
          <w:lang w:eastAsia="zh-CN"/>
          <w14:textFill>
            <w14:solidFill>
              <w14:schemeClr w14:val="tx1"/>
            </w14:solidFill>
          </w14:textFill>
        </w:rPr>
        <w:t xml:space="preserve">15.1 </w:t>
      </w:r>
      <w:r>
        <w:rPr>
          <w:rFonts w:hint="eastAsia" w:ascii="宋体" w:hAnsi="宋体"/>
          <w:color w:val="000000" w:themeColor="text1"/>
          <w:sz w:val="24"/>
          <w:szCs w:val="24"/>
          <w:highlight w:val="none"/>
          <w:lang w:eastAsia="zh-CN"/>
          <w14:textFill>
            <w14:solidFill>
              <w14:schemeClr w14:val="tx1"/>
            </w14:solidFill>
          </w14:textFill>
        </w:rPr>
        <w:t>工程保修的原则</w:t>
      </w:r>
      <w:bookmarkEnd w:id="359"/>
    </w:p>
    <w:bookmarkEnd w:id="360"/>
    <w:p w14:paraId="3934606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14:paraId="2963A7BD">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63" w:name="_Toc351203600"/>
      <w:bookmarkStart w:id="364" w:name="_Toc337558817"/>
      <w:r>
        <w:rPr>
          <w:rFonts w:ascii="宋体" w:hAnsi="宋体"/>
          <w:color w:val="000000" w:themeColor="text1"/>
          <w:sz w:val="24"/>
          <w:szCs w:val="24"/>
          <w:highlight w:val="none"/>
          <w:lang w:eastAsia="zh-CN"/>
          <w14:textFill>
            <w14:solidFill>
              <w14:schemeClr w14:val="tx1"/>
            </w14:solidFill>
          </w14:textFill>
        </w:rPr>
        <w:t xml:space="preserve">15.2 </w:t>
      </w:r>
      <w:r>
        <w:rPr>
          <w:rFonts w:hint="eastAsia" w:ascii="宋体" w:hAnsi="宋体"/>
          <w:color w:val="000000" w:themeColor="text1"/>
          <w:sz w:val="24"/>
          <w:szCs w:val="24"/>
          <w:highlight w:val="none"/>
          <w:lang w:eastAsia="zh-CN"/>
          <w14:textFill>
            <w14:solidFill>
              <w14:schemeClr w14:val="tx1"/>
            </w14:solidFill>
          </w14:textFill>
        </w:rPr>
        <w:t>缺陷责任期</w:t>
      </w:r>
      <w:bookmarkEnd w:id="361"/>
      <w:bookmarkEnd w:id="362"/>
      <w:bookmarkEnd w:id="363"/>
    </w:p>
    <w:bookmarkEnd w:id="364"/>
    <w:p w14:paraId="6F26C05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15.2.1缺陷责任期从工程通过竣工验收之日起计算，合同当事人应在专用合同条款约定缺陷责任期的具体期限，但该期限最长不超过24个月。</w:t>
      </w:r>
    </w:p>
    <w:p w14:paraId="3CADE32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宋体" w:hAnsi="宋体"/>
          <w:color w:val="000000" w:themeColor="text1"/>
          <w:sz w:val="24"/>
          <w:szCs w:val="24"/>
          <w:highlight w:val="none"/>
          <w:lang w:eastAsia="zh-CN"/>
          <w14:textFill>
            <w14:solidFill>
              <w14:schemeClr w14:val="tx1"/>
            </w14:solidFill>
          </w14:textFill>
        </w:rPr>
        <w:t>90天后，工程自动进入缺陷责任期；发包人未经竣工验收擅自使用工程的，缺陷责任期自工程转移占有之日起开始计算。</w:t>
      </w:r>
    </w:p>
    <w:p w14:paraId="75EF703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DB1825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由他人原因造成的缺陷，发包人负责组织维修，承包人不承担费用，且发包人不得从保证金中扣除费用。</w:t>
      </w:r>
    </w:p>
    <w:p w14:paraId="1DE1331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15.2.3 </w:t>
      </w:r>
      <w:r>
        <w:rPr>
          <w:rFonts w:hint="eastAsia" w:ascii="宋体" w:hAnsi="宋体"/>
          <w:color w:val="000000" w:themeColor="text1"/>
          <w:sz w:val="24"/>
          <w:szCs w:val="24"/>
          <w:highlight w:val="none"/>
          <w:lang w:eastAsia="zh-CN"/>
          <w14:textFill>
            <w14:solidFill>
              <w14:schemeClr w14:val="tx1"/>
            </w14:solidFill>
          </w14:textFill>
        </w:rPr>
        <w:t>任何一项缺陷或损坏修复后，经检查证明其影响了工程或工程设备的使用性能，承包人应重新进行合同约定的试验和试运行，试验和试运行的全部费用应由责任方承担。</w:t>
      </w:r>
    </w:p>
    <w:p w14:paraId="637104B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1CDDB4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65" w:name="_Toc351203601"/>
      <w:bookmarkStart w:id="366" w:name="_Toc337558818"/>
      <w:bookmarkStart w:id="367" w:name="_Toc296503115"/>
      <w:bookmarkStart w:id="368" w:name="_Toc296346616"/>
      <w:r>
        <w:rPr>
          <w:rFonts w:ascii="宋体" w:hAnsi="宋体"/>
          <w:color w:val="000000" w:themeColor="text1"/>
          <w:sz w:val="24"/>
          <w:szCs w:val="24"/>
          <w:highlight w:val="none"/>
          <w:lang w:eastAsia="zh-CN"/>
          <w14:textFill>
            <w14:solidFill>
              <w14:schemeClr w14:val="tx1"/>
            </w14:solidFill>
          </w14:textFill>
        </w:rPr>
        <w:t xml:space="preserve">15.3 </w:t>
      </w:r>
      <w:r>
        <w:rPr>
          <w:rFonts w:hint="eastAsia" w:ascii="宋体" w:hAnsi="宋体"/>
          <w:color w:val="000000" w:themeColor="text1"/>
          <w:sz w:val="24"/>
          <w:szCs w:val="24"/>
          <w:highlight w:val="none"/>
          <w:lang w:eastAsia="zh-CN"/>
          <w14:textFill>
            <w14:solidFill>
              <w14:schemeClr w14:val="tx1"/>
            </w14:solidFill>
          </w14:textFill>
        </w:rPr>
        <w:t>质量保证金</w:t>
      </w:r>
      <w:bookmarkEnd w:id="365"/>
    </w:p>
    <w:bookmarkEnd w:id="366"/>
    <w:p w14:paraId="51614E7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经合同当事人协商一致扣留质量保证金的，应在专用合同条款中予以明确。</w:t>
      </w:r>
    </w:p>
    <w:p w14:paraId="1D0BFCC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在工程项目竣工前，承包人已经提供履约担保的，发包人不得同时预留工程质量保证金。</w:t>
      </w:r>
    </w:p>
    <w:p w14:paraId="6FEC5A9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15.3.1 </w:t>
      </w:r>
      <w:r>
        <w:rPr>
          <w:rFonts w:hint="eastAsia" w:ascii="宋体" w:hAnsi="宋体"/>
          <w:color w:val="000000" w:themeColor="text1"/>
          <w:sz w:val="24"/>
          <w:szCs w:val="24"/>
          <w:highlight w:val="none"/>
          <w:lang w:eastAsia="zh-CN"/>
          <w14:textFill>
            <w14:solidFill>
              <w14:schemeClr w14:val="tx1"/>
            </w14:solidFill>
          </w14:textFill>
        </w:rPr>
        <w:t>承包人提供质量保证金的方式</w:t>
      </w:r>
    </w:p>
    <w:p w14:paraId="595B607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承包人提供质量保证金有以下三种方式：</w:t>
      </w:r>
    </w:p>
    <w:p w14:paraId="218F9AF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 xml:space="preserve">1）质量保证金保函； </w:t>
      </w:r>
    </w:p>
    <w:p w14:paraId="1D385C8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2）相应比例的工程款；</w:t>
      </w:r>
    </w:p>
    <w:p w14:paraId="16438C3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3）双方约定的其他方式。</w:t>
      </w:r>
    </w:p>
    <w:p w14:paraId="3867625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除专用合同条款另有约定外，质量保证金原则上采用上述第（</w:t>
      </w:r>
      <w:r>
        <w:rPr>
          <w:rFonts w:ascii="宋体" w:hAnsi="宋体"/>
          <w:color w:val="000000" w:themeColor="text1"/>
          <w:sz w:val="24"/>
          <w:szCs w:val="24"/>
          <w:highlight w:val="none"/>
          <w:lang w:eastAsia="zh-CN"/>
          <w14:textFill>
            <w14:solidFill>
              <w14:schemeClr w14:val="tx1"/>
            </w14:solidFill>
          </w14:textFill>
        </w:rPr>
        <w:t>1）种方式。</w:t>
      </w:r>
    </w:p>
    <w:p w14:paraId="7134723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15.3.2 </w:t>
      </w:r>
      <w:r>
        <w:rPr>
          <w:rFonts w:hint="eastAsia" w:ascii="宋体" w:hAnsi="宋体"/>
          <w:color w:val="000000" w:themeColor="text1"/>
          <w:sz w:val="24"/>
          <w:szCs w:val="24"/>
          <w:highlight w:val="none"/>
          <w:lang w:eastAsia="zh-CN"/>
          <w14:textFill>
            <w14:solidFill>
              <w14:schemeClr w14:val="tx1"/>
            </w14:solidFill>
          </w14:textFill>
        </w:rPr>
        <w:t>质量保证金的扣留</w:t>
      </w:r>
    </w:p>
    <w:p w14:paraId="040E237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质量保证金的扣留有以下三种方式：</w:t>
      </w:r>
    </w:p>
    <w:p w14:paraId="2D7429C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1）在支付工程进度款时逐次扣留，在此情形下，质量保证金的计算基数不包括预付款的支付、扣回以及价格调整的金额；</w:t>
      </w:r>
    </w:p>
    <w:p w14:paraId="5C73C06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2）工程竣工结算时一次性扣留质量保证金；</w:t>
      </w:r>
    </w:p>
    <w:p w14:paraId="5FA9656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3）双方约定的其他扣留方式。</w:t>
      </w:r>
    </w:p>
    <w:p w14:paraId="00A49B9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除专用合同条款另有约定外，质量保证金的扣留原则上采用上述第（</w:t>
      </w:r>
      <w:r>
        <w:rPr>
          <w:rFonts w:ascii="宋体" w:hAnsi="宋体"/>
          <w:color w:val="000000" w:themeColor="text1"/>
          <w:sz w:val="24"/>
          <w:szCs w:val="24"/>
          <w:highlight w:val="none"/>
          <w:lang w:eastAsia="zh-CN"/>
          <w14:textFill>
            <w14:solidFill>
              <w14:schemeClr w14:val="tx1"/>
            </w14:solidFill>
          </w14:textFill>
        </w:rPr>
        <w:t>1）种方式。</w:t>
      </w:r>
    </w:p>
    <w:p w14:paraId="45F1513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发包人累计扣留的质量保证金不得超过工程价款结算总额的</w:t>
      </w:r>
      <w:r>
        <w:rPr>
          <w:rFonts w:ascii="宋体" w:hAnsi="宋体"/>
          <w:color w:val="000000" w:themeColor="text1"/>
          <w:sz w:val="24"/>
          <w:szCs w:val="24"/>
          <w:highlight w:val="none"/>
          <w:lang w:eastAsia="zh-CN"/>
          <w14:textFill>
            <w14:solidFill>
              <w14:schemeClr w14:val="tx1"/>
            </w14:solidFill>
          </w14:textFill>
        </w:rPr>
        <w:t>3%。如承包人在发包人签发</w:t>
      </w:r>
      <w:r>
        <w:rPr>
          <w:rFonts w:hint="eastAsia" w:ascii="宋体" w:hAnsi="宋体"/>
          <w:color w:val="000000" w:themeColor="text1"/>
          <w:sz w:val="24"/>
          <w:szCs w:val="24"/>
          <w:highlight w:val="none"/>
          <w:lang w:eastAsia="zh-CN"/>
          <w14:textFill>
            <w14:solidFill>
              <w14:schemeClr w14:val="tx1"/>
            </w14:solidFill>
          </w14:textFill>
        </w:rPr>
        <w:t>竣工付款证书后</w:t>
      </w:r>
      <w:r>
        <w:rPr>
          <w:rFonts w:ascii="宋体" w:hAnsi="宋体"/>
          <w:color w:val="000000" w:themeColor="text1"/>
          <w:sz w:val="24"/>
          <w:szCs w:val="24"/>
          <w:highlight w:val="none"/>
          <w:lang w:eastAsia="zh-CN"/>
          <w14:textFill>
            <w14:solidFill>
              <w14:schemeClr w14:val="tx1"/>
            </w14:solidFill>
          </w14:textFill>
        </w:rPr>
        <w:t>28天内提交质量保证金保函，发包人应同时退还扣留的作为质量保证金的工程价款；保函金额不得超过工程价款结算总额的3%。</w:t>
      </w:r>
    </w:p>
    <w:p w14:paraId="55C5534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发包人在退还质量保证金的同时按照中国人民银行发布的同期同类贷款基准利率支付利息。</w:t>
      </w:r>
    </w:p>
    <w:p w14:paraId="0E193EE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15.3.3 </w:t>
      </w:r>
      <w:r>
        <w:rPr>
          <w:rFonts w:hint="eastAsia" w:ascii="宋体" w:hAnsi="宋体"/>
          <w:color w:val="000000" w:themeColor="text1"/>
          <w:sz w:val="24"/>
          <w:szCs w:val="24"/>
          <w:highlight w:val="none"/>
          <w:lang w:eastAsia="zh-CN"/>
          <w14:textFill>
            <w14:solidFill>
              <w14:schemeClr w14:val="tx1"/>
            </w14:solidFill>
          </w14:textFill>
        </w:rPr>
        <w:t>质量保证金的退还</w:t>
      </w:r>
    </w:p>
    <w:p w14:paraId="798F423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缺陷责任期内，承包人认真履行合同约定的责任，到期后，承包人可向发包人申请返还保证金。</w:t>
      </w:r>
    </w:p>
    <w:p w14:paraId="07ED16F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发包人在接到承包人返还保证金申请后，应于</w:t>
      </w:r>
      <w:r>
        <w:rPr>
          <w:rFonts w:ascii="宋体" w:hAnsi="宋体"/>
          <w:color w:val="000000" w:themeColor="text1"/>
          <w:sz w:val="24"/>
          <w:szCs w:val="24"/>
          <w:highlight w:val="none"/>
          <w:lang w:eastAsia="zh-CN"/>
          <w14:textFill>
            <w14:solidFill>
              <w14:schemeClr w14:val="tx1"/>
            </w14:solidFill>
          </w14:textFill>
        </w:rPr>
        <w:t>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D96144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发包人和承包人对保证金预留、返还以及工程维修质量、费用有争议的，按本合同第</w:t>
      </w:r>
      <w:r>
        <w:rPr>
          <w:rFonts w:ascii="宋体" w:hAnsi="宋体"/>
          <w:color w:val="000000" w:themeColor="text1"/>
          <w:sz w:val="24"/>
          <w:szCs w:val="24"/>
          <w:highlight w:val="none"/>
          <w:lang w:eastAsia="zh-CN"/>
          <w14:textFill>
            <w14:solidFill>
              <w14:schemeClr w14:val="tx1"/>
            </w14:solidFill>
          </w14:textFill>
        </w:rPr>
        <w:t>20条约定的争议和纠纷解决程序处理。</w:t>
      </w:r>
    </w:p>
    <w:p w14:paraId="719419B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69" w:name="_Toc351203602"/>
      <w:bookmarkStart w:id="370" w:name="_Toc337558819"/>
      <w:r>
        <w:rPr>
          <w:rFonts w:ascii="宋体" w:hAnsi="宋体"/>
          <w:color w:val="000000" w:themeColor="text1"/>
          <w:sz w:val="24"/>
          <w:szCs w:val="24"/>
          <w:highlight w:val="none"/>
          <w:lang w:eastAsia="zh-CN"/>
          <w14:textFill>
            <w14:solidFill>
              <w14:schemeClr w14:val="tx1"/>
            </w14:solidFill>
          </w14:textFill>
        </w:rPr>
        <w:t xml:space="preserve">15.4 </w:t>
      </w:r>
      <w:r>
        <w:rPr>
          <w:rFonts w:hint="eastAsia" w:ascii="宋体" w:hAnsi="宋体"/>
          <w:color w:val="000000" w:themeColor="text1"/>
          <w:sz w:val="24"/>
          <w:szCs w:val="24"/>
          <w:highlight w:val="none"/>
          <w:lang w:eastAsia="zh-CN"/>
          <w14:textFill>
            <w14:solidFill>
              <w14:schemeClr w14:val="tx1"/>
            </w14:solidFill>
          </w14:textFill>
        </w:rPr>
        <w:t>保修</w:t>
      </w:r>
      <w:bookmarkEnd w:id="369"/>
    </w:p>
    <w:bookmarkEnd w:id="367"/>
    <w:bookmarkEnd w:id="368"/>
    <w:bookmarkEnd w:id="370"/>
    <w:p w14:paraId="59AB775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15.4.1保修责任</w:t>
      </w:r>
    </w:p>
    <w:p w14:paraId="220E3A2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6DA5D3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发包人未经竣工验收擅自使用工程的，保修期自转移占有之日起算。</w:t>
      </w:r>
    </w:p>
    <w:p w14:paraId="5237A9E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15.4.2 </w:t>
      </w:r>
      <w:r>
        <w:rPr>
          <w:rFonts w:hint="eastAsia" w:ascii="宋体" w:hAnsi="宋体"/>
          <w:color w:val="000000" w:themeColor="text1"/>
          <w:sz w:val="24"/>
          <w:szCs w:val="24"/>
          <w:highlight w:val="none"/>
          <w:lang w:eastAsia="zh-CN"/>
          <w14:textFill>
            <w14:solidFill>
              <w14:schemeClr w14:val="tx1"/>
            </w14:solidFill>
          </w14:textFill>
        </w:rPr>
        <w:t>修复费用</w:t>
      </w:r>
    </w:p>
    <w:p w14:paraId="3C7ECED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保修期内，修复的费用按照以下约定处理：</w:t>
      </w:r>
    </w:p>
    <w:p w14:paraId="67D24E4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1）保修期内，因承包人原因造成工程的缺陷、损坏，承包人应负责修复，并承担修复的费用以及因工程的缺陷、损坏造成的人身伤害和财产损失；</w:t>
      </w:r>
    </w:p>
    <w:p w14:paraId="0A128FE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2）保修期内，因发包人使用不当造成工程的缺陷、损坏，可以委托承包人修复，但发包人应承担修复的费用，并支付承包人合理利润；</w:t>
      </w:r>
    </w:p>
    <w:p w14:paraId="05285A8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7825C84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15.4.3 </w:t>
      </w:r>
      <w:r>
        <w:rPr>
          <w:rFonts w:hint="eastAsia" w:ascii="宋体" w:hAnsi="宋体"/>
          <w:color w:val="000000" w:themeColor="text1"/>
          <w:sz w:val="24"/>
          <w:szCs w:val="24"/>
          <w:highlight w:val="none"/>
          <w:lang w:eastAsia="zh-CN"/>
          <w14:textFill>
            <w14:solidFill>
              <w14:schemeClr w14:val="tx1"/>
            </w14:solidFill>
          </w14:textFill>
        </w:rPr>
        <w:t>修复通知</w:t>
      </w:r>
    </w:p>
    <w:p w14:paraId="5C823B5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color w:val="000000" w:themeColor="text1"/>
          <w:sz w:val="24"/>
          <w:szCs w:val="24"/>
          <w:highlight w:val="none"/>
          <w:lang w:eastAsia="zh-CN"/>
          <w14:textFill>
            <w14:solidFill>
              <w14:schemeClr w14:val="tx1"/>
            </w14:solidFill>
          </w14:textFill>
        </w:rPr>
        <w:t>48小时内书面确认，承包人应在专用合同条款约定的合理期限内到达工程现场并修复缺陷或损坏。</w:t>
      </w:r>
    </w:p>
    <w:p w14:paraId="0B2A6A5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15.4.4 </w:t>
      </w:r>
      <w:r>
        <w:rPr>
          <w:rFonts w:hint="eastAsia" w:ascii="宋体" w:hAnsi="宋体"/>
          <w:color w:val="000000" w:themeColor="text1"/>
          <w:sz w:val="24"/>
          <w:szCs w:val="24"/>
          <w:highlight w:val="none"/>
          <w:lang w:eastAsia="zh-CN"/>
          <w14:textFill>
            <w14:solidFill>
              <w14:schemeClr w14:val="tx1"/>
            </w14:solidFill>
          </w14:textFill>
        </w:rPr>
        <w:t>未能修复</w:t>
      </w:r>
    </w:p>
    <w:p w14:paraId="753D81B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3A7011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15.4.5 </w:t>
      </w:r>
      <w:r>
        <w:rPr>
          <w:rFonts w:hint="eastAsia" w:ascii="宋体" w:hAnsi="宋体"/>
          <w:color w:val="000000" w:themeColor="text1"/>
          <w:sz w:val="24"/>
          <w:szCs w:val="24"/>
          <w:highlight w:val="none"/>
          <w:lang w:eastAsia="zh-CN"/>
          <w14:textFill>
            <w14:solidFill>
              <w14:schemeClr w14:val="tx1"/>
            </w14:solidFill>
          </w14:textFill>
        </w:rPr>
        <w:t>承包人出入权</w:t>
      </w:r>
    </w:p>
    <w:p w14:paraId="48E253B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在保修期内，为了修复缺陷或损坏，承包人有权出入工程现场，除情况紧急必须立即修复缺陷或损坏外，承包人应提前</w:t>
      </w:r>
      <w:r>
        <w:rPr>
          <w:rFonts w:ascii="宋体" w:hAnsi="宋体"/>
          <w:color w:val="000000" w:themeColor="text1"/>
          <w:sz w:val="24"/>
          <w:szCs w:val="24"/>
          <w:highlight w:val="none"/>
          <w:lang w:eastAsia="zh-CN"/>
          <w14:textFill>
            <w14:solidFill>
              <w14:schemeClr w14:val="tx1"/>
            </w14:solidFill>
          </w14:textFill>
        </w:rPr>
        <w:t>24小时通知发包人进场修复的时间。承包人进入工程现场前应获得发包人同意，且不应影响发包人正常的生产经营，并应遵守发包人有关保安和保密等规定。</w:t>
      </w:r>
    </w:p>
    <w:p w14:paraId="2DB30E7E">
      <w:pPr>
        <w:pStyle w:val="7"/>
        <w:spacing w:before="120" w:after="120" w:line="360" w:lineRule="auto"/>
        <w:rPr>
          <w:b w:val="0"/>
          <w:color w:val="000000" w:themeColor="text1"/>
          <w:sz w:val="24"/>
          <w:szCs w:val="24"/>
          <w:highlight w:val="none"/>
          <w:lang w:eastAsia="zh-CN"/>
          <w14:textFill>
            <w14:solidFill>
              <w14:schemeClr w14:val="tx1"/>
            </w14:solidFill>
          </w14:textFill>
        </w:rPr>
      </w:pPr>
      <w:bookmarkStart w:id="371" w:name="_Toc351203603"/>
      <w:bookmarkStart w:id="372" w:name="_Toc337558820"/>
      <w:r>
        <w:rPr>
          <w:b w:val="0"/>
          <w:color w:val="000000" w:themeColor="text1"/>
          <w:sz w:val="24"/>
          <w:szCs w:val="24"/>
          <w:highlight w:val="none"/>
          <w:lang w:eastAsia="zh-CN"/>
          <w14:textFill>
            <w14:solidFill>
              <w14:schemeClr w14:val="tx1"/>
            </w14:solidFill>
          </w14:textFill>
        </w:rPr>
        <w:t xml:space="preserve">16. </w:t>
      </w:r>
      <w:r>
        <w:rPr>
          <w:rFonts w:hint="eastAsia"/>
          <w:b w:val="0"/>
          <w:color w:val="000000" w:themeColor="text1"/>
          <w:sz w:val="24"/>
          <w:szCs w:val="24"/>
          <w:highlight w:val="none"/>
          <w:lang w:eastAsia="zh-CN"/>
          <w14:textFill>
            <w14:solidFill>
              <w14:schemeClr w14:val="tx1"/>
            </w14:solidFill>
          </w14:textFill>
        </w:rPr>
        <w:t>违约</w:t>
      </w:r>
      <w:bookmarkEnd w:id="371"/>
    </w:p>
    <w:bookmarkEnd w:id="372"/>
    <w:p w14:paraId="493FBE4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73" w:name="_Toc296503129"/>
      <w:bookmarkStart w:id="374" w:name="_Toc296346630"/>
      <w:bookmarkStart w:id="375" w:name="_Toc351203604"/>
      <w:bookmarkStart w:id="376" w:name="_Toc337558821"/>
      <w:r>
        <w:rPr>
          <w:rFonts w:ascii="宋体" w:hAnsi="宋体"/>
          <w:color w:val="000000" w:themeColor="text1"/>
          <w:sz w:val="24"/>
          <w:szCs w:val="24"/>
          <w:highlight w:val="none"/>
          <w:lang w:eastAsia="zh-CN"/>
          <w14:textFill>
            <w14:solidFill>
              <w14:schemeClr w14:val="tx1"/>
            </w14:solidFill>
          </w14:textFill>
        </w:rPr>
        <w:t xml:space="preserve">16.1 </w:t>
      </w:r>
      <w:r>
        <w:rPr>
          <w:rFonts w:hint="eastAsia" w:ascii="宋体" w:hAnsi="宋体"/>
          <w:color w:val="000000" w:themeColor="text1"/>
          <w:sz w:val="24"/>
          <w:szCs w:val="24"/>
          <w:highlight w:val="none"/>
          <w:lang w:eastAsia="zh-CN"/>
          <w14:textFill>
            <w14:solidFill>
              <w14:schemeClr w14:val="tx1"/>
            </w14:solidFill>
          </w14:textFill>
        </w:rPr>
        <w:t>发</w:t>
      </w:r>
      <w:bookmarkEnd w:id="373"/>
      <w:bookmarkEnd w:id="374"/>
      <w:r>
        <w:rPr>
          <w:rFonts w:hint="eastAsia" w:ascii="宋体" w:hAnsi="宋体"/>
          <w:color w:val="000000" w:themeColor="text1"/>
          <w:sz w:val="24"/>
          <w:szCs w:val="24"/>
          <w:highlight w:val="none"/>
          <w:lang w:eastAsia="zh-CN"/>
          <w14:textFill>
            <w14:solidFill>
              <w14:schemeClr w14:val="tx1"/>
            </w14:solidFill>
          </w14:textFill>
        </w:rPr>
        <w:t>包人违约</w:t>
      </w:r>
      <w:bookmarkEnd w:id="375"/>
    </w:p>
    <w:bookmarkEnd w:id="376"/>
    <w:p w14:paraId="2D73A71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16.1.1 </w:t>
      </w:r>
      <w:r>
        <w:rPr>
          <w:rFonts w:hint="eastAsia" w:ascii="宋体" w:hAnsi="宋体"/>
          <w:color w:val="000000" w:themeColor="text1"/>
          <w:sz w:val="24"/>
          <w:szCs w:val="24"/>
          <w:highlight w:val="none"/>
          <w:lang w:eastAsia="zh-CN"/>
          <w14:textFill>
            <w14:solidFill>
              <w14:schemeClr w14:val="tx1"/>
            </w14:solidFill>
          </w14:textFill>
        </w:rPr>
        <w:t>发包人违约的情形</w:t>
      </w:r>
    </w:p>
    <w:p w14:paraId="48DD525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在合同履行过程中发生的下列情形，属于发包人违约：</w:t>
      </w:r>
    </w:p>
    <w:p w14:paraId="6DAD275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1）因发包人原因未能在计划开工日期前7天内下达开工通知的；</w:t>
      </w:r>
    </w:p>
    <w:p w14:paraId="26CB8DA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2）因发包人原因未能按合同约定支付合同价款的；</w:t>
      </w:r>
    </w:p>
    <w:p w14:paraId="6A06E19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3）发包人违反第10.1款〔变更的范围〕第（2）项约定，自行实施被取消的工作或转由他人实施的；</w:t>
      </w:r>
    </w:p>
    <w:p w14:paraId="2508489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4）发包人提供的材料、工程设备的规格、数量或质量不符合合同约定，或因发包人原因导致交货日期延误或交货地点变更等情况的；</w:t>
      </w:r>
    </w:p>
    <w:p w14:paraId="49D5F60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5）因发包人违反合同约定造成暂停施工的；</w:t>
      </w:r>
    </w:p>
    <w:p w14:paraId="304BC88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6）发包人无正当理由没有在约定期限内发出复工指示，导致承包人无法复工的；</w:t>
      </w:r>
    </w:p>
    <w:p w14:paraId="6658AB0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7）发包人明确表示或者以其行为表明不履行合同主要义务的；</w:t>
      </w:r>
    </w:p>
    <w:p w14:paraId="72A6DA8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8）发包人未能按照合同约定履行其他义务的。</w:t>
      </w:r>
    </w:p>
    <w:p w14:paraId="061B425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发包人发生除本项第（</w:t>
      </w:r>
      <w:r>
        <w:rPr>
          <w:rFonts w:ascii="宋体" w:hAnsi="宋体"/>
          <w:color w:val="000000" w:themeColor="text1"/>
          <w:sz w:val="24"/>
          <w:szCs w:val="24"/>
          <w:highlight w:val="none"/>
          <w:lang w:eastAsia="zh-CN"/>
          <w14:textFill>
            <w14:solidFill>
              <w14:schemeClr w14:val="tx1"/>
            </w14:solidFill>
          </w14:textFill>
        </w:rPr>
        <w:t>7）目以外的违约情况时，承包人可向发包人发出通知，要求发包人采取有效措施纠正违约行为。发包人收到承包人通知后28天内仍不纠正违约行为的，承包人有权暂停相应部位工程施工，并通知监理人。</w:t>
      </w:r>
    </w:p>
    <w:p w14:paraId="5ECCEBD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16.1.2 </w:t>
      </w:r>
      <w:r>
        <w:rPr>
          <w:rFonts w:hint="eastAsia" w:ascii="宋体" w:hAnsi="宋体"/>
          <w:color w:val="000000" w:themeColor="text1"/>
          <w:sz w:val="24"/>
          <w:szCs w:val="24"/>
          <w:highlight w:val="none"/>
          <w:lang w:eastAsia="zh-CN"/>
          <w14:textFill>
            <w14:solidFill>
              <w14:schemeClr w14:val="tx1"/>
            </w14:solidFill>
          </w14:textFill>
        </w:rPr>
        <w:t>发包人违约的责任</w:t>
      </w:r>
    </w:p>
    <w:p w14:paraId="7680174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2B09006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16.1.3 </w:t>
      </w:r>
      <w:r>
        <w:rPr>
          <w:rFonts w:hint="eastAsia" w:ascii="宋体" w:hAnsi="宋体"/>
          <w:color w:val="000000" w:themeColor="text1"/>
          <w:sz w:val="24"/>
          <w:szCs w:val="24"/>
          <w:highlight w:val="none"/>
          <w:lang w:eastAsia="zh-CN"/>
          <w14:textFill>
            <w14:solidFill>
              <w14:schemeClr w14:val="tx1"/>
            </w14:solidFill>
          </w14:textFill>
        </w:rPr>
        <w:t>因发包人违约解除合同</w:t>
      </w:r>
    </w:p>
    <w:p w14:paraId="1360C5D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除专用合同条款另有约定外，承包人按第</w:t>
      </w:r>
      <w:r>
        <w:rPr>
          <w:rFonts w:ascii="宋体" w:hAnsi="宋体"/>
          <w:color w:val="000000" w:themeColor="text1"/>
          <w:sz w:val="24"/>
          <w:szCs w:val="24"/>
          <w:highlight w:val="none"/>
          <w:lang w:eastAsia="zh-CN"/>
          <w14:textFill>
            <w14:solidFill>
              <w14:schemeClr w14:val="tx1"/>
            </w14:solidFill>
          </w14:textFill>
        </w:rPr>
        <w:t>16.1.1项〔发包人违约的情形〕约定暂停施工满28天后，发包人仍不纠正其违约行为并致使合同目的不能实现的，或出现第16.1.1项〔发</w:t>
      </w:r>
      <w:r>
        <w:rPr>
          <w:rFonts w:hint="eastAsia" w:ascii="宋体" w:hAnsi="宋体"/>
          <w:color w:val="000000" w:themeColor="text1"/>
          <w:sz w:val="24"/>
          <w:szCs w:val="24"/>
          <w:highlight w:val="none"/>
          <w:lang w:eastAsia="zh-CN"/>
          <w14:textFill>
            <w14:solidFill>
              <w14:schemeClr w14:val="tx1"/>
            </w14:solidFill>
          </w14:textFill>
        </w:rPr>
        <w:t>包人违约的情形〕第（</w:t>
      </w:r>
      <w:r>
        <w:rPr>
          <w:rFonts w:ascii="宋体" w:hAnsi="宋体"/>
          <w:color w:val="000000" w:themeColor="text1"/>
          <w:sz w:val="24"/>
          <w:szCs w:val="24"/>
          <w:highlight w:val="none"/>
          <w:lang w:eastAsia="zh-CN"/>
          <w14:textFill>
            <w14:solidFill>
              <w14:schemeClr w14:val="tx1"/>
            </w14:solidFill>
          </w14:textFill>
        </w:rPr>
        <w:t>7）目约定的违约情况，承包人有权解除合同，发包人应承担由此增加的费用，并支付承包人合理的利润。</w:t>
      </w:r>
    </w:p>
    <w:p w14:paraId="02925D7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16.1.4 </w:t>
      </w:r>
      <w:r>
        <w:rPr>
          <w:rFonts w:hint="eastAsia" w:ascii="宋体" w:hAnsi="宋体"/>
          <w:color w:val="000000" w:themeColor="text1"/>
          <w:sz w:val="24"/>
          <w:szCs w:val="24"/>
          <w:highlight w:val="none"/>
          <w:lang w:eastAsia="zh-CN"/>
          <w14:textFill>
            <w14:solidFill>
              <w14:schemeClr w14:val="tx1"/>
            </w14:solidFill>
          </w14:textFill>
        </w:rPr>
        <w:t>因发包人违约解除合同后的付款</w:t>
      </w:r>
    </w:p>
    <w:p w14:paraId="4419477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承包人按照本款约定解除合同的，发包人应在解除合同后</w:t>
      </w:r>
      <w:r>
        <w:rPr>
          <w:rFonts w:ascii="宋体" w:hAnsi="宋体"/>
          <w:color w:val="000000" w:themeColor="text1"/>
          <w:sz w:val="24"/>
          <w:szCs w:val="24"/>
          <w:highlight w:val="none"/>
          <w:lang w:eastAsia="zh-CN"/>
          <w14:textFill>
            <w14:solidFill>
              <w14:schemeClr w14:val="tx1"/>
            </w14:solidFill>
          </w14:textFill>
        </w:rPr>
        <w:t>28天内支付下列款项，并解除履约担保：</w:t>
      </w:r>
    </w:p>
    <w:p w14:paraId="18D7B63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1）合同解除前所完成工作的价款；</w:t>
      </w:r>
    </w:p>
    <w:p w14:paraId="2677255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2）承包人为工程施工订购并已付款的材料、工程设备和其他物品的价款；</w:t>
      </w:r>
    </w:p>
    <w:p w14:paraId="43E14D8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3）承包人撤离施工现场以及遣散承包人人员的款项；</w:t>
      </w:r>
    </w:p>
    <w:p w14:paraId="35673D35">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4）按照合同约定在合同解除前应支付的违约金；</w:t>
      </w:r>
    </w:p>
    <w:p w14:paraId="54A3F0F2">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5）按照合同约定应当支付给承包人的其他款项；</w:t>
      </w:r>
    </w:p>
    <w:p w14:paraId="305F53D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6）按照合同约定应退还的质量保证金；</w:t>
      </w:r>
    </w:p>
    <w:p w14:paraId="541F8C4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7）因解除合同给承包人造成的损失。</w:t>
      </w:r>
    </w:p>
    <w:p w14:paraId="5956978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合同当事人未能就解除合同后的结清达成一致的，按照第</w:t>
      </w:r>
      <w:r>
        <w:rPr>
          <w:rFonts w:ascii="宋体" w:hAnsi="宋体"/>
          <w:color w:val="000000" w:themeColor="text1"/>
          <w:sz w:val="24"/>
          <w:szCs w:val="24"/>
          <w:highlight w:val="none"/>
          <w:lang w:eastAsia="zh-CN"/>
          <w14:textFill>
            <w14:solidFill>
              <w14:schemeClr w14:val="tx1"/>
            </w14:solidFill>
          </w14:textFill>
        </w:rPr>
        <w:t>20条〔争议解决〕的约定处理。</w:t>
      </w:r>
    </w:p>
    <w:p w14:paraId="6A00E8CB">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3FEF952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77" w:name="_Toc351203605"/>
      <w:bookmarkStart w:id="378" w:name="_Toc296346632"/>
      <w:bookmarkStart w:id="379" w:name="_Toc337558822"/>
      <w:bookmarkStart w:id="380" w:name="_Toc296503131"/>
      <w:r>
        <w:rPr>
          <w:rFonts w:ascii="宋体" w:hAnsi="宋体"/>
          <w:color w:val="000000" w:themeColor="text1"/>
          <w:sz w:val="24"/>
          <w:szCs w:val="24"/>
          <w:highlight w:val="none"/>
          <w:lang w:eastAsia="zh-CN"/>
          <w14:textFill>
            <w14:solidFill>
              <w14:schemeClr w14:val="tx1"/>
            </w14:solidFill>
          </w14:textFill>
        </w:rPr>
        <w:t xml:space="preserve">16.2 </w:t>
      </w:r>
      <w:r>
        <w:rPr>
          <w:rFonts w:hint="eastAsia" w:ascii="宋体" w:hAnsi="宋体"/>
          <w:color w:val="000000" w:themeColor="text1"/>
          <w:sz w:val="24"/>
          <w:szCs w:val="24"/>
          <w:highlight w:val="none"/>
          <w:lang w:eastAsia="zh-CN"/>
          <w14:textFill>
            <w14:solidFill>
              <w14:schemeClr w14:val="tx1"/>
            </w14:solidFill>
          </w14:textFill>
        </w:rPr>
        <w:t>承包人违约</w:t>
      </w:r>
      <w:bookmarkEnd w:id="377"/>
    </w:p>
    <w:bookmarkEnd w:id="378"/>
    <w:bookmarkEnd w:id="379"/>
    <w:bookmarkEnd w:id="380"/>
    <w:p w14:paraId="6539D81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16.2.1 </w:t>
      </w:r>
      <w:r>
        <w:rPr>
          <w:rFonts w:hint="eastAsia" w:ascii="宋体" w:hAnsi="宋体"/>
          <w:color w:val="000000" w:themeColor="text1"/>
          <w:sz w:val="24"/>
          <w:szCs w:val="24"/>
          <w:highlight w:val="none"/>
          <w:lang w:eastAsia="zh-CN"/>
          <w14:textFill>
            <w14:solidFill>
              <w14:schemeClr w14:val="tx1"/>
            </w14:solidFill>
          </w14:textFill>
        </w:rPr>
        <w:t>承包人违约的情形</w:t>
      </w:r>
    </w:p>
    <w:p w14:paraId="77243C9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在合同履行过程中发生的下列情形，属于承包人违约：</w:t>
      </w:r>
    </w:p>
    <w:p w14:paraId="4435D40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1）承包人违反合同约定进行转包或违法分包的；</w:t>
      </w:r>
    </w:p>
    <w:p w14:paraId="6013388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2）承包人违反合同约定采购和使用不合格的材料和工程设备的；</w:t>
      </w:r>
    </w:p>
    <w:p w14:paraId="5C6B764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 xml:space="preserve">3）因承包人原因导致工程质量不符合合同要求的； </w:t>
      </w:r>
    </w:p>
    <w:p w14:paraId="21A5F56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4）承包人违反第8.9款〔材料与设备专用要求〕的约定，未经批准，私自将已按照合同约定进入施工现场的材料或设备撤离施工现场的；</w:t>
      </w:r>
    </w:p>
    <w:p w14:paraId="76C39E2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5）承包人未能按施工进度计划及时完成合同约定的工作，造成工期延误的；</w:t>
      </w:r>
    </w:p>
    <w:p w14:paraId="4996E0B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6）承包人在缺陷责任期及保修期内，未能在合理期限对工程缺陷进行修复，或拒绝按发包人要求进行修复的；</w:t>
      </w:r>
    </w:p>
    <w:p w14:paraId="3C3775E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7）承包人明确表示或者以其行为表明不履行合同主要义务的；</w:t>
      </w:r>
    </w:p>
    <w:p w14:paraId="36B37D0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8）承包人未能按照合同约定履行其他义务的。</w:t>
      </w:r>
    </w:p>
    <w:p w14:paraId="1ECF77E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承包人发生除本项第（</w:t>
      </w:r>
      <w:r>
        <w:rPr>
          <w:rFonts w:ascii="宋体" w:hAnsi="宋体"/>
          <w:color w:val="000000" w:themeColor="text1"/>
          <w:sz w:val="24"/>
          <w:szCs w:val="24"/>
          <w:highlight w:val="none"/>
          <w:lang w:eastAsia="zh-CN"/>
          <w14:textFill>
            <w14:solidFill>
              <w14:schemeClr w14:val="tx1"/>
            </w14:solidFill>
          </w14:textFill>
        </w:rPr>
        <w:t>7）目约定以外的其他违约情况时，监理人可向承包人发出整改通知，要求其在指定的期限内改正。</w:t>
      </w:r>
    </w:p>
    <w:p w14:paraId="1837283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16.2.2 </w:t>
      </w:r>
      <w:r>
        <w:rPr>
          <w:rFonts w:hint="eastAsia" w:ascii="宋体" w:hAnsi="宋体"/>
          <w:color w:val="000000" w:themeColor="text1"/>
          <w:sz w:val="24"/>
          <w:szCs w:val="24"/>
          <w:highlight w:val="none"/>
          <w:lang w:eastAsia="zh-CN"/>
          <w14:textFill>
            <w14:solidFill>
              <w14:schemeClr w14:val="tx1"/>
            </w14:solidFill>
          </w14:textFill>
        </w:rPr>
        <w:t>承包人违约的责任</w:t>
      </w:r>
    </w:p>
    <w:p w14:paraId="170E9D4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26B4515C">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16.2.3 </w:t>
      </w:r>
      <w:r>
        <w:rPr>
          <w:rFonts w:hint="eastAsia" w:ascii="宋体" w:hAnsi="宋体"/>
          <w:color w:val="000000" w:themeColor="text1"/>
          <w:sz w:val="24"/>
          <w:szCs w:val="24"/>
          <w:highlight w:val="none"/>
          <w:lang w:eastAsia="zh-CN"/>
          <w14:textFill>
            <w14:solidFill>
              <w14:schemeClr w14:val="tx1"/>
            </w14:solidFill>
          </w14:textFill>
        </w:rPr>
        <w:t>因承包人违约解除合同</w:t>
      </w:r>
    </w:p>
    <w:p w14:paraId="6EA2027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除专用合同条款另有约定外，出现第</w:t>
      </w:r>
      <w:r>
        <w:rPr>
          <w:rFonts w:ascii="宋体" w:hAnsi="宋体"/>
          <w:color w:val="000000" w:themeColor="text1"/>
          <w:sz w:val="24"/>
          <w:szCs w:val="24"/>
          <w:highlight w:val="none"/>
          <w:lang w:eastAsia="zh-CN"/>
          <w14:textFill>
            <w14:solidFill>
              <w14:schemeClr w14:val="tx1"/>
            </w14:solidFill>
          </w14:textFill>
        </w:rPr>
        <w:t>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845C3CE">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16.2.4因承包人违约解除合同后的处理</w:t>
      </w:r>
    </w:p>
    <w:p w14:paraId="0775ACC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因承包人原因导致合同解除的，则合同当事人应在合同解除后</w:t>
      </w:r>
      <w:r>
        <w:rPr>
          <w:rFonts w:ascii="宋体" w:hAnsi="宋体"/>
          <w:color w:val="000000" w:themeColor="text1"/>
          <w:sz w:val="24"/>
          <w:szCs w:val="24"/>
          <w:highlight w:val="none"/>
          <w:lang w:eastAsia="zh-CN"/>
          <w14:textFill>
            <w14:solidFill>
              <w14:schemeClr w14:val="tx1"/>
            </w14:solidFill>
          </w14:textFill>
        </w:rPr>
        <w:t>28天内完成估价、付款和清算，并按以下约定执行：</w:t>
      </w:r>
    </w:p>
    <w:p w14:paraId="4870FF5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3200924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2）合同解除后，承包人应支付的违约金；</w:t>
      </w:r>
    </w:p>
    <w:p w14:paraId="5AF8C0A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3）合同解除后，因解除合同给发包人造成的损失；</w:t>
      </w:r>
    </w:p>
    <w:p w14:paraId="1403A11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4）合同解除后，承包人应按照发包人要求和监理人的指示完成现场的清理和撤离；</w:t>
      </w:r>
    </w:p>
    <w:p w14:paraId="6A486BD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5）发包人和承包人应在合同解除后进行清算，出具最终结清付款证书，结清全部款项。</w:t>
      </w:r>
    </w:p>
    <w:p w14:paraId="775EDC1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w:t>
      </w:r>
      <w:r>
        <w:rPr>
          <w:rFonts w:ascii="宋体" w:hAnsi="宋体"/>
          <w:color w:val="000000" w:themeColor="text1"/>
          <w:sz w:val="24"/>
          <w:szCs w:val="24"/>
          <w:highlight w:val="none"/>
          <w:lang w:eastAsia="zh-CN"/>
          <w14:textFill>
            <w14:solidFill>
              <w14:schemeClr w14:val="tx1"/>
            </w14:solidFill>
          </w14:textFill>
        </w:rPr>
        <w:t>20条〔争议解决〕的约定处理。</w:t>
      </w:r>
    </w:p>
    <w:p w14:paraId="0D2D6FC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16.2.5采购合同权益转让</w:t>
      </w:r>
    </w:p>
    <w:p w14:paraId="232561C9">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因承包人违约解除合同的，发包人有权要求承包人将其为实施合同而签订的材料和设备的采购合同的权益转让给发包人，承包人应在收到解除合同通知后</w:t>
      </w:r>
      <w:r>
        <w:rPr>
          <w:rFonts w:ascii="宋体" w:hAnsi="宋体"/>
          <w:color w:val="000000" w:themeColor="text1"/>
          <w:sz w:val="24"/>
          <w:szCs w:val="24"/>
          <w:highlight w:val="none"/>
          <w:lang w:eastAsia="zh-CN"/>
          <w14:textFill>
            <w14:solidFill>
              <w14:schemeClr w14:val="tx1"/>
            </w14:solidFill>
          </w14:textFill>
        </w:rPr>
        <w:t>14天内，协助发包人与采购合同的供应商达成相关的转让协议。</w:t>
      </w:r>
    </w:p>
    <w:p w14:paraId="6C251C9B">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81" w:name="_Toc351203606"/>
      <w:r>
        <w:rPr>
          <w:rFonts w:ascii="宋体" w:hAnsi="宋体"/>
          <w:color w:val="000000" w:themeColor="text1"/>
          <w:sz w:val="24"/>
          <w:szCs w:val="24"/>
          <w:highlight w:val="none"/>
          <w:lang w:eastAsia="zh-CN"/>
          <w14:textFill>
            <w14:solidFill>
              <w14:schemeClr w14:val="tx1"/>
            </w14:solidFill>
          </w14:textFill>
        </w:rPr>
        <w:t xml:space="preserve">16.3 </w:t>
      </w:r>
      <w:r>
        <w:rPr>
          <w:rFonts w:hint="eastAsia" w:ascii="宋体" w:hAnsi="宋体"/>
          <w:color w:val="000000" w:themeColor="text1"/>
          <w:sz w:val="24"/>
          <w:szCs w:val="24"/>
          <w:highlight w:val="none"/>
          <w:lang w:eastAsia="zh-CN"/>
          <w14:textFill>
            <w14:solidFill>
              <w14:schemeClr w14:val="tx1"/>
            </w14:solidFill>
          </w14:textFill>
        </w:rPr>
        <w:t>第三人造成的违约</w:t>
      </w:r>
      <w:bookmarkEnd w:id="381"/>
    </w:p>
    <w:p w14:paraId="66C7562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0841DD89">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382" w:name="_Toc296346617"/>
      <w:bookmarkStart w:id="383" w:name="_Toc351203607"/>
      <w:bookmarkStart w:id="384" w:name="_Toc337558823"/>
      <w:bookmarkStart w:id="385" w:name="_Toc296503116"/>
      <w:r>
        <w:rPr>
          <w:b w:val="0"/>
          <w:color w:val="000000" w:themeColor="text1"/>
          <w:sz w:val="24"/>
          <w:szCs w:val="24"/>
          <w:highlight w:val="none"/>
          <w:lang w:eastAsia="zh-CN"/>
          <w14:textFill>
            <w14:solidFill>
              <w14:schemeClr w14:val="tx1"/>
            </w14:solidFill>
          </w14:textFill>
        </w:rPr>
        <w:t xml:space="preserve">17. </w:t>
      </w:r>
      <w:r>
        <w:rPr>
          <w:rFonts w:hint="eastAsia"/>
          <w:b w:val="0"/>
          <w:color w:val="000000" w:themeColor="text1"/>
          <w:sz w:val="24"/>
          <w:szCs w:val="24"/>
          <w:highlight w:val="none"/>
          <w:lang w:eastAsia="zh-CN"/>
          <w14:textFill>
            <w14:solidFill>
              <w14:schemeClr w14:val="tx1"/>
            </w14:solidFill>
          </w14:textFill>
        </w:rPr>
        <w:t>不可抗力</w:t>
      </w:r>
      <w:bookmarkEnd w:id="382"/>
      <w:bookmarkEnd w:id="383"/>
      <w:bookmarkEnd w:id="384"/>
      <w:bookmarkEnd w:id="385"/>
    </w:p>
    <w:p w14:paraId="61DC746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86" w:name="_Toc351203608"/>
      <w:bookmarkStart w:id="387" w:name="_Toc296503117"/>
      <w:bookmarkStart w:id="388" w:name="_Toc296346618"/>
      <w:bookmarkStart w:id="389" w:name="_Toc337558824"/>
      <w:r>
        <w:rPr>
          <w:rFonts w:ascii="宋体" w:hAnsi="宋体"/>
          <w:color w:val="000000" w:themeColor="text1"/>
          <w:sz w:val="24"/>
          <w:szCs w:val="24"/>
          <w:highlight w:val="none"/>
          <w:lang w:eastAsia="zh-CN"/>
          <w14:textFill>
            <w14:solidFill>
              <w14:schemeClr w14:val="tx1"/>
            </w14:solidFill>
          </w14:textFill>
        </w:rPr>
        <w:t xml:space="preserve">17.1 </w:t>
      </w:r>
      <w:r>
        <w:rPr>
          <w:rFonts w:hint="eastAsia" w:ascii="宋体" w:hAnsi="宋体"/>
          <w:color w:val="000000" w:themeColor="text1"/>
          <w:sz w:val="24"/>
          <w:szCs w:val="24"/>
          <w:highlight w:val="none"/>
          <w:lang w:eastAsia="zh-CN"/>
          <w14:textFill>
            <w14:solidFill>
              <w14:schemeClr w14:val="tx1"/>
            </w14:solidFill>
          </w14:textFill>
        </w:rPr>
        <w:t>不可抗力的确认</w:t>
      </w:r>
      <w:bookmarkEnd w:id="386"/>
    </w:p>
    <w:bookmarkEnd w:id="387"/>
    <w:bookmarkEnd w:id="388"/>
    <w:bookmarkEnd w:id="389"/>
    <w:p w14:paraId="616BB1D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7B929E6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w:t>
      </w:r>
      <w:r>
        <w:rPr>
          <w:rFonts w:ascii="宋体" w:hAnsi="宋体"/>
          <w:color w:val="000000" w:themeColor="text1"/>
          <w:sz w:val="24"/>
          <w:szCs w:val="24"/>
          <w:highlight w:val="none"/>
          <w:lang w:eastAsia="zh-CN"/>
          <w14:textFill>
            <w14:solidFill>
              <w14:schemeClr w14:val="tx1"/>
            </w14:solidFill>
          </w14:textFill>
        </w:rPr>
        <w:t>4.4款〔商定或确定〕的约定处理。发生争议时，按第20条〔争议解决〕的约定处理。</w:t>
      </w:r>
    </w:p>
    <w:p w14:paraId="42D3EE0C">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90" w:name="_Toc351203609"/>
      <w:bookmarkStart w:id="391" w:name="_Toc296503118"/>
      <w:bookmarkStart w:id="392" w:name="_Toc296346619"/>
      <w:bookmarkStart w:id="393" w:name="_Toc337558825"/>
      <w:r>
        <w:rPr>
          <w:rFonts w:ascii="宋体" w:hAnsi="宋体"/>
          <w:color w:val="000000" w:themeColor="text1"/>
          <w:sz w:val="24"/>
          <w:szCs w:val="24"/>
          <w:highlight w:val="none"/>
          <w:lang w:eastAsia="zh-CN"/>
          <w14:textFill>
            <w14:solidFill>
              <w14:schemeClr w14:val="tx1"/>
            </w14:solidFill>
          </w14:textFill>
        </w:rPr>
        <w:t xml:space="preserve">17.2 </w:t>
      </w:r>
      <w:r>
        <w:rPr>
          <w:rFonts w:hint="eastAsia" w:ascii="宋体" w:hAnsi="宋体"/>
          <w:color w:val="000000" w:themeColor="text1"/>
          <w:sz w:val="24"/>
          <w:szCs w:val="24"/>
          <w:highlight w:val="none"/>
          <w:lang w:eastAsia="zh-CN"/>
          <w14:textFill>
            <w14:solidFill>
              <w14:schemeClr w14:val="tx1"/>
            </w14:solidFill>
          </w14:textFill>
        </w:rPr>
        <w:t>不可抗力的通知</w:t>
      </w:r>
      <w:bookmarkEnd w:id="390"/>
    </w:p>
    <w:bookmarkEnd w:id="391"/>
    <w:bookmarkEnd w:id="392"/>
    <w:bookmarkEnd w:id="393"/>
    <w:p w14:paraId="57601C5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1D2C61F1">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不可抗力持续发生的，合同一方当事人应及时向合同另一方当事人和监理人提交中间报告，说明不可抗力和履行合同受阻的情况，并于不可抗力事件结束后</w:t>
      </w:r>
      <w:r>
        <w:rPr>
          <w:rFonts w:ascii="宋体" w:hAnsi="宋体"/>
          <w:color w:val="000000" w:themeColor="text1"/>
          <w:sz w:val="24"/>
          <w:szCs w:val="24"/>
          <w:highlight w:val="none"/>
          <w:lang w:eastAsia="zh-CN"/>
          <w14:textFill>
            <w14:solidFill>
              <w14:schemeClr w14:val="tx1"/>
            </w14:solidFill>
          </w14:textFill>
        </w:rPr>
        <w:t>28天内提交最终报告及有关资料。</w:t>
      </w:r>
    </w:p>
    <w:p w14:paraId="4AB62BB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94" w:name="_Toc351203610"/>
      <w:bookmarkStart w:id="395" w:name="_Toc296346620"/>
      <w:bookmarkStart w:id="396" w:name="_Toc296503119"/>
      <w:bookmarkStart w:id="397" w:name="_Toc337558826"/>
      <w:r>
        <w:rPr>
          <w:rFonts w:ascii="宋体" w:hAnsi="宋体"/>
          <w:color w:val="000000" w:themeColor="text1"/>
          <w:sz w:val="24"/>
          <w:szCs w:val="24"/>
          <w:highlight w:val="none"/>
          <w:lang w:eastAsia="zh-CN"/>
          <w14:textFill>
            <w14:solidFill>
              <w14:schemeClr w14:val="tx1"/>
            </w14:solidFill>
          </w14:textFill>
        </w:rPr>
        <w:t xml:space="preserve">17.3 </w:t>
      </w:r>
      <w:r>
        <w:rPr>
          <w:rFonts w:hint="eastAsia" w:ascii="宋体" w:hAnsi="宋体"/>
          <w:color w:val="000000" w:themeColor="text1"/>
          <w:sz w:val="24"/>
          <w:szCs w:val="24"/>
          <w:highlight w:val="none"/>
          <w:lang w:eastAsia="zh-CN"/>
          <w14:textFill>
            <w14:solidFill>
              <w14:schemeClr w14:val="tx1"/>
            </w14:solidFill>
          </w14:textFill>
        </w:rPr>
        <w:t>不可抗力后果的承担</w:t>
      </w:r>
      <w:bookmarkEnd w:id="394"/>
    </w:p>
    <w:bookmarkEnd w:id="395"/>
    <w:bookmarkEnd w:id="396"/>
    <w:bookmarkEnd w:id="397"/>
    <w:p w14:paraId="49B7410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17.3.1 </w:t>
      </w:r>
      <w:r>
        <w:rPr>
          <w:rFonts w:hint="eastAsia" w:ascii="宋体" w:hAnsi="宋体"/>
          <w:color w:val="000000" w:themeColor="text1"/>
          <w:sz w:val="24"/>
          <w:szCs w:val="24"/>
          <w:highlight w:val="none"/>
          <w:lang w:eastAsia="zh-CN"/>
          <w14:textFill>
            <w14:solidFill>
              <w14:schemeClr w14:val="tx1"/>
            </w14:solidFill>
          </w14:textFill>
        </w:rPr>
        <w:t>不可抗力引起的后果及造成的损失由合同当事人按照法律规定及合同约定各自承担。不可抗力发生前已完成的工程应当按照合同约定进行计量支付。</w:t>
      </w:r>
    </w:p>
    <w:p w14:paraId="1645881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17.3.2 </w:t>
      </w:r>
      <w:r>
        <w:rPr>
          <w:rFonts w:hint="eastAsia" w:ascii="宋体" w:hAnsi="宋体"/>
          <w:color w:val="000000" w:themeColor="text1"/>
          <w:sz w:val="24"/>
          <w:szCs w:val="24"/>
          <w:highlight w:val="none"/>
          <w:lang w:eastAsia="zh-CN"/>
          <w14:textFill>
            <w14:solidFill>
              <w14:schemeClr w14:val="tx1"/>
            </w14:solidFill>
          </w14:textFill>
        </w:rPr>
        <w:t>不可抗力导致的人员伤亡、财产损失、费用增加和（或）工期延误等后果，由合同当事人按以下原则承担：</w:t>
      </w:r>
    </w:p>
    <w:p w14:paraId="04820A0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1）永久工程、已运至施工现场的材料和工程设备的损坏，以及因工程损坏造成的第三人人员伤亡和财产损失由发包人承担；</w:t>
      </w:r>
    </w:p>
    <w:p w14:paraId="0BC7B98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2）承包人施工设备的损坏由承包人承担；</w:t>
      </w:r>
    </w:p>
    <w:p w14:paraId="0825947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3）发包人和承包人承担各自人员伤亡和财产的损失；</w:t>
      </w:r>
    </w:p>
    <w:p w14:paraId="24BC541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7F2FA8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5）因不可抗力引起或将引起工期延误，发包人要求赶工的，由此增加的赶工费用由发包人承担；</w:t>
      </w:r>
    </w:p>
    <w:p w14:paraId="6F81F6C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6）承包人在停工期间按照发包人要求照管、清理和修复工程的费用由发包人承担。</w:t>
      </w:r>
    </w:p>
    <w:p w14:paraId="67E4A25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49355F4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因合同一方迟延履行合同义务，在迟延履行期间遭遇不可抗力的，不免除其违约责任。</w:t>
      </w:r>
    </w:p>
    <w:p w14:paraId="1F9578BF">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398" w:name="_Toc351203611"/>
      <w:bookmarkStart w:id="399" w:name="_Toc337558827"/>
      <w:r>
        <w:rPr>
          <w:rFonts w:ascii="宋体" w:hAnsi="宋体"/>
          <w:color w:val="000000" w:themeColor="text1"/>
          <w:sz w:val="24"/>
          <w:szCs w:val="24"/>
          <w:highlight w:val="none"/>
          <w:lang w:eastAsia="zh-CN"/>
          <w14:textFill>
            <w14:solidFill>
              <w14:schemeClr w14:val="tx1"/>
            </w14:solidFill>
          </w14:textFill>
        </w:rPr>
        <w:t xml:space="preserve">17.4 </w:t>
      </w:r>
      <w:r>
        <w:rPr>
          <w:rFonts w:hint="eastAsia" w:ascii="宋体" w:hAnsi="宋体"/>
          <w:color w:val="000000" w:themeColor="text1"/>
          <w:sz w:val="24"/>
          <w:szCs w:val="24"/>
          <w:highlight w:val="none"/>
          <w:lang w:eastAsia="zh-CN"/>
          <w14:textFill>
            <w14:solidFill>
              <w14:schemeClr w14:val="tx1"/>
            </w14:solidFill>
          </w14:textFill>
        </w:rPr>
        <w:t>因不可抗力解除合同</w:t>
      </w:r>
      <w:bookmarkEnd w:id="398"/>
    </w:p>
    <w:bookmarkEnd w:id="399"/>
    <w:p w14:paraId="4445E937">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因不可抗力导致合同无法履行连续超过</w:t>
      </w:r>
      <w:r>
        <w:rPr>
          <w:rFonts w:ascii="宋体" w:hAnsi="宋体"/>
          <w:color w:val="000000" w:themeColor="text1"/>
          <w:sz w:val="24"/>
          <w:szCs w:val="24"/>
          <w:highlight w:val="none"/>
          <w:lang w:eastAsia="zh-CN"/>
          <w14:textFill>
            <w14:solidFill>
              <w14:schemeClr w14:val="tx1"/>
            </w14:solidFill>
          </w14:textFill>
        </w:rPr>
        <w:t>84天或累计超过140天的，发包人和承包人均有权解除合同。合同解除后，由双方当事人按照第4.4款〔商定或确定〕商定或确定发包人应支付的款项，该款项包括：</w:t>
      </w:r>
    </w:p>
    <w:p w14:paraId="4910B4C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1）合同解除前承包人已完成工作的价款；</w:t>
      </w:r>
    </w:p>
    <w:p w14:paraId="20F503C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2）承包人为工程订购的并已交付给承包人，或承包人有责任接受交付的材料、工程</w:t>
      </w:r>
      <w:r>
        <w:rPr>
          <w:rFonts w:hint="eastAsia" w:ascii="宋体" w:hAnsi="宋体"/>
          <w:color w:val="000000" w:themeColor="text1"/>
          <w:sz w:val="24"/>
          <w:szCs w:val="24"/>
          <w:highlight w:val="none"/>
          <w:lang w:eastAsia="zh-CN"/>
          <w14:textFill>
            <w14:solidFill>
              <w14:schemeClr w14:val="tx1"/>
            </w14:solidFill>
          </w14:textFill>
        </w:rPr>
        <w:t>设备和其他物品的价款；</w:t>
      </w:r>
    </w:p>
    <w:p w14:paraId="729F957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3）发包人要求承包人退货或解除订货合同而产生的费用，或因不能退货或解除合同而产生的损失；</w:t>
      </w:r>
    </w:p>
    <w:p w14:paraId="6F35760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4）承包人撤离施工现场以及遣散承包人人员的费用；</w:t>
      </w:r>
    </w:p>
    <w:p w14:paraId="70FCEFBC">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5）按照合同约定在合同解除前应支付给承包人的其他款项；</w:t>
      </w:r>
    </w:p>
    <w:p w14:paraId="3285E46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6）扣减承包人按照合同约定应向发包人支付的款项；</w:t>
      </w:r>
    </w:p>
    <w:p w14:paraId="55971210">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7）双方商定或确定的其他款项。</w:t>
      </w:r>
    </w:p>
    <w:p w14:paraId="1F9CCBD4">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除专用合同条款另有约定外，合同解除后，发包人应在商定或确定上述款项后</w:t>
      </w:r>
      <w:r>
        <w:rPr>
          <w:rFonts w:ascii="宋体" w:hAnsi="宋体"/>
          <w:color w:val="000000" w:themeColor="text1"/>
          <w:sz w:val="24"/>
          <w:szCs w:val="24"/>
          <w:highlight w:val="none"/>
          <w:lang w:eastAsia="zh-CN"/>
          <w14:textFill>
            <w14:solidFill>
              <w14:schemeClr w14:val="tx1"/>
            </w14:solidFill>
          </w14:textFill>
        </w:rPr>
        <w:t>28天内完成上述款项的支付。</w:t>
      </w:r>
    </w:p>
    <w:p w14:paraId="5D443997">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400" w:name="_Toc351203612"/>
      <w:bookmarkStart w:id="401" w:name="_Toc337558828"/>
      <w:bookmarkStart w:id="402" w:name="_Toc296346621"/>
      <w:bookmarkStart w:id="403" w:name="_Toc296503120"/>
      <w:r>
        <w:rPr>
          <w:b w:val="0"/>
          <w:color w:val="000000" w:themeColor="text1"/>
          <w:sz w:val="24"/>
          <w:szCs w:val="24"/>
          <w:highlight w:val="none"/>
          <w:lang w:eastAsia="zh-CN"/>
          <w14:textFill>
            <w14:solidFill>
              <w14:schemeClr w14:val="tx1"/>
            </w14:solidFill>
          </w14:textFill>
        </w:rPr>
        <w:t xml:space="preserve">18. </w:t>
      </w:r>
      <w:r>
        <w:rPr>
          <w:rFonts w:hint="eastAsia"/>
          <w:b w:val="0"/>
          <w:color w:val="000000" w:themeColor="text1"/>
          <w:sz w:val="24"/>
          <w:szCs w:val="24"/>
          <w:highlight w:val="none"/>
          <w:lang w:eastAsia="zh-CN"/>
          <w14:textFill>
            <w14:solidFill>
              <w14:schemeClr w14:val="tx1"/>
            </w14:solidFill>
          </w14:textFill>
        </w:rPr>
        <w:t>保险</w:t>
      </w:r>
      <w:bookmarkEnd w:id="400"/>
    </w:p>
    <w:bookmarkEnd w:id="401"/>
    <w:bookmarkEnd w:id="402"/>
    <w:bookmarkEnd w:id="403"/>
    <w:p w14:paraId="1D622AD4">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04" w:name="_Toc351203613"/>
      <w:bookmarkStart w:id="405" w:name="_Toc337558829"/>
      <w:bookmarkStart w:id="406" w:name="_Toc296503121"/>
      <w:bookmarkStart w:id="407" w:name="_Toc296346622"/>
      <w:r>
        <w:rPr>
          <w:rFonts w:ascii="宋体" w:hAnsi="宋体"/>
          <w:color w:val="000000" w:themeColor="text1"/>
          <w:sz w:val="24"/>
          <w:szCs w:val="24"/>
          <w:highlight w:val="none"/>
          <w:lang w:eastAsia="zh-CN"/>
          <w14:textFill>
            <w14:solidFill>
              <w14:schemeClr w14:val="tx1"/>
            </w14:solidFill>
          </w14:textFill>
        </w:rPr>
        <w:t xml:space="preserve">18.1 </w:t>
      </w:r>
      <w:r>
        <w:rPr>
          <w:rFonts w:hint="eastAsia" w:ascii="宋体" w:hAnsi="宋体"/>
          <w:color w:val="000000" w:themeColor="text1"/>
          <w:sz w:val="24"/>
          <w:szCs w:val="24"/>
          <w:highlight w:val="none"/>
          <w:lang w:eastAsia="zh-CN"/>
          <w14:textFill>
            <w14:solidFill>
              <w14:schemeClr w14:val="tx1"/>
            </w14:solidFill>
          </w14:textFill>
        </w:rPr>
        <w:t>工程保险</w:t>
      </w:r>
      <w:bookmarkEnd w:id="404"/>
    </w:p>
    <w:bookmarkEnd w:id="405"/>
    <w:bookmarkEnd w:id="406"/>
    <w:bookmarkEnd w:id="407"/>
    <w:p w14:paraId="5A11B9B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750F86BC">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08" w:name="_Toc351203614"/>
      <w:bookmarkStart w:id="409" w:name="_Toc296346623"/>
      <w:bookmarkStart w:id="410" w:name="_Toc296503122"/>
      <w:bookmarkStart w:id="411" w:name="_Toc337558830"/>
      <w:r>
        <w:rPr>
          <w:rFonts w:ascii="宋体" w:hAnsi="宋体"/>
          <w:color w:val="000000" w:themeColor="text1"/>
          <w:sz w:val="24"/>
          <w:szCs w:val="24"/>
          <w:highlight w:val="none"/>
          <w:lang w:eastAsia="zh-CN"/>
          <w14:textFill>
            <w14:solidFill>
              <w14:schemeClr w14:val="tx1"/>
            </w14:solidFill>
          </w14:textFill>
        </w:rPr>
        <w:t xml:space="preserve">18.2 </w:t>
      </w:r>
      <w:r>
        <w:rPr>
          <w:rFonts w:hint="eastAsia" w:ascii="宋体" w:hAnsi="宋体"/>
          <w:color w:val="000000" w:themeColor="text1"/>
          <w:sz w:val="24"/>
          <w:szCs w:val="24"/>
          <w:highlight w:val="none"/>
          <w:lang w:eastAsia="zh-CN"/>
          <w14:textFill>
            <w14:solidFill>
              <w14:schemeClr w14:val="tx1"/>
            </w14:solidFill>
          </w14:textFill>
        </w:rPr>
        <w:t>工伤保险</w:t>
      </w:r>
      <w:bookmarkEnd w:id="408"/>
    </w:p>
    <w:bookmarkEnd w:id="409"/>
    <w:bookmarkEnd w:id="410"/>
    <w:bookmarkEnd w:id="411"/>
    <w:p w14:paraId="6FB0DCE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18.2.1 </w:t>
      </w:r>
      <w:r>
        <w:rPr>
          <w:rFonts w:hint="eastAsia" w:ascii="宋体" w:hAnsi="宋体"/>
          <w:color w:val="000000" w:themeColor="text1"/>
          <w:sz w:val="24"/>
          <w:szCs w:val="24"/>
          <w:highlight w:val="none"/>
          <w:lang w:eastAsia="zh-CN"/>
          <w14:textFill>
            <w14:solidFill>
              <w14:schemeClr w14:val="tx1"/>
            </w14:solidFill>
          </w14:textFill>
        </w:rPr>
        <w:t>发包人应依照法律规定参加工伤保险，并为在施工现场的全部员工办理工伤保险，缴纳工伤保险费，并要求监理人及由发包人为履行合同聘请的第三方依法参加工伤保险。</w:t>
      </w:r>
    </w:p>
    <w:p w14:paraId="6F172E1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18.2.2 </w:t>
      </w:r>
      <w:r>
        <w:rPr>
          <w:rFonts w:hint="eastAsia" w:ascii="宋体" w:hAnsi="宋体"/>
          <w:color w:val="000000" w:themeColor="text1"/>
          <w:sz w:val="24"/>
          <w:szCs w:val="24"/>
          <w:highlight w:val="none"/>
          <w:lang w:eastAsia="zh-CN"/>
          <w14:textFill>
            <w14:solidFill>
              <w14:schemeClr w14:val="tx1"/>
            </w14:solidFill>
          </w14:textFill>
        </w:rPr>
        <w:t>承包人应依照法律规定参加工伤保险，并为其履行合同的全部员工办理工伤保险，缴纳工伤保险费，并要求分包人及由承包人为履行合同聘请的第三方依法参加工伤保险。</w:t>
      </w:r>
    </w:p>
    <w:p w14:paraId="6750B7D2">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12" w:name="_Toc351203615"/>
      <w:bookmarkStart w:id="413" w:name="_Toc296346626"/>
      <w:bookmarkStart w:id="414" w:name="_Toc337558831"/>
      <w:bookmarkStart w:id="415" w:name="_Toc296503125"/>
      <w:r>
        <w:rPr>
          <w:rFonts w:ascii="宋体" w:hAnsi="宋体"/>
          <w:color w:val="000000" w:themeColor="text1"/>
          <w:sz w:val="24"/>
          <w:szCs w:val="24"/>
          <w:highlight w:val="none"/>
          <w:lang w:eastAsia="zh-CN"/>
          <w14:textFill>
            <w14:solidFill>
              <w14:schemeClr w14:val="tx1"/>
            </w14:solidFill>
          </w14:textFill>
        </w:rPr>
        <w:t>18.3其他保险</w:t>
      </w:r>
      <w:bookmarkEnd w:id="412"/>
    </w:p>
    <w:bookmarkEnd w:id="413"/>
    <w:bookmarkEnd w:id="414"/>
    <w:bookmarkEnd w:id="415"/>
    <w:p w14:paraId="1EA8D06D">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4D50B6F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除专用合同条款另有约定外，承包人应为其施工设备等办理财产保险。</w:t>
      </w:r>
    </w:p>
    <w:p w14:paraId="2C882BFA">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16" w:name="_Toc351203616"/>
      <w:r>
        <w:rPr>
          <w:rFonts w:ascii="宋体" w:hAnsi="宋体"/>
          <w:color w:val="000000" w:themeColor="text1"/>
          <w:sz w:val="24"/>
          <w:szCs w:val="24"/>
          <w:highlight w:val="none"/>
          <w:lang w:eastAsia="zh-CN"/>
          <w14:textFill>
            <w14:solidFill>
              <w14:schemeClr w14:val="tx1"/>
            </w14:solidFill>
          </w14:textFill>
        </w:rPr>
        <w:t>18.4持续保险</w:t>
      </w:r>
      <w:bookmarkEnd w:id="416"/>
    </w:p>
    <w:p w14:paraId="7F0BCE2A">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合同当事人应与保险人保持联系，使保险人能够随时了解工程实施中的变动，并确保按保险合同条款要求持续保险。</w:t>
      </w:r>
    </w:p>
    <w:p w14:paraId="02F111E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17" w:name="_Toc351203617"/>
      <w:bookmarkStart w:id="418" w:name="_Toc296346627"/>
      <w:bookmarkStart w:id="419" w:name="_Toc296503126"/>
      <w:bookmarkStart w:id="420" w:name="_Toc337558832"/>
      <w:r>
        <w:rPr>
          <w:rFonts w:ascii="宋体" w:hAnsi="宋体"/>
          <w:color w:val="000000" w:themeColor="text1"/>
          <w:sz w:val="24"/>
          <w:szCs w:val="24"/>
          <w:highlight w:val="none"/>
          <w:lang w:eastAsia="zh-CN"/>
          <w14:textFill>
            <w14:solidFill>
              <w14:schemeClr w14:val="tx1"/>
            </w14:solidFill>
          </w14:textFill>
        </w:rPr>
        <w:t xml:space="preserve">18.5 </w:t>
      </w:r>
      <w:r>
        <w:rPr>
          <w:rFonts w:hint="eastAsia" w:ascii="宋体" w:hAnsi="宋体"/>
          <w:color w:val="000000" w:themeColor="text1"/>
          <w:sz w:val="24"/>
          <w:szCs w:val="24"/>
          <w:highlight w:val="none"/>
          <w:lang w:eastAsia="zh-CN"/>
          <w14:textFill>
            <w14:solidFill>
              <w14:schemeClr w14:val="tx1"/>
            </w14:solidFill>
          </w14:textFill>
        </w:rPr>
        <w:t>保险凭证</w:t>
      </w:r>
      <w:bookmarkEnd w:id="417"/>
    </w:p>
    <w:bookmarkEnd w:id="418"/>
    <w:bookmarkEnd w:id="419"/>
    <w:bookmarkEnd w:id="420"/>
    <w:p w14:paraId="7547988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合同当事人应及时向另一方当事人提交其已投保的各项保险的凭证和保险单复印件。</w:t>
      </w:r>
    </w:p>
    <w:p w14:paraId="56B2C723">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21" w:name="_Toc351203618"/>
      <w:bookmarkStart w:id="422" w:name="_Toc296503127"/>
      <w:bookmarkStart w:id="423" w:name="_Toc337558833"/>
      <w:bookmarkStart w:id="424" w:name="_Toc296346628"/>
      <w:r>
        <w:rPr>
          <w:rFonts w:ascii="宋体" w:hAnsi="宋体"/>
          <w:color w:val="000000" w:themeColor="text1"/>
          <w:sz w:val="24"/>
          <w:szCs w:val="24"/>
          <w:highlight w:val="none"/>
          <w:lang w:eastAsia="zh-CN"/>
          <w14:textFill>
            <w14:solidFill>
              <w14:schemeClr w14:val="tx1"/>
            </w14:solidFill>
          </w14:textFill>
        </w:rPr>
        <w:t xml:space="preserve">18.6 </w:t>
      </w:r>
      <w:r>
        <w:rPr>
          <w:rFonts w:hint="eastAsia" w:ascii="宋体" w:hAnsi="宋体"/>
          <w:color w:val="000000" w:themeColor="text1"/>
          <w:sz w:val="24"/>
          <w:szCs w:val="24"/>
          <w:highlight w:val="none"/>
          <w:lang w:eastAsia="zh-CN"/>
          <w14:textFill>
            <w14:solidFill>
              <w14:schemeClr w14:val="tx1"/>
            </w14:solidFill>
          </w14:textFill>
        </w:rPr>
        <w:t>未按约定投保的补救</w:t>
      </w:r>
      <w:bookmarkEnd w:id="421"/>
    </w:p>
    <w:bookmarkEnd w:id="422"/>
    <w:bookmarkEnd w:id="423"/>
    <w:bookmarkEnd w:id="424"/>
    <w:p w14:paraId="238E69B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14:paraId="2979C5A8">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14:paraId="3FA07867">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25" w:name="_Toc351203619"/>
      <w:bookmarkStart w:id="426" w:name="_Toc337558834"/>
      <w:r>
        <w:rPr>
          <w:rFonts w:ascii="宋体" w:hAnsi="宋体"/>
          <w:color w:val="000000" w:themeColor="text1"/>
          <w:sz w:val="24"/>
          <w:szCs w:val="24"/>
          <w:highlight w:val="none"/>
          <w:lang w:eastAsia="zh-CN"/>
          <w14:textFill>
            <w14:solidFill>
              <w14:schemeClr w14:val="tx1"/>
            </w14:solidFill>
          </w14:textFill>
        </w:rPr>
        <w:t xml:space="preserve">18.7 </w:t>
      </w:r>
      <w:r>
        <w:rPr>
          <w:rFonts w:hint="eastAsia" w:ascii="宋体" w:hAnsi="宋体"/>
          <w:color w:val="000000" w:themeColor="text1"/>
          <w:sz w:val="24"/>
          <w:szCs w:val="24"/>
          <w:highlight w:val="none"/>
          <w:lang w:eastAsia="zh-CN"/>
          <w14:textFill>
            <w14:solidFill>
              <w14:schemeClr w14:val="tx1"/>
            </w14:solidFill>
          </w14:textFill>
        </w:rPr>
        <w:t>通知义务</w:t>
      </w:r>
      <w:bookmarkEnd w:id="425"/>
    </w:p>
    <w:bookmarkEnd w:id="426"/>
    <w:p w14:paraId="0A37CE01">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19E6B3E3">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保险事故发生时，投保人应按照保险合同规定的条件和期限及时向保险人报告。发包人和承包人应当在知道保险事故发生后及时通知对方。</w:t>
      </w:r>
    </w:p>
    <w:p w14:paraId="428FD5CB">
      <w:pPr>
        <w:pStyle w:val="7"/>
        <w:spacing w:before="120" w:after="120" w:line="360" w:lineRule="auto"/>
        <w:ind w:firstLine="480" w:firstLineChars="200"/>
        <w:rPr>
          <w:b w:val="0"/>
          <w:color w:val="000000" w:themeColor="text1"/>
          <w:sz w:val="24"/>
          <w:szCs w:val="24"/>
          <w:highlight w:val="none"/>
          <w:lang w:eastAsia="zh-CN"/>
          <w14:textFill>
            <w14:solidFill>
              <w14:schemeClr w14:val="tx1"/>
            </w14:solidFill>
          </w14:textFill>
        </w:rPr>
      </w:pPr>
      <w:bookmarkStart w:id="427" w:name="_Toc351203620"/>
      <w:bookmarkStart w:id="428" w:name="_Toc296503140"/>
      <w:bookmarkStart w:id="429" w:name="_Toc296346641"/>
      <w:bookmarkStart w:id="430" w:name="_Toc337558835"/>
      <w:r>
        <w:rPr>
          <w:b w:val="0"/>
          <w:color w:val="000000" w:themeColor="text1"/>
          <w:sz w:val="24"/>
          <w:szCs w:val="24"/>
          <w:highlight w:val="none"/>
          <w:lang w:eastAsia="zh-CN"/>
          <w14:textFill>
            <w14:solidFill>
              <w14:schemeClr w14:val="tx1"/>
            </w14:solidFill>
          </w14:textFill>
        </w:rPr>
        <w:t xml:space="preserve">19. </w:t>
      </w:r>
      <w:r>
        <w:rPr>
          <w:rFonts w:hint="eastAsia"/>
          <w:b w:val="0"/>
          <w:color w:val="000000" w:themeColor="text1"/>
          <w:sz w:val="24"/>
          <w:szCs w:val="24"/>
          <w:highlight w:val="none"/>
          <w:lang w:eastAsia="zh-CN"/>
          <w14:textFill>
            <w14:solidFill>
              <w14:schemeClr w14:val="tx1"/>
            </w14:solidFill>
          </w14:textFill>
        </w:rPr>
        <w:t>索赔</w:t>
      </w:r>
      <w:bookmarkEnd w:id="427"/>
    </w:p>
    <w:bookmarkEnd w:id="428"/>
    <w:bookmarkEnd w:id="429"/>
    <w:bookmarkEnd w:id="430"/>
    <w:p w14:paraId="2309ADC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31" w:name="_Toc351203621"/>
      <w:bookmarkStart w:id="432" w:name="_Toc296503141"/>
      <w:bookmarkStart w:id="433" w:name="_Toc296346642"/>
      <w:bookmarkStart w:id="434" w:name="_Toc337558836"/>
      <w:r>
        <w:rPr>
          <w:rFonts w:ascii="宋体" w:hAnsi="宋体"/>
          <w:color w:val="000000" w:themeColor="text1"/>
          <w:sz w:val="24"/>
          <w:szCs w:val="24"/>
          <w:highlight w:val="none"/>
          <w:lang w:eastAsia="zh-CN"/>
          <w14:textFill>
            <w14:solidFill>
              <w14:schemeClr w14:val="tx1"/>
            </w14:solidFill>
          </w14:textFill>
        </w:rPr>
        <w:t>19.1承包人的索赔</w:t>
      </w:r>
      <w:bookmarkEnd w:id="431"/>
    </w:p>
    <w:bookmarkEnd w:id="432"/>
    <w:bookmarkEnd w:id="433"/>
    <w:bookmarkEnd w:id="434"/>
    <w:p w14:paraId="455C8DC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根据合同约定，承包人认为有权得到追加付款和（或）延长工期的，应按以下程序向发包人提出索赔：</w:t>
      </w:r>
    </w:p>
    <w:p w14:paraId="0AB6CC2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1C2BFF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474C6C9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59EE6CE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2AD43BB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35" w:name="_Toc351203622"/>
      <w:bookmarkStart w:id="436" w:name="_Toc296503142"/>
      <w:bookmarkStart w:id="437" w:name="_Toc337558837"/>
      <w:bookmarkStart w:id="438" w:name="_Toc296346643"/>
      <w:r>
        <w:rPr>
          <w:rFonts w:ascii="宋体" w:hAnsi="宋体"/>
          <w:color w:val="000000" w:themeColor="text1"/>
          <w:sz w:val="24"/>
          <w:szCs w:val="24"/>
          <w:highlight w:val="none"/>
          <w:lang w:eastAsia="zh-CN"/>
          <w14:textFill>
            <w14:solidFill>
              <w14:schemeClr w14:val="tx1"/>
            </w14:solidFill>
          </w14:textFill>
        </w:rPr>
        <w:t xml:space="preserve">19.2 </w:t>
      </w:r>
      <w:r>
        <w:rPr>
          <w:rFonts w:hint="eastAsia" w:ascii="宋体" w:hAnsi="宋体"/>
          <w:color w:val="000000" w:themeColor="text1"/>
          <w:sz w:val="24"/>
          <w:szCs w:val="24"/>
          <w:highlight w:val="none"/>
          <w:lang w:eastAsia="zh-CN"/>
          <w14:textFill>
            <w14:solidFill>
              <w14:schemeClr w14:val="tx1"/>
            </w14:solidFill>
          </w14:textFill>
        </w:rPr>
        <w:t>对承包人索赔的处理</w:t>
      </w:r>
      <w:bookmarkEnd w:id="435"/>
    </w:p>
    <w:bookmarkEnd w:id="436"/>
    <w:bookmarkEnd w:id="437"/>
    <w:bookmarkEnd w:id="438"/>
    <w:p w14:paraId="2B03FA5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对承包人索赔的处理如下：</w:t>
      </w:r>
    </w:p>
    <w:p w14:paraId="52A7455A">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1）监理人应在收到索赔报告后14天内完成审查并报送发包人。监理人对索赔报告存在异议的，有权要求承包人提交全部原始记录副本；</w:t>
      </w:r>
    </w:p>
    <w:p w14:paraId="761C698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3B0A60F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3）承包人接受索赔处理结果的，索赔款项在当期进度款中进行支付；承包人不接受索赔处理结果的，按照第20条〔争议解决〕约定处理。</w:t>
      </w:r>
    </w:p>
    <w:p w14:paraId="18362791">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39" w:name="_Toc351203623"/>
      <w:bookmarkStart w:id="440" w:name="_Toc296346644"/>
      <w:bookmarkStart w:id="441" w:name="_Toc296503143"/>
      <w:bookmarkStart w:id="442" w:name="_Toc337558838"/>
      <w:r>
        <w:rPr>
          <w:rFonts w:ascii="宋体" w:hAnsi="宋体"/>
          <w:color w:val="000000" w:themeColor="text1"/>
          <w:sz w:val="24"/>
          <w:szCs w:val="24"/>
          <w:highlight w:val="none"/>
          <w:lang w:eastAsia="zh-CN"/>
          <w14:textFill>
            <w14:solidFill>
              <w14:schemeClr w14:val="tx1"/>
            </w14:solidFill>
          </w14:textFill>
        </w:rPr>
        <w:t>19.3发包人的索赔</w:t>
      </w:r>
      <w:bookmarkEnd w:id="439"/>
    </w:p>
    <w:bookmarkEnd w:id="440"/>
    <w:bookmarkEnd w:id="441"/>
    <w:bookmarkEnd w:id="442"/>
    <w:p w14:paraId="70989E9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根据合同约定，发包人认为有权得到赔付金额和（或）延长缺陷责任期的，监理人应向承包人发出通知并附有详细的证明。</w:t>
      </w:r>
    </w:p>
    <w:p w14:paraId="2A0A156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发包人应在知道或应当知道索赔事件发生后</w:t>
      </w:r>
      <w:r>
        <w:rPr>
          <w:rFonts w:ascii="宋体" w:hAnsi="宋体"/>
          <w:color w:val="000000" w:themeColor="text1"/>
          <w:sz w:val="24"/>
          <w:szCs w:val="24"/>
          <w:highlight w:val="none"/>
          <w:lang w:eastAsia="zh-CN"/>
          <w14:textFill>
            <w14:solidFill>
              <w14:schemeClr w14:val="tx1"/>
            </w14:solidFill>
          </w14:textFill>
        </w:rPr>
        <w:t>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FE3C996">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43" w:name="_Toc351203624"/>
      <w:bookmarkStart w:id="444" w:name="_Toc296503144"/>
      <w:bookmarkStart w:id="445" w:name="_Toc296346645"/>
      <w:bookmarkStart w:id="446" w:name="_Toc337558839"/>
      <w:r>
        <w:rPr>
          <w:rFonts w:ascii="宋体" w:hAnsi="宋体"/>
          <w:color w:val="000000" w:themeColor="text1"/>
          <w:sz w:val="24"/>
          <w:szCs w:val="24"/>
          <w:highlight w:val="none"/>
          <w:lang w:eastAsia="zh-CN"/>
          <w14:textFill>
            <w14:solidFill>
              <w14:schemeClr w14:val="tx1"/>
            </w14:solidFill>
          </w14:textFill>
        </w:rPr>
        <w:t xml:space="preserve">19.4 </w:t>
      </w:r>
      <w:r>
        <w:rPr>
          <w:rFonts w:hint="eastAsia" w:ascii="宋体" w:hAnsi="宋体"/>
          <w:color w:val="000000" w:themeColor="text1"/>
          <w:sz w:val="24"/>
          <w:szCs w:val="24"/>
          <w:highlight w:val="none"/>
          <w:lang w:eastAsia="zh-CN"/>
          <w14:textFill>
            <w14:solidFill>
              <w14:schemeClr w14:val="tx1"/>
            </w14:solidFill>
          </w14:textFill>
        </w:rPr>
        <w:t>对发包人索赔的处理</w:t>
      </w:r>
      <w:bookmarkEnd w:id="443"/>
    </w:p>
    <w:bookmarkEnd w:id="444"/>
    <w:bookmarkEnd w:id="445"/>
    <w:bookmarkEnd w:id="446"/>
    <w:p w14:paraId="40B97009">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对发包人索赔的处理如下：</w:t>
      </w:r>
    </w:p>
    <w:p w14:paraId="250BDC5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1）承包人收到发包人提交的索赔报告后，应及时审查索赔报告的内容、查验发包人证明材料；</w:t>
      </w:r>
    </w:p>
    <w:p w14:paraId="5311C67B">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6BF84FB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301658E6">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47" w:name="_Toc351203625"/>
      <w:r>
        <w:rPr>
          <w:rFonts w:ascii="宋体" w:hAnsi="宋体"/>
          <w:color w:val="000000" w:themeColor="text1"/>
          <w:sz w:val="24"/>
          <w:szCs w:val="24"/>
          <w:highlight w:val="none"/>
          <w:lang w:eastAsia="zh-CN"/>
          <w14:textFill>
            <w14:solidFill>
              <w14:schemeClr w14:val="tx1"/>
            </w14:solidFill>
          </w14:textFill>
        </w:rPr>
        <w:t xml:space="preserve">19.5 </w:t>
      </w:r>
      <w:r>
        <w:rPr>
          <w:rFonts w:hint="eastAsia" w:ascii="宋体" w:hAnsi="宋体"/>
          <w:color w:val="000000" w:themeColor="text1"/>
          <w:sz w:val="24"/>
          <w:szCs w:val="24"/>
          <w:highlight w:val="none"/>
          <w:lang w:eastAsia="zh-CN"/>
          <w14:textFill>
            <w14:solidFill>
              <w14:schemeClr w14:val="tx1"/>
            </w14:solidFill>
          </w14:textFill>
        </w:rPr>
        <w:t>提出索赔的期限</w:t>
      </w:r>
      <w:bookmarkEnd w:id="447"/>
    </w:p>
    <w:p w14:paraId="645D457F">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1）承包人按第14.2款〔竣工结算审核〕约定接收竣工付款证书后，应被视为已无权再提出在工程接收证书颁发前所发生的任何索赔。</w:t>
      </w:r>
    </w:p>
    <w:p w14:paraId="69400016">
      <w:pPr>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57503BDC">
      <w:pPr>
        <w:pStyle w:val="7"/>
        <w:spacing w:before="120" w:after="120" w:line="360" w:lineRule="auto"/>
        <w:rPr>
          <w:b w:val="0"/>
          <w:color w:val="000000" w:themeColor="text1"/>
          <w:sz w:val="24"/>
          <w:szCs w:val="24"/>
          <w:highlight w:val="none"/>
          <w:lang w:eastAsia="zh-CN"/>
          <w14:textFill>
            <w14:solidFill>
              <w14:schemeClr w14:val="tx1"/>
            </w14:solidFill>
          </w14:textFill>
        </w:rPr>
      </w:pPr>
      <w:bookmarkStart w:id="448" w:name="_Toc351203626"/>
      <w:r>
        <w:rPr>
          <w:b w:val="0"/>
          <w:color w:val="000000" w:themeColor="text1"/>
          <w:sz w:val="24"/>
          <w:szCs w:val="24"/>
          <w:highlight w:val="none"/>
          <w:lang w:eastAsia="zh-CN"/>
          <w14:textFill>
            <w14:solidFill>
              <w14:schemeClr w14:val="tx1"/>
            </w14:solidFill>
          </w14:textFill>
        </w:rPr>
        <w:t>20</w:t>
      </w:r>
      <w:bookmarkStart w:id="449" w:name="_Toc337558840"/>
      <w:bookmarkStart w:id="450" w:name="_Toc296346647"/>
      <w:bookmarkStart w:id="451" w:name="_Toc296503146"/>
      <w:r>
        <w:rPr>
          <w:b w:val="0"/>
          <w:color w:val="000000" w:themeColor="text1"/>
          <w:sz w:val="24"/>
          <w:szCs w:val="24"/>
          <w:highlight w:val="none"/>
          <w:lang w:eastAsia="zh-CN"/>
          <w14:textFill>
            <w14:solidFill>
              <w14:schemeClr w14:val="tx1"/>
            </w14:solidFill>
          </w14:textFill>
        </w:rPr>
        <w:t xml:space="preserve">. </w:t>
      </w:r>
      <w:r>
        <w:rPr>
          <w:rFonts w:hint="eastAsia"/>
          <w:b w:val="0"/>
          <w:color w:val="000000" w:themeColor="text1"/>
          <w:sz w:val="24"/>
          <w:szCs w:val="24"/>
          <w:highlight w:val="none"/>
          <w:lang w:eastAsia="zh-CN"/>
          <w14:textFill>
            <w14:solidFill>
              <w14:schemeClr w14:val="tx1"/>
            </w14:solidFill>
          </w14:textFill>
        </w:rPr>
        <w:t>争议解决</w:t>
      </w:r>
      <w:bookmarkEnd w:id="448"/>
    </w:p>
    <w:bookmarkEnd w:id="449"/>
    <w:bookmarkEnd w:id="450"/>
    <w:bookmarkEnd w:id="451"/>
    <w:p w14:paraId="3C154808">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52" w:name="_Toc351203627"/>
      <w:bookmarkStart w:id="453" w:name="_Toc296503147"/>
      <w:bookmarkStart w:id="454" w:name="_Toc337558841"/>
      <w:bookmarkStart w:id="455" w:name="_Toc296346648"/>
      <w:r>
        <w:rPr>
          <w:rFonts w:ascii="宋体" w:hAnsi="宋体"/>
          <w:color w:val="000000" w:themeColor="text1"/>
          <w:sz w:val="24"/>
          <w:szCs w:val="24"/>
          <w:highlight w:val="none"/>
          <w:lang w:eastAsia="zh-CN"/>
          <w14:textFill>
            <w14:solidFill>
              <w14:schemeClr w14:val="tx1"/>
            </w14:solidFill>
          </w14:textFill>
        </w:rPr>
        <w:t>20.1和解</w:t>
      </w:r>
      <w:bookmarkEnd w:id="452"/>
    </w:p>
    <w:bookmarkEnd w:id="453"/>
    <w:bookmarkEnd w:id="454"/>
    <w:bookmarkEnd w:id="455"/>
    <w:p w14:paraId="17791DF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合同当事人可以就争议自行和解，自行和解达成协议的经双方签字并盖章后作为合同补充文件，双方均应遵照执行。</w:t>
      </w:r>
    </w:p>
    <w:p w14:paraId="1C7F7C6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56" w:name="_Toc351203628"/>
      <w:r>
        <w:rPr>
          <w:rFonts w:ascii="宋体" w:hAnsi="宋体"/>
          <w:color w:val="000000" w:themeColor="text1"/>
          <w:sz w:val="24"/>
          <w:szCs w:val="24"/>
          <w:highlight w:val="none"/>
          <w:lang w:eastAsia="zh-CN"/>
          <w14:textFill>
            <w14:solidFill>
              <w14:schemeClr w14:val="tx1"/>
            </w14:solidFill>
          </w14:textFill>
        </w:rPr>
        <w:t>20</w:t>
      </w:r>
      <w:bookmarkStart w:id="457" w:name="_Toc337558842"/>
      <w:bookmarkStart w:id="458" w:name="_Toc296503148"/>
      <w:bookmarkStart w:id="459" w:name="_Toc296346649"/>
      <w:r>
        <w:rPr>
          <w:rFonts w:ascii="宋体" w:hAnsi="宋体"/>
          <w:color w:val="000000" w:themeColor="text1"/>
          <w:sz w:val="24"/>
          <w:szCs w:val="24"/>
          <w:highlight w:val="none"/>
          <w:lang w:eastAsia="zh-CN"/>
          <w14:textFill>
            <w14:solidFill>
              <w14:schemeClr w14:val="tx1"/>
            </w14:solidFill>
          </w14:textFill>
        </w:rPr>
        <w:t>.2调解</w:t>
      </w:r>
      <w:bookmarkEnd w:id="456"/>
    </w:p>
    <w:bookmarkEnd w:id="457"/>
    <w:bookmarkEnd w:id="458"/>
    <w:bookmarkEnd w:id="459"/>
    <w:p w14:paraId="61D33B1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14:paraId="7F8E3DB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60" w:name="_Toc351203629"/>
      <w:bookmarkStart w:id="461" w:name="_Toc337558843"/>
      <w:bookmarkStart w:id="462" w:name="_Toc296503149"/>
      <w:bookmarkStart w:id="463" w:name="_Toc296346650"/>
      <w:r>
        <w:rPr>
          <w:rFonts w:ascii="宋体" w:hAnsi="宋体"/>
          <w:color w:val="000000" w:themeColor="text1"/>
          <w:sz w:val="24"/>
          <w:szCs w:val="24"/>
          <w:highlight w:val="none"/>
          <w:lang w:eastAsia="zh-CN"/>
          <w14:textFill>
            <w14:solidFill>
              <w14:schemeClr w14:val="tx1"/>
            </w14:solidFill>
          </w14:textFill>
        </w:rPr>
        <w:t>20.3争议评审</w:t>
      </w:r>
      <w:bookmarkEnd w:id="460"/>
    </w:p>
    <w:bookmarkEnd w:id="461"/>
    <w:bookmarkEnd w:id="462"/>
    <w:bookmarkEnd w:id="463"/>
    <w:p w14:paraId="0EE17776">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合同当事人在专用合同条款中约定采取争议评审方式解决争议以及评审规则，并按下列约定执行：</w:t>
      </w:r>
      <w:r>
        <w:rPr>
          <w:rFonts w:ascii="宋体" w:hAnsi="宋体"/>
          <w:color w:val="000000" w:themeColor="text1"/>
          <w:sz w:val="24"/>
          <w:szCs w:val="24"/>
          <w:highlight w:val="none"/>
          <w:lang w:eastAsia="zh-CN"/>
          <w14:textFill>
            <w14:solidFill>
              <w14:schemeClr w14:val="tx1"/>
            </w14:solidFill>
          </w14:textFill>
        </w:rPr>
        <w:t xml:space="preserve"> </w:t>
      </w:r>
    </w:p>
    <w:p w14:paraId="7AB09A5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20.3.1 </w:t>
      </w:r>
      <w:r>
        <w:rPr>
          <w:rFonts w:hint="eastAsia" w:ascii="宋体" w:hAnsi="宋体"/>
          <w:color w:val="000000" w:themeColor="text1"/>
          <w:sz w:val="24"/>
          <w:szCs w:val="24"/>
          <w:highlight w:val="none"/>
          <w:lang w:eastAsia="zh-CN"/>
          <w14:textFill>
            <w14:solidFill>
              <w14:schemeClr w14:val="tx1"/>
            </w14:solidFill>
          </w14:textFill>
        </w:rPr>
        <w:t>争议评审小组的确定</w:t>
      </w:r>
    </w:p>
    <w:p w14:paraId="641E0FD0">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合同当事人可以共同选择一名或三名争议评审员，组成争议评审小组。除专用合同条款另有约定外，合同当事人应当自合同签订后</w:t>
      </w:r>
      <w:r>
        <w:rPr>
          <w:rFonts w:ascii="宋体" w:hAnsi="宋体"/>
          <w:color w:val="000000" w:themeColor="text1"/>
          <w:sz w:val="24"/>
          <w:szCs w:val="24"/>
          <w:highlight w:val="none"/>
          <w:lang w:eastAsia="zh-CN"/>
          <w14:textFill>
            <w14:solidFill>
              <w14:schemeClr w14:val="tx1"/>
            </w14:solidFill>
          </w14:textFill>
        </w:rPr>
        <w:t>28天内，或者争议发生后14天内，选定争议评审员。</w:t>
      </w:r>
    </w:p>
    <w:p w14:paraId="7051837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color w:val="000000" w:themeColor="text1"/>
          <w:sz w:val="24"/>
          <w:szCs w:val="24"/>
          <w:highlight w:val="none"/>
          <w:lang w:eastAsia="zh-CN"/>
          <w14:textFill>
            <w14:solidFill>
              <w14:schemeClr w14:val="tx1"/>
            </w14:solidFill>
          </w14:textFill>
        </w:rPr>
        <w:t xml:space="preserve"> </w:t>
      </w:r>
    </w:p>
    <w:p w14:paraId="022E45F4">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除专用合同条款另有约定外，评审员报酬由发包人和承包人各承担一半。</w:t>
      </w:r>
    </w:p>
    <w:p w14:paraId="443E58B7">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20.3.2 </w:t>
      </w:r>
      <w:r>
        <w:rPr>
          <w:rFonts w:hint="eastAsia" w:ascii="宋体" w:hAnsi="宋体"/>
          <w:color w:val="000000" w:themeColor="text1"/>
          <w:sz w:val="24"/>
          <w:szCs w:val="24"/>
          <w:highlight w:val="none"/>
          <w:lang w:eastAsia="zh-CN"/>
          <w14:textFill>
            <w14:solidFill>
              <w14:schemeClr w14:val="tx1"/>
            </w14:solidFill>
          </w14:textFill>
        </w:rPr>
        <w:t>争议评审小组的决定</w:t>
      </w:r>
    </w:p>
    <w:p w14:paraId="26DE2B5E">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color w:val="000000" w:themeColor="text1"/>
          <w:sz w:val="24"/>
          <w:szCs w:val="24"/>
          <w:highlight w:val="none"/>
          <w:lang w:eastAsia="zh-CN"/>
          <w14:textFill>
            <w14:solidFill>
              <w14:schemeClr w14:val="tx1"/>
            </w14:solidFill>
          </w14:textFill>
        </w:rPr>
        <w:t>14天内作出书面决定，并说明理由。合同当事人可以在专用合同条款中对本项事项另行约定。</w:t>
      </w:r>
    </w:p>
    <w:p w14:paraId="3432792F">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lang w:eastAsia="zh-CN"/>
          <w14:textFill>
            <w14:solidFill>
              <w14:schemeClr w14:val="tx1"/>
            </w14:solidFill>
          </w14:textFill>
        </w:rPr>
        <w:t xml:space="preserve">20.3.3 </w:t>
      </w:r>
      <w:r>
        <w:rPr>
          <w:rFonts w:hint="eastAsia" w:ascii="宋体" w:hAnsi="宋体"/>
          <w:color w:val="000000" w:themeColor="text1"/>
          <w:sz w:val="24"/>
          <w:szCs w:val="24"/>
          <w:highlight w:val="none"/>
          <w:lang w:eastAsia="zh-CN"/>
          <w14:textFill>
            <w14:solidFill>
              <w14:schemeClr w14:val="tx1"/>
            </w14:solidFill>
          </w14:textFill>
        </w:rPr>
        <w:t>争议评审小组决定的效力</w:t>
      </w:r>
    </w:p>
    <w:p w14:paraId="0F5FD738">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争议评审小组作出的书面决定经合同当事人签字确认后，对双方具有约束力，双方应遵照执行。</w:t>
      </w:r>
    </w:p>
    <w:p w14:paraId="6AD03C5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任何一方当事人不接受争议评审小组决定或不履行争议评审小组决定的，双方可选择采用其他争议解决方式。</w:t>
      </w:r>
    </w:p>
    <w:p w14:paraId="51A78389">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64" w:name="_Toc351203630"/>
      <w:bookmarkStart w:id="465" w:name="_Toc296346651"/>
      <w:bookmarkStart w:id="466" w:name="_Toc296503150"/>
      <w:bookmarkStart w:id="467" w:name="_Toc337558844"/>
      <w:r>
        <w:rPr>
          <w:rFonts w:ascii="宋体" w:hAnsi="宋体"/>
          <w:color w:val="000000" w:themeColor="text1"/>
          <w:sz w:val="24"/>
          <w:szCs w:val="24"/>
          <w:highlight w:val="none"/>
          <w:lang w:eastAsia="zh-CN"/>
          <w14:textFill>
            <w14:solidFill>
              <w14:schemeClr w14:val="tx1"/>
            </w14:solidFill>
          </w14:textFill>
        </w:rPr>
        <w:t>20.4仲裁或诉讼</w:t>
      </w:r>
      <w:bookmarkEnd w:id="464"/>
    </w:p>
    <w:bookmarkEnd w:id="465"/>
    <w:bookmarkEnd w:id="466"/>
    <w:bookmarkEnd w:id="467"/>
    <w:p w14:paraId="226E05F3">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因合同及合同有关事项产生的争议，合同当事人可以在专用合同条款中约定以下一种方式解决争议：</w:t>
      </w:r>
    </w:p>
    <w:p w14:paraId="71E6F352">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1）向约定的仲裁委员会申请仲裁；</w:t>
      </w:r>
    </w:p>
    <w:p w14:paraId="44118BE5">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lang w:eastAsia="zh-CN"/>
          <w14:textFill>
            <w14:solidFill>
              <w14:schemeClr w14:val="tx1"/>
            </w14:solidFill>
          </w14:textFill>
        </w:rPr>
        <w:t>2）向有管辖权的人民法院起诉。</w:t>
      </w:r>
    </w:p>
    <w:p w14:paraId="7030BAD0">
      <w:pPr>
        <w:spacing w:before="100" w:after="100"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bookmarkStart w:id="468" w:name="_Toc351203631"/>
      <w:bookmarkStart w:id="469" w:name="_Toc296503152"/>
      <w:bookmarkStart w:id="470" w:name="_Toc337558845"/>
      <w:bookmarkStart w:id="471" w:name="_Toc296346653"/>
      <w:r>
        <w:rPr>
          <w:rFonts w:ascii="宋体" w:hAnsi="宋体"/>
          <w:color w:val="000000" w:themeColor="text1"/>
          <w:sz w:val="24"/>
          <w:szCs w:val="24"/>
          <w:highlight w:val="none"/>
          <w:lang w:eastAsia="zh-CN"/>
          <w14:textFill>
            <w14:solidFill>
              <w14:schemeClr w14:val="tx1"/>
            </w14:solidFill>
          </w14:textFill>
        </w:rPr>
        <w:t>20.5争议解决条款效力</w:t>
      </w:r>
      <w:bookmarkEnd w:id="468"/>
    </w:p>
    <w:bookmarkEnd w:id="469"/>
    <w:bookmarkEnd w:id="470"/>
    <w:bookmarkEnd w:id="471"/>
    <w:p w14:paraId="187BA99D">
      <w:pPr>
        <w:autoSpaceDE w:val="0"/>
        <w:autoSpaceDN w:val="0"/>
        <w:adjustRightInd w:val="0"/>
        <w:spacing w:line="360" w:lineRule="auto"/>
        <w:ind w:firstLine="480" w:firstLineChars="200"/>
        <w:rPr>
          <w:rFonts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 xml:space="preserve">合同有关争议解决的条款独立存在，合同的变更、解除、终止、无效或者被撤销均不影响其效力。 </w:t>
      </w:r>
      <w:r>
        <w:rPr>
          <w:rFonts w:ascii="宋体" w:hAnsi="宋体"/>
          <w:color w:val="000000" w:themeColor="text1"/>
          <w:sz w:val="24"/>
          <w:szCs w:val="24"/>
          <w:highlight w:val="none"/>
          <w:lang w:eastAsia="zh-CN"/>
          <w14:textFill>
            <w14:solidFill>
              <w14:schemeClr w14:val="tx1"/>
            </w14:solidFill>
          </w14:textFill>
        </w:rPr>
        <w:br w:type="page"/>
      </w:r>
    </w:p>
    <w:p w14:paraId="13A1B682">
      <w:pPr>
        <w:tabs>
          <w:tab w:val="left" w:pos="0"/>
          <w:tab w:val="left" w:pos="1134"/>
        </w:tabs>
        <w:adjustRightInd w:val="0"/>
        <w:snapToGrid w:val="0"/>
        <w:spacing w:line="276" w:lineRule="auto"/>
        <w:jc w:val="center"/>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sz w:val="24"/>
          <w:szCs w:val="24"/>
          <w:highlight w:val="none"/>
          <w14:textFill>
            <w14:solidFill>
              <w14:schemeClr w14:val="tx1"/>
            </w14:solidFill>
          </w14:textFill>
        </w:rPr>
        <w:t>第三部分专用合同条款</w:t>
      </w:r>
    </w:p>
    <w:p w14:paraId="68A8238A">
      <w:pPr>
        <w:spacing w:line="276" w:lineRule="auto"/>
        <w:rPr>
          <w:rFonts w:hint="eastAsia" w:ascii="宋体" w:hAnsi="宋体" w:eastAsia="宋体" w:cs="宋体"/>
          <w:color w:val="000000" w:themeColor="text1"/>
          <w:sz w:val="24"/>
          <w:szCs w:val="24"/>
          <w:highlight w:val="none"/>
          <w14:textFill>
            <w14:solidFill>
              <w14:schemeClr w14:val="tx1"/>
            </w14:solidFill>
          </w14:textFill>
        </w:rPr>
      </w:pPr>
    </w:p>
    <w:p w14:paraId="09EC516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72" w:name="_Toc351203633"/>
      <w:r>
        <w:rPr>
          <w:rFonts w:hint="eastAsia" w:ascii="宋体" w:hAnsi="宋体" w:eastAsia="宋体" w:cs="宋体"/>
          <w:snapToGrid w:val="0"/>
          <w:color w:val="000000" w:themeColor="text1"/>
          <w:sz w:val="24"/>
          <w:szCs w:val="24"/>
          <w:highlight w:val="none"/>
          <w14:textFill>
            <w14:solidFill>
              <w14:schemeClr w14:val="tx1"/>
            </w14:solidFill>
          </w14:textFill>
        </w:rPr>
        <w:t>1</w:t>
      </w:r>
      <w:bookmarkStart w:id="473" w:name="_Toc292559866"/>
      <w:bookmarkStart w:id="474" w:name="_Toc296891196"/>
      <w:bookmarkStart w:id="475" w:name="_Toc292559361"/>
      <w:bookmarkStart w:id="476" w:name="_Toc297120456"/>
      <w:bookmarkStart w:id="477" w:name="_Toc297048342"/>
      <w:bookmarkStart w:id="478" w:name="_Toc296503156"/>
      <w:bookmarkStart w:id="479" w:name="_Toc296890984"/>
      <w:bookmarkStart w:id="480" w:name="_Toc296944495"/>
      <w:bookmarkStart w:id="481" w:name="_Toc296347155"/>
      <w:bookmarkStart w:id="482" w:name="_Toc296346657"/>
      <w:r>
        <w:rPr>
          <w:rFonts w:hint="eastAsia" w:ascii="宋体" w:hAnsi="宋体" w:eastAsia="宋体" w:cs="宋体"/>
          <w:snapToGrid w:val="0"/>
          <w:color w:val="000000" w:themeColor="text1"/>
          <w:sz w:val="24"/>
          <w:szCs w:val="24"/>
          <w:highlight w:val="none"/>
          <w14:textFill>
            <w14:solidFill>
              <w14:schemeClr w14:val="tx1"/>
            </w14:solidFill>
          </w14:textFill>
        </w:rPr>
        <w:t>. 一般约定</w:t>
      </w:r>
      <w:bookmarkEnd w:id="472"/>
    </w:p>
    <w:bookmarkEnd w:id="473"/>
    <w:bookmarkEnd w:id="474"/>
    <w:bookmarkEnd w:id="475"/>
    <w:bookmarkEnd w:id="476"/>
    <w:bookmarkEnd w:id="477"/>
    <w:bookmarkEnd w:id="478"/>
    <w:bookmarkEnd w:id="479"/>
    <w:bookmarkEnd w:id="480"/>
    <w:bookmarkEnd w:id="481"/>
    <w:bookmarkEnd w:id="482"/>
    <w:p w14:paraId="5516AB8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 词语定义</w:t>
      </w:r>
    </w:p>
    <w:p w14:paraId="05CEB9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1.1.1合同</w:t>
      </w:r>
    </w:p>
    <w:p w14:paraId="266CD94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1.1.1.10其他合同文件包括：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 明确双方权利、义务的会议纪要、补充协议、工程签证等资料；(2)中标通知书；(3)投标函及其附件；（4）招标文件（含投标须知及招标文件修改澄清、答疑等)；（5）标准、规范及有关技术文件、技术要求文件；(6)施工图纸及变更；（7）工程量清单；（8）政府对工程实施和管理方面的各种特殊要求</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5E8CD0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1.1.2 合同当事人及其他相关方</w:t>
      </w:r>
    </w:p>
    <w:p w14:paraId="3968714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1.1.2.4监理人：</w:t>
      </w:r>
    </w:p>
    <w:p w14:paraId="23247A9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名称：；</w:t>
      </w:r>
    </w:p>
    <w:p w14:paraId="2384BF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资质类别和等级：；</w:t>
      </w:r>
    </w:p>
    <w:p w14:paraId="28D8C22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联系电话：；</w:t>
      </w:r>
    </w:p>
    <w:p w14:paraId="3B70764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电子信箱：；</w:t>
      </w:r>
    </w:p>
    <w:p w14:paraId="1A84F08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通信地址：。</w:t>
      </w:r>
    </w:p>
    <w:p w14:paraId="63356B3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1.1.2.5 设计人：</w:t>
      </w:r>
    </w:p>
    <w:p w14:paraId="0CE040B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名称：；</w:t>
      </w:r>
    </w:p>
    <w:p w14:paraId="1B608F8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资质类别和等级：；</w:t>
      </w:r>
    </w:p>
    <w:p w14:paraId="69AC700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联系电话：；</w:t>
      </w:r>
    </w:p>
    <w:p w14:paraId="3F74F2D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电子信箱：；</w:t>
      </w:r>
    </w:p>
    <w:p w14:paraId="5140B77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通信地址：。</w:t>
      </w:r>
    </w:p>
    <w:p w14:paraId="2003EB0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1.1.3 工程和设备</w:t>
      </w:r>
    </w:p>
    <w:p w14:paraId="5E383D0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1.1.3.7 作为施工现场组成部分的其他场所包括：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578F58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1.1.3.9 永久占地包括：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64F2C9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1.1.3.10 临时占地包括：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DA310C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1.3法律</w:t>
      </w:r>
    </w:p>
    <w:p w14:paraId="28C9ACA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适用于合同的其他规范性文件：《</w:t>
      </w:r>
      <w:r>
        <w:rPr>
          <w:rFonts w:hint="eastAsia" w:ascii="宋体" w:hAnsi="宋体" w:cs="宋体"/>
          <w:snapToGrid w:val="0"/>
          <w:color w:val="000000" w:themeColor="text1"/>
          <w:sz w:val="24"/>
          <w:szCs w:val="24"/>
          <w:highlight w:val="none"/>
          <w:u w:val="single"/>
          <w:lang w:eastAsia="zh-CN"/>
          <w14:textFill>
            <w14:solidFill>
              <w14:schemeClr w14:val="tx1"/>
            </w14:solidFill>
          </w14:textFill>
        </w:rPr>
        <w:t>中华人民共和国民法典</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中华人民共和国建筑法》、《中华人民共和国招标投标法》、《中华人民共和国安全生产法》、《建设工程质量管理条例》、七部委第12号令《评标委员会和评标方法暂行规定》、建设部第89号令《房屋建筑和市政基础设施工程施工招标投标管理办法》及国家、江苏省、南京市有关建筑工程的法规条令和各种管理规定</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66F741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 标准和规范</w:t>
      </w:r>
    </w:p>
    <w:p w14:paraId="00F3CA7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1.4.1适用于工程的标准规范包括：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国家和地方现行的有关标准、规范、详细施工图。</w:t>
      </w:r>
    </w:p>
    <w:p w14:paraId="7D1FB41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1.4.2 发包人提供国外标准、规范的名称：</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1BB432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发包人提供国外标准、规范的份数：</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EAA63B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发包人提供国外标准、规范的名称：</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2BFE2A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8B459C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 合同文件的优先顺序</w:t>
      </w:r>
    </w:p>
    <w:p w14:paraId="00C8046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合同文件组成及优先顺序为：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 合同协议书及附件；(2) 中标通知书；（3）投标函及其附件；（4）招标文件（含投标须知及招标文件修改澄清、答疑等)；(5) 本合同的专用条款；（6）本合同的通用条款；（7）标准、规范及有关技术文件、技术要求文件；（8）施工图纸；（9）工程量清单；(10)投标文件及其附件；（11）明确双方权利、义务的会议纪要、补充协议、工程签证及变更的图纸等资料；（12）构成本合同组成部分的其他文件（双方有关工程的洽商、变更等书面协议或文件视为本合同的组成部分）。上述各项合同文件包括合同当事人就该项合同文件所作出的补充和修改，属于同一类内容的文件，应以最新签署的为准</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52328F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 图纸和承包人文件</w:t>
      </w:r>
      <w:r>
        <w:rPr>
          <w:rFonts w:hint="eastAsia" w:ascii="宋体" w:hAnsi="宋体" w:eastAsia="宋体" w:cs="宋体"/>
          <w:snapToGrid w:val="0"/>
          <w:color w:val="000000" w:themeColor="text1"/>
          <w:sz w:val="24"/>
          <w:szCs w:val="24"/>
          <w:highlight w:val="none"/>
          <w14:textFill>
            <w14:solidFill>
              <w14:schemeClr w14:val="tx1"/>
            </w14:solidFill>
          </w14:textFill>
        </w:rPr>
        <w:tab/>
      </w:r>
    </w:p>
    <w:p w14:paraId="305B1B0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1.6.1 图纸的提供</w:t>
      </w:r>
    </w:p>
    <w:p w14:paraId="01CB622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发包人向承包人提供图纸的期限：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自合同生效之日起 1日内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240FB8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发包人向承包人提供图纸的数量：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施工图纸3套，承包人根据需要自行考虑复制；包括有效和完整的电子版本图纸。</w:t>
      </w:r>
    </w:p>
    <w:p w14:paraId="0FAD86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发包人向承包人提供图纸的内容：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涉及本次招标范围的全套施工图纸。</w:t>
      </w:r>
    </w:p>
    <w:p w14:paraId="6229C73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1.6.4 承包人文件</w:t>
      </w:r>
    </w:p>
    <w:p w14:paraId="1A57F31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需要由承包人提供的文件，包括：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施工组织设计（含完整的施工方案、工程进度计划、专项施工方案、机械设备合格证书及相应的检测报告、人员进场总计划及所投入施工的所有人员名单、材料和设备采购、进场、使用等计划，资金计划，开工报告、施工图与工程量清单的异议等），按发包人要求必须提供的其他文件。</w:t>
      </w:r>
    </w:p>
    <w:p w14:paraId="59C9C7C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周汇报材料：工程开工后每周向监理、发包人上报工程施工情况报告，每周工程例会前提交周汇报材料，汇报内容包括：上周进度计划、资源计划执行情况，滞后或提前原因分析；下周进度计划、资源保证计划；现场质量、安全情况等，具体需要汇报内容由监理例会或监理通知单确定四份。</w:t>
      </w:r>
    </w:p>
    <w:p w14:paraId="4EC0E41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月汇报材料：每月25日前上报月汇报材料，包括月度进度计划、资源保证计划等执行情况，下月的各类计划，施工现场情况分析等（具体内容由监理例会或监理通知单确定）四份给监理工程师，经总监审核确认后上报发包人现场代表。</w:t>
      </w:r>
    </w:p>
    <w:p w14:paraId="688A6E9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承包人提供的文件的期限为：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自发包人提出要求之日起3日内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B5E04B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承包人提供的文件的数量为：</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叁套</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5491CA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承包人提供的文件的形式为：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纸质及电子文件</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492235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发包人审批承包人文件的期限：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承包人提交文件后的3日内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DF5663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1.6.5 现场图纸准备</w:t>
      </w:r>
    </w:p>
    <w:p w14:paraId="27AE5934">
      <w:pPr>
        <w:spacing w:line="400" w:lineRule="exact"/>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关于现场图纸准备的约定：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开工前3日内图纸会审和设计交底。承包人应在施工现场随时提供完整的图纸和承包人文件，供发包人、监督管理部门、监理人及有关人员进行工程检查时使用。承包人在收到发包人图纸后应认证核对，如发现有明显错误应立即以书面形式报告发包人，否则应承担全部责任。</w:t>
      </w:r>
    </w:p>
    <w:p w14:paraId="739335D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1.7 联络</w:t>
      </w:r>
    </w:p>
    <w:p w14:paraId="33DB930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1.7.1发包人和承包人应当在</w:t>
      </w:r>
      <w:r>
        <w:rPr>
          <w:rFonts w:hint="eastAsia" w:ascii="宋体" w:hAnsi="宋体" w:eastAsia="宋体" w:cs="宋体"/>
          <w:snapToGrid w:val="0"/>
          <w:color w:val="000000" w:themeColor="text1"/>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sz w:val="24"/>
          <w:szCs w:val="24"/>
          <w:highlight w:val="none"/>
          <w14:textFill>
            <w14:solidFill>
              <w14:schemeClr w14:val="tx1"/>
            </w14:solidFill>
          </w14:textFill>
        </w:rPr>
        <w:t>日内将与合同有关的通知、批准、证明、证书、指示、指令、要求、请求、同意、意见、确定和决定等书面函件送达对方当事人。</w:t>
      </w:r>
    </w:p>
    <w:p w14:paraId="4C31405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1.7.2 发包人接收文件的地点：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发包人指定的办公地点；</w:t>
      </w:r>
    </w:p>
    <w:p w14:paraId="7124275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发包人指定的接收人为：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项目发包人现场代表</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DBF100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承包人接收文件的地点：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施工项目部</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87E303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承包人指定的接收人为：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项目负责人</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D158D8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监理人接收文件的地点：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施工现场监理项目部</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115B8F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监理人指定的接收人为：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现场监理工程师</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2489CF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1.10 交通运输</w:t>
      </w:r>
    </w:p>
    <w:p w14:paraId="4E5FDF9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Start w:id="483" w:name="_Toc318581155"/>
      <w:bookmarkStart w:id="484" w:name="_Toc304295521"/>
      <w:bookmarkStart w:id="485" w:name="_Toc312677986"/>
      <w:bookmarkStart w:id="486" w:name="_Toc303539100"/>
      <w:bookmarkStart w:id="487" w:name="_Toc300934943"/>
      <w:r>
        <w:rPr>
          <w:rFonts w:hint="eastAsia" w:ascii="宋体" w:hAnsi="宋体" w:eastAsia="宋体" w:cs="宋体"/>
          <w:snapToGrid w:val="0"/>
          <w:color w:val="000000" w:themeColor="text1"/>
          <w:sz w:val="24"/>
          <w:szCs w:val="24"/>
          <w:highlight w:val="none"/>
          <w14:textFill>
            <w14:solidFill>
              <w14:schemeClr w14:val="tx1"/>
            </w14:solidFill>
          </w14:textFill>
        </w:rPr>
        <w:t>.10.1 出入现场的权利</w:t>
      </w:r>
    </w:p>
    <w:p w14:paraId="314E586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关于出入现场的权利的约定：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在实施和完成本工程过程中，承包人应充分关注和保障所有在场人员及行人的安全，承包人对安全防护工作负全责（包括但不限于责任和费用），发生安全事故所产生的一切后果及费用由承包人承担。除与工程项目有关人员外，其他人不得进入施工现场。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483"/>
    <w:bookmarkEnd w:id="484"/>
    <w:bookmarkEnd w:id="485"/>
    <w:bookmarkEnd w:id="486"/>
    <w:bookmarkEnd w:id="487"/>
    <w:p w14:paraId="600F606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Start w:id="488" w:name="_Toc300934944"/>
      <w:bookmarkStart w:id="489" w:name="_Toc303539101"/>
      <w:bookmarkStart w:id="490" w:name="_Toc312677987"/>
      <w:bookmarkStart w:id="491" w:name="_Toc318581156"/>
      <w:bookmarkStart w:id="492" w:name="_Toc304295522"/>
      <w:r>
        <w:rPr>
          <w:rFonts w:hint="eastAsia" w:ascii="宋体" w:hAnsi="宋体" w:eastAsia="宋体" w:cs="宋体"/>
          <w:snapToGrid w:val="0"/>
          <w:color w:val="000000" w:themeColor="text1"/>
          <w:sz w:val="24"/>
          <w:szCs w:val="24"/>
          <w:highlight w:val="none"/>
          <w14:textFill>
            <w14:solidFill>
              <w14:schemeClr w14:val="tx1"/>
            </w14:solidFill>
          </w14:textFill>
        </w:rPr>
        <w:t>.10.3 场内交通</w:t>
      </w:r>
    </w:p>
    <w:p w14:paraId="6FAAED3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关于场外交通和场内交通的边界的约定：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施工现场场外交通和场内交通在自然交通条件外，所有需要另外增加的交通条件应该满足规划红线以及围档和施工组织设计要求，场外交通应该符合各政府管理部门的要求；场内交通应该满足施工组织设计部署要求。施工现场必须按要求设置施工围挡，由承包人统一负责施工现场围挡的管理，并应做好围挡的维护、保洁工作，保持围挡清洁，无乱张贴、乱涂写、乱刻画。禁止利用施工现场围挡设置户外广告。围档设施的制作、安装及维护等一切费用承包人应在投标时充分考虑，所需费用包含合同单价中，发包人不另行支付。施工现场不按上述要求设置围挡的，发包人将视情对其进行处罚或令其限期改正或停工整改，逾期不改的，将按工期违约处理。</w:t>
      </w:r>
    </w:p>
    <w:p w14:paraId="7EF3762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施工现场以现场踏勘情况为准，作为有经验的承包商，场内施工道路如不满足承包人施工需要，由承包人根据现场状况在开工前自行完成，以满足施工要求及有关规定。施工期间承包人应及时维护道路畅通和整洁，费用由承包人自行解决</w:t>
      </w:r>
      <w:r>
        <w:rPr>
          <w:rFonts w:hint="eastAsia" w:ascii="宋体" w:hAnsi="宋体" w:eastAsia="宋体" w:cs="宋体"/>
          <w:snapToGrid w:val="0"/>
          <w:color w:val="000000" w:themeColor="text1"/>
          <w:sz w:val="24"/>
          <w:szCs w:val="24"/>
          <w:highlight w:val="none"/>
          <w14:textFill>
            <w14:solidFill>
              <w14:schemeClr w14:val="tx1"/>
            </w14:solidFill>
          </w14:textFill>
        </w:rPr>
        <w:t>。</w:t>
      </w:r>
      <w:bookmarkEnd w:id="488"/>
      <w:bookmarkEnd w:id="489"/>
      <w:bookmarkEnd w:id="490"/>
      <w:bookmarkEnd w:id="491"/>
      <w:bookmarkEnd w:id="492"/>
      <w:bookmarkStart w:id="493" w:name="_Toc318581157"/>
    </w:p>
    <w:p w14:paraId="1546A6F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1.10.4超大件和超重件的运输</w:t>
      </w:r>
    </w:p>
    <w:p w14:paraId="599529F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承包人在投标时就充分考虑并 </w:t>
      </w:r>
      <w:r>
        <w:rPr>
          <w:rFonts w:hint="eastAsia" w:ascii="宋体" w:hAnsi="宋体" w:eastAsia="宋体" w:cs="宋体"/>
          <w:snapToGrid w:val="0"/>
          <w:color w:val="000000" w:themeColor="text1"/>
          <w:sz w:val="24"/>
          <w:szCs w:val="24"/>
          <w:highlight w:val="none"/>
          <w14:textFill>
            <w14:solidFill>
              <w14:schemeClr w14:val="tx1"/>
            </w14:solidFill>
          </w14:textFill>
        </w:rPr>
        <w:t>承担。</w:t>
      </w:r>
    </w:p>
    <w:bookmarkEnd w:id="493"/>
    <w:p w14:paraId="7990241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1.11 知识产权</w:t>
      </w:r>
    </w:p>
    <w:p w14:paraId="3E4A029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C40E9A4">
      <w:pPr>
        <w:spacing w:line="400" w:lineRule="exact"/>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关于发包人提供的上述文件的使用限制的要求：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未经发包人书面同意，承包人不得私自将有关本工程的一切图纸、资料及信息提供给第三方或挪作它用（包括但不限于：出卖、出借、复制或向任何第三方披露等）。</w:t>
      </w:r>
    </w:p>
    <w:p w14:paraId="6D1F033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1.11.2 关于承包人为实施工程所编制文件的著作权的归属：</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7E8497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关于承包人提供的上述文件的使用限制的要求：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仅限本工程使用，未经发包人书面同意不得转借，不得移作他用</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FCD45E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AD926B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1.13工程量清单错误的修正</w:t>
      </w:r>
    </w:p>
    <w:p w14:paraId="237A49C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出现工程量清单错误时，是否调整合同价格：</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否，在竣工结算时调整最终结算价。如果工程量清单的项目特征标准要求和招标图纸或深化图纸存在不一致之处，以标准高者为准，并在施工前征得发包人书面同意，清单综合单价不调整</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074A04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允许调整合同价格的工程量偏差范围：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若工程量清单中的工程量减少，工程量清单中项目部分或全部取消时，在合同价中直接核减，发包人对承包人的未取得利润不做任何赔偿</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BC43EE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494" w:name="_Toc351203634"/>
      <w:r>
        <w:rPr>
          <w:rFonts w:hint="eastAsia" w:ascii="宋体" w:hAnsi="宋体" w:eastAsia="宋体" w:cs="宋体"/>
          <w:snapToGrid w:val="0"/>
          <w:color w:val="000000" w:themeColor="text1"/>
          <w:sz w:val="24"/>
          <w:szCs w:val="24"/>
          <w:highlight w:val="none"/>
          <w14:textFill>
            <w14:solidFill>
              <w14:schemeClr w14:val="tx1"/>
            </w14:solidFill>
          </w14:textFill>
        </w:rPr>
        <w:t>2</w:t>
      </w:r>
      <w:bookmarkStart w:id="495" w:name="_Toc296944496"/>
      <w:bookmarkStart w:id="496" w:name="_Toc297048343"/>
      <w:bookmarkStart w:id="497" w:name="_Toc296347156"/>
      <w:bookmarkStart w:id="498" w:name="_Toc296891197"/>
      <w:bookmarkStart w:id="499" w:name="_Toc292559362"/>
      <w:bookmarkStart w:id="500" w:name="_Toc296890985"/>
      <w:bookmarkStart w:id="501" w:name="_Toc296503157"/>
      <w:bookmarkStart w:id="502" w:name="_Toc296346658"/>
      <w:bookmarkStart w:id="503" w:name="_Toc297120457"/>
      <w:bookmarkStart w:id="504" w:name="_Toc292559867"/>
      <w:r>
        <w:rPr>
          <w:rFonts w:hint="eastAsia" w:ascii="宋体" w:hAnsi="宋体" w:eastAsia="宋体" w:cs="宋体"/>
          <w:snapToGrid w:val="0"/>
          <w:color w:val="000000" w:themeColor="text1"/>
          <w:sz w:val="24"/>
          <w:szCs w:val="24"/>
          <w:highlight w:val="none"/>
          <w14:textFill>
            <w14:solidFill>
              <w14:schemeClr w14:val="tx1"/>
            </w14:solidFill>
          </w14:textFill>
        </w:rPr>
        <w:t>. 发包人</w:t>
      </w:r>
      <w:bookmarkEnd w:id="494"/>
    </w:p>
    <w:bookmarkEnd w:id="495"/>
    <w:bookmarkEnd w:id="496"/>
    <w:bookmarkEnd w:id="497"/>
    <w:bookmarkEnd w:id="498"/>
    <w:bookmarkEnd w:id="499"/>
    <w:bookmarkEnd w:id="500"/>
    <w:bookmarkEnd w:id="501"/>
    <w:bookmarkEnd w:id="502"/>
    <w:bookmarkEnd w:id="503"/>
    <w:bookmarkEnd w:id="504"/>
    <w:p w14:paraId="1713C4D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2.2 发包人代表</w:t>
      </w:r>
    </w:p>
    <w:p w14:paraId="623AC9A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发包人代表：；</w:t>
      </w:r>
    </w:p>
    <w:p w14:paraId="1F6F741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姓名：；</w:t>
      </w:r>
    </w:p>
    <w:p w14:paraId="7EBEE03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身份证号：；</w:t>
      </w:r>
    </w:p>
    <w:p w14:paraId="6D4FABE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职务：；</w:t>
      </w:r>
    </w:p>
    <w:p w14:paraId="23D3D1C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联系电话：；</w:t>
      </w:r>
    </w:p>
    <w:p w14:paraId="64AE586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电子信箱：；</w:t>
      </w:r>
    </w:p>
    <w:p w14:paraId="3B1C8DC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通信地址：。</w:t>
      </w:r>
    </w:p>
    <w:p w14:paraId="2307A07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发包人对发包人代表的授权范围如下：</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对本工程施工阶段及保修阶段的工程质量、进度、造价、变更、安全等进行控制；信息管理、合同管理和现场的组织协调；核定完成的工作量；负责组织工程的初步竣工验收及总体竣工验收，对监理工作的督促和检查等</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EC88DE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2.4 施工现场、施工条件和基础资料的提供</w:t>
      </w:r>
    </w:p>
    <w:p w14:paraId="407C40C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2.4.1 提供施工现场</w:t>
      </w:r>
    </w:p>
    <w:p w14:paraId="35ADC7F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关于发包人移交施工现场的期限要求：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已基本具备施工条件，承包人进场后应根据现有场地情况结合工程实际需要自行对局部场地进行处理，以满足其施工需要。该部分费用已含于签约合同价中</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7BB1A4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2.4.2 提供施工条件</w:t>
      </w:r>
    </w:p>
    <w:p w14:paraId="618F947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关于发包人应负责提供施工所需要的条件，包括：</w:t>
      </w:r>
    </w:p>
    <w:p w14:paraId="7AC5FC9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由承包人自行解决，所需费用包含在签约合同价中，其他类项目由承包人自行解决全部进场条件，其所需费用已含在签约合同价中。（1）施工所需的水、电已接入施工现场，由承包人单独装表计量。施工中发生的所有电费、电线设备费用，无论是否在投标价中单独列支，发包人均认为此项费用包含在合同中。水、电价格由承包人按供电、供水部门确定的价格按月向发包人交纳。（2）视施工需要，若承包人需要自行安装临时供电系统，临时供电系统的安装和使用期间所产生的一切费用已含在投标报价内，竣工结算时不再调整。同时，承包人需将施工用电设计及备用发电机容量报备监理工程师，以便现场使用时被知晓和利于现场管理。备用应急发电设施应能保证施工现场在应急状态下能仍处于安全和稳定可控状态。开工前承包人应编制施工临时用水、电方案，方案须经监理批准后，方可施工，承包人自行安装的电力线路、设备，临时用水、供水设施等必须分别符合供电部门和南京市有关用水的要求，承包人对所有用电、供水设施的设计、安装、维修和管理负责，并确保其安全可靠。发包人要求增加临时用电使用单位或要求承包人给予其他单位临时用电帮助（电费由使用人自理），对此承包人不得拒绝，且不免除本款承包人应承担的责任。电表及表后的管线由使用单位承担和安装，如各分表用量总和与供水、供电部门计量值存在差额，差额部分按照各分表用户的用量比例分摊，结算时不予调整。总包方还兼顾管理各分包方和合作方水电安全使用的义务。（3）非发包人原因导致的停电、停水，承包人不得向发包人提出索赔。（4）施工场地与公共道路的通道开通时间和要求：开工前，承包人的施工交通和材料的运输与堆放必须服从市政、交通、市容等政府部门的管理规定及监理的要求，发包人不对该项工作承担任何责任。施工场地与公共道路的通道,由承包人自行解决。承包人应自行踏勘施工现场，了解工程现状。作为一个有经验的承包商，承包人应考虑对施工场地和施工道路（包括场内、外的道路，尤其是场外与城市主干道相连接的道路）进行加固及维护，场地硬化必须达到文明工地的标准，其费用由承包人承担且已包含在投标报价中。（5）工程地质和地下管线资料的提供时间及提供主体：承包人认为必须提供的，应于开工前七天请求发包人提供。发包人收到承包人的请求后于开工前三天提供。否则，由此产生的一切后果由承包人承担。（6）由发包人办理的施工所需证件、批件的名称和完成时间：开工前办妥相关开工手续，承包人配合。（7）水准点与座标控制点交验要求：根据经工程师确认的施工进度计划，于开工前三天由发包人、承包人、监理现场交验；按通用条款执行，水准点、坐标控制点交验完毕后，即由承包方负责保护，此后由于破坏或失准带来的重新测量、放点费用及其他损失由乙方承担。（8）图纸会审和设计交底时间：开工前3天内，具体时间由承包人书面提出，发包人确定。（9）施工场地周围地下管线和邻近建筑物、构筑物（含文物保护建筑）、古树名木的保护工作：由承包人负责会同发包人及有关部门作好相关保护工作，其费用由承包人承担，且已包含在投标报价中。因非发包人责任造成损害的，其损害赔偿责任由承包人承担。若承包人无能力或未在规定的时间内对损坏物件修复完毕的，可由发包人代为修复，费用由承包人承担。承包人在施工中发现问题时，应及时报告发包人，由承包人出具解决方案报发包人审核同意后实施。（10）承包人自费办理与施工有关的其他证件和手续（包括但不限于夜间施工许可证、垃圾外运、环卫、排污、废渣等手续），直至满足所有施工需要，相关费用已经包含在投标报价中。</w:t>
      </w:r>
    </w:p>
    <w:p w14:paraId="36F58FB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2.5 资金来源证明及支付担保</w:t>
      </w:r>
    </w:p>
    <w:p w14:paraId="616AF04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发包人提供资金来源证明的期限要求：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另行约定</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2CC298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发包人是否提供支付担保：</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0DBE50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发包人提供支付担保的形式：</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81C4E6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05" w:name="_Toc351203635"/>
      <w:r>
        <w:rPr>
          <w:rFonts w:hint="eastAsia" w:ascii="宋体" w:hAnsi="宋体" w:eastAsia="宋体" w:cs="宋体"/>
          <w:snapToGrid w:val="0"/>
          <w:color w:val="000000" w:themeColor="text1"/>
          <w:sz w:val="24"/>
          <w:szCs w:val="24"/>
          <w:highlight w:val="none"/>
          <w14:textFill>
            <w14:solidFill>
              <w14:schemeClr w14:val="tx1"/>
            </w14:solidFill>
          </w14:textFill>
        </w:rPr>
        <w:t>3</w:t>
      </w:r>
      <w:bookmarkStart w:id="506" w:name="_Toc296503158"/>
      <w:bookmarkStart w:id="507" w:name="_Toc297120458"/>
      <w:bookmarkStart w:id="508" w:name="_Toc296890986"/>
      <w:bookmarkStart w:id="509" w:name="_Toc296944497"/>
      <w:bookmarkStart w:id="510" w:name="_Toc292559363"/>
      <w:bookmarkStart w:id="511" w:name="_Toc296891198"/>
      <w:bookmarkStart w:id="512" w:name="_Toc296347157"/>
      <w:bookmarkStart w:id="513" w:name="_Toc292559868"/>
      <w:bookmarkStart w:id="514" w:name="_Toc296346659"/>
      <w:bookmarkStart w:id="515" w:name="_Toc297048344"/>
      <w:r>
        <w:rPr>
          <w:rFonts w:hint="eastAsia" w:ascii="宋体" w:hAnsi="宋体" w:eastAsia="宋体" w:cs="宋体"/>
          <w:snapToGrid w:val="0"/>
          <w:color w:val="000000" w:themeColor="text1"/>
          <w:sz w:val="24"/>
          <w:szCs w:val="24"/>
          <w:highlight w:val="none"/>
          <w14:textFill>
            <w14:solidFill>
              <w14:schemeClr w14:val="tx1"/>
            </w14:solidFill>
          </w14:textFill>
        </w:rPr>
        <w:t>. 承包人</w:t>
      </w:r>
      <w:bookmarkEnd w:id="505"/>
    </w:p>
    <w:bookmarkEnd w:id="506"/>
    <w:bookmarkEnd w:id="507"/>
    <w:bookmarkEnd w:id="508"/>
    <w:bookmarkEnd w:id="509"/>
    <w:bookmarkEnd w:id="510"/>
    <w:bookmarkEnd w:id="511"/>
    <w:bookmarkEnd w:id="512"/>
    <w:bookmarkEnd w:id="513"/>
    <w:bookmarkEnd w:id="514"/>
    <w:bookmarkEnd w:id="515"/>
    <w:p w14:paraId="6D624E9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3.1 承包人的一般义务</w:t>
      </w:r>
    </w:p>
    <w:p w14:paraId="3A0E1010">
      <w:pPr>
        <w:tabs>
          <w:tab w:val="left" w:pos="0"/>
          <w:tab w:val="left" w:pos="1134"/>
        </w:tabs>
        <w:adjustRightInd w:val="0"/>
        <w:snapToGrid w:val="0"/>
        <w:spacing w:line="300" w:lineRule="auto"/>
        <w:ind w:firstLine="480" w:firstLineChars="200"/>
        <w:rPr>
          <w:rFonts w:hint="eastAsia" w:ascii="宋体" w:hAnsi="宋体" w:eastAsia="宋体" w:cs="宋体"/>
          <w:b w:val="0"/>
          <w:bCs w:val="0"/>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（9）承包人提交的竣工资料的内容</w:t>
      </w: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w:t>
      </w:r>
    </w:p>
    <w:p w14:paraId="012BDEFA">
      <w:pPr>
        <w:tabs>
          <w:tab w:val="left" w:pos="0"/>
          <w:tab w:val="left" w:pos="1134"/>
        </w:tabs>
        <w:adjustRightInd w:val="0"/>
        <w:snapToGrid w:val="0"/>
        <w:spacing w:line="300" w:lineRule="auto"/>
        <w:ind w:firstLine="480" w:firstLineChars="200"/>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承包人应根据合同工作内容要求，分别整理符合GB／T50328-2019《建设工程文件归档整理规范》及南京市质量监督站和南京市城建档案馆要求的完整的竣工验收资料（含竣工图）报发包人</w:t>
      </w: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w:t>
      </w:r>
    </w:p>
    <w:p w14:paraId="2F135C63">
      <w:pPr>
        <w:tabs>
          <w:tab w:val="left" w:pos="0"/>
          <w:tab w:val="left" w:pos="1134"/>
        </w:tabs>
        <w:adjustRightInd w:val="0"/>
        <w:snapToGrid w:val="0"/>
        <w:spacing w:line="300" w:lineRule="auto"/>
        <w:ind w:firstLine="480" w:firstLineChars="200"/>
        <w:rPr>
          <w:rFonts w:hint="eastAsia" w:ascii="宋体" w:hAnsi="宋体" w:eastAsia="宋体" w:cs="宋体"/>
          <w:b w:val="0"/>
          <w:bCs w:val="0"/>
          <w:snapToGrid w:val="0"/>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承包人需要提交的竣工资料套数：</w:t>
      </w: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五套(含光盘）</w:t>
      </w: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w:t>
      </w:r>
    </w:p>
    <w:p w14:paraId="11D2478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承包人提交的竣工资料的费用承担：</w:t>
      </w: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承包人，费用</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包含在投标报价中</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68C286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承包人提交的竣工资料移交时间：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竣工验收合格后</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28</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天内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2CDB4A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承包人提交的竣工资料形式要求：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装订成册符合存档的纸质版及电子版</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ECAAF2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（10）承包人应履行的其他义务：</w:t>
      </w:r>
    </w:p>
    <w:p w14:paraId="503A6DE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①发包人在签订本合同后及时提供用于申办本工程备案报批所需的必要资料，承包人应在发包人提供上述资料后在管理部门承诺的工作日内完成各类备案报批手续，因承包人原因逾期未办妥的而导致工期延误，工期不予顺延。</w:t>
      </w:r>
    </w:p>
    <w:p w14:paraId="6B8237C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②负责发包人上级领导检查、视察工地所需的现场准备工作；配合质监、安监单位等的现场检查，并承担由此引起的相关费用。</w:t>
      </w:r>
    </w:p>
    <w:p w14:paraId="5023B8F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③承包人必须遵守国家、江苏省、南京市的相关规定，服从行业主管部门的管理，凡涉及到承包人的安全监督、质量监督、施工备案、车辆准运等有关证、照，均由承包人自行办理，发包人给予配合，发生的费用全部由承包人承担，包括但不限于外地施工单位施工备案费用、排污管理费、噪声管理费、垃圾管理费、降尘措施费等。   </w:t>
      </w:r>
    </w:p>
    <w:p w14:paraId="18E272F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④发包人需要时，可能对施工做出某些限制和配合要求，承包人应按照要求做出必要的配合，并承担有可能因此而引起工效降低需增加的费用。</w:t>
      </w:r>
    </w:p>
    <w:p w14:paraId="79AC5F8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⑤承包人应负责其承包范围内的自身分包、深化设计、施工方案评审、修改并承担由此引起的各项增加的或额外的费用，这种深化设计是对施工图设计图纸局部节点的优化、细化，应经济合理，承包人深化设计的图纸应通过原建筑设计单位的审核并报监理和发包人批准。</w:t>
      </w:r>
    </w:p>
    <w:p w14:paraId="59A603D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⑥承包人应加强工程施工车辆的管理，施工车辆不得无故堵塞道路交通，不得沿途抛洒弃土，并根据发包人的要求，安排人员在主要路口疏导车辆、行人交通，其费用由承包人负责。如发生堵塞道路、沿途洒落工程垃圾、车辆人员干扰</w:t>
      </w:r>
      <w:r>
        <w:rPr>
          <w:rFonts w:hint="eastAsia" w:ascii="宋体" w:hAnsi="宋体" w:eastAsia="宋体" w:cs="宋体"/>
          <w:snapToGrid w:val="0"/>
          <w:color w:val="000000" w:themeColor="text1"/>
          <w:sz w:val="24"/>
          <w:szCs w:val="24"/>
          <w:highlight w:val="none"/>
          <w:u w:val="single"/>
          <w:lang w:val="en-US" w:eastAsia="zh-CN"/>
          <w14:textFill>
            <w14:solidFill>
              <w14:schemeClr w14:val="tx1"/>
            </w14:solidFill>
          </w14:textFill>
        </w:rPr>
        <w:t>采购人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正常秩序现象，则收回相关车辆大院内通行权（如有），并承担违约金1000元/次。因车辆无通行权，无法进入施工现场，对工程所造成的工期延误损失由承包人负责。</w:t>
      </w:r>
    </w:p>
    <w:p w14:paraId="5F3EDB7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⑦承包人作为一个有资质、有实力、有经验的承包商，在图纸会审和设计交底前，应对图纸及其相关材料进行认真审阅，对图纸中的问题以及施工中有可能存在的问题应详尽提出，由设计、监理及发包人给予答复。若图纸会审和设计交底时未提出，施工前也未发现，施工后发现问题的，其返工费用和造成的所有损失由承包人自行承担。</w:t>
      </w:r>
    </w:p>
    <w:p w14:paraId="3B06E2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⑧承包人应考虑各种大型公共活动对本工程工期、人员调配、材料运输及现场管理等其他影响，费用已包含在承包人的投标报价中。承包人在承包工程中，为赶工程进度必须自费提供一切夜间工作及超时工作所需的额外劳务，包括一切供其工作人员使用的照明设备，以及配合分包的工程进度及在工期内完成工程。一切与此有关的任何费用、索赔均由承包人承担。</w:t>
      </w:r>
    </w:p>
    <w:p w14:paraId="292816D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⑨如承包人在完成本合同所约定的承包工作时必须对相关已完成工程成果进行破坏性使用，应事先书面通知发包人、监理并取得发包人和监理的书面同意，并且在使用完成后，将相关工程成果进行恢复，费用由承包人承担。破坏原结构时还需要设计方认可。</w:t>
      </w:r>
    </w:p>
    <w:p w14:paraId="6E934AB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⑩承包人应当服从监理工程师及发包人的现场管理和协调工作，合理调动资源，保障工期及质量和安全目标的实现。承包人对发包人派驻现场的管理人员或本合同授权的工程师所发出的书面指令必须立刻执行，若未在规定时间之内执行指令，且在收到发包人催告执行的书面通知后3日之内，承包人仍未响应，将承担违约金5000元/次，发包人有另聘和指派他人执行该指示所要求的工作的权利。其他承包人完成此项工作的相关费用从本合同的应付款项中扣除而无须承包人认可。由此给发包人造成损失的，发包人有权要求承包人赔偿。发包人签发的各种有关工作程序（例如：规范现场管理、明确质量标准、确立双方业务往来的流程和标准以及完成本工程所必须的其它工作程序）的文件及现场管理规定都对承包人具有约束力，承包人不能以任何理由提出异议，但该程序、规定与国家法律法规以及标准、规范、规程存在抵触的除外。如程序、规定本身有错误，承包人应在收到这些程序、规定后七天内提出书面意见，否则视为承包人已接受。承包人必须签收监理工程师发出的书面资料，如有异议必须在收文之日起7日内书面回复，否则视同认可。承包人在人员、设备进场前，须将其使用的临时设施布置方案的书面资料报发包人、监</w:t>
      </w: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理人批准，未获批准不得实施。否则，因此影响施工进度和产生额外费用的，由承包人承担。承包人应按照监理要求定期收集整理现场各部位、各工种、各工序等影像资料并及时报监理汇总。承包人向监理提供的涉及到造价、工期变化等（以需发包人签字或盖章认可为判别标准）的</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关键性资料，承包人在呈送监理人同时应同步报送给发包人并由发包人签收备案，否则以文件递送至发包人日期为初始提出时间。承包人还应负责材料设备的卸货、堆放和保管等工作，并承担相应费用。承包人对于发包人提供的材料负有保管责任，未经发包人同意不得擅自将发包人所提供的材料运离施工现场挪作他用。否则，发包人一经查实，将按承包人实际运出量乘以市场价格的双倍要求承包人支付违约金或者按发包人提供材料总价的30%支付违约金，最终以前述两者计算金额高者为准。承包人依据发包人提供的图纸及现场详细查勘，根据本工程的施工特点，提出本工程的施工方法及施工过程的措施并在施工组织方案中详细列出，今后施工中由于承包人的施工方法及措施造成的一切损失由承包人自行承担。开工之日前，承包人应认真自行踏勘，对照图纸和现场，细致分析工程实际情况，及时并一次性的以书面方式向发包人要求提供涉及到施工的全部基础资料，如承包人开工前未提出资料要求，则视为承包人已具有足以满足施工的资料或者可自行获取相应资料。因未及时获取资料而引起的设计变更、签证或费用增加，由承包人自行承担，费用包含在投标总价中。如承包人实际进度滞后于监理工程师批准的进度计划，同时监理和发包人均认为承包人难以保证本项目工期，那么发包人有权将承包人所承包的部分工程或全部工程委托给其他单位负责施工，承包人须无条件接受，并承担由此造成的所有费用及损失。承包人应自行踏勘现场</w:t>
      </w: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根据施工车辆最大载重、最大转弯半径、交通标志标牌设置要求等参数自行设计并施工场内便道，当有结构承载特殊要求的还需有资质的设计部门出图。设计及施工费用包含在投标报价中，竣工结算时不调整。承包人进场后，承包人负责管理，维护及管理费用由项目承包人承担，竣工结算时不作调整。污水排放（如有）：所有的废水、污水应按符合国家、地区及行业内相关最严格标准进行排污，不得污染环境，如违反相关规定造成相关处罚费用及第三方损害等由承包人负责。若因承包人现场清洁卫生工作不到位而导致投诉或新闻媒体曝光或承包人因劳务纠纷而影响发包人正常工作秩序和声誉的，承包人须承担由此产生的一切后果及费用，且发包人有权要求承包人支付</w:t>
      </w:r>
      <w:r>
        <w:rPr>
          <w:rFonts w:hint="eastAsia" w:ascii="宋体" w:hAnsi="宋体" w:cs="宋体"/>
          <w:b w:val="0"/>
          <w:bCs w:val="0"/>
          <w:snapToGrid w:val="0"/>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万元/次的违约金。发包人有权调整承包人的部分工作内容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，承包人不得拒绝和索赔。</w:t>
      </w:r>
    </w:p>
    <w:p w14:paraId="26A62CD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必须满足发包人对主要材料的品牌、名称、规格、型号等要求。本项目所使用的全部施工材料正品产品且所使用材料必须达到同行业环保等级要求，所有隐蔽部位使用的防水材料及装饰饰面材料等必须经过建设单位、监理单位、跟踪审计单位共同确认后方可采购。未经认可擅自采购的，承包人需支付违约金5000元/次，并要求相关材料退场，所发生的运输，保管费用由承包人自行负责。</w:t>
      </w:r>
    </w:p>
    <w:p w14:paraId="53154AF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3.2 项目负责人</w:t>
      </w:r>
    </w:p>
    <w:p w14:paraId="79782A6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3.2.1 项目负责人：</w:t>
      </w:r>
    </w:p>
    <w:p w14:paraId="164B326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姓名：；</w:t>
      </w:r>
    </w:p>
    <w:p w14:paraId="0689996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身份证号：；</w:t>
      </w:r>
    </w:p>
    <w:p w14:paraId="2B97823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建造师执业资格等级：；</w:t>
      </w:r>
    </w:p>
    <w:p w14:paraId="3CCC7B0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建造师注册证书号：；</w:t>
      </w:r>
    </w:p>
    <w:p w14:paraId="441B015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建造师执业印章号：；</w:t>
      </w:r>
    </w:p>
    <w:p w14:paraId="03E80F8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安全生产考核合格证书号：；</w:t>
      </w:r>
    </w:p>
    <w:p w14:paraId="48885DE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联系电话：；</w:t>
      </w:r>
    </w:p>
    <w:p w14:paraId="155589B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电子信箱：；</w:t>
      </w:r>
    </w:p>
    <w:p w14:paraId="212F6D1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通信地址：；</w:t>
      </w:r>
    </w:p>
    <w:p w14:paraId="508BB60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承包人对项目负责人的授权范围如下：</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行使合同约定的承包人的权利，履行合同约定的承包人的义务。本合同的项目经理必须是通过资格审查的项目经理，投标中明确的项目经理今后不能正式到岗，将按违约处理。承包人若因工程质量、安全管理、进度管理、文明管理等原因而导致项目经理被责令更换的，由承包人按合同总额的2‰/次向发包人支付违约金 。</w:t>
      </w:r>
    </w:p>
    <w:p w14:paraId="31E13A9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关于项目负责人每月在施工现场的时间要求：</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承包人项目经理应常驻工地现场，而且其全部时间应用于本工程的管理，不得兼任其他工作。</w:t>
      </w:r>
      <w:r>
        <w:rPr>
          <w:rFonts w:hint="eastAsia" w:ascii="宋体" w:hAnsi="宋体"/>
          <w:color w:val="000000" w:themeColor="text1"/>
          <w:sz w:val="24"/>
          <w:highlight w:val="none"/>
          <w:u w:val="single"/>
          <w14:textFill>
            <w14:solidFill>
              <w14:schemeClr w14:val="tx1"/>
            </w14:solidFill>
          </w14:textFill>
        </w:rPr>
        <w:t>项目负责人及施工管理人员必须常驻现场，每周不少于5个工作日，每天不少于8小时。</w:t>
      </w:r>
    </w:p>
    <w:p w14:paraId="454A40C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承包人未提交劳动合同，以及没有为项目负责人缴纳社会保险证明的违约责任：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清退承包人出场，所发生所有费用由承包人承担，并报送工程所在地工程建设主管部门备案，上述以外人员前来办理与工程相关的任何事项，监理工程师及发包人将不予接待，由此造成的一切责任或损失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24BC1F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项目负责人未经批准，擅自离开施工现场的违约责任：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项目经理（或项目副经理）必须常驻现场，离开工地需经发包人及总监理工程师书面同意，若无正当理由且未经发包人及总监理工程师的同意不在工地现场的，</w:t>
      </w:r>
      <w:r>
        <w:rPr>
          <w:rFonts w:hint="eastAsia" w:ascii="宋体" w:hAnsi="宋体"/>
          <w:color w:val="000000" w:themeColor="text1"/>
          <w:sz w:val="24"/>
          <w:highlight w:val="none"/>
          <w:u w:val="single"/>
          <w14:textFill>
            <w14:solidFill>
              <w14:schemeClr w14:val="tx1"/>
            </w14:solidFill>
          </w14:textFill>
        </w:rPr>
        <w:t>现场进行每日三次打卡考勤，如缺席，每人每次罚款1000元，上不封顶，建设单位有权从任意一期支付的工程款中直接扣除。</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累计18天（含）不在现场，发包人有权解除合同，承包人应向发包人支付合同价的1%作为违约金；无故不参加工程例会，承包人向发包人支付</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sz w:val="24"/>
          <w:szCs w:val="24"/>
          <w:highlight w:val="none"/>
          <w:u w:val="single"/>
          <w14:textFill>
            <w14:solidFill>
              <w14:schemeClr w14:val="tx1"/>
            </w14:solidFill>
          </w14:textFill>
        </w:rPr>
        <w:t>000元/次，三次以上，发包人有权解除合同，并追究违约责任，由发包人代表签发处罚指令。</w:t>
      </w:r>
    </w:p>
    <w:p w14:paraId="259ABE1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3.2.3 承包人擅自更换项目负责人的违约责任：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项目经理（或项目副经理）不得擅自更换，如有特殊原因确需更换，承包人应向发包人提出书面申请，发包人同意后方可更换，同时要正式报备管理部门。若发生擅自更换，则视为违约，承包人应向发包人支付合同价的1%作为违约金，发包人有权解除合同，追究违约责任</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B349A8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3.2.4 承包人无正当理由拒绝更换项目负责人的违约责任：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发包人有权解除合同，追究由此带来的发包人一切损失，且承包人应承担</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万元/次的违约金。</w:t>
      </w:r>
    </w:p>
    <w:p w14:paraId="0F3D706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3.3 承包人人员</w:t>
      </w:r>
    </w:p>
    <w:p w14:paraId="14A2CD4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开工前2日</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15998BB">
      <w:pPr>
        <w:spacing w:line="400" w:lineRule="exact"/>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3.3.3 承包人无正当理由拒绝撤换主要施工管理人员的违约责任：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发包人有权解除合同，追究由此带来的发包人一切损失，且承包人应承担</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万元/次的违约金。</w:t>
      </w:r>
    </w:p>
    <w:p w14:paraId="5CF12A7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3.3.4 承包人主要施工管理人员离开施工现场的批准要求：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：如承包人主要施工管理人员（负责人、技术主管、质量员、安全员）有特殊原因不能保证上述在岗时间的或正常在岗时间离开工地现场的，必须以书面请假条形式报监理审核后，再报发包人批准</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A37A6C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3.3.5承包人擅自更换主要施工管理人员的违约责任：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现场主要管理人员（负责人、技术主管、质量员、安全员）到岗后不得擅自更换，一经发现，扣罚承包人</w:t>
      </w:r>
      <w:r>
        <w:rPr>
          <w:rFonts w:hint="eastAsia" w:ascii="宋体" w:hAnsi="宋体" w:cs="宋体"/>
          <w:snapToGrid w:val="0"/>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万元/人•次违约金，并应赔偿发包人的其他损失。</w:t>
      </w:r>
    </w:p>
    <w:p w14:paraId="64F1B3B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承包人主要施工管理人员擅自离开施工现场的违约责任：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发包人将视情要求承包人支付1000元/次的违约金。若无故擅自离开施工现场多达累计六次以上者，发包人有权要求更换。</w:t>
      </w:r>
    </w:p>
    <w:p w14:paraId="409CC52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w:t>
      </w:r>
      <w:bookmarkStart w:id="516" w:name="_Toc296346660"/>
      <w:bookmarkStart w:id="517" w:name="_Toc297123492"/>
      <w:bookmarkStart w:id="518" w:name="_Toc304295523"/>
      <w:bookmarkStart w:id="519" w:name="_Toc296503159"/>
      <w:bookmarkStart w:id="520" w:name="_Toc312677988"/>
      <w:bookmarkStart w:id="521" w:name="_Toc297216151"/>
      <w:bookmarkStart w:id="522" w:name="_Toc303539102"/>
      <w:bookmarkStart w:id="523" w:name="_Toc296890987"/>
      <w:bookmarkStart w:id="524" w:name="_Toc296891199"/>
      <w:bookmarkStart w:id="525" w:name="_Toc297048345"/>
      <w:bookmarkStart w:id="526" w:name="_Toc292559869"/>
      <w:bookmarkStart w:id="527" w:name="_Toc292559364"/>
      <w:bookmarkStart w:id="528" w:name="_Toc300934945"/>
      <w:bookmarkStart w:id="529" w:name="_Toc296347158"/>
      <w:bookmarkStart w:id="530" w:name="_Toc297120459"/>
      <w:bookmarkStart w:id="531" w:name="_Toc296944498"/>
      <w:r>
        <w:rPr>
          <w:rFonts w:hint="eastAsia" w:ascii="宋体" w:hAnsi="宋体" w:eastAsia="宋体" w:cs="宋体"/>
          <w:snapToGrid w:val="0"/>
          <w:color w:val="000000" w:themeColor="text1"/>
          <w:sz w:val="24"/>
          <w:szCs w:val="24"/>
          <w:highlight w:val="none"/>
          <w14:textFill>
            <w14:solidFill>
              <w14:schemeClr w14:val="tx1"/>
            </w14:solidFill>
          </w14:textFill>
        </w:rPr>
        <w:t>.5 分包</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433A8B2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w:t>
      </w:r>
      <w:bookmarkStart w:id="532" w:name="_Toc296503160"/>
      <w:bookmarkStart w:id="533" w:name="_Toc297048346"/>
      <w:bookmarkStart w:id="534" w:name="_Toc296891200"/>
      <w:bookmarkStart w:id="535" w:name="_Toc296890988"/>
      <w:bookmarkStart w:id="536" w:name="_Toc292559870"/>
      <w:bookmarkStart w:id="537" w:name="_Toc303539103"/>
      <w:bookmarkStart w:id="538" w:name="_Toc292559365"/>
      <w:bookmarkStart w:id="539" w:name="_Toc300934946"/>
      <w:bookmarkStart w:id="540" w:name="_Toc296347159"/>
      <w:bookmarkStart w:id="541" w:name="_Toc296346661"/>
      <w:bookmarkStart w:id="542" w:name="_Toc297216152"/>
      <w:bookmarkStart w:id="543" w:name="_Toc296944499"/>
      <w:bookmarkStart w:id="544" w:name="_Toc297123493"/>
      <w:bookmarkStart w:id="545" w:name="_Toc304295524"/>
      <w:bookmarkStart w:id="546" w:name="_Toc297120460"/>
      <w:bookmarkStart w:id="547" w:name="_Toc312677989"/>
      <w:bookmarkStart w:id="548" w:name="_Toc318581158"/>
      <w:r>
        <w:rPr>
          <w:rFonts w:hint="eastAsia" w:ascii="宋体" w:hAnsi="宋体" w:eastAsia="宋体" w:cs="宋体"/>
          <w:snapToGrid w:val="0"/>
          <w:color w:val="000000" w:themeColor="text1"/>
          <w:sz w:val="24"/>
          <w:szCs w:val="24"/>
          <w:highlight w:val="none"/>
          <w14:textFill>
            <w14:solidFill>
              <w14:schemeClr w14:val="tx1"/>
            </w14:solidFill>
          </w14:textFill>
        </w:rPr>
        <w:t>.5.1 分包的一般约定</w:t>
      </w:r>
    </w:p>
    <w:p w14:paraId="176F46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禁止分包的工程包括：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主体结构、关键性工作。承包人将禁止分包项目分包的或超出专业资质范围施工的，发包人有权解除合同，并要求承包人承担违约责任。</w:t>
      </w:r>
    </w:p>
    <w:p w14:paraId="6656958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主体结构、关键性工作的范围：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严重涉及工程质量的工作</w:t>
      </w:r>
      <w:r>
        <w:rPr>
          <w:rFonts w:hint="eastAsia" w:ascii="宋体" w:hAnsi="宋体" w:eastAsia="宋体" w:cs="宋体"/>
          <w:snapToGrid w:val="0"/>
          <w:color w:val="000000" w:themeColor="text1"/>
          <w:sz w:val="24"/>
          <w:szCs w:val="24"/>
          <w:highlight w:val="none"/>
          <w14:textFill>
            <w14:solidFill>
              <w14:schemeClr w14:val="tx1"/>
            </w14:solidFill>
          </w14:textFill>
        </w:rPr>
        <w:t>。</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49" w:name="_Toc296503161"/>
      <w:bookmarkStart w:id="550" w:name="_Toc296346662"/>
      <w:bookmarkStart w:id="551" w:name="_Toc297123494"/>
      <w:bookmarkStart w:id="552" w:name="_Toc296944500"/>
      <w:bookmarkStart w:id="553" w:name="_Toc297216153"/>
      <w:bookmarkStart w:id="554" w:name="_Toc296347160"/>
      <w:bookmarkStart w:id="555" w:name="_Toc300934947"/>
      <w:bookmarkStart w:id="556" w:name="_Toc304295525"/>
      <w:bookmarkStart w:id="557" w:name="_Toc296891201"/>
      <w:bookmarkStart w:id="558" w:name="_Toc297120461"/>
      <w:bookmarkStart w:id="559" w:name="_Toc303539104"/>
      <w:bookmarkStart w:id="560" w:name="_Toc296890989"/>
      <w:bookmarkStart w:id="561" w:name="_Toc297048347"/>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14:paraId="65AEB80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w:t>
      </w:r>
      <w:bookmarkStart w:id="562" w:name="_Toc318581159"/>
      <w:bookmarkStart w:id="563" w:name="_Toc312677990"/>
      <w:r>
        <w:rPr>
          <w:rFonts w:hint="eastAsia" w:ascii="宋体" w:hAnsi="宋体" w:eastAsia="宋体" w:cs="宋体"/>
          <w:snapToGrid w:val="0"/>
          <w:color w:val="000000" w:themeColor="text1"/>
          <w:sz w:val="24"/>
          <w:szCs w:val="24"/>
          <w:highlight w:val="none"/>
          <w14:textFill>
            <w14:solidFill>
              <w14:schemeClr w14:val="tx1"/>
            </w14:solidFill>
          </w14:textFill>
        </w:rPr>
        <w:t>.5.2分包的确定</w:t>
      </w:r>
    </w:p>
    <w:p w14:paraId="7EC86D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允许分包的专业工程包括：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须经发包人同意房屋建筑施工总承包序列以外的非主体，非关键的分部分项工程</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1008C8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其他关于分包的约定：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对一些专业项目有特殊要求，确需分包的，分包单位必须符合相应资质和等级要求。</w:t>
      </w:r>
    </w:p>
    <w:p w14:paraId="280D6D5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3.5.4 分包合同价款</w:t>
      </w:r>
    </w:p>
    <w:p w14:paraId="78F87D2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关于分包合同价款支付的约定：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承包人必须按照发包人支付工程款的时间节点和比例，及时、足额支付分包合同价款。</w:t>
      </w:r>
    </w:p>
    <w:p w14:paraId="6611A11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由于分包产生的一切责任由承包人承担，与发包人无关。</w:t>
      </w:r>
    </w:p>
    <w:bookmarkEnd w:id="562"/>
    <w:bookmarkEnd w:id="563"/>
    <w:p w14:paraId="3E47532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3.6 工程照管与成品、半成品保护</w:t>
      </w:r>
    </w:p>
    <w:p w14:paraId="6C08EA9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承包人负责照管工程及工程相关的材料、工程设备的起始时间：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验收移交前由承包人负责采取有效措施对已完成工程成品的保护，费用由承包人承担，保护期间发生的损坏承包人自费以修理，无法修理的负责赔偿。如果由于承包人原因造成发包人或其他专业承包人的成品损害，承包人应按实际进行修复或赔偿，由此造成的工程延误，责任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7794AE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3.7 履约担保</w:t>
      </w:r>
    </w:p>
    <w:p w14:paraId="1B18C36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承包人是否提供履约担保：</w:t>
      </w:r>
      <w:r>
        <w:rPr>
          <w:rFonts w:hint="eastAsia" w:ascii="宋体" w:hAnsi="宋体" w:eastAsia="宋体" w:cs="宋体"/>
          <w:snapToGrid w:val="0"/>
          <w:color w:val="000000" w:themeColor="text1"/>
          <w:sz w:val="24"/>
          <w:szCs w:val="24"/>
          <w:highlight w:val="none"/>
          <w:u w:val="single"/>
          <w:lang w:val="en-US" w:eastAsia="zh-CN"/>
          <w14:textFill>
            <w14:solidFill>
              <w14:schemeClr w14:val="tx1"/>
            </w14:solidFill>
          </w14:textFill>
        </w:rPr>
        <w:t>是</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85349F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承包人提供履约担保的形式、金额及期限的：</w:t>
      </w:r>
      <w:r>
        <w:rPr>
          <w:rFonts w:hint="eastAsia" w:ascii="宋体" w:hAnsi="宋体" w:eastAsia="宋体" w:cs="宋体"/>
          <w:snapToGrid w:val="0"/>
          <w:color w:val="000000" w:themeColor="text1"/>
          <w:sz w:val="24"/>
          <w:szCs w:val="24"/>
          <w:highlight w:val="none"/>
          <w:u w:val="single"/>
          <w:lang w:val="en-US" w:eastAsia="zh-CN"/>
          <w14:textFill>
            <w14:solidFill>
              <w14:schemeClr w14:val="tx1"/>
            </w14:solidFill>
          </w14:textFill>
        </w:rPr>
        <w:t>中标金额的10%</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5B551F2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64" w:name="_Toc351203636"/>
      <w:r>
        <w:rPr>
          <w:rFonts w:hint="eastAsia" w:ascii="宋体" w:hAnsi="宋体" w:eastAsia="宋体" w:cs="宋体"/>
          <w:snapToGrid w:val="0"/>
          <w:color w:val="000000" w:themeColor="text1"/>
          <w:sz w:val="24"/>
          <w:szCs w:val="24"/>
          <w:highlight w:val="none"/>
          <w14:textFill>
            <w14:solidFill>
              <w14:schemeClr w14:val="tx1"/>
            </w14:solidFill>
          </w14:textFill>
        </w:rPr>
        <w:t>4</w:t>
      </w:r>
      <w:bookmarkStart w:id="565" w:name="_Toc297048348"/>
      <w:bookmarkStart w:id="566" w:name="_Toc297120462"/>
      <w:bookmarkStart w:id="567" w:name="_Toc296503162"/>
      <w:bookmarkStart w:id="568" w:name="_Toc267251413"/>
      <w:bookmarkStart w:id="569" w:name="_Toc296890990"/>
      <w:bookmarkStart w:id="570" w:name="_Toc296891202"/>
      <w:bookmarkStart w:id="571" w:name="_Toc292559871"/>
      <w:bookmarkStart w:id="572" w:name="_Toc296944501"/>
      <w:bookmarkStart w:id="573" w:name="_Toc296347161"/>
      <w:bookmarkStart w:id="574" w:name="_Toc296346663"/>
      <w:bookmarkStart w:id="575" w:name="_Toc292559366"/>
      <w:r>
        <w:rPr>
          <w:rFonts w:hint="eastAsia" w:ascii="宋体" w:hAnsi="宋体" w:eastAsia="宋体" w:cs="宋体"/>
          <w:snapToGrid w:val="0"/>
          <w:color w:val="000000" w:themeColor="text1"/>
          <w:sz w:val="24"/>
          <w:szCs w:val="24"/>
          <w:highlight w:val="none"/>
          <w14:textFill>
            <w14:solidFill>
              <w14:schemeClr w14:val="tx1"/>
            </w14:solidFill>
          </w14:textFill>
        </w:rPr>
        <w:t>. 监</w:t>
      </w:r>
      <w:bookmarkEnd w:id="565"/>
      <w:bookmarkEnd w:id="566"/>
      <w:bookmarkEnd w:id="567"/>
      <w:bookmarkEnd w:id="568"/>
      <w:bookmarkEnd w:id="569"/>
      <w:bookmarkEnd w:id="570"/>
      <w:bookmarkEnd w:id="571"/>
      <w:bookmarkEnd w:id="572"/>
      <w:bookmarkEnd w:id="573"/>
      <w:bookmarkEnd w:id="574"/>
      <w:bookmarkEnd w:id="575"/>
      <w:r>
        <w:rPr>
          <w:rFonts w:hint="eastAsia" w:ascii="宋体" w:hAnsi="宋体" w:eastAsia="宋体" w:cs="宋体"/>
          <w:snapToGrid w:val="0"/>
          <w:color w:val="000000" w:themeColor="text1"/>
          <w:sz w:val="24"/>
          <w:szCs w:val="24"/>
          <w:highlight w:val="none"/>
          <w14:textFill>
            <w14:solidFill>
              <w14:schemeClr w14:val="tx1"/>
            </w14:solidFill>
          </w14:textFill>
        </w:rPr>
        <w:t>理人</w:t>
      </w:r>
      <w:bookmarkEnd w:id="564"/>
    </w:p>
    <w:p w14:paraId="6F3544E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4.1监理人的一般规定</w:t>
      </w:r>
    </w:p>
    <w:p w14:paraId="51E66C1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关于监理人的监理内容：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按监理合同及监理规范的有关规定执行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5CE134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关于监理人的监理权限：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按监理合同的有关规定执行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8E8E63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发包人要求承包人提供的监理人的办公场所、生活场所，承包人应予以配合。</w:t>
      </w:r>
    </w:p>
    <w:p w14:paraId="44C31FC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4.2 监理人员</w:t>
      </w:r>
    </w:p>
    <w:p w14:paraId="5E18301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总监理工程师：</w:t>
      </w:r>
    </w:p>
    <w:p w14:paraId="0EC60F0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姓名：；</w:t>
      </w:r>
    </w:p>
    <w:p w14:paraId="1A4496A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职务：；</w:t>
      </w:r>
    </w:p>
    <w:p w14:paraId="4C15B60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监理工程师执业资格证书号：；</w:t>
      </w:r>
    </w:p>
    <w:p w14:paraId="113A949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联系电话：；</w:t>
      </w:r>
    </w:p>
    <w:p w14:paraId="5D56889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电子信箱：；</w:t>
      </w:r>
    </w:p>
    <w:p w14:paraId="1EB0AD3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通信地址：；</w:t>
      </w:r>
    </w:p>
    <w:p w14:paraId="4F61FBD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关于监理人的其他约定： 。</w:t>
      </w:r>
    </w:p>
    <w:p w14:paraId="7C3E770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4.4 商定或确定</w:t>
      </w:r>
    </w:p>
    <w:p w14:paraId="41A267D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76" w:name="_Toc267251418"/>
      <w:r>
        <w:rPr>
          <w:rFonts w:hint="eastAsia" w:ascii="宋体" w:hAnsi="宋体" w:eastAsia="宋体" w:cs="宋体"/>
          <w:snapToGrid w:val="0"/>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14:paraId="1E6DA76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需要时另行授权</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8606B9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w:t>
      </w:r>
    </w:p>
    <w:p w14:paraId="483F88A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w:t>
      </w:r>
    </w:p>
    <w:p w14:paraId="5A965B3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77" w:name="_Toc351203637"/>
      <w:r>
        <w:rPr>
          <w:rFonts w:hint="eastAsia" w:ascii="宋体" w:hAnsi="宋体" w:eastAsia="宋体" w:cs="宋体"/>
          <w:snapToGrid w:val="0"/>
          <w:color w:val="000000" w:themeColor="text1"/>
          <w:sz w:val="24"/>
          <w:szCs w:val="24"/>
          <w:highlight w:val="none"/>
          <w14:textFill>
            <w14:solidFill>
              <w14:schemeClr w14:val="tx1"/>
            </w14:solidFill>
          </w14:textFill>
        </w:rPr>
        <w:t>5</w:t>
      </w:r>
      <w:bookmarkEnd w:id="576"/>
      <w:bookmarkStart w:id="578" w:name="_Toc296944502"/>
      <w:bookmarkStart w:id="579" w:name="_Toc297048349"/>
      <w:bookmarkStart w:id="580" w:name="_Toc296347162"/>
      <w:bookmarkStart w:id="581" w:name="_Toc296346664"/>
      <w:bookmarkStart w:id="582" w:name="_Toc297120463"/>
      <w:bookmarkStart w:id="583" w:name="_Toc296890991"/>
      <w:bookmarkStart w:id="584" w:name="_Toc292559872"/>
      <w:bookmarkStart w:id="585" w:name="_Toc292559367"/>
      <w:bookmarkStart w:id="586" w:name="_Toc296891203"/>
      <w:bookmarkStart w:id="587" w:name="_Toc296503163"/>
      <w:r>
        <w:rPr>
          <w:rFonts w:hint="eastAsia" w:ascii="宋体" w:hAnsi="宋体" w:eastAsia="宋体" w:cs="宋体"/>
          <w:snapToGrid w:val="0"/>
          <w:color w:val="000000" w:themeColor="text1"/>
          <w:sz w:val="24"/>
          <w:szCs w:val="24"/>
          <w:highlight w:val="none"/>
          <w14:textFill>
            <w14:solidFill>
              <w14:schemeClr w14:val="tx1"/>
            </w14:solidFill>
          </w14:textFill>
        </w:rPr>
        <w:t>. 工程质量</w:t>
      </w:r>
      <w:bookmarkEnd w:id="577"/>
    </w:p>
    <w:p w14:paraId="78DD113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5.1 质量要求</w:t>
      </w:r>
    </w:p>
    <w:p w14:paraId="432A814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w:t>
      </w:r>
      <w:bookmarkStart w:id="588" w:name="_Toc300934949"/>
      <w:bookmarkStart w:id="589" w:name="_Toc318581164"/>
      <w:bookmarkStart w:id="590" w:name="_Toc303539106"/>
      <w:bookmarkStart w:id="591" w:name="_Toc304295527"/>
      <w:bookmarkStart w:id="592" w:name="_Toc297123496"/>
      <w:bookmarkStart w:id="593" w:name="_Toc297216155"/>
      <w:bookmarkStart w:id="594" w:name="_Toc312677997"/>
      <w:r>
        <w:rPr>
          <w:rFonts w:hint="eastAsia" w:ascii="宋体" w:hAnsi="宋体" w:eastAsia="宋体" w:cs="宋体"/>
          <w:snapToGrid w:val="0"/>
          <w:color w:val="000000" w:themeColor="text1"/>
          <w:sz w:val="24"/>
          <w:szCs w:val="24"/>
          <w:highlight w:val="none"/>
          <w14:textFill>
            <w14:solidFill>
              <w14:schemeClr w14:val="tx1"/>
            </w14:solidFill>
          </w14:textFill>
        </w:rPr>
        <w:t>.1.1 特殊质量标准和要求：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本工程质量要求：承包人的施工质量应符合国家质量验收标准，经修补后依然达不到约定的质量标准，或者质量问题严重，无法修补，发包人有权雇用其他的承包人修复本工程，使之能够验收合格，所发生的一切费用及由此给发包人造成的经济损失均由承包人承担。若为不合格工程，承包人应承担由此造成的一切损失，并按合同总价的10%支付违约金。</w:t>
      </w:r>
    </w:p>
    <w:p w14:paraId="19BD561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关于工程奖项的约定：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无</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65B6E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5.3 隐蔽工程检查 </w:t>
      </w:r>
    </w:p>
    <w:p w14:paraId="1F5D749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5.3.2承包人提前通知监理人隐蔽工程检查的期限的约定：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31263C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监理人不能按时进行检查时，应提前</w:t>
      </w:r>
      <w:r>
        <w:rPr>
          <w:rFonts w:hint="eastAsia" w:ascii="宋体" w:hAnsi="宋体" w:eastAsia="宋体" w:cs="宋体"/>
          <w:snapToGrid w:val="0"/>
          <w:color w:val="000000" w:themeColor="text1"/>
          <w:sz w:val="24"/>
          <w:szCs w:val="24"/>
          <w:highlight w:val="none"/>
          <w:u w:val="single"/>
          <w14:textFill>
            <w14:solidFill>
              <w14:schemeClr w14:val="tx1"/>
            </w14:solidFill>
          </w14:textFill>
        </w:rPr>
        <w:t>24</w:t>
      </w:r>
      <w:r>
        <w:rPr>
          <w:rFonts w:hint="eastAsia" w:ascii="宋体" w:hAnsi="宋体" w:eastAsia="宋体" w:cs="宋体"/>
          <w:snapToGrid w:val="0"/>
          <w:color w:val="000000" w:themeColor="text1"/>
          <w:sz w:val="24"/>
          <w:szCs w:val="24"/>
          <w:highlight w:val="none"/>
          <w14:textFill>
            <w14:solidFill>
              <w14:schemeClr w14:val="tx1"/>
            </w14:solidFill>
          </w14:textFill>
        </w:rPr>
        <w:t>小时提交书面延期要求。</w:t>
      </w:r>
    </w:p>
    <w:p w14:paraId="641C2F9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关于延期最长不得超过：</w:t>
      </w:r>
      <w:r>
        <w:rPr>
          <w:rFonts w:hint="eastAsia" w:ascii="宋体" w:hAnsi="宋体" w:eastAsia="宋体" w:cs="宋体"/>
          <w:snapToGrid w:val="0"/>
          <w:color w:val="000000" w:themeColor="text1"/>
          <w:sz w:val="24"/>
          <w:szCs w:val="24"/>
          <w:highlight w:val="none"/>
          <w:u w:val="single"/>
          <w14:textFill>
            <w14:solidFill>
              <w14:schemeClr w14:val="tx1"/>
            </w14:solidFill>
          </w14:textFill>
        </w:rPr>
        <w:t>48</w:t>
      </w:r>
      <w:r>
        <w:rPr>
          <w:rFonts w:hint="eastAsia" w:ascii="宋体" w:hAnsi="宋体" w:eastAsia="宋体" w:cs="宋体"/>
          <w:snapToGrid w:val="0"/>
          <w:color w:val="000000" w:themeColor="text1"/>
          <w:sz w:val="24"/>
          <w:szCs w:val="24"/>
          <w:highlight w:val="none"/>
          <w14:textFill>
            <w14:solidFill>
              <w14:schemeClr w14:val="tx1"/>
            </w14:solidFill>
          </w14:textFill>
        </w:rPr>
        <w:t>小时。</w:t>
      </w:r>
    </w:p>
    <w:p w14:paraId="5FB8205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95" w:name="_Toc351203638"/>
      <w:r>
        <w:rPr>
          <w:rFonts w:hint="eastAsia" w:ascii="宋体" w:hAnsi="宋体" w:eastAsia="宋体" w:cs="宋体"/>
          <w:snapToGrid w:val="0"/>
          <w:color w:val="000000" w:themeColor="text1"/>
          <w:sz w:val="24"/>
          <w:szCs w:val="24"/>
          <w:highlight w:val="none"/>
          <w14:textFill>
            <w14:solidFill>
              <w14:schemeClr w14:val="tx1"/>
            </w14:solidFill>
          </w14:textFill>
        </w:rPr>
        <w:t>6. 安全文明施工与环境保护</w:t>
      </w:r>
      <w:bookmarkEnd w:id="595"/>
    </w:p>
    <w:p w14:paraId="2DD2558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6.1安全文明施工</w:t>
      </w:r>
    </w:p>
    <w:p w14:paraId="1044E42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6.1.1 项目安全生产的达标目标及相应事项的约定：</w:t>
      </w:r>
    </w:p>
    <w:p w14:paraId="21ECDC3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承包人在施工中必须按照工程建设安全生产管理有关规定严格组织施工，加强安全防范意识，全面负责施工现场的安全及第三方的人身安全，应根据现场情况采取必要的安全防护措施，加强安全教育，坚决杜绝安全事故的发生，并承担一切责任，对安全生产负全责。</w:t>
      </w:r>
    </w:p>
    <w:p w14:paraId="112A5F91">
      <w:pPr>
        <w:tabs>
          <w:tab w:val="left" w:pos="0"/>
          <w:tab w:val="left" w:pos="1134"/>
        </w:tabs>
        <w:adjustRightInd w:val="0"/>
        <w:snapToGrid w:val="0"/>
        <w:spacing w:line="300" w:lineRule="auto"/>
        <w:ind w:firstLine="482" w:firstLineChars="200"/>
        <w:rPr>
          <w:rFonts w:hint="eastAsia" w:ascii="宋体" w:hAnsi="宋体" w:eastAsia="宋体" w:cs="宋体"/>
          <w:b/>
          <w:snapToGrid w:val="0"/>
          <w:color w:val="000000" w:themeColor="text1"/>
          <w:sz w:val="24"/>
          <w:szCs w:val="24"/>
          <w:highlight w:val="none"/>
          <w:u w:val="single"/>
          <w14:textFill>
            <w14:solidFill>
              <w14:schemeClr w14:val="tx1"/>
            </w14:solidFill>
          </w14:textFill>
        </w:rPr>
      </w:pPr>
      <w:r>
        <w:rPr>
          <w:rFonts w:hint="eastAsia" w:ascii="宋体" w:hAnsi="宋体" w:eastAsia="宋体" w:cs="宋体"/>
          <w:b/>
          <w:snapToGrid w:val="0"/>
          <w:color w:val="000000" w:themeColor="text1"/>
          <w:sz w:val="24"/>
          <w:szCs w:val="24"/>
          <w:highlight w:val="none"/>
          <w:u w:val="single"/>
          <w14:textFill>
            <w14:solidFill>
              <w14:schemeClr w14:val="tx1"/>
            </w14:solidFill>
          </w14:textFill>
        </w:rPr>
        <w:t>（2）进场施工时必须服从</w:t>
      </w:r>
      <w:r>
        <w:rPr>
          <w:rFonts w:hint="eastAsia" w:ascii="宋体" w:hAnsi="宋体" w:cs="宋体"/>
          <w:b/>
          <w:snapToGrid w:val="0"/>
          <w:color w:val="000000" w:themeColor="text1"/>
          <w:sz w:val="24"/>
          <w:szCs w:val="24"/>
          <w:highlight w:val="none"/>
          <w:u w:val="single"/>
          <w:lang w:eastAsia="zh-CN"/>
          <w14:textFill>
            <w14:solidFill>
              <w14:schemeClr w14:val="tx1"/>
            </w14:solidFill>
          </w14:textFill>
        </w:rPr>
        <w:t>发包人</w:t>
      </w:r>
      <w:r>
        <w:rPr>
          <w:rFonts w:hint="eastAsia" w:ascii="宋体" w:hAnsi="宋体" w:eastAsia="宋体" w:cs="宋体"/>
          <w:b/>
          <w:snapToGrid w:val="0"/>
          <w:color w:val="000000" w:themeColor="text1"/>
          <w:sz w:val="24"/>
          <w:szCs w:val="24"/>
          <w:highlight w:val="none"/>
          <w:u w:val="single"/>
          <w14:textFill>
            <w14:solidFill>
              <w14:schemeClr w14:val="tx1"/>
            </w14:solidFill>
          </w14:textFill>
        </w:rPr>
        <w:t>关于安全文明施工的管理要求，并与</w:t>
      </w:r>
      <w:r>
        <w:rPr>
          <w:rFonts w:hint="eastAsia" w:ascii="宋体" w:hAnsi="宋体" w:cs="宋体"/>
          <w:b/>
          <w:snapToGrid w:val="0"/>
          <w:color w:val="000000" w:themeColor="text1"/>
          <w:sz w:val="24"/>
          <w:szCs w:val="24"/>
          <w:highlight w:val="none"/>
          <w:u w:val="single"/>
          <w:lang w:eastAsia="zh-CN"/>
          <w14:textFill>
            <w14:solidFill>
              <w14:schemeClr w14:val="tx1"/>
            </w14:solidFill>
          </w14:textFill>
        </w:rPr>
        <w:t>发包人</w:t>
      </w:r>
      <w:r>
        <w:rPr>
          <w:rFonts w:hint="eastAsia" w:ascii="宋体" w:hAnsi="宋体" w:eastAsia="宋体" w:cs="宋体"/>
          <w:b/>
          <w:snapToGrid w:val="0"/>
          <w:color w:val="000000" w:themeColor="text1"/>
          <w:sz w:val="24"/>
          <w:szCs w:val="24"/>
          <w:highlight w:val="none"/>
          <w:u w:val="single"/>
          <w14:textFill>
            <w14:solidFill>
              <w14:schemeClr w14:val="tx1"/>
            </w14:solidFill>
          </w14:textFill>
        </w:rPr>
        <w:t>签订专项安全施工协议；参加监理单位组织的定期检查评比，根据评比结果接受相应奖惩，由此产生的费用含在报价内。</w:t>
      </w:r>
    </w:p>
    <w:p w14:paraId="276B824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3）现场采取必要的安全保卫措施，施工现场的所有施工人员实行实名制，主要管理人员在施工现场应当佩戴证明其身份的证卡,其它现场施工人员应有统一身份标识，承包人应充分关注和保障所有在场人员的安全，对安全防护工作负全责（包括但不限于责任和费用），并禁止非施工人员、车辆进入现场。违者罚款100元/次。</w:t>
      </w:r>
    </w:p>
    <w:p w14:paraId="7A5E52A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（4）</w:t>
      </w:r>
      <w:r>
        <w:rPr>
          <w:rFonts w:hint="eastAsia" w:ascii="宋体" w:hAnsi="宋体" w:eastAsia="宋体" w:cs="宋体"/>
          <w:b/>
          <w:snapToGrid w:val="0"/>
          <w:color w:val="000000" w:themeColor="text1"/>
          <w:sz w:val="24"/>
          <w:szCs w:val="24"/>
          <w:highlight w:val="none"/>
          <w:u w:val="single"/>
          <w14:textFill>
            <w14:solidFill>
              <w14:schemeClr w14:val="tx1"/>
            </w14:solidFill>
          </w14:textFill>
        </w:rPr>
        <w:t>建立和执行防火管理制度，在火灾易发地区(木工房等)施工应及时办理动火许可，并严格按规范操作；施工现场及办公区、生活区等所有相关区域都应配备足够数量且符合消防要求的灭火器材；施工现场严禁吸烟。如有违反，按《施工现场安全文明施工管理处罚规定》处罚。</w:t>
      </w:r>
    </w:p>
    <w:p w14:paraId="061A0E4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（5）施工现场的通道、消防通道出入口、紧急疏散处等均应有明显标志或指示牌，有高度限制的地点应有限高标志，各种车辆进入施工现场，必须服从发包人的统一管理和遵守有关规定，违者罚款500元/次。</w:t>
      </w:r>
    </w:p>
    <w:p w14:paraId="4770B15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（6）施工现场为方便施工，经发包人同意确需临时设立的生活区应保证食堂卫生安全、饮水设施安全可靠。</w:t>
      </w:r>
    </w:p>
    <w:p w14:paraId="7C860DB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（7）施工现场临时用电应编制临时用电组织计划，参照JGJ46—2005规范执行；如有违反，将责令限期整改并按《施工现场安全文明施工管理处罚规定》处罚。</w:t>
      </w:r>
    </w:p>
    <w:p w14:paraId="0FA9E91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8）承包人对发包人负责供应的材料、设备有保管职责。为保护本工程本体及设备免遭损坏、为现场附近过往人群的安全与方便，在确有必要的时候和地方或监理工程师、有关主管部门要求时，承包人应自费提供照明、警卫、护栅、警告标志等安全防护措施。所有安全事故及责任，由承包人承担。如承包人未履行上述约定及通用条款相关义务造成工程、财产和人身伤害，由承包人承担责任，赔偿损失及支付发生的费用。</w:t>
      </w:r>
    </w:p>
    <w:p w14:paraId="0B01445B">
      <w:pPr>
        <w:tabs>
          <w:tab w:val="left" w:pos="0"/>
          <w:tab w:val="left" w:pos="1134"/>
        </w:tabs>
        <w:adjustRightInd w:val="0"/>
        <w:snapToGrid w:val="0"/>
        <w:spacing w:line="300" w:lineRule="auto"/>
        <w:ind w:firstLine="480" w:firstLineChars="200"/>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（9）承包人</w:t>
      </w:r>
      <w:r>
        <w:rPr>
          <w:rFonts w:hint="eastAsia" w:ascii="宋体" w:hAnsi="宋体" w:eastAsia="宋体" w:cs="宋体"/>
          <w:b w:val="0"/>
          <w:bCs w:val="0"/>
          <w:snapToGrid w:val="0"/>
          <w:color w:val="000000" w:themeColor="text1"/>
          <w:sz w:val="24"/>
          <w:szCs w:val="24"/>
          <w:highlight w:val="none"/>
          <w:u w:val="single"/>
          <w14:textFill>
            <w14:solidFill>
              <w14:schemeClr w14:val="tx1"/>
            </w14:solidFill>
          </w14:textFill>
        </w:rPr>
        <w:t>就安全生产事项应遵守下列规定：施工、办公、生活区域划分明显，布局合理、环境整洁；施工现场区域四周设置连续、密闭的围墙或围挡，实行密闭式管理，围挡材料采用砌体或定型板材，做到坚固、稳定、整洁、美观；施工现场出入口设置工地大门、门卫。大门应牢固并方便开启，门头门墩上设置项目部名称等相关信息；所有现场施工人员应统一着装，佩戴工作卡、安全帽，特种作业人员应持证上岗；现场配置足够数量的专职安全员，确保24小时巡察；闲杂人等不得进入施工现场，非本场工作施工人员未经许可不得进入作业区；施工现场路面和作业现场需进行硬化处理，出场车辆不带泥沙；场内材料、设备、垃圾按指定位置存放，要堆放整齐，保持清洁，设置专职卫生保洁员，确保现场无垃圾、少灰尘；文明施工、安全施工标识明显，项目经理及相关责任人应挂牌；脚手架安全围挡、脚手架网布、高空作业安全带应统一色彩。如有违反，将责令限期整改并按《施工现场安全文明施工管理处罚规定》处罚。</w:t>
      </w:r>
    </w:p>
    <w:p w14:paraId="02E991D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sz w:val="24"/>
          <w:szCs w:val="24"/>
          <w:highlight w:val="none"/>
          <w14:textFill>
            <w14:solidFill>
              <w14:schemeClr w14:val="tx1"/>
            </w14:solidFill>
          </w14:textFill>
        </w:rPr>
        <w:t>6.1.4 关于治安保卫的特</w:t>
      </w:r>
      <w:r>
        <w:rPr>
          <w:rFonts w:hint="eastAsia" w:ascii="宋体" w:hAnsi="宋体" w:eastAsia="宋体" w:cs="宋体"/>
          <w:snapToGrid w:val="0"/>
          <w:color w:val="000000" w:themeColor="text1"/>
          <w:sz w:val="24"/>
          <w:szCs w:val="24"/>
          <w:highlight w:val="none"/>
          <w14:textFill>
            <w14:solidFill>
              <w14:schemeClr w14:val="tx1"/>
            </w14:solidFill>
          </w14:textFill>
        </w:rPr>
        <w:t>别约定：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在实施和完成本工程过程中，承包人应充分关注和保障所有在场人员的安全，承包人负责施工期间的现场24小时治安和保卫工作，对安全防护工作负全责（包括但不限于责任和费用）。根据需要，在场地各出入口处设专用门卫用房，并配备足够的专职安全员日常巡逻和夜间巡逻，对进出工地的所有人员进行挂牌持证管理。并禁止与本工程无关人员、车辆进入现场。合同实施过程中，承包人对施工现场的安全、防盗防抢、秩序、工程保护、消防、用电等负责，并就工地照明、防护、标志、警告信号、门卫人员等做出具体安排。承包人（投标人）充分考虑整个项目施工期间的照明费用并含在报价内，承包人不得再因此而增加费用。现场发生偷盗等造成的损失，责任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6E34E5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关于编制施工场地治安管理计划的约定：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必须按经审核批准后的施工组织设计和施工现场平面布局要求，解决施工场地内、外的道路；及时办理施工所需的各种批件，解决夜间施工、施工噪音、环境卫生、临时排水排污、环保、市容、城建、城管、治安、人口管理、周边居民影响与协调等问题；并承担上述工作发生的相关费用。因承包人原因造成的罚款由承包人承担。因未严格执行有关文明施工、环境卫生、噪音控制规定，引起的处罚、扰民及民扰，由施工单位自行解决</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92C026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6.1.5 文明施工</w:t>
      </w:r>
    </w:p>
    <w:p w14:paraId="42B6242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合同当事人对文明施工的要求：</w:t>
      </w:r>
    </w:p>
    <w:p w14:paraId="2D9C26E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需承包人办理的有关施工场地交通、环卫和施工噪音管理等手续按规定自行办理，工程噪音必须满足国家、省市的有关法规要求（以高者为准）；（2）保护施工场地周围地下管线和邻近建筑物、构筑物(含文物保护建筑)、古树名木, 损坏按实赔偿；（3）按照标准化现场施工要求,保持场内、场外、交通进出口的安全和卫生及道路的畅通；（4）灰尘处理；（5）施工现场必须具有满足环保验收要求需配备的冲洗台以及自动洗轮机及高压水枪等设备；（ 6）其他文明施工要求。</w:t>
      </w:r>
    </w:p>
    <w:p w14:paraId="73AD750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6.1.6 关于安全文明施工费支付比例和支付期限的约定：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按工程款比例支付，同时满足安监管理部门要求。</w:t>
      </w:r>
    </w:p>
    <w:bookmarkEnd w:id="588"/>
    <w:bookmarkEnd w:id="589"/>
    <w:bookmarkEnd w:id="590"/>
    <w:bookmarkEnd w:id="591"/>
    <w:bookmarkEnd w:id="592"/>
    <w:bookmarkEnd w:id="593"/>
    <w:bookmarkEnd w:id="594"/>
    <w:p w14:paraId="4AACE3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596" w:name="_Toc351203639"/>
      <w:r>
        <w:rPr>
          <w:rFonts w:hint="eastAsia" w:ascii="宋体" w:hAnsi="宋体" w:eastAsia="宋体" w:cs="宋体"/>
          <w:snapToGrid w:val="0"/>
          <w:color w:val="000000" w:themeColor="text1"/>
          <w:sz w:val="24"/>
          <w:szCs w:val="24"/>
          <w:highlight w:val="none"/>
          <w14:textFill>
            <w14:solidFill>
              <w14:schemeClr w14:val="tx1"/>
            </w14:solidFill>
          </w14:textFill>
        </w:rPr>
        <w:t>7. 工期和进度</w:t>
      </w:r>
      <w:bookmarkEnd w:id="596"/>
    </w:p>
    <w:p w14:paraId="69367AB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7.1 施工组织设计</w:t>
      </w:r>
    </w:p>
    <w:p w14:paraId="1124D8D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7.1.1 合同当事人约定的施工组织设计应包括的其他内容：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37791E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7.1.2 施工组织设计的提交和修改</w:t>
      </w:r>
    </w:p>
    <w:p w14:paraId="0DCDB02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承包人提交详细施工组织设计的期限的约定：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开工前3日提供比投标时更具体的施工组织设计（施工方案）和进度计划；其施工组织设计应优于投标时所提供的施工组织设计，且无本质改动。施工组织设计应包括全部设备、材料、成品、半成品等需求供应进场计划，人员安排、质保体系、安保体系、安全文明施工措施、施工机械设备配置情况，以及施工现场优化布置等内容，增加费用由承包人自行承担。发包人和监理接到报来的施工组织设计（各工期节点不得迟于合同工期节点规定）后组织审核批准或提出修改意见，发包人和监理批准的施工组织设计可作为工程款的支付参考依据，承包人不按时送审符合要求的施工组织设计，造成发包人无法判断工程进展顺利与否，发包人可按照现实情况给予承包人500-1000元的处罚，并可拒付相应部分工程进度款，责任由承包人承担。每月25日报下月进度计划及上月执行情况；每周一报周进度计划及上周执行情况；工程例会由监理组织在每固定日召开</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65402B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发包人和监理人在收到详细的施工组织设计后确认或提出修改意见的期限：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提交后3日内，工程师对施工组织设计和进度计划的任何确认、调整和修改意见不免除和减轻承包人的工期责任</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B7E10C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w:t>
      </w:r>
      <w:bookmarkStart w:id="597" w:name="_Toc300934966"/>
      <w:bookmarkStart w:id="598" w:name="_Toc303539123"/>
      <w:bookmarkStart w:id="599" w:name="_Toc304295541"/>
      <w:bookmarkStart w:id="600" w:name="_Toc297216173"/>
      <w:bookmarkStart w:id="601" w:name="_Toc312677479"/>
      <w:bookmarkStart w:id="602" w:name="_Toc312678005"/>
      <w:bookmarkStart w:id="603" w:name="_Toc297123514"/>
      <w:r>
        <w:rPr>
          <w:rFonts w:hint="eastAsia" w:ascii="宋体" w:hAnsi="宋体" w:eastAsia="宋体" w:cs="宋体"/>
          <w:snapToGrid w:val="0"/>
          <w:color w:val="000000" w:themeColor="text1"/>
          <w:sz w:val="24"/>
          <w:szCs w:val="24"/>
          <w:highlight w:val="none"/>
          <w14:textFill>
            <w14:solidFill>
              <w14:schemeClr w14:val="tx1"/>
            </w14:solidFill>
          </w14:textFill>
        </w:rPr>
        <w:t>.2 施工进度计划</w:t>
      </w:r>
    </w:p>
    <w:p w14:paraId="69866C5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7.2.2 施工进度计划的修订</w:t>
      </w:r>
    </w:p>
    <w:p w14:paraId="35F3783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提交后3日内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052218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7.3 开工</w:t>
      </w:r>
    </w:p>
    <w:p w14:paraId="73D9343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7.3.1 开工准备</w:t>
      </w:r>
    </w:p>
    <w:p w14:paraId="62F472A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关于承包人提交工程开工报审表的期限：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进场后3日内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DCDAD8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开工前办妥相关开工手续</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08AEB1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开工前办妥相关开工手续</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FCB220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7.3.2开工通知</w:t>
      </w:r>
    </w:p>
    <w:p w14:paraId="4A29B80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因发包人原因造成监理人未能在计划开工日期之日起</w:t>
      </w:r>
      <w:r>
        <w:rPr>
          <w:rFonts w:hint="eastAsia" w:ascii="宋体" w:hAnsi="宋体" w:eastAsia="宋体" w:cs="宋体"/>
          <w:snapToGrid w:val="0"/>
          <w:color w:val="000000" w:themeColor="text1"/>
          <w:sz w:val="24"/>
          <w:szCs w:val="24"/>
          <w:highlight w:val="none"/>
          <w:u w:val="single"/>
          <w14:textFill>
            <w14:solidFill>
              <w14:schemeClr w14:val="tx1"/>
            </w14:solidFill>
          </w14:textFill>
        </w:rPr>
        <w:t>3</w:t>
      </w:r>
      <w:r>
        <w:rPr>
          <w:rFonts w:hint="eastAsia" w:ascii="宋体" w:hAnsi="宋体" w:eastAsia="宋体" w:cs="宋体"/>
          <w:snapToGrid w:val="0"/>
          <w:color w:val="000000" w:themeColor="text1"/>
          <w:sz w:val="24"/>
          <w:szCs w:val="24"/>
          <w:highlight w:val="none"/>
          <w14:textFill>
            <w14:solidFill>
              <w14:schemeClr w14:val="tx1"/>
            </w14:solidFill>
          </w14:textFill>
        </w:rPr>
        <w:t>天内发出开工通知的，承包人有权提出工期和价格调整要求，或者解除合同。</w:t>
      </w:r>
    </w:p>
    <w:bookmarkEnd w:id="597"/>
    <w:bookmarkEnd w:id="598"/>
    <w:bookmarkEnd w:id="599"/>
    <w:bookmarkEnd w:id="600"/>
    <w:bookmarkEnd w:id="601"/>
    <w:bookmarkEnd w:id="602"/>
    <w:bookmarkEnd w:id="603"/>
    <w:p w14:paraId="691C9E9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7.4 测量放线</w:t>
      </w:r>
    </w:p>
    <w:p w14:paraId="734F451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开工前提供水准点及坐标控制点，按照规划和设计文件由发包人、承包人、监理人现场交验。</w:t>
      </w:r>
    </w:p>
    <w:p w14:paraId="6696CAA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w:t>
      </w:r>
      <w:bookmarkStart w:id="604" w:name="_Toc304295546"/>
      <w:bookmarkStart w:id="605" w:name="_Toc297123516"/>
      <w:bookmarkStart w:id="606" w:name="_Toc297216175"/>
      <w:bookmarkStart w:id="607" w:name="_Toc312677484"/>
      <w:bookmarkStart w:id="608" w:name="_Toc312678010"/>
      <w:bookmarkStart w:id="609" w:name="_Toc300934968"/>
      <w:bookmarkStart w:id="610" w:name="_Toc303539125"/>
      <w:r>
        <w:rPr>
          <w:rFonts w:hint="eastAsia" w:ascii="宋体" w:hAnsi="宋体" w:eastAsia="宋体" w:cs="宋体"/>
          <w:snapToGrid w:val="0"/>
          <w:color w:val="000000" w:themeColor="text1"/>
          <w:sz w:val="24"/>
          <w:szCs w:val="24"/>
          <w:highlight w:val="none"/>
          <w14:textFill>
            <w14:solidFill>
              <w14:schemeClr w14:val="tx1"/>
            </w14:solidFill>
          </w14:textFill>
        </w:rPr>
        <w:t>.5 工期延误</w:t>
      </w:r>
    </w:p>
    <w:bookmarkEnd w:id="604"/>
    <w:bookmarkEnd w:id="605"/>
    <w:bookmarkEnd w:id="606"/>
    <w:bookmarkEnd w:id="607"/>
    <w:bookmarkEnd w:id="608"/>
    <w:bookmarkEnd w:id="609"/>
    <w:bookmarkEnd w:id="610"/>
    <w:p w14:paraId="1A6289D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7.5.1 因发包人原因导致工期延误</w:t>
      </w:r>
    </w:p>
    <w:p w14:paraId="26FA8ED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（7）因发包人原因导致工期延误的其他情形：</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由于发包人的原因或不可抗力因素造成进度计划的延误，在承包人办好签证手续后，工期予以顺延，发包人不支付顺延工期产生的任何费用。</w:t>
      </w:r>
    </w:p>
    <w:p w14:paraId="46F772F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w:t>
      </w:r>
      <w:bookmarkStart w:id="611" w:name="_Toc312678012"/>
      <w:bookmarkStart w:id="612" w:name="_Toc318581169"/>
      <w:bookmarkStart w:id="613" w:name="_Toc312677486"/>
      <w:bookmarkStart w:id="614" w:name="_Toc303539127"/>
      <w:bookmarkStart w:id="615" w:name="_Toc300934970"/>
      <w:bookmarkStart w:id="616" w:name="_Toc297123518"/>
      <w:bookmarkStart w:id="617" w:name="_Toc297216177"/>
      <w:bookmarkStart w:id="618" w:name="_Toc304295548"/>
      <w:r>
        <w:rPr>
          <w:rFonts w:hint="eastAsia" w:ascii="宋体" w:hAnsi="宋体" w:eastAsia="宋体" w:cs="宋体"/>
          <w:snapToGrid w:val="0"/>
          <w:color w:val="000000" w:themeColor="text1"/>
          <w:sz w:val="24"/>
          <w:szCs w:val="24"/>
          <w:highlight w:val="none"/>
          <w14:textFill>
            <w14:solidFill>
              <w14:schemeClr w14:val="tx1"/>
            </w14:solidFill>
          </w14:textFill>
        </w:rPr>
        <w:t>.5.2 因承包人原因导致工期延误</w:t>
      </w:r>
    </w:p>
    <w:bookmarkEnd w:id="611"/>
    <w:bookmarkEnd w:id="612"/>
    <w:bookmarkEnd w:id="613"/>
    <w:p w14:paraId="76F91CE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因</w:t>
      </w:r>
      <w:bookmarkStart w:id="619" w:name="_Toc312677487"/>
      <w:bookmarkStart w:id="620" w:name="_Toc312678013"/>
      <w:bookmarkStart w:id="621" w:name="_Toc318581170"/>
      <w:r>
        <w:rPr>
          <w:rFonts w:hint="eastAsia" w:ascii="宋体" w:hAnsi="宋体" w:eastAsia="宋体" w:cs="宋体"/>
          <w:snapToGrid w:val="0"/>
          <w:color w:val="000000" w:themeColor="text1"/>
          <w:sz w:val="24"/>
          <w:szCs w:val="24"/>
          <w:highlight w:val="none"/>
          <w14:textFill>
            <w14:solidFill>
              <w14:schemeClr w14:val="tx1"/>
            </w14:solidFill>
          </w14:textFill>
        </w:rPr>
        <w:t>承包人原因造成工期延误，逾期竣工违约金的计算方法为：</w:t>
      </w:r>
    </w:p>
    <w:p w14:paraId="71C5400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若由于承包人原因造成工期延误，每延误一天承包人向发包人支付合同金额的0.1%作为延迟履行违约金。发包人可从应向承包人支付的任何款项中扣除此违约金,此违约金的支付并不解除承包人完成工程的责任和合同规定的其他责任。如工期延误超过15天以上或施工过程中承包人在监理和发包人合理要求下不按要求增加施工机械和人员抢工的，超过5天以上者，发包人有权另行安排具有相应资质的单位进行剩余工程的施工，增加的费用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bookmarkEnd w:id="614"/>
      <w:bookmarkEnd w:id="615"/>
      <w:bookmarkEnd w:id="616"/>
      <w:bookmarkEnd w:id="617"/>
      <w:bookmarkEnd w:id="618"/>
      <w:bookmarkEnd w:id="619"/>
      <w:bookmarkEnd w:id="620"/>
    </w:p>
    <w:bookmarkEnd w:id="621"/>
    <w:p w14:paraId="6B8BDB7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因承包人原因造成工期延误，逾</w:t>
      </w:r>
      <w:bookmarkStart w:id="622" w:name="_Toc318581171"/>
      <w:bookmarkStart w:id="623" w:name="_Toc312678014"/>
      <w:r>
        <w:rPr>
          <w:rFonts w:hint="eastAsia" w:ascii="宋体" w:hAnsi="宋体" w:eastAsia="宋体" w:cs="宋体"/>
          <w:snapToGrid w:val="0"/>
          <w:color w:val="000000" w:themeColor="text1"/>
          <w:sz w:val="24"/>
          <w:szCs w:val="24"/>
          <w:highlight w:val="none"/>
          <w14:textFill>
            <w14:solidFill>
              <w14:schemeClr w14:val="tx1"/>
            </w14:solidFill>
          </w14:textFill>
        </w:rPr>
        <w:t>期竣工违约金的上限：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以合同价的5%为上限。承包人支付逾期竣工违约金后，不免除承包人继续完成工程及修补缺陷的义务。逾期竣工超过30日，发包人有权解除合同</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622"/>
    <w:bookmarkEnd w:id="623"/>
    <w:p w14:paraId="17906FA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w:t>
      </w:r>
      <w:bookmarkStart w:id="624" w:name="_Toc297123519"/>
      <w:bookmarkStart w:id="625" w:name="_Toc304295549"/>
      <w:bookmarkStart w:id="626" w:name="_Toc312678015"/>
      <w:bookmarkStart w:id="627" w:name="_Toc303539128"/>
      <w:bookmarkStart w:id="628" w:name="_Toc297216178"/>
      <w:bookmarkStart w:id="629" w:name="_Toc300934971"/>
      <w:r>
        <w:rPr>
          <w:rFonts w:hint="eastAsia" w:ascii="宋体" w:hAnsi="宋体" w:eastAsia="宋体" w:cs="宋体"/>
          <w:snapToGrid w:val="0"/>
          <w:color w:val="000000" w:themeColor="text1"/>
          <w:sz w:val="24"/>
          <w:szCs w:val="24"/>
          <w:highlight w:val="none"/>
          <w14:textFill>
            <w14:solidFill>
              <w14:schemeClr w14:val="tx1"/>
            </w14:solidFill>
          </w14:textFill>
        </w:rPr>
        <w:t>.6 不</w:t>
      </w:r>
      <w:bookmarkEnd w:id="624"/>
      <w:bookmarkEnd w:id="625"/>
      <w:bookmarkEnd w:id="626"/>
      <w:bookmarkEnd w:id="627"/>
      <w:bookmarkEnd w:id="628"/>
      <w:bookmarkEnd w:id="629"/>
      <w:r>
        <w:rPr>
          <w:rFonts w:hint="eastAsia" w:ascii="宋体" w:hAnsi="宋体" w:eastAsia="宋体" w:cs="宋体"/>
          <w:snapToGrid w:val="0"/>
          <w:color w:val="000000" w:themeColor="text1"/>
          <w:sz w:val="24"/>
          <w:szCs w:val="24"/>
          <w:highlight w:val="none"/>
          <w14:textFill>
            <w14:solidFill>
              <w14:schemeClr w14:val="tx1"/>
            </w14:solidFill>
          </w14:textFill>
        </w:rPr>
        <w:t>利物质条件</w:t>
      </w:r>
    </w:p>
    <w:p w14:paraId="4EFE2CB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630" w:name="_Toc300934972"/>
      <w:bookmarkStart w:id="631" w:name="_Toc318581172"/>
      <w:bookmarkStart w:id="632" w:name="_Toc303539129"/>
      <w:bookmarkStart w:id="633" w:name="_Toc304295550"/>
      <w:bookmarkStart w:id="634" w:name="_Toc297123520"/>
      <w:bookmarkStart w:id="635" w:name="_Toc297216179"/>
      <w:bookmarkStart w:id="636" w:name="_Toc312678016"/>
      <w:r>
        <w:rPr>
          <w:rFonts w:hint="eastAsia" w:ascii="宋体" w:hAnsi="宋体" w:eastAsia="宋体" w:cs="宋体"/>
          <w:snapToGrid w:val="0"/>
          <w:color w:val="000000" w:themeColor="text1"/>
          <w:sz w:val="24"/>
          <w:szCs w:val="24"/>
          <w:highlight w:val="none"/>
          <w14:textFill>
            <w14:solidFill>
              <w14:schemeClr w14:val="tx1"/>
            </w14:solidFill>
          </w14:textFill>
        </w:rPr>
        <w:t>不利物质条件的其他情形和有关约定：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承包人在投标前对施工现场情况和条件应有充分的了解和把握，中标后再因此提出任何异议发包人将不予接受</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630"/>
    <w:bookmarkEnd w:id="631"/>
    <w:bookmarkEnd w:id="632"/>
    <w:bookmarkEnd w:id="633"/>
    <w:bookmarkEnd w:id="634"/>
    <w:bookmarkEnd w:id="635"/>
    <w:bookmarkEnd w:id="636"/>
    <w:p w14:paraId="1F32721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w:t>
      </w:r>
      <w:bookmarkStart w:id="637" w:name="_Toc303539130"/>
      <w:bookmarkStart w:id="638" w:name="_Toc312678017"/>
      <w:bookmarkStart w:id="639" w:name="_Toc304295551"/>
      <w:bookmarkStart w:id="640" w:name="_Toc297216180"/>
      <w:bookmarkStart w:id="641" w:name="_Toc300934973"/>
      <w:bookmarkStart w:id="642" w:name="_Toc297123521"/>
      <w:r>
        <w:rPr>
          <w:rFonts w:hint="eastAsia" w:ascii="宋体" w:hAnsi="宋体" w:eastAsia="宋体" w:cs="宋体"/>
          <w:snapToGrid w:val="0"/>
          <w:color w:val="000000" w:themeColor="text1"/>
          <w:sz w:val="24"/>
          <w:szCs w:val="24"/>
          <w:highlight w:val="none"/>
          <w14:textFill>
            <w14:solidFill>
              <w14:schemeClr w14:val="tx1"/>
            </w14:solidFill>
          </w14:textFill>
        </w:rPr>
        <w:t>.7异常恶劣的气候条件</w:t>
      </w:r>
    </w:p>
    <w:bookmarkEnd w:id="637"/>
    <w:bookmarkEnd w:id="638"/>
    <w:bookmarkEnd w:id="639"/>
    <w:bookmarkEnd w:id="640"/>
    <w:bookmarkEnd w:id="641"/>
    <w:bookmarkEnd w:id="642"/>
    <w:p w14:paraId="099F2C3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发包人和承包人同意以下情形视为异常恶劣的气候条件：</w:t>
      </w:r>
    </w:p>
    <w:p w14:paraId="5493BFC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日降雨量大于50mm的雨日超过1天，或突发性城市内涝</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679B6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九级以上的持续1小时以上的台风、7级以上地震烈度</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0C0277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超过劳动保护法室外工作日气温连续大于3天；</w:t>
      </w:r>
    </w:p>
    <w:p w14:paraId="6F663C4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造成工程损坏的冰雹和大雪灾害：日降雪量10mm及以上；</w:t>
      </w:r>
    </w:p>
    <w:p w14:paraId="35DDDB6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自然灾害。</w:t>
      </w:r>
    </w:p>
    <w:p w14:paraId="4190299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7.9 提前竣工的奖励</w:t>
      </w:r>
    </w:p>
    <w:p w14:paraId="5C7E665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7.9.2提前竣工的奖励：</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每提前一天奖励合同金额的0.05%，以合同金额的5%为上限。</w:t>
      </w:r>
    </w:p>
    <w:p w14:paraId="2A222B9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643" w:name="_Toc351203640"/>
      <w:r>
        <w:rPr>
          <w:rFonts w:hint="eastAsia" w:ascii="宋体" w:hAnsi="宋体" w:eastAsia="宋体" w:cs="宋体"/>
          <w:snapToGrid w:val="0"/>
          <w:color w:val="000000" w:themeColor="text1"/>
          <w:sz w:val="24"/>
          <w:szCs w:val="24"/>
          <w:highlight w:val="none"/>
          <w14:textFill>
            <w14:solidFill>
              <w14:schemeClr w14:val="tx1"/>
            </w14:solidFill>
          </w14:textFill>
        </w:rPr>
        <w:t>8. 材料与设备</w:t>
      </w:r>
      <w:bookmarkEnd w:id="643"/>
    </w:p>
    <w:bookmarkEnd w:id="578"/>
    <w:bookmarkEnd w:id="579"/>
    <w:bookmarkEnd w:id="580"/>
    <w:bookmarkEnd w:id="581"/>
    <w:bookmarkEnd w:id="582"/>
    <w:bookmarkEnd w:id="583"/>
    <w:bookmarkEnd w:id="584"/>
    <w:bookmarkEnd w:id="585"/>
    <w:bookmarkEnd w:id="586"/>
    <w:bookmarkEnd w:id="587"/>
    <w:p w14:paraId="448EEF4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w:t>
      </w:r>
      <w:bookmarkStart w:id="644" w:name="_Toc297048353"/>
      <w:bookmarkStart w:id="645" w:name="_Toc312677493"/>
      <w:bookmarkStart w:id="646" w:name="_Toc297120467"/>
      <w:bookmarkStart w:id="647" w:name="_Toc312678019"/>
      <w:bookmarkStart w:id="648" w:name="_Toc300934979"/>
      <w:bookmarkStart w:id="649" w:name="_Toc297123527"/>
      <w:bookmarkStart w:id="650" w:name="_Toc297216186"/>
      <w:bookmarkStart w:id="651" w:name="_Toc280868654"/>
      <w:bookmarkStart w:id="652" w:name="_Toc304295556"/>
      <w:bookmarkStart w:id="653" w:name="_Toc296346668"/>
      <w:bookmarkStart w:id="654" w:name="_Toc296891207"/>
      <w:bookmarkStart w:id="655" w:name="_Toc292559372"/>
      <w:bookmarkStart w:id="656" w:name="_Toc303539136"/>
      <w:bookmarkStart w:id="657" w:name="_Toc296944506"/>
      <w:bookmarkStart w:id="658" w:name="_Toc296347166"/>
      <w:bookmarkStart w:id="659" w:name="_Toc296890995"/>
      <w:bookmarkStart w:id="660" w:name="_Toc296503167"/>
      <w:bookmarkStart w:id="661" w:name="_Toc292559877"/>
      <w:bookmarkStart w:id="662" w:name="_Toc267251424"/>
      <w:bookmarkStart w:id="663" w:name="_Toc280868655"/>
      <w:bookmarkStart w:id="664" w:name="_Toc280868656"/>
      <w:r>
        <w:rPr>
          <w:rFonts w:hint="eastAsia" w:ascii="宋体" w:hAnsi="宋体" w:eastAsia="宋体" w:cs="宋体"/>
          <w:snapToGrid w:val="0"/>
          <w:color w:val="000000" w:themeColor="text1"/>
          <w:sz w:val="24"/>
          <w:szCs w:val="24"/>
          <w:highlight w:val="none"/>
          <w14:textFill>
            <w14:solidFill>
              <w14:schemeClr w14:val="tx1"/>
            </w14:solidFill>
          </w14:textFill>
        </w:rPr>
        <w:t>.4材料与工程设备的保管与使用</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14:paraId="011BDDE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w:t>
      </w:r>
      <w:bookmarkStart w:id="665" w:name="_Toc292559373"/>
      <w:bookmarkStart w:id="666" w:name="_Toc292559878"/>
      <w:bookmarkStart w:id="667" w:name="_Toc312677494"/>
      <w:bookmarkStart w:id="668" w:name="_Toc297216187"/>
      <w:bookmarkStart w:id="669" w:name="_Toc297120468"/>
      <w:bookmarkStart w:id="670" w:name="_Toc303539137"/>
      <w:bookmarkStart w:id="671" w:name="_Toc296890996"/>
      <w:bookmarkStart w:id="672" w:name="_Toc300934980"/>
      <w:bookmarkStart w:id="673" w:name="_Toc297123528"/>
      <w:bookmarkStart w:id="674" w:name="_Toc296503168"/>
      <w:bookmarkStart w:id="675" w:name="_Toc297048354"/>
      <w:bookmarkStart w:id="676" w:name="_Toc296347167"/>
      <w:bookmarkStart w:id="677" w:name="_Toc296891208"/>
      <w:bookmarkStart w:id="678" w:name="_Toc318581173"/>
      <w:bookmarkStart w:id="679" w:name="_Toc304295557"/>
      <w:bookmarkStart w:id="680" w:name="_Toc296346669"/>
      <w:bookmarkStart w:id="681" w:name="_Toc296944507"/>
      <w:bookmarkStart w:id="682" w:name="_Toc312678020"/>
      <w:r>
        <w:rPr>
          <w:rFonts w:hint="eastAsia" w:ascii="宋体" w:hAnsi="宋体" w:eastAsia="宋体" w:cs="宋体"/>
          <w:snapToGrid w:val="0"/>
          <w:color w:val="000000" w:themeColor="text1"/>
          <w:sz w:val="24"/>
          <w:szCs w:val="24"/>
          <w:highlight w:val="none"/>
          <w14:textFill>
            <w14:solidFill>
              <w14:schemeClr w14:val="tx1"/>
            </w14:solidFill>
          </w14:textFill>
        </w:rPr>
        <w:t>.4.1发包人供应的材料设备的保管费用的承担：</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按省、市相关计价文件执行</w:t>
      </w:r>
      <w:r>
        <w:rPr>
          <w:rFonts w:hint="eastAsia" w:ascii="宋体" w:hAnsi="宋体" w:eastAsia="宋体" w:cs="宋体"/>
          <w:snapToGrid w:val="0"/>
          <w:color w:val="000000" w:themeColor="text1"/>
          <w:sz w:val="24"/>
          <w:szCs w:val="24"/>
          <w:highlight w:val="none"/>
          <w14:textFill>
            <w14:solidFill>
              <w14:schemeClr w14:val="tx1"/>
            </w14:solidFill>
          </w14:textFill>
        </w:rPr>
        <w:t>。</w:t>
      </w:r>
      <w:bookmarkEnd w:id="665"/>
      <w:bookmarkEnd w:id="666"/>
    </w:p>
    <w:p w14:paraId="3250218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8.6 样品</w:t>
      </w:r>
    </w:p>
    <w:p w14:paraId="5DE7FB2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8.6.1</w:t>
      </w:r>
      <w:r>
        <w:rPr>
          <w:rFonts w:hint="eastAsia" w:ascii="宋体" w:hAnsi="宋体" w:eastAsia="宋体" w:cs="宋体"/>
          <w:snapToGrid w:val="0"/>
          <w:color w:val="000000" w:themeColor="text1"/>
          <w:sz w:val="24"/>
          <w:szCs w:val="24"/>
          <w:highlight w:val="none"/>
          <w14:textFill>
            <w14:solidFill>
              <w14:schemeClr w14:val="tx1"/>
            </w14:solidFill>
          </w14:textFill>
        </w:rPr>
        <w:tab/>
      </w:r>
      <w:r>
        <w:rPr>
          <w:rFonts w:hint="eastAsia" w:ascii="宋体" w:hAnsi="宋体" w:eastAsia="宋体" w:cs="宋体"/>
          <w:snapToGrid w:val="0"/>
          <w:color w:val="000000" w:themeColor="text1"/>
          <w:sz w:val="24"/>
          <w:szCs w:val="24"/>
          <w:highlight w:val="none"/>
          <w14:textFill>
            <w14:solidFill>
              <w14:schemeClr w14:val="tx1"/>
            </w14:solidFill>
          </w14:textFill>
        </w:rPr>
        <w:t>样品的报送与封存</w:t>
      </w:r>
    </w:p>
    <w:p w14:paraId="3EDE796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需要承包人报送样品的材料或工程设备，样品的种类、名称、规格、数量要求：</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承包人采购的材料设备要满足设计和规范及标准的要求，并提供产品合格证明及检验资料，并需经发包人、监理认可后方可使用。发包人委托监理单位对工程所使用的各种材料、设备进行监督、检查</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634C92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8.8 施工设备和临时设施</w:t>
      </w:r>
    </w:p>
    <w:p w14:paraId="54DCB66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8.8.1 承包人提供的施工设备和临时设施</w:t>
      </w:r>
    </w:p>
    <w:p w14:paraId="58AB3F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关于修建临时设施费用承担的约定：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由承包人自行解决，费用包含在投标报价中，由承包人承担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221058E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683" w:name="_Toc351203641"/>
      <w:r>
        <w:rPr>
          <w:rFonts w:hint="eastAsia" w:ascii="宋体" w:hAnsi="宋体" w:eastAsia="宋体" w:cs="宋体"/>
          <w:snapToGrid w:val="0"/>
          <w:color w:val="000000" w:themeColor="text1"/>
          <w:sz w:val="24"/>
          <w:szCs w:val="24"/>
          <w:highlight w:val="none"/>
          <w14:textFill>
            <w14:solidFill>
              <w14:schemeClr w14:val="tx1"/>
            </w14:solidFill>
          </w14:textFill>
        </w:rPr>
        <w:t>9</w:t>
      </w:r>
      <w:bookmarkEnd w:id="662"/>
      <w:bookmarkEnd w:id="663"/>
      <w:bookmarkEnd w:id="664"/>
      <w:bookmarkStart w:id="684" w:name="_Toc297123533"/>
      <w:bookmarkStart w:id="685" w:name="_Toc300934982"/>
      <w:bookmarkStart w:id="686" w:name="_Toc312678021"/>
      <w:bookmarkStart w:id="687" w:name="_Toc312677495"/>
      <w:bookmarkStart w:id="688" w:name="_Toc297216192"/>
      <w:bookmarkStart w:id="689" w:name="_Toc303539139"/>
      <w:bookmarkStart w:id="690" w:name="_Toc304295559"/>
      <w:bookmarkStart w:id="691" w:name="_Toc296891001"/>
      <w:bookmarkStart w:id="692" w:name="_Toc296944512"/>
      <w:bookmarkStart w:id="693" w:name="_Toc296503173"/>
      <w:bookmarkStart w:id="694" w:name="_Toc296347172"/>
      <w:bookmarkStart w:id="695" w:name="_Toc296891213"/>
      <w:bookmarkStart w:id="696" w:name="_Toc267251428"/>
      <w:bookmarkStart w:id="697" w:name="_Toc297120473"/>
      <w:bookmarkStart w:id="698" w:name="_Toc267251427"/>
      <w:bookmarkStart w:id="699" w:name="_Toc296346674"/>
      <w:bookmarkStart w:id="700" w:name="_Toc297048359"/>
      <w:bookmarkStart w:id="701" w:name="_Toc292559883"/>
      <w:bookmarkStart w:id="702" w:name="_Toc292559378"/>
      <w:r>
        <w:rPr>
          <w:rFonts w:hint="eastAsia" w:ascii="宋体" w:hAnsi="宋体" w:eastAsia="宋体" w:cs="宋体"/>
          <w:snapToGrid w:val="0"/>
          <w:color w:val="000000" w:themeColor="text1"/>
          <w:sz w:val="24"/>
          <w:szCs w:val="24"/>
          <w:highlight w:val="none"/>
          <w14:textFill>
            <w14:solidFill>
              <w14:schemeClr w14:val="tx1"/>
            </w14:solidFill>
          </w14:textFill>
        </w:rPr>
        <w:t>. 试验与检验</w:t>
      </w:r>
      <w:bookmarkEnd w:id="683"/>
    </w:p>
    <w:bookmarkEnd w:id="684"/>
    <w:bookmarkEnd w:id="685"/>
    <w:bookmarkEnd w:id="686"/>
    <w:bookmarkEnd w:id="687"/>
    <w:bookmarkEnd w:id="688"/>
    <w:bookmarkEnd w:id="689"/>
    <w:bookmarkEnd w:id="690"/>
    <w:p w14:paraId="64540F5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9</w:t>
      </w:r>
      <w:bookmarkStart w:id="703" w:name="_Toc300934983"/>
      <w:bookmarkStart w:id="704" w:name="_Toc312677496"/>
      <w:bookmarkStart w:id="705" w:name="_Toc303539140"/>
      <w:bookmarkStart w:id="706" w:name="_Toc304295560"/>
      <w:bookmarkStart w:id="707" w:name="_Toc297123534"/>
      <w:bookmarkStart w:id="708" w:name="_Toc312678022"/>
      <w:bookmarkStart w:id="709" w:name="_Toc297216193"/>
      <w:r>
        <w:rPr>
          <w:rFonts w:hint="eastAsia" w:ascii="宋体" w:hAnsi="宋体" w:eastAsia="宋体" w:cs="宋体"/>
          <w:snapToGrid w:val="0"/>
          <w:color w:val="000000" w:themeColor="text1"/>
          <w:sz w:val="24"/>
          <w:szCs w:val="24"/>
          <w:highlight w:val="none"/>
          <w14:textFill>
            <w14:solidFill>
              <w14:schemeClr w14:val="tx1"/>
            </w14:solidFill>
          </w14:textFill>
        </w:rPr>
        <w:t>.1试验设备与试验人员</w:t>
      </w:r>
    </w:p>
    <w:bookmarkEnd w:id="703"/>
    <w:bookmarkEnd w:id="704"/>
    <w:bookmarkEnd w:id="705"/>
    <w:bookmarkEnd w:id="706"/>
    <w:bookmarkEnd w:id="707"/>
    <w:bookmarkEnd w:id="708"/>
    <w:bookmarkEnd w:id="709"/>
    <w:p w14:paraId="75281E1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9</w:t>
      </w:r>
      <w:bookmarkStart w:id="710" w:name="_Toc297216194"/>
      <w:bookmarkStart w:id="711" w:name="_Toc303539141"/>
      <w:bookmarkStart w:id="712" w:name="_Toc304295561"/>
      <w:bookmarkStart w:id="713" w:name="_Toc297123535"/>
      <w:bookmarkStart w:id="714" w:name="_Toc312677497"/>
      <w:bookmarkStart w:id="715" w:name="_Toc312678023"/>
      <w:bookmarkStart w:id="716" w:name="_Toc300934984"/>
      <w:bookmarkStart w:id="717" w:name="_Toc318581174"/>
      <w:r>
        <w:rPr>
          <w:rFonts w:hint="eastAsia" w:ascii="宋体" w:hAnsi="宋体" w:eastAsia="宋体" w:cs="宋体"/>
          <w:snapToGrid w:val="0"/>
          <w:color w:val="000000" w:themeColor="text1"/>
          <w:sz w:val="24"/>
          <w:szCs w:val="24"/>
          <w:highlight w:val="none"/>
          <w14:textFill>
            <w14:solidFill>
              <w14:schemeClr w14:val="tx1"/>
            </w14:solidFill>
          </w14:textFill>
        </w:rPr>
        <w:t>.1.2 试验设备</w:t>
      </w:r>
    </w:p>
    <w:p w14:paraId="6FA2CD3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施工现场需要配置的试验场所：</w:t>
      </w:r>
      <w:bookmarkEnd w:id="710"/>
      <w:bookmarkEnd w:id="711"/>
      <w:bookmarkEnd w:id="712"/>
      <w:bookmarkEnd w:id="713"/>
      <w:bookmarkEnd w:id="714"/>
      <w:bookmarkEnd w:id="715"/>
      <w:bookmarkEnd w:id="716"/>
      <w:bookmarkStart w:id="718" w:name="_Toc312677498"/>
      <w:bookmarkStart w:id="719" w:name="_Toc312678024"/>
      <w:bookmarkStart w:id="720" w:name="_Toc303539142"/>
      <w:bookmarkStart w:id="721" w:name="_Toc304295562"/>
      <w:bookmarkStart w:id="722" w:name="_Toc297216195"/>
      <w:bookmarkStart w:id="723" w:name="_Toc297123536"/>
      <w:bookmarkStart w:id="724" w:name="_Toc300934985"/>
      <w:r>
        <w:rPr>
          <w:rFonts w:hint="eastAsia" w:ascii="宋体" w:hAnsi="宋体" w:eastAsia="宋体" w:cs="宋体"/>
          <w:snapToGrid w:val="0"/>
          <w:color w:val="000000" w:themeColor="text1"/>
          <w:sz w:val="24"/>
          <w:szCs w:val="24"/>
          <w:highlight w:val="none"/>
          <w:u w:val="single"/>
          <w14:textFill>
            <w14:solidFill>
              <w14:schemeClr w14:val="tx1"/>
            </w14:solidFill>
          </w14:textFill>
        </w:rPr>
        <w:t>根据规定和实际确定。</w:t>
      </w:r>
    </w:p>
    <w:p w14:paraId="2ED3CF2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施工现场需要配备的试验设备：</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根据规定和实际确定。</w:t>
      </w:r>
    </w:p>
    <w:p w14:paraId="5F1AAF3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施工现场需要具备的其他试验条件：</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根据规定和实际确定。</w:t>
      </w:r>
    </w:p>
    <w:p w14:paraId="46A94CA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9.4 现场工艺试验</w:t>
      </w:r>
    </w:p>
    <w:p w14:paraId="4C107C8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现场工艺试验的有关约定：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717"/>
    <w:bookmarkEnd w:id="718"/>
    <w:bookmarkEnd w:id="719"/>
    <w:bookmarkEnd w:id="720"/>
    <w:bookmarkEnd w:id="721"/>
    <w:bookmarkEnd w:id="722"/>
    <w:bookmarkEnd w:id="723"/>
    <w:bookmarkEnd w:id="724"/>
    <w:p w14:paraId="6CCE967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725" w:name="_Toc351203642"/>
      <w:r>
        <w:rPr>
          <w:rFonts w:hint="eastAsia" w:ascii="宋体" w:hAnsi="宋体" w:eastAsia="宋体" w:cs="宋体"/>
          <w:snapToGrid w:val="0"/>
          <w:color w:val="000000" w:themeColor="text1"/>
          <w:sz w:val="24"/>
          <w:szCs w:val="24"/>
          <w:highlight w:val="none"/>
          <w14:textFill>
            <w14:solidFill>
              <w14:schemeClr w14:val="tx1"/>
            </w14:solidFill>
          </w14:textFill>
        </w:rPr>
        <w:t>1</w:t>
      </w:r>
      <w:bookmarkEnd w:id="691"/>
      <w:bookmarkEnd w:id="692"/>
      <w:bookmarkEnd w:id="693"/>
      <w:bookmarkEnd w:id="694"/>
      <w:bookmarkEnd w:id="695"/>
      <w:bookmarkEnd w:id="696"/>
      <w:bookmarkEnd w:id="697"/>
      <w:bookmarkEnd w:id="698"/>
      <w:bookmarkEnd w:id="699"/>
      <w:bookmarkEnd w:id="700"/>
      <w:bookmarkEnd w:id="701"/>
      <w:bookmarkEnd w:id="702"/>
      <w:bookmarkStart w:id="726" w:name="_Toc297120493"/>
      <w:bookmarkStart w:id="727" w:name="_Toc296944532"/>
      <w:bookmarkStart w:id="728" w:name="_Toc304295566"/>
      <w:bookmarkStart w:id="729" w:name="_Toc296891021"/>
      <w:bookmarkStart w:id="730" w:name="_Toc296503193"/>
      <w:bookmarkStart w:id="731" w:name="_Toc303539146"/>
      <w:bookmarkStart w:id="732" w:name="_Toc297048379"/>
      <w:bookmarkStart w:id="733" w:name="_Toc296891233"/>
      <w:bookmarkStart w:id="734" w:name="_Toc297216199"/>
      <w:bookmarkStart w:id="735" w:name="_Toc296346694"/>
      <w:bookmarkStart w:id="736" w:name="_Toc297123540"/>
      <w:bookmarkStart w:id="737" w:name="_Toc292559903"/>
      <w:bookmarkStart w:id="738" w:name="_Toc296347192"/>
      <w:bookmarkStart w:id="739" w:name="_Toc292559398"/>
      <w:bookmarkStart w:id="740" w:name="_Toc300934989"/>
      <w:bookmarkStart w:id="741" w:name="_Toc312678025"/>
      <w:bookmarkStart w:id="742" w:name="_Toc312677499"/>
      <w:bookmarkStart w:id="743" w:name="_Toc267251433"/>
      <w:bookmarkStart w:id="744" w:name="_Toc267251441"/>
      <w:bookmarkStart w:id="745" w:name="_Toc267251440"/>
      <w:bookmarkStart w:id="746" w:name="_Toc267251437"/>
      <w:bookmarkStart w:id="747" w:name="_Toc267251435"/>
      <w:bookmarkStart w:id="748" w:name="_Toc267251439"/>
      <w:bookmarkStart w:id="749" w:name="_Toc267251442"/>
      <w:r>
        <w:rPr>
          <w:rFonts w:hint="eastAsia" w:ascii="宋体" w:hAnsi="宋体" w:eastAsia="宋体" w:cs="宋体"/>
          <w:snapToGrid w:val="0"/>
          <w:color w:val="000000" w:themeColor="text1"/>
          <w:sz w:val="24"/>
          <w:szCs w:val="24"/>
          <w:highlight w:val="none"/>
          <w14:textFill>
            <w14:solidFill>
              <w14:schemeClr w14:val="tx1"/>
            </w14:solidFill>
          </w14:textFill>
        </w:rPr>
        <w:t>0. 变更</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bookmarkEnd w:id="741"/>
    <w:bookmarkEnd w:id="742"/>
    <w:p w14:paraId="1406671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Start w:id="750" w:name="_Toc296944533"/>
      <w:bookmarkStart w:id="751" w:name="_Toc296891234"/>
      <w:bookmarkStart w:id="752" w:name="_Toc312678026"/>
      <w:bookmarkStart w:id="753" w:name="_Toc304295567"/>
      <w:bookmarkStart w:id="754" w:name="_Toc292559399"/>
      <w:bookmarkStart w:id="755" w:name="_Toc297048380"/>
      <w:bookmarkStart w:id="756" w:name="_Toc297120494"/>
      <w:bookmarkStart w:id="757" w:name="_Toc312677500"/>
      <w:bookmarkStart w:id="758" w:name="_Toc292559904"/>
      <w:bookmarkStart w:id="759" w:name="_Toc296891022"/>
      <w:bookmarkStart w:id="760" w:name="_Toc296503194"/>
      <w:bookmarkStart w:id="761" w:name="_Toc297123541"/>
      <w:bookmarkStart w:id="762" w:name="_Toc297216200"/>
      <w:bookmarkStart w:id="763" w:name="_Toc296346695"/>
      <w:bookmarkStart w:id="764" w:name="_Toc303539147"/>
      <w:bookmarkStart w:id="765" w:name="_Toc300934990"/>
      <w:bookmarkStart w:id="766" w:name="_Toc296347193"/>
      <w:r>
        <w:rPr>
          <w:rFonts w:hint="eastAsia" w:ascii="宋体" w:hAnsi="宋体" w:eastAsia="宋体" w:cs="宋体"/>
          <w:snapToGrid w:val="0"/>
          <w:color w:val="000000" w:themeColor="text1"/>
          <w:sz w:val="24"/>
          <w:szCs w:val="24"/>
          <w:highlight w:val="none"/>
          <w14:textFill>
            <w14:solidFill>
              <w14:schemeClr w14:val="tx1"/>
            </w14:solidFill>
          </w14:textFill>
        </w:rPr>
        <w:t>0.1变更的范围</w:t>
      </w:r>
    </w:p>
    <w:p w14:paraId="78BD5F1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关于变更的范围的约定：</w:t>
      </w:r>
    </w:p>
    <w:p w14:paraId="121F6D5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（1）发包人书面认可的工程设计变更；</w:t>
      </w:r>
    </w:p>
    <w:p w14:paraId="589D105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（2）发包人、监理人和审计部门均书面认可的签证；</w:t>
      </w:r>
    </w:p>
    <w:p w14:paraId="6C26947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（3）工程量清单存在的错误和漏项，对施工工艺、顺序和时间的改变，施工条件发生改变，为完成合同工程所需要追加的额外工作等</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68B471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10.4 变更估价</w:t>
      </w:r>
    </w:p>
    <w:p w14:paraId="140C06C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10.4.1 变更估价原则</w:t>
      </w:r>
    </w:p>
    <w:p w14:paraId="71C92A7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关于变更估价的约定: </w:t>
      </w:r>
    </w:p>
    <w:p w14:paraId="2DB91CD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（1）已标价工程量清单有相同项目的，按照相同项目单价认定；</w:t>
      </w:r>
    </w:p>
    <w:p w14:paraId="7FAD755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（2）已标价工程量清单中无相同项目，但有类似项目的，参照类似项目的单价认定；</w:t>
      </w:r>
    </w:p>
    <w:p w14:paraId="5AF3D3F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（3）变更导致实际完成的变更工程量与已标价工程量清单中列明的该项目工程量的变化幅度超过正15 %的，超过部分综合单价由施工单位上报，监理、审计和发包人审核确定；</w:t>
      </w:r>
    </w:p>
    <w:p w14:paraId="750D8C1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4）已标价工程量清单中没有适用也没有类似于变更工程项目的，由承包人根据变更工程资料（施工图变更文件和项目监理人批复的工程变更施工方案）、计量规则和计价办法、南京工程造价管理的信息价格（变更当月）提出变更工程项目的单价，各项优惠均按投标报价标准执行，报发包人及跟踪审计单位确认；</w:t>
      </w:r>
    </w:p>
    <w:p w14:paraId="72A5A6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（5）材料变更时价格确定：</w:t>
      </w:r>
    </w:p>
    <w:p w14:paraId="424F28C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①承包人材料价格明细表已有的材料，根据承包人材料价格明细表所列的材料单价计算；如承包人投标文件分部分项工程综合单价分析表中的材料价格与乙供材料表中单价不一致，以有利于发包人的原则确定该材料价格。</w:t>
      </w:r>
    </w:p>
    <w:p w14:paraId="6D76F47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②承包人材料价格明细表中没有的材料，且南京工程造价管理机构发布的信息价格缺失的，材料价格由发包人、承包人、跟踪审计单位共同询价确认材料价后，按（3）款办法确认单价（询价材料不再下浮）。承包人不得以任何理由拒绝询价结果，否则认为承包人违约，发包人有权将涉及到此材料的分部分项工程量以不高于询价结果的材料价按本条目第（4）款组价后指定分包给有能力承担此项工程的其他承包人。</w:t>
      </w:r>
    </w:p>
    <w:p w14:paraId="2C4786A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③如承包人材料价格明细表中已有的材料，在建设过程中因市场原因无法采购，而发生材料代用时，由承包人呈报价格，经跟踪审计、发包人批准后的价格为准，超出原材料价款的费用由承包方承担。</w:t>
      </w:r>
    </w:p>
    <w:p w14:paraId="3DCE431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④因发包人原因造成材料代换时，须由承包人呈报价格经设计、跟踪审计、发包人审核确定该材料价格，否则材料代换发生的价格变化不予调整。</w:t>
      </w:r>
    </w:p>
    <w:p w14:paraId="295BA77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⑤为了更好保证工程质量，双方约定合同价款其它调整因素：本工程所有给定暂定价的材料，均为甲控乙供材料，由投标人按暂定单价报价，施工过程中所有甲控乙供材料的质量、规格、品牌及价格等均需由跟踪审计、发包人确定认可后，方可采购，并按确认价格进行调整。否则，工程结算该单价不予认可。</w:t>
      </w:r>
    </w:p>
    <w:p w14:paraId="50944A1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6）工程变更引起施工方案改变，并使措施项目发生变化的，承包人提出调整措施项目费的，应事先将拟实施的方案提交监理人及发包人确认，并详细说明与原方案措施项目相比的变化情况。拟实施的方案经发监理人及发包人确认后执行。该情况下，应按照下列规定调整措施项目费：</w:t>
      </w:r>
    </w:p>
    <w:p w14:paraId="6B19577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①安全文明施工费与按省级标化要求实施的增加费，按照结算调整后的计价基数与投标报价费率调整；</w:t>
      </w:r>
    </w:p>
    <w:p w14:paraId="7C2C416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②采用单价计算的措施项目费，按照实际发生变化的措施项目按本条目第（4）款确定单价；</w:t>
      </w:r>
    </w:p>
    <w:p w14:paraId="1C96C49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③按总价（系数）计算的措施项目费，按照实际发生变化的措施项目调整，但应考虑承包人报价因素，即调整按照实际调整金额乘以承包人投标报价费率计算；</w:t>
      </w:r>
    </w:p>
    <w:p w14:paraId="624E65C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④如果承包人未事先将拟实施的方案提交给发包人确认，则视为工程变更不引起措施项目费的调整或承包人放弃调整措施项目费的权利。</w:t>
      </w:r>
    </w:p>
    <w:p w14:paraId="227758B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注：仅施工方案改变，并使措施项目发生变化的，措施项目费不作调整。</w:t>
      </w:r>
    </w:p>
    <w:p w14:paraId="100821B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7）对投标人所列的措施项目，承包人应在投标报价时根据工程实际与施工组织设计进行增补。结算时，承包人不得以招标工程措施项目清单缺项为由要求新增措施项目。承包人自行施工工程内容所有专项检测费用均由承包人自行承担，已包含在本合同内。</w:t>
      </w:r>
    </w:p>
    <w:p w14:paraId="2E476F8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10.4.3变更其他约定</w:t>
      </w:r>
    </w:p>
    <w:p w14:paraId="670D50B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（1）发包人保留变更或调整工程量的权力，承包人不得拒绝变更，拒绝执行变更视为违约，更不得以变更为由提出不合理的要求。</w:t>
      </w:r>
    </w:p>
    <w:p w14:paraId="5C289A6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（2）承包人必须按发包人要求完成变更工作，否则发包人有权交由第三方承包商完成，并按第三方承包商报价的双倍作为违约金扣减承包人的合同价款。</w:t>
      </w:r>
    </w:p>
    <w:p w14:paraId="1411007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（3）变更导致工期的顺延以监理工程师审核、发包人批准为准。</w:t>
      </w:r>
    </w:p>
    <w:p w14:paraId="25537A7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（4）承包人提出的工程变更申请必须严格按照发包人规定的工程变更管理流程执行，涉及主体结构的变更内容必须经设计单位确认。</w:t>
      </w:r>
    </w:p>
    <w:p w14:paraId="095EE48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5）设计单位出具的设计变更必须得到发包人的批准。承包人不得直接从设计单位取得设计变更，设计单位和施工单位不得擅自变更工程内容，否则发包人有权追究二者责任。由此增加的工程费用由承包人承担，工期不予顺延。</w:t>
      </w:r>
    </w:p>
    <w:p w14:paraId="0A1BDA1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6）针对工程量发生变化的隐蔽工程及发包人提出的对已完成的分项工程进行变更，承包人应在施工前将施工方案报发包人及监理工程师确认；对于有可能重复利用的材料设备，承包人应小心保护，属承包人拆除时未采取保护措施或拆除后保护不当的，由承包人负责赔偿损失。</w:t>
      </w:r>
    </w:p>
    <w:p w14:paraId="5934929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7）办理签证时，变更、签证结算费用编制应按“一单一价”的原则，即每一份变更、签证附一份造价核定单。一份造价核定单上只能申报一项内容。签证原件一式五份，发包人一份、承包人保留二份，监理保留一份，造价跟踪审计单位保留一份。</w:t>
      </w:r>
    </w:p>
    <w:p w14:paraId="0BAF477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8）为避免签证出现混乱、重复结算，承包人在办理签证时必须明确每份签证的具体原因、施工部位、施工时间、签证的编号等，否则，该签证为无效签证。发包人、监理、审计方、施工方应该定期核对整理此内容并做好记录。</w:t>
      </w:r>
    </w:p>
    <w:p w14:paraId="4572C74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9）当月发生的签证（或变更）应当当月完成签证手续，一事一报，并附相应的影像资料。（对于每月下旬出现的应当在下月中旬完成）；如有金额较大的签证（或变更）或有争议的签证完成时间另行协商处理。</w:t>
      </w:r>
    </w:p>
    <w:p w14:paraId="55C65D8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(10) 涉及造价、工期延长的签证必须按发包人相关流程确认，且必须有监理工程师、跟踪审计及发包人现场代表签字并加盖监理单位、跟踪审计、发包人章方有效。</w:t>
      </w:r>
    </w:p>
    <w:p w14:paraId="09BEB3F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11）按总监理工程师确认的格式每月25日前将上月已完成工作量提交监理与发包方。发包人根据监理签署的已完合格工程量计量及工程款支付凭证支付进度款（该工程款支付凭证不作为每月工程量的结算凭证）。监理工程师确认的工程量必须为已完成并经监理验收合格的工程量。</w:t>
      </w:r>
    </w:p>
    <w:p w14:paraId="1514165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（12）本工程实行施工全过程跟踪审计，所有涉及确定工程造价方面的资料（含所有的变更签证资料）必须经过跟踪审计单位的书面确认后方可作为竣工之后价款结算的依据。</w:t>
      </w:r>
    </w:p>
    <w:p w14:paraId="1A84A90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（13）工程量确认需：承包人、发包人、监理及跟踪审计四方签字确认方可作为结算依据。</w:t>
      </w:r>
    </w:p>
    <w:p w14:paraId="18011B8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（14）施工中非经设计单位、发包人、监理单位认可，承包人不得对原工程设计进行变更。因承包人擅自变更设计发生的费用和由此导致发包人的直接损失，由承包人承担，延误的工期不予顺延。</w:t>
      </w:r>
    </w:p>
    <w:p w14:paraId="7B9ADC2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15）承包人在施工中提出的合理化建议涉及到对设计图纸或施工组织设计的更改及对材料、设备的换用，须经发包人和设计人同意。未经同意擅自更改或换用时，承包人承担由此发生的费用，并赔偿发包人的有关损失，延误的工期不予顺延。</w:t>
      </w:r>
    </w:p>
    <w:p w14:paraId="07A3EF4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67" w:name="_Toc303539150"/>
      <w:bookmarkStart w:id="768" w:name="_Toc300934993"/>
      <w:bookmarkStart w:id="769" w:name="_Toc296347196"/>
      <w:bookmarkStart w:id="770" w:name="_Toc296503197"/>
      <w:bookmarkStart w:id="771" w:name="_Toc297123544"/>
      <w:bookmarkStart w:id="772" w:name="_Toc296891237"/>
      <w:bookmarkStart w:id="773" w:name="_Toc297048383"/>
      <w:bookmarkStart w:id="774" w:name="_Toc297216203"/>
      <w:bookmarkStart w:id="775" w:name="_Toc296346698"/>
      <w:bookmarkStart w:id="776" w:name="_Toc292559907"/>
      <w:bookmarkStart w:id="777" w:name="_Toc297120497"/>
      <w:bookmarkStart w:id="778" w:name="_Toc296891025"/>
      <w:bookmarkStart w:id="779" w:name="_Toc296944536"/>
      <w:bookmarkStart w:id="780" w:name="_Toc292559402"/>
      <w:bookmarkStart w:id="781" w:name="_Toc312677503"/>
      <w:bookmarkStart w:id="782" w:name="_Toc304295570"/>
      <w:bookmarkStart w:id="783" w:name="_Toc312678029"/>
      <w:r>
        <w:rPr>
          <w:rFonts w:hint="eastAsia" w:ascii="宋体" w:hAnsi="宋体" w:eastAsia="宋体" w:cs="宋体"/>
          <w:snapToGrid w:val="0"/>
          <w:color w:val="000000" w:themeColor="text1"/>
          <w:sz w:val="24"/>
          <w:szCs w:val="24"/>
          <w:highlight w:val="none"/>
          <w14:textFill>
            <w14:solidFill>
              <w14:schemeClr w14:val="tx1"/>
            </w14:solidFill>
          </w14:textFill>
        </w:rPr>
        <w:t>0.5承</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Start w:id="784" w:name="_Toc297123545"/>
      <w:bookmarkStart w:id="785" w:name="_Toc296346704"/>
      <w:bookmarkStart w:id="786" w:name="_Toc296891031"/>
      <w:bookmarkStart w:id="787" w:name="_Toc296891243"/>
      <w:bookmarkStart w:id="788" w:name="_Toc296347202"/>
      <w:bookmarkStart w:id="789" w:name="_Toc297120503"/>
      <w:bookmarkStart w:id="790" w:name="_Toc292559913"/>
      <w:bookmarkStart w:id="791" w:name="_Toc296944542"/>
      <w:bookmarkStart w:id="792" w:name="_Toc296503203"/>
      <w:bookmarkStart w:id="793" w:name="_Toc297048389"/>
      <w:bookmarkStart w:id="794" w:name="_Toc300934994"/>
      <w:bookmarkStart w:id="795" w:name="_Toc292559408"/>
      <w:bookmarkStart w:id="796" w:name="_Toc303539151"/>
      <w:bookmarkStart w:id="797" w:name="_Toc297216204"/>
      <w:r>
        <w:rPr>
          <w:rFonts w:hint="eastAsia" w:ascii="宋体" w:hAnsi="宋体" w:eastAsia="宋体" w:cs="宋体"/>
          <w:snapToGrid w:val="0"/>
          <w:color w:val="000000" w:themeColor="text1"/>
          <w:sz w:val="24"/>
          <w:szCs w:val="24"/>
          <w:highlight w:val="none"/>
          <w14:textFill>
            <w14:solidFill>
              <w14:schemeClr w14:val="tx1"/>
            </w14:solidFill>
          </w14:textFill>
        </w:rPr>
        <w:t>包人的合理化建议</w:t>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7937BB3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监理人审查承包人合理化建议的期限：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3天</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82D9E4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发包人审批承包人合理化建议的期限：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3天</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2663B4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w:t>
      </w:r>
      <w:bookmarkStart w:id="798" w:name="_Toc296944543"/>
      <w:bookmarkStart w:id="799" w:name="_Toc292559409"/>
      <w:bookmarkStart w:id="800" w:name="_Toc300934995"/>
      <w:bookmarkStart w:id="801" w:name="_Toc296346705"/>
      <w:bookmarkStart w:id="802" w:name="_Toc292559914"/>
      <w:bookmarkStart w:id="803" w:name="_Toc312678030"/>
      <w:bookmarkStart w:id="804" w:name="_Toc296891032"/>
      <w:bookmarkStart w:id="805" w:name="_Toc297048390"/>
      <w:bookmarkStart w:id="806" w:name="_Toc296503204"/>
      <w:bookmarkStart w:id="807" w:name="_Toc312677504"/>
      <w:bookmarkStart w:id="808" w:name="_Toc297120504"/>
      <w:bookmarkStart w:id="809" w:name="_Toc297123546"/>
      <w:bookmarkStart w:id="810" w:name="_Toc304295571"/>
      <w:bookmarkStart w:id="811" w:name="_Toc296347203"/>
      <w:bookmarkStart w:id="812" w:name="_Toc297216205"/>
      <w:bookmarkStart w:id="813" w:name="_Toc318581175"/>
      <w:bookmarkStart w:id="814" w:name="_Toc296891244"/>
      <w:bookmarkStart w:id="815" w:name="_Toc303539152"/>
      <w:r>
        <w:rPr>
          <w:rFonts w:hint="eastAsia" w:ascii="宋体" w:hAnsi="宋体" w:eastAsia="宋体" w:cs="宋体"/>
          <w:snapToGrid w:val="0"/>
          <w:color w:val="000000" w:themeColor="text1"/>
          <w:sz w:val="24"/>
          <w:szCs w:val="24"/>
          <w:highlight w:val="none"/>
          <w14:textFill>
            <w14:solidFill>
              <w14:schemeClr w14:val="tx1"/>
            </w14:solidFill>
          </w14:textFill>
        </w:rPr>
        <w:t>包人提出的合理化建议降低了合同价格或者提高了工程经济效益的奖励的方法和金额为：视情给予适当奖励。</w:t>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14:paraId="5E8A2E3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Start w:id="816" w:name="_Toc296891027"/>
      <w:bookmarkStart w:id="817" w:name="_Toc296891239"/>
      <w:bookmarkStart w:id="818" w:name="_Toc312678033"/>
      <w:bookmarkStart w:id="819" w:name="_Toc292559909"/>
      <w:bookmarkStart w:id="820" w:name="_Toc296503199"/>
      <w:bookmarkStart w:id="821" w:name="_Toc292559404"/>
      <w:bookmarkStart w:id="822" w:name="_Toc297048385"/>
      <w:bookmarkStart w:id="823" w:name="_Toc297120499"/>
      <w:bookmarkStart w:id="824" w:name="_Toc297216207"/>
      <w:bookmarkStart w:id="825" w:name="_Toc296944538"/>
      <w:bookmarkStart w:id="826" w:name="_Toc297123548"/>
      <w:bookmarkStart w:id="827" w:name="_Toc303539154"/>
      <w:bookmarkStart w:id="828" w:name="_Toc304295574"/>
      <w:bookmarkStart w:id="829" w:name="_Toc300934997"/>
      <w:bookmarkStart w:id="830" w:name="_Toc312677507"/>
      <w:bookmarkStart w:id="831" w:name="_Toc296346700"/>
      <w:bookmarkStart w:id="832" w:name="_Toc296347198"/>
      <w:r>
        <w:rPr>
          <w:rFonts w:hint="eastAsia" w:ascii="宋体" w:hAnsi="宋体" w:eastAsia="宋体" w:cs="宋体"/>
          <w:snapToGrid w:val="0"/>
          <w:color w:val="000000" w:themeColor="text1"/>
          <w:sz w:val="24"/>
          <w:szCs w:val="24"/>
          <w:highlight w:val="none"/>
          <w14:textFill>
            <w14:solidFill>
              <w14:schemeClr w14:val="tx1"/>
            </w14:solidFill>
          </w14:textFill>
        </w:rPr>
        <w:t>0.7 暂估价</w:t>
      </w:r>
    </w:p>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14:paraId="4AB71E5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暂</w:t>
      </w:r>
      <w:bookmarkStart w:id="833" w:name="_Toc312677508"/>
      <w:bookmarkStart w:id="834" w:name="_Toc318581176"/>
      <w:bookmarkStart w:id="835" w:name="_Toc312678034"/>
      <w:r>
        <w:rPr>
          <w:rFonts w:hint="eastAsia" w:ascii="宋体" w:hAnsi="宋体" w:eastAsia="宋体" w:cs="宋体"/>
          <w:snapToGrid w:val="0"/>
          <w:color w:val="000000" w:themeColor="text1"/>
          <w:sz w:val="24"/>
          <w:szCs w:val="24"/>
          <w:highlight w:val="none"/>
          <w14:textFill>
            <w14:solidFill>
              <w14:schemeClr w14:val="tx1"/>
            </w14:solidFill>
          </w14:textFill>
        </w:rPr>
        <w:t>估价材料和工程设备的明细详见附件11：《暂估价一览表》。</w:t>
      </w:r>
    </w:p>
    <w:bookmarkEnd w:id="833"/>
    <w:bookmarkEnd w:id="834"/>
    <w:bookmarkEnd w:id="835"/>
    <w:p w14:paraId="2B37D55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Start w:id="836" w:name="_Toc312678035"/>
      <w:bookmarkStart w:id="837" w:name="_Toc312677509"/>
      <w:bookmarkStart w:id="838" w:name="_Toc318581177"/>
      <w:r>
        <w:rPr>
          <w:rFonts w:hint="eastAsia" w:ascii="宋体" w:hAnsi="宋体" w:eastAsia="宋体" w:cs="宋体"/>
          <w:snapToGrid w:val="0"/>
          <w:color w:val="000000" w:themeColor="text1"/>
          <w:sz w:val="24"/>
          <w:szCs w:val="24"/>
          <w:highlight w:val="none"/>
          <w14:textFill>
            <w14:solidFill>
              <w14:schemeClr w14:val="tx1"/>
            </w14:solidFill>
          </w14:textFill>
        </w:rPr>
        <w:t>0.7.1 依法必须招标的暂估价项目</w:t>
      </w:r>
    </w:p>
    <w:bookmarkEnd w:id="836"/>
    <w:bookmarkEnd w:id="837"/>
    <w:bookmarkEnd w:id="838"/>
    <w:p w14:paraId="3F4C020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对于依法必须招标的暂估价项目的确认和批准采取第1种方式确定。</w:t>
      </w:r>
    </w:p>
    <w:p w14:paraId="4290EE4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10.7.2 不属于依法必须招标的暂估价项目</w:t>
      </w:r>
    </w:p>
    <w:p w14:paraId="6612B4E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对于不属于依法必须招标的暂估价项目的确认和批准采取第1种方式确定。</w:t>
      </w:r>
    </w:p>
    <w:p w14:paraId="71717B4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第3种方式：承包人直接实施的暂估价项目</w:t>
      </w:r>
    </w:p>
    <w:p w14:paraId="5244E61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承包人直接实施的暂估价项目的约定：。</w:t>
      </w:r>
    </w:p>
    <w:p w14:paraId="1295FFE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10.8 暂列金额</w:t>
      </w:r>
    </w:p>
    <w:p w14:paraId="0B9E890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合同当事人关于暂列金额使用的约定：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暂列金额应按照发包人的要求使用，发包人可直接发出或通过监理人发出</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6191B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839" w:name="_Toc351203643"/>
      <w:r>
        <w:rPr>
          <w:rFonts w:hint="eastAsia" w:ascii="宋体" w:hAnsi="宋体" w:eastAsia="宋体" w:cs="宋体"/>
          <w:snapToGrid w:val="0"/>
          <w:color w:val="000000" w:themeColor="text1"/>
          <w:sz w:val="24"/>
          <w:szCs w:val="24"/>
          <w:highlight w:val="none"/>
          <w14:textFill>
            <w14:solidFill>
              <w14:schemeClr w14:val="tx1"/>
            </w14:solidFill>
          </w14:textFill>
        </w:rPr>
        <w:t>11. 价格调整</w:t>
      </w:r>
      <w:bookmarkEnd w:id="839"/>
    </w:p>
    <w:p w14:paraId="603E9CE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840" w:name="_Toc296503201"/>
      <w:bookmarkStart w:id="841" w:name="_Toc300935000"/>
      <w:bookmarkStart w:id="842" w:name="_Toc304295577"/>
      <w:bookmarkStart w:id="843" w:name="_Toc297120501"/>
      <w:bookmarkStart w:id="844" w:name="_Toc312678039"/>
      <w:bookmarkStart w:id="845" w:name="_Toc296347200"/>
      <w:bookmarkStart w:id="846" w:name="_Toc297123550"/>
      <w:bookmarkStart w:id="847" w:name="_Toc296346702"/>
      <w:bookmarkStart w:id="848" w:name="_Toc296891029"/>
      <w:bookmarkStart w:id="849" w:name="_Toc297216209"/>
      <w:bookmarkStart w:id="850" w:name="_Toc292559911"/>
      <w:bookmarkStart w:id="851" w:name="_Toc297048387"/>
      <w:bookmarkStart w:id="852" w:name="_Toc303539157"/>
      <w:bookmarkStart w:id="853" w:name="_Toc296944540"/>
      <w:bookmarkStart w:id="854" w:name="_Toc296891241"/>
      <w:bookmarkStart w:id="855" w:name="_Toc292559406"/>
      <w:r>
        <w:rPr>
          <w:rFonts w:hint="eastAsia" w:ascii="宋体" w:hAnsi="宋体" w:eastAsia="宋体" w:cs="宋体"/>
          <w:snapToGrid w:val="0"/>
          <w:color w:val="000000" w:themeColor="text1"/>
          <w:sz w:val="24"/>
          <w:szCs w:val="24"/>
          <w:highlight w:val="none"/>
          <w14:textFill>
            <w14:solidFill>
              <w14:schemeClr w14:val="tx1"/>
            </w14:solidFill>
          </w14:textFill>
        </w:rPr>
        <w:t>11.1 市场价格波动引起的调整</w:t>
      </w:r>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14:paraId="177DE1F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市场价格波动是否调整合同价格的约定：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按照约定执行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743"/>
    <w:bookmarkEnd w:id="744"/>
    <w:bookmarkEnd w:id="745"/>
    <w:bookmarkEnd w:id="746"/>
    <w:bookmarkEnd w:id="747"/>
    <w:bookmarkEnd w:id="748"/>
    <w:p w14:paraId="09E59B7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856" w:name="_Toc297048391"/>
      <w:bookmarkStart w:id="857" w:name="_Toc296347204"/>
      <w:bookmarkStart w:id="858" w:name="_Toc296944544"/>
      <w:bookmarkStart w:id="859" w:name="_Toc296346706"/>
      <w:bookmarkStart w:id="860" w:name="_Toc292559410"/>
      <w:bookmarkStart w:id="861" w:name="_Toc296503205"/>
      <w:bookmarkStart w:id="862" w:name="_Toc297120505"/>
      <w:bookmarkStart w:id="863" w:name="_Toc296891245"/>
      <w:bookmarkStart w:id="864" w:name="_Toc296891033"/>
      <w:bookmarkStart w:id="865" w:name="_Toc292559915"/>
      <w:bookmarkStart w:id="866" w:name="_Toc351203644"/>
      <w:bookmarkStart w:id="867" w:name="_Toc300935002"/>
      <w:bookmarkStart w:id="868" w:name="_Toc297216211"/>
      <w:bookmarkStart w:id="869" w:name="_Toc297123552"/>
      <w:bookmarkStart w:id="870" w:name="_Toc312678040"/>
      <w:bookmarkStart w:id="871" w:name="_Toc304295579"/>
      <w:bookmarkStart w:id="872" w:name="_Toc303539159"/>
      <w:r>
        <w:rPr>
          <w:rFonts w:hint="eastAsia" w:ascii="宋体" w:hAnsi="宋体" w:eastAsia="宋体" w:cs="宋体"/>
          <w:snapToGrid w:val="0"/>
          <w:color w:val="000000" w:themeColor="text1"/>
          <w:sz w:val="24"/>
          <w:szCs w:val="24"/>
          <w:highlight w:val="none"/>
          <w14:textFill>
            <w14:solidFill>
              <w14:schemeClr w14:val="tx1"/>
            </w14:solidFill>
          </w14:textFill>
        </w:rPr>
        <w:t xml:space="preserve">12. </w:t>
      </w:r>
      <w:bookmarkEnd w:id="856"/>
      <w:bookmarkEnd w:id="857"/>
      <w:bookmarkEnd w:id="858"/>
      <w:bookmarkEnd w:id="859"/>
      <w:bookmarkEnd w:id="860"/>
      <w:bookmarkEnd w:id="861"/>
      <w:bookmarkEnd w:id="862"/>
      <w:bookmarkEnd w:id="863"/>
      <w:bookmarkEnd w:id="864"/>
      <w:bookmarkEnd w:id="865"/>
      <w:r>
        <w:rPr>
          <w:rFonts w:hint="eastAsia" w:ascii="宋体" w:hAnsi="宋体" w:eastAsia="宋体" w:cs="宋体"/>
          <w:snapToGrid w:val="0"/>
          <w:color w:val="000000" w:themeColor="text1"/>
          <w:sz w:val="24"/>
          <w:szCs w:val="24"/>
          <w:highlight w:val="none"/>
          <w14:textFill>
            <w14:solidFill>
              <w14:schemeClr w14:val="tx1"/>
            </w14:solidFill>
          </w14:textFill>
        </w:rPr>
        <w:t>合同价格、计量与支付</w:t>
      </w:r>
      <w:bookmarkEnd w:id="866"/>
    </w:p>
    <w:bookmarkEnd w:id="867"/>
    <w:bookmarkEnd w:id="868"/>
    <w:bookmarkEnd w:id="869"/>
    <w:bookmarkEnd w:id="870"/>
    <w:bookmarkEnd w:id="871"/>
    <w:bookmarkEnd w:id="872"/>
    <w:p w14:paraId="3C23933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873" w:name="_Toc292559916"/>
      <w:bookmarkStart w:id="874" w:name="_Toc292559411"/>
      <w:bookmarkStart w:id="875" w:name="_Toc267251461"/>
      <w:bookmarkStart w:id="876" w:name="_Toc297120506"/>
      <w:bookmarkStart w:id="877" w:name="_Toc296891034"/>
      <w:bookmarkStart w:id="878" w:name="_Toc296944545"/>
      <w:bookmarkStart w:id="879" w:name="_Toc296346707"/>
      <w:bookmarkStart w:id="880" w:name="_Toc296891246"/>
      <w:bookmarkStart w:id="881" w:name="_Toc296503206"/>
      <w:bookmarkStart w:id="882" w:name="_Toc297048392"/>
      <w:bookmarkStart w:id="883" w:name="_Toc296347205"/>
      <w:bookmarkStart w:id="884" w:name="_Toc297123553"/>
      <w:bookmarkStart w:id="885" w:name="_Toc300935003"/>
      <w:bookmarkStart w:id="886" w:name="_Toc297216212"/>
      <w:bookmarkStart w:id="887" w:name="_Toc303539160"/>
      <w:bookmarkStart w:id="888" w:name="_Toc304295580"/>
      <w:bookmarkStart w:id="889" w:name="_Toc312678041"/>
      <w:r>
        <w:rPr>
          <w:rFonts w:hint="eastAsia" w:ascii="宋体" w:hAnsi="宋体" w:eastAsia="宋体" w:cs="宋体"/>
          <w:snapToGrid w:val="0"/>
          <w:color w:val="000000" w:themeColor="text1"/>
          <w:sz w:val="24"/>
          <w:szCs w:val="24"/>
          <w:highlight w:val="none"/>
          <w14:textFill>
            <w14:solidFill>
              <w14:schemeClr w14:val="tx1"/>
            </w14:solidFill>
          </w14:textFill>
        </w:rPr>
        <w:t>12.1 合</w:t>
      </w:r>
      <w:bookmarkEnd w:id="873"/>
      <w:bookmarkEnd w:id="874"/>
      <w:bookmarkEnd w:id="875"/>
      <w:r>
        <w:rPr>
          <w:rFonts w:hint="eastAsia" w:ascii="宋体" w:hAnsi="宋体" w:eastAsia="宋体" w:cs="宋体"/>
          <w:snapToGrid w:val="0"/>
          <w:color w:val="000000" w:themeColor="text1"/>
          <w:sz w:val="24"/>
          <w:szCs w:val="24"/>
          <w:highlight w:val="none"/>
          <w14:textFill>
            <w14:solidFill>
              <w14:schemeClr w14:val="tx1"/>
            </w14:solidFill>
          </w14:textFill>
        </w:rPr>
        <w:t>同价</w:t>
      </w:r>
      <w:bookmarkEnd w:id="876"/>
      <w:bookmarkEnd w:id="877"/>
      <w:bookmarkEnd w:id="878"/>
      <w:bookmarkEnd w:id="879"/>
      <w:bookmarkEnd w:id="880"/>
      <w:bookmarkEnd w:id="881"/>
      <w:bookmarkEnd w:id="882"/>
      <w:bookmarkEnd w:id="883"/>
      <w:r>
        <w:rPr>
          <w:rFonts w:hint="eastAsia" w:ascii="宋体" w:hAnsi="宋体" w:eastAsia="宋体" w:cs="宋体"/>
          <w:snapToGrid w:val="0"/>
          <w:color w:val="000000" w:themeColor="text1"/>
          <w:sz w:val="24"/>
          <w:szCs w:val="24"/>
          <w:highlight w:val="none"/>
          <w14:textFill>
            <w14:solidFill>
              <w14:schemeClr w14:val="tx1"/>
            </w14:solidFill>
          </w14:textFill>
        </w:rPr>
        <w:t>格形式</w:t>
      </w:r>
    </w:p>
    <w:bookmarkEnd w:id="884"/>
    <w:bookmarkEnd w:id="885"/>
    <w:bookmarkEnd w:id="886"/>
    <w:bookmarkEnd w:id="887"/>
    <w:bookmarkEnd w:id="888"/>
    <w:bookmarkEnd w:id="889"/>
    <w:p w14:paraId="2237C68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1、单价合同。</w:t>
      </w:r>
    </w:p>
    <w:p w14:paraId="4B3D621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综合单价包含的风险范围：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除不可抗力原因之外的包含苏建价〔2008〕67 号文及政策性人工单价指导文件施工期间各类风险。材料和人工都包含在风险范围内。</w:t>
      </w:r>
    </w:p>
    <w:p w14:paraId="1DFF60B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风险费用的计算方法：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已包含在综合单价中</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9B5FBD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风险范围以外合同价格的调整方法：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如有甲供材料和甲供设备，甲供材料和甲供设备费用计取现场保管费后，在税前扣除；（2）以费率计算的总价措施费项目，费率不做调整；以项为单位计算的单价措施费项目，结算时单价不做调整；（3）安全文明施工费、规费按现行计价文件规定的费率标准调整；（4）税金按苏建函价〔2019〕178号文的费率标准调整；若以上调整办法与主管部门后续颁布文件不一致的，以主管部门最新颁布文件为准；（5）施工期间的设计变更和现场签证等，可根据发包人、承包人、监理签证认可的变更范围及预算书（发包人、承包人、监理单位、跟踪审计单位签字和盖章方可作为竣工结算的依据；签证单上必须明确签证的原因、位置、尺寸、数量、材料、人工、机械台班、价格等和签证时间)，对合同价款进行调整；（6）工程量按竣工时实际完成的工程量结算，参照10.4.1 变更估价原则确定；（7）不可竞争费用中的环境保护税竣工结算时按有权部门实际收取的规费调整，实际收取的规费是指项目建设需正常支付的规费。由于承包人管理等原因造成有权部门超额征收的部分和有权部门对本项目处罚性的征收部分均由承包人自行承担，竣工结算时承包人应提供相关缴费凭证，无相关缴费凭证的不予计取</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DB2647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综合单价包含的风险范围：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57C48BD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风险费用的计算方法：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0C65AA7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风险范围以外合同价格的调整方法：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p>
    <w:p w14:paraId="1E613EB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2、总价合同。</w:t>
      </w:r>
    </w:p>
    <w:p w14:paraId="740E158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总价包含的风险范围：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51286EC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风险费用的计算方法：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2147994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风险范围以外合同价格的调整方法：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6A311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3、其他价格方式：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5E8BAA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890" w:name="_Toc303539161"/>
      <w:bookmarkStart w:id="891" w:name="_Toc297216213"/>
      <w:bookmarkStart w:id="892" w:name="_Toc297123554"/>
      <w:bookmarkStart w:id="893" w:name="_Toc300935004"/>
      <w:bookmarkStart w:id="894" w:name="_Toc312678042"/>
      <w:bookmarkStart w:id="895" w:name="_Toc304295581"/>
      <w:bookmarkStart w:id="896" w:name="_Toc296347206"/>
      <w:bookmarkStart w:id="897" w:name="_Toc292559412"/>
      <w:bookmarkStart w:id="898" w:name="_Toc296891247"/>
      <w:bookmarkStart w:id="899" w:name="_Toc296891035"/>
      <w:bookmarkStart w:id="900" w:name="_Toc296503207"/>
      <w:bookmarkStart w:id="901" w:name="_Toc296944546"/>
      <w:bookmarkStart w:id="902" w:name="_Toc296346708"/>
      <w:bookmarkStart w:id="903" w:name="_Toc297120507"/>
      <w:bookmarkStart w:id="904" w:name="_Toc297048393"/>
      <w:bookmarkStart w:id="905" w:name="_Toc292559917"/>
      <w:r>
        <w:rPr>
          <w:rFonts w:hint="eastAsia" w:ascii="宋体" w:hAnsi="宋体" w:eastAsia="宋体" w:cs="宋体"/>
          <w:snapToGrid w:val="0"/>
          <w:color w:val="000000" w:themeColor="text1"/>
          <w:sz w:val="24"/>
          <w:szCs w:val="24"/>
          <w:highlight w:val="none"/>
          <w14:textFill>
            <w14:solidFill>
              <w14:schemeClr w14:val="tx1"/>
            </w14:solidFill>
          </w14:textFill>
        </w:rPr>
        <w:t>12.2 预付款</w:t>
      </w:r>
    </w:p>
    <w:bookmarkEnd w:id="890"/>
    <w:bookmarkEnd w:id="891"/>
    <w:bookmarkEnd w:id="892"/>
    <w:bookmarkEnd w:id="893"/>
    <w:bookmarkEnd w:id="894"/>
    <w:bookmarkEnd w:id="895"/>
    <w:p w14:paraId="6F86517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12.2.1 预付款的支付</w:t>
      </w:r>
    </w:p>
    <w:p w14:paraId="753B1A0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预付款支付比例或金额：</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0F2E3FA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预付款支付期限：</w:t>
      </w:r>
      <w:r>
        <w:rPr>
          <w:rFonts w:hint="eastAsia" w:ascii="宋体" w:hAnsi="宋体" w:eastAsia="宋体" w:cs="宋体"/>
          <w:snapToGrid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12572C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预付款扣回的方式：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E2D0B3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12.2.2 预付款担保</w:t>
      </w:r>
    </w:p>
    <w:p w14:paraId="6FEBB5E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承包人提交预付款担保的期限：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4B394A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预付款担保的形式为：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896"/>
    <w:bookmarkEnd w:id="897"/>
    <w:bookmarkEnd w:id="898"/>
    <w:bookmarkEnd w:id="899"/>
    <w:bookmarkEnd w:id="900"/>
    <w:bookmarkEnd w:id="901"/>
    <w:bookmarkEnd w:id="902"/>
    <w:bookmarkEnd w:id="903"/>
    <w:bookmarkEnd w:id="904"/>
    <w:bookmarkEnd w:id="905"/>
    <w:p w14:paraId="2000BC7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 计量</w:t>
      </w:r>
    </w:p>
    <w:p w14:paraId="041958E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12.3.1 计量原则</w:t>
      </w:r>
    </w:p>
    <w:p w14:paraId="6764D9F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工程量计算规则：</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按相关的国家标准、行业标准等为依据</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62D2A0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12.3.2 计量周期</w:t>
      </w:r>
    </w:p>
    <w:p w14:paraId="700F9DF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关于计量周期的约定：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每一周为一个计量周期，由监理方、跟踪审计例会前确认，每月做一次汇总，每月25日将当月完成的工程量报送监理方，由监理方、跟踪审计核准，发包人批准</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9DE195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12.3.3 单价合同的计量</w:t>
      </w:r>
    </w:p>
    <w:p w14:paraId="2641A9F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关于单价合同计量的约定：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承包人应于每月25日向监理人报送上月20日至当月19日已完成的工程量报告，并附具已完成工程量报表和有关资料；（2)监理人应在收到承包人提交的工程量报告后3天内完成对承包人提交的工程量报表针对其质量验收合格的审核，后将计量报告转交项目跟踪审计单位审核后报送发包人，以确定当月实际完成的工程量；（3）跟踪审计单位在收到承包人提交的工程量报表后的7天内完成审核，跟踪审计单位对工程量有异议的，有权要求承包人进行共同复核或抽样复测。承包人应协助跟踪审计单位进行复核或抽样复测，并按跟踪审计单位要求提供补充计量资料。承包人无故未按跟踪审计单位要求参加复核或抽样复测的，跟踪审计单位复核或修正的工程量视为承包人实际完成的工程量</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082342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12.3.4 总价合同的计量</w:t>
      </w:r>
    </w:p>
    <w:p w14:paraId="2B19553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关于总价合同计量的约定：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 </w:t>
      </w:r>
    </w:p>
    <w:p w14:paraId="00B288D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3765C3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12.3.6 其他价格形式合同的计量</w:t>
      </w:r>
    </w:p>
    <w:p w14:paraId="2CB8DD0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其他价格形式的计量方式和程序：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435FCF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12.4 工程进度款支付</w:t>
      </w:r>
    </w:p>
    <w:p w14:paraId="30AD09A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06" w:name="_Toc300935006"/>
      <w:bookmarkStart w:id="907" w:name="_Toc292559416"/>
      <w:bookmarkStart w:id="908" w:name="_Toc303539163"/>
      <w:bookmarkStart w:id="909" w:name="_Toc296347210"/>
      <w:bookmarkStart w:id="910" w:name="_Toc296503211"/>
      <w:bookmarkStart w:id="911" w:name="_Toc297123556"/>
      <w:bookmarkStart w:id="912" w:name="_Toc296944550"/>
      <w:bookmarkStart w:id="913" w:name="_Toc297120511"/>
      <w:bookmarkStart w:id="914" w:name="_Toc296346712"/>
      <w:bookmarkStart w:id="915" w:name="_Toc296891039"/>
      <w:bookmarkStart w:id="916" w:name="_Toc297216215"/>
      <w:bookmarkStart w:id="917" w:name="_Toc297048397"/>
      <w:bookmarkStart w:id="918" w:name="_Toc292559921"/>
      <w:bookmarkStart w:id="919" w:name="_Toc296891251"/>
      <w:r>
        <w:rPr>
          <w:rFonts w:hint="eastAsia" w:ascii="宋体" w:hAnsi="宋体" w:eastAsia="宋体" w:cs="宋体"/>
          <w:snapToGrid w:val="0"/>
          <w:color w:val="000000" w:themeColor="text1"/>
          <w:sz w:val="24"/>
          <w:szCs w:val="24"/>
          <w:highlight w:val="none"/>
          <w14:textFill>
            <w14:solidFill>
              <w14:schemeClr w14:val="tx1"/>
            </w14:solidFill>
          </w14:textFill>
        </w:rPr>
        <w:t>12.4.1 付款周期</w:t>
      </w:r>
    </w:p>
    <w:p w14:paraId="595CEF8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关于付款周期的约定：</w:t>
      </w:r>
    </w:p>
    <w:p w14:paraId="4EA6E298">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（1）工程款支付时间和方式：</w:t>
      </w:r>
    </w:p>
    <w:p w14:paraId="21C4A49B">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第一期：</w:t>
      </w:r>
      <w:r>
        <w:rPr>
          <w:rFonts w:hint="eastAsia" w:ascii="宋体" w:hAnsi="宋体" w:eastAsia="宋体" w:cs="Times New Roman"/>
          <w:color w:val="000000" w:themeColor="text1"/>
          <w:sz w:val="24"/>
          <w:szCs w:val="24"/>
          <w:highlight w:val="none"/>
          <w14:textFill>
            <w14:solidFill>
              <w14:schemeClr w14:val="tx1"/>
            </w14:solidFill>
          </w14:textFill>
        </w:rPr>
        <w:t>合同签订并缴纳履约保证金或保函后付至合同价的10%；</w:t>
      </w:r>
    </w:p>
    <w:p w14:paraId="7EC541E7">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第二期：</w:t>
      </w:r>
      <w:r>
        <w:rPr>
          <w:rFonts w:hint="eastAsia" w:ascii="宋体" w:hAnsi="宋体" w:eastAsia="宋体" w:cs="Times New Roman"/>
          <w:color w:val="000000" w:themeColor="text1"/>
          <w:sz w:val="24"/>
          <w:szCs w:val="24"/>
          <w:highlight w:val="none"/>
          <w14:textFill>
            <w14:solidFill>
              <w14:schemeClr w14:val="tx1"/>
            </w14:solidFill>
          </w14:textFill>
        </w:rPr>
        <w:t>工程结束并验收合格后付至合同价的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60</w:t>
      </w:r>
      <w:r>
        <w:rPr>
          <w:rFonts w:hint="eastAsia" w:ascii="宋体" w:hAnsi="宋体" w:eastAsia="宋体" w:cs="Times New Roman"/>
          <w:color w:val="000000" w:themeColor="text1"/>
          <w:sz w:val="24"/>
          <w:szCs w:val="24"/>
          <w:highlight w:val="none"/>
          <w14:textFill>
            <w14:solidFill>
              <w14:schemeClr w14:val="tx1"/>
            </w14:solidFill>
          </w14:textFill>
        </w:rPr>
        <w:t>%；</w:t>
      </w:r>
    </w:p>
    <w:p w14:paraId="13602916">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第三期：</w:t>
      </w:r>
      <w:r>
        <w:rPr>
          <w:rFonts w:hint="eastAsia" w:ascii="宋体" w:hAnsi="宋体" w:eastAsia="宋体" w:cs="Times New Roman"/>
          <w:color w:val="000000" w:themeColor="text1"/>
          <w:sz w:val="24"/>
          <w:szCs w:val="24"/>
          <w:highlight w:val="none"/>
          <w14:textFill>
            <w14:solidFill>
              <w14:schemeClr w14:val="tx1"/>
            </w14:solidFill>
          </w14:textFill>
        </w:rPr>
        <w:t>审计结束后付至审定价的 9</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w:t>
      </w:r>
    </w:p>
    <w:p w14:paraId="459E5726">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尾款：剩余3%的质量保修金在缺陷责任期满后15日内一次性支付完毕（无息）。</w:t>
      </w:r>
    </w:p>
    <w:p w14:paraId="6DA60456">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（2）结算审减率超过10%以上的，审核费用由施工单位承担，从工程结算价款中扣除。</w:t>
      </w:r>
    </w:p>
    <w:p w14:paraId="70B4F7FB">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须在每次工程款付款节点前结清应缴的违约金等，否则</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有权推迟付款直至结清。同时，</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有权按本合同和现场管理的规定直接在工程款中扣除</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应向</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支付的赔偿和违约金包括罚款。</w:t>
      </w:r>
    </w:p>
    <w:p w14:paraId="72E1250A">
      <w:pPr>
        <w:tabs>
          <w:tab w:val="left" w:pos="2310"/>
        </w:tabs>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支付给</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的工程进度款，</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只能用于本工程有关的劳力、材料、机械等费用。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有权对</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工程款的使用进行监督，如进度款用于支付与本工程无关的费用，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将立即停止付款。</w:t>
      </w:r>
    </w:p>
    <w:p w14:paraId="517A4E2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12.4.2 进度付款申请单的编制</w:t>
      </w:r>
    </w:p>
    <w:p w14:paraId="228D419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关于进度付款申请单编制的约定：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按发包人要求编制</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1861B0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Pr>
          <w:rFonts w:hint="eastAsia" w:ascii="宋体" w:hAnsi="宋体" w:eastAsia="宋体" w:cs="宋体"/>
          <w:snapToGrid w:val="0"/>
          <w:color w:val="000000" w:themeColor="text1"/>
          <w:sz w:val="24"/>
          <w:szCs w:val="24"/>
          <w:highlight w:val="none"/>
          <w14:textFill>
            <w14:solidFill>
              <w14:schemeClr w14:val="tx1"/>
            </w14:solidFill>
          </w14:textFill>
        </w:rPr>
        <w:t>2.4.3 进度付款申请单的提交</w:t>
      </w:r>
    </w:p>
    <w:p w14:paraId="3AA0C3B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（1）单价合同进度付款申请单提交的约定：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E7167D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（2）总价合同进度付款申请单提交的约定：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6E268A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（3）其他价格形式合同进度付款申请单提交的约定：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55DADF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12.4.4 进度款审核和支付</w:t>
      </w:r>
    </w:p>
    <w:p w14:paraId="70408CE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（1）监理人审查并报送发包人的期限：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监理人应在收到承包人进度付款申请单以及相关资料后1天内完成审查并报跟踪审计，跟踪审计应在收到后2天内完成审批并报发包人批准</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9A574B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发包人完成审批并签发进度款支付证书的期限：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2天</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5CEF61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（2）发包人支付进度款的期限：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参见本合同12.4.1条</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74E5D2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2EB41A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12.4.6 支付分解表的编制</w:t>
      </w:r>
    </w:p>
    <w:p w14:paraId="6BCD81B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2、总价合同支付分解表的编制与审批：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826D00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3、单价合同的总价项目支付分解表的编制与审批：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749"/>
    <w:p w14:paraId="3F9B6FC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20" w:name="_Toc351203645"/>
      <w:bookmarkStart w:id="921" w:name="_Toc297048405"/>
      <w:bookmarkStart w:id="922" w:name="_Toc300935015"/>
      <w:bookmarkStart w:id="923" w:name="_Toc296503219"/>
      <w:bookmarkStart w:id="924" w:name="_Toc296346720"/>
      <w:bookmarkStart w:id="925" w:name="_Toc297123564"/>
      <w:bookmarkStart w:id="926" w:name="_Toc304295593"/>
      <w:bookmarkStart w:id="927" w:name="_Toc303539172"/>
      <w:bookmarkStart w:id="928" w:name="_Toc296891259"/>
      <w:bookmarkStart w:id="929" w:name="_Toc292559424"/>
      <w:bookmarkStart w:id="930" w:name="_Toc296891047"/>
      <w:bookmarkStart w:id="931" w:name="_Toc297120519"/>
      <w:bookmarkStart w:id="932" w:name="_Toc296347218"/>
      <w:bookmarkStart w:id="933" w:name="_Toc312678053"/>
      <w:bookmarkStart w:id="934" w:name="_Toc297216223"/>
      <w:bookmarkStart w:id="935" w:name="_Toc292559929"/>
      <w:bookmarkStart w:id="936" w:name="_Toc296944558"/>
      <w:r>
        <w:rPr>
          <w:rFonts w:hint="eastAsia" w:ascii="宋体" w:hAnsi="宋体" w:eastAsia="宋体" w:cs="宋体"/>
          <w:snapToGrid w:val="0"/>
          <w:color w:val="000000" w:themeColor="text1"/>
          <w:sz w:val="24"/>
          <w:szCs w:val="24"/>
          <w:highlight w:val="none"/>
          <w14:textFill>
            <w14:solidFill>
              <w14:schemeClr w14:val="tx1"/>
            </w14:solidFill>
          </w14:textFill>
        </w:rPr>
        <w:t>13.验收和工程试车</w:t>
      </w:r>
      <w:bookmarkEnd w:id="920"/>
    </w:p>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14:paraId="707B762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13.1 分部分项工程验收</w:t>
      </w:r>
    </w:p>
    <w:p w14:paraId="41A8E7C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13.1.2监理人不能按时进行验收时，应提前</w:t>
      </w:r>
      <w:r>
        <w:rPr>
          <w:rFonts w:hint="eastAsia" w:ascii="宋体" w:hAnsi="宋体" w:eastAsia="宋体" w:cs="宋体"/>
          <w:snapToGrid w:val="0"/>
          <w:color w:val="000000" w:themeColor="text1"/>
          <w:sz w:val="24"/>
          <w:szCs w:val="24"/>
          <w:highlight w:val="none"/>
          <w:u w:val="single"/>
          <w14:textFill>
            <w14:solidFill>
              <w14:schemeClr w14:val="tx1"/>
            </w14:solidFill>
          </w14:textFill>
        </w:rPr>
        <w:t>24</w:t>
      </w:r>
      <w:r>
        <w:rPr>
          <w:rFonts w:hint="eastAsia" w:ascii="宋体" w:hAnsi="宋体" w:eastAsia="宋体" w:cs="宋体"/>
          <w:snapToGrid w:val="0"/>
          <w:color w:val="000000" w:themeColor="text1"/>
          <w:sz w:val="24"/>
          <w:szCs w:val="24"/>
          <w:highlight w:val="none"/>
          <w14:textFill>
            <w14:solidFill>
              <w14:schemeClr w14:val="tx1"/>
            </w14:solidFill>
          </w14:textFill>
        </w:rPr>
        <w:t>小时提交书面延期要求。</w:t>
      </w:r>
    </w:p>
    <w:p w14:paraId="2A43A62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关于延期最长不得超过：</w:t>
      </w:r>
      <w:r>
        <w:rPr>
          <w:rFonts w:hint="eastAsia" w:ascii="宋体" w:hAnsi="宋体" w:eastAsia="宋体" w:cs="宋体"/>
          <w:snapToGrid w:val="0"/>
          <w:color w:val="000000" w:themeColor="text1"/>
          <w:sz w:val="24"/>
          <w:szCs w:val="24"/>
          <w:highlight w:val="none"/>
          <w:u w:val="single"/>
          <w14:textFill>
            <w14:solidFill>
              <w14:schemeClr w14:val="tx1"/>
            </w14:solidFill>
          </w14:textFill>
        </w:rPr>
        <w:t>24</w:t>
      </w:r>
      <w:r>
        <w:rPr>
          <w:rFonts w:hint="eastAsia" w:ascii="宋体" w:hAnsi="宋体" w:eastAsia="宋体" w:cs="宋体"/>
          <w:snapToGrid w:val="0"/>
          <w:color w:val="000000" w:themeColor="text1"/>
          <w:sz w:val="24"/>
          <w:szCs w:val="24"/>
          <w:highlight w:val="none"/>
          <w14:textFill>
            <w14:solidFill>
              <w14:schemeClr w14:val="tx1"/>
            </w14:solidFill>
          </w14:textFill>
        </w:rPr>
        <w:t>小时。</w:t>
      </w:r>
    </w:p>
    <w:p w14:paraId="58F4205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37" w:name="_Toc297120523"/>
      <w:bookmarkStart w:id="938" w:name="_Toc296346724"/>
      <w:bookmarkStart w:id="939" w:name="_Toc297048409"/>
      <w:bookmarkStart w:id="940" w:name="_Toc300935016"/>
      <w:bookmarkStart w:id="941" w:name="_Toc296503223"/>
      <w:bookmarkStart w:id="942" w:name="_Toc296891263"/>
      <w:bookmarkStart w:id="943" w:name="_Toc296891051"/>
      <w:bookmarkStart w:id="944" w:name="_Toc304295596"/>
      <w:bookmarkStart w:id="945" w:name="_Toc297216224"/>
      <w:bookmarkStart w:id="946" w:name="_Toc312678056"/>
      <w:bookmarkStart w:id="947" w:name="_Toc297123565"/>
      <w:bookmarkStart w:id="948" w:name="_Toc296944562"/>
      <w:bookmarkStart w:id="949" w:name="_Toc296347222"/>
      <w:bookmarkStart w:id="950" w:name="_Toc292559428"/>
      <w:bookmarkStart w:id="951" w:name="_Toc292559933"/>
      <w:bookmarkStart w:id="952" w:name="_Toc303539173"/>
      <w:bookmarkStart w:id="953" w:name="_Toc267251476"/>
      <w:bookmarkStart w:id="954" w:name="_Toc267251474"/>
      <w:bookmarkStart w:id="955" w:name="_Toc267251471"/>
      <w:bookmarkStart w:id="956" w:name="_Toc267251473"/>
      <w:bookmarkStart w:id="957" w:name="_Toc267251470"/>
      <w:bookmarkStart w:id="958" w:name="_Toc267251475"/>
      <w:bookmarkStart w:id="959" w:name="_Toc267251472"/>
      <w:r>
        <w:rPr>
          <w:rFonts w:hint="eastAsia" w:ascii="宋体" w:hAnsi="宋体" w:eastAsia="宋体" w:cs="宋体"/>
          <w:snapToGrid w:val="0"/>
          <w:color w:val="000000" w:themeColor="text1"/>
          <w:sz w:val="24"/>
          <w:szCs w:val="24"/>
          <w:highlight w:val="none"/>
          <w14:textFill>
            <w14:solidFill>
              <w14:schemeClr w14:val="tx1"/>
            </w14:solidFill>
          </w14:textFill>
        </w:rPr>
        <w:t>13.2 竣工验收</w:t>
      </w:r>
    </w:p>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14:paraId="2DACD0C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60" w:name="_Toc280868704"/>
      <w:bookmarkStart w:id="961" w:name="_Toc280868705"/>
      <w:bookmarkStart w:id="962" w:name="_Toc280868706"/>
      <w:bookmarkStart w:id="963" w:name="_Toc280868707"/>
      <w:bookmarkStart w:id="964" w:name="_Toc280868708"/>
      <w:bookmarkStart w:id="965" w:name="_Toc280868709"/>
      <w:r>
        <w:rPr>
          <w:rFonts w:hint="eastAsia" w:ascii="宋体" w:hAnsi="宋体" w:eastAsia="宋体" w:cs="宋体"/>
          <w:snapToGrid w:val="0"/>
          <w:color w:val="000000" w:themeColor="text1"/>
          <w:sz w:val="24"/>
          <w:szCs w:val="24"/>
          <w:highlight w:val="none"/>
          <w14:textFill>
            <w14:solidFill>
              <w14:schemeClr w14:val="tx1"/>
            </w14:solidFill>
          </w14:textFill>
        </w:rPr>
        <w:t>13.2.2竣工验收程序</w:t>
      </w:r>
    </w:p>
    <w:bookmarkEnd w:id="960"/>
    <w:p w14:paraId="267ACE7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关于竣工验收程序的约定：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8FE668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发包人不按照本项约定组织竣工验收、颁发工程接收证书的违约金的计算方法：</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961"/>
    <w:p w14:paraId="6C14871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13.2.5移交、接收全部与部分工程</w:t>
      </w:r>
    </w:p>
    <w:bookmarkEnd w:id="962"/>
    <w:p w14:paraId="3520E17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承包人向发包人移交工程的期限：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竣工时间以发包人组织的竣工验收合格日期为准。经发包人组织验收合格的工程，自验收结束之日起2天内承包人将工程移交给发包人</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5EB8BF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发包人未按本合同约定接收全部或部分工程的，违约金的计算方法为：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963"/>
    <w:p w14:paraId="280DD50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除不可抗力与发包人的原因外，若由于承包人原因未按时移交工程的，每延误一天承包人向发包人支付合同价0.1%的违约金（以合同价5％为限）。发包人可从应向承包人支付的任何款项中扣除此违约金</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63886D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13.3 工程试车</w:t>
      </w:r>
    </w:p>
    <w:bookmarkEnd w:id="964"/>
    <w:p w14:paraId="0AE2AED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13.3.1 试车程序</w:t>
      </w:r>
    </w:p>
    <w:p w14:paraId="42F6FDC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工程试车内容：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F90F12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（1）单机无负荷试车费用由</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承担；</w:t>
      </w:r>
    </w:p>
    <w:p w14:paraId="6DA1375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（2）无负荷联动试车费用由</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承担。</w:t>
      </w:r>
    </w:p>
    <w:p w14:paraId="28B7B7D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13.3.3 投料试车</w:t>
      </w:r>
    </w:p>
    <w:p w14:paraId="14B59C2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关于投料试车相关事项的约定：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15257A7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13.6 竣工退场</w:t>
      </w:r>
    </w:p>
    <w:p w14:paraId="7EF4619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13.6.1 竣工退场</w:t>
      </w:r>
    </w:p>
    <w:p w14:paraId="290534C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承包人完成竣工退场的期限：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工程竣工验收后7 天内（1）施工现场内残留的垃圾已全部清除出场；（2）临时工程已拆除，场地已进行清理、平整或复原；（3）按合同约定应撤离的人员、承包人施工设备和剩余的材料，包括废弃的施工设备和材料，已按计划撤离施工现场；（4）施工现场周边及其附近道路、河道的施工堆积物，已全部清理；（5）施工现场其他场地清理工作已全部完成。每延误一天，承包人需承担 10000 元/天的违约金，超过 7 天发包人有权处理现场，处理费用由承包人承担，处理后所得款不予返还。因发包人原因引起的迟延退场除外，退场时间延迟</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572A38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66" w:name="_Toc351203646"/>
      <w:r>
        <w:rPr>
          <w:rFonts w:hint="eastAsia" w:ascii="宋体" w:hAnsi="宋体" w:eastAsia="宋体" w:cs="宋体"/>
          <w:snapToGrid w:val="0"/>
          <w:color w:val="000000" w:themeColor="text1"/>
          <w:sz w:val="24"/>
          <w:szCs w:val="24"/>
          <w:highlight w:val="none"/>
          <w14:textFill>
            <w14:solidFill>
              <w14:schemeClr w14:val="tx1"/>
            </w14:solidFill>
          </w14:textFill>
        </w:rPr>
        <w:t>14. 竣工结算</w:t>
      </w:r>
      <w:bookmarkEnd w:id="966"/>
    </w:p>
    <w:p w14:paraId="5160DAC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14.1 竣工结算申请</w:t>
      </w:r>
    </w:p>
    <w:p w14:paraId="19327C9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承包人提交竣工结算申请单的期限：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承包人在工程竣工验收合格    天内将竣工结算报监理人、发包人由跟踪审计单位进行初审，初审后由发包人委托的审计部门进行审计。承包人应积极配合发包人、审计部门的工作，并做好相关资料的核对工作，履行正常手续</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435B5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竣工结算申请单应包括的内容：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除包括按通用条款约定的（1）竣工结算合同价格；（2）发包人已支付承包人的款项；（3）应扣留的质量保证（修）金；（4）发包人应支付承包人的合同价款。还应包括：（一）竣工结算资料交接清单（1）项目全部施工图（含变更）；（2）项目签证单；（3）工程结算书（含竣工结算合同价格含明细计量计价表、发包人已支付承包人的款项；（4）项目竣工图；（5）项目合格的竣工验收报告等资料。（二）工程现场资料交接清单（经监理确认的）</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18FEEC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14.2 竣工结算审核</w:t>
      </w:r>
    </w:p>
    <w:p w14:paraId="1DD690E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发包人审批竣工付款申请单的期限：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承包人在工程竣工验收合格   天内提交完整的竣工结算报告及结算资料（附计算书和电子文件），如工程结算资料不完整，承包人需重新补充完整，承包人应配合竣工结算审核工作。承包人未按期提交资料造成发包人、监理单位、跟踪审计单位管理费用的增加和审核时间的延长，责任由承包人承担。审核工作完成后，承包人应在一个月内对审计结果进行书面确认；如逾期确认的，视同承包人认可审计结果。竣工结算审计效益收费根据工程项目审计核减率支付原则，其中核减率＜5%的，审计效益收费由发包人支付；核减率在5%—10%（包含5%）以内的，审计效益收费由发包人和承包人各支付50%；核减率≥10%的，审计效益收费全部由承包人支付。</w:t>
      </w:r>
    </w:p>
    <w:p w14:paraId="7244442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发包人完成竣工付款的期限：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具体实施按照发包人规定的工作流程及要求执行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7D532D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关于竣工付款证书异议部分复核的方式和程序：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具体实施按照发包人规定的工作流程及要求执行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E89909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14.4 最终结清 </w:t>
      </w:r>
    </w:p>
    <w:p w14:paraId="572CFE6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14.4.1 最终结清申请单</w:t>
      </w:r>
    </w:p>
    <w:p w14:paraId="420A30C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承包人提交最终结清申请单的份数：</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纸制文件四份，电子版一份</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2FC04B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承包人提交最终结算申请单的期限：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缺陷责任期终止证书颁发后7天内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2C65ED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14.4.2 最终结清证书和支付</w:t>
      </w:r>
    </w:p>
    <w:p w14:paraId="47C2561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（1）发包人完成最终结清申请单的审批并颁发最终结清证书的期限：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FD2D8D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（2）发包人完成支付的期限：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953"/>
    <w:bookmarkEnd w:id="954"/>
    <w:bookmarkEnd w:id="955"/>
    <w:bookmarkEnd w:id="956"/>
    <w:bookmarkEnd w:id="957"/>
    <w:bookmarkEnd w:id="958"/>
    <w:bookmarkEnd w:id="959"/>
    <w:bookmarkEnd w:id="965"/>
    <w:p w14:paraId="5CEA186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67" w:name="_Toc351203647"/>
      <w:bookmarkStart w:id="968" w:name="_Toc267251483"/>
      <w:bookmarkStart w:id="969" w:name="_Toc267251484"/>
      <w:bookmarkStart w:id="970" w:name="_Toc267251482"/>
      <w:bookmarkStart w:id="971" w:name="_Toc267251485"/>
      <w:bookmarkStart w:id="972" w:name="_Toc267251488"/>
      <w:bookmarkStart w:id="973" w:name="_Toc267251489"/>
      <w:bookmarkStart w:id="974" w:name="_Toc267251490"/>
      <w:bookmarkStart w:id="975" w:name="_Toc267251486"/>
      <w:bookmarkStart w:id="976" w:name="_Toc267251498"/>
      <w:bookmarkStart w:id="977" w:name="_Toc267251491"/>
      <w:bookmarkStart w:id="978" w:name="_Toc267251492"/>
      <w:bookmarkStart w:id="979" w:name="_Toc267251494"/>
      <w:bookmarkStart w:id="980" w:name="_Toc267251497"/>
      <w:bookmarkStart w:id="981" w:name="_Toc267251493"/>
      <w:bookmarkStart w:id="982" w:name="_Toc267251502"/>
      <w:bookmarkStart w:id="983" w:name="_Toc267251496"/>
      <w:bookmarkStart w:id="984" w:name="_Toc267251503"/>
      <w:bookmarkStart w:id="985" w:name="_Toc267251499"/>
      <w:bookmarkStart w:id="986" w:name="_Toc267251501"/>
      <w:bookmarkStart w:id="987" w:name="_Toc267251495"/>
      <w:bookmarkStart w:id="988" w:name="_Toc267251506"/>
      <w:bookmarkStart w:id="989" w:name="_Toc267251504"/>
      <w:bookmarkStart w:id="990" w:name="_Toc267251507"/>
      <w:bookmarkStart w:id="991" w:name="_Toc267251508"/>
      <w:bookmarkStart w:id="992" w:name="_Toc267251514"/>
      <w:bookmarkStart w:id="993" w:name="_Toc267251513"/>
      <w:bookmarkStart w:id="994" w:name="_Toc267251510"/>
      <w:bookmarkStart w:id="995" w:name="_Toc267251511"/>
      <w:bookmarkStart w:id="996" w:name="_Toc267251515"/>
      <w:bookmarkStart w:id="997" w:name="_Toc267251509"/>
      <w:r>
        <w:rPr>
          <w:rFonts w:hint="eastAsia" w:ascii="宋体" w:hAnsi="宋体" w:eastAsia="宋体" w:cs="宋体"/>
          <w:snapToGrid w:val="0"/>
          <w:color w:val="000000" w:themeColor="text1"/>
          <w:sz w:val="24"/>
          <w:szCs w:val="24"/>
          <w:highlight w:val="none"/>
          <w14:textFill>
            <w14:solidFill>
              <w14:schemeClr w14:val="tx1"/>
            </w14:solidFill>
          </w14:textFill>
        </w:rPr>
        <w:t>15. 缺陷责任期与保修</w:t>
      </w:r>
      <w:bookmarkEnd w:id="967"/>
    </w:p>
    <w:p w14:paraId="0D418D4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15.2缺陷责任期</w:t>
      </w:r>
      <w:bookmarkEnd w:id="968"/>
    </w:p>
    <w:p w14:paraId="42FF09B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缺陷责任期的具体期限：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自竣工验收合格之日起    月</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FB8907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15.3 质量保证金</w:t>
      </w:r>
    </w:p>
    <w:p w14:paraId="4ADFF33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关于是否扣留质量保证金的约定：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是</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389D6D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15.3.1 承包人提供质量保证金的方式</w:t>
      </w:r>
    </w:p>
    <w:p w14:paraId="2DCB808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质量保证金采用以下第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w:t>
      </w:r>
      <w:r>
        <w:rPr>
          <w:rFonts w:hint="eastAsia" w:ascii="宋体" w:hAnsi="宋体" w:eastAsia="宋体" w:cs="宋体"/>
          <w:snapToGrid w:val="0"/>
          <w:color w:val="000000" w:themeColor="text1"/>
          <w:sz w:val="24"/>
          <w:szCs w:val="24"/>
          <w:highlight w:val="none"/>
          <w14:textFill>
            <w14:solidFill>
              <w14:schemeClr w14:val="tx1"/>
            </w14:solidFill>
          </w14:textFill>
        </w:rPr>
        <w:t>种方式：</w:t>
      </w:r>
    </w:p>
    <w:p w14:paraId="1735179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（1）质量保证金保函，保证金额为：审定金额的 3 %；</w:t>
      </w:r>
    </w:p>
    <w:p w14:paraId="0D05CD0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%的工程款；</w:t>
      </w:r>
    </w:p>
    <w:p w14:paraId="360CCB5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（3）其他方式:。</w:t>
      </w:r>
    </w:p>
    <w:p w14:paraId="2E1BFCB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15.3.2 质量保证金的扣留</w:t>
      </w:r>
    </w:p>
    <w:p w14:paraId="1505721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质量保证金的扣留采取以下第2种方式：</w:t>
      </w:r>
    </w:p>
    <w:p w14:paraId="100CC35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14:paraId="4A594FC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（2）工程竣工结算时一次性扣留质量保证金；</w:t>
      </w:r>
    </w:p>
    <w:p w14:paraId="74EA516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（3）其他扣留方式: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C2E406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关于质量保证金的补充约定：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详见合同附件“工程质量保修书”</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969"/>
    <w:bookmarkEnd w:id="970"/>
    <w:p w14:paraId="591660D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15.4保修</w:t>
      </w:r>
    </w:p>
    <w:bookmarkEnd w:id="971"/>
    <w:p w14:paraId="65D5BD5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15.4.1 保修责任</w:t>
      </w:r>
    </w:p>
    <w:p w14:paraId="231AC29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工程保修期为：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详见合同附件“工程质量保修书”</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79E62C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15.4.3 修复通知</w:t>
      </w:r>
    </w:p>
    <w:p w14:paraId="5F1F55F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承包人收到保修通知并到达工程现场的合理时间：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⒈属于保修范围、内容的项目，承包人应当在接到保修通知后24小时内到达工程现场。承包人不在约定期限内派人保修的，发包人可以委托他人修理,由此产生保修费从质量保修金内扣除。</w:t>
      </w:r>
    </w:p>
    <w:p w14:paraId="23AF59E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2.在质保期满后，如发生损坏等质量问题时，承包人仍需做好售后服务，并按前两款之要求到达现场，及时处理解决。承包人可收取相应的材料费用及服务的费用</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972"/>
    <w:bookmarkEnd w:id="973"/>
    <w:bookmarkEnd w:id="974"/>
    <w:bookmarkEnd w:id="975"/>
    <w:p w14:paraId="1FE7CCB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998" w:name="_Toc351203648"/>
      <w:bookmarkStart w:id="999" w:name="_Toc280868717"/>
      <w:bookmarkStart w:id="1000" w:name="_Toc280868718"/>
      <w:r>
        <w:rPr>
          <w:rFonts w:hint="eastAsia" w:ascii="宋体" w:hAnsi="宋体" w:eastAsia="宋体" w:cs="宋体"/>
          <w:snapToGrid w:val="0"/>
          <w:color w:val="000000" w:themeColor="text1"/>
          <w:sz w:val="24"/>
          <w:szCs w:val="24"/>
          <w:highlight w:val="none"/>
          <w14:textFill>
            <w14:solidFill>
              <w14:schemeClr w14:val="tx1"/>
            </w14:solidFill>
          </w14:textFill>
        </w:rPr>
        <w:t>16. 违约</w:t>
      </w:r>
      <w:bookmarkEnd w:id="998"/>
    </w:p>
    <w:p w14:paraId="6D9E68B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16.1 发包人违约</w:t>
      </w:r>
    </w:p>
    <w:p w14:paraId="48E4731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16.1.1发包人违约的情形</w:t>
      </w:r>
    </w:p>
    <w:p w14:paraId="67EC898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发包人违约的其他情形：</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48253BF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16.1.2 发包人违约的责任</w:t>
      </w:r>
    </w:p>
    <w:p w14:paraId="0AC42AB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发包人违约责任的承担方式和计算方法：</w:t>
      </w:r>
    </w:p>
    <w:p w14:paraId="09C7E70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（1）因发包人原因未能在计划开工日期前7天内下达开工通知的违约责任：: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工期顺延</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D4B262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（2）因发包人原因未能按合同约定支付合同价款的违约责任：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D0B3F5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5A8568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7838C1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（5）因发包人违反合同约定造成暂停施工的违约责任：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工期顺延</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7E29E5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工期顺延  </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3D91E14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（7）其他：</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另行协商</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868407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16.1.3 因发包人违约解除合同</w:t>
      </w:r>
    </w:p>
    <w:p w14:paraId="2F85BA2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承包人按16.1.1项〔发包人违约的情形〕约定暂停施工满</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天后发包人仍不纠正其违约行为并致使合同目的不能实现的，承包人有权解除合同。</w:t>
      </w:r>
    </w:p>
    <w:p w14:paraId="3781984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16.2 承包人违约</w:t>
      </w:r>
    </w:p>
    <w:p w14:paraId="644FD23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16.2.1 承包人违约的其他情形</w:t>
      </w:r>
    </w:p>
    <w:p w14:paraId="32380DD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承包人违约的其他情形：</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1）承包人违反合同约定进行转包或违法分包的；（2）承包人违反合同约定采购和使用不合格的材料和工程设备的；（3）因承包人原因导致工程质量不符合合同要求的；（4）承包人违反《通用条款》第8.9款的约定，未经批准，私自将已按照合同约定进入施工现场的材料或设备撤离施工现场的；（5）在施工过程中，除发包人责任导致工程停工工期可顺延外，其他任何导致工期顺延的原因均视为违约，承包人按合同价的0.1%/天向发包人支付违约金，并承担由此给发包人因此造成的损失，并且上述赔偿的支付并不解除承包人应完成工程的责任或合同的其他责任；（6）承包人在缺陷责任期及保修期内，未能在合理期限对工程缺陷进行修复，或拒绝按发包人要求进行修复的；（7）承包人明确表示或者以其行为表明不履行合同主要义务的；（8）因承包人原因造成的安全文明生产责任事故；（9）承包人未能按照合同约定履行其他义务的。承包人发生除本项第（7）条约定以外的其他违约情况时，监理人可向承包人发出整改通知，要求其在指定的期限内改正</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38482E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16.2.2承包人违约的责任</w:t>
      </w:r>
    </w:p>
    <w:p w14:paraId="1B23024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承包人违约责任的承担方式和计算方法：</w:t>
      </w:r>
    </w:p>
    <w:p w14:paraId="738FE4E3">
      <w:pPr>
        <w:tabs>
          <w:tab w:val="left" w:pos="0"/>
          <w:tab w:val="left" w:pos="1134"/>
        </w:tabs>
        <w:adjustRightInd w:val="0"/>
        <w:snapToGrid w:val="0"/>
        <w:spacing w:line="300" w:lineRule="auto"/>
        <w:ind w:firstLine="480" w:firstLineChars="200"/>
        <w:rPr>
          <w:rFonts w:hint="eastAsia" w:ascii="宋体" w:hAnsi="宋体" w:eastAsia="宋体" w:cs="宋体"/>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1）双方约定由承包人采购的材料必须符合有关规范、设计图纸规定的质量要求以及验收要求,必须有详细的质保书及复试报告且经发包人和监理方事先认可。若不符合要求,发包人可拒绝验收和使用,并按限定时间运出场地, 重新采购,承包人承担由此发生的费用,由此延误的工期不予顺延。</w:t>
      </w:r>
    </w:p>
    <w:p w14:paraId="5AC4976E">
      <w:pPr>
        <w:tabs>
          <w:tab w:val="left" w:pos="0"/>
          <w:tab w:val="left" w:pos="1134"/>
        </w:tabs>
        <w:adjustRightInd w:val="0"/>
        <w:snapToGrid w:val="0"/>
        <w:spacing w:line="300" w:lineRule="auto"/>
        <w:ind w:firstLine="480" w:firstLineChars="200"/>
        <w:rPr>
          <w:rFonts w:hint="eastAsia" w:ascii="宋体" w:hAnsi="宋体" w:eastAsia="宋体" w:cs="宋体"/>
          <w:b w:val="0"/>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（2）工程变更后，由承包人按要求向监理人提出变更合同价款的报告（报告中必须含工程量、工程量单价</w:t>
      </w:r>
      <w:r>
        <w:rPr>
          <w:rFonts w:hint="eastAsia" w:ascii="宋体" w:hAnsi="宋体" w:eastAsia="宋体" w:cs="宋体"/>
          <w:b w:val="0"/>
          <w:bCs/>
          <w:snapToGrid w:val="0"/>
          <w:color w:val="000000" w:themeColor="text1"/>
          <w:sz w:val="24"/>
          <w:szCs w:val="24"/>
          <w:highlight w:val="none"/>
          <w:u w:val="single"/>
          <w14:textFill>
            <w14:solidFill>
              <w14:schemeClr w14:val="tx1"/>
            </w14:solidFill>
          </w14:textFill>
        </w:rPr>
        <w:t>、主要材料单价），由监理人和审计单位在 7 天内对工程量、价款等审核后报至发包人，涉及到设计变更时必须由发包人同意，由设计院出设计变更单，经发包人认可后由监理下发联系单至施工单位，涉及到工程量签证时，由发包人代表与监理共同签证；涉及到大的变更无变更单价参考时需由发包人、监理、跟踪审计共同参加商议并确认。</w:t>
      </w:r>
    </w:p>
    <w:p w14:paraId="748EC10F">
      <w:pPr>
        <w:tabs>
          <w:tab w:val="left" w:pos="0"/>
          <w:tab w:val="left" w:pos="1134"/>
        </w:tabs>
        <w:adjustRightInd w:val="0"/>
        <w:snapToGrid w:val="0"/>
        <w:spacing w:line="300" w:lineRule="auto"/>
        <w:ind w:firstLine="480" w:firstLineChars="200"/>
        <w:rPr>
          <w:rFonts w:hint="eastAsia" w:ascii="宋体" w:hAnsi="宋体" w:eastAsia="宋体" w:cs="宋体"/>
          <w:b w:val="0"/>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snapToGrid w:val="0"/>
          <w:color w:val="000000" w:themeColor="text1"/>
          <w:sz w:val="24"/>
          <w:szCs w:val="24"/>
          <w:highlight w:val="none"/>
          <w:u w:val="single"/>
          <w14:textFill>
            <w14:solidFill>
              <w14:schemeClr w14:val="tx1"/>
            </w14:solidFill>
          </w14:textFill>
        </w:rPr>
        <w:t>（3）工程竣工后内提交五套完整的竣工图和五套竣工资料 (含原件)及其他资料。所有工程资料必须符合工程验收和档案管理要求,否则发包人将停止支付工程款或尾款,且承包人承担违约和赔偿责任。</w:t>
      </w:r>
    </w:p>
    <w:p w14:paraId="543DFCE8">
      <w:pPr>
        <w:tabs>
          <w:tab w:val="left" w:pos="0"/>
          <w:tab w:val="left" w:pos="1134"/>
        </w:tabs>
        <w:adjustRightInd w:val="0"/>
        <w:snapToGrid w:val="0"/>
        <w:spacing w:line="300" w:lineRule="auto"/>
        <w:ind w:firstLine="480" w:firstLineChars="200"/>
        <w:rPr>
          <w:rFonts w:hint="eastAsia" w:ascii="宋体" w:hAnsi="宋体" w:eastAsia="宋体" w:cs="宋体"/>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 w:val="0"/>
          <w:bCs/>
          <w:snapToGrid w:val="0"/>
          <w:color w:val="000000" w:themeColor="text1"/>
          <w:sz w:val="24"/>
          <w:szCs w:val="24"/>
          <w:highlight w:val="none"/>
          <w:u w:val="single"/>
          <w14:textFill>
            <w14:solidFill>
              <w14:schemeClr w14:val="tx1"/>
            </w14:solidFill>
          </w14:textFill>
        </w:rPr>
        <w:t>（4）接到监理工程师的开工令后2日内，承包人无正当理由推迟开工的,每拖延 1 日历天须向发包人支付合同价0.1%的违约金。拖延开工时间达 3 天,发包人有权解除合同,并追究承包人的违约责任。开工后未经发包人同意，承包人不得以任何理由停工，承包人累计停工达3天，发包人有权解除合同, 并追究承</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包人的违约责任。无论是何种原因导致发包人解除合同的，在发包人发出解除合同通知后三日内，承包人应自动撤出施工场地，并按照发包人的要求撤出相关财物和设备，发包人不承担保管责任。承包人不按照发包人的要求撤出相关财物和设备的，相关财物和设备的灭失的风险由承包人自行承担。</w:t>
      </w:r>
    </w:p>
    <w:p w14:paraId="01150A6D">
      <w:pPr>
        <w:tabs>
          <w:tab w:val="left" w:pos="0"/>
          <w:tab w:val="left" w:pos="1134"/>
        </w:tabs>
        <w:adjustRightInd w:val="0"/>
        <w:snapToGrid w:val="0"/>
        <w:spacing w:line="300" w:lineRule="auto"/>
        <w:ind w:firstLine="480" w:firstLineChars="200"/>
        <w:rPr>
          <w:rFonts w:hint="eastAsia" w:ascii="宋体" w:hAnsi="宋体" w:eastAsia="宋体" w:cs="宋体"/>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5）承包人在投标前,应当了解以下情况：①实施和完成本合同工程及缺陷修复的工作范围、性质和所需要的材料采购和加工；②进场道路和水、电、食宿供应条件；③承包人已取得对工程施工有影响或起作用的风险、意外等必要的资料。承包人应采取各种合理的预防措施，保证工程在合同约定的工期内完成，若由此产生工期延误不予顺延，给发包人造成的损失，应由承包人予以赔偿。</w:t>
      </w:r>
    </w:p>
    <w:p w14:paraId="560945F7">
      <w:pPr>
        <w:tabs>
          <w:tab w:val="left" w:pos="0"/>
          <w:tab w:val="left" w:pos="1134"/>
        </w:tabs>
        <w:adjustRightInd w:val="0"/>
        <w:snapToGrid w:val="0"/>
        <w:spacing w:line="300" w:lineRule="auto"/>
        <w:ind w:firstLine="480" w:firstLineChars="200"/>
        <w:rPr>
          <w:rFonts w:hint="eastAsia" w:ascii="宋体" w:hAnsi="宋体" w:eastAsia="宋体" w:cs="宋体"/>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6）承包人需按国家、江苏省、南京市等相关规定办理各种保险（其中必须办理意外伤害险和交纳社会保障费），发包人必要时要求承包人提供保单或其他证据。如果承包人不能提供、拒绝提供或提供了但是不符合要求，发包人有权要求停工，造成的工期延误由承包人承担，决算时仍不能提供的，在决算时扣除相应的费用。</w:t>
      </w:r>
    </w:p>
    <w:p w14:paraId="02302344">
      <w:pPr>
        <w:tabs>
          <w:tab w:val="left" w:pos="0"/>
          <w:tab w:val="left" w:pos="1134"/>
        </w:tabs>
        <w:adjustRightInd w:val="0"/>
        <w:snapToGrid w:val="0"/>
        <w:spacing w:line="300" w:lineRule="auto"/>
        <w:ind w:firstLine="480" w:firstLineChars="200"/>
        <w:rPr>
          <w:rFonts w:hint="eastAsia" w:ascii="宋体" w:hAnsi="宋体" w:eastAsia="宋体" w:cs="宋体"/>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（7）现场安全文明施工措施费支付方式：基本费按落实的措施内容支付。如没有落实的内容，每缺少一项，发包人有权予以扣除相应的费用。现场考评费及奖励费按照现场实际情况予以支付。</w:t>
      </w:r>
    </w:p>
    <w:p w14:paraId="2C23059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（8）施工过程中严格执行《南京市扬尘污染防治管理办法》和加强扬尘污染防控“十条措施”，如扬尘措施落实不到位，发包人有权予以扣除相应的费用</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p>
    <w:p w14:paraId="3C7AD77B">
      <w:pPr>
        <w:tabs>
          <w:tab w:val="left" w:pos="0"/>
          <w:tab w:val="left" w:pos="1134"/>
        </w:tabs>
        <w:adjustRightInd w:val="0"/>
        <w:snapToGrid w:val="0"/>
        <w:spacing w:line="300" w:lineRule="auto"/>
        <w:ind w:firstLine="480" w:firstLineChars="200"/>
        <w:rPr>
          <w:rFonts w:hint="eastAsia" w:ascii="宋体" w:hAnsi="宋体" w:eastAsia="宋体" w:cs="宋体"/>
          <w:bCs/>
          <w:snapToGrid w:val="0"/>
          <w:color w:val="000000" w:themeColor="text1"/>
          <w:sz w:val="24"/>
          <w:szCs w:val="24"/>
          <w:highlight w:val="none"/>
          <w:u w:val="single"/>
          <w14:textFill>
            <w14:solidFill>
              <w14:schemeClr w14:val="tx1"/>
            </w14:solidFill>
          </w14:textFill>
        </w:rPr>
      </w:pP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（9）承包人违反合同约定进行转包或违法分包的，发包人有权解除合同，承包人还应承担合同金额的5%的违约金。</w:t>
      </w:r>
    </w:p>
    <w:p w14:paraId="429F190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16.2.3 因承包人违约解除合同</w:t>
      </w:r>
    </w:p>
    <w:p w14:paraId="5366A96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（1）关于承包人违约解除合同的特别约定：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承包人施工过程中发生重大质量和安全事故，发包人有权责令承包人退场，一切损失由承包人承担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59EDFD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（2）合同解除后的处理</w:t>
      </w:r>
    </w:p>
    <w:p w14:paraId="74DEB08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提出解除之日起24小时内，承包人需一次性向发包人同时提供分包合同、材料采购合同，如超过24小时内，发包人仍未提供分包合同、材料采购合同等未来将据此索赔的合同，发包人将不再确认该合同的有效性。</w:t>
      </w:r>
    </w:p>
    <w:p w14:paraId="45B85D0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合同解除后,已完工程量由双方核对确认后进行结算，工程款参照合同的约定支付。承包人不配合结算工作的，发包人有权自行安排跟踪审计审核，审核结论对双方均具有约束力。</w:t>
      </w:r>
    </w:p>
    <w:p w14:paraId="7C5DC54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合同解除后，承包人应于接到发包人通知后15日内做好现场安全、质量保护并退出工程现场。如逾期仍未撤离完毕，应赔偿发包人每日1万元的赔偿金。同时，发包人有权采取强制手段清理现场。为此发生的费用从未付工程款中扣除。</w:t>
      </w:r>
    </w:p>
    <w:p w14:paraId="7BA83C3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14:textFill>
            <w14:solidFill>
              <w14:schemeClr w14:val="tx1"/>
            </w14:solidFill>
          </w14:textFill>
        </w:rPr>
      </w:pPr>
      <w:r>
        <w:rPr>
          <w:rFonts w:hint="eastAsia" w:ascii="宋体" w:hAnsi="宋体" w:eastAsia="宋体" w:cs="宋体"/>
          <w:snapToGrid w:val="0"/>
          <w:color w:val="000000" w:themeColor="text1"/>
          <w:sz w:val="24"/>
          <w:szCs w:val="24"/>
          <w:highlight w:val="none"/>
          <w:u w:val="single"/>
          <w14:textFill>
            <w14:solidFill>
              <w14:schemeClr w14:val="tx1"/>
            </w14:solidFill>
          </w14:textFill>
        </w:rPr>
        <w:t>合同的解除并不解除承包人对已完工工程的质量责任和保修责任以及合同履行过程中的违约责任。</w:t>
      </w:r>
    </w:p>
    <w:p w14:paraId="54D153A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发包人有权免费使用</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603F3F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1001" w:name="_Toc351203649"/>
      <w:r>
        <w:rPr>
          <w:rFonts w:hint="eastAsia" w:ascii="宋体" w:hAnsi="宋体" w:eastAsia="宋体" w:cs="宋体"/>
          <w:snapToGrid w:val="0"/>
          <w:color w:val="000000" w:themeColor="text1"/>
          <w:sz w:val="24"/>
          <w:szCs w:val="24"/>
          <w:highlight w:val="none"/>
          <w14:textFill>
            <w14:solidFill>
              <w14:schemeClr w14:val="tx1"/>
            </w14:solidFill>
          </w14:textFill>
        </w:rPr>
        <w:t>17. 不可抗力</w:t>
      </w:r>
      <w:bookmarkEnd w:id="999"/>
      <w:bookmarkEnd w:id="1001"/>
    </w:p>
    <w:p w14:paraId="4EF27E1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17.1 不可抗力的确认</w:t>
      </w:r>
    </w:p>
    <w:p w14:paraId="4AE24AA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eastAsia="宋体" w:cs="宋体"/>
          <w:snapToGrid w:val="0"/>
          <w:color w:val="000000" w:themeColor="text1"/>
          <w:sz w:val="24"/>
          <w:szCs w:val="24"/>
          <w:highlight w:val="none"/>
          <w:u w:val="single"/>
          <w14:textFill>
            <w14:solidFill>
              <w14:schemeClr w14:val="tx1"/>
            </w14:solidFill>
          </w14:textFill>
        </w:rPr>
        <w:t>自然灾害、战争、动乱、其他非发包人承包人责任造成的爆炸、火灾，或九级及以上的持续 1 小时以上的台风、7 级及以上烈度的地震、政府公布的重大影响事件、扬尘管控等情况。按国家省市级有关部门的规定执行。不可抗力事件发生后，承包方应立即通知监理，在力所能及的条件下迅速采取措施，尽力减少损失，发包方应协助承包方采取措施。不可抗力事件结束后 48 小时内承包方向监理通报受害情况和损失情况，及预计清理和修复的费用。不可抗事件持续发生，承包方应每隔 7 天或按照要求向发包人和监理报告一次受害及影响情况。不可抗力事件结束后 14 天内，承包方向监理提交清理和修复费用的正式报告及有关资料</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7ACBC0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17.4 因不可抗力解除合同</w:t>
      </w:r>
    </w:p>
    <w:p w14:paraId="40D0DDC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eastAsia="宋体" w:cs="宋体"/>
          <w:snapToGrid w:val="0"/>
          <w:color w:val="000000" w:themeColor="text1"/>
          <w:sz w:val="24"/>
          <w:szCs w:val="24"/>
          <w:highlight w:val="none"/>
          <w:u w:val="single"/>
          <w14:textFill>
            <w14:solidFill>
              <w14:schemeClr w14:val="tx1"/>
            </w14:solidFill>
          </w14:textFill>
        </w:rPr>
        <w:t>28</w:t>
      </w:r>
      <w:r>
        <w:rPr>
          <w:rFonts w:hint="eastAsia" w:ascii="宋体" w:hAnsi="宋体" w:eastAsia="宋体" w:cs="宋体"/>
          <w:snapToGrid w:val="0"/>
          <w:color w:val="000000" w:themeColor="text1"/>
          <w:sz w:val="24"/>
          <w:szCs w:val="24"/>
          <w:highlight w:val="none"/>
          <w14:textFill>
            <w14:solidFill>
              <w14:schemeClr w14:val="tx1"/>
            </w14:solidFill>
          </w14:textFill>
        </w:rPr>
        <w:t>天内完成款项的支付。</w:t>
      </w:r>
    </w:p>
    <w:p w14:paraId="0D8A759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1002" w:name="_Toc351203650"/>
      <w:r>
        <w:rPr>
          <w:rFonts w:hint="eastAsia" w:ascii="宋体" w:hAnsi="宋体" w:eastAsia="宋体" w:cs="宋体"/>
          <w:snapToGrid w:val="0"/>
          <w:color w:val="000000" w:themeColor="text1"/>
          <w:sz w:val="24"/>
          <w:szCs w:val="24"/>
          <w:highlight w:val="none"/>
          <w14:textFill>
            <w14:solidFill>
              <w14:schemeClr w14:val="tx1"/>
            </w14:solidFill>
          </w14:textFill>
        </w:rPr>
        <w:t>18. 保险</w:t>
      </w:r>
      <w:bookmarkEnd w:id="1002"/>
    </w:p>
    <w:bookmarkEnd w:id="1000"/>
    <w:p w14:paraId="1F23470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18.1 工程保险</w:t>
      </w:r>
    </w:p>
    <w:p w14:paraId="5352AA8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关于工程保险的特别约定：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发包人投保内容：由发包人自行决定。（2）承包人投保内容：按本合同通用条款及国家、江苏省、南京市有关规定执行，承包人必须按国家相关规定为从事作业的职工办理意外伤害保险、工伤保险以及其他依据国家、江苏省、南京市有关法律、法规、规章、规范性文件应当办理的人身、财产保险，并为施工场地内自有人员生命财产和施工机械设备办理保险，支付保险费用。同时承包人必须办理业主人员及第三方人员意外伤害保险。发包人必要时有权要求承包人提供保单或其他证据。如果承包人不能提供、拒绝提供或提供得不符合要求，发包人有权要求停工，造成的工期延误由承包人承担。承包人须承担与本工程有关或本工程进行期间发生或本工程引致的人身伤亡及财产损坏负的费用、损失、索偿或诉讼等法律责任，并须保障发包人免负该等责任，以上保险由承包人统一办理，费用已包含在合同价款内</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B851C1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18.3 其他保险</w:t>
      </w:r>
    </w:p>
    <w:p w14:paraId="14F990C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关于其他保险的约定：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承包人须为本工程投保建筑工程一切险，费用含在合同总价中。</w:t>
      </w:r>
    </w:p>
    <w:p w14:paraId="4E4A265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承包人是否应为其施工设备等办理财产保险：</w:t>
      </w:r>
      <w:r>
        <w:rPr>
          <w:rFonts w:hint="eastAsia" w:ascii="宋体" w:hAnsi="宋体" w:eastAsia="宋体" w:cs="宋体"/>
          <w:snapToGrid w:val="0"/>
          <w:color w:val="000000" w:themeColor="text1"/>
          <w:sz w:val="24"/>
          <w:szCs w:val="24"/>
          <w:highlight w:val="none"/>
          <w:u w:val="single"/>
          <w14:textFill>
            <w14:solidFill>
              <w14:schemeClr w14:val="tx1"/>
            </w14:solidFill>
          </w14:textFill>
        </w:rPr>
        <w:t>按通用条款执行</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F2E863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18.7 通知义务</w:t>
      </w:r>
    </w:p>
    <w:p w14:paraId="0A5318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关于变更保险合同时的通知义务的约定：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变更前5天通知</w:t>
      </w:r>
      <w:r>
        <w:rPr>
          <w:rFonts w:hint="eastAsia" w:ascii="宋体" w:hAnsi="宋体" w:eastAsia="宋体" w:cs="宋体"/>
          <w:snapToGrid w:val="0"/>
          <w:color w:val="000000" w:themeColor="text1"/>
          <w:sz w:val="24"/>
          <w:szCs w:val="24"/>
          <w:highlight w:val="none"/>
          <w14:textFill>
            <w14:solidFill>
              <w14:schemeClr w14:val="tx1"/>
            </w14:solidFill>
          </w14:textFill>
        </w:rPr>
        <w:t>。</w:t>
      </w:r>
    </w:p>
    <w:bookmarkEnd w:id="976"/>
    <w:bookmarkEnd w:id="977"/>
    <w:bookmarkEnd w:id="978"/>
    <w:bookmarkEnd w:id="979"/>
    <w:bookmarkEnd w:id="980"/>
    <w:bookmarkEnd w:id="981"/>
    <w:bookmarkEnd w:id="982"/>
    <w:bookmarkEnd w:id="983"/>
    <w:bookmarkEnd w:id="984"/>
    <w:bookmarkEnd w:id="985"/>
    <w:bookmarkEnd w:id="986"/>
    <w:bookmarkEnd w:id="987"/>
    <w:p w14:paraId="06BDF89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bookmarkStart w:id="1003" w:name="_Toc351203651"/>
      <w:r>
        <w:rPr>
          <w:rFonts w:hint="eastAsia" w:ascii="宋体" w:hAnsi="宋体" w:eastAsia="宋体" w:cs="宋体"/>
          <w:snapToGrid w:val="0"/>
          <w:color w:val="000000" w:themeColor="text1"/>
          <w:sz w:val="24"/>
          <w:szCs w:val="24"/>
          <w:highlight w:val="none"/>
          <w14:textFill>
            <w14:solidFill>
              <w14:schemeClr w14:val="tx1"/>
            </w14:solidFill>
          </w14:textFill>
        </w:rPr>
        <w:t>20. 争议解决</w:t>
      </w:r>
      <w:bookmarkEnd w:id="1003"/>
    </w:p>
    <w:bookmarkEnd w:id="988"/>
    <w:bookmarkEnd w:id="989"/>
    <w:p w14:paraId="60AA3E5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20.3 争</w:t>
      </w:r>
      <w:bookmarkEnd w:id="990"/>
      <w:r>
        <w:rPr>
          <w:rFonts w:hint="eastAsia" w:ascii="宋体" w:hAnsi="宋体" w:eastAsia="宋体" w:cs="宋体"/>
          <w:snapToGrid w:val="0"/>
          <w:color w:val="000000" w:themeColor="text1"/>
          <w:sz w:val="24"/>
          <w:szCs w:val="24"/>
          <w:highlight w:val="none"/>
          <w14:textFill>
            <w14:solidFill>
              <w14:schemeClr w14:val="tx1"/>
            </w14:solidFill>
          </w14:textFill>
        </w:rPr>
        <w:t>议评审</w:t>
      </w:r>
    </w:p>
    <w:p w14:paraId="22DA24F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合同当事人是否同意将工程争议提交争议评审小组决定：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不同意</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701D3FB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20.3.1 争议评审小组的确定</w:t>
      </w:r>
    </w:p>
    <w:p w14:paraId="67E069C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争议评审小组成员的确定：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CC2681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选定争议评审员的期限：</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53021F4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争议评审小组成员的报酬承担方式：</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B2ADB6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其他事项的约定：</w:t>
      </w:r>
    </w:p>
    <w:p w14:paraId="724997D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20.3.2 争议评审小组的决定</w:t>
      </w:r>
    </w:p>
    <w:p w14:paraId="17A5240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合同当事人关于本项的约定：</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8F34CD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20.4仲裁或诉讼</w:t>
      </w:r>
      <w:bookmarkEnd w:id="991"/>
    </w:p>
    <w:p w14:paraId="26B25AF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w:t>
      </w:r>
      <w:r>
        <w:rPr>
          <w:rFonts w:hint="eastAsia" w:ascii="宋体" w:hAnsi="宋体" w:eastAsia="宋体" w:cs="宋体"/>
          <w:snapToGrid w:val="0"/>
          <w:color w:val="000000" w:themeColor="text1"/>
          <w:sz w:val="24"/>
          <w:szCs w:val="24"/>
          <w:highlight w:val="none"/>
          <w14:textFill>
            <w14:solidFill>
              <w14:schemeClr w14:val="tx1"/>
            </w14:solidFill>
          </w14:textFill>
        </w:rPr>
        <w:t>种方式解决：</w:t>
      </w:r>
    </w:p>
    <w:p w14:paraId="3653C1B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（1）向</w:t>
      </w:r>
      <w:r>
        <w:rPr>
          <w:rFonts w:hint="eastAsia" w:ascii="宋体" w:hAnsi="宋体" w:eastAsia="宋体" w:cs="宋体"/>
          <w:snapToGrid w:val="0"/>
          <w:color w:val="000000" w:themeColor="text1"/>
          <w:sz w:val="24"/>
          <w:szCs w:val="24"/>
          <w:highlight w:val="none"/>
          <w:u w:val="single"/>
          <w14:textFill>
            <w14:solidFill>
              <w14:schemeClr w14:val="tx1"/>
            </w14:solidFill>
          </w14:textFill>
        </w:rPr>
        <w:t>南京</w:t>
      </w:r>
      <w:r>
        <w:rPr>
          <w:rFonts w:hint="eastAsia" w:ascii="宋体" w:hAnsi="宋体" w:eastAsia="宋体" w:cs="宋体"/>
          <w:snapToGrid w:val="0"/>
          <w:color w:val="000000" w:themeColor="text1"/>
          <w:sz w:val="24"/>
          <w:szCs w:val="24"/>
          <w:highlight w:val="none"/>
          <w14:textFill>
            <w14:solidFill>
              <w14:schemeClr w14:val="tx1"/>
            </w14:solidFill>
          </w14:textFill>
        </w:rPr>
        <w:t>仲裁委员会申请仲裁；</w:t>
      </w:r>
    </w:p>
    <w:p w14:paraId="5B2B0B9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（2）向</w:t>
      </w:r>
      <w:r>
        <w:rPr>
          <w:rFonts w:hint="eastAsia" w:ascii="宋体" w:hAnsi="宋体" w:eastAsia="宋体" w:cs="宋体"/>
          <w:snapToGrid w:val="0"/>
          <w:color w:val="000000" w:themeColor="text1"/>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人民法院起诉。</w:t>
      </w:r>
      <w:bookmarkEnd w:id="992"/>
      <w:bookmarkEnd w:id="993"/>
      <w:bookmarkEnd w:id="994"/>
      <w:bookmarkEnd w:id="995"/>
      <w:bookmarkEnd w:id="996"/>
      <w:bookmarkEnd w:id="997"/>
    </w:p>
    <w:p w14:paraId="3F35301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AABE18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112064C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sectPr>
          <w:endnotePr>
            <w:numFmt w:val="decimal"/>
          </w:endnotePr>
          <w:pgSz w:w="11906" w:h="16838"/>
          <w:pgMar w:top="850" w:right="850" w:bottom="850" w:left="1417" w:header="227" w:footer="720" w:gutter="0"/>
          <w:pgBorders>
            <w:top w:val="none" w:sz="0" w:space="0"/>
            <w:left w:val="none" w:sz="0" w:space="0"/>
            <w:bottom w:val="none" w:sz="0" w:space="0"/>
            <w:right w:val="none" w:sz="0" w:space="0"/>
          </w:pgBorders>
          <w:cols w:space="720" w:num="1"/>
        </w:sectPr>
      </w:pPr>
    </w:p>
    <w:p w14:paraId="00B9765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附件1 </w:t>
      </w:r>
    </w:p>
    <w:p w14:paraId="4C2D1E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2A222126">
      <w:pPr>
        <w:spacing w:beforeLines="50" w:afterLine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承包人承揽工程项目一览表</w:t>
      </w:r>
    </w:p>
    <w:tbl>
      <w:tblPr>
        <w:tblStyle w:val="3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D0C0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2950B19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单位工程名称</w:t>
            </w:r>
          </w:p>
        </w:tc>
        <w:tc>
          <w:tcPr>
            <w:tcW w:w="1843" w:type="dxa"/>
            <w:tcBorders>
              <w:top w:val="single" w:color="auto" w:sz="12" w:space="0"/>
              <w:bottom w:val="double" w:color="auto" w:sz="6" w:space="0"/>
            </w:tcBorders>
            <w:vAlign w:val="center"/>
          </w:tcPr>
          <w:p w14:paraId="284E195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建设规模</w:t>
            </w:r>
          </w:p>
        </w:tc>
        <w:tc>
          <w:tcPr>
            <w:tcW w:w="1417" w:type="dxa"/>
            <w:tcBorders>
              <w:top w:val="single" w:color="auto" w:sz="12" w:space="0"/>
              <w:bottom w:val="double" w:color="auto" w:sz="6" w:space="0"/>
            </w:tcBorders>
            <w:vAlign w:val="center"/>
          </w:tcPr>
          <w:p w14:paraId="4B043ED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建筑面积（平方米）</w:t>
            </w:r>
          </w:p>
        </w:tc>
        <w:tc>
          <w:tcPr>
            <w:tcW w:w="2410" w:type="dxa"/>
            <w:tcBorders>
              <w:top w:val="single" w:color="auto" w:sz="12" w:space="0"/>
              <w:bottom w:val="double" w:color="auto" w:sz="6" w:space="0"/>
            </w:tcBorders>
            <w:vAlign w:val="center"/>
          </w:tcPr>
          <w:p w14:paraId="6E65229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结构形式</w:t>
            </w:r>
          </w:p>
        </w:tc>
        <w:tc>
          <w:tcPr>
            <w:tcW w:w="850" w:type="dxa"/>
            <w:tcBorders>
              <w:top w:val="single" w:color="auto" w:sz="12" w:space="0"/>
              <w:bottom w:val="double" w:color="auto" w:sz="6" w:space="0"/>
            </w:tcBorders>
            <w:vAlign w:val="center"/>
          </w:tcPr>
          <w:p w14:paraId="6E612E7E">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层数</w:t>
            </w:r>
          </w:p>
        </w:tc>
        <w:tc>
          <w:tcPr>
            <w:tcW w:w="1560" w:type="dxa"/>
            <w:tcBorders>
              <w:top w:val="single" w:color="auto" w:sz="12" w:space="0"/>
              <w:bottom w:val="double" w:color="auto" w:sz="6" w:space="0"/>
            </w:tcBorders>
            <w:vAlign w:val="center"/>
          </w:tcPr>
          <w:p w14:paraId="7467399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生产能力</w:t>
            </w:r>
          </w:p>
        </w:tc>
        <w:tc>
          <w:tcPr>
            <w:tcW w:w="2126" w:type="dxa"/>
            <w:tcBorders>
              <w:top w:val="single" w:color="auto" w:sz="12" w:space="0"/>
              <w:bottom w:val="double" w:color="auto" w:sz="6" w:space="0"/>
            </w:tcBorders>
            <w:vAlign w:val="center"/>
          </w:tcPr>
          <w:p w14:paraId="6DF2AC16">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设备安装内容</w:t>
            </w:r>
          </w:p>
        </w:tc>
        <w:tc>
          <w:tcPr>
            <w:tcW w:w="1417" w:type="dxa"/>
            <w:tcBorders>
              <w:top w:val="single" w:color="auto" w:sz="12" w:space="0"/>
              <w:bottom w:val="double" w:color="auto" w:sz="6" w:space="0"/>
            </w:tcBorders>
            <w:vAlign w:val="center"/>
          </w:tcPr>
          <w:p w14:paraId="52AB328C">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合同价格（元）</w:t>
            </w:r>
          </w:p>
        </w:tc>
        <w:tc>
          <w:tcPr>
            <w:tcW w:w="851" w:type="dxa"/>
            <w:tcBorders>
              <w:top w:val="single" w:color="auto" w:sz="12" w:space="0"/>
              <w:bottom w:val="double" w:color="auto" w:sz="6" w:space="0"/>
            </w:tcBorders>
            <w:vAlign w:val="center"/>
          </w:tcPr>
          <w:p w14:paraId="5479E21D">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开工日期</w:t>
            </w:r>
          </w:p>
        </w:tc>
        <w:tc>
          <w:tcPr>
            <w:tcW w:w="850" w:type="dxa"/>
            <w:tcBorders>
              <w:top w:val="single" w:color="auto" w:sz="12" w:space="0"/>
              <w:bottom w:val="double" w:color="auto" w:sz="6" w:space="0"/>
            </w:tcBorders>
            <w:vAlign w:val="center"/>
          </w:tcPr>
          <w:p w14:paraId="49C75AB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竣工日期</w:t>
            </w:r>
          </w:p>
        </w:tc>
      </w:tr>
      <w:tr w14:paraId="56CD3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7AE947A2">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double" w:color="auto" w:sz="6" w:space="0"/>
              <w:bottom w:val="single" w:color="auto" w:sz="6" w:space="0"/>
            </w:tcBorders>
            <w:vAlign w:val="center"/>
          </w:tcPr>
          <w:p w14:paraId="6D25568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double" w:color="auto" w:sz="6" w:space="0"/>
              <w:bottom w:val="single" w:color="auto" w:sz="6" w:space="0"/>
            </w:tcBorders>
            <w:vAlign w:val="center"/>
          </w:tcPr>
          <w:p w14:paraId="5B6F3AD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double" w:color="auto" w:sz="6" w:space="0"/>
              <w:bottom w:val="single" w:color="auto" w:sz="6" w:space="0"/>
            </w:tcBorders>
            <w:vAlign w:val="center"/>
          </w:tcPr>
          <w:p w14:paraId="5A665E86">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double" w:color="auto" w:sz="6" w:space="0"/>
              <w:bottom w:val="single" w:color="auto" w:sz="6" w:space="0"/>
            </w:tcBorders>
            <w:vAlign w:val="center"/>
          </w:tcPr>
          <w:p w14:paraId="65EA6F79">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double" w:color="auto" w:sz="6" w:space="0"/>
              <w:bottom w:val="single" w:color="auto" w:sz="6" w:space="0"/>
            </w:tcBorders>
            <w:vAlign w:val="center"/>
          </w:tcPr>
          <w:p w14:paraId="054BC3A9">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double" w:color="auto" w:sz="6" w:space="0"/>
              <w:bottom w:val="single" w:color="auto" w:sz="6" w:space="0"/>
            </w:tcBorders>
            <w:vAlign w:val="center"/>
          </w:tcPr>
          <w:p w14:paraId="54FA10C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double" w:color="auto" w:sz="6" w:space="0"/>
              <w:bottom w:val="single" w:color="auto" w:sz="6" w:space="0"/>
            </w:tcBorders>
            <w:vAlign w:val="center"/>
          </w:tcPr>
          <w:p w14:paraId="7801F7B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double" w:color="auto" w:sz="6" w:space="0"/>
              <w:bottom w:val="single" w:color="auto" w:sz="6" w:space="0"/>
            </w:tcBorders>
            <w:vAlign w:val="center"/>
          </w:tcPr>
          <w:p w14:paraId="658A5FE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double" w:color="auto" w:sz="6" w:space="0"/>
              <w:bottom w:val="single" w:color="auto" w:sz="6" w:space="0"/>
            </w:tcBorders>
            <w:vAlign w:val="center"/>
          </w:tcPr>
          <w:p w14:paraId="619FEE2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3EC28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CC717D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nil"/>
            </w:tcBorders>
            <w:vAlign w:val="center"/>
          </w:tcPr>
          <w:p w14:paraId="3F659A5F">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65E8A27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nil"/>
            </w:tcBorders>
            <w:vAlign w:val="center"/>
          </w:tcPr>
          <w:p w14:paraId="26DD7C0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2BF24FD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nil"/>
            </w:tcBorders>
            <w:vAlign w:val="center"/>
          </w:tcPr>
          <w:p w14:paraId="3C71CFA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nil"/>
            </w:tcBorders>
            <w:vAlign w:val="center"/>
          </w:tcPr>
          <w:p w14:paraId="6D53969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431DB25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nil"/>
            </w:tcBorders>
            <w:vAlign w:val="center"/>
          </w:tcPr>
          <w:p w14:paraId="0B904E7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00A2BFA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3B1F7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E8367F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nil"/>
            </w:tcBorders>
            <w:vAlign w:val="center"/>
          </w:tcPr>
          <w:p w14:paraId="6D5179B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0AF1BF86">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nil"/>
            </w:tcBorders>
            <w:vAlign w:val="center"/>
          </w:tcPr>
          <w:p w14:paraId="4A05AAEC">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1D6CE3F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nil"/>
            </w:tcBorders>
            <w:vAlign w:val="center"/>
          </w:tcPr>
          <w:p w14:paraId="1B44EA4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nil"/>
            </w:tcBorders>
            <w:vAlign w:val="center"/>
          </w:tcPr>
          <w:p w14:paraId="6EE7B75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7CF4167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nil"/>
            </w:tcBorders>
            <w:vAlign w:val="center"/>
          </w:tcPr>
          <w:p w14:paraId="4234EE2C">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4E0DAB4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6CC4E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EF571FF">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vAlign w:val="center"/>
          </w:tcPr>
          <w:p w14:paraId="6283C15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087595D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vAlign w:val="center"/>
          </w:tcPr>
          <w:p w14:paraId="04C4F7CF">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4A912B9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vAlign w:val="center"/>
          </w:tcPr>
          <w:p w14:paraId="3A99E98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vAlign w:val="center"/>
          </w:tcPr>
          <w:p w14:paraId="02D1523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792C349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vAlign w:val="center"/>
          </w:tcPr>
          <w:p w14:paraId="0148122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3992C10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48ECE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9BB82B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nil"/>
            </w:tcBorders>
            <w:vAlign w:val="center"/>
          </w:tcPr>
          <w:p w14:paraId="56FEC54F">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0D4910D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nil"/>
            </w:tcBorders>
            <w:vAlign w:val="center"/>
          </w:tcPr>
          <w:p w14:paraId="45ACCD8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1E3B48C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nil"/>
            </w:tcBorders>
            <w:vAlign w:val="center"/>
          </w:tcPr>
          <w:p w14:paraId="77281A5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nil"/>
            </w:tcBorders>
            <w:vAlign w:val="center"/>
          </w:tcPr>
          <w:p w14:paraId="4B61845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09A93E1C">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nil"/>
            </w:tcBorders>
            <w:vAlign w:val="center"/>
          </w:tcPr>
          <w:p w14:paraId="60E5EA6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06B48BA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5CCBE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4D00349">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vAlign w:val="center"/>
          </w:tcPr>
          <w:p w14:paraId="77E90112">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64BF449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vAlign w:val="center"/>
          </w:tcPr>
          <w:p w14:paraId="3077791F">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028F730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vAlign w:val="center"/>
          </w:tcPr>
          <w:p w14:paraId="548CF629">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vAlign w:val="center"/>
          </w:tcPr>
          <w:p w14:paraId="2F05AF7E">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2E70FC4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vAlign w:val="center"/>
          </w:tcPr>
          <w:p w14:paraId="19F3003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1ED7AB1C">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17711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8F7570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nil"/>
            </w:tcBorders>
            <w:vAlign w:val="center"/>
          </w:tcPr>
          <w:p w14:paraId="7B2D3C5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2A91276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nil"/>
            </w:tcBorders>
            <w:vAlign w:val="center"/>
          </w:tcPr>
          <w:p w14:paraId="3375878E">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166878A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nil"/>
            </w:tcBorders>
            <w:vAlign w:val="center"/>
          </w:tcPr>
          <w:p w14:paraId="2A2CCE2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nil"/>
            </w:tcBorders>
            <w:vAlign w:val="center"/>
          </w:tcPr>
          <w:p w14:paraId="306B771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0048BCB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nil"/>
            </w:tcBorders>
            <w:vAlign w:val="center"/>
          </w:tcPr>
          <w:p w14:paraId="54FA89B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7338631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1BC60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97B6989">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nil"/>
            </w:tcBorders>
            <w:vAlign w:val="center"/>
          </w:tcPr>
          <w:p w14:paraId="46D07A2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191C8A3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nil"/>
            </w:tcBorders>
            <w:vAlign w:val="center"/>
          </w:tcPr>
          <w:p w14:paraId="08A83C52">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308D3E6A">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nil"/>
            </w:tcBorders>
            <w:vAlign w:val="center"/>
          </w:tcPr>
          <w:p w14:paraId="0BEE861E">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nil"/>
            </w:tcBorders>
            <w:vAlign w:val="center"/>
          </w:tcPr>
          <w:p w14:paraId="18D2667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0372558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nil"/>
            </w:tcBorders>
            <w:vAlign w:val="center"/>
          </w:tcPr>
          <w:p w14:paraId="3660E169">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467E6E13">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6DD6C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E187DA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vAlign w:val="center"/>
          </w:tcPr>
          <w:p w14:paraId="57ABB63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6B2C564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vAlign w:val="center"/>
          </w:tcPr>
          <w:p w14:paraId="50B9341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47248FE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vAlign w:val="center"/>
          </w:tcPr>
          <w:p w14:paraId="79BD9716">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vAlign w:val="center"/>
          </w:tcPr>
          <w:p w14:paraId="06ACEE9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72B46A5D">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vAlign w:val="center"/>
          </w:tcPr>
          <w:p w14:paraId="7443E83D">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3D10E1BB">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227D7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395FA8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tcBorders>
              <w:top w:val="nil"/>
            </w:tcBorders>
            <w:vAlign w:val="center"/>
          </w:tcPr>
          <w:p w14:paraId="661F312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517AB64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tcBorders>
              <w:top w:val="nil"/>
            </w:tcBorders>
            <w:vAlign w:val="center"/>
          </w:tcPr>
          <w:p w14:paraId="1C57E7C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2EC0DF2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tcBorders>
              <w:top w:val="nil"/>
            </w:tcBorders>
            <w:vAlign w:val="center"/>
          </w:tcPr>
          <w:p w14:paraId="775400BD">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tcBorders>
              <w:top w:val="nil"/>
            </w:tcBorders>
            <w:vAlign w:val="center"/>
          </w:tcPr>
          <w:p w14:paraId="2ED7D60D">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tcBorders>
              <w:top w:val="nil"/>
            </w:tcBorders>
            <w:vAlign w:val="center"/>
          </w:tcPr>
          <w:p w14:paraId="26180A2E">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tcBorders>
              <w:top w:val="nil"/>
            </w:tcBorders>
            <w:vAlign w:val="center"/>
          </w:tcPr>
          <w:p w14:paraId="449DB73E">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tcBorders>
              <w:top w:val="nil"/>
            </w:tcBorders>
            <w:vAlign w:val="center"/>
          </w:tcPr>
          <w:p w14:paraId="0A2BDA6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r w14:paraId="03716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2DB77D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843" w:type="dxa"/>
            <w:vAlign w:val="center"/>
          </w:tcPr>
          <w:p w14:paraId="2F5128F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79466E07">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410" w:type="dxa"/>
            <w:vAlign w:val="center"/>
          </w:tcPr>
          <w:p w14:paraId="0D1422DC">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6D3FFA61">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560" w:type="dxa"/>
            <w:vAlign w:val="center"/>
          </w:tcPr>
          <w:p w14:paraId="05D1BA08">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2126" w:type="dxa"/>
            <w:vAlign w:val="center"/>
          </w:tcPr>
          <w:p w14:paraId="0CEA1E90">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1417" w:type="dxa"/>
            <w:vAlign w:val="center"/>
          </w:tcPr>
          <w:p w14:paraId="4D6C79F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1" w:type="dxa"/>
            <w:vAlign w:val="center"/>
          </w:tcPr>
          <w:p w14:paraId="4C08D544">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c>
          <w:tcPr>
            <w:tcW w:w="850" w:type="dxa"/>
            <w:vAlign w:val="center"/>
          </w:tcPr>
          <w:p w14:paraId="34E53C85">
            <w:pPr>
              <w:pStyle w:val="16"/>
              <w:keepNext/>
              <w:spacing w:after="0"/>
              <w:ind w:left="63" w:right="63"/>
              <w:rPr>
                <w:rFonts w:hint="eastAsia" w:ascii="宋体" w:hAnsi="宋体" w:eastAsia="宋体" w:cs="宋体"/>
                <w:color w:val="000000" w:themeColor="text1"/>
                <w:kern w:val="2"/>
                <w:sz w:val="24"/>
                <w:szCs w:val="24"/>
                <w:highlight w:val="none"/>
                <w14:textFill>
                  <w14:solidFill>
                    <w14:schemeClr w14:val="tx1"/>
                  </w14:solidFill>
                </w14:textFill>
              </w:rPr>
            </w:pPr>
          </w:p>
        </w:tc>
      </w:tr>
    </w:tbl>
    <w:p w14:paraId="70F5EA0B">
      <w:pPr>
        <w:rPr>
          <w:rFonts w:hint="eastAsia" w:ascii="宋体" w:hAnsi="宋体" w:eastAsia="宋体" w:cs="宋体"/>
          <w:b/>
          <w:color w:val="000000" w:themeColor="text1"/>
          <w:sz w:val="24"/>
          <w:szCs w:val="24"/>
          <w:highlight w:val="none"/>
          <w14:textFill>
            <w14:solidFill>
              <w14:schemeClr w14:val="tx1"/>
            </w14:solidFill>
          </w14:textFill>
        </w:rPr>
        <w:sectPr>
          <w:pgSz w:w="16838" w:h="11906" w:orient="landscape"/>
          <w:pgMar w:top="850" w:right="850" w:bottom="850" w:left="1417" w:header="283" w:footer="992" w:gutter="0"/>
          <w:pgBorders>
            <w:top w:val="none" w:sz="0" w:space="0"/>
            <w:left w:val="none" w:sz="0" w:space="0"/>
            <w:bottom w:val="none" w:sz="0" w:space="0"/>
            <w:right w:val="none" w:sz="0" w:space="0"/>
          </w:pgBorders>
          <w:cols w:space="720" w:num="1"/>
          <w:titlePg/>
          <w:docGrid w:type="linesAndChars" w:linePitch="312" w:charSpace="0"/>
        </w:sectPr>
      </w:pPr>
    </w:p>
    <w:p w14:paraId="1167D8AC">
      <w:pPr>
        <w:pStyle w:val="2"/>
        <w:rPr>
          <w:rFonts w:hint="eastAsia" w:ascii="宋体" w:hAnsi="宋体" w:eastAsia="宋体" w:cs="宋体"/>
          <w:color w:val="000000" w:themeColor="text1"/>
          <w:sz w:val="24"/>
          <w:szCs w:val="24"/>
          <w:highlight w:val="none"/>
          <w14:textFill>
            <w14:solidFill>
              <w14:schemeClr w14:val="tx1"/>
            </w14:solidFill>
          </w14:textFill>
        </w:rPr>
      </w:pPr>
    </w:p>
    <w:p w14:paraId="08E54503">
      <w:pPr>
        <w:tabs>
          <w:tab w:val="left" w:pos="0"/>
          <w:tab w:val="left" w:pos="1134"/>
        </w:tabs>
        <w:adjustRightInd w:val="0"/>
        <w:snapToGrid w:val="0"/>
        <w:spacing w:line="300" w:lineRule="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附件2 </w:t>
      </w:r>
    </w:p>
    <w:p w14:paraId="12D1F5EC">
      <w:pPr>
        <w:tabs>
          <w:tab w:val="left" w:pos="0"/>
          <w:tab w:val="left" w:pos="1134"/>
        </w:tabs>
        <w:adjustRightInd w:val="0"/>
        <w:snapToGrid w:val="0"/>
        <w:spacing w:line="300" w:lineRule="auto"/>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工程质量保修书</w:t>
      </w:r>
    </w:p>
    <w:p w14:paraId="3521763C">
      <w:pPr>
        <w:pStyle w:val="2"/>
        <w:rPr>
          <w:rFonts w:hint="eastAsia" w:ascii="宋体" w:hAnsi="宋体" w:eastAsia="宋体" w:cs="宋体"/>
          <w:color w:val="000000" w:themeColor="text1"/>
          <w:sz w:val="24"/>
          <w:szCs w:val="24"/>
          <w:highlight w:val="none"/>
          <w14:textFill>
            <w14:solidFill>
              <w14:schemeClr w14:val="tx1"/>
            </w14:solidFill>
          </w14:textFill>
        </w:rPr>
      </w:pPr>
    </w:p>
    <w:p w14:paraId="7A240B4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发包人（全称）：</w:t>
      </w:r>
      <w:r>
        <w:rPr>
          <w:rFonts w:hint="eastAsia" w:ascii="宋体" w:hAnsi="宋体" w:cs="宋体"/>
          <w:snapToGrid w:val="0"/>
          <w:color w:val="000000" w:themeColor="text1"/>
          <w:sz w:val="24"/>
          <w:szCs w:val="24"/>
          <w:highlight w:val="none"/>
          <w:u w:val="single"/>
          <w:lang w:eastAsia="zh-CN"/>
          <w14:textFill>
            <w14:solidFill>
              <w14:schemeClr w14:val="tx1"/>
            </w14:solidFill>
          </w14:textFill>
        </w:rPr>
        <w:t>南京市栖霞区市政设施综合养护管理所</w:t>
      </w:r>
    </w:p>
    <w:p w14:paraId="498D8B9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承包人（全称）：</w:t>
      </w:r>
    </w:p>
    <w:p w14:paraId="7CA821D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发包人和承包人根据《中华人民共和国建筑法》和《建设工程质量管理条例》，经协商一致就</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（工程全称）</w:t>
      </w:r>
      <w:r>
        <w:rPr>
          <w:rFonts w:hint="eastAsia" w:ascii="宋体" w:hAnsi="宋体" w:eastAsia="宋体" w:cs="宋体"/>
          <w:snapToGrid w:val="0"/>
          <w:color w:val="000000" w:themeColor="text1"/>
          <w:sz w:val="24"/>
          <w:szCs w:val="24"/>
          <w:highlight w:val="none"/>
          <w14:textFill>
            <w14:solidFill>
              <w14:schemeClr w14:val="tx1"/>
            </w14:solidFill>
          </w14:textFill>
        </w:rPr>
        <w:t>签订工程质量保修书。</w:t>
      </w:r>
    </w:p>
    <w:p w14:paraId="6F7D845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一、工程质量保修范围和内容</w:t>
      </w:r>
    </w:p>
    <w:p w14:paraId="15A6AAB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承包人在质量保修期内，按照有关法律规定和合同约定，承担工程质量保修责任。</w:t>
      </w:r>
    </w:p>
    <w:p w14:paraId="79A1724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质量保修范围包括地路面工程、交通设施工程及电力管道铺设工程和双方约定的其他相关工程等项目。</w:t>
      </w:r>
    </w:p>
    <w:p w14:paraId="676212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具体保修的内容，双方约定如下：</w:t>
      </w:r>
      <w:r>
        <w:rPr>
          <w:rFonts w:hint="eastAsia" w:ascii="宋体" w:hAnsi="宋体" w:eastAsia="宋体" w:cs="宋体"/>
          <w:snapToGrid w:val="0"/>
          <w:color w:val="000000" w:themeColor="text1"/>
          <w:sz w:val="24"/>
          <w:szCs w:val="24"/>
          <w:highlight w:val="none"/>
          <w:u w:val="single"/>
          <w14:textFill>
            <w14:solidFill>
              <w14:schemeClr w14:val="tx1"/>
            </w14:solidFill>
          </w14:textFill>
        </w:rPr>
        <w:t>保修范围为乙方承包施工的全部内容。</w:t>
      </w:r>
    </w:p>
    <w:p w14:paraId="41ECB91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二、质量保修期</w:t>
      </w:r>
    </w:p>
    <w:p w14:paraId="59C5209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根据《建设工程质量管理条例》及有关规定，本工程的质量保修期为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 xml:space="preserve">年； </w:t>
      </w:r>
    </w:p>
    <w:p w14:paraId="570C5AE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质量保修期自工程竣工验收合格之日起计算。</w:t>
      </w:r>
    </w:p>
    <w:p w14:paraId="739245A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三、缺陷责任期</w:t>
      </w:r>
    </w:p>
    <w:p w14:paraId="51DA7E6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工程缺陷责任期为个月，缺陷责任期自工程通过竣工验收之日起计算。单位工程先于全部工程进行验收，单位工程缺陷责任期自单位工程验收合格之日起算。</w:t>
      </w:r>
    </w:p>
    <w:p w14:paraId="6860B17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缺陷责任期终止后，发包人应无息退还剩余的质量保证金。</w:t>
      </w:r>
    </w:p>
    <w:p w14:paraId="6F000E6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四、质量保修责任</w:t>
      </w:r>
    </w:p>
    <w:p w14:paraId="25E4867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625EB2B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2．发生紧急事故需抢修的，承包人在接到事故通知后，应当立即到达事故现场抢修。</w:t>
      </w:r>
    </w:p>
    <w:p w14:paraId="1CDB709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F40E0D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4．质量保修完成后，由发包人组织验收。</w:t>
      </w:r>
    </w:p>
    <w:p w14:paraId="45E68B8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五、保修费用</w:t>
      </w:r>
    </w:p>
    <w:p w14:paraId="002D38D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保修费用由造成质量缺陷的责任方承担。</w:t>
      </w:r>
    </w:p>
    <w:p w14:paraId="12D37B1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六、双方约定的其他工程质量保修事项：</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 </w:t>
      </w:r>
      <w:r>
        <w:rPr>
          <w:rFonts w:hint="eastAsia" w:ascii="宋体" w:hAnsi="宋体" w:eastAsia="宋体" w:cs="宋体"/>
          <w:snapToGrid w:val="0"/>
          <w:color w:val="000000" w:themeColor="text1"/>
          <w:sz w:val="24"/>
          <w:szCs w:val="24"/>
          <w:highlight w:val="none"/>
          <w14:textFill>
            <w14:solidFill>
              <w14:schemeClr w14:val="tx1"/>
            </w14:solidFill>
          </w14:textFill>
        </w:rPr>
        <w:t>。            。</w:t>
      </w:r>
    </w:p>
    <w:p w14:paraId="72C864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14:paraId="5812869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C9255C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发包人(公章)：                             承包人(公章)：           </w:t>
      </w:r>
    </w:p>
    <w:p w14:paraId="3799377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地  址：                                   地  址：       </w:t>
      </w:r>
    </w:p>
    <w:p w14:paraId="7D99DE1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法定代表人(签字)：                         法定代表人(签字)：       </w:t>
      </w:r>
    </w:p>
    <w:p w14:paraId="09178EB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委托代理人(签字)：                         委托代理人(签字)：       </w:t>
      </w:r>
    </w:p>
    <w:p w14:paraId="1CB2E2E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电  话：                                   电  话：     </w:t>
      </w:r>
    </w:p>
    <w:p w14:paraId="1C53777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传  真：                                    传  真：     </w:t>
      </w:r>
    </w:p>
    <w:p w14:paraId="1FDEC31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开户银行：                                  开户银行：   </w:t>
      </w:r>
    </w:p>
    <w:p w14:paraId="7CDCC83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账  号：                                    账  号：     </w:t>
      </w:r>
    </w:p>
    <w:p w14:paraId="1E132D1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邮政编码：                                  邮政编码：</w:t>
      </w:r>
    </w:p>
    <w:p w14:paraId="44D68019">
      <w:pPr>
        <w:tabs>
          <w:tab w:val="left" w:pos="0"/>
          <w:tab w:val="left" w:pos="1134"/>
        </w:tabs>
        <w:adjustRightInd w:val="0"/>
        <w:snapToGrid w:val="0"/>
        <w:spacing w:line="300" w:lineRule="auto"/>
        <w:rPr>
          <w:rFonts w:hint="eastAsia" w:ascii="宋体" w:hAnsi="宋体" w:eastAsia="宋体" w:cs="宋体"/>
          <w:snapToGrid w:val="0"/>
          <w:color w:val="000000" w:themeColor="text1"/>
          <w:sz w:val="24"/>
          <w:szCs w:val="24"/>
          <w:highlight w:val="none"/>
          <w14:textFill>
            <w14:solidFill>
              <w14:schemeClr w14:val="tx1"/>
            </w14:solidFill>
          </w14:textFill>
        </w:rPr>
      </w:pPr>
    </w:p>
    <w:p w14:paraId="063FBD9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33300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br w:type="page"/>
      </w:r>
    </w:p>
    <w:p w14:paraId="79F0C823">
      <w:pPr>
        <w:autoSpaceDE w:val="0"/>
        <w:autoSpaceDN w:val="0"/>
        <w:adjustRightInd w:val="0"/>
        <w:spacing w:line="276"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76D473A">
      <w:pPr>
        <w:spacing w:line="600" w:lineRule="exac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附件3</w:t>
      </w:r>
    </w:p>
    <w:p w14:paraId="1E7021E0">
      <w:pPr>
        <w:tabs>
          <w:tab w:val="left" w:pos="0"/>
          <w:tab w:val="left" w:pos="1134"/>
        </w:tabs>
        <w:adjustRightInd w:val="0"/>
        <w:snapToGrid w:val="0"/>
        <w:spacing w:line="300" w:lineRule="auto"/>
        <w:ind w:firstLine="3600" w:firstLineChars="15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保密协议</w:t>
      </w:r>
    </w:p>
    <w:p w14:paraId="3E99800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w:t>
      </w:r>
      <w:r>
        <w:rPr>
          <w:rFonts w:hint="eastAsia" w:ascii="宋体" w:hAnsi="宋体" w:cs="宋体"/>
          <w:snapToGrid w:val="0"/>
          <w:color w:val="000000" w:themeColor="text1"/>
          <w:sz w:val="24"/>
          <w:szCs w:val="24"/>
          <w:highlight w:val="none"/>
          <w:u w:val="single"/>
          <w:lang w:eastAsia="zh-CN"/>
          <w14:textFill>
            <w14:solidFill>
              <w14:schemeClr w14:val="tx1"/>
            </w14:solidFill>
          </w14:textFill>
        </w:rPr>
        <w:t>南京市栖霞区市政设施综合养护管理所</w:t>
      </w:r>
    </w:p>
    <w:p w14:paraId="1808791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乙方：</w:t>
      </w:r>
    </w:p>
    <w:p w14:paraId="4D82ED7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根据甲乙双方  年  月  日签定的《合同》,该项目为涉密项目。施工单位（乙方）在实施过程中必须遵照《中华人民共和国保守国家秘密法》履行以下保密责任。</w:t>
      </w:r>
    </w:p>
    <w:p w14:paraId="1B17881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乙方在施工期间及竣工后有关保守甲方技术秘密和其他秘密的有关事项，签定协议如下： </w:t>
      </w:r>
    </w:p>
    <w:p w14:paraId="074BD38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1、甲乙双方均有责任对上述《合同》内容保守秘密，对因合同内容的公开而造成经济和名誉损失，有责任的一方承担法律责任。</w:t>
      </w:r>
    </w:p>
    <w:p w14:paraId="4747157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２、乙方应将</w:t>
      </w:r>
      <w:bookmarkStart w:id="1004" w:name="baidusnap0"/>
      <w:bookmarkEnd w:id="1004"/>
      <w:r>
        <w:rPr>
          <w:rFonts w:hint="eastAsia" w:ascii="宋体" w:hAnsi="宋体" w:eastAsia="宋体" w:cs="宋体"/>
          <w:snapToGrid w:val="0"/>
          <w:color w:val="000000" w:themeColor="text1"/>
          <w:sz w:val="24"/>
          <w:szCs w:val="24"/>
          <w:highlight w:val="none"/>
          <w14:textFill>
            <w14:solidFill>
              <w14:schemeClr w14:val="tx1"/>
            </w14:solidFill>
          </w14:textFill>
        </w:rPr>
        <w:t>合同的所有细节包括施工过程由甲方提供的所有技术资料作为保密资料对待，在没有得到甲方或甲方监理工程师的事先批准，合同的任何部分不应在任何商业或技术文献上刊登或披露。也不得企图将其中的由甲方所提供的技术资料用作与本工程无关的事宜。</w:t>
      </w:r>
    </w:p>
    <w:p w14:paraId="12E3FAE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在本合同项下，由甲方提供给乙方的所有图纸和文件细则均被认为是机密，并由乙方要求其相关人员妥善保管，未经甲方的书面许可乙方不得对外或第三方公开披露；不得以任何形式，向媒体透露所承揽工程的相关情况。</w:t>
      </w:r>
    </w:p>
    <w:p w14:paraId="67B5063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4、所有工程照片的版权归甲方所有，没有甲方批推，乙方不得作任何应用。已批准的文章、照片和类似材料的出版应通知甲方。</w:t>
      </w:r>
    </w:p>
    <w:p w14:paraId="4DF08D2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5、乙方不应在工地或其施工设备上展出或允许展出任何贸易或商业广告，在工地上粘贴的所有通知应事先征得业主的批准。</w:t>
      </w:r>
    </w:p>
    <w:p w14:paraId="1D5405B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在《合同》项目下，由甲方提供的所有图纸、文件的著作权归甲方或虽属于第三方但甲方承诺保证权利不受侵犯。根据国家《建设工程勘察设计管理条例》的规定，乙方只有使用与本合同工程有关的安装、调试操作或维护、备品备件采购所必需的图纸、文件的权利，并且只用于本合同工程。未经甲方的书面许可，乙方不得擅自修改或用于本合同以外的工程。</w:t>
      </w:r>
    </w:p>
    <w:p w14:paraId="2FA2E0A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由甲方提供的本合同工程的基本设计、详细设计的所有图纸、文字说明、图表以及工程建设期间提供的安装、调试、培训资料均属于甲方或甲方供应商的专有技术和技术诀窍。乙方理解并且同意未经甲方事先书面许可不得提供或采用其它方式将本合同工程以及本合同工程的任何一部分所涉及到的专利技术和技术诀窍透露给第三方。因此发生任何第三方指控侵权时，乙方与第三方交涉并承担由此所发生的一切法律和经济责任。</w:t>
      </w:r>
    </w:p>
    <w:p w14:paraId="56F8826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8、乙方在甲方施工期间，未经甲方允许，不得介绍第三方相关人员或冒充乙方施工人员进入工程现场，以窃取甲方的内部机密。</w:t>
      </w:r>
    </w:p>
    <w:p w14:paraId="7AFF677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9、工程竣工后乙方仍对其在甲方施工期间接触、知悉的属于甲方或者虽属于第三方但甲方承诺有保密义务的技术秘密和其他商业秘密信息有保密义务。</w:t>
      </w:r>
    </w:p>
    <w:p w14:paraId="67F98A9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10、乙方承担保密义务的期限为无限期保密，直至甲方宣布解密或者秘密信息实际上已经公开。由此而导致的任何知识产权方面的纠纷或赔偿，将由违反规定的一方向对方承担全部的赔偿责任。</w:t>
      </w:r>
    </w:p>
    <w:p w14:paraId="7837DDA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11、本协议提及的技术秘密和商业秘密，包括但不限于：工程概况、工程规模、工期计划、施工方案、设计、图纸资料、相关函电等等。</w:t>
      </w:r>
    </w:p>
    <w:p w14:paraId="61D7FB4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12、乙方如违反本协议任一条款，应当一次性向乙方支付违约金工程合同额的10%；并视情节严重程度，甲方有权不经预告立即解除与甲方的合同关系。</w:t>
      </w:r>
    </w:p>
    <w:p w14:paraId="2384D76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13、乙方的违约行为给甲方造成损失的，乙方应当赔偿甲方的损失。违约金不能代替赔偿损失，赔偿金可从工程合同款中扣除。</w:t>
      </w:r>
    </w:p>
    <w:p w14:paraId="3F4F65A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因本协议而引起的纠纷，如果协商解决不成，任何一方均有权提起诉讼。双方同意，选择甲方所住地的、符合级别管辖规定的人民法院作为双方合同纠纷的第一审管辖法院。上述约定不影响甲方请求知识产权管理部门对侵权行为进行行政处理。</w:t>
      </w:r>
    </w:p>
    <w:p w14:paraId="1FF9EA0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 本协议自双方签字及盖章后生效。</w:t>
      </w:r>
    </w:p>
    <w:p w14:paraId="73AE683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16、 本协议与所签定的《合同》为同一主体，为不可分割的组成部分。</w:t>
      </w:r>
    </w:p>
    <w:p w14:paraId="27B500B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17、 双方确认，在签署本协议前已仔细审阅过协议的内容，并完全了解协议各条款的法律含义。</w:t>
      </w:r>
    </w:p>
    <w:tbl>
      <w:tblPr>
        <w:tblStyle w:val="34"/>
        <w:tblpPr w:leftFromText="180" w:rightFromText="180" w:vertAnchor="text" w:horzAnchor="margin"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3"/>
        <w:gridCol w:w="4875"/>
      </w:tblGrid>
      <w:tr w14:paraId="6A5A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183" w:type="dxa"/>
            <w:tcBorders>
              <w:top w:val="nil"/>
              <w:left w:val="nil"/>
              <w:bottom w:val="nil"/>
              <w:right w:val="nil"/>
            </w:tcBorders>
          </w:tcPr>
          <w:p w14:paraId="5C5202F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甲方：</w:t>
            </w:r>
            <w:r>
              <w:rPr>
                <w:rFonts w:hint="eastAsia" w:ascii="宋体" w:hAnsi="宋体" w:cs="宋体"/>
                <w:snapToGrid w:val="0"/>
                <w:color w:val="000000" w:themeColor="text1"/>
                <w:sz w:val="24"/>
                <w:szCs w:val="24"/>
                <w:highlight w:val="none"/>
                <w:lang w:eastAsia="zh-CN"/>
                <w14:textFill>
                  <w14:solidFill>
                    <w14:schemeClr w14:val="tx1"/>
                  </w14:solidFill>
                </w14:textFill>
              </w:rPr>
              <w:t>南京市栖霞区市政设施综合养护管理所</w:t>
            </w:r>
          </w:p>
          <w:p w14:paraId="78D08BD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（公章）    </w:t>
            </w:r>
          </w:p>
        </w:tc>
        <w:tc>
          <w:tcPr>
            <w:tcW w:w="4875" w:type="dxa"/>
            <w:tcBorders>
              <w:top w:val="nil"/>
              <w:left w:val="nil"/>
              <w:bottom w:val="nil"/>
              <w:right w:val="nil"/>
            </w:tcBorders>
          </w:tcPr>
          <w:p w14:paraId="38EF369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乙方：  </w:t>
            </w:r>
          </w:p>
          <w:p w14:paraId="3A19897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（公章）</w:t>
            </w:r>
          </w:p>
          <w:p w14:paraId="2D91320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tc>
      </w:tr>
      <w:tr w14:paraId="1C5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183" w:type="dxa"/>
            <w:tcBorders>
              <w:top w:val="nil"/>
              <w:left w:val="nil"/>
              <w:bottom w:val="nil"/>
              <w:right w:val="nil"/>
            </w:tcBorders>
          </w:tcPr>
          <w:p w14:paraId="23B83E1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16DA851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法定代表人或其授权代表：</w:t>
            </w:r>
          </w:p>
          <w:p w14:paraId="1F37151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（签字）</w:t>
            </w:r>
          </w:p>
          <w:p w14:paraId="22295A0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348FDA9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日期：   年   月   日 </w:t>
            </w:r>
          </w:p>
        </w:tc>
        <w:tc>
          <w:tcPr>
            <w:tcW w:w="4875" w:type="dxa"/>
            <w:tcBorders>
              <w:top w:val="nil"/>
              <w:left w:val="nil"/>
              <w:bottom w:val="nil"/>
              <w:right w:val="nil"/>
            </w:tcBorders>
          </w:tcPr>
          <w:p w14:paraId="2C70D0F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36DA3B9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法定代表人或其授权代表：</w:t>
            </w:r>
          </w:p>
          <w:p w14:paraId="417B7AB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（签字）</w:t>
            </w:r>
          </w:p>
          <w:p w14:paraId="24AD13E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7D10EBF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日期：   年    月   日 </w:t>
            </w:r>
          </w:p>
        </w:tc>
      </w:tr>
    </w:tbl>
    <w:p w14:paraId="3FD46F7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br w:type="page"/>
      </w:r>
      <w:r>
        <w:rPr>
          <w:rFonts w:hint="eastAsia" w:ascii="宋体" w:hAnsi="宋体" w:eastAsia="宋体" w:cs="宋体"/>
          <w:snapToGrid w:val="0"/>
          <w:color w:val="000000" w:themeColor="text1"/>
          <w:sz w:val="24"/>
          <w:szCs w:val="24"/>
          <w:highlight w:val="none"/>
          <w14:textFill>
            <w14:solidFill>
              <w14:schemeClr w14:val="tx1"/>
            </w14:solidFill>
          </w14:textFill>
        </w:rPr>
        <w:t>附件4</w:t>
      </w:r>
    </w:p>
    <w:p w14:paraId="474E0F65">
      <w:pPr>
        <w:tabs>
          <w:tab w:val="left" w:pos="0"/>
          <w:tab w:val="left" w:pos="1134"/>
        </w:tabs>
        <w:adjustRightInd w:val="0"/>
        <w:snapToGrid w:val="0"/>
        <w:spacing w:line="300" w:lineRule="auto"/>
        <w:ind w:firstLine="480" w:firstLineChars="200"/>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施工现场安全文明施工管理处罚规定</w:t>
      </w:r>
    </w:p>
    <w:p w14:paraId="487EDED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1B104C2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为了认真贯彻“安全第一、预防为主”的方针，以安全生产为宗旨，实施施工现场标准化管理，做到安全生产、文明施工，特制订本规定。</w:t>
      </w:r>
    </w:p>
    <w:p w14:paraId="304F4959">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1、进入施工现场必须戴好安全帽，并扣好帽带，如发现不戴安全帽进入施工现场的罚款100元/人次，班组长管理人员加倍罚款。</w:t>
      </w:r>
    </w:p>
    <w:p w14:paraId="59FC12C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2、施工中上、下乱抛掷工具、材料者，罚款100元/次。</w:t>
      </w:r>
    </w:p>
    <w:p w14:paraId="5A4042A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3、在高空、临边、陡坡条件下作业，无安全防护措施的，罚款300元/人次。</w:t>
      </w:r>
    </w:p>
    <w:p w14:paraId="5B104EB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4、施工机械非专职操作者，其他人员禁止动用，违者罚款200元。</w:t>
      </w:r>
    </w:p>
    <w:p w14:paraId="52247B7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5、严禁酒后作业，违者罚款500元。</w:t>
      </w:r>
    </w:p>
    <w:p w14:paraId="0167B91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6、穿拖鞋、高跟鞋进入现场，赤脚赤膊操作者罚款100元/次。</w:t>
      </w:r>
    </w:p>
    <w:p w14:paraId="5ACBB4E3">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7、未经审批同意而擅自拆除脚手架、防护设施、安全标志、警告牌等，视情节轻重处以100元至1000元罚款。</w:t>
      </w:r>
    </w:p>
    <w:p w14:paraId="442BBF1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8、严禁攀爬脚手架、龙门架或不走安全通道上、下楼，严禁坐在脚手架、护栏上休息，违者罚款100元/次。</w:t>
      </w:r>
    </w:p>
    <w:p w14:paraId="27B9077D">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9、施工现场禁止未经批准动用明火，违者罚款500元/次。</w:t>
      </w:r>
    </w:p>
    <w:p w14:paraId="6AB2FE6F">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10、施工现场禁止吸烟，违者罚款100元/人次。</w:t>
      </w:r>
    </w:p>
    <w:p w14:paraId="24079F6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11、严禁在施工现场随意大、小便，违者罚款200元/人次。</w:t>
      </w:r>
    </w:p>
    <w:p w14:paraId="57374CE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12、在施工现场、生活区设置的灭火器等消防器材及安全设施应确保数量足够且符合消防要求，禁止乱动或随意移除，违者罚款500元。灭火器配备数量不足且未在限定时间内补足的，罚款300元/个。</w:t>
      </w:r>
    </w:p>
    <w:p w14:paraId="1269359E">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13、施工现场、生活区严禁私自做饭，严禁厨房电器进入施工现场、宿舍，一经发现予以没收，并罚款200元，宿舍内一律不得私拉乱接电源，不得改装插座和电源线，违者罚款200元。</w:t>
      </w:r>
    </w:p>
    <w:p w14:paraId="481E7EC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14、对任何破坏工程成品设施者，视情节轻重处以500元至1000元罚款。</w:t>
      </w:r>
    </w:p>
    <w:p w14:paraId="36E6FFA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15、对其他突发事件或违反现场安全文明施工管理规定的，根据现场情况及安全隐患大小，视情节给予处罚。</w:t>
      </w:r>
    </w:p>
    <w:p w14:paraId="705E6AEA">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4660696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附件5</w:t>
      </w:r>
    </w:p>
    <w:p w14:paraId="3AC5E47F">
      <w:pPr>
        <w:tabs>
          <w:tab w:val="left" w:pos="0"/>
          <w:tab w:val="left" w:pos="1134"/>
        </w:tabs>
        <w:adjustRightInd w:val="0"/>
        <w:snapToGrid w:val="0"/>
        <w:spacing w:line="300" w:lineRule="auto"/>
        <w:ind w:firstLine="480" w:firstLineChars="200"/>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承   诺   书</w:t>
      </w:r>
    </w:p>
    <w:p w14:paraId="6D25E57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47C4921">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发包人(全称):               </w:t>
      </w:r>
    </w:p>
    <w:p w14:paraId="28AECBA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我单位建设的          项目，根据我国《建筑法》、《招投标法》等国家法律法规，该项目工程建设资金已落实。我单位承诺在该工程所在地履行纳税义务，凭正式发票与甲方结算工程款。</w:t>
      </w:r>
    </w:p>
    <w:p w14:paraId="62EF3A85">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如不能履行上述承诺，甲方有权不予支付工程款，我单位将承担由此带来的一切损失，并承担合同价款5％的经济补偿金。</w:t>
      </w:r>
    </w:p>
    <w:p w14:paraId="45B09561">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p>
    <w:p w14:paraId="6C3980D9">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承诺单位（盖章）：</w:t>
      </w:r>
    </w:p>
    <w:p w14:paraId="3C4162BF">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承诺单位法定代表人或其授权代表（签字）：</w:t>
      </w:r>
    </w:p>
    <w:p w14:paraId="7C55D48E">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年   月   日</w:t>
      </w:r>
    </w:p>
    <w:p w14:paraId="2F95130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BDBA6F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6BB6A78">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附件6</w:t>
      </w:r>
    </w:p>
    <w:p w14:paraId="485F58B7">
      <w:pPr>
        <w:tabs>
          <w:tab w:val="left" w:pos="0"/>
          <w:tab w:val="left" w:pos="1134"/>
        </w:tabs>
        <w:adjustRightInd w:val="0"/>
        <w:snapToGrid w:val="0"/>
        <w:spacing w:line="300" w:lineRule="auto"/>
        <w:ind w:firstLine="480" w:firstLineChars="200"/>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安 全 生 产 责 任 承 诺 书</w:t>
      </w:r>
    </w:p>
    <w:p w14:paraId="54D21A9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发包人(全称):               </w:t>
      </w:r>
    </w:p>
    <w:p w14:paraId="7251C974">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我                          公司现向贵公司承诺，我公司在        工程施工过程中，保证不发生重大人员伤亡事故，在此工程施工过程中所发生的一切工伤事故，或安全事故，均由我公司承担一切责任。 </w:t>
      </w:r>
    </w:p>
    <w:p w14:paraId="3FBA0D0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5F400FAB">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p>
    <w:p w14:paraId="713CABAC">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承诺单位（盖章）：</w:t>
      </w:r>
    </w:p>
    <w:p w14:paraId="47447C7E">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承诺单位法定代表人或其授权代表（签字）：</w:t>
      </w:r>
    </w:p>
    <w:p w14:paraId="139A261C">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年   月   日</w:t>
      </w:r>
    </w:p>
    <w:p w14:paraId="020274EC">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4100BCA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67CEE3C4">
      <w:pPr>
        <w:widowControl/>
        <w:jc w:val="lef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br w:type="page"/>
      </w:r>
    </w:p>
    <w:p w14:paraId="057733E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附件7</w:t>
      </w:r>
    </w:p>
    <w:p w14:paraId="4F6D023C">
      <w:pPr>
        <w:tabs>
          <w:tab w:val="left" w:pos="0"/>
          <w:tab w:val="left" w:pos="1134"/>
        </w:tabs>
        <w:adjustRightInd w:val="0"/>
        <w:snapToGrid w:val="0"/>
        <w:spacing w:line="300" w:lineRule="auto"/>
        <w:ind w:firstLine="480" w:firstLineChars="200"/>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不拖欠农民工工资承诺书</w:t>
      </w:r>
    </w:p>
    <w:p w14:paraId="467DB8B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为保护农民工的合法权益，不拖欠农民工工资，本人     (法定代表人姓名) 以              (投标人全称)法定代表人的资格，郑重承诺：</w:t>
      </w:r>
    </w:p>
    <w:p w14:paraId="5A61AC62">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本单位如果中标承建 (项目与合同段名称)　工程，需要使用农民工时，将保证做到：</w:t>
      </w:r>
    </w:p>
    <w:p w14:paraId="0F65FF30">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1、按照《劳动法》规定雇佣和使用农民工，工资将直接发放给农民工本人，严禁发放给“包工头”。</w:t>
      </w:r>
    </w:p>
    <w:p w14:paraId="731369D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拖欠农民工工资负总责。</w:t>
      </w:r>
    </w:p>
    <w:p w14:paraId="223E409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3、严格遵守国家和地方关于农民工工资的其他有关规定。</w:t>
      </w:r>
    </w:p>
    <w:p w14:paraId="346AD807">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4、如果发生违反规定拖欠或克扣农民工工资行为，造成农民工上访，本单位愿意无条件接受业主采取的经济等处罚，同时愿意接受交通行政主管部门依照有关规定作出的其它处罚决定。</w:t>
      </w:r>
    </w:p>
    <w:p w14:paraId="342216E6">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特此承诺！</w:t>
      </w:r>
    </w:p>
    <w:p w14:paraId="3281449B">
      <w:pPr>
        <w:tabs>
          <w:tab w:val="left" w:pos="0"/>
          <w:tab w:val="left" w:pos="1134"/>
        </w:tabs>
        <w:adjustRightInd w:val="0"/>
        <w:snapToGrid w:val="0"/>
        <w:spacing w:line="300" w:lineRule="auto"/>
        <w:ind w:firstLine="480" w:firstLineChars="200"/>
        <w:rPr>
          <w:rFonts w:hint="eastAsia" w:ascii="宋体" w:hAnsi="宋体" w:eastAsia="宋体" w:cs="宋体"/>
          <w:snapToGrid w:val="0"/>
          <w:color w:val="000000" w:themeColor="text1"/>
          <w:sz w:val="24"/>
          <w:szCs w:val="24"/>
          <w:highlight w:val="none"/>
          <w14:textFill>
            <w14:solidFill>
              <w14:schemeClr w14:val="tx1"/>
            </w14:solidFill>
          </w14:textFill>
        </w:rPr>
      </w:pPr>
    </w:p>
    <w:p w14:paraId="2F471EE9">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承诺单位（盖章）：</w:t>
      </w:r>
    </w:p>
    <w:p w14:paraId="17EC636A">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承诺单位法定代表人或其授权代表（签字）：</w:t>
      </w:r>
    </w:p>
    <w:p w14:paraId="36C2993C">
      <w:pPr>
        <w:tabs>
          <w:tab w:val="left" w:pos="0"/>
          <w:tab w:val="left" w:pos="1134"/>
        </w:tabs>
        <w:adjustRightInd w:val="0"/>
        <w:snapToGrid w:val="0"/>
        <w:spacing w:line="300" w:lineRule="auto"/>
        <w:ind w:firstLine="480" w:firstLineChars="200"/>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年   月   日</w:t>
      </w:r>
    </w:p>
    <w:p w14:paraId="617D6F00">
      <w:pPr>
        <w:spacing w:line="240" w:lineRule="atLeast"/>
        <w:outlineLvl w:val="0"/>
        <w:rPr>
          <w:rFonts w:hint="eastAsia"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br w:type="page" w:clear="all"/>
      </w:r>
    </w:p>
    <w:p w14:paraId="40AA811C">
      <w:pPr>
        <w:spacing w:line="240" w:lineRule="atLeast"/>
        <w:jc w:val="center"/>
        <w:outlineLvl w:val="0"/>
        <w:rPr>
          <w:rFonts w:hint="eastAsia" w:ascii="宋体" w:hAnsi="宋体" w:cs="宋体"/>
          <w:b/>
          <w:bCs/>
          <w:color w:val="000000" w:themeColor="text1"/>
          <w:sz w:val="36"/>
          <w:szCs w:val="36"/>
          <w:highlight w:val="none"/>
          <w:lang w:val="zh-CN"/>
          <w14:textFill>
            <w14:solidFill>
              <w14:schemeClr w14:val="tx1"/>
            </w14:solidFill>
          </w14:textFill>
        </w:rPr>
      </w:pPr>
      <w:r>
        <w:rPr>
          <w:rFonts w:hint="eastAsia" w:ascii="宋体" w:hAnsi="宋体" w:cs="宋体"/>
          <w:b/>
          <w:bCs/>
          <w:color w:val="000000" w:themeColor="text1"/>
          <w:sz w:val="36"/>
          <w:szCs w:val="36"/>
          <w:highlight w:val="none"/>
          <w:lang w:val="zh-CN"/>
          <w14:textFill>
            <w14:solidFill>
              <w14:schemeClr w14:val="tx1"/>
            </w14:solidFill>
          </w14:textFill>
        </w:rPr>
        <w:t>第六章 竞争性磋商文件格式及附件</w:t>
      </w:r>
    </w:p>
    <w:p w14:paraId="2313000D">
      <w:pPr>
        <w:spacing w:line="240" w:lineRule="atLeast"/>
        <w:ind w:left="560"/>
        <w:jc w:val="center"/>
        <w:outlineLvl w:val="0"/>
        <w:rPr>
          <w:rFonts w:hint="eastAsia" w:ascii="宋体" w:hAnsi="宋体" w:cs="宋体"/>
          <w:b/>
          <w:bCs/>
          <w:color w:val="000000" w:themeColor="text1"/>
          <w:sz w:val="28"/>
          <w:szCs w:val="28"/>
          <w:highlight w:val="none"/>
          <w:lang w:val="zh-CN"/>
          <w14:textFill>
            <w14:solidFill>
              <w14:schemeClr w14:val="tx1"/>
            </w14:solidFill>
          </w14:textFill>
        </w:rPr>
      </w:pPr>
    </w:p>
    <w:p w14:paraId="1013B39D">
      <w:pPr>
        <w:jc w:val="center"/>
        <w:rPr>
          <w:rFonts w:hint="eastAsia" w:ascii="宋体" w:hAnsi="宋体" w:cs="宋体"/>
          <w:b/>
          <w:color w:val="000000" w:themeColor="text1"/>
          <w:sz w:val="28"/>
          <w:szCs w:val="28"/>
          <w:highlight w:val="none"/>
          <w14:textFill>
            <w14:solidFill>
              <w14:schemeClr w14:val="tx1"/>
            </w14:solidFill>
          </w14:textFill>
        </w:rPr>
      </w:pPr>
    </w:p>
    <w:p w14:paraId="379AA8FC">
      <w:pPr>
        <w:rPr>
          <w:rFonts w:hint="eastAsia" w:ascii="宋体" w:hAnsi="宋体" w:cs="宋体"/>
          <w:b/>
          <w:color w:val="000000" w:themeColor="text1"/>
          <w:sz w:val="28"/>
          <w:szCs w:val="28"/>
          <w:highlight w:val="none"/>
          <w14:textFill>
            <w14:solidFill>
              <w14:schemeClr w14:val="tx1"/>
            </w14:solidFill>
          </w14:textFill>
        </w:rPr>
      </w:pPr>
    </w:p>
    <w:p w14:paraId="5F10079E">
      <w:pPr>
        <w:jc w:val="center"/>
        <w:rPr>
          <w:rFonts w:hint="eastAsia"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竞争性磋商文件</w:t>
      </w:r>
    </w:p>
    <w:p w14:paraId="368E8339">
      <w:pPr>
        <w:ind w:firstLine="2884"/>
        <w:rPr>
          <w:rFonts w:hint="eastAsia" w:ascii="宋体" w:hAnsi="宋体" w:cs="宋体"/>
          <w:b/>
          <w:color w:val="000000" w:themeColor="text1"/>
          <w:sz w:val="28"/>
          <w:szCs w:val="28"/>
          <w:highlight w:val="none"/>
          <w14:textFill>
            <w14:solidFill>
              <w14:schemeClr w14:val="tx1"/>
            </w14:solidFill>
          </w14:textFill>
        </w:rPr>
      </w:pPr>
    </w:p>
    <w:p w14:paraId="6D9237C5">
      <w:pPr>
        <w:jc w:val="center"/>
        <w:rPr>
          <w:rFonts w:hint="eastAsia" w:ascii="宋体" w:hAnsi="宋体" w:cs="宋体"/>
          <w:b/>
          <w:color w:val="000000" w:themeColor="text1"/>
          <w:sz w:val="28"/>
          <w:szCs w:val="28"/>
          <w:highlight w:val="none"/>
          <w14:textFill>
            <w14:solidFill>
              <w14:schemeClr w14:val="tx1"/>
            </w14:solidFill>
          </w14:textFill>
        </w:rPr>
      </w:pPr>
    </w:p>
    <w:p w14:paraId="52B49754">
      <w:pPr>
        <w:jc w:val="center"/>
        <w:rPr>
          <w:rFonts w:hint="eastAsia" w:ascii="宋体" w:hAnsi="宋体" w:cs="宋体"/>
          <w:b/>
          <w:color w:val="000000" w:themeColor="text1"/>
          <w:sz w:val="28"/>
          <w:szCs w:val="28"/>
          <w:highlight w:val="none"/>
          <w14:textFill>
            <w14:solidFill>
              <w14:schemeClr w14:val="tx1"/>
            </w14:solidFill>
          </w14:textFill>
        </w:rPr>
      </w:pPr>
    </w:p>
    <w:p w14:paraId="0F96317B">
      <w:pPr>
        <w:pStyle w:val="224"/>
        <w:rPr>
          <w:rFonts w:hint="eastAsia" w:ascii="宋体" w:hAnsi="宋体" w:eastAsia="宋体" w:cs="宋体"/>
          <w:color w:val="000000" w:themeColor="text1"/>
          <w:szCs w:val="28"/>
          <w:highlight w:val="none"/>
          <w14:textFill>
            <w14:solidFill>
              <w14:schemeClr w14:val="tx1"/>
            </w14:solidFill>
          </w14:textFill>
        </w:rPr>
      </w:pPr>
    </w:p>
    <w:p w14:paraId="48A0A3C9">
      <w:pPr>
        <w:jc w:val="center"/>
        <w:rPr>
          <w:rFonts w:hint="eastAsia" w:ascii="宋体" w:hAnsi="宋体" w:cs="宋体"/>
          <w:b/>
          <w:color w:val="000000" w:themeColor="text1"/>
          <w:sz w:val="28"/>
          <w:szCs w:val="28"/>
          <w:highlight w:val="none"/>
          <w14:textFill>
            <w14:solidFill>
              <w14:schemeClr w14:val="tx1"/>
            </w14:solidFill>
          </w14:textFill>
        </w:rPr>
      </w:pPr>
    </w:p>
    <w:p w14:paraId="74FF4200">
      <w:pPr>
        <w:jc w:val="center"/>
        <w:rPr>
          <w:rFonts w:hint="eastAsia" w:ascii="宋体" w:hAnsi="宋体" w:cs="宋体"/>
          <w:b/>
          <w:color w:val="000000" w:themeColor="text1"/>
          <w:sz w:val="28"/>
          <w:szCs w:val="28"/>
          <w:highlight w:val="none"/>
          <w14:textFill>
            <w14:solidFill>
              <w14:schemeClr w14:val="tx1"/>
            </w14:solidFill>
          </w14:textFill>
        </w:rPr>
      </w:pPr>
    </w:p>
    <w:p w14:paraId="621BB6F4">
      <w:pPr>
        <w:ind w:firstLine="843"/>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项 目 编号： </w:t>
      </w:r>
    </w:p>
    <w:p w14:paraId="157CB62C">
      <w:pPr>
        <w:ind w:firstLine="843"/>
        <w:rPr>
          <w:rFonts w:hint="eastAsia"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 xml:space="preserve">项 目 名称： </w:t>
      </w:r>
    </w:p>
    <w:p w14:paraId="241A57B2">
      <w:pPr>
        <w:ind w:firstLine="843"/>
        <w:rPr>
          <w:rFonts w:hint="eastAsia" w:ascii="宋体" w:hAnsi="宋体" w:cs="宋体"/>
          <w:b/>
          <w:color w:val="000000" w:themeColor="text1"/>
          <w:sz w:val="28"/>
          <w:szCs w:val="28"/>
          <w:highlight w:val="none"/>
          <w14:textFill>
            <w14:solidFill>
              <w14:schemeClr w14:val="tx1"/>
            </w14:solidFill>
          </w14:textFill>
        </w:rPr>
      </w:pPr>
    </w:p>
    <w:p w14:paraId="204FE488">
      <w:pPr>
        <w:ind w:firstLine="843"/>
        <w:rPr>
          <w:rFonts w:hint="eastAsia" w:ascii="宋体" w:hAnsi="宋体" w:cs="宋体"/>
          <w:b/>
          <w:color w:val="000000" w:themeColor="text1"/>
          <w:sz w:val="28"/>
          <w:szCs w:val="28"/>
          <w:highlight w:val="none"/>
          <w14:textFill>
            <w14:solidFill>
              <w14:schemeClr w14:val="tx1"/>
            </w14:solidFill>
          </w14:textFill>
        </w:rPr>
      </w:pPr>
    </w:p>
    <w:p w14:paraId="35C81D61">
      <w:pPr>
        <w:ind w:firstLine="843"/>
        <w:rPr>
          <w:rFonts w:hint="eastAsia" w:ascii="宋体" w:hAnsi="宋体" w:cs="宋体"/>
          <w:b/>
          <w:color w:val="000000" w:themeColor="text1"/>
          <w:sz w:val="28"/>
          <w:szCs w:val="28"/>
          <w:highlight w:val="none"/>
          <w14:textFill>
            <w14:solidFill>
              <w14:schemeClr w14:val="tx1"/>
            </w14:solidFill>
          </w14:textFill>
        </w:rPr>
      </w:pPr>
    </w:p>
    <w:p w14:paraId="6FF5864E">
      <w:pPr>
        <w:ind w:firstLine="843"/>
        <w:rPr>
          <w:rFonts w:hint="eastAsia" w:ascii="宋体" w:hAnsi="宋体" w:cs="宋体"/>
          <w:b/>
          <w:color w:val="000000" w:themeColor="text1"/>
          <w:sz w:val="28"/>
          <w:szCs w:val="28"/>
          <w:highlight w:val="none"/>
          <w14:textFill>
            <w14:solidFill>
              <w14:schemeClr w14:val="tx1"/>
            </w14:solidFill>
          </w14:textFill>
        </w:rPr>
      </w:pPr>
    </w:p>
    <w:p w14:paraId="58C95FE9">
      <w:pPr>
        <w:ind w:firstLine="843"/>
        <w:rPr>
          <w:rFonts w:hint="eastAsia" w:ascii="宋体" w:hAnsi="宋体" w:cs="宋体"/>
          <w:b/>
          <w:color w:val="000000" w:themeColor="text1"/>
          <w:sz w:val="28"/>
          <w:szCs w:val="28"/>
          <w:highlight w:val="none"/>
          <w14:textFill>
            <w14:solidFill>
              <w14:schemeClr w14:val="tx1"/>
            </w14:solidFill>
          </w14:textFill>
        </w:rPr>
      </w:pPr>
    </w:p>
    <w:p w14:paraId="26E62951">
      <w:pPr>
        <w:ind w:firstLine="843"/>
        <w:rPr>
          <w:rFonts w:hint="eastAsia" w:ascii="宋体" w:hAnsi="宋体" w:cs="宋体"/>
          <w:b/>
          <w:color w:val="000000" w:themeColor="text1"/>
          <w:sz w:val="28"/>
          <w:szCs w:val="28"/>
          <w:highlight w:val="none"/>
          <w14:textFill>
            <w14:solidFill>
              <w14:schemeClr w14:val="tx1"/>
            </w14:solidFill>
          </w14:textFill>
        </w:rPr>
      </w:pPr>
    </w:p>
    <w:p w14:paraId="20E97370">
      <w:pPr>
        <w:ind w:firstLine="843"/>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供应商名称 ：</w:t>
      </w:r>
    </w:p>
    <w:p w14:paraId="49E5120C">
      <w:pPr>
        <w:ind w:firstLine="843"/>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 ：</w:t>
      </w:r>
    </w:p>
    <w:p w14:paraId="60A7E623">
      <w:pPr>
        <w:jc w:val="center"/>
        <w:outlineLvl w:val="0"/>
        <w:rPr>
          <w:rFonts w:hint="eastAsia" w:ascii="宋体" w:hAnsi="宋体" w:cs="宋体"/>
          <w:b/>
          <w:bCs/>
          <w:color w:val="000000" w:themeColor="text1"/>
          <w:sz w:val="28"/>
          <w:szCs w:val="28"/>
          <w:highlight w:val="none"/>
          <w14:textFill>
            <w14:solidFill>
              <w14:schemeClr w14:val="tx1"/>
            </w14:solidFill>
          </w14:textFill>
        </w:rPr>
        <w:sectPr>
          <w:footerReference r:id="rId6" w:type="default"/>
          <w:pgSz w:w="11906" w:h="16838"/>
          <w:pgMar w:top="850" w:right="850" w:bottom="850" w:left="1417" w:header="340" w:footer="397" w:gutter="0"/>
          <w:pgBorders>
            <w:top w:val="none" w:sz="0" w:space="0"/>
            <w:left w:val="none" w:sz="0" w:space="0"/>
            <w:bottom w:val="none" w:sz="0" w:space="0"/>
            <w:right w:val="none" w:sz="0" w:space="0"/>
          </w:pgBorders>
          <w:pgNumType w:fmt="decimal"/>
          <w:cols w:space="1701" w:num="1"/>
          <w:docGrid w:linePitch="360" w:charSpace="0"/>
        </w:sectPr>
      </w:pPr>
      <w:bookmarkStart w:id="1005" w:name="_Toc489655320"/>
    </w:p>
    <w:p w14:paraId="1513E235">
      <w:pPr>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评分索引表</w:t>
      </w:r>
    </w:p>
    <w:tbl>
      <w:tblPr>
        <w:tblStyle w:val="34"/>
        <w:tblW w:w="92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0A3FE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noWrap w:val="0"/>
            <w:vAlign w:val="center"/>
          </w:tcPr>
          <w:p w14:paraId="43C54CE3">
            <w:pPr>
              <w:pStyle w:val="286"/>
              <w:widowControl w:val="0"/>
              <w:shd w:val="clear" w:color="auto" w:fill="FFFFFF"/>
              <w:ind w:left="0" w:firstLine="422"/>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评分项目</w:t>
            </w:r>
          </w:p>
        </w:tc>
        <w:tc>
          <w:tcPr>
            <w:tcW w:w="3570" w:type="dxa"/>
            <w:noWrap w:val="0"/>
            <w:vAlign w:val="center"/>
          </w:tcPr>
          <w:p w14:paraId="40DFBD83">
            <w:pPr>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在投标文件中的页码位置</w:t>
            </w:r>
          </w:p>
        </w:tc>
      </w:tr>
      <w:tr w14:paraId="1F87E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5670" w:type="dxa"/>
            <w:noWrap w:val="0"/>
            <w:vAlign w:val="top"/>
          </w:tcPr>
          <w:p w14:paraId="061E9C88">
            <w:pPr>
              <w:pStyle w:val="286"/>
              <w:shd w:val="clear" w:color="auto" w:fill="FFFFFF"/>
              <w:spacing w:before="120" w:after="120" w:line="265" w:lineRule="atLeast"/>
              <w:ind w:left="1442" w:firstLine="422"/>
              <w:rPr>
                <w:rFonts w:hint="eastAsia" w:ascii="宋体" w:hAnsi="宋体" w:eastAsia="宋体" w:cs="宋体"/>
                <w:b/>
                <w:color w:val="000000" w:themeColor="text1"/>
                <w:sz w:val="28"/>
                <w:szCs w:val="28"/>
                <w:highlight w:val="none"/>
                <w:lang w:eastAsia="zh-CN"/>
                <w14:textFill>
                  <w14:solidFill>
                    <w14:schemeClr w14:val="tx1"/>
                  </w14:solidFill>
                </w14:textFill>
              </w:rPr>
            </w:pPr>
          </w:p>
        </w:tc>
        <w:tc>
          <w:tcPr>
            <w:tcW w:w="3570" w:type="dxa"/>
            <w:noWrap w:val="0"/>
            <w:vAlign w:val="top"/>
          </w:tcPr>
          <w:p w14:paraId="6776AF8A">
            <w:pPr>
              <w:rPr>
                <w:rFonts w:hint="eastAsia" w:ascii="宋体" w:hAnsi="宋体" w:cs="宋体"/>
                <w:b/>
                <w:color w:val="000000" w:themeColor="text1"/>
                <w:sz w:val="28"/>
                <w:szCs w:val="28"/>
                <w:highlight w:val="none"/>
                <w14:textFill>
                  <w14:solidFill>
                    <w14:schemeClr w14:val="tx1"/>
                  </w14:solidFill>
                </w14:textFill>
              </w:rPr>
            </w:pPr>
          </w:p>
        </w:tc>
      </w:tr>
      <w:tr w14:paraId="00FC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240" w:type="dxa"/>
            <w:gridSpan w:val="2"/>
            <w:noWrap w:val="0"/>
            <w:vAlign w:val="top"/>
          </w:tcPr>
          <w:p w14:paraId="28EA47F4">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r>
      <w:tr w14:paraId="6EBA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70" w:type="dxa"/>
            <w:noWrap w:val="0"/>
            <w:vAlign w:val="top"/>
          </w:tcPr>
          <w:p w14:paraId="65914E0D">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758A8C0C">
            <w:pPr>
              <w:rPr>
                <w:rFonts w:hint="eastAsia" w:ascii="宋体" w:hAnsi="宋体" w:cs="宋体"/>
                <w:color w:val="000000" w:themeColor="text1"/>
                <w:sz w:val="28"/>
                <w:szCs w:val="28"/>
                <w:highlight w:val="none"/>
                <w14:textFill>
                  <w14:solidFill>
                    <w14:schemeClr w14:val="tx1"/>
                  </w14:solidFill>
                </w14:textFill>
              </w:rPr>
            </w:pPr>
          </w:p>
        </w:tc>
      </w:tr>
      <w:tr w14:paraId="5097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70" w:type="dxa"/>
            <w:noWrap w:val="0"/>
            <w:vAlign w:val="top"/>
          </w:tcPr>
          <w:p w14:paraId="7060047C">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7FE4FB76">
            <w:pPr>
              <w:rPr>
                <w:rFonts w:hint="eastAsia" w:ascii="宋体" w:hAnsi="宋体" w:cs="宋体"/>
                <w:color w:val="000000" w:themeColor="text1"/>
                <w:sz w:val="28"/>
                <w:szCs w:val="28"/>
                <w:highlight w:val="none"/>
                <w14:textFill>
                  <w14:solidFill>
                    <w14:schemeClr w14:val="tx1"/>
                  </w14:solidFill>
                </w14:textFill>
              </w:rPr>
            </w:pPr>
          </w:p>
        </w:tc>
      </w:tr>
      <w:tr w14:paraId="6F421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noWrap w:val="0"/>
            <w:vAlign w:val="top"/>
          </w:tcPr>
          <w:p w14:paraId="5A5C8839">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4228B970">
            <w:pPr>
              <w:rPr>
                <w:rFonts w:hint="eastAsia" w:ascii="宋体" w:hAnsi="宋体" w:cs="宋体"/>
                <w:color w:val="000000" w:themeColor="text1"/>
                <w:sz w:val="28"/>
                <w:szCs w:val="28"/>
                <w:highlight w:val="none"/>
                <w14:textFill>
                  <w14:solidFill>
                    <w14:schemeClr w14:val="tx1"/>
                  </w14:solidFill>
                </w14:textFill>
              </w:rPr>
            </w:pPr>
          </w:p>
        </w:tc>
      </w:tr>
      <w:tr w14:paraId="5AF89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noWrap w:val="0"/>
            <w:vAlign w:val="top"/>
          </w:tcPr>
          <w:p w14:paraId="12E0F54E">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3A826AAA">
            <w:pPr>
              <w:rPr>
                <w:rFonts w:hint="eastAsia" w:ascii="宋体" w:hAnsi="宋体" w:cs="宋体"/>
                <w:color w:val="000000" w:themeColor="text1"/>
                <w:sz w:val="28"/>
                <w:szCs w:val="28"/>
                <w:highlight w:val="none"/>
                <w14:textFill>
                  <w14:solidFill>
                    <w14:schemeClr w14:val="tx1"/>
                  </w14:solidFill>
                </w14:textFill>
              </w:rPr>
            </w:pPr>
          </w:p>
        </w:tc>
      </w:tr>
      <w:tr w14:paraId="61E8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70" w:type="dxa"/>
            <w:noWrap w:val="0"/>
            <w:vAlign w:val="top"/>
          </w:tcPr>
          <w:p w14:paraId="56DE9823">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29611DDB">
            <w:pPr>
              <w:rPr>
                <w:rFonts w:hint="eastAsia" w:ascii="宋体" w:hAnsi="宋体" w:cs="宋体"/>
                <w:color w:val="000000" w:themeColor="text1"/>
                <w:sz w:val="28"/>
                <w:szCs w:val="28"/>
                <w:highlight w:val="none"/>
                <w14:textFill>
                  <w14:solidFill>
                    <w14:schemeClr w14:val="tx1"/>
                  </w14:solidFill>
                </w14:textFill>
              </w:rPr>
            </w:pPr>
          </w:p>
        </w:tc>
      </w:tr>
      <w:tr w14:paraId="5D43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240" w:type="dxa"/>
            <w:gridSpan w:val="2"/>
            <w:noWrap w:val="0"/>
            <w:vAlign w:val="top"/>
          </w:tcPr>
          <w:p w14:paraId="0AF49194">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r>
      <w:tr w14:paraId="51180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670" w:type="dxa"/>
            <w:noWrap w:val="0"/>
            <w:vAlign w:val="top"/>
          </w:tcPr>
          <w:p w14:paraId="466C8FCF">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44E3AD2D">
            <w:pPr>
              <w:rPr>
                <w:rFonts w:hint="eastAsia" w:ascii="宋体" w:hAnsi="宋体" w:cs="宋体"/>
                <w:color w:val="000000" w:themeColor="text1"/>
                <w:sz w:val="28"/>
                <w:szCs w:val="28"/>
                <w:highlight w:val="none"/>
                <w14:textFill>
                  <w14:solidFill>
                    <w14:schemeClr w14:val="tx1"/>
                  </w14:solidFill>
                </w14:textFill>
              </w:rPr>
            </w:pPr>
          </w:p>
        </w:tc>
      </w:tr>
      <w:tr w14:paraId="6832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jc w:val="center"/>
        </w:trPr>
        <w:tc>
          <w:tcPr>
            <w:tcW w:w="5670" w:type="dxa"/>
            <w:noWrap w:val="0"/>
            <w:vAlign w:val="top"/>
          </w:tcPr>
          <w:p w14:paraId="3B4BDCC2">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7D5038DF">
            <w:pPr>
              <w:rPr>
                <w:rFonts w:hint="eastAsia" w:ascii="宋体" w:hAnsi="宋体" w:cs="宋体"/>
                <w:color w:val="000000" w:themeColor="text1"/>
                <w:sz w:val="28"/>
                <w:szCs w:val="28"/>
                <w:highlight w:val="none"/>
                <w14:textFill>
                  <w14:solidFill>
                    <w14:schemeClr w14:val="tx1"/>
                  </w14:solidFill>
                </w14:textFill>
              </w:rPr>
            </w:pPr>
          </w:p>
        </w:tc>
      </w:tr>
      <w:tr w14:paraId="20D9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5670" w:type="dxa"/>
            <w:noWrap w:val="0"/>
            <w:vAlign w:val="top"/>
          </w:tcPr>
          <w:p w14:paraId="64EBCAC9">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5EC5A58E">
            <w:pPr>
              <w:rPr>
                <w:rFonts w:hint="eastAsia" w:ascii="宋体" w:hAnsi="宋体" w:cs="宋体"/>
                <w:color w:val="000000" w:themeColor="text1"/>
                <w:sz w:val="28"/>
                <w:szCs w:val="28"/>
                <w:highlight w:val="none"/>
                <w14:textFill>
                  <w14:solidFill>
                    <w14:schemeClr w14:val="tx1"/>
                  </w14:solidFill>
                </w14:textFill>
              </w:rPr>
            </w:pPr>
          </w:p>
        </w:tc>
      </w:tr>
      <w:tr w14:paraId="502F2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670" w:type="dxa"/>
            <w:noWrap w:val="0"/>
            <w:vAlign w:val="top"/>
          </w:tcPr>
          <w:p w14:paraId="68BDD05D">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5B6F2FE2">
            <w:pPr>
              <w:rPr>
                <w:rFonts w:hint="eastAsia" w:ascii="宋体" w:hAnsi="宋体" w:cs="宋体"/>
                <w:color w:val="000000" w:themeColor="text1"/>
                <w:sz w:val="28"/>
                <w:szCs w:val="28"/>
                <w:highlight w:val="none"/>
                <w14:textFill>
                  <w14:solidFill>
                    <w14:schemeClr w14:val="tx1"/>
                  </w14:solidFill>
                </w14:textFill>
              </w:rPr>
            </w:pPr>
          </w:p>
        </w:tc>
      </w:tr>
      <w:tr w14:paraId="765FE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5670" w:type="dxa"/>
            <w:noWrap w:val="0"/>
            <w:vAlign w:val="top"/>
          </w:tcPr>
          <w:p w14:paraId="0ABFD227">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767542BE">
            <w:pPr>
              <w:rPr>
                <w:rFonts w:hint="eastAsia" w:ascii="宋体" w:hAnsi="宋体" w:cs="宋体"/>
                <w:color w:val="000000" w:themeColor="text1"/>
                <w:sz w:val="28"/>
                <w:szCs w:val="28"/>
                <w:highlight w:val="none"/>
                <w14:textFill>
                  <w14:solidFill>
                    <w14:schemeClr w14:val="tx1"/>
                  </w14:solidFill>
                </w14:textFill>
              </w:rPr>
            </w:pPr>
          </w:p>
        </w:tc>
      </w:tr>
      <w:tr w14:paraId="0EC65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40" w:type="dxa"/>
            <w:gridSpan w:val="2"/>
            <w:noWrap w:val="0"/>
            <w:vAlign w:val="top"/>
          </w:tcPr>
          <w:p w14:paraId="43067260">
            <w:pPr>
              <w:pStyle w:val="286"/>
              <w:shd w:val="clear" w:color="auto" w:fill="FFFFFF"/>
              <w:spacing w:before="120" w:after="120" w:line="265" w:lineRule="atLeast"/>
              <w:ind w:left="1442" w:firstLine="422"/>
              <w:rPr>
                <w:rFonts w:hint="eastAsia" w:ascii="宋体" w:hAnsi="宋体" w:eastAsia="宋体" w:cs="宋体"/>
                <w:b/>
                <w:color w:val="000000" w:themeColor="text1"/>
                <w:sz w:val="28"/>
                <w:szCs w:val="28"/>
                <w:highlight w:val="none"/>
                <w:lang w:eastAsia="zh-CN"/>
                <w14:textFill>
                  <w14:solidFill>
                    <w14:schemeClr w14:val="tx1"/>
                  </w14:solidFill>
                </w14:textFill>
              </w:rPr>
            </w:pPr>
          </w:p>
        </w:tc>
      </w:tr>
      <w:tr w14:paraId="0CC2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70" w:type="dxa"/>
            <w:noWrap w:val="0"/>
            <w:vAlign w:val="top"/>
          </w:tcPr>
          <w:p w14:paraId="13FACD5E">
            <w:pPr>
              <w:pStyle w:val="286"/>
              <w:shd w:val="clear" w:color="auto" w:fill="FFFFFF"/>
              <w:spacing w:before="120" w:after="120" w:line="265" w:lineRule="atLeast"/>
              <w:ind w:left="1442" w:firstLine="422"/>
              <w:rPr>
                <w:rFonts w:hint="eastAsia" w:ascii="宋体" w:hAnsi="宋体" w:eastAsia="宋体" w:cs="宋体"/>
                <w:b/>
                <w:bCs/>
                <w:color w:val="000000" w:themeColor="text1"/>
                <w:sz w:val="28"/>
                <w:szCs w:val="28"/>
                <w:highlight w:val="none"/>
                <w:lang w:eastAsia="zh-CN"/>
                <w14:textFill>
                  <w14:solidFill>
                    <w14:schemeClr w14:val="tx1"/>
                  </w14:solidFill>
                </w14:textFill>
              </w:rPr>
            </w:pPr>
          </w:p>
        </w:tc>
        <w:tc>
          <w:tcPr>
            <w:tcW w:w="3570" w:type="dxa"/>
            <w:noWrap w:val="0"/>
            <w:vAlign w:val="top"/>
          </w:tcPr>
          <w:p w14:paraId="18FA2B9F">
            <w:pPr>
              <w:rPr>
                <w:rFonts w:hint="eastAsia" w:ascii="宋体" w:hAnsi="宋体" w:cs="宋体"/>
                <w:color w:val="000000" w:themeColor="text1"/>
                <w:sz w:val="28"/>
                <w:szCs w:val="28"/>
                <w:highlight w:val="none"/>
                <w14:textFill>
                  <w14:solidFill>
                    <w14:schemeClr w14:val="tx1"/>
                  </w14:solidFill>
                </w14:textFill>
              </w:rPr>
            </w:pPr>
          </w:p>
        </w:tc>
      </w:tr>
      <w:tr w14:paraId="0204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70" w:type="dxa"/>
            <w:noWrap w:val="0"/>
            <w:vAlign w:val="top"/>
          </w:tcPr>
          <w:p w14:paraId="488F5FA6">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44A73D3F">
            <w:pPr>
              <w:rPr>
                <w:rFonts w:hint="eastAsia" w:ascii="宋体" w:hAnsi="宋体" w:cs="宋体"/>
                <w:color w:val="000000" w:themeColor="text1"/>
                <w:sz w:val="28"/>
                <w:szCs w:val="28"/>
                <w:highlight w:val="none"/>
                <w14:textFill>
                  <w14:solidFill>
                    <w14:schemeClr w14:val="tx1"/>
                  </w14:solidFill>
                </w14:textFill>
              </w:rPr>
            </w:pPr>
          </w:p>
        </w:tc>
      </w:tr>
      <w:tr w14:paraId="07FB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70" w:type="dxa"/>
            <w:noWrap w:val="0"/>
            <w:vAlign w:val="top"/>
          </w:tcPr>
          <w:p w14:paraId="265DEA8D">
            <w:pPr>
              <w:pStyle w:val="286"/>
              <w:shd w:val="clear" w:color="auto" w:fill="FFFFFF"/>
              <w:spacing w:before="120" w:after="120" w:line="265" w:lineRule="atLeast"/>
              <w:ind w:left="1442" w:firstLine="422"/>
              <w:rPr>
                <w:rFonts w:hint="eastAsia" w:ascii="宋体" w:hAnsi="宋体" w:eastAsia="宋体" w:cs="宋体"/>
                <w:b/>
                <w:bCs/>
                <w:color w:val="000000" w:themeColor="text1"/>
                <w:sz w:val="28"/>
                <w:szCs w:val="28"/>
                <w:highlight w:val="none"/>
                <w:lang w:eastAsia="zh-CN"/>
                <w14:textFill>
                  <w14:solidFill>
                    <w14:schemeClr w14:val="tx1"/>
                  </w14:solidFill>
                </w14:textFill>
              </w:rPr>
            </w:pPr>
          </w:p>
        </w:tc>
        <w:tc>
          <w:tcPr>
            <w:tcW w:w="3570" w:type="dxa"/>
            <w:noWrap w:val="0"/>
            <w:vAlign w:val="top"/>
          </w:tcPr>
          <w:p w14:paraId="02F6C6AD">
            <w:pPr>
              <w:rPr>
                <w:rFonts w:hint="eastAsia" w:ascii="宋体" w:hAnsi="宋体" w:cs="宋体"/>
                <w:color w:val="000000" w:themeColor="text1"/>
                <w:sz w:val="28"/>
                <w:szCs w:val="28"/>
                <w:highlight w:val="none"/>
                <w14:textFill>
                  <w14:solidFill>
                    <w14:schemeClr w14:val="tx1"/>
                  </w14:solidFill>
                </w14:textFill>
              </w:rPr>
            </w:pPr>
          </w:p>
        </w:tc>
      </w:tr>
      <w:tr w14:paraId="181AF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9240" w:type="dxa"/>
            <w:gridSpan w:val="2"/>
            <w:noWrap w:val="0"/>
            <w:vAlign w:val="top"/>
          </w:tcPr>
          <w:p w14:paraId="6D8D767E">
            <w:pPr>
              <w:pStyle w:val="286"/>
              <w:shd w:val="clear" w:color="auto" w:fill="FFFFFF"/>
              <w:spacing w:before="120" w:after="120" w:line="265" w:lineRule="atLeast"/>
              <w:ind w:left="1442" w:firstLine="422"/>
              <w:rPr>
                <w:rFonts w:hint="eastAsia" w:ascii="宋体" w:hAnsi="宋体" w:eastAsia="宋体" w:cs="宋体"/>
                <w:b/>
                <w:color w:val="000000" w:themeColor="text1"/>
                <w:sz w:val="28"/>
                <w:szCs w:val="28"/>
                <w:highlight w:val="none"/>
                <w:lang w:eastAsia="zh-CN"/>
                <w14:textFill>
                  <w14:solidFill>
                    <w14:schemeClr w14:val="tx1"/>
                  </w14:solidFill>
                </w14:textFill>
              </w:rPr>
            </w:pPr>
          </w:p>
        </w:tc>
      </w:tr>
      <w:tr w14:paraId="31C5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5670" w:type="dxa"/>
            <w:noWrap w:val="0"/>
            <w:vAlign w:val="top"/>
          </w:tcPr>
          <w:p w14:paraId="76F2DDC2">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623F5396">
            <w:pPr>
              <w:rPr>
                <w:rFonts w:hint="eastAsia" w:ascii="宋体" w:hAnsi="宋体" w:cs="宋体"/>
                <w:color w:val="000000" w:themeColor="text1"/>
                <w:sz w:val="28"/>
                <w:szCs w:val="28"/>
                <w:highlight w:val="none"/>
                <w14:textFill>
                  <w14:solidFill>
                    <w14:schemeClr w14:val="tx1"/>
                  </w14:solidFill>
                </w14:textFill>
              </w:rPr>
            </w:pPr>
          </w:p>
        </w:tc>
      </w:tr>
      <w:tr w14:paraId="20A71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5670" w:type="dxa"/>
            <w:noWrap w:val="0"/>
            <w:vAlign w:val="top"/>
          </w:tcPr>
          <w:p w14:paraId="3A8C6E3D">
            <w:pPr>
              <w:pStyle w:val="286"/>
              <w:shd w:val="clear" w:color="auto" w:fill="FFFFFF"/>
              <w:spacing w:before="120" w:after="120" w:line="265" w:lineRule="atLeast"/>
              <w:ind w:left="1440"/>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3570" w:type="dxa"/>
            <w:noWrap w:val="0"/>
            <w:vAlign w:val="top"/>
          </w:tcPr>
          <w:p w14:paraId="041707F9">
            <w:pPr>
              <w:rPr>
                <w:rFonts w:hint="eastAsia" w:ascii="宋体" w:hAnsi="宋体" w:cs="宋体"/>
                <w:color w:val="000000" w:themeColor="text1"/>
                <w:sz w:val="28"/>
                <w:szCs w:val="28"/>
                <w:highlight w:val="none"/>
                <w14:textFill>
                  <w14:solidFill>
                    <w14:schemeClr w14:val="tx1"/>
                  </w14:solidFill>
                </w14:textFill>
              </w:rPr>
            </w:pPr>
          </w:p>
        </w:tc>
      </w:tr>
    </w:tbl>
    <w:p w14:paraId="7BE9D3A5">
      <w:pPr>
        <w:jc w:val="center"/>
        <w:outlineLvl w:val="0"/>
        <w:rPr>
          <w:rFonts w:hint="eastAsia" w:ascii="宋体" w:hAnsi="宋体" w:cs="宋体"/>
          <w:b/>
          <w:bCs/>
          <w:color w:val="000000" w:themeColor="text1"/>
          <w:sz w:val="28"/>
          <w:szCs w:val="28"/>
          <w:highlight w:val="none"/>
          <w14:textFill>
            <w14:solidFill>
              <w14:schemeClr w14:val="tx1"/>
            </w14:solidFill>
          </w14:textFill>
        </w:rPr>
        <w:sectPr>
          <w:pgSz w:w="11906" w:h="16838"/>
          <w:pgMar w:top="850" w:right="850" w:bottom="850" w:left="1417" w:header="340" w:footer="397" w:gutter="0"/>
          <w:pgBorders>
            <w:top w:val="none" w:sz="0" w:space="0"/>
            <w:left w:val="none" w:sz="0" w:space="0"/>
            <w:bottom w:val="none" w:sz="0" w:space="0"/>
            <w:right w:val="none" w:sz="0" w:space="0"/>
          </w:pgBorders>
          <w:pgNumType w:fmt="decimal"/>
          <w:cols w:space="1701" w:num="1"/>
          <w:docGrid w:linePitch="360" w:charSpace="0"/>
        </w:sectPr>
      </w:pPr>
    </w:p>
    <w:p w14:paraId="0F83BB0A">
      <w:pPr>
        <w:jc w:val="center"/>
        <w:outlineLvl w:val="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磋商文件主要目录</w:t>
      </w:r>
      <w:bookmarkEnd w:id="1005"/>
      <w:r>
        <w:rPr>
          <w:rFonts w:hint="eastAsia" w:ascii="宋体" w:hAnsi="宋体" w:cs="宋体"/>
          <w:b/>
          <w:bCs/>
          <w:color w:val="000000" w:themeColor="text1"/>
          <w:sz w:val="28"/>
          <w:szCs w:val="28"/>
          <w:highlight w:val="none"/>
          <w14:textFill>
            <w14:solidFill>
              <w14:schemeClr w14:val="tx1"/>
            </w14:solidFill>
          </w14:textFill>
        </w:rPr>
        <w:t>及相关证明材料格式、附件</w:t>
      </w:r>
    </w:p>
    <w:p w14:paraId="5F155F1B">
      <w:pPr>
        <w:rPr>
          <w:rFonts w:hint="eastAsia" w:ascii="宋体" w:hAnsi="宋体" w:cs="宋体"/>
          <w:color w:val="000000" w:themeColor="text1"/>
          <w:sz w:val="28"/>
          <w:szCs w:val="28"/>
          <w:highlight w:val="none"/>
          <w14:textFill>
            <w14:solidFill>
              <w14:schemeClr w14:val="tx1"/>
            </w14:solidFill>
          </w14:textFill>
        </w:rPr>
      </w:pPr>
    </w:p>
    <w:p w14:paraId="2598198E">
      <w:pPr>
        <w:rPr>
          <w:rFonts w:hint="eastAsia" w:ascii="宋体" w:hAnsi="宋体" w:cs="宋体"/>
          <w:color w:val="000000" w:themeColor="text1"/>
          <w:sz w:val="28"/>
          <w:szCs w:val="28"/>
          <w:highlight w:val="none"/>
          <w14:textFill>
            <w14:solidFill>
              <w14:schemeClr w14:val="tx1"/>
            </w14:solidFill>
          </w14:textFill>
        </w:rPr>
      </w:pPr>
    </w:p>
    <w:p w14:paraId="22EEB55E">
      <w:pPr>
        <w:pStyle w:val="224"/>
        <w:rPr>
          <w:rFonts w:hint="eastAsia" w:ascii="宋体" w:hAnsi="宋体" w:eastAsia="宋体" w:cs="宋体"/>
          <w:color w:val="000000" w:themeColor="text1"/>
          <w:szCs w:val="28"/>
          <w:highlight w:val="none"/>
          <w14:textFill>
            <w14:solidFill>
              <w14:schemeClr w14:val="tx1"/>
            </w14:solidFill>
          </w14:textFill>
        </w:rPr>
      </w:pPr>
    </w:p>
    <w:p w14:paraId="566A7391">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一、</w:t>
      </w:r>
      <w:r>
        <w:rPr>
          <w:rFonts w:hint="eastAsia" w:ascii="宋体" w:hAnsi="宋体" w:cs="宋体"/>
          <w:color w:val="000000" w:themeColor="text1"/>
          <w:sz w:val="28"/>
          <w:szCs w:val="28"/>
          <w:highlight w:val="none"/>
          <w14:textFill>
            <w14:solidFill>
              <w14:schemeClr w14:val="tx1"/>
            </w14:solidFill>
          </w14:textFill>
        </w:rPr>
        <w:t>竞争性磋商申请及声明</w:t>
      </w:r>
    </w:p>
    <w:p w14:paraId="6CD05A7C">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二、</w:t>
      </w:r>
      <w:r>
        <w:rPr>
          <w:rFonts w:hint="eastAsia" w:ascii="宋体" w:hAnsi="宋体" w:cs="宋体"/>
          <w:color w:val="000000" w:themeColor="text1"/>
          <w:sz w:val="28"/>
          <w:szCs w:val="28"/>
          <w:highlight w:val="none"/>
          <w14:textFill>
            <w14:solidFill>
              <w14:schemeClr w14:val="tx1"/>
            </w14:solidFill>
          </w14:textFill>
        </w:rPr>
        <w:t>法定代表人授权书</w:t>
      </w:r>
    </w:p>
    <w:p w14:paraId="4BB1FA43">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三、</w:t>
      </w:r>
      <w:r>
        <w:rPr>
          <w:rFonts w:hint="eastAsia" w:ascii="宋体" w:hAnsi="宋体" w:cs="宋体"/>
          <w:color w:val="000000" w:themeColor="text1"/>
          <w:sz w:val="28"/>
          <w:szCs w:val="28"/>
          <w:highlight w:val="none"/>
          <w14:textFill>
            <w14:solidFill>
              <w14:schemeClr w14:val="tx1"/>
            </w14:solidFill>
          </w14:textFill>
        </w:rPr>
        <w:t>磋商报价表</w:t>
      </w:r>
    </w:p>
    <w:p w14:paraId="073E8AB9">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四、</w:t>
      </w:r>
      <w:r>
        <w:rPr>
          <w:rFonts w:hint="eastAsia" w:ascii="宋体" w:hAnsi="宋体" w:cs="宋体"/>
          <w:color w:val="000000" w:themeColor="text1"/>
          <w:sz w:val="28"/>
          <w:szCs w:val="28"/>
          <w:highlight w:val="none"/>
          <w14:textFill>
            <w14:solidFill>
              <w14:schemeClr w14:val="tx1"/>
            </w14:solidFill>
          </w14:textFill>
        </w:rPr>
        <w:t>南京市政府采购供应商信用记录表暨信用承诺书</w:t>
      </w:r>
    </w:p>
    <w:p w14:paraId="17C1E147">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五、</w:t>
      </w:r>
      <w:r>
        <w:rPr>
          <w:rFonts w:hint="eastAsia" w:ascii="宋体" w:hAnsi="宋体" w:cs="宋体"/>
          <w:color w:val="000000" w:themeColor="text1"/>
          <w:sz w:val="28"/>
          <w:szCs w:val="28"/>
          <w:highlight w:val="none"/>
          <w14:textFill>
            <w14:solidFill>
              <w14:schemeClr w14:val="tx1"/>
            </w14:solidFill>
          </w14:textFill>
        </w:rPr>
        <w:t>分项报价表</w:t>
      </w:r>
    </w:p>
    <w:p w14:paraId="7404F7FC">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六、</w:t>
      </w:r>
      <w:r>
        <w:rPr>
          <w:rFonts w:hint="eastAsia" w:ascii="宋体" w:hAnsi="宋体" w:cs="宋体"/>
          <w:color w:val="000000" w:themeColor="text1"/>
          <w:sz w:val="28"/>
          <w:szCs w:val="28"/>
          <w:highlight w:val="none"/>
          <w14:textFill>
            <w14:solidFill>
              <w14:schemeClr w14:val="tx1"/>
            </w14:solidFill>
          </w14:textFill>
        </w:rPr>
        <w:t>技术条款偏离表</w:t>
      </w:r>
    </w:p>
    <w:p w14:paraId="12F6BF27">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七、</w:t>
      </w:r>
      <w:r>
        <w:rPr>
          <w:rFonts w:hint="eastAsia" w:ascii="宋体" w:hAnsi="宋体" w:cs="宋体"/>
          <w:color w:val="000000" w:themeColor="text1"/>
          <w:sz w:val="28"/>
          <w:szCs w:val="28"/>
          <w:highlight w:val="none"/>
          <w14:textFill>
            <w14:solidFill>
              <w14:schemeClr w14:val="tx1"/>
            </w14:solidFill>
          </w14:textFill>
        </w:rPr>
        <w:t>商务条款偏离表</w:t>
      </w:r>
    </w:p>
    <w:p w14:paraId="1DB781B8">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八、</w:t>
      </w:r>
      <w:r>
        <w:rPr>
          <w:rFonts w:hint="eastAsia" w:ascii="宋体" w:hAnsi="宋体" w:cs="宋体"/>
          <w:color w:val="000000" w:themeColor="text1"/>
          <w:sz w:val="28"/>
          <w:szCs w:val="28"/>
          <w:highlight w:val="none"/>
          <w14:textFill>
            <w14:solidFill>
              <w14:schemeClr w14:val="tx1"/>
            </w14:solidFill>
          </w14:textFill>
        </w:rPr>
        <w:t>服务与承诺（若有）</w:t>
      </w:r>
    </w:p>
    <w:p w14:paraId="76E0D256">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九、</w:t>
      </w:r>
      <w:r>
        <w:rPr>
          <w:rFonts w:hint="eastAsia" w:ascii="宋体" w:hAnsi="宋体" w:cs="宋体"/>
          <w:color w:val="000000" w:themeColor="text1"/>
          <w:sz w:val="28"/>
          <w:szCs w:val="28"/>
          <w:highlight w:val="none"/>
          <w14:textFill>
            <w14:solidFill>
              <w14:schemeClr w14:val="tx1"/>
            </w14:solidFill>
          </w14:textFill>
        </w:rPr>
        <w:t>竞争性磋商需要的其他证明文件及材料（若有）</w:t>
      </w:r>
    </w:p>
    <w:p w14:paraId="140FAD19">
      <w:pPr>
        <w:numPr>
          <w:ilvl w:val="0"/>
          <w:numId w:val="0"/>
        </w:numPr>
        <w:spacing w:line="360" w:lineRule="auto"/>
        <w:ind w:left="2280" w:leftChars="0" w:hanging="72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十、</w:t>
      </w:r>
      <w:r>
        <w:rPr>
          <w:rFonts w:hint="eastAsia" w:ascii="宋体" w:hAnsi="宋体" w:cs="宋体"/>
          <w:color w:val="000000" w:themeColor="text1"/>
          <w:sz w:val="28"/>
          <w:szCs w:val="28"/>
          <w:highlight w:val="none"/>
          <w14:textFill>
            <w14:solidFill>
              <w14:schemeClr w14:val="tx1"/>
            </w14:solidFill>
          </w14:textFill>
        </w:rPr>
        <w:t>资格性审查响应对照表</w:t>
      </w:r>
    </w:p>
    <w:p w14:paraId="16FDF45A">
      <w:pPr>
        <w:spacing w:line="360" w:lineRule="auto"/>
        <w:rPr>
          <w:rFonts w:hint="eastAsia" w:ascii="宋体" w:hAnsi="宋体" w:cs="宋体"/>
          <w:color w:val="000000" w:themeColor="text1"/>
          <w:sz w:val="28"/>
          <w:szCs w:val="28"/>
          <w:highlight w:val="none"/>
          <w14:textFill>
            <w14:solidFill>
              <w14:schemeClr w14:val="tx1"/>
            </w14:solidFill>
          </w14:textFill>
        </w:rPr>
      </w:pPr>
    </w:p>
    <w:p w14:paraId="3B4A24B6">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附件一、中小企业声明函格式</w:t>
      </w:r>
    </w:p>
    <w:p w14:paraId="72419D38">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附件二、无重大违法记录声明格式</w:t>
      </w:r>
    </w:p>
    <w:p w14:paraId="5FEAA0FB">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附件三、具备履行合同所必需的设备和专业技术能力的声明格式及证明材料</w:t>
      </w:r>
    </w:p>
    <w:p w14:paraId="6E7C41D6">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附件四、残疾人福利性单位声明函格式</w:t>
      </w:r>
    </w:p>
    <w:p w14:paraId="58B2A8F8">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附件五、属于监狱企业的证明文件</w:t>
      </w:r>
    </w:p>
    <w:p w14:paraId="26DED051">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附件六：供应商承诺</w:t>
      </w:r>
    </w:p>
    <w:p w14:paraId="7EE93154">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附件七：主材供货一览表</w:t>
      </w:r>
    </w:p>
    <w:p w14:paraId="7B7CF650">
      <w:pPr>
        <w:tabs>
          <w:tab w:val="left" w:pos="2280"/>
        </w:tabs>
        <w:spacing w:line="360" w:lineRule="auto"/>
        <w:ind w:left="1560"/>
        <w:rPr>
          <w:rFonts w:hint="eastAsia" w:ascii="宋体" w:hAnsi="宋体" w:cs="宋体"/>
          <w:color w:val="000000" w:themeColor="text1"/>
          <w:sz w:val="28"/>
          <w:szCs w:val="28"/>
          <w:highlight w:val="none"/>
          <w14:textFill>
            <w14:solidFill>
              <w14:schemeClr w14:val="tx1"/>
            </w14:solidFill>
          </w14:textFill>
        </w:rPr>
      </w:pPr>
    </w:p>
    <w:p w14:paraId="5AF9030F">
      <w:pPr>
        <w:rPr>
          <w:rFonts w:hint="eastAsia" w:ascii="宋体" w:hAnsi="宋体" w:cs="宋体"/>
          <w:color w:val="000000" w:themeColor="text1"/>
          <w:sz w:val="28"/>
          <w:szCs w:val="28"/>
          <w:highlight w:val="none"/>
          <w:lang w:val="zh-CN"/>
          <w14:textFill>
            <w14:solidFill>
              <w14:schemeClr w14:val="tx1"/>
            </w14:solidFill>
          </w14:textFill>
        </w:rPr>
        <w:sectPr>
          <w:pgSz w:w="11906" w:h="16838"/>
          <w:pgMar w:top="850" w:right="850" w:bottom="850" w:left="1417" w:header="170" w:footer="397" w:gutter="0"/>
          <w:pgBorders>
            <w:top w:val="none" w:sz="0" w:space="0"/>
            <w:left w:val="none" w:sz="0" w:space="0"/>
            <w:bottom w:val="none" w:sz="0" w:space="0"/>
            <w:right w:val="none" w:sz="0" w:space="0"/>
          </w:pgBorders>
          <w:pgNumType w:fmt="decimal"/>
          <w:cols w:space="1701" w:num="1"/>
          <w:docGrid w:linePitch="360" w:charSpace="0"/>
        </w:sectPr>
      </w:pPr>
    </w:p>
    <w:p w14:paraId="2AE92804">
      <w:pPr>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w:t>
      </w:r>
      <w:r>
        <w:rPr>
          <w:rFonts w:hint="eastAsia" w:ascii="宋体" w:hAnsi="宋体" w:cs="宋体"/>
          <w:b/>
          <w:bCs/>
          <w:color w:val="000000" w:themeColor="text1"/>
          <w:sz w:val="28"/>
          <w:szCs w:val="28"/>
          <w:highlight w:val="none"/>
          <w:lang w:val="zh-CN"/>
          <w14:textFill>
            <w14:solidFill>
              <w14:schemeClr w14:val="tx1"/>
            </w14:solidFill>
          </w14:textFill>
        </w:rPr>
        <w:t>一、磋商申请及声明</w:t>
      </w:r>
    </w:p>
    <w:p w14:paraId="230751C2">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竞争性磋商申请及声明</w:t>
      </w:r>
    </w:p>
    <w:p w14:paraId="056AD896">
      <w:pPr>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致：</w:t>
      </w:r>
      <w:r>
        <w:rPr>
          <w:rFonts w:hint="eastAsia" w:ascii="宋体" w:hAnsi="宋体" w:cs="宋体"/>
          <w:color w:val="000000" w:themeColor="text1"/>
          <w:sz w:val="28"/>
          <w:szCs w:val="28"/>
          <w:highlight w:val="none"/>
          <w:lang w:eastAsia="zh-CN"/>
          <w14:textFill>
            <w14:solidFill>
              <w14:schemeClr w14:val="tx1"/>
            </w14:solidFill>
          </w14:textFill>
        </w:rPr>
        <w:t>南京市栖霞区市政设施综合养护管理所</w:t>
      </w:r>
    </w:p>
    <w:p w14:paraId="2860EAE3">
      <w:pPr>
        <w:spacing w:line="360" w:lineRule="auto"/>
        <w:ind w:firstLine="420"/>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根据贵方（项目名称）（项目编号）磋商邀请，正式授权下述签字人（姓名和职务）代表（供应商名称），提交响应文件并参加磋商。</w:t>
      </w:r>
    </w:p>
    <w:p w14:paraId="51D95DD2">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据此函，签字人兹宣布同意如下：</w:t>
      </w:r>
    </w:p>
    <w:p w14:paraId="71166071">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lang w:val="zh-CN"/>
          <w14:textFill>
            <w14:solidFill>
              <w14:schemeClr w14:val="tx1"/>
            </w14:solidFill>
          </w14:textFill>
        </w:rPr>
        <w:t>我们的资格</w:t>
      </w:r>
      <w:r>
        <w:rPr>
          <w:rFonts w:hint="eastAsia" w:ascii="宋体" w:hAnsi="宋体" w:cs="宋体"/>
          <w:b/>
          <w:color w:val="000000" w:themeColor="text1"/>
          <w:sz w:val="28"/>
          <w:szCs w:val="28"/>
          <w:highlight w:val="none"/>
          <w:lang w:val="zh-CN"/>
          <w14:textFill>
            <w14:solidFill>
              <w14:schemeClr w14:val="tx1"/>
            </w14:solidFill>
          </w14:textFill>
        </w:rPr>
        <w:t>条件完全符合政府采购法和本次采购要求</w:t>
      </w:r>
      <w:r>
        <w:rPr>
          <w:rFonts w:hint="eastAsia" w:ascii="宋体" w:hAnsi="宋体" w:cs="宋体"/>
          <w:color w:val="000000" w:themeColor="text1"/>
          <w:sz w:val="28"/>
          <w:szCs w:val="28"/>
          <w:highlight w:val="none"/>
          <w:lang w:val="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我们</w:t>
      </w:r>
      <w:r>
        <w:rPr>
          <w:rFonts w:hint="eastAsia" w:ascii="宋体" w:hAnsi="宋体" w:cs="宋体"/>
          <w:color w:val="000000" w:themeColor="text1"/>
          <w:sz w:val="28"/>
          <w:szCs w:val="28"/>
          <w:highlight w:val="none"/>
          <w:lang w:val="zh-CN"/>
          <w14:textFill>
            <w14:solidFill>
              <w14:schemeClr w14:val="tx1"/>
            </w14:solidFill>
          </w14:textFill>
        </w:rPr>
        <w:t>同意并向贵方提供了与本次采购活动有关的所有证据和资料</w:t>
      </w:r>
      <w:r>
        <w:rPr>
          <w:rFonts w:hint="eastAsia" w:ascii="宋体" w:hAnsi="宋体" w:cs="宋体"/>
          <w:color w:val="000000" w:themeColor="text1"/>
          <w:sz w:val="28"/>
          <w:szCs w:val="28"/>
          <w:highlight w:val="none"/>
          <w14:textFill>
            <w14:solidFill>
              <w14:schemeClr w14:val="tx1"/>
            </w14:solidFill>
          </w14:textFill>
        </w:rPr>
        <w:t>。</w:t>
      </w:r>
    </w:p>
    <w:p w14:paraId="6316F48E">
      <w:pPr>
        <w:spacing w:line="360" w:lineRule="auto"/>
        <w:ind w:firstLine="560"/>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2、项目名称：</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0D5E7F8A">
      <w:pPr>
        <w:spacing w:line="360" w:lineRule="auto"/>
        <w:ind w:firstLine="560"/>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w:t>
      </w:r>
      <w:r>
        <w:rPr>
          <w:rFonts w:hint="eastAsia" w:ascii="宋体" w:hAnsi="宋体" w:cs="宋体"/>
          <w:color w:val="000000" w:themeColor="text1"/>
          <w:sz w:val="28"/>
          <w:szCs w:val="28"/>
          <w:highlight w:val="none"/>
          <w:lang w:val="zh-CN"/>
          <w14:textFill>
            <w14:solidFill>
              <w14:schemeClr w14:val="tx1"/>
            </w14:solidFill>
          </w14:textFill>
        </w:rPr>
        <w:t>按招标要求，我们的投标报价为人民币（小写）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，（大写）</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w:t>
      </w:r>
    </w:p>
    <w:p w14:paraId="1AD649D1">
      <w:pPr>
        <w:spacing w:line="360" w:lineRule="auto"/>
        <w:ind w:firstLine="560"/>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w:t>
      </w:r>
      <w:r>
        <w:rPr>
          <w:rFonts w:hint="eastAsia" w:ascii="宋体" w:hAnsi="宋体" w:cs="宋体"/>
          <w:color w:val="000000" w:themeColor="text1"/>
          <w:sz w:val="28"/>
          <w:szCs w:val="28"/>
          <w:highlight w:val="none"/>
          <w:lang w:val="zh-CN"/>
          <w14:textFill>
            <w14:solidFill>
              <w14:schemeClr w14:val="tx1"/>
            </w14:solidFill>
          </w14:textFill>
        </w:rPr>
        <w:t>我们已详细审核全部磋商文件及其有效补充文件，我们放弃对磋商文件任何误解的权利，提交响应文件后，</w:t>
      </w:r>
      <w:r>
        <w:rPr>
          <w:rFonts w:hint="eastAsia" w:ascii="宋体" w:hAnsi="宋体" w:cs="宋体"/>
          <w:b/>
          <w:color w:val="000000" w:themeColor="text1"/>
          <w:sz w:val="28"/>
          <w:szCs w:val="28"/>
          <w:highlight w:val="none"/>
          <w:lang w:val="zh-CN"/>
          <w14:textFill>
            <w14:solidFill>
              <w14:schemeClr w14:val="tx1"/>
            </w14:solidFill>
          </w14:textFill>
        </w:rPr>
        <w:t>不对磋商文件本身提出质疑</w:t>
      </w:r>
      <w:r>
        <w:rPr>
          <w:rFonts w:hint="eastAsia" w:ascii="宋体" w:hAnsi="宋体" w:cs="宋体"/>
          <w:color w:val="000000" w:themeColor="text1"/>
          <w:sz w:val="28"/>
          <w:szCs w:val="28"/>
          <w:highlight w:val="none"/>
          <w:lang w:val="zh-CN"/>
          <w14:textFill>
            <w14:solidFill>
              <w14:schemeClr w14:val="tx1"/>
            </w14:solidFill>
          </w14:textFill>
        </w:rPr>
        <w:t>。否则，属于不诚信和故意扰乱政府采购活动行为，我们将无条件接受处罚。</w:t>
      </w:r>
    </w:p>
    <w:p w14:paraId="233D2CA3">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5、一旦我方成交，我方将根据磋商文件的规定，严格履行合同，保证于承诺的时间内完成本项目规定的服务内容。</w:t>
      </w:r>
    </w:p>
    <w:p w14:paraId="4396D574">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14:paraId="55498D66">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7、我方正式通讯方式为：</w:t>
      </w:r>
    </w:p>
    <w:p w14:paraId="7AE7DD40">
      <w:pPr>
        <w:spacing w:line="360" w:lineRule="auto"/>
        <w:ind w:firstLine="560"/>
        <w:jc w:val="lef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   址：</w:t>
      </w:r>
    </w:p>
    <w:p w14:paraId="4A9D5748">
      <w:pPr>
        <w:spacing w:line="360" w:lineRule="auto"/>
        <w:ind w:firstLine="560"/>
        <w:jc w:val="lef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电   话：</w:t>
      </w:r>
    </w:p>
    <w:p w14:paraId="408F90E1">
      <w:pPr>
        <w:spacing w:line="360" w:lineRule="auto"/>
        <w:ind w:firstLine="560"/>
        <w:jc w:val="lef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传   真：</w:t>
      </w:r>
    </w:p>
    <w:p w14:paraId="698109C4">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8、我方正式开户银行和帐号为：</w:t>
      </w:r>
    </w:p>
    <w:p w14:paraId="507E8ADF">
      <w:pPr>
        <w:spacing w:line="360" w:lineRule="auto"/>
        <w:ind w:firstLine="560"/>
        <w:jc w:val="lef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开户银行：</w:t>
      </w:r>
    </w:p>
    <w:p w14:paraId="56F9149B">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帐    号：</w:t>
      </w:r>
    </w:p>
    <w:p w14:paraId="6FEF40E1">
      <w:pPr>
        <w:spacing w:line="360" w:lineRule="auto"/>
        <w:ind w:firstLine="560"/>
        <w:jc w:val="left"/>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供应商授权代表姓名（签字）：</w:t>
      </w:r>
    </w:p>
    <w:p w14:paraId="79C1136D">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供应商名称（公章）：</w:t>
      </w:r>
    </w:p>
    <w:p w14:paraId="1B3A68CA">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    期：年月日</w:t>
      </w:r>
    </w:p>
    <w:p w14:paraId="6EE5139C">
      <w:pPr>
        <w:spacing w:line="360" w:lineRule="auto"/>
        <w:rPr>
          <w:rFonts w:hint="eastAsia" w:ascii="宋体" w:hAnsi="宋体" w:cs="宋体"/>
          <w:b/>
          <w:bCs/>
          <w:color w:val="000000" w:themeColor="text1"/>
          <w:sz w:val="28"/>
          <w:szCs w:val="28"/>
          <w:highlight w:val="none"/>
          <w:lang w:val="zh-CN"/>
          <w14:textFill>
            <w14:solidFill>
              <w14:schemeClr w14:val="tx1"/>
            </w14:solidFill>
          </w14:textFill>
        </w:rPr>
        <w:sectPr>
          <w:pgSz w:w="11906" w:h="16838"/>
          <w:pgMar w:top="850" w:right="850" w:bottom="850" w:left="1418" w:header="170" w:footer="680" w:gutter="0"/>
          <w:pgBorders>
            <w:top w:val="none" w:sz="0" w:space="0"/>
            <w:left w:val="none" w:sz="0" w:space="0"/>
            <w:bottom w:val="none" w:sz="0" w:space="0"/>
            <w:right w:val="none" w:sz="0" w:space="0"/>
          </w:pgBorders>
          <w:pgNumType w:fmt="decimal"/>
          <w:cols w:space="1701" w:num="1"/>
          <w:docGrid w:linePitch="360" w:charSpace="0"/>
        </w:sectPr>
      </w:pPr>
    </w:p>
    <w:p w14:paraId="364387D4">
      <w:pPr>
        <w:spacing w:line="360" w:lineRule="auto"/>
        <w:rPr>
          <w:rFonts w:hint="eastAsia"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w:t>
      </w:r>
      <w:r>
        <w:rPr>
          <w:rFonts w:hint="eastAsia" w:ascii="宋体" w:hAnsi="宋体" w:cs="宋体"/>
          <w:b/>
          <w:bCs/>
          <w:color w:val="000000" w:themeColor="text1"/>
          <w:sz w:val="28"/>
          <w:szCs w:val="28"/>
          <w:highlight w:val="none"/>
          <w:lang w:val="zh-CN"/>
          <w14:textFill>
            <w14:solidFill>
              <w14:schemeClr w14:val="tx1"/>
            </w14:solidFill>
          </w14:textFill>
        </w:rPr>
        <w:t>二、法定代表人授权书格式</w:t>
      </w:r>
    </w:p>
    <w:p w14:paraId="48FDEACE">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法定代表人授权书</w:t>
      </w:r>
    </w:p>
    <w:p w14:paraId="05F3AB62">
      <w:pPr>
        <w:spacing w:line="360" w:lineRule="auto"/>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南京市栖霞区市政设施综合养护管理所</w:t>
      </w:r>
      <w:r>
        <w:rPr>
          <w:rFonts w:hint="eastAsia" w:ascii="宋体" w:hAnsi="宋体" w:cs="宋体"/>
          <w:color w:val="000000" w:themeColor="text1"/>
          <w:sz w:val="28"/>
          <w:szCs w:val="28"/>
          <w:highlight w:val="none"/>
          <w:lang w:val="zh-CN"/>
          <w14:textFill>
            <w14:solidFill>
              <w14:schemeClr w14:val="tx1"/>
            </w14:solidFill>
          </w14:textFill>
        </w:rPr>
        <w:t>：</w:t>
      </w:r>
    </w:p>
    <w:p w14:paraId="56F22685">
      <w:pPr>
        <w:spacing w:line="360" w:lineRule="auto"/>
        <w:ind w:firstLine="560"/>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本授权书声明：注册于（供应商住址）的（供应商名称）法定代表人（法定代表人姓名、职务）代表本公司授权在下面签字的（供应商代表姓名、职务）为本公司的合法代理人，就贵方组织的（项目名称）（项目编号）竞争性磋商，以本公司名义处理一切与之有关的事务。</w:t>
      </w:r>
    </w:p>
    <w:p w14:paraId="51B119F3">
      <w:pPr>
        <w:spacing w:line="360" w:lineRule="auto"/>
        <w:ind w:firstLine="560"/>
        <w:jc w:val="left"/>
        <w:rPr>
          <w:rFonts w:hint="eastAsia" w:ascii="宋体" w:hAnsi="宋体" w:cs="宋体"/>
          <w:color w:val="000000" w:themeColor="text1"/>
          <w:sz w:val="28"/>
          <w:szCs w:val="28"/>
          <w:highlight w:val="none"/>
          <w:lang w:val="zh-CN"/>
          <w14:textFill>
            <w14:solidFill>
              <w14:schemeClr w14:val="tx1"/>
            </w14:solidFill>
          </w14:textFill>
        </w:rPr>
      </w:pPr>
    </w:p>
    <w:p w14:paraId="4D25E83F">
      <w:pPr>
        <w:spacing w:line="360" w:lineRule="auto"/>
        <w:ind w:firstLine="560"/>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本授权书于</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年</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月</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日签字生效，特此声明。</w:t>
      </w:r>
    </w:p>
    <w:p w14:paraId="6FDBBEED">
      <w:pPr>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p>
    <w:p w14:paraId="2A1AB5B3">
      <w:pPr>
        <w:spacing w:line="360" w:lineRule="auto"/>
        <w:jc w:val="left"/>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法定代表人签字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cs="宋体"/>
          <w:color w:val="000000" w:themeColor="text1"/>
          <w:sz w:val="28"/>
          <w:szCs w:val="28"/>
          <w:highlight w:val="none"/>
          <w:lang w:val="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14:paraId="42112629">
      <w:pPr>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被授权人签字：</w:t>
      </w:r>
    </w:p>
    <w:p w14:paraId="65C65712">
      <w:pPr>
        <w:tabs>
          <w:tab w:val="left" w:pos="1440"/>
        </w:tabs>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zh-CN"/>
          <w14:textFill>
            <w14:solidFill>
              <w14:schemeClr w14:val="tx1"/>
            </w14:solidFill>
          </w14:textFill>
        </w:rPr>
        <w:t>（盖章）</w:t>
      </w:r>
    </w:p>
    <w:p w14:paraId="3285F96B">
      <w:pPr>
        <w:tabs>
          <w:tab w:val="left" w:pos="1440"/>
        </w:tabs>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日期：</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年</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月</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lang w:val="zh-CN"/>
          <w14:textFill>
            <w14:solidFill>
              <w14:schemeClr w14:val="tx1"/>
            </w14:solidFill>
          </w14:textFill>
        </w:rPr>
        <w:t>日</w:t>
      </w:r>
    </w:p>
    <w:p w14:paraId="14780069">
      <w:pPr>
        <w:tabs>
          <w:tab w:val="left" w:pos="1440"/>
        </w:tabs>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p>
    <w:p w14:paraId="3DC8E49A">
      <w:pPr>
        <w:tabs>
          <w:tab w:val="left" w:pos="1440"/>
        </w:tabs>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法定代表人身份证件（正反面）：</w:t>
      </w:r>
    </w:p>
    <w:p w14:paraId="713D8A01">
      <w:pPr>
        <w:tabs>
          <w:tab w:val="left" w:pos="1440"/>
        </w:tabs>
        <w:spacing w:line="360" w:lineRule="auto"/>
        <w:jc w:val="left"/>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被授权人身份证件（正反面）：</w:t>
      </w:r>
    </w:p>
    <w:p w14:paraId="0812C373">
      <w:pPr>
        <w:pStyle w:val="285"/>
        <w:rPr>
          <w:rFonts w:hint="eastAsia" w:ascii="宋体" w:hAnsi="宋体" w:eastAsia="宋体" w:cs="宋体"/>
          <w:color w:val="000000" w:themeColor="text1"/>
          <w:szCs w:val="28"/>
          <w:highlight w:val="none"/>
          <w:lang w:val="zh-CN"/>
          <w14:textFill>
            <w14:solidFill>
              <w14:schemeClr w14:val="tx1"/>
            </w14:solidFill>
          </w14:textFill>
        </w:rPr>
      </w:pPr>
    </w:p>
    <w:p w14:paraId="6B496977">
      <w:pPr>
        <w:spacing w:line="360" w:lineRule="auto"/>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说明：</w:t>
      </w:r>
    </w:p>
    <w:p w14:paraId="4CA0E1E6">
      <w:pPr>
        <w:spacing w:line="360" w:lineRule="auto"/>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color w:val="000000" w:themeColor="text1"/>
          <w:sz w:val="28"/>
          <w:szCs w:val="28"/>
          <w:highlight w:val="none"/>
          <w:lang w:val="zh-CN"/>
          <w14:textFill>
            <w14:solidFill>
              <w14:schemeClr w14:val="tx1"/>
            </w14:solidFill>
          </w14:textFill>
        </w:rPr>
        <w:t>1、法定代表人亲自办理投标事宜的，无需提交本授权委托书，只需提供法人身份证复印件。</w:t>
      </w:r>
    </w:p>
    <w:p w14:paraId="67A340FC">
      <w:pPr>
        <w:spacing w:line="360" w:lineRule="auto"/>
        <w:rPr>
          <w:rFonts w:hint="eastAsia" w:ascii="宋体" w:hAnsi="宋体" w:cs="宋体"/>
          <w:color w:val="000000" w:themeColor="text1"/>
          <w:sz w:val="28"/>
          <w:szCs w:val="28"/>
          <w:highlight w:val="none"/>
          <w:lang w:val="zh-CN"/>
          <w14:textFill>
            <w14:solidFill>
              <w14:schemeClr w14:val="tx1"/>
            </w14:solidFill>
          </w14:textFill>
        </w:rPr>
        <w:sectPr>
          <w:pgSz w:w="11906" w:h="16838"/>
          <w:pgMar w:top="850" w:right="850" w:bottom="850" w:left="1418" w:header="227" w:footer="680" w:gutter="0"/>
          <w:pgBorders>
            <w:top w:val="none" w:sz="0" w:space="0"/>
            <w:left w:val="none" w:sz="0" w:space="0"/>
            <w:bottom w:val="none" w:sz="0" w:space="0"/>
            <w:right w:val="none" w:sz="0" w:space="0"/>
          </w:pgBorders>
          <w:pgNumType w:fmt="decimal"/>
          <w:cols w:space="1701" w:num="1"/>
          <w:docGrid w:linePitch="360" w:charSpace="0"/>
        </w:sectPr>
      </w:pPr>
    </w:p>
    <w:p w14:paraId="1470F1DE">
      <w:pPr>
        <w:spacing w:line="360" w:lineRule="auto"/>
        <w:rPr>
          <w:rFonts w:hint="eastAsia" w:ascii="宋体" w:hAnsi="宋体" w:cs="宋体"/>
          <w:color w:val="000000" w:themeColor="text1"/>
          <w:sz w:val="28"/>
          <w:szCs w:val="28"/>
          <w:highlight w:val="none"/>
          <w:lang w:val="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w:t>
      </w:r>
      <w:r>
        <w:rPr>
          <w:rFonts w:hint="eastAsia" w:ascii="宋体" w:hAnsi="宋体" w:cs="宋体"/>
          <w:b/>
          <w:bCs/>
          <w:color w:val="000000" w:themeColor="text1"/>
          <w:sz w:val="28"/>
          <w:szCs w:val="28"/>
          <w:highlight w:val="none"/>
          <w:lang w:val="zh-CN"/>
          <w14:textFill>
            <w14:solidFill>
              <w14:schemeClr w14:val="tx1"/>
            </w14:solidFill>
          </w14:textFill>
        </w:rPr>
        <w:t>三、磋商报价表格式</w:t>
      </w:r>
    </w:p>
    <w:p w14:paraId="60340670">
      <w:pPr>
        <w:pStyle w:val="5"/>
        <w:keepNext w:val="0"/>
        <w:keepLines w:val="0"/>
        <w:widowControl/>
        <w:suppressLineNumbers w:val="0"/>
        <w:jc w:val="center"/>
      </w:pPr>
      <w:r>
        <w:rPr>
          <w:rStyle w:val="37"/>
        </w:rPr>
        <w:t>磋商报价表</w:t>
      </w:r>
    </w:p>
    <w:p w14:paraId="6DBAC159">
      <w:pPr>
        <w:pStyle w:val="32"/>
        <w:keepNext w:val="0"/>
        <w:keepLines w:val="0"/>
        <w:widowControl/>
        <w:suppressLineNumbers w:val="0"/>
      </w:pPr>
      <w:r>
        <w:t>本次为首次报价                                  货币单位：人民币元</w:t>
      </w:r>
    </w:p>
    <w:p w14:paraId="7EF0AFB0">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tbl>
      <w:tblPr>
        <w:tblStyle w:val="34"/>
        <w:tblW w:w="9385"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5"/>
        <w:gridCol w:w="2478"/>
        <w:gridCol w:w="1365"/>
        <w:gridCol w:w="2295"/>
        <w:gridCol w:w="2142"/>
      </w:tblGrid>
      <w:tr w14:paraId="1B6B1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4948" w:type="dxa"/>
            <w:gridSpan w:val="3"/>
            <w:tcBorders>
              <w:top w:val="single" w:color="auto" w:sz="4" w:space="0"/>
              <w:left w:val="single" w:color="auto" w:sz="4" w:space="0"/>
              <w:bottom w:val="single" w:color="auto" w:sz="4" w:space="0"/>
              <w:right w:val="single" w:color="auto" w:sz="4" w:space="0"/>
            </w:tcBorders>
            <w:vAlign w:val="center"/>
          </w:tcPr>
          <w:p w14:paraId="49D62B66">
            <w:pPr>
              <w:jc w:val="left"/>
              <w:rPr>
                <w:rFonts w:hint="eastAsia" w:ascii="宋体" w:hAnsi="宋体" w:cs="宋体"/>
                <w:b/>
                <w:bCs/>
                <w:color w:val="000000" w:themeColor="text1"/>
                <w:kern w:val="0"/>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4437" w:type="dxa"/>
            <w:gridSpan w:val="2"/>
            <w:tcBorders>
              <w:top w:val="single" w:color="auto" w:sz="4" w:space="0"/>
              <w:left w:val="single" w:color="auto" w:sz="4" w:space="0"/>
              <w:bottom w:val="single" w:color="auto" w:sz="4" w:space="0"/>
              <w:right w:val="single" w:color="auto" w:sz="4" w:space="0"/>
            </w:tcBorders>
            <w:vAlign w:val="center"/>
          </w:tcPr>
          <w:p w14:paraId="273B1C0A">
            <w:pPr>
              <w:widowControl/>
              <w:snapToGrid w:val="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项目编号：</w:t>
            </w:r>
          </w:p>
        </w:tc>
      </w:tr>
      <w:tr w14:paraId="1E613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105" w:type="dxa"/>
            <w:tcBorders>
              <w:top w:val="single" w:color="auto" w:sz="4" w:space="0"/>
              <w:left w:val="single" w:color="auto" w:sz="4" w:space="0"/>
              <w:bottom w:val="single" w:color="auto" w:sz="4" w:space="0"/>
              <w:right w:val="single" w:color="auto" w:sz="4" w:space="0"/>
            </w:tcBorders>
            <w:vAlign w:val="center"/>
          </w:tcPr>
          <w:p w14:paraId="612B2021">
            <w:pPr>
              <w:jc w:val="center"/>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序号</w:t>
            </w:r>
          </w:p>
        </w:tc>
        <w:tc>
          <w:tcPr>
            <w:tcW w:w="3843" w:type="dxa"/>
            <w:gridSpan w:val="2"/>
            <w:tcBorders>
              <w:top w:val="single" w:color="auto" w:sz="4" w:space="0"/>
              <w:left w:val="single" w:color="auto" w:sz="4" w:space="0"/>
              <w:bottom w:val="single" w:color="auto" w:sz="4" w:space="0"/>
              <w:right w:val="single" w:color="auto" w:sz="4" w:space="0"/>
            </w:tcBorders>
            <w:vAlign w:val="center"/>
          </w:tcPr>
          <w:p w14:paraId="78CB9822">
            <w:pPr>
              <w:jc w:val="center"/>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名称</w:t>
            </w:r>
          </w:p>
        </w:tc>
        <w:tc>
          <w:tcPr>
            <w:tcW w:w="2295" w:type="dxa"/>
            <w:tcBorders>
              <w:top w:val="single" w:color="auto" w:sz="4" w:space="0"/>
              <w:left w:val="single" w:color="auto" w:sz="4" w:space="0"/>
              <w:bottom w:val="single" w:color="auto" w:sz="4" w:space="0"/>
              <w:right w:val="single" w:color="auto" w:sz="4" w:space="0"/>
            </w:tcBorders>
            <w:vAlign w:val="center"/>
          </w:tcPr>
          <w:p w14:paraId="334760E1">
            <w:pPr>
              <w:jc w:val="center"/>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报价（元）</w:t>
            </w:r>
          </w:p>
        </w:tc>
        <w:tc>
          <w:tcPr>
            <w:tcW w:w="2142" w:type="dxa"/>
            <w:tcBorders>
              <w:top w:val="single" w:color="auto" w:sz="4" w:space="0"/>
              <w:left w:val="single" w:color="auto" w:sz="4" w:space="0"/>
              <w:bottom w:val="single" w:color="auto" w:sz="4" w:space="0"/>
              <w:right w:val="single" w:color="auto" w:sz="4" w:space="0"/>
            </w:tcBorders>
            <w:vAlign w:val="center"/>
          </w:tcPr>
          <w:p w14:paraId="7309EFED">
            <w:pPr>
              <w:jc w:val="center"/>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其中，</w:t>
            </w:r>
            <w:r>
              <w:rPr>
                <w:rFonts w:hint="eastAsia" w:ascii="宋体" w:hAnsi="宋体" w:cs="宋体"/>
                <w:color w:val="000000" w:themeColor="text1"/>
                <w:kern w:val="0"/>
                <w:szCs w:val="21"/>
                <w14:textFill>
                  <w14:solidFill>
                    <w14:schemeClr w14:val="tx1"/>
                  </w14:solidFill>
                </w14:textFill>
              </w:rPr>
              <w:t>小、微型企业报价（元）</w:t>
            </w:r>
          </w:p>
        </w:tc>
      </w:tr>
      <w:tr w14:paraId="36AB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1105" w:type="dxa"/>
            <w:tcBorders>
              <w:top w:val="single" w:color="auto" w:sz="4" w:space="0"/>
              <w:left w:val="single" w:color="auto" w:sz="4" w:space="0"/>
              <w:bottom w:val="single" w:color="auto" w:sz="4" w:space="0"/>
              <w:right w:val="single" w:color="auto" w:sz="4" w:space="0"/>
            </w:tcBorders>
            <w:vAlign w:val="center"/>
          </w:tcPr>
          <w:p w14:paraId="6E5624AA">
            <w:pPr>
              <w:jc w:val="center"/>
              <w:rPr>
                <w:rFonts w:hint="eastAsia" w:ascii="宋体" w:hAnsi="宋体" w:cs="宋体"/>
                <w:color w:val="000000" w:themeColor="text1"/>
                <w:szCs w:val="21"/>
                <w14:textFill>
                  <w14:solidFill>
                    <w14:schemeClr w14:val="tx1"/>
                  </w14:solidFill>
                </w14:textFill>
              </w:rPr>
            </w:pPr>
          </w:p>
        </w:tc>
        <w:tc>
          <w:tcPr>
            <w:tcW w:w="3843" w:type="dxa"/>
            <w:gridSpan w:val="2"/>
            <w:tcBorders>
              <w:top w:val="single" w:color="auto" w:sz="4" w:space="0"/>
              <w:left w:val="single" w:color="auto" w:sz="4" w:space="0"/>
              <w:bottom w:val="single" w:color="auto" w:sz="4" w:space="0"/>
              <w:right w:val="single" w:color="auto" w:sz="4" w:space="0"/>
            </w:tcBorders>
            <w:vAlign w:val="center"/>
          </w:tcPr>
          <w:p w14:paraId="7DA34290">
            <w:pPr>
              <w:jc w:val="center"/>
              <w:rPr>
                <w:rFonts w:hint="eastAsia" w:ascii="宋体" w:hAnsi="宋体" w:cs="宋体"/>
                <w:color w:val="000000" w:themeColor="text1"/>
                <w:szCs w:val="21"/>
                <w14:textFill>
                  <w14:solidFill>
                    <w14:schemeClr w14:val="tx1"/>
                  </w14:solidFill>
                </w14:textFill>
              </w:rPr>
            </w:pPr>
          </w:p>
        </w:tc>
        <w:tc>
          <w:tcPr>
            <w:tcW w:w="2295" w:type="dxa"/>
            <w:tcBorders>
              <w:top w:val="single" w:color="auto" w:sz="4" w:space="0"/>
              <w:left w:val="single" w:color="auto" w:sz="4" w:space="0"/>
              <w:bottom w:val="single" w:color="auto" w:sz="4" w:space="0"/>
              <w:right w:val="single" w:color="auto" w:sz="4" w:space="0"/>
            </w:tcBorders>
            <w:vAlign w:val="center"/>
          </w:tcPr>
          <w:p w14:paraId="5A664E78">
            <w:pPr>
              <w:jc w:val="center"/>
              <w:rPr>
                <w:rFonts w:hint="eastAsia" w:ascii="宋体" w:hAnsi="宋体" w:cs="宋体"/>
                <w:color w:val="000000" w:themeColor="text1"/>
                <w:szCs w:val="21"/>
                <w:lang w:val="zh-CN"/>
                <w14:textFill>
                  <w14:solidFill>
                    <w14:schemeClr w14:val="tx1"/>
                  </w14:solidFill>
                </w14:textFill>
              </w:rPr>
            </w:pPr>
          </w:p>
        </w:tc>
        <w:tc>
          <w:tcPr>
            <w:tcW w:w="2142" w:type="dxa"/>
            <w:tcBorders>
              <w:top w:val="single" w:color="auto" w:sz="4" w:space="0"/>
              <w:left w:val="single" w:color="auto" w:sz="4" w:space="0"/>
              <w:bottom w:val="single" w:color="auto" w:sz="4" w:space="0"/>
              <w:right w:val="single" w:color="auto" w:sz="4" w:space="0"/>
            </w:tcBorders>
            <w:vAlign w:val="center"/>
          </w:tcPr>
          <w:p w14:paraId="33CB5252">
            <w:pPr>
              <w:jc w:val="center"/>
              <w:rPr>
                <w:rFonts w:hint="eastAsia" w:ascii="宋体" w:hAnsi="宋体" w:cs="宋体"/>
                <w:color w:val="000000" w:themeColor="text1"/>
                <w:szCs w:val="21"/>
                <w:lang w:val="zh-CN"/>
                <w14:textFill>
                  <w14:solidFill>
                    <w14:schemeClr w14:val="tx1"/>
                  </w14:solidFill>
                </w14:textFill>
              </w:rPr>
            </w:pPr>
          </w:p>
        </w:tc>
      </w:tr>
      <w:tr w14:paraId="3E2BF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6B0CF548">
            <w:pPr>
              <w:widowControl/>
              <w:snapToGrid w:val="0"/>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投标报价（人民币）</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275F3514">
            <w:pPr>
              <w:pStyle w:val="14"/>
              <w:ind w:firstLine="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小写：人民币                元</w:t>
            </w:r>
          </w:p>
          <w:p w14:paraId="0E86DE4B">
            <w:pPr>
              <w:pStyle w:val="14"/>
              <w:ind w:firstLine="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大写：人民币                  </w:t>
            </w:r>
          </w:p>
        </w:tc>
      </w:tr>
      <w:tr w14:paraId="13EC4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6CFD6241">
            <w:pPr>
              <w:widowControl/>
              <w:snapToGrid w:val="0"/>
              <w:jc w:val="left"/>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合同履行期限（工期）</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5467D672">
            <w:pPr>
              <w:pStyle w:val="14"/>
              <w:ind w:firstLine="0"/>
              <w:jc w:val="left"/>
              <w:rPr>
                <w:rFonts w:hint="eastAsia" w:ascii="宋体" w:hAnsi="宋体" w:cs="宋体"/>
                <w:color w:val="000000" w:themeColor="text1"/>
                <w:szCs w:val="21"/>
                <w14:textFill>
                  <w14:solidFill>
                    <w14:schemeClr w14:val="tx1"/>
                  </w14:solidFill>
                </w14:textFill>
              </w:rPr>
            </w:pPr>
          </w:p>
        </w:tc>
      </w:tr>
      <w:tr w14:paraId="15B83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1E958F3A">
            <w:pPr>
              <w:widowControl/>
              <w:snapToGrid w:val="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项目负责人</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25BCE441">
            <w:pPr>
              <w:pStyle w:val="14"/>
              <w:ind w:firstLine="0"/>
              <w:jc w:val="left"/>
              <w:rPr>
                <w:rFonts w:hint="eastAsia" w:ascii="宋体" w:hAnsi="宋体" w:cs="宋体"/>
                <w:color w:val="000000" w:themeColor="text1"/>
                <w:szCs w:val="21"/>
                <w14:textFill>
                  <w14:solidFill>
                    <w14:schemeClr w14:val="tx1"/>
                  </w14:solidFill>
                </w14:textFill>
              </w:rPr>
            </w:pPr>
          </w:p>
        </w:tc>
      </w:tr>
      <w:tr w14:paraId="4FE85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3C516E20">
            <w:pPr>
              <w:widowControl/>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是否属于小微型企业</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7037C726">
            <w:pPr>
              <w:widowControl/>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       否</w:t>
            </w:r>
          </w:p>
        </w:tc>
      </w:tr>
      <w:tr w14:paraId="0ECEB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1CE6AFAF">
            <w:pPr>
              <w:widowControl/>
              <w:snapToGrid w:val="0"/>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是否</w:t>
            </w:r>
            <w:r>
              <w:rPr>
                <w:rFonts w:hint="eastAsia" w:ascii="宋体" w:hAnsi="宋体" w:cs="宋体"/>
                <w:color w:val="000000" w:themeColor="text1"/>
                <w:kern w:val="0"/>
                <w:szCs w:val="21"/>
                <w14:textFill>
                  <w14:solidFill>
                    <w14:schemeClr w14:val="tx1"/>
                  </w14:solidFill>
                </w14:textFill>
              </w:rPr>
              <w:t>全部</w:t>
            </w:r>
            <w:r>
              <w:rPr>
                <w:rFonts w:hint="eastAsia" w:ascii="宋体" w:hAnsi="宋体" w:cs="宋体"/>
                <w:color w:val="000000" w:themeColor="text1"/>
                <w:kern w:val="0"/>
                <w:szCs w:val="21"/>
                <w:lang w:val="zh-CN"/>
                <w14:textFill>
                  <w14:solidFill>
                    <w14:schemeClr w14:val="tx1"/>
                  </w14:solidFill>
                </w14:textFill>
              </w:rPr>
              <w:t>属于残疾人福利性单位</w:t>
            </w:r>
            <w:r>
              <w:rPr>
                <w:rFonts w:hint="eastAsia" w:ascii="宋体" w:hAnsi="宋体" w:cs="宋体"/>
                <w:color w:val="000000" w:themeColor="text1"/>
                <w:kern w:val="0"/>
                <w:szCs w:val="21"/>
                <w14:textFill>
                  <w14:solidFill>
                    <w14:schemeClr w14:val="tx1"/>
                  </w14:solidFill>
                </w14:textFill>
              </w:rPr>
              <w:t xml:space="preserve"> </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12902710">
            <w:pPr>
              <w:widowControl/>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       否</w:t>
            </w:r>
          </w:p>
        </w:tc>
      </w:tr>
      <w:tr w14:paraId="6571F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3583" w:type="dxa"/>
            <w:gridSpan w:val="2"/>
            <w:tcBorders>
              <w:top w:val="single" w:color="auto" w:sz="4" w:space="0"/>
              <w:left w:val="single" w:color="auto" w:sz="4" w:space="0"/>
              <w:bottom w:val="single" w:color="auto" w:sz="4" w:space="0"/>
              <w:right w:val="single" w:color="auto" w:sz="4" w:space="0"/>
            </w:tcBorders>
            <w:vAlign w:val="center"/>
          </w:tcPr>
          <w:p w14:paraId="6DFB7208">
            <w:pPr>
              <w:widowControl/>
              <w:snapToGrid w:val="0"/>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是否</w:t>
            </w:r>
            <w:r>
              <w:rPr>
                <w:rFonts w:hint="eastAsia" w:ascii="宋体" w:hAnsi="宋体" w:cs="宋体"/>
                <w:color w:val="000000" w:themeColor="text1"/>
                <w:kern w:val="0"/>
                <w:szCs w:val="21"/>
                <w14:textFill>
                  <w14:solidFill>
                    <w14:schemeClr w14:val="tx1"/>
                  </w14:solidFill>
                </w14:textFill>
              </w:rPr>
              <w:t>全部</w:t>
            </w:r>
            <w:r>
              <w:rPr>
                <w:rFonts w:hint="eastAsia" w:ascii="宋体" w:hAnsi="宋体" w:cs="宋体"/>
                <w:color w:val="000000" w:themeColor="text1"/>
                <w:kern w:val="0"/>
                <w:szCs w:val="21"/>
                <w:lang w:val="zh-CN"/>
                <w14:textFill>
                  <w14:solidFill>
                    <w14:schemeClr w14:val="tx1"/>
                  </w14:solidFill>
                </w14:textFill>
              </w:rPr>
              <w:t>属于监狱企业</w:t>
            </w:r>
            <w:r>
              <w:rPr>
                <w:rFonts w:hint="eastAsia" w:ascii="宋体" w:hAnsi="宋体" w:cs="宋体"/>
                <w:color w:val="000000" w:themeColor="text1"/>
                <w:kern w:val="0"/>
                <w:szCs w:val="21"/>
                <w14:textFill>
                  <w14:solidFill>
                    <w14:schemeClr w14:val="tx1"/>
                  </w14:solidFill>
                </w14:textFill>
              </w:rPr>
              <w:t>服务</w:t>
            </w:r>
          </w:p>
        </w:tc>
        <w:tc>
          <w:tcPr>
            <w:tcW w:w="5802" w:type="dxa"/>
            <w:gridSpan w:val="3"/>
            <w:tcBorders>
              <w:top w:val="single" w:color="auto" w:sz="4" w:space="0"/>
              <w:left w:val="single" w:color="auto" w:sz="4" w:space="0"/>
              <w:bottom w:val="single" w:color="auto" w:sz="4" w:space="0"/>
              <w:right w:val="single" w:color="auto" w:sz="4" w:space="0"/>
            </w:tcBorders>
            <w:vAlign w:val="center"/>
          </w:tcPr>
          <w:p w14:paraId="2E7D1955">
            <w:pPr>
              <w:widowControl/>
              <w:jc w:val="left"/>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       否</w:t>
            </w:r>
          </w:p>
        </w:tc>
      </w:tr>
    </w:tbl>
    <w:p w14:paraId="07AF73D6">
      <w:pPr>
        <w:spacing w:line="360" w:lineRule="auto"/>
        <w:jc w:val="left"/>
        <w:rPr>
          <w:rFonts w:hint="eastAsia" w:ascii="宋体" w:hAnsi="宋体" w:cs="宋体"/>
          <w:b/>
          <w:color w:val="000000" w:themeColor="text1"/>
          <w:sz w:val="28"/>
          <w:szCs w:val="28"/>
          <w:highlight w:val="none"/>
          <w14:textFill>
            <w14:solidFill>
              <w14:schemeClr w14:val="tx1"/>
            </w14:solidFill>
          </w14:textFill>
        </w:rPr>
        <w:sectPr>
          <w:pgSz w:w="11906" w:h="16838"/>
          <w:pgMar w:top="850" w:right="850" w:bottom="850" w:left="1418" w:header="170" w:footer="680" w:gutter="0"/>
          <w:pgBorders>
            <w:top w:val="none" w:sz="0" w:space="0"/>
            <w:left w:val="none" w:sz="0" w:space="0"/>
            <w:bottom w:val="none" w:sz="0" w:space="0"/>
            <w:right w:val="none" w:sz="0" w:space="0"/>
          </w:pgBorders>
          <w:pgNumType w:fmt="decimal"/>
          <w:cols w:space="1701" w:num="1"/>
          <w:docGrid w:linePitch="360" w:charSpace="0"/>
        </w:sectPr>
      </w:pPr>
    </w:p>
    <w:p w14:paraId="76841057">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目录四、南京市政府采购供应商信用记录表暨信用承诺书（</w:t>
      </w:r>
      <w:r>
        <w:rPr>
          <w:rFonts w:hint="eastAsia" w:ascii="宋体" w:hAnsi="宋体" w:cs="宋体"/>
          <w:b/>
          <w:bCs/>
          <w:color w:val="000000" w:themeColor="text1"/>
          <w:sz w:val="28"/>
          <w:szCs w:val="28"/>
          <w:highlight w:val="none"/>
          <w14:textFill>
            <w14:solidFill>
              <w14:schemeClr w14:val="tx1"/>
            </w14:solidFill>
          </w14:textFill>
        </w:rPr>
        <w:t>仅为示范格式，直接填写无效，需至“南京政府采购供应商诚信档案管理系统”在线打印</w:t>
      </w:r>
      <w:r>
        <w:rPr>
          <w:rFonts w:hint="eastAsia" w:ascii="宋体" w:hAnsi="宋体" w:cs="宋体"/>
          <w:b/>
          <w:color w:val="000000" w:themeColor="text1"/>
          <w:sz w:val="28"/>
          <w:szCs w:val="28"/>
          <w:highlight w:val="none"/>
          <w14:textFill>
            <w14:solidFill>
              <w14:schemeClr w14:val="tx1"/>
            </w14:solidFill>
          </w14:textFill>
        </w:rPr>
        <w:t>）</w:t>
      </w:r>
    </w:p>
    <w:p w14:paraId="13266CE3">
      <w:pPr>
        <w:widowControl/>
        <w:jc w:val="center"/>
        <w:rPr>
          <w:rFonts w:hint="eastAsia" w:ascii="宋体" w:hAnsi="宋体" w:cs="宋体"/>
          <w:b/>
          <w:bCs/>
          <w:color w:val="000000" w:themeColor="text1"/>
          <w:sz w:val="28"/>
          <w:szCs w:val="28"/>
          <w:highlight w:val="none"/>
          <w14:textFill>
            <w14:solidFill>
              <w14:schemeClr w14:val="tx1"/>
            </w14:solidFill>
          </w14:textFill>
        </w:rPr>
      </w:pPr>
    </w:p>
    <w:p w14:paraId="0DC2DFC2">
      <w:pPr>
        <w:widowControl/>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南京市政府采购供应商信用记录表暨信用承诺书</w:t>
      </w:r>
    </w:p>
    <w:p w14:paraId="49A1CC9A">
      <w:pPr>
        <w:widowControl/>
        <w:rPr>
          <w:rFonts w:hint="eastAsia" w:ascii="宋体" w:hAnsi="宋体" w:cs="宋体"/>
          <w:color w:val="000000" w:themeColor="text1"/>
          <w:sz w:val="28"/>
          <w:szCs w:val="28"/>
          <w:highlight w:val="none"/>
          <w14:textFill>
            <w14:solidFill>
              <w14:schemeClr w14:val="tx1"/>
            </w14:solidFill>
          </w14:textFill>
        </w:rPr>
      </w:pPr>
    </w:p>
    <w:p w14:paraId="7E937470">
      <w:pPr>
        <w:widowControl/>
        <w:rPr>
          <w:rFonts w:hint="eastAsia" w:ascii="宋体" w:hAnsi="宋体" w:cs="宋体"/>
          <w:color w:val="000000" w:themeColor="text1"/>
          <w:sz w:val="28"/>
          <w:szCs w:val="28"/>
          <w:highlight w:val="none"/>
          <w14:textFill>
            <w14:solidFill>
              <w14:schemeClr w14:val="tx1"/>
            </w14:solidFill>
          </w14:textFill>
        </w:rPr>
      </w:pPr>
    </w:p>
    <w:p w14:paraId="6B43E597">
      <w:pPr>
        <w:widowControl/>
        <w:jc w:val="righ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20   年  月   日</w:t>
      </w:r>
    </w:p>
    <w:p w14:paraId="6AD0A10B">
      <w:pPr>
        <w:widowControl/>
        <w:rPr>
          <w:rFonts w:hint="eastAsia" w:ascii="宋体" w:hAnsi="宋体" w:cs="宋体"/>
          <w:color w:val="000000" w:themeColor="text1"/>
          <w:sz w:val="28"/>
          <w:szCs w:val="28"/>
          <w:highlight w:val="none"/>
          <w14:textFill>
            <w14:solidFill>
              <w14:schemeClr w14:val="tx1"/>
            </w14:solidFill>
          </w14:textFill>
        </w:rPr>
      </w:pPr>
    </w:p>
    <w:tbl>
      <w:tblPr>
        <w:tblStyle w:val="34"/>
        <w:tblW w:w="98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37"/>
        <w:gridCol w:w="2205"/>
        <w:gridCol w:w="2048"/>
        <w:gridCol w:w="3472"/>
      </w:tblGrid>
      <w:tr w14:paraId="06965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18F5C896">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单位名称</w:t>
            </w:r>
          </w:p>
        </w:tc>
        <w:tc>
          <w:tcPr>
            <w:tcW w:w="2205" w:type="dxa"/>
            <w:noWrap w:val="0"/>
            <w:vAlign w:val="center"/>
          </w:tcPr>
          <w:p w14:paraId="54BD80A0">
            <w:pPr>
              <w:widowControl/>
              <w:rPr>
                <w:rFonts w:hint="eastAsia" w:ascii="宋体" w:hAnsi="宋体" w:cs="宋体"/>
                <w:b/>
                <w:bCs/>
                <w:color w:val="000000" w:themeColor="text1"/>
                <w:sz w:val="28"/>
                <w:szCs w:val="28"/>
                <w:highlight w:val="none"/>
                <w14:textFill>
                  <w14:solidFill>
                    <w14:schemeClr w14:val="tx1"/>
                  </w14:solidFill>
                </w14:textFill>
              </w:rPr>
            </w:pPr>
          </w:p>
        </w:tc>
        <w:tc>
          <w:tcPr>
            <w:tcW w:w="2048" w:type="dxa"/>
            <w:noWrap w:val="0"/>
            <w:vAlign w:val="center"/>
          </w:tcPr>
          <w:p w14:paraId="0A670144">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统一社会信用代码</w:t>
            </w:r>
          </w:p>
        </w:tc>
        <w:tc>
          <w:tcPr>
            <w:tcW w:w="3472" w:type="dxa"/>
            <w:noWrap w:val="0"/>
            <w:vAlign w:val="center"/>
          </w:tcPr>
          <w:p w14:paraId="66402F44">
            <w:pPr>
              <w:widowControl/>
              <w:rPr>
                <w:rFonts w:hint="eastAsia" w:ascii="宋体" w:hAnsi="宋体" w:cs="宋体"/>
                <w:b/>
                <w:bCs/>
                <w:color w:val="000000" w:themeColor="text1"/>
                <w:sz w:val="28"/>
                <w:szCs w:val="28"/>
                <w:highlight w:val="none"/>
                <w14:textFill>
                  <w14:solidFill>
                    <w14:schemeClr w14:val="tx1"/>
                  </w14:solidFill>
                </w14:textFill>
              </w:rPr>
            </w:pPr>
          </w:p>
        </w:tc>
      </w:tr>
      <w:tr w14:paraId="43451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26F0DACE">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法定代表人</w:t>
            </w:r>
          </w:p>
        </w:tc>
        <w:tc>
          <w:tcPr>
            <w:tcW w:w="2205" w:type="dxa"/>
            <w:noWrap w:val="0"/>
            <w:vAlign w:val="center"/>
          </w:tcPr>
          <w:p w14:paraId="1F1B8B70">
            <w:pPr>
              <w:widowControl/>
              <w:rPr>
                <w:rFonts w:hint="eastAsia" w:ascii="宋体" w:hAnsi="宋体" w:cs="宋体"/>
                <w:b/>
                <w:bCs/>
                <w:color w:val="000000" w:themeColor="text1"/>
                <w:sz w:val="28"/>
                <w:szCs w:val="28"/>
                <w:highlight w:val="none"/>
                <w14:textFill>
                  <w14:solidFill>
                    <w14:schemeClr w14:val="tx1"/>
                  </w14:solidFill>
                </w14:textFill>
              </w:rPr>
            </w:pPr>
          </w:p>
        </w:tc>
        <w:tc>
          <w:tcPr>
            <w:tcW w:w="2048" w:type="dxa"/>
            <w:noWrap w:val="0"/>
            <w:vAlign w:val="center"/>
          </w:tcPr>
          <w:p w14:paraId="4B26608E">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联系人</w:t>
            </w:r>
          </w:p>
        </w:tc>
        <w:tc>
          <w:tcPr>
            <w:tcW w:w="3472" w:type="dxa"/>
            <w:noWrap w:val="0"/>
            <w:vAlign w:val="center"/>
          </w:tcPr>
          <w:p w14:paraId="7028B6FE">
            <w:pPr>
              <w:widowControl/>
              <w:rPr>
                <w:rFonts w:hint="eastAsia" w:ascii="宋体" w:hAnsi="宋体" w:cs="宋体"/>
                <w:b/>
                <w:bCs/>
                <w:color w:val="000000" w:themeColor="text1"/>
                <w:sz w:val="28"/>
                <w:szCs w:val="28"/>
                <w:highlight w:val="none"/>
                <w14:textFill>
                  <w14:solidFill>
                    <w14:schemeClr w14:val="tx1"/>
                  </w14:solidFill>
                </w14:textFill>
              </w:rPr>
            </w:pPr>
          </w:p>
        </w:tc>
      </w:tr>
      <w:tr w14:paraId="04260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2137" w:type="dxa"/>
            <w:noWrap w:val="0"/>
            <w:vAlign w:val="center"/>
          </w:tcPr>
          <w:p w14:paraId="25E5107F">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联系地址</w:t>
            </w:r>
          </w:p>
        </w:tc>
        <w:tc>
          <w:tcPr>
            <w:tcW w:w="2205" w:type="dxa"/>
            <w:noWrap w:val="0"/>
            <w:vAlign w:val="center"/>
          </w:tcPr>
          <w:p w14:paraId="1DCBF6B0">
            <w:pPr>
              <w:widowControl/>
              <w:rPr>
                <w:rFonts w:hint="eastAsia" w:ascii="宋体" w:hAnsi="宋体" w:cs="宋体"/>
                <w:b/>
                <w:bCs/>
                <w:color w:val="000000" w:themeColor="text1"/>
                <w:sz w:val="28"/>
                <w:szCs w:val="28"/>
                <w:highlight w:val="none"/>
                <w14:textFill>
                  <w14:solidFill>
                    <w14:schemeClr w14:val="tx1"/>
                  </w14:solidFill>
                </w14:textFill>
              </w:rPr>
            </w:pPr>
          </w:p>
        </w:tc>
        <w:tc>
          <w:tcPr>
            <w:tcW w:w="2048" w:type="dxa"/>
            <w:noWrap w:val="0"/>
            <w:vAlign w:val="center"/>
          </w:tcPr>
          <w:p w14:paraId="520BBDB7">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联系电话</w:t>
            </w:r>
          </w:p>
        </w:tc>
        <w:tc>
          <w:tcPr>
            <w:tcW w:w="3472" w:type="dxa"/>
            <w:noWrap w:val="0"/>
            <w:vAlign w:val="center"/>
          </w:tcPr>
          <w:p w14:paraId="02877732">
            <w:pPr>
              <w:widowControl/>
              <w:rPr>
                <w:rFonts w:hint="eastAsia" w:ascii="宋体" w:hAnsi="宋体" w:cs="宋体"/>
                <w:b/>
                <w:bCs/>
                <w:color w:val="000000" w:themeColor="text1"/>
                <w:sz w:val="28"/>
                <w:szCs w:val="28"/>
                <w:highlight w:val="none"/>
                <w14:textFill>
                  <w14:solidFill>
                    <w14:schemeClr w14:val="tx1"/>
                  </w14:solidFill>
                </w14:textFill>
              </w:rPr>
            </w:pPr>
          </w:p>
        </w:tc>
      </w:tr>
      <w:tr w14:paraId="05CEF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10" w:hRule="atLeast"/>
          <w:jc w:val="center"/>
        </w:trPr>
        <w:tc>
          <w:tcPr>
            <w:tcW w:w="2137" w:type="dxa"/>
            <w:noWrap w:val="0"/>
            <w:vAlign w:val="center"/>
          </w:tcPr>
          <w:p w14:paraId="0F0D73AB">
            <w:pPr>
              <w:widowControl/>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诚信档案记录情况</w:t>
            </w:r>
          </w:p>
        </w:tc>
        <w:tc>
          <w:tcPr>
            <w:tcW w:w="7725" w:type="dxa"/>
            <w:gridSpan w:val="3"/>
            <w:noWrap w:val="0"/>
            <w:vAlign w:val="center"/>
          </w:tcPr>
          <w:p w14:paraId="68163B3A">
            <w:pPr>
              <w:widowControl/>
              <w:rPr>
                <w:rFonts w:hint="eastAsia" w:ascii="宋体" w:hAnsi="宋体" w:cs="宋体"/>
                <w:b/>
                <w:bCs/>
                <w:color w:val="000000" w:themeColor="text1"/>
                <w:sz w:val="28"/>
                <w:szCs w:val="28"/>
                <w:highlight w:val="none"/>
                <w14:textFill>
                  <w14:solidFill>
                    <w14:schemeClr w14:val="tx1"/>
                  </w14:solidFill>
                </w14:textFill>
              </w:rPr>
            </w:pPr>
          </w:p>
        </w:tc>
      </w:tr>
      <w:tr w14:paraId="16D2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5" w:hRule="atLeast"/>
          <w:jc w:val="center"/>
        </w:trPr>
        <w:tc>
          <w:tcPr>
            <w:tcW w:w="2137" w:type="dxa"/>
            <w:vMerge w:val="restart"/>
            <w:noWrap w:val="0"/>
            <w:vAlign w:val="center"/>
          </w:tcPr>
          <w:p w14:paraId="6D3858D2">
            <w:pPr>
              <w:widowControl/>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信用承诺</w:t>
            </w:r>
          </w:p>
        </w:tc>
        <w:tc>
          <w:tcPr>
            <w:tcW w:w="7725" w:type="dxa"/>
            <w:gridSpan w:val="3"/>
            <w:noWrap w:val="0"/>
            <w:vAlign w:val="center"/>
          </w:tcPr>
          <w:p w14:paraId="3D0F1908">
            <w:pPr>
              <w:widowControl/>
              <w:ind w:left="42"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tc>
      </w:tr>
      <w:tr w14:paraId="63C86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2137" w:type="dxa"/>
            <w:vMerge w:val="continue"/>
            <w:noWrap w:val="0"/>
            <w:vAlign w:val="center"/>
          </w:tcPr>
          <w:p w14:paraId="66425988">
            <w:pPr>
              <w:widowControl/>
              <w:rPr>
                <w:rFonts w:hint="eastAsia" w:ascii="宋体" w:hAnsi="宋体" w:cs="宋体"/>
                <w:color w:val="000000" w:themeColor="text1"/>
                <w:sz w:val="28"/>
                <w:szCs w:val="28"/>
                <w:highlight w:val="none"/>
                <w14:textFill>
                  <w14:solidFill>
                    <w14:schemeClr w14:val="tx1"/>
                  </w14:solidFill>
                </w14:textFill>
              </w:rPr>
            </w:pPr>
          </w:p>
        </w:tc>
        <w:tc>
          <w:tcPr>
            <w:tcW w:w="7725" w:type="dxa"/>
            <w:gridSpan w:val="3"/>
            <w:noWrap w:val="0"/>
            <w:vAlign w:val="center"/>
          </w:tcPr>
          <w:p w14:paraId="4FD68018">
            <w:pPr>
              <w:widowControl/>
              <w:ind w:left="378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供应商名称（盖章）∶</w:t>
            </w:r>
          </w:p>
          <w:p w14:paraId="4F95B5E5">
            <w:pPr>
              <w:widowControl/>
              <w:ind w:left="378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法定代表人（签字）∶</w:t>
            </w:r>
          </w:p>
          <w:p w14:paraId="442EF894">
            <w:pPr>
              <w:widowControl/>
              <w:ind w:left="378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二O  年  月  日</w:t>
            </w:r>
          </w:p>
        </w:tc>
      </w:tr>
    </w:tbl>
    <w:p w14:paraId="77D4712D">
      <w:pPr>
        <w:spacing w:before="50" w:after="50"/>
        <w:ind w:firstLine="275"/>
        <w:rPr>
          <w:rFonts w:hint="eastAsia" w:ascii="宋体" w:hAnsi="宋体" w:cs="宋体"/>
          <w:b/>
          <w:color w:val="000000" w:themeColor="text1"/>
          <w:sz w:val="28"/>
          <w:szCs w:val="28"/>
          <w:highlight w:val="none"/>
          <w14:textFill>
            <w14:solidFill>
              <w14:schemeClr w14:val="tx1"/>
            </w14:solidFill>
          </w14:textFill>
        </w:rPr>
      </w:pPr>
    </w:p>
    <w:p w14:paraId="2A97A6BB">
      <w:pPr>
        <w:jc w:val="left"/>
        <w:rPr>
          <w:rFonts w:hint="eastAsia" w:ascii="宋体" w:hAnsi="宋体" w:cs="宋体"/>
          <w:b/>
          <w:color w:val="000000" w:themeColor="text1"/>
          <w:sz w:val="28"/>
          <w:szCs w:val="28"/>
          <w:highlight w:val="none"/>
          <w14:textFill>
            <w14:solidFill>
              <w14:schemeClr w14:val="tx1"/>
            </w14:solidFill>
          </w14:textFill>
        </w:rPr>
        <w:sectPr>
          <w:pgSz w:w="11906" w:h="16838"/>
          <w:pgMar w:top="850" w:right="850" w:bottom="850" w:left="1418" w:header="170" w:footer="680" w:gutter="0"/>
          <w:pgBorders>
            <w:top w:val="none" w:sz="0" w:space="0"/>
            <w:left w:val="none" w:sz="0" w:space="0"/>
            <w:bottom w:val="none" w:sz="0" w:space="0"/>
            <w:right w:val="none" w:sz="0" w:space="0"/>
          </w:pgBorders>
          <w:pgNumType w:fmt="decimal"/>
          <w:cols w:space="1701" w:num="1"/>
          <w:docGrid w:linePitch="360" w:charSpace="0"/>
        </w:sectPr>
      </w:pPr>
    </w:p>
    <w:p w14:paraId="2DE46578">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目录五、分项报价表格式</w:t>
      </w:r>
    </w:p>
    <w:p w14:paraId="5F27DB76">
      <w:pPr>
        <w:spacing w:line="360" w:lineRule="auto"/>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（供应商根据本项目工程的工作量清单编制）</w:t>
      </w:r>
    </w:p>
    <w:p w14:paraId="6A422643">
      <w:pPr>
        <w:pStyle w:val="286"/>
        <w:ind w:left="0"/>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40BBDF12">
      <w:pPr>
        <w:pStyle w:val="286"/>
        <w:ind w:left="0"/>
        <w:rPr>
          <w:rFonts w:hint="eastAsia" w:ascii="宋体" w:hAnsi="宋体" w:eastAsia="宋体" w:cs="宋体"/>
          <w:b/>
          <w:color w:val="000000" w:themeColor="text1"/>
          <w:sz w:val="28"/>
          <w:szCs w:val="28"/>
          <w:highlight w:val="none"/>
          <w:lang w:eastAsia="zh-CN"/>
          <w14:textFill>
            <w14:solidFill>
              <w14:schemeClr w14:val="tx1"/>
            </w14:solidFill>
          </w14:textFill>
        </w:rPr>
      </w:pPr>
    </w:p>
    <w:p w14:paraId="7424BC44">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656B402D">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目录六、技术条款偏离表格式</w:t>
      </w:r>
    </w:p>
    <w:p w14:paraId="26DF1BF6">
      <w:pPr>
        <w:ind w:left="42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技术条款偏离表</w:t>
      </w:r>
    </w:p>
    <w:tbl>
      <w:tblPr>
        <w:tblStyle w:val="34"/>
        <w:tblW w:w="9568" w:type="dxa"/>
        <w:jc w:val="center"/>
        <w:tblLayout w:type="fixed"/>
        <w:tblCellMar>
          <w:top w:w="0" w:type="dxa"/>
          <w:left w:w="0" w:type="dxa"/>
          <w:bottom w:w="0" w:type="dxa"/>
          <w:right w:w="0" w:type="dxa"/>
        </w:tblCellMar>
      </w:tblPr>
      <w:tblGrid>
        <w:gridCol w:w="855"/>
        <w:gridCol w:w="1942"/>
        <w:gridCol w:w="2590"/>
        <w:gridCol w:w="3107"/>
        <w:gridCol w:w="1074"/>
      </w:tblGrid>
      <w:tr w14:paraId="3B2ED290">
        <w:tblPrEx>
          <w:tblCellMar>
            <w:top w:w="0" w:type="dxa"/>
            <w:left w:w="0" w:type="dxa"/>
            <w:bottom w:w="0" w:type="dxa"/>
            <w:right w:w="0" w:type="dxa"/>
          </w:tblCellMar>
        </w:tblPrEx>
        <w:trPr>
          <w:trHeight w:val="567" w:hRule="atLeast"/>
          <w:jc w:val="center"/>
        </w:trPr>
        <w:tc>
          <w:tcPr>
            <w:tcW w:w="5387" w:type="dxa"/>
            <w:gridSpan w:val="3"/>
            <w:tcBorders>
              <w:top w:val="single" w:color="000000" w:sz="0" w:space="0"/>
              <w:left w:val="single" w:color="000000" w:sz="0" w:space="0"/>
              <w:bottom w:val="single" w:color="000000" w:sz="6" w:space="0"/>
              <w:right w:val="single" w:color="000000" w:sz="0" w:space="0"/>
            </w:tcBorders>
            <w:shd w:val="clear" w:color="000000" w:fill="FFFFFF"/>
            <w:noWrap w:val="0"/>
            <w:tcMar>
              <w:left w:w="0" w:type="dxa"/>
              <w:right w:w="0" w:type="dxa"/>
            </w:tcMar>
            <w:vAlign w:val="center"/>
          </w:tcPr>
          <w:p w14:paraId="7DDE6F2C">
            <w:pPr>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项目名称：</w:t>
            </w:r>
          </w:p>
        </w:tc>
        <w:tc>
          <w:tcPr>
            <w:tcW w:w="4181" w:type="dxa"/>
            <w:gridSpan w:val="2"/>
            <w:tcBorders>
              <w:top w:val="single" w:color="000000" w:sz="0" w:space="0"/>
              <w:left w:val="single" w:color="000000" w:sz="0" w:space="0"/>
              <w:bottom w:val="single" w:color="000000" w:sz="6" w:space="0"/>
              <w:right w:val="single" w:color="000000" w:sz="0" w:space="0"/>
            </w:tcBorders>
            <w:shd w:val="clear" w:color="000000" w:fill="FFFFFF"/>
            <w:noWrap w:val="0"/>
            <w:tcMar>
              <w:left w:w="0" w:type="dxa"/>
              <w:right w:w="0" w:type="dxa"/>
            </w:tcMar>
            <w:vAlign w:val="center"/>
          </w:tcPr>
          <w:p w14:paraId="30A7CA59">
            <w:pPr>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项目编号：</w:t>
            </w:r>
          </w:p>
        </w:tc>
      </w:tr>
      <w:tr w14:paraId="1BBCF7A7">
        <w:tblPrEx>
          <w:tblCellMar>
            <w:top w:w="0" w:type="dxa"/>
            <w:left w:w="0" w:type="dxa"/>
            <w:bottom w:w="0" w:type="dxa"/>
            <w:right w:w="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2FCD3EA">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序号</w:t>
            </w: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37D8869">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采购文件条目号</w:t>
            </w: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E73D765">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服务要求</w:t>
            </w: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9A4AC97">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投标响应</w:t>
            </w: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871A053">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偏离</w:t>
            </w:r>
          </w:p>
        </w:tc>
      </w:tr>
      <w:tr w14:paraId="284668B3">
        <w:tblPrEx>
          <w:tblCellMar>
            <w:top w:w="0" w:type="dxa"/>
            <w:left w:w="0" w:type="dxa"/>
            <w:bottom w:w="0" w:type="dxa"/>
            <w:right w:w="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5F4DF91">
            <w:pPr>
              <w:jc w:val="center"/>
              <w:rPr>
                <w:rFonts w:hint="eastAsia" w:ascii="宋体" w:hAnsi="宋体" w:cs="宋体"/>
                <w:color w:val="000000" w:themeColor="text1"/>
                <w:sz w:val="28"/>
                <w:szCs w:val="28"/>
                <w:highlight w:val="none"/>
                <w14:textFill>
                  <w14:solidFill>
                    <w14:schemeClr w14:val="tx1"/>
                  </w14:solidFill>
                </w14:textFill>
              </w:rPr>
            </w:pP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CA7A2A1">
            <w:pPr>
              <w:jc w:val="center"/>
              <w:rPr>
                <w:rFonts w:hint="eastAsia" w:ascii="宋体" w:hAnsi="宋体" w:cs="宋体"/>
                <w:color w:val="000000" w:themeColor="text1"/>
                <w:sz w:val="28"/>
                <w:szCs w:val="28"/>
                <w:highlight w:val="none"/>
                <w14:textFill>
                  <w14:solidFill>
                    <w14:schemeClr w14:val="tx1"/>
                  </w14:solidFill>
                </w14:textFill>
              </w:rPr>
            </w:pP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203D2F2">
            <w:pPr>
              <w:jc w:val="center"/>
              <w:rPr>
                <w:rFonts w:hint="eastAsia" w:ascii="宋体" w:hAnsi="宋体" w:cs="宋体"/>
                <w:color w:val="000000" w:themeColor="text1"/>
                <w:sz w:val="28"/>
                <w:szCs w:val="28"/>
                <w:highlight w:val="none"/>
                <w14:textFill>
                  <w14:solidFill>
                    <w14:schemeClr w14:val="tx1"/>
                  </w14:solidFill>
                </w14:textFill>
              </w:rPr>
            </w:pP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722D136">
            <w:pPr>
              <w:jc w:val="center"/>
              <w:rPr>
                <w:rFonts w:hint="eastAsia" w:ascii="宋体" w:hAnsi="宋体" w:cs="宋体"/>
                <w:color w:val="000000" w:themeColor="text1"/>
                <w:sz w:val="28"/>
                <w:szCs w:val="28"/>
                <w:highlight w:val="none"/>
                <w14:textFill>
                  <w14:solidFill>
                    <w14:schemeClr w14:val="tx1"/>
                  </w14:solidFill>
                </w14:textFill>
              </w:rPr>
            </w:pP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0A98B0B">
            <w:pPr>
              <w:jc w:val="center"/>
              <w:rPr>
                <w:rFonts w:hint="eastAsia" w:ascii="宋体" w:hAnsi="宋体" w:cs="宋体"/>
                <w:color w:val="000000" w:themeColor="text1"/>
                <w:sz w:val="28"/>
                <w:szCs w:val="28"/>
                <w:highlight w:val="none"/>
                <w14:textFill>
                  <w14:solidFill>
                    <w14:schemeClr w14:val="tx1"/>
                  </w14:solidFill>
                </w14:textFill>
              </w:rPr>
            </w:pPr>
          </w:p>
        </w:tc>
      </w:tr>
      <w:tr w14:paraId="7113CCD5">
        <w:tblPrEx>
          <w:tblCellMar>
            <w:top w:w="0" w:type="dxa"/>
            <w:left w:w="0" w:type="dxa"/>
            <w:bottom w:w="0" w:type="dxa"/>
            <w:right w:w="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57DF2CBF">
            <w:pPr>
              <w:jc w:val="center"/>
              <w:rPr>
                <w:rFonts w:hint="eastAsia" w:ascii="宋体" w:hAnsi="宋体" w:cs="宋体"/>
                <w:color w:val="000000" w:themeColor="text1"/>
                <w:sz w:val="28"/>
                <w:szCs w:val="28"/>
                <w:highlight w:val="none"/>
                <w14:textFill>
                  <w14:solidFill>
                    <w14:schemeClr w14:val="tx1"/>
                  </w14:solidFill>
                </w14:textFill>
              </w:rPr>
            </w:pP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3828790">
            <w:pPr>
              <w:jc w:val="center"/>
              <w:rPr>
                <w:rFonts w:hint="eastAsia" w:ascii="宋体" w:hAnsi="宋体" w:cs="宋体"/>
                <w:color w:val="000000" w:themeColor="text1"/>
                <w:sz w:val="28"/>
                <w:szCs w:val="28"/>
                <w:highlight w:val="none"/>
                <w14:textFill>
                  <w14:solidFill>
                    <w14:schemeClr w14:val="tx1"/>
                  </w14:solidFill>
                </w14:textFill>
              </w:rPr>
            </w:pP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BBE186D">
            <w:pPr>
              <w:jc w:val="center"/>
              <w:rPr>
                <w:rFonts w:hint="eastAsia" w:ascii="宋体" w:hAnsi="宋体" w:cs="宋体"/>
                <w:color w:val="000000" w:themeColor="text1"/>
                <w:sz w:val="28"/>
                <w:szCs w:val="28"/>
                <w:highlight w:val="none"/>
                <w14:textFill>
                  <w14:solidFill>
                    <w14:schemeClr w14:val="tx1"/>
                  </w14:solidFill>
                </w14:textFill>
              </w:rPr>
            </w:pP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FA45F71">
            <w:pPr>
              <w:jc w:val="center"/>
              <w:rPr>
                <w:rFonts w:hint="eastAsia" w:ascii="宋体" w:hAnsi="宋体" w:cs="宋体"/>
                <w:color w:val="000000" w:themeColor="text1"/>
                <w:sz w:val="28"/>
                <w:szCs w:val="28"/>
                <w:highlight w:val="none"/>
                <w14:textFill>
                  <w14:solidFill>
                    <w14:schemeClr w14:val="tx1"/>
                  </w14:solidFill>
                </w14:textFill>
              </w:rPr>
            </w:pP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72D2311">
            <w:pPr>
              <w:jc w:val="center"/>
              <w:rPr>
                <w:rFonts w:hint="eastAsia" w:ascii="宋体" w:hAnsi="宋体" w:cs="宋体"/>
                <w:color w:val="000000" w:themeColor="text1"/>
                <w:sz w:val="28"/>
                <w:szCs w:val="28"/>
                <w:highlight w:val="none"/>
                <w14:textFill>
                  <w14:solidFill>
                    <w14:schemeClr w14:val="tx1"/>
                  </w14:solidFill>
                </w14:textFill>
              </w:rPr>
            </w:pPr>
          </w:p>
        </w:tc>
      </w:tr>
      <w:tr w14:paraId="4086A541">
        <w:tblPrEx>
          <w:tblCellMar>
            <w:top w:w="0" w:type="dxa"/>
            <w:left w:w="0" w:type="dxa"/>
            <w:bottom w:w="0" w:type="dxa"/>
            <w:right w:w="0" w:type="dxa"/>
          </w:tblCellMar>
        </w:tblPrEx>
        <w:trPr>
          <w:trHeight w:val="567" w:hRule="atLeast"/>
          <w:jc w:val="center"/>
        </w:trPr>
        <w:tc>
          <w:tcPr>
            <w:tcW w:w="855"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1123E4BB">
            <w:pPr>
              <w:jc w:val="center"/>
              <w:rPr>
                <w:rFonts w:hint="eastAsia" w:ascii="宋体" w:hAnsi="宋体" w:cs="宋体"/>
                <w:color w:val="000000" w:themeColor="text1"/>
                <w:sz w:val="28"/>
                <w:szCs w:val="28"/>
                <w:highlight w:val="none"/>
                <w14:textFill>
                  <w14:solidFill>
                    <w14:schemeClr w14:val="tx1"/>
                  </w14:solidFill>
                </w14:textFill>
              </w:rPr>
            </w:pPr>
          </w:p>
        </w:tc>
        <w:tc>
          <w:tcPr>
            <w:tcW w:w="1942"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273990C1">
            <w:pPr>
              <w:jc w:val="center"/>
              <w:rPr>
                <w:rFonts w:hint="eastAsia" w:ascii="宋体" w:hAnsi="宋体" w:cs="宋体"/>
                <w:color w:val="000000" w:themeColor="text1"/>
                <w:sz w:val="28"/>
                <w:szCs w:val="28"/>
                <w:highlight w:val="none"/>
                <w14:textFill>
                  <w14:solidFill>
                    <w14:schemeClr w14:val="tx1"/>
                  </w14:solidFill>
                </w14:textFill>
              </w:rPr>
            </w:pPr>
          </w:p>
        </w:tc>
        <w:tc>
          <w:tcPr>
            <w:tcW w:w="2590"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4F090811">
            <w:pPr>
              <w:jc w:val="center"/>
              <w:rPr>
                <w:rFonts w:hint="eastAsia" w:ascii="宋体" w:hAnsi="宋体" w:cs="宋体"/>
                <w:color w:val="000000" w:themeColor="text1"/>
                <w:sz w:val="28"/>
                <w:szCs w:val="28"/>
                <w:highlight w:val="none"/>
                <w14:textFill>
                  <w14:solidFill>
                    <w14:schemeClr w14:val="tx1"/>
                  </w14:solidFill>
                </w14:textFill>
              </w:rPr>
            </w:pPr>
          </w:p>
        </w:tc>
        <w:tc>
          <w:tcPr>
            <w:tcW w:w="3107"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74E20A88">
            <w:pPr>
              <w:jc w:val="center"/>
              <w:rPr>
                <w:rFonts w:hint="eastAsia" w:ascii="宋体" w:hAnsi="宋体" w:cs="宋体"/>
                <w:color w:val="000000" w:themeColor="text1"/>
                <w:sz w:val="28"/>
                <w:szCs w:val="28"/>
                <w:highlight w:val="none"/>
                <w14:textFill>
                  <w14:solidFill>
                    <w14:schemeClr w14:val="tx1"/>
                  </w14:solidFill>
                </w14:textFill>
              </w:rPr>
            </w:pPr>
          </w:p>
        </w:tc>
        <w:tc>
          <w:tcPr>
            <w:tcW w:w="1074" w:type="dxa"/>
            <w:tcBorders>
              <w:top w:val="single" w:color="000000" w:sz="6" w:space="0"/>
              <w:left w:val="single" w:color="000000" w:sz="6" w:space="0"/>
              <w:bottom w:val="single" w:color="000000" w:sz="6" w:space="0"/>
              <w:right w:val="single" w:color="000000" w:sz="6" w:space="0"/>
            </w:tcBorders>
            <w:shd w:val="clear" w:color="000000" w:fill="FFFFFF"/>
            <w:noWrap w:val="0"/>
            <w:tcMar>
              <w:left w:w="0" w:type="dxa"/>
              <w:right w:w="0" w:type="dxa"/>
            </w:tcMar>
            <w:vAlign w:val="center"/>
          </w:tcPr>
          <w:p w14:paraId="39D7E367">
            <w:pPr>
              <w:jc w:val="center"/>
              <w:rPr>
                <w:rFonts w:hint="eastAsia" w:ascii="宋体" w:hAnsi="宋体" w:cs="宋体"/>
                <w:color w:val="000000" w:themeColor="text1"/>
                <w:sz w:val="28"/>
                <w:szCs w:val="28"/>
                <w:highlight w:val="none"/>
                <w14:textFill>
                  <w14:solidFill>
                    <w14:schemeClr w14:val="tx1"/>
                  </w14:solidFill>
                </w14:textFill>
              </w:rPr>
            </w:pPr>
          </w:p>
        </w:tc>
      </w:tr>
    </w:tbl>
    <w:p w14:paraId="447FFD6D">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供应商名称：（盖章）</w:t>
      </w:r>
    </w:p>
    <w:p w14:paraId="5E0C6F68">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说明：1、如果行数不够，请自行增加。</w:t>
      </w:r>
    </w:p>
    <w:p w14:paraId="25DD56B9">
      <w:pPr>
        <w:spacing w:line="360" w:lineRule="auto"/>
        <w:ind w:firstLine="840" w:firstLineChars="300"/>
        <w:jc w:val="left"/>
        <w:rPr>
          <w:rFonts w:hint="eastAsia" w:ascii="宋体" w:hAnsi="宋体" w:cs="宋体"/>
          <w:b w:val="0"/>
          <w:bCs/>
          <w:color w:val="000000" w:themeColor="text1"/>
          <w:sz w:val="28"/>
          <w:szCs w:val="28"/>
          <w:highlight w:val="none"/>
          <w14:textFill>
            <w14:solidFill>
              <w14:schemeClr w14:val="tx1"/>
            </w14:solidFill>
          </w14:textFill>
        </w:rPr>
      </w:pPr>
      <w:r>
        <w:rPr>
          <w:rFonts w:hint="eastAsia" w:ascii="宋体" w:hAnsi="宋体" w:cs="宋体"/>
          <w:b w:val="0"/>
          <w:bCs/>
          <w:color w:val="000000" w:themeColor="text1"/>
          <w:sz w:val="28"/>
          <w:szCs w:val="28"/>
          <w:highlight w:val="none"/>
          <w14:textFill>
            <w14:solidFill>
              <w14:schemeClr w14:val="tx1"/>
            </w14:solidFill>
          </w14:textFill>
        </w:rPr>
        <w:t>2、供应商应逐一说明响应。</w:t>
      </w:r>
    </w:p>
    <w:p w14:paraId="5DA4B054">
      <w:pPr>
        <w:jc w:val="left"/>
        <w:rPr>
          <w:rFonts w:hint="eastAsia" w:ascii="宋体" w:hAnsi="宋体" w:cs="宋体"/>
          <w:color w:val="000000" w:themeColor="text1"/>
          <w:sz w:val="28"/>
          <w:szCs w:val="28"/>
          <w:highlight w:val="none"/>
          <w14:textFill>
            <w14:solidFill>
              <w14:schemeClr w14:val="tx1"/>
            </w14:solidFill>
          </w14:textFill>
        </w:rPr>
      </w:pPr>
    </w:p>
    <w:p w14:paraId="6ACAE9DE">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047B500A">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77D31D8A">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527B0041">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338C00FD">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7838D33B">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7F55A8A7">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72A7C989">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06C6B056">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313DFF42">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6A73502A">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7A24CCD8">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p>
    <w:p w14:paraId="253A4CA3">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目录七、商务条款偏离表格式</w:t>
      </w:r>
    </w:p>
    <w:p w14:paraId="5B042A2B">
      <w:pPr>
        <w:ind w:left="42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商务条款偏离表</w:t>
      </w:r>
    </w:p>
    <w:tbl>
      <w:tblPr>
        <w:tblStyle w:val="34"/>
        <w:tblW w:w="9629" w:type="dxa"/>
        <w:jc w:val="center"/>
        <w:tblLayout w:type="fixed"/>
        <w:tblCellMar>
          <w:top w:w="0" w:type="dxa"/>
          <w:left w:w="0" w:type="dxa"/>
          <w:bottom w:w="0" w:type="dxa"/>
          <w:right w:w="0" w:type="dxa"/>
        </w:tblCellMar>
      </w:tblPr>
      <w:tblGrid>
        <w:gridCol w:w="944"/>
        <w:gridCol w:w="1845"/>
        <w:gridCol w:w="2658"/>
        <w:gridCol w:w="2828"/>
        <w:gridCol w:w="1354"/>
      </w:tblGrid>
      <w:tr w14:paraId="16DD7B36">
        <w:tblPrEx>
          <w:tblCellMar>
            <w:top w:w="0" w:type="dxa"/>
            <w:left w:w="0" w:type="dxa"/>
            <w:bottom w:w="0" w:type="dxa"/>
            <w:right w:w="0" w:type="dxa"/>
          </w:tblCellMar>
        </w:tblPrEx>
        <w:trPr>
          <w:trHeight w:val="680" w:hRule="atLeast"/>
          <w:jc w:val="center"/>
        </w:trPr>
        <w:tc>
          <w:tcPr>
            <w:tcW w:w="5447"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C44B9A4">
            <w:pPr>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项目名称：</w:t>
            </w:r>
          </w:p>
        </w:tc>
        <w:tc>
          <w:tcPr>
            <w:tcW w:w="418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2517360">
            <w:pPr>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项目编号：</w:t>
            </w:r>
          </w:p>
        </w:tc>
      </w:tr>
      <w:tr w14:paraId="5DACEBC2">
        <w:tblPrEx>
          <w:tblCellMar>
            <w:top w:w="0" w:type="dxa"/>
            <w:left w:w="0" w:type="dxa"/>
            <w:bottom w:w="0" w:type="dxa"/>
            <w:right w:w="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B205F26">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序号</w:t>
            </w: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36C1434">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采购文件条目号</w:t>
            </w: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A3CFE80">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采购文件要求的商务条款</w:t>
            </w: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0704755">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投标响应</w:t>
            </w: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8837D4F">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偏离</w:t>
            </w:r>
          </w:p>
        </w:tc>
      </w:tr>
      <w:tr w14:paraId="4D926AB4">
        <w:tblPrEx>
          <w:tblCellMar>
            <w:top w:w="0" w:type="dxa"/>
            <w:left w:w="0" w:type="dxa"/>
            <w:bottom w:w="0" w:type="dxa"/>
            <w:right w:w="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ABCFFD2">
            <w:pPr>
              <w:jc w:val="center"/>
              <w:rPr>
                <w:rFonts w:hint="eastAsia" w:ascii="宋体" w:hAnsi="宋体" w:cs="宋体"/>
                <w:color w:val="000000" w:themeColor="text1"/>
                <w:sz w:val="28"/>
                <w:szCs w:val="28"/>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400DB100">
            <w:pPr>
              <w:jc w:val="center"/>
              <w:rPr>
                <w:rFonts w:hint="eastAsia" w:ascii="宋体" w:hAnsi="宋体" w:cs="宋体"/>
                <w:color w:val="000000" w:themeColor="text1"/>
                <w:sz w:val="28"/>
                <w:szCs w:val="28"/>
                <w:highlight w:val="none"/>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61D6CDE">
            <w:pPr>
              <w:jc w:val="center"/>
              <w:rPr>
                <w:rFonts w:hint="eastAsia" w:ascii="宋体" w:hAnsi="宋体" w:cs="宋体"/>
                <w:color w:val="000000" w:themeColor="text1"/>
                <w:sz w:val="28"/>
                <w:szCs w:val="28"/>
                <w:highlight w:val="none"/>
                <w14:textFill>
                  <w14:solidFill>
                    <w14:schemeClr w14:val="tx1"/>
                  </w14:solidFill>
                </w14:textFill>
              </w:rPr>
            </w:pP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B4831C5">
            <w:pPr>
              <w:jc w:val="center"/>
              <w:rPr>
                <w:rFonts w:hint="eastAsia" w:ascii="宋体" w:hAnsi="宋体" w:cs="宋体"/>
                <w:color w:val="000000" w:themeColor="text1"/>
                <w:sz w:val="28"/>
                <w:szCs w:val="28"/>
                <w:highlight w:val="none"/>
                <w14:textFill>
                  <w14:solidFill>
                    <w14:schemeClr w14:val="tx1"/>
                  </w14:solidFill>
                </w14:textFill>
              </w:rPr>
            </w:pP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6CF3E2C">
            <w:pPr>
              <w:jc w:val="center"/>
              <w:rPr>
                <w:rFonts w:hint="eastAsia" w:ascii="宋体" w:hAnsi="宋体" w:cs="宋体"/>
                <w:color w:val="000000" w:themeColor="text1"/>
                <w:sz w:val="28"/>
                <w:szCs w:val="28"/>
                <w:highlight w:val="none"/>
                <w14:textFill>
                  <w14:solidFill>
                    <w14:schemeClr w14:val="tx1"/>
                  </w14:solidFill>
                </w14:textFill>
              </w:rPr>
            </w:pPr>
          </w:p>
        </w:tc>
      </w:tr>
      <w:tr w14:paraId="7BE360B5">
        <w:tblPrEx>
          <w:tblCellMar>
            <w:top w:w="0" w:type="dxa"/>
            <w:left w:w="0" w:type="dxa"/>
            <w:bottom w:w="0" w:type="dxa"/>
            <w:right w:w="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FAD992D">
            <w:pPr>
              <w:jc w:val="center"/>
              <w:rPr>
                <w:rFonts w:hint="eastAsia" w:ascii="宋体" w:hAnsi="宋体" w:cs="宋体"/>
                <w:color w:val="000000" w:themeColor="text1"/>
                <w:sz w:val="28"/>
                <w:szCs w:val="28"/>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E7CCB30">
            <w:pPr>
              <w:jc w:val="center"/>
              <w:rPr>
                <w:rFonts w:hint="eastAsia" w:ascii="宋体" w:hAnsi="宋体" w:cs="宋体"/>
                <w:color w:val="000000" w:themeColor="text1"/>
                <w:sz w:val="28"/>
                <w:szCs w:val="28"/>
                <w:highlight w:val="none"/>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11904A8">
            <w:pPr>
              <w:jc w:val="center"/>
              <w:rPr>
                <w:rFonts w:hint="eastAsia" w:ascii="宋体" w:hAnsi="宋体" w:cs="宋体"/>
                <w:color w:val="000000" w:themeColor="text1"/>
                <w:sz w:val="28"/>
                <w:szCs w:val="28"/>
                <w:highlight w:val="none"/>
                <w14:textFill>
                  <w14:solidFill>
                    <w14:schemeClr w14:val="tx1"/>
                  </w14:solidFill>
                </w14:textFill>
              </w:rPr>
            </w:pP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1F06356F">
            <w:pPr>
              <w:jc w:val="center"/>
              <w:rPr>
                <w:rFonts w:hint="eastAsia" w:ascii="宋体" w:hAnsi="宋体" w:cs="宋体"/>
                <w:color w:val="000000" w:themeColor="text1"/>
                <w:sz w:val="28"/>
                <w:szCs w:val="28"/>
                <w:highlight w:val="none"/>
                <w14:textFill>
                  <w14:solidFill>
                    <w14:schemeClr w14:val="tx1"/>
                  </w14:solidFill>
                </w14:textFill>
              </w:rPr>
            </w:pP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318B469">
            <w:pPr>
              <w:jc w:val="center"/>
              <w:rPr>
                <w:rFonts w:hint="eastAsia" w:ascii="宋体" w:hAnsi="宋体" w:cs="宋体"/>
                <w:color w:val="000000" w:themeColor="text1"/>
                <w:sz w:val="28"/>
                <w:szCs w:val="28"/>
                <w:highlight w:val="none"/>
                <w14:textFill>
                  <w14:solidFill>
                    <w14:schemeClr w14:val="tx1"/>
                  </w14:solidFill>
                </w14:textFill>
              </w:rPr>
            </w:pPr>
          </w:p>
        </w:tc>
      </w:tr>
      <w:tr w14:paraId="12BD14BA">
        <w:tblPrEx>
          <w:tblCellMar>
            <w:top w:w="0" w:type="dxa"/>
            <w:left w:w="0" w:type="dxa"/>
            <w:bottom w:w="0" w:type="dxa"/>
            <w:right w:w="0" w:type="dxa"/>
          </w:tblCellMar>
        </w:tblPrEx>
        <w:trPr>
          <w:trHeight w:val="680"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264C7FD3">
            <w:pPr>
              <w:jc w:val="center"/>
              <w:rPr>
                <w:rFonts w:hint="eastAsia" w:ascii="宋体" w:hAnsi="宋体" w:cs="宋体"/>
                <w:color w:val="000000" w:themeColor="text1"/>
                <w:sz w:val="28"/>
                <w:szCs w:val="28"/>
                <w:highlight w:val="none"/>
                <w14:textFill>
                  <w14:solidFill>
                    <w14:schemeClr w14:val="tx1"/>
                  </w14:solidFill>
                </w14:textFill>
              </w:rPr>
            </w:pPr>
          </w:p>
        </w:tc>
        <w:tc>
          <w:tcPr>
            <w:tcW w:w="1845"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30AAD445">
            <w:pPr>
              <w:jc w:val="center"/>
              <w:rPr>
                <w:rFonts w:hint="eastAsia" w:ascii="宋体" w:hAnsi="宋体" w:cs="宋体"/>
                <w:color w:val="000000" w:themeColor="text1"/>
                <w:sz w:val="28"/>
                <w:szCs w:val="28"/>
                <w:highlight w:val="none"/>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7E97E970">
            <w:pPr>
              <w:jc w:val="center"/>
              <w:rPr>
                <w:rFonts w:hint="eastAsia" w:ascii="宋体" w:hAnsi="宋体" w:cs="宋体"/>
                <w:color w:val="000000" w:themeColor="text1"/>
                <w:sz w:val="28"/>
                <w:szCs w:val="28"/>
                <w:highlight w:val="none"/>
                <w14:textFill>
                  <w14:solidFill>
                    <w14:schemeClr w14:val="tx1"/>
                  </w14:solidFill>
                </w14:textFill>
              </w:rPr>
            </w:pPr>
          </w:p>
        </w:tc>
        <w:tc>
          <w:tcPr>
            <w:tcW w:w="2828"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56B23092">
            <w:pPr>
              <w:jc w:val="center"/>
              <w:rPr>
                <w:rFonts w:hint="eastAsia" w:ascii="宋体" w:hAnsi="宋体" w:cs="宋体"/>
                <w:color w:val="000000" w:themeColor="text1"/>
                <w:sz w:val="28"/>
                <w:szCs w:val="28"/>
                <w:highlight w:val="none"/>
                <w14:textFill>
                  <w14:solidFill>
                    <w14:schemeClr w14:val="tx1"/>
                  </w14:solidFill>
                </w14:textFill>
              </w:rPr>
            </w:pPr>
          </w:p>
        </w:tc>
        <w:tc>
          <w:tcPr>
            <w:tcW w:w="1354" w:type="dxa"/>
            <w:tcBorders>
              <w:top w:val="single" w:color="000000" w:sz="4" w:space="0"/>
              <w:left w:val="single" w:color="000000" w:sz="4" w:space="0"/>
              <w:bottom w:val="single" w:color="000000" w:sz="4" w:space="0"/>
              <w:right w:val="single" w:color="000000" w:sz="4" w:space="0"/>
            </w:tcBorders>
            <w:shd w:val="clear" w:color="000000" w:fill="FFFFFF"/>
            <w:noWrap w:val="0"/>
            <w:tcMar>
              <w:left w:w="0" w:type="dxa"/>
              <w:right w:w="0" w:type="dxa"/>
            </w:tcMar>
            <w:vAlign w:val="center"/>
          </w:tcPr>
          <w:p w14:paraId="6EBC060D">
            <w:pPr>
              <w:jc w:val="center"/>
              <w:rPr>
                <w:rFonts w:hint="eastAsia" w:ascii="宋体" w:hAnsi="宋体" w:cs="宋体"/>
                <w:color w:val="000000" w:themeColor="text1"/>
                <w:sz w:val="28"/>
                <w:szCs w:val="28"/>
                <w:highlight w:val="none"/>
                <w14:textFill>
                  <w14:solidFill>
                    <w14:schemeClr w14:val="tx1"/>
                  </w14:solidFill>
                </w14:textFill>
              </w:rPr>
            </w:pPr>
          </w:p>
        </w:tc>
      </w:tr>
    </w:tbl>
    <w:p w14:paraId="2F28632D">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供应商名称：（盖章）</w:t>
      </w:r>
    </w:p>
    <w:p w14:paraId="56D997B5">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说明：1、如果行数不够，请自行增加。</w:t>
      </w:r>
    </w:p>
    <w:p w14:paraId="157F80A2">
      <w:pPr>
        <w:spacing w:line="360" w:lineRule="auto"/>
        <w:ind w:firstLine="840" w:firstLineChars="300"/>
        <w:jc w:val="left"/>
        <w:rPr>
          <w:rFonts w:hint="eastAsia" w:ascii="宋体" w:hAnsi="宋体" w:cs="宋体"/>
          <w:b w:val="0"/>
          <w:bCs/>
          <w:color w:val="000000" w:themeColor="text1"/>
          <w:sz w:val="28"/>
          <w:szCs w:val="28"/>
          <w:highlight w:val="none"/>
          <w14:textFill>
            <w14:solidFill>
              <w14:schemeClr w14:val="tx1"/>
            </w14:solidFill>
          </w14:textFill>
        </w:rPr>
      </w:pPr>
      <w:r>
        <w:rPr>
          <w:rFonts w:hint="eastAsia" w:ascii="宋体" w:hAnsi="宋体" w:cs="宋体"/>
          <w:b w:val="0"/>
          <w:bCs/>
          <w:color w:val="000000" w:themeColor="text1"/>
          <w:sz w:val="28"/>
          <w:szCs w:val="28"/>
          <w:highlight w:val="none"/>
          <w14:textFill>
            <w14:solidFill>
              <w14:schemeClr w14:val="tx1"/>
            </w14:solidFill>
          </w14:textFill>
        </w:rPr>
        <w:t>2、供应商应逐一说明响应。</w:t>
      </w:r>
    </w:p>
    <w:p w14:paraId="50458D54">
      <w:pPr>
        <w:widowControl/>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clear="all"/>
      </w:r>
      <w:r>
        <w:rPr>
          <w:rFonts w:hint="eastAsia" w:ascii="宋体" w:hAnsi="宋体" w:cs="宋体"/>
          <w:b/>
          <w:color w:val="000000" w:themeColor="text1"/>
          <w:sz w:val="28"/>
          <w:szCs w:val="28"/>
          <w:highlight w:val="none"/>
          <w14:textFill>
            <w14:solidFill>
              <w14:schemeClr w14:val="tx1"/>
            </w14:solidFill>
          </w14:textFill>
        </w:rPr>
        <w:t>目录八、服务与承诺</w:t>
      </w:r>
    </w:p>
    <w:p w14:paraId="4A477DF7">
      <w:pPr>
        <w:rPr>
          <w:rFonts w:hint="eastAsia" w:ascii="宋体" w:hAnsi="宋体" w:cs="宋体"/>
          <w:b/>
          <w:color w:val="000000" w:themeColor="text1"/>
          <w:sz w:val="28"/>
          <w:szCs w:val="28"/>
          <w:highlight w:val="none"/>
          <w14:textFill>
            <w14:solidFill>
              <w14:schemeClr w14:val="tx1"/>
            </w14:solidFill>
          </w14:textFill>
        </w:rPr>
      </w:pPr>
    </w:p>
    <w:p w14:paraId="267AA108">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服务与承诺（若有）</w:t>
      </w:r>
    </w:p>
    <w:p w14:paraId="52F2588E">
      <w:pPr>
        <w:widowControl/>
        <w:jc w:val="left"/>
        <w:rPr>
          <w:rFonts w:hint="eastAsia" w:ascii="宋体" w:hAnsi="宋体" w:cs="宋体"/>
          <w:b/>
          <w:color w:val="000000" w:themeColor="text1"/>
          <w:sz w:val="28"/>
          <w:szCs w:val="28"/>
          <w:highlight w:val="none"/>
          <w14:textFill>
            <w14:solidFill>
              <w14:schemeClr w14:val="tx1"/>
            </w14:solidFill>
          </w14:textFill>
        </w:rPr>
      </w:pPr>
    </w:p>
    <w:p w14:paraId="5C930085">
      <w:pPr>
        <w:widowControl/>
        <w:jc w:val="left"/>
        <w:rPr>
          <w:rFonts w:hint="eastAsia" w:ascii="宋体" w:hAnsi="宋体" w:cs="宋体"/>
          <w:b/>
          <w:color w:val="000000" w:themeColor="text1"/>
          <w:sz w:val="28"/>
          <w:szCs w:val="28"/>
          <w:highlight w:val="none"/>
          <w14:textFill>
            <w14:solidFill>
              <w14:schemeClr w14:val="tx1"/>
            </w14:solidFill>
          </w14:textFill>
        </w:rPr>
      </w:pPr>
    </w:p>
    <w:p w14:paraId="341E96F2">
      <w:pPr>
        <w:widowControl/>
        <w:jc w:val="left"/>
        <w:rPr>
          <w:rFonts w:hint="eastAsia" w:ascii="宋体" w:hAnsi="宋体" w:cs="宋体"/>
          <w:b/>
          <w:color w:val="000000" w:themeColor="text1"/>
          <w:sz w:val="28"/>
          <w:szCs w:val="28"/>
          <w:highlight w:val="none"/>
          <w14:textFill>
            <w14:solidFill>
              <w14:schemeClr w14:val="tx1"/>
            </w14:solidFill>
          </w14:textFill>
        </w:rPr>
      </w:pPr>
    </w:p>
    <w:p w14:paraId="22600D3A">
      <w:pPr>
        <w:widowControl/>
        <w:jc w:val="left"/>
        <w:rPr>
          <w:rFonts w:hint="eastAsia" w:ascii="宋体" w:hAnsi="宋体" w:cs="宋体"/>
          <w:b/>
          <w:color w:val="000000" w:themeColor="text1"/>
          <w:sz w:val="28"/>
          <w:szCs w:val="28"/>
          <w:highlight w:val="none"/>
          <w14:textFill>
            <w14:solidFill>
              <w14:schemeClr w14:val="tx1"/>
            </w14:solidFill>
          </w14:textFill>
        </w:rPr>
      </w:pPr>
    </w:p>
    <w:p w14:paraId="31F392F6">
      <w:pPr>
        <w:widowControl/>
        <w:jc w:val="left"/>
        <w:rPr>
          <w:rFonts w:hint="eastAsia" w:ascii="宋体" w:hAnsi="宋体" w:cs="宋体"/>
          <w:b/>
          <w:color w:val="000000" w:themeColor="text1"/>
          <w:sz w:val="28"/>
          <w:szCs w:val="28"/>
          <w:highlight w:val="none"/>
          <w14:textFill>
            <w14:solidFill>
              <w14:schemeClr w14:val="tx1"/>
            </w14:solidFill>
          </w14:textFill>
        </w:rPr>
      </w:pPr>
    </w:p>
    <w:p w14:paraId="7EB5D08E">
      <w:pPr>
        <w:widowControl/>
        <w:jc w:val="left"/>
        <w:rPr>
          <w:rFonts w:hint="eastAsia" w:ascii="宋体" w:hAnsi="宋体" w:cs="宋体"/>
          <w:b/>
          <w:color w:val="000000" w:themeColor="text1"/>
          <w:sz w:val="28"/>
          <w:szCs w:val="28"/>
          <w:highlight w:val="none"/>
          <w14:textFill>
            <w14:solidFill>
              <w14:schemeClr w14:val="tx1"/>
            </w14:solidFill>
          </w14:textFill>
        </w:rPr>
      </w:pPr>
    </w:p>
    <w:p w14:paraId="2B6D8676">
      <w:pPr>
        <w:widowControl/>
        <w:jc w:val="left"/>
        <w:rPr>
          <w:rFonts w:hint="eastAsia" w:ascii="宋体" w:hAnsi="宋体" w:cs="宋体"/>
          <w:b/>
          <w:color w:val="000000" w:themeColor="text1"/>
          <w:sz w:val="28"/>
          <w:szCs w:val="28"/>
          <w:highlight w:val="none"/>
          <w14:textFill>
            <w14:solidFill>
              <w14:schemeClr w14:val="tx1"/>
            </w14:solidFill>
          </w14:textFill>
        </w:rPr>
      </w:pPr>
    </w:p>
    <w:p w14:paraId="4F2F8657">
      <w:pPr>
        <w:widowControl/>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w:t>
      </w:r>
      <w:r>
        <w:rPr>
          <w:rFonts w:hint="eastAsia" w:ascii="宋体" w:hAnsi="宋体" w:cs="宋体"/>
          <w:b/>
          <w:color w:val="000000" w:themeColor="text1"/>
          <w:sz w:val="28"/>
          <w:szCs w:val="28"/>
          <w:highlight w:val="none"/>
          <w:lang w:eastAsia="zh-CN"/>
          <w14:textFill>
            <w14:solidFill>
              <w14:schemeClr w14:val="tx1"/>
            </w14:solidFill>
          </w14:textFill>
        </w:rPr>
        <w:t>九</w:t>
      </w:r>
      <w:r>
        <w:rPr>
          <w:rFonts w:hint="eastAsia" w:ascii="宋体" w:hAnsi="宋体" w:cs="宋体"/>
          <w:b/>
          <w:color w:val="000000" w:themeColor="text1"/>
          <w:sz w:val="28"/>
          <w:szCs w:val="28"/>
          <w:highlight w:val="none"/>
          <w14:textFill>
            <w14:solidFill>
              <w14:schemeClr w14:val="tx1"/>
            </w14:solidFill>
          </w14:textFill>
        </w:rPr>
        <w:t>、投标需要的其他证明文件及材料</w:t>
      </w:r>
    </w:p>
    <w:p w14:paraId="3C81A039">
      <w:pPr>
        <w:rPr>
          <w:rFonts w:hint="eastAsia" w:ascii="宋体" w:hAnsi="宋体" w:cs="宋体"/>
          <w:b/>
          <w:color w:val="000000" w:themeColor="text1"/>
          <w:sz w:val="28"/>
          <w:szCs w:val="28"/>
          <w:highlight w:val="none"/>
          <w14:textFill>
            <w14:solidFill>
              <w14:schemeClr w14:val="tx1"/>
            </w14:solidFill>
          </w14:textFill>
        </w:rPr>
      </w:pPr>
    </w:p>
    <w:p w14:paraId="1DC52A20">
      <w:pPr>
        <w:rPr>
          <w:rFonts w:hint="eastAsia" w:ascii="宋体" w:hAnsi="宋体" w:cs="宋体"/>
          <w:b/>
          <w:color w:val="000000" w:themeColor="text1"/>
          <w:sz w:val="28"/>
          <w:szCs w:val="28"/>
          <w:highlight w:val="none"/>
          <w14:textFill>
            <w14:solidFill>
              <w14:schemeClr w14:val="tx1"/>
            </w14:solidFill>
          </w14:textFill>
        </w:rPr>
      </w:pPr>
    </w:p>
    <w:p w14:paraId="32DC9B3F">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投标需要的其他证明文件及材料（若有）</w:t>
      </w:r>
    </w:p>
    <w:p w14:paraId="4BFCD6D8">
      <w:pPr>
        <w:rPr>
          <w:rFonts w:hint="eastAsia" w:ascii="宋体" w:hAnsi="宋体" w:cs="宋体"/>
          <w:b/>
          <w:color w:val="000000" w:themeColor="text1"/>
          <w:sz w:val="28"/>
          <w:szCs w:val="28"/>
          <w:highlight w:val="none"/>
          <w14:textFill>
            <w14:solidFill>
              <w14:schemeClr w14:val="tx1"/>
            </w14:solidFill>
          </w14:textFill>
        </w:rPr>
      </w:pPr>
    </w:p>
    <w:p w14:paraId="0B6A5307">
      <w:pPr>
        <w:spacing w:before="50" w:after="50" w:line="360" w:lineRule="auto"/>
        <w:jc w:val="left"/>
        <w:rPr>
          <w:rFonts w:hint="eastAsia" w:ascii="宋体" w:hAnsi="宋体" w:cs="宋体"/>
          <w:b/>
          <w:color w:val="000000" w:themeColor="text1"/>
          <w:sz w:val="28"/>
          <w:szCs w:val="28"/>
          <w:highlight w:val="none"/>
          <w14:textFill>
            <w14:solidFill>
              <w14:schemeClr w14:val="tx1"/>
            </w14:solidFill>
          </w14:textFill>
        </w:rPr>
        <w:sectPr>
          <w:headerReference r:id="rId7" w:type="default"/>
          <w:footerReference r:id="rId8" w:type="default"/>
          <w:pgSz w:w="11906" w:h="16838"/>
          <w:pgMar w:top="850" w:right="850" w:bottom="850" w:left="1418" w:header="170" w:footer="680" w:gutter="0"/>
          <w:pgBorders>
            <w:top w:val="none" w:sz="0" w:space="0"/>
            <w:left w:val="none" w:sz="0" w:space="0"/>
            <w:bottom w:val="none" w:sz="0" w:space="0"/>
            <w:right w:val="none" w:sz="0" w:space="0"/>
          </w:pgBorders>
          <w:pgNumType w:fmt="decimal"/>
          <w:cols w:space="1701" w:num="1"/>
          <w:docGrid w:linePitch="360" w:charSpace="0"/>
        </w:sectPr>
      </w:pPr>
    </w:p>
    <w:p w14:paraId="124BD7DB">
      <w:pPr>
        <w:spacing w:before="50" w:after="50" w:line="360" w:lineRule="auto"/>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目录十、资格性审查响应对照表</w:t>
      </w:r>
    </w:p>
    <w:p w14:paraId="1583C0E0">
      <w:pPr>
        <w:spacing w:before="50" w:after="50"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资格性审查响应对照表</w:t>
      </w:r>
    </w:p>
    <w:p w14:paraId="640F31C3">
      <w:pPr>
        <w:spacing w:before="50" w:after="5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项目名称：                       </w:t>
      </w:r>
    </w:p>
    <w:p w14:paraId="6F594133">
      <w:pPr>
        <w:spacing w:before="50" w:after="50"/>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项目编号：</w:t>
      </w:r>
    </w:p>
    <w:tbl>
      <w:tblPr>
        <w:tblStyle w:val="34"/>
        <w:tblW w:w="9731" w:type="dxa"/>
        <w:jc w:val="center"/>
        <w:tblLayout w:type="fixed"/>
        <w:tblCellMar>
          <w:top w:w="0" w:type="dxa"/>
          <w:left w:w="108" w:type="dxa"/>
          <w:bottom w:w="0" w:type="dxa"/>
          <w:right w:w="108" w:type="dxa"/>
        </w:tblCellMar>
      </w:tblPr>
      <w:tblGrid>
        <w:gridCol w:w="745"/>
        <w:gridCol w:w="5637"/>
        <w:gridCol w:w="1629"/>
        <w:gridCol w:w="1720"/>
      </w:tblGrid>
      <w:tr w14:paraId="1586CD9E">
        <w:tblPrEx>
          <w:tblCellMar>
            <w:top w:w="0" w:type="dxa"/>
            <w:left w:w="108" w:type="dxa"/>
            <w:bottom w:w="0" w:type="dxa"/>
            <w:right w:w="108" w:type="dxa"/>
          </w:tblCellMar>
        </w:tblPrEx>
        <w:trPr>
          <w:trHeight w:val="7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133E303">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序号</w:t>
            </w:r>
          </w:p>
        </w:tc>
        <w:tc>
          <w:tcPr>
            <w:tcW w:w="563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9196241">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资格性审查响应内容</w:t>
            </w: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784E41C">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是否响应</w:t>
            </w:r>
          </w:p>
          <w:p w14:paraId="5862922C">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（填是或者否）</w:t>
            </w: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19088EB">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投标文件中的页码位置</w:t>
            </w:r>
          </w:p>
        </w:tc>
      </w:tr>
      <w:tr w14:paraId="26AD6AE4">
        <w:tblPrEx>
          <w:tblCellMar>
            <w:top w:w="0" w:type="dxa"/>
            <w:left w:w="108" w:type="dxa"/>
            <w:bottom w:w="0" w:type="dxa"/>
            <w:right w:w="108" w:type="dxa"/>
          </w:tblCellMar>
        </w:tblPrEx>
        <w:trPr>
          <w:trHeight w:val="7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A8EC730">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p>
        </w:tc>
        <w:tc>
          <w:tcPr>
            <w:tcW w:w="563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726CDC">
            <w:pPr>
              <w:rPr>
                <w:rFonts w:hint="eastAsia" w:ascii="宋体" w:hAnsi="宋体" w:cs="宋体"/>
                <w:color w:val="000000" w:themeColor="text1"/>
                <w:sz w:val="28"/>
                <w:szCs w:val="28"/>
                <w:highlight w:val="none"/>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4A8DB44">
            <w:pPr>
              <w:rPr>
                <w:rFonts w:hint="eastAsia" w:ascii="宋体" w:hAnsi="宋体" w:cs="宋体"/>
                <w:color w:val="000000" w:themeColor="text1"/>
                <w:sz w:val="28"/>
                <w:szCs w:val="28"/>
                <w:highlight w:val="none"/>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A3D6C87">
            <w:pPr>
              <w:rPr>
                <w:rFonts w:hint="eastAsia" w:ascii="宋体" w:hAnsi="宋体" w:cs="宋体"/>
                <w:color w:val="000000" w:themeColor="text1"/>
                <w:sz w:val="28"/>
                <w:szCs w:val="28"/>
                <w:highlight w:val="none"/>
                <w14:textFill>
                  <w14:solidFill>
                    <w14:schemeClr w14:val="tx1"/>
                  </w14:solidFill>
                </w14:textFill>
              </w:rPr>
            </w:pPr>
          </w:p>
        </w:tc>
      </w:tr>
      <w:tr w14:paraId="3C767AC6">
        <w:tblPrEx>
          <w:tblCellMar>
            <w:top w:w="0" w:type="dxa"/>
            <w:left w:w="108" w:type="dxa"/>
            <w:bottom w:w="0" w:type="dxa"/>
            <w:right w:w="108" w:type="dxa"/>
          </w:tblCellMar>
        </w:tblPrEx>
        <w:trPr>
          <w:trHeight w:val="7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B5842E2">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w:t>
            </w:r>
          </w:p>
        </w:tc>
        <w:tc>
          <w:tcPr>
            <w:tcW w:w="563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080F199">
            <w:pPr>
              <w:rPr>
                <w:rFonts w:hint="eastAsia" w:ascii="宋体" w:hAnsi="宋体" w:cs="宋体"/>
                <w:color w:val="000000" w:themeColor="text1"/>
                <w:sz w:val="28"/>
                <w:szCs w:val="28"/>
                <w:highlight w:val="none"/>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B41649E">
            <w:pPr>
              <w:rPr>
                <w:rFonts w:hint="eastAsia" w:ascii="宋体" w:hAnsi="宋体" w:cs="宋体"/>
                <w:color w:val="000000" w:themeColor="text1"/>
                <w:sz w:val="28"/>
                <w:szCs w:val="28"/>
                <w:highlight w:val="none"/>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1CD8B05">
            <w:pPr>
              <w:rPr>
                <w:rFonts w:hint="eastAsia" w:ascii="宋体" w:hAnsi="宋体" w:cs="宋体"/>
                <w:color w:val="000000" w:themeColor="text1"/>
                <w:sz w:val="28"/>
                <w:szCs w:val="28"/>
                <w:highlight w:val="none"/>
                <w14:textFill>
                  <w14:solidFill>
                    <w14:schemeClr w14:val="tx1"/>
                  </w14:solidFill>
                </w14:textFill>
              </w:rPr>
            </w:pPr>
          </w:p>
        </w:tc>
      </w:tr>
      <w:tr w14:paraId="6F139256">
        <w:tblPrEx>
          <w:tblCellMar>
            <w:top w:w="0" w:type="dxa"/>
            <w:left w:w="108" w:type="dxa"/>
            <w:bottom w:w="0" w:type="dxa"/>
            <w:right w:w="108" w:type="dxa"/>
          </w:tblCellMar>
        </w:tblPrEx>
        <w:trPr>
          <w:trHeight w:val="7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DCEEF0E">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w:t>
            </w:r>
          </w:p>
        </w:tc>
        <w:tc>
          <w:tcPr>
            <w:tcW w:w="563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0C785D1">
            <w:pPr>
              <w:rPr>
                <w:rFonts w:hint="eastAsia" w:ascii="宋体" w:hAnsi="宋体" w:cs="宋体"/>
                <w:color w:val="000000" w:themeColor="text1"/>
                <w:sz w:val="28"/>
                <w:szCs w:val="28"/>
                <w:highlight w:val="none"/>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C78B957">
            <w:pPr>
              <w:rPr>
                <w:rFonts w:hint="eastAsia" w:ascii="宋体" w:hAnsi="宋体" w:cs="宋体"/>
                <w:color w:val="000000" w:themeColor="text1"/>
                <w:sz w:val="28"/>
                <w:szCs w:val="28"/>
                <w:highlight w:val="none"/>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A32E3B7">
            <w:pPr>
              <w:rPr>
                <w:rFonts w:hint="eastAsia" w:ascii="宋体" w:hAnsi="宋体" w:cs="宋体"/>
                <w:color w:val="000000" w:themeColor="text1"/>
                <w:sz w:val="28"/>
                <w:szCs w:val="28"/>
                <w:highlight w:val="none"/>
                <w14:textFill>
                  <w14:solidFill>
                    <w14:schemeClr w14:val="tx1"/>
                  </w14:solidFill>
                </w14:textFill>
              </w:rPr>
            </w:pPr>
          </w:p>
        </w:tc>
      </w:tr>
      <w:tr w14:paraId="5784CB4F">
        <w:tblPrEx>
          <w:tblCellMar>
            <w:top w:w="0" w:type="dxa"/>
            <w:left w:w="108" w:type="dxa"/>
            <w:bottom w:w="0" w:type="dxa"/>
            <w:right w:w="108" w:type="dxa"/>
          </w:tblCellMar>
        </w:tblPrEx>
        <w:trPr>
          <w:trHeight w:val="7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EAAD63A">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p>
        </w:tc>
        <w:tc>
          <w:tcPr>
            <w:tcW w:w="563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C179CBC">
            <w:pPr>
              <w:rPr>
                <w:rFonts w:hint="eastAsia" w:ascii="宋体" w:hAnsi="宋体" w:cs="宋体"/>
                <w:color w:val="000000" w:themeColor="text1"/>
                <w:sz w:val="28"/>
                <w:szCs w:val="28"/>
                <w:highlight w:val="none"/>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E37AD3C">
            <w:pPr>
              <w:rPr>
                <w:rFonts w:hint="eastAsia" w:ascii="宋体" w:hAnsi="宋体" w:cs="宋体"/>
                <w:color w:val="000000" w:themeColor="text1"/>
                <w:sz w:val="28"/>
                <w:szCs w:val="28"/>
                <w:highlight w:val="none"/>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D3B85A0">
            <w:pPr>
              <w:rPr>
                <w:rFonts w:hint="eastAsia" w:ascii="宋体" w:hAnsi="宋体" w:cs="宋体"/>
                <w:color w:val="000000" w:themeColor="text1"/>
                <w:sz w:val="28"/>
                <w:szCs w:val="28"/>
                <w:highlight w:val="none"/>
                <w14:textFill>
                  <w14:solidFill>
                    <w14:schemeClr w14:val="tx1"/>
                  </w14:solidFill>
                </w14:textFill>
              </w:rPr>
            </w:pPr>
          </w:p>
        </w:tc>
      </w:tr>
      <w:tr w14:paraId="3D177CA1">
        <w:tblPrEx>
          <w:tblCellMar>
            <w:top w:w="0" w:type="dxa"/>
            <w:left w:w="108" w:type="dxa"/>
            <w:bottom w:w="0" w:type="dxa"/>
            <w:right w:w="108" w:type="dxa"/>
          </w:tblCellMar>
        </w:tblPrEx>
        <w:trPr>
          <w:trHeight w:val="737" w:hRule="atLeast"/>
          <w:jc w:val="center"/>
        </w:trPr>
        <w:tc>
          <w:tcPr>
            <w:tcW w:w="74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3CD7011">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p>
        </w:tc>
        <w:tc>
          <w:tcPr>
            <w:tcW w:w="563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5D62DEB">
            <w:pPr>
              <w:rPr>
                <w:rFonts w:hint="eastAsia" w:ascii="宋体" w:hAnsi="宋体" w:cs="宋体"/>
                <w:color w:val="000000" w:themeColor="text1"/>
                <w:sz w:val="28"/>
                <w:szCs w:val="28"/>
                <w:highlight w:val="none"/>
                <w14:textFill>
                  <w14:solidFill>
                    <w14:schemeClr w14:val="tx1"/>
                  </w14:solidFill>
                </w14:textFill>
              </w:rPr>
            </w:pPr>
          </w:p>
        </w:tc>
        <w:tc>
          <w:tcPr>
            <w:tcW w:w="162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B6E36E6">
            <w:pPr>
              <w:rPr>
                <w:rFonts w:hint="eastAsia" w:ascii="宋体" w:hAnsi="宋体" w:cs="宋体"/>
                <w:color w:val="000000" w:themeColor="text1"/>
                <w:sz w:val="28"/>
                <w:szCs w:val="28"/>
                <w:highlight w:val="none"/>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FD4E25">
            <w:pPr>
              <w:rPr>
                <w:rFonts w:hint="eastAsia" w:ascii="宋体" w:hAnsi="宋体" w:cs="宋体"/>
                <w:color w:val="000000" w:themeColor="text1"/>
                <w:sz w:val="28"/>
                <w:szCs w:val="28"/>
                <w:highlight w:val="none"/>
                <w14:textFill>
                  <w14:solidFill>
                    <w14:schemeClr w14:val="tx1"/>
                  </w14:solidFill>
                </w14:textFill>
              </w:rPr>
            </w:pPr>
          </w:p>
        </w:tc>
      </w:tr>
    </w:tbl>
    <w:p w14:paraId="76682EEE">
      <w:pPr>
        <w:spacing w:line="360" w:lineRule="auto"/>
        <w:jc w:val="left"/>
        <w:rPr>
          <w:rFonts w:hint="eastAsia" w:ascii="宋体" w:hAnsi="宋体" w:cs="宋体"/>
          <w:color w:val="000000" w:themeColor="text1"/>
          <w:sz w:val="28"/>
          <w:szCs w:val="28"/>
          <w:highlight w:val="none"/>
          <w14:textFill>
            <w14:solidFill>
              <w14:schemeClr w14:val="tx1"/>
            </w14:solidFill>
          </w14:textFill>
        </w:rPr>
      </w:pPr>
    </w:p>
    <w:p w14:paraId="06853D71">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供应商名称：（盖章）</w:t>
      </w:r>
    </w:p>
    <w:p w14:paraId="465BE06F">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说明：如果行数不够，请自行增加。</w:t>
      </w:r>
    </w:p>
    <w:p w14:paraId="5C5C86E7">
      <w:pPr>
        <w:spacing w:line="360" w:lineRule="auto"/>
        <w:jc w:val="left"/>
        <w:rPr>
          <w:rFonts w:hint="eastAsia" w:ascii="宋体" w:hAnsi="宋体" w:cs="宋体"/>
          <w:b/>
          <w:color w:val="000000" w:themeColor="text1"/>
          <w:sz w:val="28"/>
          <w:szCs w:val="28"/>
          <w:highlight w:val="none"/>
          <w14:textFill>
            <w14:solidFill>
              <w14:schemeClr w14:val="tx1"/>
            </w14:solidFill>
          </w14:textFill>
        </w:rPr>
        <w:sectPr>
          <w:pgSz w:w="11906" w:h="16838"/>
          <w:pgMar w:top="850" w:right="850" w:bottom="850" w:left="1418" w:header="170" w:footer="680" w:gutter="0"/>
          <w:pgBorders>
            <w:top w:val="none" w:sz="0" w:space="0"/>
            <w:left w:val="none" w:sz="0" w:space="0"/>
            <w:bottom w:val="none" w:sz="0" w:space="0"/>
            <w:right w:val="none" w:sz="0" w:space="0"/>
          </w:pgBorders>
          <w:pgNumType w:fmt="decimal"/>
          <w:cols w:space="1701" w:num="1"/>
          <w:docGrid w:linePitch="360" w:charSpace="0"/>
        </w:sectPr>
      </w:pPr>
    </w:p>
    <w:p w14:paraId="780B8407">
      <w:pPr>
        <w:spacing w:line="360" w:lineRule="auto"/>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附件一、中小企业声明函格式</w:t>
      </w:r>
    </w:p>
    <w:p w14:paraId="6BD47BE4">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中小企业声明函（工程、服务）</w:t>
      </w:r>
    </w:p>
    <w:p w14:paraId="646E7015">
      <w:pPr>
        <w:spacing w:line="360" w:lineRule="auto"/>
        <w:ind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8"/>
          <w:szCs w:val="28"/>
          <w:highlight w:val="none"/>
          <w:u w:val="single"/>
          <w14:textFill>
            <w14:solidFill>
              <w14:schemeClr w14:val="tx1"/>
            </w14:solidFill>
          </w14:textFill>
        </w:rPr>
        <w:t>（单位名称）</w:t>
      </w:r>
      <w:r>
        <w:rPr>
          <w:rFonts w:hint="eastAsia" w:ascii="宋体" w:hAnsi="宋体" w:cs="宋体"/>
          <w:color w:val="000000" w:themeColor="text1"/>
          <w:sz w:val="28"/>
          <w:szCs w:val="28"/>
          <w:highlight w:val="none"/>
          <w14:textFill>
            <w14:solidFill>
              <w14:schemeClr w14:val="tx1"/>
            </w14:solidFill>
          </w14:textFill>
        </w:rPr>
        <w:t>的</w:t>
      </w:r>
      <w:r>
        <w:rPr>
          <w:rFonts w:hint="eastAsia" w:ascii="宋体" w:hAnsi="宋体" w:cs="宋体"/>
          <w:color w:val="000000" w:themeColor="text1"/>
          <w:sz w:val="28"/>
          <w:szCs w:val="28"/>
          <w:highlight w:val="none"/>
          <w:u w:val="single"/>
          <w14:textFill>
            <w14:solidFill>
              <w14:schemeClr w14:val="tx1"/>
            </w14:solidFill>
          </w14:textFill>
        </w:rPr>
        <w:t>（项目名称）</w:t>
      </w:r>
      <w:r>
        <w:rPr>
          <w:rFonts w:hint="eastAsia" w:ascii="宋体" w:hAnsi="宋体" w:cs="宋体"/>
          <w:color w:val="000000" w:themeColor="text1"/>
          <w:sz w:val="28"/>
          <w:szCs w:val="28"/>
          <w:highlight w:val="none"/>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14:paraId="46CF9F05">
      <w:pPr>
        <w:spacing w:line="360" w:lineRule="auto"/>
        <w:ind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strike w:val="0"/>
          <w:dstrike w:val="0"/>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u w:val="none"/>
          <w14:textFill>
            <w14:solidFill>
              <w14:schemeClr w14:val="tx1"/>
            </w14:solidFill>
          </w14:textFill>
        </w:rPr>
        <w:t>（标的名称）</w:t>
      </w:r>
      <w:r>
        <w:rPr>
          <w:rFonts w:hint="eastAsia" w:ascii="宋体" w:hAnsi="宋体" w:cs="宋体"/>
          <w:color w:val="000000" w:themeColor="text1"/>
          <w:sz w:val="28"/>
          <w:szCs w:val="28"/>
          <w:highlight w:val="none"/>
          <w14:textFill>
            <w14:solidFill>
              <w14:schemeClr w14:val="tx1"/>
            </w14:solidFill>
          </w14:textFill>
        </w:rPr>
        <w:t>，属于</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建筑业  </w:t>
      </w:r>
      <w:r>
        <w:rPr>
          <w:rFonts w:hint="eastAsia" w:ascii="宋体" w:hAnsi="宋体" w:cs="宋体"/>
          <w:color w:val="000000" w:themeColor="text1"/>
          <w:sz w:val="28"/>
          <w:szCs w:val="28"/>
          <w:highlight w:val="none"/>
          <w14:textFill>
            <w14:solidFill>
              <w14:schemeClr w14:val="tx1"/>
            </w14:solidFill>
          </w14:textFill>
        </w:rPr>
        <w:t>；承建（承接）企业为</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u w:val="none"/>
          <w14:textFill>
            <w14:solidFill>
              <w14:schemeClr w14:val="tx1"/>
            </w14:solidFill>
          </w14:textFill>
        </w:rPr>
        <w:t>（企业名称）</w:t>
      </w:r>
      <w:r>
        <w:rPr>
          <w:rFonts w:hint="eastAsia" w:ascii="宋体" w:hAnsi="宋体" w:cs="宋体"/>
          <w:color w:val="000000" w:themeColor="text1"/>
          <w:sz w:val="28"/>
          <w:szCs w:val="28"/>
          <w:highlight w:val="none"/>
          <w14:textFill>
            <w14:solidFill>
              <w14:schemeClr w14:val="tx1"/>
            </w14:solidFill>
          </w14:textFill>
        </w:rPr>
        <w:t>，从业人员</w:t>
      </w:r>
      <w:r>
        <w:rPr>
          <w:rFonts w:hint="eastAsia" w:ascii="宋体" w:hAnsi="宋体" w:cs="宋体"/>
          <w:color w:val="000000" w:themeColor="text1"/>
          <w:sz w:val="28"/>
          <w:szCs w:val="28"/>
          <w:highlight w:val="none"/>
          <w:u w:val="single"/>
          <w14:textFill>
            <w14:solidFill>
              <w14:schemeClr w14:val="tx1"/>
            </w14:solidFill>
          </w14:textFill>
        </w:rPr>
        <w:tab/>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人，营业收入为</w:t>
      </w:r>
      <w:r>
        <w:rPr>
          <w:rFonts w:hint="eastAsia" w:ascii="宋体" w:hAnsi="宋体" w:cs="宋体"/>
          <w:color w:val="000000" w:themeColor="text1"/>
          <w:sz w:val="28"/>
          <w:szCs w:val="28"/>
          <w:highlight w:val="none"/>
          <w:u w:val="single"/>
          <w14:textFill>
            <w14:solidFill>
              <w14:schemeClr w14:val="tx1"/>
            </w14:solidFill>
          </w14:textFill>
        </w:rPr>
        <w:tab/>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万元，资产总额为</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万元，属于</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u w:val="none"/>
          <w14:textFill>
            <w14:solidFill>
              <w14:schemeClr w14:val="tx1"/>
            </w14:solidFill>
          </w14:textFill>
        </w:rPr>
        <w:t>（中型企业、小型企业、微型企业）</w:t>
      </w:r>
      <w:r>
        <w:rPr>
          <w:rFonts w:hint="eastAsia" w:ascii="宋体" w:hAnsi="宋体" w:cs="宋体"/>
          <w:color w:val="000000" w:themeColor="text1"/>
          <w:sz w:val="28"/>
          <w:szCs w:val="28"/>
          <w:highlight w:val="none"/>
          <w14:textFill>
            <w14:solidFill>
              <w14:schemeClr w14:val="tx1"/>
            </w14:solidFill>
          </w14:textFill>
        </w:rPr>
        <w:t>；</w:t>
      </w:r>
    </w:p>
    <w:p w14:paraId="00BC0236">
      <w:pPr>
        <w:spacing w:line="360" w:lineRule="auto"/>
        <w:ind w:firstLine="56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以上企业，不属于大企业的分支机构，不存在控股股东为大企业的情形，也不存在与大企业的负责人为同一人的情形。</w:t>
      </w:r>
    </w:p>
    <w:p w14:paraId="2900738D">
      <w:pPr>
        <w:spacing w:line="360" w:lineRule="auto"/>
        <w:ind w:firstLine="4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本企业对上述声明内容的真实性负责。如有虚假，将依法承担相应责任。</w:t>
      </w:r>
    </w:p>
    <w:p w14:paraId="7E0F2B0F">
      <w:pPr>
        <w:spacing w:line="360" w:lineRule="auto"/>
        <w:rPr>
          <w:rFonts w:hint="eastAsia" w:ascii="宋体" w:hAnsi="宋体" w:cs="宋体"/>
          <w:color w:val="000000" w:themeColor="text1"/>
          <w:sz w:val="28"/>
          <w:szCs w:val="28"/>
          <w:highlight w:val="none"/>
          <w14:textFill>
            <w14:solidFill>
              <w14:schemeClr w14:val="tx1"/>
            </w14:solidFill>
          </w14:textFill>
        </w:rPr>
      </w:pPr>
    </w:p>
    <w:p w14:paraId="0F7F0F22">
      <w:pPr>
        <w:spacing w:line="360" w:lineRule="auto"/>
        <w:ind w:firstLine="46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企业名称（盖章）：</w:t>
      </w:r>
    </w:p>
    <w:p w14:paraId="299E4DC3">
      <w:pPr>
        <w:spacing w:line="360" w:lineRule="auto"/>
        <w:ind w:firstLine="46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　　　　　期：年月日</w:t>
      </w:r>
    </w:p>
    <w:p w14:paraId="09216906">
      <w:pPr>
        <w:spacing w:line="360" w:lineRule="auto"/>
        <w:jc w:val="left"/>
        <w:rPr>
          <w:rFonts w:hint="eastAsia" w:ascii="宋体" w:hAnsi="宋体" w:cs="宋体"/>
          <w:b/>
          <w:bCs/>
          <w:color w:val="000000" w:themeColor="text1"/>
          <w:sz w:val="28"/>
          <w:szCs w:val="28"/>
          <w:highlight w:val="none"/>
          <w14:textFill>
            <w14:solidFill>
              <w14:schemeClr w14:val="tx1"/>
            </w14:solidFill>
          </w14:textFill>
        </w:rPr>
      </w:pPr>
    </w:p>
    <w:p w14:paraId="0D5B7229">
      <w:pPr>
        <w:spacing w:line="360" w:lineRule="auto"/>
        <w:jc w:val="lef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注1：为方便供应商识别企业规模类型，工业和信息化部组织开发了中小企业规模类型自测小程序，在国务院客户端和工业和信息化部网站上均有链接，供应商可填写企业所属的行业和指标数据自动生成企业规模类型测试结果。</w:t>
      </w:r>
    </w:p>
    <w:p w14:paraId="37EF24C4">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注2：从业人员、营业收入、资产总额填报上一年度数据，无上一年度数据的新成立企业可不填报。</w:t>
      </w:r>
    </w:p>
    <w:p w14:paraId="1F62ABCB">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注3：供应商如不提供此声明函，将做无效响应文件处理。</w:t>
      </w:r>
    </w:p>
    <w:p w14:paraId="2328B11D">
      <w:pPr>
        <w:rPr>
          <w:rFonts w:hint="eastAsia" w:ascii="宋体" w:hAnsi="宋体" w:cs="宋体"/>
          <w:b/>
          <w:color w:val="000000" w:themeColor="text1"/>
          <w:sz w:val="28"/>
          <w:szCs w:val="28"/>
          <w:highlight w:val="none"/>
          <w14:textFill>
            <w14:solidFill>
              <w14:schemeClr w14:val="tx1"/>
            </w14:solidFill>
          </w14:textFill>
        </w:rPr>
      </w:pPr>
    </w:p>
    <w:p w14:paraId="208A2C8E">
      <w:pPr>
        <w:rPr>
          <w:rFonts w:hint="eastAsia" w:ascii="宋体" w:hAnsi="宋体" w:cs="宋体"/>
          <w:b/>
          <w:color w:val="000000" w:themeColor="text1"/>
          <w:sz w:val="28"/>
          <w:szCs w:val="28"/>
          <w:highlight w:val="none"/>
          <w14:textFill>
            <w14:solidFill>
              <w14:schemeClr w14:val="tx1"/>
            </w14:solidFill>
          </w14:textFill>
        </w:rPr>
      </w:pPr>
    </w:p>
    <w:p w14:paraId="35DCC609">
      <w:pPr>
        <w:spacing w:line="360" w:lineRule="auto"/>
        <w:rPr>
          <w:rFonts w:hint="eastAsia" w:ascii="宋体" w:hAnsi="宋体" w:cs="宋体"/>
          <w:b/>
          <w:color w:val="000000" w:themeColor="text1"/>
          <w:sz w:val="28"/>
          <w:szCs w:val="28"/>
          <w:highlight w:val="none"/>
          <w14:textFill>
            <w14:solidFill>
              <w14:schemeClr w14:val="tx1"/>
            </w14:solidFill>
          </w14:textFill>
        </w:rPr>
      </w:pPr>
    </w:p>
    <w:p w14:paraId="7BA2282D">
      <w:pPr>
        <w:spacing w:line="360" w:lineRule="auto"/>
        <w:rPr>
          <w:rFonts w:hint="eastAsia" w:ascii="宋体" w:hAnsi="宋体" w:cs="宋体"/>
          <w:b/>
          <w:color w:val="000000" w:themeColor="text1"/>
          <w:sz w:val="28"/>
          <w:szCs w:val="28"/>
          <w:highlight w:val="none"/>
          <w14:textFill>
            <w14:solidFill>
              <w14:schemeClr w14:val="tx1"/>
            </w14:solidFill>
          </w14:textFill>
        </w:rPr>
      </w:pPr>
    </w:p>
    <w:p w14:paraId="61F21FFD">
      <w:pPr>
        <w:spacing w:line="360" w:lineRule="auto"/>
        <w:rPr>
          <w:rFonts w:hint="eastAsia" w:ascii="宋体" w:hAnsi="宋体" w:cs="宋体"/>
          <w:b/>
          <w:color w:val="000000" w:themeColor="text1"/>
          <w:sz w:val="28"/>
          <w:szCs w:val="28"/>
          <w:highlight w:val="none"/>
          <w14:textFill>
            <w14:solidFill>
              <w14:schemeClr w14:val="tx1"/>
            </w14:solidFill>
          </w14:textFill>
        </w:rPr>
      </w:pPr>
    </w:p>
    <w:p w14:paraId="36F87F79">
      <w:pPr>
        <w:spacing w:line="360" w:lineRule="auto"/>
        <w:rPr>
          <w:rFonts w:hint="eastAsia" w:ascii="宋体" w:hAnsi="宋体" w:cs="宋体"/>
          <w:b/>
          <w:color w:val="000000" w:themeColor="text1"/>
          <w:sz w:val="28"/>
          <w:szCs w:val="28"/>
          <w:highlight w:val="none"/>
          <w14:textFill>
            <w14:solidFill>
              <w14:schemeClr w14:val="tx1"/>
            </w14:solidFill>
          </w14:textFill>
        </w:rPr>
      </w:pPr>
    </w:p>
    <w:p w14:paraId="7CA5FD52">
      <w:pPr>
        <w:spacing w:line="360" w:lineRule="auto"/>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附件二、无重大违法记录声明格式</w:t>
      </w:r>
    </w:p>
    <w:p w14:paraId="45202653">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无重大违法记录声明</w:t>
      </w:r>
    </w:p>
    <w:p w14:paraId="188627F6">
      <w:pPr>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南京市栖霞区市政设施综合养护管理所</w:t>
      </w:r>
      <w:r>
        <w:rPr>
          <w:rFonts w:hint="eastAsia" w:ascii="宋体" w:hAnsi="宋体" w:cs="宋体"/>
          <w:color w:val="000000" w:themeColor="text1"/>
          <w:sz w:val="28"/>
          <w:szCs w:val="28"/>
          <w:highlight w:val="none"/>
          <w14:textFill>
            <w14:solidFill>
              <w14:schemeClr w14:val="tx1"/>
            </w14:solidFill>
          </w14:textFill>
        </w:rPr>
        <w:t>：</w:t>
      </w:r>
    </w:p>
    <w:p w14:paraId="1AA3B45F">
      <w:pPr>
        <w:spacing w:line="360" w:lineRule="auto"/>
        <w:ind w:firstLine="4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我单位（供应商名称）郑重声明：</w:t>
      </w:r>
    </w:p>
    <w:p w14:paraId="287C5963">
      <w:pPr>
        <w:spacing w:line="360" w:lineRule="auto"/>
        <w:ind w:firstLine="4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参加政府采购活动前3年内在经营活动中</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（在下划线上如实填写：有或没有）重大违法记录。</w:t>
      </w:r>
    </w:p>
    <w:p w14:paraId="5242F16B">
      <w:pPr>
        <w:spacing w:line="360" w:lineRule="auto"/>
        <w:ind w:firstLine="4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5BA7F87D">
      <w:pPr>
        <w:spacing w:line="360" w:lineRule="auto"/>
        <w:rPr>
          <w:rFonts w:hint="eastAsia" w:ascii="宋体" w:hAnsi="宋体" w:cs="宋体"/>
          <w:color w:val="000000" w:themeColor="text1"/>
          <w:sz w:val="28"/>
          <w:szCs w:val="28"/>
          <w:highlight w:val="none"/>
          <w14:textFill>
            <w14:solidFill>
              <w14:schemeClr w14:val="tx1"/>
            </w14:solidFill>
          </w14:textFill>
        </w:rPr>
      </w:pPr>
    </w:p>
    <w:p w14:paraId="1A9BA961">
      <w:pPr>
        <w:spacing w:line="360" w:lineRule="auto"/>
        <w:ind w:firstLine="46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声明人（公章）：</w:t>
      </w:r>
    </w:p>
    <w:p w14:paraId="114FD80E">
      <w:pPr>
        <w:spacing w:line="360" w:lineRule="auto"/>
        <w:ind w:firstLine="462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　　　　期：年月日</w:t>
      </w:r>
    </w:p>
    <w:p w14:paraId="36B003B2">
      <w:pPr>
        <w:spacing w:line="360" w:lineRule="auto"/>
        <w:ind w:firstLine="4620"/>
        <w:rPr>
          <w:rFonts w:hint="eastAsia" w:ascii="宋体" w:hAnsi="宋体" w:cs="宋体"/>
          <w:color w:val="000000" w:themeColor="text1"/>
          <w:sz w:val="28"/>
          <w:szCs w:val="28"/>
          <w:highlight w:val="none"/>
          <w14:textFill>
            <w14:solidFill>
              <w14:schemeClr w14:val="tx1"/>
            </w14:solidFill>
          </w14:textFill>
        </w:rPr>
      </w:pPr>
    </w:p>
    <w:p w14:paraId="7C04806A">
      <w:pPr>
        <w:spacing w:line="360" w:lineRule="auto"/>
        <w:rPr>
          <w:rFonts w:hint="eastAsia" w:ascii="宋体" w:hAnsi="宋体" w:cs="宋体"/>
          <w:b/>
          <w:color w:val="000000" w:themeColor="text1"/>
          <w:sz w:val="28"/>
          <w:szCs w:val="28"/>
          <w:highlight w:val="none"/>
          <w14:textFill>
            <w14:solidFill>
              <w14:schemeClr w14:val="tx1"/>
            </w14:solidFill>
          </w14:textFill>
        </w:rPr>
        <w:sectPr>
          <w:pgSz w:w="11906" w:h="16838"/>
          <w:pgMar w:top="850" w:right="850" w:bottom="850" w:left="1418" w:header="170" w:footer="680" w:gutter="0"/>
          <w:pgBorders>
            <w:top w:val="none" w:sz="0" w:space="0"/>
            <w:left w:val="none" w:sz="0" w:space="0"/>
            <w:bottom w:val="none" w:sz="0" w:space="0"/>
            <w:right w:val="none" w:sz="0" w:space="0"/>
          </w:pgBorders>
          <w:pgNumType w:fmt="decimal"/>
          <w:cols w:space="1701" w:num="1"/>
          <w:docGrid w:linePitch="360" w:charSpace="0"/>
        </w:sectPr>
      </w:pPr>
    </w:p>
    <w:p w14:paraId="6C85FE58">
      <w:pPr>
        <w:spacing w:line="360" w:lineRule="auto"/>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附件三、具备履行合同所必需的设备和专业技术能力的声明格式及证明材料</w:t>
      </w:r>
    </w:p>
    <w:p w14:paraId="18A67B7D">
      <w:pPr>
        <w:spacing w:line="36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具备履行合同所必需的设备和专业技术能力的声明</w:t>
      </w:r>
    </w:p>
    <w:p w14:paraId="2A6EE92D">
      <w:pPr>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南京市栖霞区市政设施综合养护管理所</w:t>
      </w:r>
      <w:r>
        <w:rPr>
          <w:rFonts w:hint="eastAsia" w:ascii="宋体" w:hAnsi="宋体" w:cs="宋体"/>
          <w:color w:val="000000" w:themeColor="text1"/>
          <w:sz w:val="28"/>
          <w:szCs w:val="28"/>
          <w:highlight w:val="none"/>
          <w14:textFill>
            <w14:solidFill>
              <w14:schemeClr w14:val="tx1"/>
            </w14:solidFill>
          </w14:textFill>
        </w:rPr>
        <w:t>：</w:t>
      </w:r>
    </w:p>
    <w:p w14:paraId="3E34A248">
      <w:pPr>
        <w:spacing w:line="360" w:lineRule="auto"/>
        <w:ind w:firstLine="49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我单位（供应商名称）郑重声明：我公司具备履行本项采购合同所必需的设备和专业技术能力，为履行本项采购合同我单位具备如下主要设备和主要专业技术能力：</w:t>
      </w:r>
    </w:p>
    <w:p w14:paraId="2A6875F6">
      <w:pPr>
        <w:spacing w:line="360" w:lineRule="auto"/>
        <w:ind w:firstLine="49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主要设备有：</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557C1CA0">
      <w:pPr>
        <w:spacing w:line="360" w:lineRule="auto"/>
        <w:ind w:firstLine="492"/>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主要专业技术能力有：</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14:paraId="0997D704">
      <w:pPr>
        <w:spacing w:line="360" w:lineRule="auto"/>
        <w:rPr>
          <w:rFonts w:hint="eastAsia" w:ascii="宋体" w:hAnsi="宋体" w:cs="宋体"/>
          <w:color w:val="000000" w:themeColor="text1"/>
          <w:sz w:val="28"/>
          <w:szCs w:val="28"/>
          <w:highlight w:val="none"/>
          <w14:textFill>
            <w14:solidFill>
              <w14:schemeClr w14:val="tx1"/>
            </w14:solidFill>
          </w14:textFill>
        </w:rPr>
      </w:pPr>
    </w:p>
    <w:p w14:paraId="2F767701">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声明人（公章）：</w:t>
      </w:r>
    </w:p>
    <w:p w14:paraId="774D9368">
      <w:pPr>
        <w:spacing w:line="360" w:lineRule="auto"/>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日期：年月日</w:t>
      </w:r>
    </w:p>
    <w:p w14:paraId="72F01B92">
      <w:pPr>
        <w:spacing w:line="360" w:lineRule="auto"/>
        <w:rPr>
          <w:rFonts w:hint="eastAsia" w:ascii="宋体" w:hAnsi="宋体" w:cs="宋体"/>
          <w:color w:val="000000" w:themeColor="text1"/>
          <w:sz w:val="28"/>
          <w:szCs w:val="28"/>
          <w:highlight w:val="none"/>
          <w14:textFill>
            <w14:solidFill>
              <w14:schemeClr w14:val="tx1"/>
            </w14:solidFill>
          </w14:textFill>
        </w:rPr>
      </w:pPr>
    </w:p>
    <w:p w14:paraId="65ED9CEF">
      <w:pPr>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其他证明材料及文件：（如果供应商认为需要提供的话）</w:t>
      </w:r>
    </w:p>
    <w:p w14:paraId="50A47200">
      <w:pPr>
        <w:pStyle w:val="587"/>
        <w:spacing w:before="167" w:line="360" w:lineRule="auto"/>
        <w:ind w:left="0"/>
        <w:rPr>
          <w:rFonts w:hint="eastAsia"/>
          <w:bCs w:val="0"/>
          <w:color w:val="000000" w:themeColor="text1"/>
          <w:sz w:val="28"/>
          <w:szCs w:val="28"/>
          <w:highlight w:val="none"/>
          <w:lang w:val="en-US" w:bidi="ar-SA"/>
          <w14:textFill>
            <w14:solidFill>
              <w14:schemeClr w14:val="tx1"/>
            </w14:solidFill>
          </w14:textFill>
        </w:rPr>
      </w:pPr>
      <w:r>
        <w:rPr>
          <w:rFonts w:hint="eastAsia"/>
          <w:bCs w:val="0"/>
          <w:color w:val="000000" w:themeColor="text1"/>
          <w:sz w:val="28"/>
          <w:szCs w:val="28"/>
          <w:highlight w:val="none"/>
          <w:lang w:val="en-US" w:bidi="ar-SA"/>
          <w14:textFill>
            <w14:solidFill>
              <w14:schemeClr w14:val="tx1"/>
            </w14:solidFill>
          </w14:textFill>
        </w:rPr>
        <w:t>附件四、残疾人福利性单位声明函格式</w:t>
      </w:r>
    </w:p>
    <w:p w14:paraId="451401C0">
      <w:pPr>
        <w:pStyle w:val="587"/>
        <w:spacing w:before="167" w:line="360" w:lineRule="auto"/>
        <w:ind w:left="0"/>
        <w:jc w:val="center"/>
        <w:rPr>
          <w:rFonts w:hint="eastAsia"/>
          <w:color w:val="000000" w:themeColor="text1"/>
          <w:sz w:val="28"/>
          <w:szCs w:val="28"/>
          <w:highlight w:val="none"/>
          <w14:textFill>
            <w14:solidFill>
              <w14:schemeClr w14:val="tx1"/>
            </w14:solidFill>
          </w14:textFill>
        </w:rPr>
      </w:pPr>
      <w:r>
        <w:rPr>
          <w:rFonts w:hint="eastAsia"/>
          <w:b w:val="0"/>
          <w:bCs w:val="0"/>
          <w:color w:val="000000" w:themeColor="text1"/>
          <w:sz w:val="28"/>
          <w:szCs w:val="28"/>
          <w:highlight w:val="none"/>
          <w:lang w:val="en-US" w:bidi="ar-SA"/>
          <w14:textFill>
            <w14:solidFill>
              <w14:schemeClr w14:val="tx1"/>
            </w14:solidFill>
          </w14:textFill>
        </w:rPr>
        <w:t>残疾人福利性单位声明函</w:t>
      </w:r>
    </w:p>
    <w:p w14:paraId="034C0628">
      <w:pPr>
        <w:spacing w:line="360" w:lineRule="auto"/>
        <w:ind w:firstLine="492"/>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单位的</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1C9A991">
      <w:pPr>
        <w:spacing w:line="360" w:lineRule="auto"/>
        <w:ind w:firstLine="492"/>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本单位对上述声明的真实性负责。如有虚假，将依法承担相应责任。</w:t>
      </w:r>
    </w:p>
    <w:p w14:paraId="4A23DEE2">
      <w:pPr>
        <w:spacing w:line="360" w:lineRule="auto"/>
        <w:ind w:firstLine="492"/>
        <w:jc w:val="left"/>
        <w:rPr>
          <w:rFonts w:hint="eastAsia" w:ascii="宋体" w:hAnsi="宋体" w:cs="宋体"/>
          <w:color w:val="000000" w:themeColor="text1"/>
          <w:sz w:val="28"/>
          <w:szCs w:val="28"/>
          <w:highlight w:val="none"/>
          <w14:textFill>
            <w14:solidFill>
              <w14:schemeClr w14:val="tx1"/>
            </w14:solidFill>
          </w14:textFill>
        </w:rPr>
      </w:pPr>
    </w:p>
    <w:p w14:paraId="62378A37">
      <w:pPr>
        <w:spacing w:line="360" w:lineRule="auto"/>
        <w:ind w:left="630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单位名称（盖章）：</w:t>
      </w:r>
    </w:p>
    <w:p w14:paraId="399A458F">
      <w:pPr>
        <w:spacing w:line="360" w:lineRule="auto"/>
        <w:ind w:left="630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日期：年月日</w:t>
      </w:r>
    </w:p>
    <w:p w14:paraId="18500B17">
      <w:pPr>
        <w:pStyle w:val="587"/>
        <w:spacing w:before="20" w:line="360" w:lineRule="auto"/>
        <w:ind w:left="0"/>
        <w:rPr>
          <w:rFonts w:hint="eastAsia"/>
          <w:color w:val="000000" w:themeColor="text1"/>
          <w:sz w:val="28"/>
          <w:szCs w:val="28"/>
          <w:highlight w:val="none"/>
          <w14:textFill>
            <w14:solidFill>
              <w14:schemeClr w14:val="tx1"/>
            </w14:solidFill>
          </w14:textFill>
        </w:rPr>
      </w:pPr>
      <w:r>
        <w:rPr>
          <w:rFonts w:hint="eastAsia"/>
          <w:bCs w:val="0"/>
          <w:color w:val="000000" w:themeColor="text1"/>
          <w:sz w:val="28"/>
          <w:szCs w:val="28"/>
          <w:highlight w:val="none"/>
          <w:lang w:val="en-US" w:bidi="ar-SA"/>
          <w14:textFill>
            <w14:solidFill>
              <w14:schemeClr w14:val="tx1"/>
            </w14:solidFill>
          </w14:textFill>
        </w:rPr>
        <w:t>附件五、属于监狱企业的证明文件</w:t>
      </w:r>
    </w:p>
    <w:p w14:paraId="36717E9B">
      <w:pPr>
        <w:spacing w:line="360" w:lineRule="auto"/>
        <w:ind w:firstLine="560"/>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提供由省级以上监狱管理局、戒毒管理局（含新疆生产建设兵团）出具的属于监狱企业的证明文件。</w:t>
      </w:r>
    </w:p>
    <w:sectPr>
      <w:pgSz w:w="11906" w:h="16838"/>
      <w:pgMar w:top="850" w:right="850" w:bottom="850" w:left="1417" w:header="340" w:footer="397" w:gutter="0"/>
      <w:pgBorders>
        <w:top w:val="none" w:sz="0" w:space="0"/>
        <w:left w:val="none" w:sz="0" w:space="0"/>
        <w:bottom w:val="none" w:sz="0" w:space="0"/>
        <w:right w:val="none" w:sz="0" w:space="0"/>
      </w:pgBorders>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Arial Unicode MS">
    <w:altName w:val="Arial"/>
    <w:panose1 w:val="020B0604020202020204"/>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Helvetica">
    <w:altName w:val="Arial"/>
    <w:panose1 w:val="020B0604020202020204"/>
    <w:charset w:val="00"/>
    <w:family w:val="auto"/>
    <w:pitch w:val="default"/>
    <w:sig w:usb0="00000000" w:usb1="00000000" w:usb2="00000000" w:usb3="00000000" w:csb0="00000000" w:csb1="00000000"/>
  </w:font>
  <w:font w:name="华文细黑">
    <w:altName w:val="微软雅黑"/>
    <w:panose1 w:val="02010600040101010101"/>
    <w:charset w:val="00"/>
    <w:family w:val="auto"/>
    <w:pitch w:val="default"/>
    <w:sig w:usb0="00000000" w:usb1="00000000" w:usb2="00000000" w:usb3="00000000" w:csb0="00000000" w:csb1="00000000"/>
  </w:font>
  <w:font w:name="HYDaHeiJ">
    <w:altName w:val="DejaVu Math TeX Gyre"/>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华文楷体">
    <w:altName w:val="宋体"/>
    <w:panose1 w:val="02010600040101010101"/>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6DE0">
    <w:pPr>
      <w:pStyle w:val="2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736AD922">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0lY7tAAAAAFAQAADwAAAAAAAAABACAA&#10;AAAiAAAAZHJzL2Rvd25yZXYueG1sUEsBAhQAFAAAAAgAh07iQN99ctTcAQAAsAMAAA4AAAAAAAAA&#10;AQAgAAAAHwEAAGRycy9lMm9Eb2MueG1sUEsFBgAAAAAGAAYAWQEAAG0FAAAAAA==&#10;">
              <v:fill on="f" focussize="0,0"/>
              <v:stroke on="f" weight="0.5pt"/>
              <v:imagedata o:title=""/>
              <o:lock v:ext="edit" aspectratio="f"/>
              <v:textbox inset="0mm,0mm,0mm,0mm" style="mso-fit-shape-to-text:t;">
                <w:txbxContent>
                  <w:p w14:paraId="736AD922">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27B2">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768828">
                          <w:pPr>
                            <w:pStyle w:val="22"/>
                            <w:tabs>
                              <w:tab w:val="center" w:pos="4153"/>
                              <w:tab w:val="right" w:pos="8306"/>
                              <w:tab w:val="clear" w:pos="7143"/>
                              <w:tab w:val="clear" w:pos="14287"/>
                            </w:tabs>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20768828">
                    <w:pPr>
                      <w:pStyle w:val="22"/>
                      <w:tabs>
                        <w:tab w:val="center" w:pos="4153"/>
                        <w:tab w:val="right" w:pos="8306"/>
                        <w:tab w:val="clear" w:pos="7143"/>
                        <w:tab w:val="clear" w:pos="14287"/>
                      </w:tabs>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78315">
    <w:pPr>
      <w:pStyle w:val="595"/>
      <w:framePr w:wrap="auto" w:vAnchor="margin" w:hAnchor="text" w:yAlign="inline"/>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B3BFC">
                          <w:pPr>
                            <w:pStyle w:val="2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33BB3BFC">
                    <w:pPr>
                      <w:pStyle w:val="2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E61E">
    <w:pPr>
      <w:pStyle w:val="24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C24A41A">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Yxm9QBAACnAwAADgAAAGRycy9lMm9Eb2MueG1srVNLjtswDN0X6B0E&#10;7Rs7w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QWMZvUAQAApwMAAA4AAAAAAAAAAQAgAAAAHgEA&#10;AGRycy9lMm9Eb2MueG1sUEsFBgAAAAAGAAYAWQEAAGQFAAAAAA==&#10;">
              <v:fill on="f" focussize="0,0"/>
              <v:stroke on="f"/>
              <v:imagedata o:title=""/>
              <o:lock v:ext="edit" aspectratio="f"/>
              <v:textbox inset="0mm,0mm,0mm,0mm" style="mso-fit-shape-to-text:t;">
                <w:txbxContent>
                  <w:p w14:paraId="6C24A41A">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72C8">
    <w:pPr>
      <w:pStyle w:val="243"/>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2AB8">
    <w:pPr>
      <w:pStyle w:val="596"/>
      <w:framePr w:wrap="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pStyle w:val="555"/>
      <w:lvlText w:val="(%1)"/>
      <w:lvlJc w:val="left"/>
      <w:pPr>
        <w:tabs>
          <w:tab w:val="left" w:pos="397"/>
        </w:tabs>
        <w:ind w:left="397" w:hanging="397"/>
      </w:pPr>
      <w:rPr>
        <w:rFonts w:ascii="Arial" w:hAnsi="Arial" w:eastAsia="宋体"/>
        <w:b w:val="0"/>
        <w:i w:val="0"/>
        <w:color w:val="00000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6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CF092B84"/>
    <w:multiLevelType w:val="multilevel"/>
    <w:tmpl w:val="CF092B84"/>
    <w:lvl w:ilvl="0" w:tentative="0">
      <w:start w:val="1"/>
      <w:numFmt w:val="decimal"/>
      <w:pStyle w:val="392"/>
      <w:lvlText w:val="%1"/>
      <w:lvlJc w:val="left"/>
      <w:pPr>
        <w:tabs>
          <w:tab w:val="left" w:pos="567"/>
        </w:tabs>
        <w:ind w:left="567" w:hanging="567"/>
      </w:pPr>
      <w:rPr>
        <w:rFonts w:hint="eastAsia"/>
      </w:rPr>
    </w:lvl>
    <w:lvl w:ilvl="1" w:tentative="0">
      <w:start w:val="1"/>
      <w:numFmt w:val="decimal"/>
      <w:pStyle w:val="462"/>
      <w:lvlText w:val="%1.%2"/>
      <w:lvlJc w:val="left"/>
      <w:pPr>
        <w:tabs>
          <w:tab w:val="left" w:pos="1004"/>
        </w:tabs>
        <w:ind w:left="567" w:hanging="283"/>
      </w:pPr>
      <w:rPr>
        <w:rFonts w:hint="eastAsia"/>
      </w:rPr>
    </w:lvl>
    <w:lvl w:ilvl="2" w:tentative="0">
      <w:start w:val="1"/>
      <w:numFmt w:val="decimal"/>
      <w:pStyle w:val="505"/>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2">
    <w:nsid w:val="0053208E"/>
    <w:multiLevelType w:val="multilevel"/>
    <w:tmpl w:val="0053208E"/>
    <w:lvl w:ilvl="0" w:tentative="0">
      <w:start w:val="1"/>
      <w:numFmt w:val="bullet"/>
      <w:pStyle w:val="391"/>
      <w:lvlText w:val=""/>
      <w:lvlJc w:val="left"/>
      <w:pPr>
        <w:tabs>
          <w:tab w:val="left" w:pos="420"/>
        </w:tabs>
        <w:ind w:left="420" w:hanging="420"/>
      </w:pPr>
      <w:rPr>
        <w:rFonts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ADCABA"/>
    <w:multiLevelType w:val="multilevel"/>
    <w:tmpl w:val="59ADCABA"/>
    <w:lvl w:ilvl="0" w:tentative="0">
      <w:start w:val="1"/>
      <w:numFmt w:val="bullet"/>
      <w:pStyle w:val="415"/>
      <w:lvlText w:val=""/>
      <w:lvlJc w:val="left"/>
      <w:pPr>
        <w:tabs>
          <w:tab w:val="left" w:pos="360"/>
        </w:tabs>
        <w:ind w:left="360" w:hanging="360"/>
      </w:pPr>
      <w:rPr>
        <w:rFonts w:ascii="Symbol" w:hAnsi="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A539D"/>
    <w:rsid w:val="038F541B"/>
    <w:rsid w:val="05AE749A"/>
    <w:rsid w:val="06DA69AD"/>
    <w:rsid w:val="06EE4206"/>
    <w:rsid w:val="07740BAF"/>
    <w:rsid w:val="07DC0503"/>
    <w:rsid w:val="08EA67AB"/>
    <w:rsid w:val="09D973F0"/>
    <w:rsid w:val="0AA417AC"/>
    <w:rsid w:val="0BD55995"/>
    <w:rsid w:val="0D951880"/>
    <w:rsid w:val="0E0A40C7"/>
    <w:rsid w:val="0E3015A8"/>
    <w:rsid w:val="0EF97BEC"/>
    <w:rsid w:val="0FC4644C"/>
    <w:rsid w:val="0FE9445C"/>
    <w:rsid w:val="111B6540"/>
    <w:rsid w:val="14011B5E"/>
    <w:rsid w:val="1594241D"/>
    <w:rsid w:val="167A5AB7"/>
    <w:rsid w:val="17D17958"/>
    <w:rsid w:val="1C33473D"/>
    <w:rsid w:val="1EC870D5"/>
    <w:rsid w:val="1F5200B7"/>
    <w:rsid w:val="205C7FDB"/>
    <w:rsid w:val="205E29B4"/>
    <w:rsid w:val="20880DD0"/>
    <w:rsid w:val="21007454"/>
    <w:rsid w:val="22A67649"/>
    <w:rsid w:val="234474D7"/>
    <w:rsid w:val="254F08C6"/>
    <w:rsid w:val="265005E2"/>
    <w:rsid w:val="26ED7BDF"/>
    <w:rsid w:val="291853E7"/>
    <w:rsid w:val="2AD256CE"/>
    <w:rsid w:val="2B715282"/>
    <w:rsid w:val="2BE47802"/>
    <w:rsid w:val="2C7120AB"/>
    <w:rsid w:val="2CC0596B"/>
    <w:rsid w:val="2D7C3A32"/>
    <w:rsid w:val="2EE713B8"/>
    <w:rsid w:val="2F020515"/>
    <w:rsid w:val="2F8752C7"/>
    <w:rsid w:val="30534F57"/>
    <w:rsid w:val="309A0DD7"/>
    <w:rsid w:val="33590AD6"/>
    <w:rsid w:val="375F2433"/>
    <w:rsid w:val="38A547BD"/>
    <w:rsid w:val="39754190"/>
    <w:rsid w:val="3AED36B0"/>
    <w:rsid w:val="3B3F4F44"/>
    <w:rsid w:val="3DA768E2"/>
    <w:rsid w:val="3E06185A"/>
    <w:rsid w:val="3ED12743"/>
    <w:rsid w:val="3F7755AE"/>
    <w:rsid w:val="3F996DC3"/>
    <w:rsid w:val="40E35E83"/>
    <w:rsid w:val="41E2438C"/>
    <w:rsid w:val="4296401C"/>
    <w:rsid w:val="42D32BEC"/>
    <w:rsid w:val="4577664D"/>
    <w:rsid w:val="46737593"/>
    <w:rsid w:val="48677ED1"/>
    <w:rsid w:val="48F7696F"/>
    <w:rsid w:val="49521DF7"/>
    <w:rsid w:val="496B110B"/>
    <w:rsid w:val="49836EBA"/>
    <w:rsid w:val="4D183358"/>
    <w:rsid w:val="4D8C1650"/>
    <w:rsid w:val="4E630603"/>
    <w:rsid w:val="4EA17FCA"/>
    <w:rsid w:val="4ED018BF"/>
    <w:rsid w:val="511F1327"/>
    <w:rsid w:val="51516E38"/>
    <w:rsid w:val="518B0485"/>
    <w:rsid w:val="523C1920"/>
    <w:rsid w:val="52B551A5"/>
    <w:rsid w:val="53D63625"/>
    <w:rsid w:val="5470715A"/>
    <w:rsid w:val="54901A26"/>
    <w:rsid w:val="55B160F8"/>
    <w:rsid w:val="56DD7F5E"/>
    <w:rsid w:val="5814528E"/>
    <w:rsid w:val="58C66440"/>
    <w:rsid w:val="59A26483"/>
    <w:rsid w:val="5AD308BE"/>
    <w:rsid w:val="5B0E5A1E"/>
    <w:rsid w:val="5B6559BA"/>
    <w:rsid w:val="5C480A76"/>
    <w:rsid w:val="5D4D23BD"/>
    <w:rsid w:val="5D9205BD"/>
    <w:rsid w:val="61A905CB"/>
    <w:rsid w:val="625978FB"/>
    <w:rsid w:val="627D0AE4"/>
    <w:rsid w:val="63526744"/>
    <w:rsid w:val="639C03D4"/>
    <w:rsid w:val="64085546"/>
    <w:rsid w:val="649D4417"/>
    <w:rsid w:val="64A532CB"/>
    <w:rsid w:val="65314B5F"/>
    <w:rsid w:val="65817895"/>
    <w:rsid w:val="65FB0047"/>
    <w:rsid w:val="6730396A"/>
    <w:rsid w:val="68212C69"/>
    <w:rsid w:val="6A0445F0"/>
    <w:rsid w:val="6A7A6FA8"/>
    <w:rsid w:val="6ABE2BAC"/>
    <w:rsid w:val="71641E18"/>
    <w:rsid w:val="72C5506E"/>
    <w:rsid w:val="72D57472"/>
    <w:rsid w:val="73FC0A2E"/>
    <w:rsid w:val="76EC6BCA"/>
    <w:rsid w:val="77F9775E"/>
    <w:rsid w:val="78191BAF"/>
    <w:rsid w:val="78511348"/>
    <w:rsid w:val="791A5BDE"/>
    <w:rsid w:val="7B786BEC"/>
    <w:rsid w:val="7E1013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88"/>
    <w:qFormat/>
    <w:uiPriority w:val="0"/>
    <w:pPr>
      <w:widowControl w:val="0"/>
      <w:jc w:val="both"/>
    </w:pPr>
    <w:rPr>
      <w:rFonts w:hint="default" w:ascii="Times New Roman" w:hAnsi="Times New Roman" w:eastAsia="宋体" w:cs="Times New Roman"/>
      <w:sz w:val="21"/>
      <w:lang w:val="en-US" w:eastAsia="zh-CN" w:bidi="ar-SA"/>
    </w:rPr>
  </w:style>
  <w:style w:type="paragraph" w:styleId="4">
    <w:name w:val="heading 1"/>
    <w:basedOn w:val="1"/>
    <w:next w:val="1"/>
    <w:link w:val="597"/>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43"/>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44"/>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5"/>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6"/>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7"/>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8"/>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9"/>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50"/>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34"/>
    <w:pPr>
      <w:ind w:left="720"/>
      <w:contextualSpacing/>
    </w:pPr>
  </w:style>
  <w:style w:type="paragraph" w:styleId="3">
    <w:name w:val="annotation text"/>
    <w:basedOn w:val="1"/>
    <w:semiHidden/>
    <w:unhideWhenUsed/>
    <w:qFormat/>
    <w:uiPriority w:val="99"/>
    <w:pPr>
      <w:jc w:val="left"/>
    </w:pPr>
  </w:style>
  <w:style w:type="paragraph" w:styleId="13">
    <w:name w:val="toc 7"/>
    <w:basedOn w:val="1"/>
    <w:next w:val="1"/>
    <w:unhideWhenUsed/>
    <w:qFormat/>
    <w:uiPriority w:val="39"/>
    <w:pPr>
      <w:spacing w:after="57"/>
      <w:ind w:left="1701" w:right="0" w:firstLine="0"/>
    </w:pPr>
  </w:style>
  <w:style w:type="paragraph" w:styleId="14">
    <w:name w:val="Normal Indent"/>
    <w:basedOn w:val="1"/>
    <w:qFormat/>
    <w:uiPriority w:val="99"/>
    <w:pPr>
      <w:ind w:firstLine="420"/>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Body Text"/>
    <w:basedOn w:val="1"/>
    <w:next w:val="1"/>
    <w:qFormat/>
    <w:uiPriority w:val="0"/>
    <w:rPr>
      <w:rFonts w:ascii="楷体_GB2312" w:hAnsi="Arial" w:eastAsia="楷体_GB2312"/>
      <w:sz w:val="28"/>
    </w:rPr>
  </w:style>
  <w:style w:type="paragraph" w:styleId="17">
    <w:name w:val="index 4"/>
    <w:basedOn w:val="1"/>
    <w:next w:val="1"/>
    <w:semiHidden/>
    <w:qFormat/>
    <w:uiPriority w:val="0"/>
    <w:pPr>
      <w:ind w:left="1260"/>
    </w:p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187"/>
    <w:semiHidden/>
    <w:unhideWhenUsed/>
    <w:qFormat/>
    <w:uiPriority w:val="99"/>
    <w:pPr>
      <w:spacing w:after="0" w:line="240" w:lineRule="auto"/>
    </w:pPr>
    <w:rPr>
      <w:sz w:val="20"/>
    </w:rPr>
  </w:style>
  <w:style w:type="paragraph" w:styleId="22">
    <w:name w:val="footer"/>
    <w:basedOn w:val="1"/>
    <w:link w:val="60"/>
    <w:unhideWhenUsed/>
    <w:qFormat/>
    <w:uiPriority w:val="99"/>
    <w:pPr>
      <w:tabs>
        <w:tab w:val="center" w:pos="7143"/>
        <w:tab w:val="right" w:pos="14287"/>
      </w:tabs>
      <w:spacing w:after="0" w:line="240" w:lineRule="auto"/>
    </w:pPr>
  </w:style>
  <w:style w:type="paragraph" w:styleId="23">
    <w:name w:val="header"/>
    <w:basedOn w:val="1"/>
    <w:link w:val="58"/>
    <w:unhideWhenUsed/>
    <w:qFormat/>
    <w:uiPriority w:val="99"/>
    <w:pPr>
      <w:tabs>
        <w:tab w:val="center" w:pos="7143"/>
        <w:tab w:val="right" w:pos="14287"/>
      </w:tabs>
      <w:spacing w:after="0" w:line="240" w:lineRule="auto"/>
    </w:p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3"/>
    <w:qFormat/>
    <w:uiPriority w:val="11"/>
    <w:pPr>
      <w:spacing w:before="200" w:after="200"/>
    </w:pPr>
    <w:rPr>
      <w:sz w:val="24"/>
      <w:szCs w:val="24"/>
    </w:rPr>
  </w:style>
  <w:style w:type="paragraph" w:styleId="27">
    <w:name w:val="footnote text"/>
    <w:basedOn w:val="1"/>
    <w:link w:val="186"/>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3">
    <w:name w:val="Title"/>
    <w:basedOn w:val="1"/>
    <w:next w:val="1"/>
    <w:link w:val="52"/>
    <w:qFormat/>
    <w:uiPriority w:val="10"/>
    <w:pPr>
      <w:spacing w:before="300" w:after="200"/>
      <w:contextualSpacing/>
    </w:pPr>
    <w:rPr>
      <w:sz w:val="48"/>
      <w:szCs w:val="48"/>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22"/>
    <w:rPr>
      <w:b/>
    </w:rPr>
  </w:style>
  <w:style w:type="character" w:styleId="38">
    <w:name w:val="endnote reference"/>
    <w:semiHidden/>
    <w:unhideWhenUsed/>
    <w:qFormat/>
    <w:uiPriority w:val="99"/>
    <w:rPr>
      <w:vertAlign w:val="superscript"/>
    </w:rPr>
  </w:style>
  <w:style w:type="character" w:styleId="39">
    <w:name w:val="FollowedHyperlink"/>
    <w:basedOn w:val="36"/>
    <w:semiHidden/>
    <w:unhideWhenUsed/>
    <w:qFormat/>
    <w:uiPriority w:val="99"/>
    <w:rPr>
      <w:color w:val="800080"/>
      <w:u w:val="single"/>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character" w:customStyle="1" w:styleId="42">
    <w:name w:val="Heading 1 Char"/>
    <w:link w:val="4"/>
    <w:qFormat/>
    <w:uiPriority w:val="9"/>
    <w:rPr>
      <w:rFonts w:ascii="Arial" w:hAnsi="Arial" w:eastAsia="Arial" w:cs="Arial"/>
      <w:sz w:val="40"/>
      <w:szCs w:val="40"/>
    </w:rPr>
  </w:style>
  <w:style w:type="character" w:customStyle="1" w:styleId="43">
    <w:name w:val="Heading 2 Char"/>
    <w:link w:val="5"/>
    <w:qFormat/>
    <w:uiPriority w:val="9"/>
    <w:rPr>
      <w:rFonts w:ascii="Arial" w:hAnsi="Arial" w:eastAsia="Arial" w:cs="Arial"/>
      <w:sz w:val="34"/>
    </w:rPr>
  </w:style>
  <w:style w:type="character" w:customStyle="1" w:styleId="44">
    <w:name w:val="Heading 3 Char"/>
    <w:link w:val="6"/>
    <w:qFormat/>
    <w:uiPriority w:val="9"/>
    <w:rPr>
      <w:rFonts w:ascii="Arial" w:hAnsi="Arial" w:eastAsia="Arial" w:cs="Arial"/>
      <w:sz w:val="30"/>
      <w:szCs w:val="30"/>
    </w:rPr>
  </w:style>
  <w:style w:type="character" w:customStyle="1" w:styleId="45">
    <w:name w:val="Heading 4 Char"/>
    <w:link w:val="7"/>
    <w:qFormat/>
    <w:uiPriority w:val="9"/>
    <w:rPr>
      <w:rFonts w:ascii="Arial" w:hAnsi="Arial" w:eastAsia="Arial" w:cs="Arial"/>
      <w:b/>
      <w:bCs/>
      <w:sz w:val="26"/>
      <w:szCs w:val="26"/>
    </w:rPr>
  </w:style>
  <w:style w:type="character" w:customStyle="1" w:styleId="46">
    <w:name w:val="Heading 5 Char"/>
    <w:link w:val="8"/>
    <w:qFormat/>
    <w:uiPriority w:val="9"/>
    <w:rPr>
      <w:rFonts w:ascii="Arial" w:hAnsi="Arial" w:eastAsia="Arial" w:cs="Arial"/>
      <w:b/>
      <w:bCs/>
      <w:sz w:val="24"/>
      <w:szCs w:val="24"/>
    </w:rPr>
  </w:style>
  <w:style w:type="character" w:customStyle="1" w:styleId="47">
    <w:name w:val="Heading 6 Char"/>
    <w:link w:val="9"/>
    <w:qFormat/>
    <w:uiPriority w:val="9"/>
    <w:rPr>
      <w:rFonts w:ascii="Arial" w:hAnsi="Arial" w:eastAsia="Arial" w:cs="Arial"/>
      <w:b/>
      <w:bCs/>
      <w:sz w:val="22"/>
      <w:szCs w:val="22"/>
    </w:rPr>
  </w:style>
  <w:style w:type="character" w:customStyle="1" w:styleId="48">
    <w:name w:val="Heading 7 Char"/>
    <w:link w:val="10"/>
    <w:qFormat/>
    <w:uiPriority w:val="9"/>
    <w:rPr>
      <w:rFonts w:ascii="Arial" w:hAnsi="Arial" w:eastAsia="Arial" w:cs="Arial"/>
      <w:b/>
      <w:bCs/>
      <w:i/>
      <w:iCs/>
      <w:sz w:val="22"/>
      <w:szCs w:val="22"/>
    </w:rPr>
  </w:style>
  <w:style w:type="character" w:customStyle="1" w:styleId="49">
    <w:name w:val="Heading 8 Char"/>
    <w:link w:val="11"/>
    <w:qFormat/>
    <w:uiPriority w:val="9"/>
    <w:rPr>
      <w:rFonts w:ascii="Arial" w:hAnsi="Arial" w:eastAsia="Arial" w:cs="Arial"/>
      <w:i/>
      <w:iCs/>
      <w:sz w:val="22"/>
      <w:szCs w:val="22"/>
    </w:rPr>
  </w:style>
  <w:style w:type="character" w:customStyle="1" w:styleId="50">
    <w:name w:val="Heading 9 Char"/>
    <w:link w:val="12"/>
    <w:qFormat/>
    <w:uiPriority w:val="9"/>
    <w:rPr>
      <w:rFonts w:ascii="Arial" w:hAnsi="Arial" w:eastAsia="Arial" w:cs="Arial"/>
      <w:i/>
      <w:iCs/>
      <w:sz w:val="21"/>
      <w:szCs w:val="21"/>
    </w:r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link w:val="33"/>
    <w:qFormat/>
    <w:uiPriority w:val="10"/>
    <w:rPr>
      <w:sz w:val="48"/>
      <w:szCs w:val="48"/>
    </w:rPr>
  </w:style>
  <w:style w:type="character" w:customStyle="1" w:styleId="53">
    <w:name w:val="Subtitle Char"/>
    <w:link w:val="26"/>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qFormat/>
    <w:uiPriority w:val="30"/>
    <w:rPr>
      <w:i/>
    </w:rPr>
  </w:style>
  <w:style w:type="character" w:customStyle="1" w:styleId="58">
    <w:name w:val="Header Char"/>
    <w:link w:val="23"/>
    <w:qFormat/>
    <w:uiPriority w:val="99"/>
  </w:style>
  <w:style w:type="character" w:customStyle="1" w:styleId="59">
    <w:name w:val="Footer Char"/>
    <w:link w:val="22"/>
    <w:qFormat/>
    <w:uiPriority w:val="99"/>
  </w:style>
  <w:style w:type="character" w:customStyle="1" w:styleId="60">
    <w:name w:val="Caption Char"/>
    <w:link w:val="22"/>
    <w:qFormat/>
    <w:uiPriority w:val="99"/>
  </w:style>
  <w:style w:type="table" w:customStyle="1" w:styleId="61">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2">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7"/>
    <w:qFormat/>
    <w:uiPriority w:val="99"/>
    <w:rPr>
      <w:sz w:val="18"/>
    </w:rPr>
  </w:style>
  <w:style w:type="character" w:customStyle="1" w:styleId="187">
    <w:name w:val="Endnote Text Char"/>
    <w:link w:val="21"/>
    <w:qFormat/>
    <w:uiPriority w:val="99"/>
    <w:rPr>
      <w:sz w:val="20"/>
    </w:rPr>
  </w:style>
  <w:style w:type="paragraph" w:customStyle="1" w:styleId="188">
    <w:name w:val="TOC Heading"/>
    <w:unhideWhenUsed/>
    <w:qFormat/>
    <w:uiPriority w:val="39"/>
    <w:rPr>
      <w:rFonts w:hint="default" w:ascii="Times New Roman" w:hAnsi="Times New Roman" w:eastAsia="宋体" w:cs="Times New Roman"/>
    </w:rPr>
  </w:style>
  <w:style w:type="paragraph" w:customStyle="1" w:styleId="189">
    <w:name w:val="标题 11"/>
    <w:basedOn w:val="1"/>
    <w:next w:val="1"/>
    <w:link w:val="201"/>
    <w:qFormat/>
    <w:uiPriority w:val="0"/>
    <w:pPr>
      <w:keepNext/>
      <w:tabs>
        <w:tab w:val="left" w:pos="1440"/>
        <w:tab w:val="left" w:pos="5670"/>
      </w:tabs>
      <w:ind w:firstLine="2890"/>
      <w:outlineLvl w:val="0"/>
    </w:pPr>
    <w:rPr>
      <w:rFonts w:ascii="黑体" w:eastAsia="黑体"/>
      <w:b/>
      <w:sz w:val="24"/>
      <w:szCs w:val="28"/>
    </w:rPr>
  </w:style>
  <w:style w:type="paragraph" w:customStyle="1" w:styleId="190">
    <w:name w:val="标题 21"/>
    <w:basedOn w:val="1"/>
    <w:next w:val="1"/>
    <w:link w:val="202"/>
    <w:qFormat/>
    <w:uiPriority w:val="0"/>
    <w:pPr>
      <w:keepNext/>
      <w:keepLines/>
      <w:spacing w:before="120" w:after="120"/>
      <w:jc w:val="left"/>
      <w:outlineLvl w:val="1"/>
    </w:pPr>
    <w:rPr>
      <w:rFonts w:ascii="宋体" w:hAnsi="宋体"/>
      <w:b/>
      <w:szCs w:val="24"/>
    </w:rPr>
  </w:style>
  <w:style w:type="paragraph" w:customStyle="1" w:styleId="191">
    <w:name w:val="标题 31"/>
    <w:basedOn w:val="1"/>
    <w:next w:val="192"/>
    <w:link w:val="203"/>
    <w:qFormat/>
    <w:uiPriority w:val="0"/>
    <w:pPr>
      <w:keepNext/>
      <w:keepLines/>
      <w:shd w:val="clear" w:color="auto" w:fill="FFFFFF"/>
      <w:spacing w:line="390" w:lineRule="atLeast"/>
      <w:outlineLvl w:val="2"/>
    </w:pPr>
    <w:rPr>
      <w:rFonts w:ascii="宋体" w:hAnsi="宋体"/>
      <w:b/>
      <w:szCs w:val="21"/>
    </w:rPr>
  </w:style>
  <w:style w:type="paragraph" w:customStyle="1" w:styleId="192">
    <w:name w:val="正文缩进11"/>
    <w:basedOn w:val="1"/>
    <w:next w:val="1"/>
    <w:link w:val="204"/>
    <w:qFormat/>
    <w:uiPriority w:val="99"/>
    <w:pPr>
      <w:ind w:firstLine="420"/>
    </w:pPr>
  </w:style>
  <w:style w:type="paragraph" w:customStyle="1" w:styleId="193">
    <w:name w:val="标题 4111"/>
    <w:basedOn w:val="1"/>
    <w:next w:val="1"/>
    <w:link w:val="205"/>
    <w:qFormat/>
    <w:uiPriority w:val="0"/>
    <w:pPr>
      <w:keepNext/>
      <w:keepLines/>
      <w:spacing w:before="120" w:after="120"/>
      <w:outlineLvl w:val="3"/>
    </w:pPr>
    <w:rPr>
      <w:rFonts w:ascii="Arial" w:hAnsi="Arial" w:eastAsia="黑体"/>
      <w:b/>
      <w:sz w:val="28"/>
    </w:rPr>
  </w:style>
  <w:style w:type="paragraph" w:customStyle="1" w:styleId="194">
    <w:name w:val="标题 51"/>
    <w:basedOn w:val="1"/>
    <w:next w:val="192"/>
    <w:link w:val="206"/>
    <w:qFormat/>
    <w:uiPriority w:val="0"/>
    <w:pPr>
      <w:keepNext/>
      <w:outlineLvl w:val="4"/>
    </w:pPr>
    <w:rPr>
      <w:rFonts w:ascii="黑体" w:eastAsia="黑体"/>
      <w:b/>
      <w:color w:val="000000"/>
      <w:sz w:val="28"/>
    </w:rPr>
  </w:style>
  <w:style w:type="paragraph" w:customStyle="1" w:styleId="195">
    <w:name w:val="标题 61"/>
    <w:basedOn w:val="1"/>
    <w:next w:val="1"/>
    <w:link w:val="207"/>
    <w:qFormat/>
    <w:uiPriority w:val="0"/>
    <w:pPr>
      <w:keepNext/>
      <w:keepLines/>
      <w:spacing w:before="240" w:after="64" w:line="320" w:lineRule="auto"/>
      <w:outlineLvl w:val="5"/>
    </w:pPr>
    <w:rPr>
      <w:rFonts w:ascii="Arial" w:hAnsi="Arial" w:eastAsia="黑体"/>
      <w:b/>
      <w:bCs/>
      <w:sz w:val="24"/>
      <w:szCs w:val="24"/>
    </w:rPr>
  </w:style>
  <w:style w:type="paragraph" w:customStyle="1" w:styleId="196">
    <w:name w:val="标题 71"/>
    <w:basedOn w:val="1"/>
    <w:next w:val="1"/>
    <w:link w:val="208"/>
    <w:qFormat/>
    <w:uiPriority w:val="0"/>
    <w:pPr>
      <w:keepNext/>
      <w:keepLines/>
      <w:spacing w:before="240" w:after="64" w:line="320" w:lineRule="auto"/>
      <w:outlineLvl w:val="6"/>
    </w:pPr>
    <w:rPr>
      <w:b/>
      <w:bCs/>
      <w:sz w:val="24"/>
      <w:szCs w:val="24"/>
    </w:rPr>
  </w:style>
  <w:style w:type="paragraph" w:customStyle="1" w:styleId="197">
    <w:name w:val="标题 81"/>
    <w:basedOn w:val="1"/>
    <w:next w:val="1"/>
    <w:link w:val="209"/>
    <w:qFormat/>
    <w:uiPriority w:val="0"/>
    <w:pPr>
      <w:keepNext/>
      <w:keepLines/>
      <w:spacing w:before="240" w:after="64" w:line="320" w:lineRule="auto"/>
      <w:outlineLvl w:val="7"/>
    </w:pPr>
    <w:rPr>
      <w:rFonts w:ascii="Arial" w:hAnsi="Arial" w:eastAsia="黑体"/>
      <w:sz w:val="24"/>
      <w:szCs w:val="24"/>
    </w:rPr>
  </w:style>
  <w:style w:type="paragraph" w:customStyle="1" w:styleId="198">
    <w:name w:val="标题 91"/>
    <w:basedOn w:val="1"/>
    <w:next w:val="1"/>
    <w:link w:val="210"/>
    <w:qFormat/>
    <w:uiPriority w:val="0"/>
    <w:pPr>
      <w:keepNext/>
      <w:keepLines/>
      <w:spacing w:before="240" w:after="64" w:line="320" w:lineRule="auto"/>
      <w:outlineLvl w:val="8"/>
    </w:pPr>
    <w:rPr>
      <w:rFonts w:ascii="Arial" w:hAnsi="Arial" w:eastAsia="黑体"/>
      <w:szCs w:val="21"/>
    </w:rPr>
  </w:style>
  <w:style w:type="character" w:customStyle="1" w:styleId="199">
    <w:name w:val="默认段落字体1"/>
    <w:link w:val="1"/>
    <w:unhideWhenUsed/>
    <w:qFormat/>
    <w:uiPriority w:val="1"/>
  </w:style>
  <w:style w:type="table" w:customStyle="1" w:styleId="200">
    <w:name w:val="普通表格1"/>
    <w:unhideWhenUsed/>
    <w:qFormat/>
    <w:uiPriority w:val="99"/>
  </w:style>
  <w:style w:type="character" w:customStyle="1" w:styleId="201">
    <w:name w:val="标题 1 字符"/>
    <w:link w:val="189"/>
    <w:qFormat/>
    <w:uiPriority w:val="0"/>
    <w:rPr>
      <w:rFonts w:ascii="黑体" w:eastAsia="黑体"/>
      <w:b/>
      <w:sz w:val="24"/>
      <w:szCs w:val="28"/>
      <w:lang w:val="en-US" w:eastAsia="zh-CN" w:bidi="ar-SA"/>
    </w:rPr>
  </w:style>
  <w:style w:type="character" w:customStyle="1" w:styleId="202">
    <w:name w:val="标题 2 字符"/>
    <w:link w:val="190"/>
    <w:qFormat/>
    <w:uiPriority w:val="0"/>
    <w:rPr>
      <w:rFonts w:ascii="宋体" w:hAnsi="宋体" w:eastAsia="宋体"/>
      <w:b/>
      <w:sz w:val="21"/>
      <w:szCs w:val="24"/>
      <w:lang w:val="en-US" w:eastAsia="zh-CN" w:bidi="ar-SA"/>
    </w:rPr>
  </w:style>
  <w:style w:type="character" w:customStyle="1" w:styleId="203">
    <w:name w:val="标题 3 字符"/>
    <w:link w:val="191"/>
    <w:qFormat/>
    <w:uiPriority w:val="0"/>
    <w:rPr>
      <w:rFonts w:ascii="宋体" w:hAnsi="宋体" w:eastAsia="宋体"/>
      <w:b/>
      <w:sz w:val="21"/>
      <w:szCs w:val="21"/>
      <w:shd w:val="clear" w:color="auto" w:fill="FFFFFF"/>
    </w:rPr>
  </w:style>
  <w:style w:type="character" w:customStyle="1" w:styleId="204">
    <w:name w:val="正文缩进 字符"/>
    <w:link w:val="192"/>
    <w:qFormat/>
    <w:uiPriority w:val="99"/>
    <w:rPr>
      <w:sz w:val="21"/>
    </w:rPr>
  </w:style>
  <w:style w:type="character" w:customStyle="1" w:styleId="205">
    <w:name w:val="标题 4 字符"/>
    <w:link w:val="193"/>
    <w:qFormat/>
    <w:uiPriority w:val="0"/>
    <w:rPr>
      <w:rFonts w:ascii="Arial" w:hAnsi="Arial" w:eastAsia="黑体"/>
      <w:b/>
      <w:sz w:val="28"/>
      <w:lang w:val="en-US" w:eastAsia="zh-CN" w:bidi="ar-SA"/>
    </w:rPr>
  </w:style>
  <w:style w:type="character" w:customStyle="1" w:styleId="206">
    <w:name w:val="标题 5 字符"/>
    <w:link w:val="194"/>
    <w:qFormat/>
    <w:uiPriority w:val="0"/>
    <w:rPr>
      <w:rFonts w:ascii="黑体" w:eastAsia="黑体"/>
      <w:b/>
      <w:color w:val="000000"/>
      <w:sz w:val="28"/>
      <w:lang w:val="en-US" w:eastAsia="zh-CN" w:bidi="ar-SA"/>
    </w:rPr>
  </w:style>
  <w:style w:type="character" w:customStyle="1" w:styleId="207">
    <w:name w:val="标题 6 字符"/>
    <w:link w:val="195"/>
    <w:qFormat/>
    <w:uiPriority w:val="0"/>
    <w:rPr>
      <w:rFonts w:ascii="Arial" w:hAnsi="Arial" w:eastAsia="黑体"/>
      <w:b/>
      <w:bCs/>
      <w:sz w:val="24"/>
      <w:szCs w:val="24"/>
      <w:lang w:val="en-US" w:eastAsia="zh-CN" w:bidi="ar-SA"/>
    </w:rPr>
  </w:style>
  <w:style w:type="character" w:customStyle="1" w:styleId="208">
    <w:name w:val="标题 7 字符"/>
    <w:link w:val="196"/>
    <w:qFormat/>
    <w:uiPriority w:val="0"/>
    <w:rPr>
      <w:rFonts w:eastAsia="宋体"/>
      <w:b/>
      <w:bCs/>
      <w:sz w:val="24"/>
      <w:szCs w:val="24"/>
      <w:lang w:val="en-US" w:eastAsia="zh-CN" w:bidi="ar-SA"/>
    </w:rPr>
  </w:style>
  <w:style w:type="character" w:customStyle="1" w:styleId="209">
    <w:name w:val="标题 8 字符"/>
    <w:link w:val="197"/>
    <w:qFormat/>
    <w:uiPriority w:val="0"/>
    <w:rPr>
      <w:rFonts w:ascii="Arial" w:hAnsi="Arial" w:eastAsia="黑体"/>
      <w:sz w:val="24"/>
      <w:szCs w:val="24"/>
      <w:lang w:val="en-US" w:eastAsia="zh-CN" w:bidi="ar-SA"/>
    </w:rPr>
  </w:style>
  <w:style w:type="character" w:customStyle="1" w:styleId="210">
    <w:name w:val="标题 9 字符"/>
    <w:link w:val="198"/>
    <w:qFormat/>
    <w:uiPriority w:val="0"/>
    <w:rPr>
      <w:rFonts w:ascii="Arial" w:hAnsi="Arial" w:eastAsia="黑体"/>
      <w:sz w:val="21"/>
      <w:szCs w:val="21"/>
      <w:lang w:val="en-US" w:eastAsia="zh-CN" w:bidi="ar-SA"/>
    </w:rPr>
  </w:style>
  <w:style w:type="paragraph" w:customStyle="1" w:styleId="211">
    <w:name w:val="列表 31"/>
    <w:basedOn w:val="1"/>
    <w:qFormat/>
    <w:uiPriority w:val="0"/>
    <w:pPr>
      <w:ind w:left="1260" w:hanging="420"/>
    </w:pPr>
  </w:style>
  <w:style w:type="paragraph" w:customStyle="1" w:styleId="212">
    <w:name w:val="目录 71"/>
    <w:basedOn w:val="1"/>
    <w:next w:val="1"/>
    <w:semiHidden/>
    <w:qFormat/>
    <w:uiPriority w:val="0"/>
    <w:pPr>
      <w:ind w:left="1260"/>
      <w:jc w:val="left"/>
    </w:pPr>
    <w:rPr>
      <w:sz w:val="18"/>
    </w:rPr>
  </w:style>
  <w:style w:type="paragraph" w:customStyle="1" w:styleId="213">
    <w:name w:val="列表编号 21"/>
    <w:basedOn w:val="1"/>
    <w:qFormat/>
    <w:uiPriority w:val="0"/>
    <w:pPr>
      <w:tabs>
        <w:tab w:val="left" w:pos="1440"/>
      </w:tabs>
      <w:spacing w:line="360" w:lineRule="auto"/>
      <w:ind w:left="1440" w:hanging="1440"/>
    </w:pPr>
    <w:rPr>
      <w:sz w:val="24"/>
      <w:szCs w:val="24"/>
    </w:rPr>
  </w:style>
  <w:style w:type="paragraph" w:customStyle="1" w:styleId="214">
    <w:name w:val="索引 81"/>
    <w:basedOn w:val="1"/>
    <w:next w:val="1"/>
    <w:semiHidden/>
    <w:qFormat/>
    <w:uiPriority w:val="0"/>
    <w:pPr>
      <w:ind w:left="2940"/>
    </w:pPr>
  </w:style>
  <w:style w:type="paragraph" w:customStyle="1" w:styleId="215">
    <w:name w:val="列表编号1"/>
    <w:basedOn w:val="1"/>
    <w:qFormat/>
    <w:uiPriority w:val="0"/>
    <w:pPr>
      <w:tabs>
        <w:tab w:val="left" w:pos="2952"/>
      </w:tabs>
      <w:ind w:left="2952" w:hanging="432"/>
    </w:pPr>
    <w:rPr>
      <w:szCs w:val="24"/>
    </w:rPr>
  </w:style>
  <w:style w:type="paragraph" w:customStyle="1" w:styleId="216">
    <w:name w:val="索引 51"/>
    <w:basedOn w:val="1"/>
    <w:next w:val="1"/>
    <w:semiHidden/>
    <w:qFormat/>
    <w:uiPriority w:val="0"/>
    <w:pPr>
      <w:ind w:left="1680"/>
    </w:pPr>
  </w:style>
  <w:style w:type="paragraph" w:customStyle="1" w:styleId="217">
    <w:name w:val="文档结构图11"/>
    <w:basedOn w:val="1"/>
    <w:link w:val="218"/>
    <w:semiHidden/>
    <w:qFormat/>
    <w:uiPriority w:val="0"/>
    <w:pPr>
      <w:shd w:val="clear" w:color="auto" w:fill="000080"/>
    </w:pPr>
  </w:style>
  <w:style w:type="character" w:customStyle="1" w:styleId="218">
    <w:name w:val="文档结构图 字符"/>
    <w:link w:val="217"/>
    <w:qFormat/>
    <w:uiPriority w:val="0"/>
    <w:rPr>
      <w:rFonts w:eastAsia="宋体"/>
      <w:sz w:val="21"/>
      <w:lang w:val="en-US" w:eastAsia="zh-CN" w:bidi="ar-SA"/>
    </w:rPr>
  </w:style>
  <w:style w:type="paragraph" w:customStyle="1" w:styleId="219">
    <w:name w:val="批注文字1"/>
    <w:basedOn w:val="1"/>
    <w:link w:val="220"/>
    <w:qFormat/>
    <w:uiPriority w:val="99"/>
    <w:pPr>
      <w:jc w:val="left"/>
    </w:pPr>
  </w:style>
  <w:style w:type="character" w:customStyle="1" w:styleId="220">
    <w:name w:val="批注文字 字符"/>
    <w:link w:val="219"/>
    <w:qFormat/>
    <w:uiPriority w:val="99"/>
    <w:rPr>
      <w:rFonts w:eastAsia="宋体"/>
      <w:sz w:val="21"/>
      <w:lang w:val="en-US" w:eastAsia="zh-CN" w:bidi="ar-SA"/>
    </w:rPr>
  </w:style>
  <w:style w:type="paragraph" w:customStyle="1" w:styleId="221">
    <w:name w:val="索引 61"/>
    <w:basedOn w:val="1"/>
    <w:next w:val="1"/>
    <w:semiHidden/>
    <w:qFormat/>
    <w:uiPriority w:val="0"/>
    <w:pPr>
      <w:ind w:left="2100"/>
    </w:pPr>
  </w:style>
  <w:style w:type="paragraph" w:customStyle="1" w:styleId="222">
    <w:name w:val="称呼1"/>
    <w:basedOn w:val="1"/>
    <w:next w:val="1"/>
    <w:qFormat/>
    <w:uiPriority w:val="0"/>
    <w:rPr>
      <w:rFonts w:ascii="仿宋_GB2312" w:eastAsia="仿宋_GB2312"/>
      <w:sz w:val="28"/>
    </w:rPr>
  </w:style>
  <w:style w:type="paragraph" w:customStyle="1" w:styleId="223">
    <w:name w:val="正文文本 31"/>
    <w:basedOn w:val="1"/>
    <w:qFormat/>
    <w:uiPriority w:val="0"/>
    <w:rPr>
      <w:rFonts w:ascii="仿宋_GB2312" w:hAnsi="Arial" w:eastAsia="仿宋_GB2312"/>
      <w:sz w:val="32"/>
    </w:rPr>
  </w:style>
  <w:style w:type="paragraph" w:customStyle="1" w:styleId="224">
    <w:name w:val="正文文本1"/>
    <w:basedOn w:val="1"/>
    <w:next w:val="192"/>
    <w:qFormat/>
    <w:uiPriority w:val="0"/>
    <w:rPr>
      <w:rFonts w:ascii="楷体_GB2312" w:hAnsi="Arial" w:eastAsia="楷体_GB2312"/>
      <w:sz w:val="28"/>
    </w:rPr>
  </w:style>
  <w:style w:type="paragraph" w:customStyle="1" w:styleId="225">
    <w:name w:val="正文文本缩进11"/>
    <w:basedOn w:val="1"/>
    <w:link w:val="226"/>
    <w:qFormat/>
    <w:uiPriority w:val="0"/>
    <w:pPr>
      <w:ind w:firstLine="645"/>
    </w:pPr>
    <w:rPr>
      <w:rFonts w:ascii="楷体_GB2312" w:eastAsia="楷体_GB2312"/>
      <w:sz w:val="32"/>
    </w:rPr>
  </w:style>
  <w:style w:type="character" w:customStyle="1" w:styleId="226">
    <w:name w:val="正文文本缩进 字符"/>
    <w:link w:val="225"/>
    <w:qFormat/>
    <w:uiPriority w:val="0"/>
    <w:rPr>
      <w:rFonts w:ascii="楷体_GB2312" w:eastAsia="楷体_GB2312"/>
      <w:sz w:val="32"/>
      <w:lang w:val="en-US" w:eastAsia="zh-CN" w:bidi="ar-SA"/>
    </w:rPr>
  </w:style>
  <w:style w:type="paragraph" w:customStyle="1" w:styleId="227">
    <w:name w:val="文本块11"/>
    <w:basedOn w:val="1"/>
    <w:qFormat/>
    <w:uiPriority w:val="0"/>
    <w:pPr>
      <w:spacing w:after="120"/>
      <w:ind w:left="1440" w:right="1440"/>
    </w:pPr>
    <w:rPr>
      <w:szCs w:val="24"/>
    </w:rPr>
  </w:style>
  <w:style w:type="paragraph" w:customStyle="1" w:styleId="228">
    <w:name w:val="索引 41"/>
    <w:basedOn w:val="1"/>
    <w:next w:val="1"/>
    <w:semiHidden/>
    <w:qFormat/>
    <w:uiPriority w:val="0"/>
    <w:pPr>
      <w:ind w:left="1260"/>
    </w:pPr>
  </w:style>
  <w:style w:type="paragraph" w:customStyle="1" w:styleId="229">
    <w:name w:val="目录 51"/>
    <w:basedOn w:val="1"/>
    <w:next w:val="1"/>
    <w:semiHidden/>
    <w:qFormat/>
    <w:uiPriority w:val="0"/>
    <w:pPr>
      <w:ind w:left="840"/>
      <w:jc w:val="left"/>
    </w:pPr>
    <w:rPr>
      <w:sz w:val="18"/>
    </w:rPr>
  </w:style>
  <w:style w:type="paragraph" w:customStyle="1" w:styleId="230">
    <w:name w:val="目录 31"/>
    <w:basedOn w:val="1"/>
    <w:next w:val="1"/>
    <w:semiHidden/>
    <w:qFormat/>
    <w:uiPriority w:val="0"/>
    <w:pPr>
      <w:ind w:left="420"/>
      <w:jc w:val="left"/>
    </w:pPr>
    <w:rPr>
      <w:i/>
      <w:sz w:val="20"/>
    </w:rPr>
  </w:style>
  <w:style w:type="paragraph" w:customStyle="1" w:styleId="231">
    <w:name w:val="纯文本11"/>
    <w:basedOn w:val="1"/>
    <w:link w:val="232"/>
    <w:qFormat/>
    <w:uiPriority w:val="0"/>
    <w:rPr>
      <w:rFonts w:ascii="宋体" w:hAnsi="Courier New"/>
    </w:rPr>
  </w:style>
  <w:style w:type="character" w:customStyle="1" w:styleId="232">
    <w:name w:val="纯文本 字符"/>
    <w:link w:val="231"/>
    <w:qFormat/>
    <w:uiPriority w:val="0"/>
    <w:rPr>
      <w:rFonts w:ascii="宋体" w:hAnsi="Courier New" w:eastAsia="宋体"/>
      <w:sz w:val="21"/>
      <w:lang w:val="en-US" w:eastAsia="zh-CN" w:bidi="ar-SA"/>
    </w:rPr>
  </w:style>
  <w:style w:type="paragraph" w:customStyle="1" w:styleId="233">
    <w:name w:val="目录 81"/>
    <w:basedOn w:val="1"/>
    <w:next w:val="1"/>
    <w:semiHidden/>
    <w:qFormat/>
    <w:uiPriority w:val="0"/>
    <w:pPr>
      <w:ind w:left="1470"/>
      <w:jc w:val="left"/>
    </w:pPr>
    <w:rPr>
      <w:sz w:val="18"/>
    </w:rPr>
  </w:style>
  <w:style w:type="paragraph" w:customStyle="1" w:styleId="234">
    <w:name w:val="索引 31"/>
    <w:basedOn w:val="1"/>
    <w:next w:val="1"/>
    <w:semiHidden/>
    <w:qFormat/>
    <w:uiPriority w:val="0"/>
    <w:pPr>
      <w:ind w:left="840"/>
    </w:pPr>
  </w:style>
  <w:style w:type="paragraph" w:customStyle="1" w:styleId="235">
    <w:name w:val="日期1"/>
    <w:basedOn w:val="1"/>
    <w:next w:val="1"/>
    <w:link w:val="236"/>
    <w:qFormat/>
    <w:uiPriority w:val="99"/>
    <w:pPr>
      <w:ind w:left="100"/>
    </w:pPr>
    <w:rPr>
      <w:sz w:val="28"/>
    </w:rPr>
  </w:style>
  <w:style w:type="character" w:customStyle="1" w:styleId="236">
    <w:name w:val="日期 字符"/>
    <w:link w:val="235"/>
    <w:qFormat/>
    <w:uiPriority w:val="99"/>
    <w:rPr>
      <w:sz w:val="28"/>
    </w:rPr>
  </w:style>
  <w:style w:type="paragraph" w:customStyle="1" w:styleId="237">
    <w:name w:val="正文文本缩进 21"/>
    <w:basedOn w:val="1"/>
    <w:link w:val="238"/>
    <w:qFormat/>
    <w:uiPriority w:val="0"/>
    <w:pPr>
      <w:ind w:left="630" w:firstLine="645"/>
    </w:pPr>
    <w:rPr>
      <w:rFonts w:ascii="Arial" w:hAnsi="Arial" w:eastAsia="仿宋_GB2312"/>
      <w:sz w:val="32"/>
    </w:rPr>
  </w:style>
  <w:style w:type="character" w:customStyle="1" w:styleId="238">
    <w:name w:val="正文文本缩进 2 字符"/>
    <w:link w:val="237"/>
    <w:qFormat/>
    <w:uiPriority w:val="0"/>
    <w:rPr>
      <w:rFonts w:ascii="Arial" w:hAnsi="Arial" w:eastAsia="仿宋_GB2312"/>
      <w:sz w:val="32"/>
      <w:lang w:val="en-US" w:eastAsia="zh-CN" w:bidi="ar-SA"/>
    </w:rPr>
  </w:style>
  <w:style w:type="paragraph" w:customStyle="1" w:styleId="239">
    <w:name w:val="尾注文本1"/>
    <w:basedOn w:val="1"/>
    <w:qFormat/>
    <w:uiPriority w:val="0"/>
    <w:pPr>
      <w:jc w:val="left"/>
    </w:pPr>
    <w:rPr>
      <w:sz w:val="20"/>
      <w:szCs w:val="24"/>
    </w:rPr>
  </w:style>
  <w:style w:type="paragraph" w:customStyle="1" w:styleId="240">
    <w:name w:val="批注框文本1"/>
    <w:basedOn w:val="1"/>
    <w:semiHidden/>
    <w:qFormat/>
    <w:uiPriority w:val="0"/>
    <w:rPr>
      <w:sz w:val="18"/>
      <w:szCs w:val="18"/>
    </w:rPr>
  </w:style>
  <w:style w:type="paragraph" w:customStyle="1" w:styleId="241">
    <w:name w:val="页脚11"/>
    <w:basedOn w:val="1"/>
    <w:link w:val="242"/>
    <w:qFormat/>
    <w:uiPriority w:val="99"/>
    <w:pPr>
      <w:tabs>
        <w:tab w:val="center" w:pos="4153"/>
        <w:tab w:val="right" w:pos="8306"/>
      </w:tabs>
      <w:jc w:val="left"/>
    </w:pPr>
    <w:rPr>
      <w:sz w:val="18"/>
    </w:rPr>
  </w:style>
  <w:style w:type="character" w:customStyle="1" w:styleId="242">
    <w:name w:val="页脚 字符"/>
    <w:link w:val="241"/>
    <w:qFormat/>
    <w:uiPriority w:val="99"/>
    <w:rPr>
      <w:sz w:val="18"/>
    </w:rPr>
  </w:style>
  <w:style w:type="paragraph" w:customStyle="1" w:styleId="243">
    <w:name w:val="页眉1"/>
    <w:basedOn w:val="1"/>
    <w:link w:val="244"/>
    <w:qFormat/>
    <w:uiPriority w:val="99"/>
    <w:pPr>
      <w:pBdr>
        <w:bottom w:val="single" w:color="000000" w:sz="6" w:space="1"/>
      </w:pBdr>
      <w:tabs>
        <w:tab w:val="center" w:pos="4153"/>
        <w:tab w:val="right" w:pos="8306"/>
      </w:tabs>
      <w:jc w:val="center"/>
    </w:pPr>
    <w:rPr>
      <w:sz w:val="18"/>
    </w:rPr>
  </w:style>
  <w:style w:type="character" w:customStyle="1" w:styleId="244">
    <w:name w:val="页眉 字符"/>
    <w:link w:val="243"/>
    <w:qFormat/>
    <w:uiPriority w:val="99"/>
    <w:rPr>
      <w:rFonts w:ascii="Times New Roman" w:hAnsi="Times New Roman" w:cs="Times New Roman"/>
      <w:sz w:val="18"/>
    </w:rPr>
  </w:style>
  <w:style w:type="paragraph" w:customStyle="1" w:styleId="245">
    <w:name w:val="签名1"/>
    <w:basedOn w:val="1"/>
    <w:qFormat/>
    <w:uiPriority w:val="0"/>
    <w:pPr>
      <w:spacing w:after="600" w:line="312" w:lineRule="atLeast"/>
      <w:jc w:val="center"/>
    </w:pPr>
    <w:rPr>
      <w:rFonts w:eastAsia="仿宋_GB2312"/>
      <w:sz w:val="24"/>
    </w:rPr>
  </w:style>
  <w:style w:type="paragraph" w:customStyle="1" w:styleId="246">
    <w:name w:val="目录 11"/>
    <w:basedOn w:val="1"/>
    <w:next w:val="1"/>
    <w:semiHidden/>
    <w:qFormat/>
    <w:uiPriority w:val="0"/>
    <w:pPr>
      <w:spacing w:before="120" w:after="120"/>
      <w:jc w:val="left"/>
    </w:pPr>
    <w:rPr>
      <w:b/>
      <w:caps/>
      <w:sz w:val="20"/>
    </w:rPr>
  </w:style>
  <w:style w:type="paragraph" w:customStyle="1" w:styleId="247">
    <w:name w:val="目录 41"/>
    <w:basedOn w:val="1"/>
    <w:next w:val="1"/>
    <w:semiHidden/>
    <w:qFormat/>
    <w:uiPriority w:val="0"/>
    <w:pPr>
      <w:ind w:left="630"/>
      <w:jc w:val="left"/>
    </w:pPr>
    <w:rPr>
      <w:sz w:val="18"/>
    </w:rPr>
  </w:style>
  <w:style w:type="paragraph" w:customStyle="1" w:styleId="248">
    <w:name w:val="索引标题1"/>
    <w:basedOn w:val="1"/>
    <w:next w:val="249"/>
    <w:semiHidden/>
    <w:qFormat/>
    <w:uiPriority w:val="0"/>
  </w:style>
  <w:style w:type="paragraph" w:customStyle="1" w:styleId="249">
    <w:name w:val="索引 11"/>
    <w:basedOn w:val="1"/>
    <w:next w:val="1"/>
    <w:semiHidden/>
    <w:qFormat/>
    <w:uiPriority w:val="0"/>
    <w:rPr>
      <w:rFonts w:ascii="仿宋_GB2312" w:hAnsi="宋体" w:eastAsia="仿宋_GB2312"/>
      <w:sz w:val="30"/>
      <w:szCs w:val="24"/>
    </w:rPr>
  </w:style>
  <w:style w:type="paragraph" w:customStyle="1" w:styleId="250">
    <w:name w:val="副标题1"/>
    <w:basedOn w:val="1"/>
    <w:next w:val="1"/>
    <w:qFormat/>
    <w:uiPriority w:val="0"/>
    <w:pPr>
      <w:widowControl/>
      <w:spacing w:after="600" w:line="276" w:lineRule="auto"/>
      <w:jc w:val="left"/>
    </w:pPr>
    <w:rPr>
      <w:rFonts w:ascii="Cambria" w:hAnsi="Cambria"/>
      <w:i/>
      <w:iCs/>
      <w:spacing w:val="13"/>
      <w:sz w:val="24"/>
      <w:szCs w:val="24"/>
      <w:lang w:eastAsia="en-US" w:bidi="en-US"/>
    </w:rPr>
  </w:style>
  <w:style w:type="paragraph" w:customStyle="1" w:styleId="251">
    <w:name w:val="脚注文本1"/>
    <w:basedOn w:val="1"/>
    <w:qFormat/>
    <w:uiPriority w:val="0"/>
    <w:pPr>
      <w:jc w:val="left"/>
    </w:pPr>
    <w:rPr>
      <w:sz w:val="18"/>
      <w:szCs w:val="18"/>
    </w:rPr>
  </w:style>
  <w:style w:type="paragraph" w:customStyle="1" w:styleId="252">
    <w:name w:val="目录 61"/>
    <w:basedOn w:val="1"/>
    <w:next w:val="1"/>
    <w:semiHidden/>
    <w:qFormat/>
    <w:uiPriority w:val="0"/>
    <w:pPr>
      <w:ind w:left="1050"/>
      <w:jc w:val="left"/>
    </w:pPr>
    <w:rPr>
      <w:sz w:val="18"/>
    </w:rPr>
  </w:style>
  <w:style w:type="paragraph" w:customStyle="1" w:styleId="253">
    <w:name w:val="正文文本缩进 311"/>
    <w:basedOn w:val="1"/>
    <w:link w:val="254"/>
    <w:qFormat/>
    <w:uiPriority w:val="0"/>
    <w:pPr>
      <w:ind w:left="645" w:firstLine="645"/>
    </w:pPr>
    <w:rPr>
      <w:rFonts w:ascii="Arial" w:hAnsi="Arial" w:eastAsia="仿宋_GB2312"/>
      <w:color w:val="FFFF00"/>
      <w:sz w:val="32"/>
    </w:rPr>
  </w:style>
  <w:style w:type="character" w:customStyle="1" w:styleId="254">
    <w:name w:val="正文文本缩进 3 字符"/>
    <w:link w:val="253"/>
    <w:qFormat/>
    <w:uiPriority w:val="0"/>
    <w:rPr>
      <w:rFonts w:ascii="Arial" w:hAnsi="Arial" w:eastAsia="仿宋_GB2312"/>
      <w:color w:val="FFFF00"/>
      <w:sz w:val="32"/>
      <w:lang w:val="en-US" w:eastAsia="zh-CN" w:bidi="ar-SA"/>
    </w:rPr>
  </w:style>
  <w:style w:type="paragraph" w:customStyle="1" w:styleId="255">
    <w:name w:val="索引 71"/>
    <w:basedOn w:val="1"/>
    <w:next w:val="1"/>
    <w:semiHidden/>
    <w:qFormat/>
    <w:uiPriority w:val="0"/>
    <w:pPr>
      <w:ind w:left="2520"/>
    </w:pPr>
  </w:style>
  <w:style w:type="paragraph" w:customStyle="1" w:styleId="256">
    <w:name w:val="索引 91"/>
    <w:basedOn w:val="1"/>
    <w:next w:val="1"/>
    <w:semiHidden/>
    <w:qFormat/>
    <w:uiPriority w:val="0"/>
    <w:pPr>
      <w:ind w:left="3360"/>
    </w:pPr>
  </w:style>
  <w:style w:type="paragraph" w:customStyle="1" w:styleId="257">
    <w:name w:val="图表目录1"/>
    <w:basedOn w:val="1"/>
    <w:next w:val="1"/>
    <w:semiHidden/>
    <w:qFormat/>
    <w:uiPriority w:val="0"/>
    <w:pPr>
      <w:ind w:left="840" w:hanging="420"/>
    </w:pPr>
  </w:style>
  <w:style w:type="paragraph" w:customStyle="1" w:styleId="258">
    <w:name w:val="目录 21"/>
    <w:basedOn w:val="1"/>
    <w:next w:val="1"/>
    <w:semiHidden/>
    <w:qFormat/>
    <w:uiPriority w:val="0"/>
    <w:pPr>
      <w:ind w:left="210"/>
      <w:jc w:val="left"/>
    </w:pPr>
    <w:rPr>
      <w:smallCaps/>
      <w:sz w:val="20"/>
    </w:rPr>
  </w:style>
  <w:style w:type="paragraph" w:customStyle="1" w:styleId="259">
    <w:name w:val="目录 91"/>
    <w:basedOn w:val="1"/>
    <w:next w:val="1"/>
    <w:semiHidden/>
    <w:qFormat/>
    <w:uiPriority w:val="0"/>
    <w:pPr>
      <w:ind w:left="1680"/>
      <w:jc w:val="left"/>
    </w:pPr>
    <w:rPr>
      <w:sz w:val="18"/>
    </w:rPr>
  </w:style>
  <w:style w:type="paragraph" w:customStyle="1" w:styleId="260">
    <w:name w:val="正文文本 211"/>
    <w:basedOn w:val="1"/>
    <w:qFormat/>
    <w:uiPriority w:val="0"/>
    <w:pPr>
      <w:widowControl/>
      <w:jc w:val="center"/>
    </w:pPr>
    <w:rPr>
      <w:rFonts w:ascii="楷体_GB2312" w:eastAsia="楷体_GB2312"/>
      <w:sz w:val="28"/>
    </w:rPr>
  </w:style>
  <w:style w:type="paragraph" w:customStyle="1" w:styleId="261">
    <w:name w:val="HTML 预设格式1"/>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rPr>
  </w:style>
  <w:style w:type="character" w:customStyle="1" w:styleId="262">
    <w:name w:val="HTML 预设格式 字符"/>
    <w:link w:val="261"/>
    <w:qFormat/>
    <w:uiPriority w:val="0"/>
    <w:rPr>
      <w:rFonts w:ascii="黑体" w:hAnsi="Courier New" w:eastAsia="黑体" w:cs="Courier New"/>
      <w:lang w:val="en-US" w:eastAsia="zh-CN" w:bidi="ar-SA"/>
    </w:rPr>
  </w:style>
  <w:style w:type="paragraph" w:customStyle="1" w:styleId="263">
    <w:name w:val="普通(网站)1"/>
    <w:basedOn w:val="1"/>
    <w:qFormat/>
    <w:uiPriority w:val="0"/>
    <w:pPr>
      <w:widowControl/>
      <w:spacing w:before="100" w:beforeAutospacing="1" w:after="100" w:afterAutospacing="1"/>
      <w:jc w:val="left"/>
    </w:pPr>
    <w:rPr>
      <w:rFonts w:ascii="Arial" w:hAnsi="Arial" w:eastAsia="Arial Unicode MS" w:cs="Arial"/>
      <w:sz w:val="24"/>
      <w:szCs w:val="24"/>
    </w:rPr>
  </w:style>
  <w:style w:type="paragraph" w:customStyle="1" w:styleId="264">
    <w:name w:val="索引 21"/>
    <w:basedOn w:val="1"/>
    <w:next w:val="1"/>
    <w:semiHidden/>
    <w:qFormat/>
    <w:uiPriority w:val="0"/>
    <w:pPr>
      <w:ind w:left="420"/>
    </w:pPr>
  </w:style>
  <w:style w:type="paragraph" w:customStyle="1" w:styleId="265">
    <w:name w:val="标题11"/>
    <w:basedOn w:val="1"/>
    <w:link w:val="266"/>
    <w:qFormat/>
    <w:uiPriority w:val="0"/>
    <w:pPr>
      <w:widowControl/>
      <w:spacing w:line="420" w:lineRule="exact"/>
      <w:jc w:val="center"/>
    </w:pPr>
    <w:rPr>
      <w:rFonts w:eastAsia="黑体"/>
      <w:b/>
      <w:sz w:val="28"/>
      <w:lang w:val="en-GB"/>
    </w:rPr>
  </w:style>
  <w:style w:type="character" w:customStyle="1" w:styleId="266">
    <w:name w:val="标题 字符"/>
    <w:link w:val="265"/>
    <w:qFormat/>
    <w:uiPriority w:val="0"/>
    <w:rPr>
      <w:rFonts w:eastAsia="黑体"/>
      <w:b/>
      <w:sz w:val="28"/>
      <w:lang w:val="en-GB" w:eastAsia="zh-CN" w:bidi="ar-SA"/>
    </w:rPr>
  </w:style>
  <w:style w:type="paragraph" w:customStyle="1" w:styleId="267">
    <w:name w:val="批注主题1"/>
    <w:basedOn w:val="219"/>
    <w:next w:val="219"/>
    <w:link w:val="268"/>
    <w:semiHidden/>
    <w:qFormat/>
    <w:uiPriority w:val="0"/>
    <w:rPr>
      <w:b/>
      <w:bCs/>
    </w:rPr>
  </w:style>
  <w:style w:type="character" w:customStyle="1" w:styleId="268">
    <w:name w:val="批注主题 字符"/>
    <w:link w:val="267"/>
    <w:qFormat/>
    <w:uiPriority w:val="0"/>
    <w:rPr>
      <w:rFonts w:eastAsia="宋体"/>
      <w:b/>
      <w:bCs/>
      <w:sz w:val="21"/>
      <w:lang w:val="en-US" w:eastAsia="zh-CN" w:bidi="ar-SA"/>
    </w:rPr>
  </w:style>
  <w:style w:type="paragraph" w:customStyle="1" w:styleId="269">
    <w:name w:val="正文首行缩进1"/>
    <w:basedOn w:val="224"/>
    <w:qFormat/>
    <w:uiPriority w:val="0"/>
    <w:pPr>
      <w:spacing w:after="120"/>
      <w:ind w:firstLine="420"/>
    </w:pPr>
    <w:rPr>
      <w:rFonts w:ascii="Times New Roman" w:hAnsi="Times New Roman" w:eastAsia="宋体"/>
      <w:sz w:val="21"/>
      <w:szCs w:val="24"/>
    </w:rPr>
  </w:style>
  <w:style w:type="paragraph" w:customStyle="1" w:styleId="270">
    <w:name w:val="正文首行缩进 21"/>
    <w:basedOn w:val="225"/>
    <w:link w:val="271"/>
    <w:qFormat/>
    <w:uiPriority w:val="0"/>
    <w:pPr>
      <w:spacing w:after="120"/>
      <w:ind w:left="420" w:firstLine="420"/>
    </w:pPr>
    <w:rPr>
      <w:rFonts w:ascii="Times New Roman" w:eastAsia="宋体"/>
      <w:sz w:val="21"/>
    </w:rPr>
  </w:style>
  <w:style w:type="character" w:customStyle="1" w:styleId="271">
    <w:name w:val="正文首行缩进 2 字符"/>
    <w:link w:val="270"/>
    <w:qFormat/>
    <w:uiPriority w:val="0"/>
    <w:rPr>
      <w:rFonts w:ascii="楷体_GB2312" w:eastAsia="楷体_GB2312"/>
      <w:sz w:val="21"/>
      <w:lang w:val="en-US" w:eastAsia="zh-CN" w:bidi="ar-SA"/>
    </w:rPr>
  </w:style>
  <w:style w:type="table" w:customStyle="1" w:styleId="272">
    <w:name w:val="网格型1"/>
    <w:basedOn w:val="200"/>
    <w:qFormat/>
    <w:uiPriority w:val="0"/>
    <w:pPr>
      <w:widowControl w:val="0"/>
      <w:jc w:val="both"/>
    </w:pPr>
  </w:style>
  <w:style w:type="character" w:customStyle="1" w:styleId="273">
    <w:name w:val="要点1"/>
    <w:link w:val="1"/>
    <w:qFormat/>
    <w:uiPriority w:val="0"/>
    <w:rPr>
      <w:b/>
      <w:bCs/>
    </w:rPr>
  </w:style>
  <w:style w:type="character" w:customStyle="1" w:styleId="274">
    <w:name w:val="尾注引用1"/>
    <w:link w:val="1"/>
    <w:qFormat/>
    <w:uiPriority w:val="0"/>
    <w:rPr>
      <w:vertAlign w:val="superscript"/>
    </w:rPr>
  </w:style>
  <w:style w:type="character" w:customStyle="1" w:styleId="275">
    <w:name w:val="页码1"/>
    <w:link w:val="1"/>
    <w:qFormat/>
    <w:uiPriority w:val="0"/>
  </w:style>
  <w:style w:type="character" w:customStyle="1" w:styleId="276">
    <w:name w:val="已访问的超链接11"/>
    <w:link w:val="1"/>
    <w:qFormat/>
    <w:uiPriority w:val="0"/>
    <w:rPr>
      <w:color w:val="800080"/>
      <w:u w:val="single"/>
    </w:rPr>
  </w:style>
  <w:style w:type="character" w:customStyle="1" w:styleId="277">
    <w:name w:val="强调1"/>
    <w:link w:val="1"/>
    <w:qFormat/>
    <w:uiPriority w:val="0"/>
    <w:rPr>
      <w:b/>
      <w:bCs/>
      <w:i/>
      <w:iCs/>
      <w:spacing w:val="10"/>
      <w:shd w:val="clear" w:color="auto" w:fill="auto"/>
    </w:rPr>
  </w:style>
  <w:style w:type="character" w:customStyle="1" w:styleId="278">
    <w:name w:val="行号1"/>
    <w:link w:val="1"/>
    <w:qFormat/>
    <w:uiPriority w:val="0"/>
  </w:style>
  <w:style w:type="character" w:customStyle="1" w:styleId="279">
    <w:name w:val="HTML 打字机1"/>
    <w:link w:val="1"/>
    <w:qFormat/>
    <w:uiPriority w:val="0"/>
    <w:rPr>
      <w:rFonts w:ascii="宋体" w:hAnsi="宋体" w:eastAsia="宋体" w:cs="宋体"/>
      <w:sz w:val="24"/>
      <w:szCs w:val="24"/>
    </w:rPr>
  </w:style>
  <w:style w:type="character" w:customStyle="1" w:styleId="280">
    <w:name w:val="超链接1"/>
    <w:link w:val="1"/>
    <w:qFormat/>
    <w:uiPriority w:val="0"/>
    <w:rPr>
      <w:color w:val="0000FF"/>
      <w:u w:val="single"/>
    </w:rPr>
  </w:style>
  <w:style w:type="character" w:customStyle="1" w:styleId="281">
    <w:name w:val="批注引用1"/>
    <w:link w:val="1"/>
    <w:qFormat/>
    <w:uiPriority w:val="0"/>
    <w:rPr>
      <w:sz w:val="21"/>
    </w:rPr>
  </w:style>
  <w:style w:type="character" w:customStyle="1" w:styleId="282">
    <w:name w:val="脚注引用1"/>
    <w:link w:val="1"/>
    <w:qFormat/>
    <w:uiPriority w:val="0"/>
    <w:rPr>
      <w:vertAlign w:val="superscript"/>
    </w:rPr>
  </w:style>
  <w:style w:type="character" w:customStyle="1" w:styleId="283">
    <w:name w:val="HTML 样本1"/>
    <w:link w:val="1"/>
    <w:qFormat/>
    <w:uiPriority w:val="0"/>
    <w:rPr>
      <w:rFonts w:ascii="Courier New" w:hAnsi="宋体" w:eastAsia="宋体" w:cs="Courier New"/>
    </w:rPr>
  </w:style>
  <w:style w:type="paragraph" w:customStyle="1" w:styleId="284">
    <w:name w:val="首行缩进"/>
    <w:basedOn w:val="1"/>
    <w:qFormat/>
    <w:uiPriority w:val="0"/>
    <w:pPr>
      <w:ind w:firstLine="480"/>
    </w:pPr>
    <w:rPr>
      <w:lang w:val="zh-CN"/>
    </w:rPr>
  </w:style>
  <w:style w:type="paragraph" w:customStyle="1" w:styleId="285">
    <w:name w:val="标题1"/>
    <w:basedOn w:val="1"/>
    <w:next w:val="1"/>
    <w:qFormat/>
    <w:uiPriority w:val="0"/>
    <w:pPr>
      <w:widowControl/>
      <w:spacing w:line="420" w:lineRule="exact"/>
      <w:jc w:val="center"/>
    </w:pPr>
    <w:rPr>
      <w:rFonts w:ascii="Times New Roman" w:hAnsi="Times New Roman" w:eastAsia="黑体" w:cs="Times New Roman"/>
      <w:b/>
      <w:sz w:val="28"/>
      <w:lang w:val="en-GB"/>
    </w:rPr>
  </w:style>
  <w:style w:type="paragraph" w:customStyle="1" w:styleId="286">
    <w:name w:val="列出段落1"/>
    <w:basedOn w:val="1"/>
    <w:qFormat/>
    <w:uiPriority w:val="34"/>
    <w:pPr>
      <w:widowControl/>
      <w:ind w:left="720"/>
      <w:contextualSpacing/>
      <w:jc w:val="left"/>
    </w:pPr>
    <w:rPr>
      <w:rFonts w:ascii="Arial" w:hAnsi="Arial" w:eastAsia="黑体"/>
      <w:sz w:val="24"/>
      <w:szCs w:val="24"/>
      <w:lang w:eastAsia="en-US"/>
    </w:rPr>
  </w:style>
  <w:style w:type="character" w:customStyle="1" w:styleId="287">
    <w:name w:val="concon"/>
    <w:link w:val="1"/>
    <w:qFormat/>
    <w:uiPriority w:val="0"/>
  </w:style>
  <w:style w:type="character" w:customStyle="1" w:styleId="288">
    <w:name w:val="小四 段落 宋体 Char Char Char Char Char"/>
    <w:link w:val="1"/>
    <w:qFormat/>
    <w:uiPriority w:val="0"/>
    <w:rPr>
      <w:rFonts w:eastAsia="宋体"/>
      <w:sz w:val="24"/>
      <w:szCs w:val="24"/>
      <w:lang w:val="en-US" w:eastAsia="zh-CN" w:bidi="ar-SA"/>
    </w:rPr>
  </w:style>
  <w:style w:type="character" w:customStyle="1" w:styleId="289">
    <w:name w:val="Title1 Char"/>
    <w:link w:val="1"/>
    <w:qFormat/>
    <w:uiPriority w:val="0"/>
    <w:rPr>
      <w:rFonts w:eastAsia="宋体"/>
      <w:b/>
      <w:bCs/>
      <w:sz w:val="44"/>
      <w:szCs w:val="44"/>
      <w:lang w:val="en-US" w:eastAsia="zh-CN" w:bidi="ar-SA"/>
    </w:rPr>
  </w:style>
  <w:style w:type="character" w:customStyle="1" w:styleId="290">
    <w:name w:val="纯文本 Char Char"/>
    <w:link w:val="1"/>
    <w:qFormat/>
    <w:uiPriority w:val="0"/>
    <w:rPr>
      <w:rFonts w:ascii="宋体" w:hAnsi="Courier New" w:eastAsia="宋体"/>
      <w:sz w:val="21"/>
      <w:szCs w:val="21"/>
      <w:lang w:val="en-US" w:eastAsia="zh-CN" w:bidi="ar-SA"/>
    </w:rPr>
  </w:style>
  <w:style w:type="character" w:customStyle="1" w:styleId="291">
    <w:name w:val="标题 3 Char Char"/>
    <w:link w:val="1"/>
    <w:qFormat/>
    <w:uiPriority w:val="0"/>
    <w:rPr>
      <w:rFonts w:eastAsia="仿宋_GB2312"/>
      <w:b/>
      <w:bCs/>
      <w:sz w:val="28"/>
      <w:szCs w:val="32"/>
      <w:lang w:val="en-US" w:eastAsia="zh-CN" w:bidi="ar-SA"/>
    </w:rPr>
  </w:style>
  <w:style w:type="character" w:customStyle="1" w:styleId="292">
    <w:name w:val="小四 段落 宋体 Char Char Char1"/>
    <w:link w:val="1"/>
    <w:qFormat/>
    <w:uiPriority w:val="0"/>
    <w:rPr>
      <w:rFonts w:ascii="宋体" w:hAnsi="宋体" w:eastAsia="宋体"/>
      <w:sz w:val="24"/>
      <w:szCs w:val="24"/>
      <w:lang w:val="en-US" w:eastAsia="zh-CN" w:bidi="ar-SA"/>
    </w:rPr>
  </w:style>
  <w:style w:type="character" w:customStyle="1" w:styleId="293">
    <w:name w:val="subtitle1"/>
    <w:link w:val="1"/>
    <w:qFormat/>
    <w:uiPriority w:val="0"/>
    <w:rPr>
      <w:rFonts w:ascii="Georgia" w:hAnsi="Georgia"/>
      <w:b/>
      <w:bCs/>
      <w:color w:val="666666"/>
      <w:sz w:val="18"/>
      <w:szCs w:val="18"/>
    </w:rPr>
  </w:style>
  <w:style w:type="character" w:customStyle="1" w:styleId="294">
    <w:name w:val="title_emph1"/>
    <w:link w:val="1"/>
    <w:qFormat/>
    <w:uiPriority w:val="0"/>
    <w:rPr>
      <w:rFonts w:ascii="Arial" w:cs="Arial"/>
      <w:b/>
      <w:bCs/>
      <w:sz w:val="18"/>
      <w:szCs w:val="18"/>
    </w:rPr>
  </w:style>
  <w:style w:type="character" w:customStyle="1" w:styleId="295">
    <w:name w:val="Char Char26"/>
    <w:link w:val="1"/>
    <w:qFormat/>
    <w:uiPriority w:val="0"/>
    <w:rPr>
      <w:b/>
      <w:bCs/>
      <w:sz w:val="32"/>
      <w:szCs w:val="32"/>
    </w:rPr>
  </w:style>
  <w:style w:type="character" w:customStyle="1" w:styleId="296">
    <w:name w:val="小四 段落 宋体 Char1"/>
    <w:link w:val="1"/>
    <w:qFormat/>
    <w:uiPriority w:val="0"/>
    <w:rPr>
      <w:rFonts w:eastAsia="宋体"/>
      <w:sz w:val="24"/>
      <w:szCs w:val="24"/>
      <w:lang w:val="en-US" w:eastAsia="zh-CN" w:bidi="ar-SA"/>
    </w:rPr>
  </w:style>
  <w:style w:type="character" w:customStyle="1" w:styleId="297">
    <w:name w:val="Char Char22"/>
    <w:link w:val="1"/>
    <w:qFormat/>
    <w:uiPriority w:val="0"/>
    <w:rPr>
      <w:b/>
      <w:bCs/>
      <w:sz w:val="24"/>
      <w:szCs w:val="24"/>
    </w:rPr>
  </w:style>
  <w:style w:type="character" w:customStyle="1" w:styleId="298">
    <w:name w:val="纯文本 Char1"/>
    <w:link w:val="1"/>
    <w:qFormat/>
    <w:uiPriority w:val="0"/>
    <w:rPr>
      <w:rFonts w:ascii="宋体" w:hAnsi="Courier New" w:cs="Courier New"/>
      <w:sz w:val="21"/>
      <w:szCs w:val="21"/>
    </w:rPr>
  </w:style>
  <w:style w:type="character" w:customStyle="1" w:styleId="299">
    <w:name w:val="Char Char17"/>
    <w:link w:val="1"/>
    <w:qFormat/>
    <w:uiPriority w:val="0"/>
    <w:rPr>
      <w:rFonts w:ascii="宋体" w:hAnsi="Courier New"/>
      <w:sz w:val="21"/>
      <w:szCs w:val="21"/>
    </w:rPr>
  </w:style>
  <w:style w:type="character" w:customStyle="1" w:styleId="300">
    <w:name w:val="case31"/>
    <w:link w:val="1"/>
    <w:qFormat/>
    <w:uiPriority w:val="0"/>
    <w:rPr>
      <w:sz w:val="21"/>
      <w:szCs w:val="21"/>
    </w:rPr>
  </w:style>
  <w:style w:type="character" w:customStyle="1" w:styleId="301">
    <w:name w:val="content_lineheight1"/>
    <w:link w:val="1"/>
    <w:qFormat/>
    <w:uiPriority w:val="0"/>
  </w:style>
  <w:style w:type="character" w:customStyle="1" w:styleId="302">
    <w:name w:val="2nd level Char"/>
    <w:link w:val="1"/>
    <w:qFormat/>
    <w:uiPriority w:val="0"/>
    <w:rPr>
      <w:rFonts w:ascii="Arial" w:hAnsi="Arial" w:eastAsia="黑体"/>
      <w:b/>
      <w:bCs/>
      <w:sz w:val="32"/>
      <w:szCs w:val="32"/>
      <w:lang w:val="en-US" w:eastAsia="zh-CN" w:bidi="ar-SA"/>
    </w:rPr>
  </w:style>
  <w:style w:type="character" w:customStyle="1" w:styleId="303">
    <w:name w:val="纯文本 Char Char Char1"/>
    <w:link w:val="1"/>
    <w:qFormat/>
    <w:uiPriority w:val="0"/>
    <w:rPr>
      <w:rFonts w:ascii="宋体" w:hAnsi="Courier New" w:eastAsia="宋体"/>
      <w:sz w:val="21"/>
      <w:szCs w:val="21"/>
      <w:lang w:val="en-US" w:eastAsia="zh-CN" w:bidi="ar-SA"/>
    </w:rPr>
  </w:style>
  <w:style w:type="character" w:customStyle="1" w:styleId="304">
    <w:name w:val="style13"/>
    <w:link w:val="1"/>
    <w:qFormat/>
    <w:uiPriority w:val="0"/>
    <w:rPr>
      <w:sz w:val="18"/>
      <w:szCs w:val="18"/>
    </w:rPr>
  </w:style>
  <w:style w:type="character" w:customStyle="1" w:styleId="305">
    <w:name w:val="标准文本 Char Char"/>
    <w:link w:val="1"/>
    <w:qFormat/>
    <w:uiPriority w:val="0"/>
    <w:rPr>
      <w:rFonts w:eastAsia="宋体" w:cs="宋体"/>
      <w:sz w:val="24"/>
      <w:szCs w:val="24"/>
      <w:lang w:val="en-US" w:eastAsia="zh-CN" w:bidi="ar-SA"/>
    </w:rPr>
  </w:style>
  <w:style w:type="character" w:customStyle="1" w:styleId="306">
    <w:name w:val="para_small"/>
    <w:link w:val="1"/>
    <w:qFormat/>
    <w:uiPriority w:val="0"/>
  </w:style>
  <w:style w:type="character" w:customStyle="1" w:styleId="307">
    <w:name w:val="Char Char24"/>
    <w:link w:val="1"/>
    <w:qFormat/>
    <w:uiPriority w:val="0"/>
    <w:rPr>
      <w:b/>
      <w:bCs/>
      <w:sz w:val="28"/>
      <w:szCs w:val="28"/>
    </w:rPr>
  </w:style>
  <w:style w:type="character" w:customStyle="1" w:styleId="308">
    <w:name w:val="Char Char25"/>
    <w:link w:val="1"/>
    <w:qFormat/>
    <w:uiPriority w:val="0"/>
    <w:rPr>
      <w:rFonts w:ascii="Arial" w:hAnsi="Arial" w:eastAsia="黑体"/>
      <w:b/>
      <w:sz w:val="28"/>
    </w:rPr>
  </w:style>
  <w:style w:type="character" w:customStyle="1" w:styleId="309">
    <w:name w:val="无间隔 字符"/>
    <w:link w:val="310"/>
    <w:qFormat/>
    <w:uiPriority w:val="0"/>
    <w:rPr>
      <w:rFonts w:ascii="Calibri" w:hAnsi="Calibri" w:eastAsia="微软雅黑"/>
      <w:sz w:val="24"/>
      <w:szCs w:val="22"/>
      <w:lang w:val="en-US" w:eastAsia="zh-CN" w:bidi="ar-SA"/>
    </w:rPr>
  </w:style>
  <w:style w:type="paragraph" w:customStyle="1" w:styleId="310">
    <w:name w:val="无间隔"/>
    <w:link w:val="309"/>
    <w:qFormat/>
    <w:uiPriority w:val="0"/>
    <w:pPr>
      <w:widowControl w:val="0"/>
      <w:jc w:val="both"/>
    </w:pPr>
    <w:rPr>
      <w:rFonts w:hint="default" w:ascii="Calibri" w:hAnsi="Calibri" w:eastAsia="微软雅黑" w:cs="Times New Roman"/>
      <w:sz w:val="24"/>
      <w:szCs w:val="22"/>
      <w:lang w:val="en-US" w:eastAsia="zh-CN" w:bidi="ar-SA"/>
    </w:rPr>
  </w:style>
  <w:style w:type="character" w:customStyle="1" w:styleId="311">
    <w:name w:val="华宇段落1 Char Char Char"/>
    <w:link w:val="1"/>
    <w:qFormat/>
    <w:uiPriority w:val="0"/>
    <w:rPr>
      <w:rFonts w:eastAsia="宋体"/>
      <w:bCs/>
      <w:sz w:val="24"/>
      <w:szCs w:val="24"/>
      <w:lang w:val="en-US" w:eastAsia="zh-CN" w:bidi="ar-SA"/>
    </w:rPr>
  </w:style>
  <w:style w:type="character" w:customStyle="1" w:styleId="312">
    <w:name w:val="标准文本 Char"/>
    <w:link w:val="1"/>
    <w:qFormat/>
    <w:uiPriority w:val="0"/>
    <w:rPr>
      <w:rFonts w:eastAsia="宋体" w:cs="宋体"/>
      <w:sz w:val="24"/>
      <w:szCs w:val="24"/>
      <w:lang w:val="en-US" w:eastAsia="zh-CN" w:bidi="ar-SA"/>
    </w:rPr>
  </w:style>
  <w:style w:type="character" w:customStyle="1" w:styleId="313">
    <w:name w:val="Char Char27"/>
    <w:link w:val="1"/>
    <w:qFormat/>
    <w:uiPriority w:val="0"/>
    <w:rPr>
      <w:b/>
      <w:bCs/>
      <w:sz w:val="44"/>
      <w:szCs w:val="44"/>
    </w:rPr>
  </w:style>
  <w:style w:type="character" w:customStyle="1" w:styleId="314">
    <w:name w:val="ih151"/>
    <w:link w:val="1"/>
    <w:qFormat/>
    <w:uiPriority w:val="0"/>
    <w:rPr>
      <w:color w:val="666666"/>
      <w:sz w:val="18"/>
      <w:szCs w:val="18"/>
      <w:u w:val="none"/>
    </w:rPr>
  </w:style>
  <w:style w:type="character" w:customStyle="1" w:styleId="315">
    <w:name w:val="小四 段落 宋体 Char Char Char Char1"/>
    <w:link w:val="1"/>
    <w:qFormat/>
    <w:uiPriority w:val="0"/>
    <w:rPr>
      <w:rFonts w:eastAsia="宋体"/>
      <w:sz w:val="24"/>
      <w:szCs w:val="24"/>
      <w:lang w:val="en-US" w:eastAsia="zh-CN" w:bidi="ar-SA"/>
    </w:rPr>
  </w:style>
  <w:style w:type="character" w:customStyle="1" w:styleId="316">
    <w:name w:val="样式 首行缩进:  2 字符 Char Char"/>
    <w:link w:val="317"/>
    <w:qFormat/>
    <w:uiPriority w:val="0"/>
    <w:rPr>
      <w:rFonts w:eastAsia="宋体" w:cs="宋体"/>
      <w:sz w:val="24"/>
      <w:lang w:val="en-US" w:eastAsia="zh-CN" w:bidi="ar-SA"/>
    </w:rPr>
  </w:style>
  <w:style w:type="paragraph" w:customStyle="1" w:styleId="317">
    <w:name w:val="样式 首行缩进:  2 字符"/>
    <w:basedOn w:val="1"/>
    <w:link w:val="316"/>
    <w:qFormat/>
    <w:uiPriority w:val="0"/>
    <w:pPr>
      <w:spacing w:line="360" w:lineRule="auto"/>
      <w:ind w:firstLine="480"/>
    </w:pPr>
    <w:rPr>
      <w:rFonts w:cs="宋体"/>
      <w:sz w:val="24"/>
    </w:rPr>
  </w:style>
  <w:style w:type="character" w:customStyle="1" w:styleId="318">
    <w:name w:val="h Char Char"/>
    <w:link w:val="1"/>
    <w:qFormat/>
    <w:uiPriority w:val="0"/>
    <w:rPr>
      <w:rFonts w:eastAsia="宋体"/>
      <w:sz w:val="18"/>
      <w:szCs w:val="18"/>
      <w:lang w:val="en-US" w:eastAsia="zh-CN" w:bidi="ar-SA"/>
    </w:rPr>
  </w:style>
  <w:style w:type="character" w:customStyle="1" w:styleId="319">
    <w:name w:val="Char Char28"/>
    <w:link w:val="1"/>
    <w:qFormat/>
    <w:uiPriority w:val="0"/>
    <w:rPr>
      <w:rFonts w:ascii="Arial" w:hAnsi="Arial" w:eastAsia="黑体" w:cs="Arial"/>
      <w:b/>
      <w:bCs/>
      <w:sz w:val="32"/>
      <w:szCs w:val="32"/>
    </w:rPr>
  </w:style>
  <w:style w:type="character" w:customStyle="1" w:styleId="320">
    <w:name w:val="小四 段落 宋体 Char Char Char Char Char Char"/>
    <w:link w:val="1"/>
    <w:qFormat/>
    <w:uiPriority w:val="0"/>
    <w:rPr>
      <w:rFonts w:eastAsia="宋体"/>
      <w:sz w:val="24"/>
      <w:szCs w:val="24"/>
      <w:lang w:val="en-US" w:eastAsia="zh-CN" w:bidi="ar-SA"/>
    </w:rPr>
  </w:style>
  <w:style w:type="character" w:customStyle="1" w:styleId="321">
    <w:name w:val="style131"/>
    <w:link w:val="1"/>
    <w:qFormat/>
    <w:uiPriority w:val="0"/>
    <w:rPr>
      <w:rFonts w:cs="Times New Roman"/>
      <w:sz w:val="18"/>
      <w:szCs w:val="18"/>
    </w:rPr>
  </w:style>
  <w:style w:type="character" w:customStyle="1" w:styleId="322">
    <w:name w:val="Char Char2"/>
    <w:link w:val="1"/>
    <w:qFormat/>
    <w:uiPriority w:val="0"/>
    <w:rPr>
      <w:rFonts w:ascii="宋体" w:hAnsi="Courier New" w:eastAsia="宋体"/>
      <w:sz w:val="21"/>
      <w:szCs w:val="21"/>
      <w:lang w:val="en-US" w:eastAsia="zh-CN" w:bidi="ar-SA"/>
    </w:rPr>
  </w:style>
  <w:style w:type="character" w:customStyle="1" w:styleId="323">
    <w:name w:val="普通文字1 Char"/>
    <w:link w:val="1"/>
    <w:qFormat/>
    <w:uiPriority w:val="0"/>
    <w:rPr>
      <w:rFonts w:ascii="宋体" w:eastAsia="宋体"/>
      <w:sz w:val="21"/>
      <w:szCs w:val="21"/>
      <w:lang w:val="en-US" w:eastAsia="zh-CN" w:bidi="ar-SA"/>
    </w:rPr>
  </w:style>
  <w:style w:type="character" w:customStyle="1" w:styleId="324">
    <w:name w:val="normalfont1"/>
    <w:link w:val="1"/>
    <w:qFormat/>
    <w:uiPriority w:val="0"/>
    <w:rPr>
      <w:rFonts w:ascii="ˎ̥" w:hAnsi="ˎ̥"/>
      <w:sz w:val="18"/>
      <w:szCs w:val="18"/>
      <w:u w:val="none"/>
    </w:rPr>
  </w:style>
  <w:style w:type="character" w:customStyle="1" w:styleId="325">
    <w:name w:val="书籍标题1"/>
    <w:link w:val="1"/>
    <w:qFormat/>
    <w:uiPriority w:val="0"/>
    <w:rPr>
      <w:i/>
      <w:iCs/>
      <w:smallCaps/>
      <w:spacing w:val="5"/>
    </w:rPr>
  </w:style>
  <w:style w:type="character" w:customStyle="1" w:styleId="326">
    <w:name w:val="标题 Char1"/>
    <w:link w:val="1"/>
    <w:qFormat/>
    <w:uiPriority w:val="0"/>
    <w:rPr>
      <w:rFonts w:ascii="Cambria" w:eastAsia="宋体" w:cs="Times New Roman"/>
      <w:b/>
      <w:bCs/>
      <w:sz w:val="32"/>
      <w:szCs w:val="32"/>
    </w:rPr>
  </w:style>
  <w:style w:type="character" w:customStyle="1" w:styleId="327">
    <w:name w:val="样式 宋体 小四"/>
    <w:link w:val="1"/>
    <w:qFormat/>
    <w:uiPriority w:val="0"/>
    <w:rPr>
      <w:rFonts w:ascii="宋体" w:hAnsi="宋体"/>
      <w:sz w:val="24"/>
    </w:rPr>
  </w:style>
  <w:style w:type="character" w:customStyle="1" w:styleId="328">
    <w:name w:val="Char Char21"/>
    <w:link w:val="1"/>
    <w:qFormat/>
    <w:uiPriority w:val="0"/>
    <w:rPr>
      <w:rFonts w:ascii="Arial" w:hAnsi="Arial" w:eastAsia="黑体"/>
      <w:sz w:val="24"/>
      <w:szCs w:val="24"/>
    </w:rPr>
  </w:style>
  <w:style w:type="character" w:customStyle="1" w:styleId="329">
    <w:name w:val="样式 非加粗"/>
    <w:link w:val="1"/>
    <w:qFormat/>
    <w:uiPriority w:val="0"/>
    <w:rPr>
      <w:rFonts w:eastAsia="宋体"/>
      <w:sz w:val="28"/>
    </w:rPr>
  </w:style>
  <w:style w:type="character" w:customStyle="1" w:styleId="330">
    <w:name w:val="t1"/>
    <w:link w:val="1"/>
    <w:qFormat/>
    <w:uiPriority w:val="0"/>
  </w:style>
  <w:style w:type="character" w:customStyle="1" w:styleId="331">
    <w:name w:val="正文 + 宋体 Char"/>
    <w:link w:val="1"/>
    <w:qFormat/>
    <w:uiPriority w:val="0"/>
    <w:rPr>
      <w:rFonts w:eastAsia="宋体"/>
      <w:sz w:val="21"/>
      <w:szCs w:val="24"/>
      <w:lang w:val="en-US" w:eastAsia="zh-CN" w:bidi="ar-SA"/>
    </w:rPr>
  </w:style>
  <w:style w:type="character" w:customStyle="1" w:styleId="332">
    <w:name w:val="textcontents"/>
    <w:link w:val="1"/>
    <w:qFormat/>
    <w:uiPriority w:val="0"/>
  </w:style>
  <w:style w:type="character" w:customStyle="1" w:styleId="333">
    <w:name w:val="明显参考1"/>
    <w:link w:val="1"/>
    <w:qFormat/>
    <w:uiPriority w:val="0"/>
    <w:rPr>
      <w:smallCaps/>
      <w:spacing w:val="5"/>
      <w:u w:val="single"/>
    </w:rPr>
  </w:style>
  <w:style w:type="character" w:customStyle="1" w:styleId="334">
    <w:name w:val="纯文本 Char Char Char"/>
    <w:link w:val="1"/>
    <w:qFormat/>
    <w:uiPriority w:val="0"/>
    <w:rPr>
      <w:rFonts w:ascii="宋体" w:hAnsi="Courier New" w:eastAsia="宋体"/>
      <w:sz w:val="21"/>
      <w:szCs w:val="21"/>
      <w:lang w:val="en-US" w:eastAsia="zh-CN" w:bidi="ar-SA"/>
    </w:rPr>
  </w:style>
  <w:style w:type="character" w:customStyle="1" w:styleId="335">
    <w:name w:val="Char Char23"/>
    <w:link w:val="1"/>
    <w:qFormat/>
    <w:uiPriority w:val="0"/>
    <w:rPr>
      <w:rFonts w:ascii="Arial" w:hAnsi="Arial" w:eastAsia="黑体"/>
      <w:b/>
      <w:bCs/>
      <w:sz w:val="24"/>
      <w:szCs w:val="24"/>
    </w:rPr>
  </w:style>
  <w:style w:type="character" w:customStyle="1" w:styleId="336">
    <w:name w:val="不明显参考1"/>
    <w:link w:val="1"/>
    <w:qFormat/>
    <w:uiPriority w:val="0"/>
    <w:rPr>
      <w:smallCaps/>
    </w:rPr>
  </w:style>
  <w:style w:type="character" w:customStyle="1" w:styleId="337">
    <w:name w:val="param-value"/>
    <w:link w:val="1"/>
    <w:qFormat/>
    <w:uiPriority w:val="0"/>
  </w:style>
  <w:style w:type="character" w:customStyle="1" w:styleId="338">
    <w:name w:val="A2"/>
    <w:link w:val="1"/>
    <w:qFormat/>
    <w:uiPriority w:val="0"/>
    <w:rPr>
      <w:rFonts w:cs="Helvetica"/>
      <w:color w:val="000000"/>
      <w:sz w:val="18"/>
      <w:szCs w:val="18"/>
    </w:rPr>
  </w:style>
  <w:style w:type="character" w:customStyle="1" w:styleId="339">
    <w:name w:val="Char Char29"/>
    <w:link w:val="1"/>
    <w:qFormat/>
    <w:uiPriority w:val="0"/>
    <w:rPr>
      <w:rFonts w:ascii="Times New Roman" w:hAnsi="Times New Roman" w:eastAsia="宋体" w:cs="Times New Roman"/>
      <w:b/>
      <w:bCs/>
      <w:sz w:val="44"/>
      <w:szCs w:val="44"/>
    </w:rPr>
  </w:style>
  <w:style w:type="character" w:customStyle="1" w:styleId="340">
    <w:name w:val="已访问的超链接1"/>
    <w:link w:val="1"/>
    <w:qFormat/>
    <w:uiPriority w:val="0"/>
    <w:rPr>
      <w:color w:val="000000"/>
      <w:u w:val="none"/>
    </w:rPr>
  </w:style>
  <w:style w:type="character" w:customStyle="1" w:styleId="341">
    <w:name w:val="华宇段落1 Char Char"/>
    <w:link w:val="1"/>
    <w:qFormat/>
    <w:uiPriority w:val="0"/>
    <w:rPr>
      <w:rFonts w:eastAsia="宋体"/>
      <w:bCs/>
      <w:sz w:val="24"/>
      <w:szCs w:val="24"/>
      <w:lang w:val="en-US" w:eastAsia="zh-CN" w:bidi="ar-SA"/>
    </w:rPr>
  </w:style>
  <w:style w:type="character" w:customStyle="1" w:styleId="342">
    <w:name w:val="明显强调1"/>
    <w:link w:val="1"/>
    <w:qFormat/>
    <w:uiPriority w:val="0"/>
    <w:rPr>
      <w:b/>
      <w:bCs/>
    </w:rPr>
  </w:style>
  <w:style w:type="character" w:customStyle="1" w:styleId="343">
    <w:name w:val="小四 段落 宋体 Char Char Char Char Char Char Char Char"/>
    <w:link w:val="1"/>
    <w:qFormat/>
    <w:uiPriority w:val="0"/>
    <w:rPr>
      <w:rFonts w:eastAsia="宋体"/>
      <w:sz w:val="24"/>
      <w:szCs w:val="24"/>
      <w:lang w:val="en-US" w:eastAsia="zh-CN" w:bidi="ar-SA"/>
    </w:rPr>
  </w:style>
  <w:style w:type="character" w:customStyle="1" w:styleId="344">
    <w:name w:val="apple-converted-space"/>
    <w:link w:val="1"/>
    <w:qFormat/>
    <w:uiPriority w:val="0"/>
  </w:style>
  <w:style w:type="character" w:customStyle="1" w:styleId="345">
    <w:name w:val="表格抬头 Char"/>
    <w:link w:val="346"/>
    <w:qFormat/>
    <w:uiPriority w:val="0"/>
    <w:rPr>
      <w:rFonts w:ascii="黑体" w:eastAsia="黑体"/>
      <w:b/>
      <w:sz w:val="21"/>
      <w:lang w:bidi="ar-SA"/>
    </w:rPr>
  </w:style>
  <w:style w:type="paragraph" w:customStyle="1" w:styleId="346">
    <w:name w:val="表格抬头"/>
    <w:basedOn w:val="1"/>
    <w:link w:val="345"/>
    <w:qFormat/>
    <w:uiPriority w:val="0"/>
    <w:pPr>
      <w:jc w:val="center"/>
    </w:pPr>
    <w:rPr>
      <w:rFonts w:ascii="黑体" w:eastAsia="黑体"/>
      <w:b/>
    </w:rPr>
  </w:style>
  <w:style w:type="character" w:customStyle="1" w:styleId="347">
    <w:name w:val="新图表正文 Char Char"/>
    <w:link w:val="348"/>
    <w:qFormat/>
    <w:uiPriority w:val="0"/>
    <w:rPr>
      <w:sz w:val="18"/>
      <w:szCs w:val="21"/>
      <w:lang w:val="en-US" w:eastAsia="zh-CN" w:bidi="ar-SA"/>
    </w:rPr>
  </w:style>
  <w:style w:type="paragraph" w:customStyle="1" w:styleId="348">
    <w:name w:val="新图表正文"/>
    <w:link w:val="347"/>
    <w:qFormat/>
    <w:uiPriority w:val="0"/>
    <w:pPr>
      <w:jc w:val="both"/>
    </w:pPr>
    <w:rPr>
      <w:rFonts w:hint="default" w:ascii="Times New Roman" w:hAnsi="Times New Roman" w:eastAsia="宋体" w:cs="Times New Roman"/>
      <w:sz w:val="18"/>
      <w:szCs w:val="21"/>
      <w:lang w:val="en-US" w:eastAsia="zh-CN" w:bidi="ar-SA"/>
    </w:rPr>
  </w:style>
  <w:style w:type="character" w:customStyle="1" w:styleId="349">
    <w:name w:val="引用 字符"/>
    <w:link w:val="350"/>
    <w:qFormat/>
    <w:uiPriority w:val="0"/>
    <w:rPr>
      <w:rFonts w:ascii="Calibri" w:hAnsi="Calibri" w:eastAsia="宋体"/>
      <w:i/>
      <w:iCs/>
      <w:sz w:val="22"/>
      <w:szCs w:val="22"/>
      <w:lang w:val="en-US" w:eastAsia="en-US" w:bidi="en-US"/>
    </w:rPr>
  </w:style>
  <w:style w:type="paragraph" w:customStyle="1" w:styleId="350">
    <w:name w:val="引用"/>
    <w:basedOn w:val="1"/>
    <w:next w:val="1"/>
    <w:link w:val="349"/>
    <w:qFormat/>
    <w:uiPriority w:val="0"/>
    <w:pPr>
      <w:widowControl/>
      <w:spacing w:before="200" w:line="276" w:lineRule="auto"/>
      <w:ind w:left="360" w:right="360"/>
      <w:jc w:val="left"/>
    </w:pPr>
    <w:rPr>
      <w:rFonts w:ascii="Calibri" w:hAnsi="Calibri"/>
      <w:i/>
      <w:iCs/>
      <w:sz w:val="22"/>
      <w:szCs w:val="22"/>
      <w:lang w:eastAsia="en-US" w:bidi="en-US"/>
    </w:rPr>
  </w:style>
  <w:style w:type="character" w:customStyle="1" w:styleId="351">
    <w:name w:val="标准小四 Char Char"/>
    <w:link w:val="1"/>
    <w:qFormat/>
    <w:uiPriority w:val="0"/>
    <w:rPr>
      <w:rFonts w:ascii="Arial" w:hAnsi="Arial" w:eastAsia="宋体"/>
      <w:sz w:val="24"/>
      <w:szCs w:val="21"/>
      <w:lang w:val="en-US" w:eastAsia="zh-CN" w:bidi="ar-SA"/>
    </w:rPr>
  </w:style>
  <w:style w:type="character" w:customStyle="1" w:styleId="352">
    <w:name w:val="3zw"/>
    <w:link w:val="1"/>
    <w:qFormat/>
    <w:uiPriority w:val="0"/>
  </w:style>
  <w:style w:type="character" w:customStyle="1" w:styleId="353">
    <w:name w:val="listbenefit"/>
    <w:link w:val="1"/>
    <w:qFormat/>
    <w:uiPriority w:val="0"/>
  </w:style>
  <w:style w:type="character" w:customStyle="1" w:styleId="354">
    <w:name w:val="特点 Char1"/>
    <w:link w:val="1"/>
    <w:qFormat/>
    <w:uiPriority w:val="0"/>
    <w:rPr>
      <w:rFonts w:eastAsia="宋体"/>
      <w:sz w:val="21"/>
      <w:lang w:val="en-US" w:eastAsia="zh-CN" w:bidi="ar-SA"/>
    </w:rPr>
  </w:style>
  <w:style w:type="character" w:customStyle="1" w:styleId="355">
    <w:name w:val="Char Char20"/>
    <w:link w:val="1"/>
    <w:qFormat/>
    <w:uiPriority w:val="0"/>
    <w:rPr>
      <w:rFonts w:ascii="Arial" w:hAnsi="Arial" w:eastAsia="黑体"/>
      <w:sz w:val="21"/>
      <w:szCs w:val="21"/>
    </w:rPr>
  </w:style>
  <w:style w:type="character" w:customStyle="1" w:styleId="356">
    <w:name w:val="标准小四 Char"/>
    <w:link w:val="1"/>
    <w:qFormat/>
    <w:uiPriority w:val="0"/>
    <w:rPr>
      <w:rFonts w:ascii="Arial" w:hAnsi="Arial" w:eastAsia="宋体"/>
      <w:sz w:val="24"/>
      <w:szCs w:val="21"/>
      <w:lang w:val="en-US" w:eastAsia="zh-CN" w:bidi="ar-SA"/>
    </w:rPr>
  </w:style>
  <w:style w:type="character" w:customStyle="1" w:styleId="357">
    <w:name w:val="111111 Char"/>
    <w:link w:val="358"/>
    <w:qFormat/>
    <w:uiPriority w:val="0"/>
    <w:rPr>
      <w:rFonts w:ascii="宋体" w:hAnsi="宋体" w:eastAsia="黑体" w:cs="宋体"/>
      <w:b/>
      <w:bCs/>
      <w:sz w:val="21"/>
      <w:szCs w:val="21"/>
      <w:lang w:val="en-US" w:eastAsia="zh-CN" w:bidi="ar-SA"/>
    </w:rPr>
  </w:style>
  <w:style w:type="paragraph" w:customStyle="1" w:styleId="358">
    <w:name w:val="111111"/>
    <w:basedOn w:val="1"/>
    <w:link w:val="357"/>
    <w:qFormat/>
    <w:uiPriority w:val="0"/>
    <w:pPr>
      <w:spacing w:before="120" w:after="120"/>
      <w:jc w:val="center"/>
    </w:pPr>
    <w:rPr>
      <w:rFonts w:ascii="宋体" w:hAnsi="宋体" w:eastAsia="黑体" w:cs="宋体"/>
      <w:b/>
      <w:bCs/>
      <w:szCs w:val="21"/>
    </w:rPr>
  </w:style>
  <w:style w:type="character" w:customStyle="1" w:styleId="359">
    <w:name w:val="明显引用 字符"/>
    <w:link w:val="360"/>
    <w:qFormat/>
    <w:uiPriority w:val="0"/>
    <w:rPr>
      <w:rFonts w:ascii="Calibri" w:hAnsi="Calibri" w:eastAsia="宋体"/>
      <w:b/>
      <w:bCs/>
      <w:i/>
      <w:iCs/>
      <w:sz w:val="22"/>
      <w:szCs w:val="22"/>
      <w:lang w:val="en-US" w:eastAsia="en-US" w:bidi="en-US"/>
    </w:rPr>
  </w:style>
  <w:style w:type="paragraph" w:customStyle="1" w:styleId="360">
    <w:name w:val="明显引用"/>
    <w:basedOn w:val="1"/>
    <w:next w:val="1"/>
    <w:link w:val="359"/>
    <w:qFormat/>
    <w:uiPriority w:val="0"/>
    <w:pPr>
      <w:widowControl/>
      <w:pBdr>
        <w:bottom w:val="single" w:color="000000" w:sz="4" w:space="1"/>
      </w:pBdr>
      <w:spacing w:before="200" w:after="280" w:line="276" w:lineRule="auto"/>
      <w:ind w:left="1008" w:right="1152"/>
    </w:pPr>
    <w:rPr>
      <w:rFonts w:ascii="Calibri" w:hAnsi="Calibri"/>
      <w:b/>
      <w:bCs/>
      <w:i/>
      <w:iCs/>
      <w:sz w:val="22"/>
      <w:szCs w:val="22"/>
      <w:lang w:eastAsia="en-US" w:bidi="en-US"/>
    </w:rPr>
  </w:style>
  <w:style w:type="character" w:customStyle="1" w:styleId="361">
    <w:name w:val="content"/>
    <w:link w:val="1"/>
    <w:qFormat/>
    <w:uiPriority w:val="0"/>
  </w:style>
  <w:style w:type="character" w:customStyle="1" w:styleId="362">
    <w:name w:val="标题 3 Char"/>
    <w:link w:val="1"/>
    <w:qFormat/>
    <w:uiPriority w:val="0"/>
    <w:rPr>
      <w:rFonts w:ascii="宋体" w:hAnsi="宋体" w:eastAsia="宋体"/>
      <w:b/>
      <w:bCs/>
      <w:sz w:val="24"/>
      <w:szCs w:val="32"/>
      <w:lang w:val="en-US" w:eastAsia="zh-CN" w:bidi="ar-SA"/>
    </w:rPr>
  </w:style>
  <w:style w:type="character" w:customStyle="1" w:styleId="363">
    <w:name w:val="point_normal1"/>
    <w:link w:val="1"/>
    <w:qFormat/>
    <w:uiPriority w:val="0"/>
    <w:rPr>
      <w:rFonts w:ascii="Arial" w:hAnsi="Arial" w:cs="Arial"/>
      <w:sz w:val="18"/>
      <w:szCs w:val="18"/>
    </w:rPr>
  </w:style>
  <w:style w:type="character" w:customStyle="1" w:styleId="364">
    <w:name w:val="正文缩进 Char1"/>
    <w:link w:val="365"/>
    <w:qFormat/>
    <w:uiPriority w:val="0"/>
    <w:rPr>
      <w:rFonts w:eastAsia="宋体"/>
      <w:lang w:bidi="ar-SA"/>
    </w:rPr>
  </w:style>
  <w:style w:type="paragraph" w:customStyle="1" w:styleId="365">
    <w:name w:val="正文缩进1"/>
    <w:basedOn w:val="1"/>
    <w:link w:val="364"/>
    <w:qFormat/>
    <w:uiPriority w:val="0"/>
    <w:pPr>
      <w:ind w:firstLine="420"/>
    </w:pPr>
    <w:rPr>
      <w:sz w:val="20"/>
    </w:rPr>
  </w:style>
  <w:style w:type="character" w:customStyle="1" w:styleId="366">
    <w:name w:val="不明显强调1"/>
    <w:link w:val="1"/>
    <w:qFormat/>
    <w:uiPriority w:val="0"/>
    <w:rPr>
      <w:i/>
      <w:iCs/>
    </w:rPr>
  </w:style>
  <w:style w:type="character" w:customStyle="1" w:styleId="367">
    <w:name w:val="样式 首行缩进:  2 字符 Char"/>
    <w:link w:val="1"/>
    <w:qFormat/>
    <w:uiPriority w:val="0"/>
    <w:rPr>
      <w:rFonts w:eastAsia="宋体" w:cs="宋体"/>
      <w:sz w:val="24"/>
      <w:lang w:val="en-US" w:eastAsia="zh-CN" w:bidi="ar-SA"/>
    </w:rPr>
  </w:style>
  <w:style w:type="character" w:customStyle="1" w:styleId="368">
    <w:name w:val="标题 3 Char Char Char Char Char Char Char Char Char Char Char Char Char Char Char Char Char Char Char Char Char Char Char Char Char Char Char Char Char Char Char Char Char Char Char Char Char Char Char Char Char Char Char Char Char Char Char Char Cha Char"/>
    <w:link w:val="1"/>
    <w:qFormat/>
    <w:uiPriority w:val="0"/>
    <w:rPr>
      <w:rFonts w:eastAsia="宋体"/>
      <w:b/>
      <w:bCs/>
      <w:sz w:val="32"/>
      <w:szCs w:val="32"/>
      <w:lang w:val="en-US" w:eastAsia="zh-CN" w:bidi="ar-SA"/>
    </w:rPr>
  </w:style>
  <w:style w:type="paragraph" w:customStyle="1" w:styleId="369">
    <w:name w:val="样式4 Char"/>
    <w:basedOn w:val="1"/>
    <w:qFormat/>
    <w:uiPriority w:val="0"/>
    <w:pPr>
      <w:widowControl/>
      <w:spacing w:line="360" w:lineRule="auto"/>
      <w:ind w:firstLine="480"/>
      <w:jc w:val="left"/>
    </w:pPr>
    <w:rPr>
      <w:rFonts w:cs="宋体"/>
      <w:color w:val="000000"/>
      <w:sz w:val="24"/>
      <w:szCs w:val="24"/>
    </w:rPr>
  </w:style>
  <w:style w:type="paragraph" w:customStyle="1" w:styleId="370">
    <w:name w:val="论文正文"/>
    <w:basedOn w:val="237"/>
    <w:qFormat/>
    <w:uiPriority w:val="0"/>
    <w:pPr>
      <w:spacing w:line="360" w:lineRule="auto"/>
      <w:ind w:left="0" w:firstLine="200"/>
      <w:jc w:val="left"/>
    </w:pPr>
    <w:rPr>
      <w:rFonts w:ascii="Times New Roman" w:hAnsi="Times New Roman"/>
      <w:sz w:val="28"/>
      <w:szCs w:val="24"/>
    </w:rPr>
  </w:style>
  <w:style w:type="paragraph" w:customStyle="1" w:styleId="371">
    <w:name w:val="font7"/>
    <w:basedOn w:val="1"/>
    <w:qFormat/>
    <w:uiPriority w:val="0"/>
    <w:pPr>
      <w:widowControl/>
      <w:spacing w:before="100" w:beforeAutospacing="1" w:after="100" w:afterAutospacing="1"/>
      <w:jc w:val="left"/>
    </w:pPr>
    <w:rPr>
      <w:rFonts w:hint="eastAsia" w:ascii="宋体" w:hAnsi="宋体"/>
      <w:b/>
      <w:bCs/>
      <w:sz w:val="24"/>
      <w:szCs w:val="24"/>
    </w:rPr>
  </w:style>
  <w:style w:type="paragraph" w:customStyle="1" w:styleId="372">
    <w:name w:val="大标题"/>
    <w:basedOn w:val="1"/>
    <w:next w:val="1"/>
    <w:qFormat/>
    <w:uiPriority w:val="0"/>
    <w:pPr>
      <w:pageBreakBefore/>
      <w:tabs>
        <w:tab w:val="left" w:pos="420"/>
      </w:tabs>
      <w:spacing w:line="360" w:lineRule="auto"/>
      <w:ind w:hanging="420"/>
      <w:outlineLvl w:val="0"/>
    </w:pPr>
    <w:rPr>
      <w:b/>
      <w:iCs/>
      <w:sz w:val="44"/>
      <w:szCs w:val="24"/>
    </w:rPr>
  </w:style>
  <w:style w:type="paragraph" w:customStyle="1" w:styleId="373">
    <w:name w:val="标题3，章节第三层"/>
    <w:basedOn w:val="1"/>
    <w:next w:val="374"/>
    <w:qFormat/>
    <w:uiPriority w:val="0"/>
    <w:pPr>
      <w:spacing w:before="78" w:line="300" w:lineRule="auto"/>
      <w:outlineLvl w:val="2"/>
    </w:pPr>
    <w:rPr>
      <w:rFonts w:ascii="Arial" w:hAnsi="Arial" w:eastAsia="华文细黑"/>
      <w:sz w:val="30"/>
      <w:szCs w:val="24"/>
    </w:rPr>
  </w:style>
  <w:style w:type="paragraph" w:customStyle="1" w:styleId="374">
    <w:name w:val="正文格式"/>
    <w:basedOn w:val="1"/>
    <w:qFormat/>
    <w:uiPriority w:val="0"/>
    <w:pPr>
      <w:widowControl/>
      <w:spacing w:line="360" w:lineRule="auto"/>
      <w:ind w:left="178" w:right="44" w:hanging="178"/>
      <w:jc w:val="left"/>
    </w:pPr>
    <w:rPr>
      <w:rFonts w:ascii="宋体" w:hAnsi="宋体"/>
      <w:bCs/>
      <w:szCs w:val="21"/>
    </w:rPr>
  </w:style>
  <w:style w:type="paragraph" w:customStyle="1" w:styleId="375">
    <w:name w:val="xl58"/>
    <w:basedOn w:val="1"/>
    <w:qFormat/>
    <w:uiPriority w:val="0"/>
    <w:pPr>
      <w:widowControl/>
      <w:pBdr>
        <w:left w:val="single" w:color="000000" w:sz="4" w:space="0"/>
        <w:right w:val="single" w:color="000000" w:sz="4" w:space="0"/>
      </w:pBdr>
      <w:spacing w:before="100" w:beforeAutospacing="1" w:after="100" w:afterAutospacing="1"/>
      <w:jc w:val="center"/>
    </w:pPr>
    <w:rPr>
      <w:b/>
      <w:bCs/>
      <w:i/>
      <w:iCs/>
      <w:sz w:val="20"/>
    </w:rPr>
  </w:style>
  <w:style w:type="paragraph" w:customStyle="1" w:styleId="376">
    <w:name w:val="font6"/>
    <w:basedOn w:val="1"/>
    <w:qFormat/>
    <w:uiPriority w:val="0"/>
    <w:pPr>
      <w:widowControl/>
      <w:spacing w:before="100" w:beforeAutospacing="1" w:after="100" w:afterAutospacing="1"/>
      <w:jc w:val="left"/>
    </w:pPr>
    <w:rPr>
      <w:rFonts w:ascii="宋体" w:hAnsi="宋体" w:cs="宋体"/>
      <w:b/>
      <w:bCs/>
      <w:sz w:val="20"/>
    </w:rPr>
  </w:style>
  <w:style w:type="paragraph" w:customStyle="1" w:styleId="377">
    <w:name w:val="小四 段落 宋体 Char Char Char Char"/>
    <w:basedOn w:val="1"/>
    <w:qFormat/>
    <w:uiPriority w:val="0"/>
    <w:pPr>
      <w:spacing w:line="360" w:lineRule="auto"/>
      <w:ind w:right="-33" w:firstLine="480"/>
      <w:jc w:val="left"/>
    </w:pPr>
    <w:rPr>
      <w:sz w:val="24"/>
      <w:szCs w:val="24"/>
    </w:rPr>
  </w:style>
  <w:style w:type="paragraph" w:customStyle="1" w:styleId="378">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379">
    <w:name w:val="font13"/>
    <w:basedOn w:val="1"/>
    <w:qFormat/>
    <w:uiPriority w:val="0"/>
    <w:pPr>
      <w:widowControl/>
      <w:spacing w:before="100" w:beforeAutospacing="1" w:after="100" w:afterAutospacing="1"/>
      <w:jc w:val="left"/>
    </w:pPr>
    <w:rPr>
      <w:i/>
      <w:iCs/>
      <w:sz w:val="36"/>
      <w:szCs w:val="36"/>
    </w:rPr>
  </w:style>
  <w:style w:type="paragraph" w:customStyle="1" w:styleId="380">
    <w:name w:val="标准小四"/>
    <w:basedOn w:val="1"/>
    <w:qFormat/>
    <w:uiPriority w:val="0"/>
    <w:pPr>
      <w:spacing w:line="360" w:lineRule="auto"/>
      <w:ind w:firstLine="480"/>
    </w:pPr>
    <w:rPr>
      <w:rFonts w:ascii="Arial" w:hAnsi="Arial"/>
      <w:sz w:val="24"/>
      <w:szCs w:val="21"/>
    </w:rPr>
  </w:style>
  <w:style w:type="paragraph" w:customStyle="1" w:styleId="381">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382">
    <w:name w:val="符号与编号 Char"/>
    <w:basedOn w:val="1"/>
    <w:qFormat/>
    <w:uiPriority w:val="0"/>
    <w:pPr>
      <w:tabs>
        <w:tab w:val="left" w:pos="720"/>
      </w:tabs>
      <w:spacing w:line="400" w:lineRule="atLeast"/>
      <w:ind w:left="720"/>
    </w:pPr>
    <w:rPr>
      <w:sz w:val="24"/>
      <w:szCs w:val="24"/>
    </w:rPr>
  </w:style>
  <w:style w:type="paragraph" w:customStyle="1" w:styleId="383">
    <w:name w:val="Char2 Char Char Char Char Char Char1"/>
    <w:basedOn w:val="1"/>
    <w:qFormat/>
    <w:uiPriority w:val="0"/>
    <w:pPr>
      <w:keepNext/>
      <w:widowControl/>
      <w:tabs>
        <w:tab w:val="left" w:pos="425"/>
      </w:tabs>
      <w:spacing w:before="80" w:after="80"/>
      <w:ind w:hanging="425"/>
    </w:pPr>
    <w:rPr>
      <w:rFonts w:ascii="Arial" w:hAnsi="Arial" w:cs="Arial"/>
      <w:sz w:val="20"/>
    </w:rPr>
  </w:style>
  <w:style w:type="paragraph" w:customStyle="1" w:styleId="384">
    <w:name w:val="正文1"/>
    <w:basedOn w:val="1"/>
    <w:next w:val="1"/>
    <w:qFormat/>
    <w:uiPriority w:val="0"/>
    <w:rPr>
      <w:rFonts w:ascii="Calibri" w:hAnsi="Calibri" w:eastAsia="Calibri" w:cs="宋体"/>
      <w:lang w:val="zh-CN"/>
    </w:rPr>
  </w:style>
  <w:style w:type="paragraph" w:customStyle="1" w:styleId="385">
    <w:name w:val="马刚标题1"/>
    <w:basedOn w:val="189"/>
    <w:next w:val="1"/>
    <w:qFormat/>
    <w:uiPriority w:val="0"/>
    <w:pPr>
      <w:keepLines/>
      <w:tabs>
        <w:tab w:val="left" w:pos="315"/>
        <w:tab w:val="left" w:pos="567"/>
      </w:tabs>
      <w:spacing w:line="576" w:lineRule="auto"/>
      <w:ind w:left="567" w:hanging="567"/>
      <w:jc w:val="left"/>
    </w:pPr>
    <w:rPr>
      <w:rFonts w:ascii="Times New Roman"/>
      <w:b w:val="0"/>
      <w:sz w:val="32"/>
      <w:szCs w:val="20"/>
    </w:rPr>
  </w:style>
  <w:style w:type="paragraph" w:customStyle="1" w:styleId="386">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387">
    <w:name w:val="公文正文"/>
    <w:basedOn w:val="225"/>
    <w:qFormat/>
    <w:uiPriority w:val="0"/>
    <w:pPr>
      <w:ind w:firstLine="200"/>
    </w:pPr>
    <w:rPr>
      <w:rFonts w:ascii="仿宋_GB2312" w:hAnsi="宋体" w:eastAsia="仿宋_GB2312"/>
      <w:sz w:val="28"/>
      <w:szCs w:val="24"/>
    </w:rPr>
  </w:style>
  <w:style w:type="paragraph" w:customStyle="1" w:styleId="388">
    <w:name w:val="Pa6"/>
    <w:basedOn w:val="1"/>
    <w:next w:val="1"/>
    <w:qFormat/>
    <w:uiPriority w:val="0"/>
    <w:pPr>
      <w:spacing w:line="241" w:lineRule="atLeast"/>
      <w:jc w:val="left"/>
    </w:pPr>
    <w:rPr>
      <w:rFonts w:ascii="HYDaHeiJ" w:eastAsia="HYDaHeiJ"/>
      <w:sz w:val="24"/>
      <w:szCs w:val="24"/>
    </w:rPr>
  </w:style>
  <w:style w:type="paragraph" w:customStyle="1" w:styleId="389">
    <w:name w:val="正文 居中"/>
    <w:basedOn w:val="1"/>
    <w:qFormat/>
    <w:uiPriority w:val="0"/>
    <w:pPr>
      <w:spacing w:line="360" w:lineRule="auto"/>
      <w:jc w:val="center"/>
    </w:pPr>
    <w:rPr>
      <w:sz w:val="24"/>
    </w:rPr>
  </w:style>
  <w:style w:type="paragraph" w:customStyle="1" w:styleId="390">
    <w:name w:val="样式 标题 2第一章 标题 2Heading 2 HiddenHeading 2 CCBSheading 2H2h2..."/>
    <w:basedOn w:val="190"/>
    <w:qFormat/>
    <w:uiPriority w:val="0"/>
    <w:pPr>
      <w:keepLines w:val="0"/>
      <w:tabs>
        <w:tab w:val="left" w:pos="360"/>
      </w:tabs>
      <w:ind w:left="360" w:hanging="360"/>
      <w:jc w:val="center"/>
    </w:pPr>
    <w:rPr>
      <w:rFonts w:ascii="黑体" w:hAnsi="Times New Roman" w:eastAsia="黑体" w:cs="宋体"/>
      <w:b w:val="0"/>
      <w:sz w:val="32"/>
      <w:szCs w:val="20"/>
    </w:rPr>
  </w:style>
  <w:style w:type="paragraph" w:customStyle="1" w:styleId="391">
    <w:name w:val="样式 加点正文 + 段前: 0.5 行 段后: 0.5 行1"/>
    <w:basedOn w:val="1"/>
    <w:qFormat/>
    <w:uiPriority w:val="0"/>
    <w:pPr>
      <w:numPr>
        <w:ilvl w:val="0"/>
        <w:numId w:val="1"/>
      </w:numPr>
      <w:tabs>
        <w:tab w:val="left" w:pos="1268"/>
      </w:tabs>
      <w:spacing w:line="300" w:lineRule="auto"/>
      <w:ind w:left="1268"/>
    </w:pPr>
    <w:rPr>
      <w:sz w:val="24"/>
    </w:rPr>
  </w:style>
  <w:style w:type="paragraph" w:customStyle="1" w:styleId="392">
    <w:name w:val="项目符号，二级"/>
    <w:basedOn w:val="374"/>
    <w:next w:val="374"/>
    <w:qFormat/>
    <w:uiPriority w:val="0"/>
    <w:pPr>
      <w:numPr>
        <w:ilvl w:val="0"/>
        <w:numId w:val="2"/>
      </w:numPr>
      <w:tabs>
        <w:tab w:val="left" w:pos="1211"/>
        <w:tab w:val="left" w:pos="1337"/>
      </w:tabs>
      <w:ind w:left="1337" w:right="-27" w:firstLine="480"/>
    </w:pPr>
    <w:rPr>
      <w:bCs w:val="0"/>
      <w:color w:val="000000"/>
      <w:sz w:val="24"/>
      <w:szCs w:val="24"/>
    </w:rPr>
  </w:style>
  <w:style w:type="paragraph" w:customStyle="1" w:styleId="393">
    <w:name w:val="列出段落11"/>
    <w:basedOn w:val="1"/>
    <w:qFormat/>
    <w:uiPriority w:val="0"/>
    <w:pPr>
      <w:widowControl/>
      <w:ind w:left="720"/>
      <w:contextualSpacing/>
      <w:jc w:val="left"/>
    </w:pPr>
    <w:rPr>
      <w:rFonts w:ascii="Arial" w:hAnsi="Arial" w:eastAsia="黑体"/>
      <w:sz w:val="24"/>
      <w:szCs w:val="24"/>
      <w:lang w:eastAsia="en-US"/>
    </w:rPr>
  </w:style>
  <w:style w:type="paragraph" w:customStyle="1" w:styleId="394">
    <w:name w:val="Char Char Char Char Char Char Char Char Char Char Char Char Char1"/>
    <w:basedOn w:val="217"/>
    <w:qFormat/>
    <w:uiPriority w:val="0"/>
    <w:rPr>
      <w:rFonts w:ascii="Tahoma" w:hAnsi="Tahoma"/>
      <w:sz w:val="24"/>
      <w:szCs w:val="24"/>
    </w:rPr>
  </w:style>
  <w:style w:type="paragraph" w:customStyle="1" w:styleId="395">
    <w:name w:val="Char Char Char Char Char Char Char1"/>
    <w:basedOn w:val="1"/>
    <w:qFormat/>
    <w:uiPriority w:val="0"/>
    <w:pPr>
      <w:jc w:val="left"/>
    </w:pPr>
    <w:rPr>
      <w:rFonts w:ascii="Tahoma" w:hAnsi="Tahoma"/>
      <w:sz w:val="24"/>
    </w:rPr>
  </w:style>
  <w:style w:type="paragraph" w:customStyle="1" w:styleId="396">
    <w:name w:val="正文文本缩进1"/>
    <w:basedOn w:val="1"/>
    <w:qFormat/>
    <w:uiPriority w:val="0"/>
    <w:pPr>
      <w:spacing w:after="120"/>
      <w:ind w:left="420"/>
    </w:pPr>
    <w:rPr>
      <w:szCs w:val="24"/>
    </w:rPr>
  </w:style>
  <w:style w:type="paragraph" w:customStyle="1" w:styleId="39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98">
    <w:name w:val="丁华正文"/>
    <w:basedOn w:val="253"/>
    <w:qFormat/>
    <w:uiPriority w:val="0"/>
    <w:pPr>
      <w:spacing w:line="360" w:lineRule="auto"/>
      <w:ind w:left="0" w:firstLine="510"/>
    </w:pPr>
    <w:rPr>
      <w:rFonts w:ascii="Times New Roman" w:hAnsi="Times New Roman" w:eastAsia="宋体"/>
      <w:color w:val="000000"/>
      <w:sz w:val="24"/>
      <w:szCs w:val="16"/>
    </w:rPr>
  </w:style>
  <w:style w:type="paragraph" w:customStyle="1" w:styleId="399">
    <w:name w:val="纯文本1"/>
    <w:basedOn w:val="1"/>
    <w:qFormat/>
    <w:uiPriority w:val="0"/>
    <w:rPr>
      <w:rFonts w:ascii="宋体" w:hAnsi="宋体" w:eastAsia="楷体_GB2312" w:cs="宋体"/>
      <w:sz w:val="28"/>
    </w:rPr>
  </w:style>
  <w:style w:type="paragraph" w:customStyle="1" w:styleId="400">
    <w:name w:val="Char1 Char Char Char1"/>
    <w:basedOn w:val="1"/>
    <w:qFormat/>
    <w:uiPriority w:val="0"/>
    <w:rPr>
      <w:rFonts w:ascii="Tahoma" w:hAnsi="Tahoma" w:cs="Tahoma"/>
      <w:sz w:val="24"/>
    </w:rPr>
  </w:style>
  <w:style w:type="paragraph" w:customStyle="1" w:styleId="401">
    <w:name w:val="Char12"/>
    <w:basedOn w:val="1"/>
    <w:qFormat/>
    <w:uiPriority w:val="0"/>
    <w:pPr>
      <w:widowControl/>
      <w:spacing w:after="160" w:line="240" w:lineRule="exact"/>
      <w:jc w:val="left"/>
    </w:pPr>
    <w:rPr>
      <w:rFonts w:ascii="Verdana" w:hAnsi="Verdana" w:eastAsia="仿宋_GB2312"/>
      <w:sz w:val="24"/>
      <w:lang w:eastAsia="en-US"/>
    </w:rPr>
  </w:style>
  <w:style w:type="paragraph" w:customStyle="1" w:styleId="402">
    <w:name w:val="Char Char Char Char1"/>
    <w:basedOn w:val="217"/>
    <w:qFormat/>
    <w:uiPriority w:val="0"/>
    <w:pPr>
      <w:spacing w:line="360" w:lineRule="auto"/>
    </w:pPr>
    <w:rPr>
      <w:rFonts w:ascii="Tahoma" w:hAnsi="Tahoma"/>
      <w:sz w:val="24"/>
      <w:szCs w:val="24"/>
    </w:rPr>
  </w:style>
  <w:style w:type="paragraph" w:customStyle="1" w:styleId="403">
    <w:name w:val="正文--表格内正文"/>
    <w:basedOn w:val="1"/>
    <w:qFormat/>
    <w:uiPriority w:val="0"/>
    <w:pPr>
      <w:spacing w:line="0" w:lineRule="atLeast"/>
      <w:jc w:val="center"/>
    </w:pPr>
    <w:rPr>
      <w:rFonts w:ascii="宋体" w:hAnsi="宋体"/>
      <w:color w:val="000000"/>
      <w:sz w:val="24"/>
      <w:szCs w:val="24"/>
    </w:rPr>
  </w:style>
  <w:style w:type="paragraph" w:customStyle="1" w:styleId="404">
    <w:name w:val="默认段落字体 Para Char Char Char Char Char Char Char Char Char1 Char Char Char Char Char Char Char"/>
    <w:basedOn w:val="217"/>
    <w:qFormat/>
    <w:uiPriority w:val="0"/>
  </w:style>
  <w:style w:type="paragraph" w:customStyle="1" w:styleId="405">
    <w:name w:val="a"/>
    <w:basedOn w:val="1"/>
    <w:qFormat/>
    <w:uiPriority w:val="0"/>
    <w:pPr>
      <w:widowControl/>
      <w:spacing w:before="100" w:beforeAutospacing="1" w:after="100" w:afterAutospacing="1"/>
    </w:pPr>
    <w:rPr>
      <w:rFonts w:ascii="宋体" w:hAnsi="宋体" w:cs="宋体"/>
      <w:sz w:val="24"/>
      <w:szCs w:val="24"/>
    </w:rPr>
  </w:style>
  <w:style w:type="paragraph" w:customStyle="1" w:styleId="406">
    <w:name w:val="小四 段落 宋体 Char Char"/>
    <w:basedOn w:val="1"/>
    <w:qFormat/>
    <w:uiPriority w:val="0"/>
    <w:pPr>
      <w:spacing w:line="360" w:lineRule="auto"/>
      <w:ind w:firstLine="480"/>
    </w:pPr>
    <w:rPr>
      <w:rFonts w:ascii="宋体" w:hAnsi="宋体"/>
      <w:sz w:val="24"/>
      <w:szCs w:val="24"/>
    </w:rPr>
  </w:style>
  <w:style w:type="paragraph" w:customStyle="1" w:styleId="407">
    <w:name w:val="条1"/>
    <w:basedOn w:val="1"/>
    <w:qFormat/>
    <w:uiPriority w:val="0"/>
    <w:pPr>
      <w:tabs>
        <w:tab w:val="left" w:pos="780"/>
      </w:tabs>
      <w:spacing w:before="156" w:line="360" w:lineRule="auto"/>
      <w:ind w:left="780" w:hanging="360"/>
    </w:pPr>
    <w:rPr>
      <w:rFonts w:eastAsia="黑体"/>
      <w:sz w:val="24"/>
    </w:rPr>
  </w:style>
  <w:style w:type="paragraph" w:customStyle="1" w:styleId="408">
    <w:name w:val="Char Char1 Char1"/>
    <w:basedOn w:val="1"/>
    <w:qFormat/>
    <w:uiPriority w:val="0"/>
    <w:pPr>
      <w:widowControl/>
      <w:spacing w:after="160" w:line="240" w:lineRule="exact"/>
      <w:jc w:val="left"/>
    </w:pPr>
    <w:rPr>
      <w:rFonts w:ascii="Verdana" w:hAnsi="Verdana"/>
      <w:sz w:val="20"/>
      <w:lang w:eastAsia="en-US"/>
    </w:rPr>
  </w:style>
  <w:style w:type="paragraph" w:customStyle="1" w:styleId="409">
    <w:name w:val="正文 + 宋体"/>
    <w:basedOn w:val="1"/>
    <w:qFormat/>
    <w:uiPriority w:val="0"/>
    <w:pPr>
      <w:spacing w:line="360" w:lineRule="auto"/>
      <w:ind w:firstLine="420"/>
    </w:pPr>
    <w:rPr>
      <w:szCs w:val="24"/>
    </w:rPr>
  </w:style>
  <w:style w:type="paragraph" w:customStyle="1" w:styleId="410">
    <w:name w:val="表格文字"/>
    <w:basedOn w:val="1"/>
    <w:qFormat/>
    <w:uiPriority w:val="0"/>
    <w:pPr>
      <w:spacing w:line="360" w:lineRule="auto"/>
      <w:ind w:firstLine="200"/>
      <w:jc w:val="left"/>
    </w:pPr>
    <w:rPr>
      <w:rFonts w:ascii="Arial" w:hAnsi="Arial"/>
      <w:sz w:val="24"/>
    </w:rPr>
  </w:style>
  <w:style w:type="paragraph" w:customStyle="1" w:styleId="411">
    <w:name w:val="样式 样式 首行缩进:  2 字符 + 行距: 1.5 倍行距"/>
    <w:basedOn w:val="1"/>
    <w:qFormat/>
    <w:uiPriority w:val="0"/>
    <w:pPr>
      <w:spacing w:line="360" w:lineRule="auto"/>
      <w:ind w:firstLine="470"/>
    </w:pPr>
    <w:rPr>
      <w:sz w:val="24"/>
    </w:rPr>
  </w:style>
  <w:style w:type="paragraph" w:customStyle="1" w:styleId="412">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413">
    <w:name w:val="xl45"/>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14">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415">
    <w:name w:val="Bullets L1"/>
    <w:basedOn w:val="1"/>
    <w:qFormat/>
    <w:uiPriority w:val="0"/>
    <w:pPr>
      <w:widowControl/>
      <w:numPr>
        <w:ilvl w:val="0"/>
        <w:numId w:val="3"/>
      </w:numPr>
      <w:spacing w:before="60" w:after="60"/>
      <w:jc w:val="left"/>
    </w:pPr>
    <w:rPr>
      <w:rFonts w:ascii="Arial" w:hAnsi="Arial"/>
      <w:sz w:val="20"/>
    </w:rPr>
  </w:style>
  <w:style w:type="paragraph" w:customStyle="1" w:styleId="416">
    <w:name w:val="tableau"/>
    <w:basedOn w:val="1"/>
    <w:qFormat/>
    <w:uiPriority w:val="0"/>
    <w:pPr>
      <w:widowControl/>
      <w:spacing w:before="20" w:after="20"/>
      <w:jc w:val="center"/>
    </w:pPr>
    <w:rPr>
      <w:rFonts w:ascii="Arial" w:hAnsi="Arial"/>
      <w:sz w:val="16"/>
      <w:lang w:val="en-GB" w:eastAsia="en-US"/>
    </w:rPr>
  </w:style>
  <w:style w:type="paragraph" w:customStyle="1" w:styleId="417">
    <w:name w:val="小四 段落 宋体 Char"/>
    <w:basedOn w:val="215"/>
    <w:qFormat/>
    <w:uiPriority w:val="0"/>
    <w:pPr>
      <w:tabs>
        <w:tab w:val="clear" w:pos="2952"/>
      </w:tabs>
      <w:ind w:left="0" w:right="-33" w:firstLine="600"/>
      <w:jc w:val="left"/>
    </w:pPr>
    <w:rPr>
      <w:rFonts w:ascii="仿宋_GB2312" w:eastAsia="仿宋_GB2312"/>
      <w:sz w:val="30"/>
      <w:szCs w:val="30"/>
    </w:rPr>
  </w:style>
  <w:style w:type="paragraph" w:customStyle="1" w:styleId="418">
    <w:name w:val="retrait3"/>
    <w:basedOn w:val="1"/>
    <w:qFormat/>
    <w:uiPriority w:val="0"/>
    <w:pPr>
      <w:widowControl/>
      <w:spacing w:before="20" w:after="20"/>
      <w:ind w:left="851"/>
      <w:jc w:val="left"/>
    </w:pPr>
    <w:rPr>
      <w:rFonts w:ascii="Arial" w:hAnsi="Arial"/>
      <w:sz w:val="24"/>
      <w:lang w:val="en-GB"/>
    </w:rPr>
  </w:style>
  <w:style w:type="paragraph" w:customStyle="1" w:styleId="419">
    <w:name w:val="Char Char Char Char Char Char Char Char Char Char Char Char Char Char"/>
    <w:basedOn w:val="1"/>
    <w:qFormat/>
    <w:uiPriority w:val="0"/>
    <w:rPr>
      <w:rFonts w:ascii="Tahoma" w:hAnsi="Tahoma"/>
      <w:sz w:val="24"/>
    </w:rPr>
  </w:style>
  <w:style w:type="paragraph" w:customStyle="1" w:styleId="420">
    <w:name w:val="font10"/>
    <w:basedOn w:val="1"/>
    <w:qFormat/>
    <w:uiPriority w:val="0"/>
    <w:pPr>
      <w:widowControl/>
      <w:spacing w:before="100" w:beforeAutospacing="1" w:after="100" w:afterAutospacing="1"/>
      <w:jc w:val="left"/>
    </w:pPr>
    <w:rPr>
      <w:rFonts w:ascii="楷体_GB2312" w:hAnsi="宋体" w:eastAsia="楷体_GB2312" w:cs="宋体"/>
      <w:b/>
      <w:bCs/>
      <w:sz w:val="18"/>
      <w:szCs w:val="18"/>
    </w:rPr>
  </w:style>
  <w:style w:type="paragraph" w:customStyle="1" w:styleId="421">
    <w:name w:val="content_lineheight"/>
    <w:basedOn w:val="1"/>
    <w:qFormat/>
    <w:uiPriority w:val="0"/>
    <w:pPr>
      <w:widowControl/>
      <w:spacing w:before="100" w:beforeAutospacing="1" w:after="100" w:afterAutospacing="1"/>
      <w:jc w:val="left"/>
    </w:pPr>
    <w:rPr>
      <w:rFonts w:ascii="宋体" w:hAnsi="宋体"/>
      <w:sz w:val="24"/>
      <w:szCs w:val="24"/>
    </w:rPr>
  </w:style>
  <w:style w:type="paragraph" w:customStyle="1" w:styleId="422">
    <w:name w:val="表蕊"/>
    <w:basedOn w:val="1"/>
    <w:qFormat/>
    <w:uiPriority w:val="0"/>
    <w:pPr>
      <w:spacing w:line="320" w:lineRule="atLeast"/>
      <w:jc w:val="left"/>
    </w:pPr>
    <w:rPr>
      <w:rFonts w:eastAsia="楷体_GB2312"/>
      <w:spacing w:val="-10"/>
    </w:rPr>
  </w:style>
  <w:style w:type="paragraph" w:customStyle="1" w:styleId="423">
    <w:name w:val="Body Text 21"/>
    <w:basedOn w:val="1"/>
    <w:qFormat/>
    <w:uiPriority w:val="0"/>
    <w:pPr>
      <w:widowControl/>
      <w:ind w:left="720" w:hanging="720"/>
    </w:pPr>
    <w:rPr>
      <w:sz w:val="24"/>
      <w:lang w:val="en-GB"/>
    </w:rPr>
  </w:style>
  <w:style w:type="paragraph" w:customStyle="1" w:styleId="42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425">
    <w:name w:val="Char Char Char Char Char Char Char Char Char Char Char Char Char Char Char Char Char Char Char Char Char1"/>
    <w:basedOn w:val="1"/>
    <w:qFormat/>
    <w:uiPriority w:val="0"/>
    <w:rPr>
      <w:rFonts w:ascii="Tahoma" w:hAnsi="Tahoma"/>
      <w:sz w:val="24"/>
    </w:rPr>
  </w:style>
  <w:style w:type="paragraph" w:customStyle="1" w:styleId="426">
    <w:name w:val="正文11"/>
    <w:basedOn w:val="1"/>
    <w:next w:val="427"/>
    <w:qFormat/>
    <w:uiPriority w:val="0"/>
    <w:pPr>
      <w:spacing w:before="156" w:line="360" w:lineRule="auto"/>
      <w:ind w:firstLine="510"/>
    </w:pPr>
    <w:rPr>
      <w:sz w:val="24"/>
    </w:rPr>
  </w:style>
  <w:style w:type="paragraph" w:customStyle="1" w:styleId="427">
    <w:name w:val="文档结构图1"/>
    <w:basedOn w:val="426"/>
    <w:qFormat/>
    <w:uiPriority w:val="0"/>
    <w:rPr>
      <w:rFonts w:ascii="宋体"/>
      <w:sz w:val="18"/>
      <w:szCs w:val="18"/>
    </w:rPr>
  </w:style>
  <w:style w:type="paragraph" w:customStyle="1" w:styleId="428">
    <w:name w:val="Char Char Char1"/>
    <w:basedOn w:val="217"/>
    <w:qFormat/>
    <w:uiPriority w:val="0"/>
    <w:pPr>
      <w:spacing w:line="436" w:lineRule="exact"/>
    </w:pPr>
    <w:rPr>
      <w:szCs w:val="24"/>
    </w:rPr>
  </w:style>
  <w:style w:type="paragraph" w:customStyle="1" w:styleId="429">
    <w:name w:val="xl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430">
    <w:name w:val="7"/>
    <w:basedOn w:val="1"/>
    <w:next w:val="263"/>
    <w:qFormat/>
    <w:uiPriority w:val="0"/>
    <w:pPr>
      <w:widowControl/>
      <w:spacing w:before="100" w:beforeAutospacing="1" w:after="100" w:afterAutospacing="1"/>
      <w:jc w:val="left"/>
    </w:pPr>
    <w:rPr>
      <w:rFonts w:ascii="宋体" w:hAnsi="宋体"/>
      <w:sz w:val="24"/>
    </w:rPr>
  </w:style>
  <w:style w:type="paragraph" w:customStyle="1" w:styleId="431">
    <w:name w:val="标准文本"/>
    <w:basedOn w:val="1"/>
    <w:qFormat/>
    <w:uiPriority w:val="0"/>
    <w:pPr>
      <w:spacing w:line="360" w:lineRule="auto"/>
      <w:ind w:firstLine="480"/>
    </w:pPr>
    <w:rPr>
      <w:rFonts w:cs="宋体"/>
      <w:sz w:val="24"/>
      <w:szCs w:val="24"/>
    </w:rPr>
  </w:style>
  <w:style w:type="paragraph" w:customStyle="1" w:styleId="432">
    <w:name w:val="章标题"/>
    <w:next w:val="433"/>
    <w:qFormat/>
    <w:uiPriority w:val="0"/>
    <w:pPr>
      <w:jc w:val="both"/>
      <w:outlineLvl w:val="1"/>
    </w:pPr>
    <w:rPr>
      <w:rFonts w:hint="default" w:ascii="Times New Roman" w:hAnsi="Times New Roman" w:eastAsia="黑体" w:cs="Times New Roman"/>
      <w:sz w:val="21"/>
      <w:lang w:val="en-US" w:eastAsia="zh-CN" w:bidi="ar-SA"/>
    </w:rPr>
  </w:style>
  <w:style w:type="paragraph" w:customStyle="1" w:styleId="433">
    <w:name w:val="段"/>
    <w:qFormat/>
    <w:uiPriority w:val="0"/>
    <w:pPr>
      <w:ind w:firstLine="200"/>
      <w:jc w:val="both"/>
    </w:pPr>
    <w:rPr>
      <w:rFonts w:hint="default" w:ascii="Times New Roman" w:hAnsi="Times New Roman" w:eastAsia="宋体" w:cs="Times New Roman"/>
      <w:sz w:val="21"/>
      <w:lang w:val="en-US" w:eastAsia="zh-CN" w:bidi="ar-SA"/>
    </w:rPr>
  </w:style>
  <w:style w:type="paragraph" w:customStyle="1" w:styleId="434">
    <w:name w:val="普通文字"/>
    <w:basedOn w:val="1"/>
    <w:next w:val="1"/>
    <w:qFormat/>
    <w:uiPriority w:val="0"/>
    <w:rPr>
      <w:rFonts w:ascii="宋体" w:hAnsi="宋体" w:cs="宋体"/>
      <w:sz w:val="24"/>
    </w:rPr>
  </w:style>
  <w:style w:type="paragraph" w:customStyle="1" w:styleId="435">
    <w:name w:val="font8"/>
    <w:basedOn w:val="1"/>
    <w:qFormat/>
    <w:uiPriority w:val="0"/>
    <w:pPr>
      <w:widowControl/>
      <w:spacing w:before="100" w:beforeAutospacing="1" w:after="100" w:afterAutospacing="1"/>
      <w:jc w:val="left"/>
    </w:pPr>
    <w:rPr>
      <w:rFonts w:ascii="宋体" w:hAnsi="宋体" w:cs="宋体"/>
      <w:b/>
      <w:bCs/>
      <w:i/>
      <w:iCs/>
      <w:sz w:val="20"/>
    </w:rPr>
  </w:style>
  <w:style w:type="paragraph" w:customStyle="1" w:styleId="436">
    <w:name w:val="正文表标题"/>
    <w:next w:val="433"/>
    <w:qFormat/>
    <w:uiPriority w:val="0"/>
    <w:pPr>
      <w:tabs>
        <w:tab w:val="left" w:pos="900"/>
      </w:tabs>
      <w:ind w:left="900" w:hanging="420"/>
      <w:jc w:val="center"/>
    </w:pPr>
    <w:rPr>
      <w:rFonts w:hint="default" w:ascii="黑体" w:hAnsi="Times New Roman" w:eastAsia="黑体" w:cs="Times New Roman"/>
      <w:sz w:val="21"/>
      <w:lang w:val="en-US" w:eastAsia="zh-CN" w:bidi="ar-SA"/>
    </w:rPr>
  </w:style>
  <w:style w:type="paragraph" w:customStyle="1" w:styleId="437">
    <w:name w:val="Char Char Char Char Char Char Char Char1"/>
    <w:basedOn w:val="1"/>
    <w:qFormat/>
    <w:uiPriority w:val="0"/>
    <w:rPr>
      <w:rFonts w:ascii="Tahoma" w:hAnsi="Tahoma" w:cs="Tahoma"/>
      <w:sz w:val="24"/>
    </w:rPr>
  </w:style>
  <w:style w:type="paragraph" w:customStyle="1" w:styleId="438">
    <w:name w:val="flName"/>
    <w:basedOn w:val="439"/>
    <w:qFormat/>
    <w:uiPriority w:val="0"/>
    <w:pPr>
      <w:spacing w:before="0" w:line="113" w:lineRule="atLeast"/>
    </w:pPr>
  </w:style>
  <w:style w:type="paragraph" w:customStyle="1" w:styleId="439">
    <w:name w:val="flNote"/>
    <w:basedOn w:val="1"/>
    <w:qFormat/>
    <w:uiPriority w:val="0"/>
    <w:pPr>
      <w:spacing w:before="567" w:line="360" w:lineRule="atLeast"/>
      <w:jc w:val="center"/>
    </w:pPr>
    <w:rPr>
      <w:rFonts w:eastAsia="黑体"/>
      <w:b/>
      <w:sz w:val="24"/>
    </w:rPr>
  </w:style>
  <w:style w:type="paragraph" w:customStyle="1" w:styleId="440">
    <w:name w:val="Char Char Char Char Char Char Char"/>
    <w:basedOn w:val="1"/>
    <w:qFormat/>
    <w:uiPriority w:val="0"/>
    <w:rPr>
      <w:rFonts w:ascii="Tahoma" w:hAnsi="Tahoma"/>
      <w:sz w:val="24"/>
    </w:rPr>
  </w:style>
  <w:style w:type="paragraph" w:customStyle="1" w:styleId="441">
    <w:name w:val="xl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42">
    <w:name w:val="表格1"/>
    <w:basedOn w:val="1"/>
    <w:qFormat/>
    <w:uiPriority w:val="0"/>
    <w:rPr>
      <w:rFonts w:ascii="宋体"/>
      <w:szCs w:val="21"/>
    </w:rPr>
  </w:style>
  <w:style w:type="paragraph" w:customStyle="1" w:styleId="443">
    <w:name w:val="样式2"/>
    <w:basedOn w:val="1"/>
    <w:qFormat/>
    <w:uiPriority w:val="0"/>
    <w:pPr>
      <w:spacing w:line="360" w:lineRule="auto"/>
      <w:ind w:left="200"/>
    </w:pPr>
    <w:rPr>
      <w:rFonts w:ascii="宋体" w:hAnsi="宋体"/>
      <w:b/>
      <w:sz w:val="24"/>
      <w:szCs w:val="24"/>
    </w:rPr>
  </w:style>
  <w:style w:type="paragraph" w:customStyle="1" w:styleId="444">
    <w:name w:val="我的正文"/>
    <w:basedOn w:val="1"/>
    <w:qFormat/>
    <w:uiPriority w:val="0"/>
    <w:pPr>
      <w:widowControl/>
      <w:spacing w:line="360" w:lineRule="auto"/>
      <w:ind w:firstLine="420"/>
      <w:jc w:val="left"/>
    </w:pPr>
    <w:rPr>
      <w:rFonts w:ascii="宋体" w:hAnsi="宋体" w:cs="宋体"/>
      <w:szCs w:val="21"/>
    </w:rPr>
  </w:style>
  <w:style w:type="paragraph" w:customStyle="1" w:styleId="445">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446">
    <w:name w:val="正文 New New New New New New New New New New New New New New"/>
    <w:qFormat/>
    <w:uiPriority w:val="0"/>
    <w:pPr>
      <w:widowControl w:val="0"/>
      <w:jc w:val="both"/>
    </w:pPr>
    <w:rPr>
      <w:rFonts w:hint="eastAsia" w:ascii="Calibri" w:hAnsi="Calibri" w:eastAsia="宋体" w:cs="Times New Roman"/>
      <w:sz w:val="21"/>
      <w:lang w:val="en-US" w:eastAsia="zh-CN" w:bidi="ar-SA"/>
    </w:rPr>
  </w:style>
  <w:style w:type="paragraph" w:customStyle="1" w:styleId="447">
    <w:name w:val="Char Char Char Char Char Char Char Char Char"/>
    <w:basedOn w:val="1"/>
    <w:qFormat/>
    <w:uiPriority w:val="0"/>
    <w:pPr>
      <w:tabs>
        <w:tab w:val="left" w:pos="360"/>
      </w:tabs>
      <w:ind w:left="360" w:hanging="360"/>
    </w:pPr>
    <w:rPr>
      <w:sz w:val="24"/>
      <w:szCs w:val="24"/>
    </w:rPr>
  </w:style>
  <w:style w:type="paragraph" w:customStyle="1" w:styleId="448">
    <w:name w:val="表格内文字"/>
    <w:basedOn w:val="1"/>
    <w:qFormat/>
    <w:uiPriority w:val="0"/>
    <w:pPr>
      <w:spacing w:line="300" w:lineRule="atLeast"/>
    </w:pPr>
    <w:rPr>
      <w:sz w:val="18"/>
      <w:szCs w:val="24"/>
    </w:rPr>
  </w:style>
  <w:style w:type="paragraph" w:customStyle="1" w:styleId="449">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50">
    <w:name w:val="列出段落"/>
    <w:basedOn w:val="1"/>
    <w:next w:val="1"/>
    <w:qFormat/>
    <w:uiPriority w:val="34"/>
    <w:pPr>
      <w:ind w:firstLine="420"/>
    </w:pPr>
    <w:rPr>
      <w:szCs w:val="24"/>
    </w:rPr>
  </w:style>
  <w:style w:type="paragraph" w:customStyle="1" w:styleId="451">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52">
    <w:name w:val="表格内容"/>
    <w:basedOn w:val="1"/>
    <w:qFormat/>
    <w:uiPriority w:val="0"/>
    <w:pPr>
      <w:widowControl/>
      <w:spacing w:before="60" w:line="300" w:lineRule="auto"/>
      <w:jc w:val="center"/>
    </w:pPr>
  </w:style>
  <w:style w:type="paragraph" w:customStyle="1" w:styleId="453">
    <w:name w:val="xl25"/>
    <w:basedOn w:val="1"/>
    <w:qFormat/>
    <w:uiPriority w:val="0"/>
    <w:pPr>
      <w:widowControl/>
      <w:pBdr>
        <w:right w:val="single" w:color="000000" w:sz="4" w:space="0"/>
      </w:pBdr>
      <w:spacing w:before="100" w:beforeAutospacing="1" w:after="100" w:afterAutospacing="1"/>
      <w:jc w:val="center"/>
    </w:pPr>
    <w:rPr>
      <w:szCs w:val="21"/>
    </w:rPr>
  </w:style>
  <w:style w:type="paragraph" w:customStyle="1" w:styleId="454">
    <w:name w:val="Char Char Char Char Char Char Char Char Char Char Char Char Char Char1"/>
    <w:basedOn w:val="1"/>
    <w:qFormat/>
    <w:uiPriority w:val="0"/>
    <w:rPr>
      <w:rFonts w:ascii="Tahoma" w:hAnsi="Tahoma" w:cs="Tahoma"/>
      <w:sz w:val="24"/>
    </w:rPr>
  </w:style>
  <w:style w:type="paragraph" w:customStyle="1" w:styleId="455">
    <w:name w:val="正文缩进2字符"/>
    <w:basedOn w:val="1"/>
    <w:qFormat/>
    <w:uiPriority w:val="0"/>
    <w:pPr>
      <w:spacing w:line="300" w:lineRule="auto"/>
      <w:ind w:firstLine="200"/>
    </w:pPr>
    <w:rPr>
      <w:rFonts w:ascii="仿宋_GB2312" w:eastAsia="仿宋_GB2312"/>
      <w:sz w:val="32"/>
      <w:szCs w:val="32"/>
    </w:rPr>
  </w:style>
  <w:style w:type="paragraph" w:customStyle="1" w:styleId="456">
    <w:name w:val="flType"/>
    <w:basedOn w:val="438"/>
    <w:qFormat/>
    <w:uiPriority w:val="0"/>
    <w:pPr>
      <w:spacing w:after="284"/>
    </w:pPr>
    <w:rPr>
      <w:rFonts w:eastAsia="宋体"/>
      <w:b w:val="0"/>
    </w:rPr>
  </w:style>
  <w:style w:type="paragraph" w:customStyle="1" w:styleId="457">
    <w:name w:val="Char Char Char"/>
    <w:basedOn w:val="1"/>
    <w:qFormat/>
    <w:uiPriority w:val="0"/>
    <w:rPr>
      <w:rFonts w:ascii="Tahoma" w:hAnsi="Tahoma"/>
      <w:sz w:val="24"/>
    </w:rPr>
  </w:style>
  <w:style w:type="paragraph" w:customStyle="1" w:styleId="458">
    <w:name w:val="xl52"/>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59">
    <w:name w:val="font9"/>
    <w:basedOn w:val="1"/>
    <w:qFormat/>
    <w:uiPriority w:val="0"/>
    <w:pPr>
      <w:widowControl/>
      <w:spacing w:before="100" w:beforeAutospacing="1" w:after="100" w:afterAutospacing="1"/>
      <w:jc w:val="left"/>
    </w:pPr>
    <w:rPr>
      <w:b/>
      <w:bCs/>
      <w:sz w:val="20"/>
    </w:rPr>
  </w:style>
  <w:style w:type="paragraph" w:customStyle="1" w:styleId="460">
    <w:name w:val="Char Char Char Char Char Char Char Char Char Char Char1 Char Char Char1"/>
    <w:basedOn w:val="1"/>
    <w:semiHidden/>
    <w:qFormat/>
    <w:uiPriority w:val="0"/>
    <w:pPr>
      <w:ind w:firstLine="200"/>
      <w:jc w:val="left"/>
    </w:pPr>
    <w:rPr>
      <w:rFonts w:ascii="Tahoma" w:hAnsi="Tahoma"/>
      <w:sz w:val="24"/>
      <w:szCs w:val="24"/>
    </w:rPr>
  </w:style>
  <w:style w:type="paragraph" w:customStyle="1" w:styleId="461">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462">
    <w:name w:val="丁华标题2"/>
    <w:basedOn w:val="190"/>
    <w:next w:val="398"/>
    <w:qFormat/>
    <w:uiPriority w:val="0"/>
    <w:pPr>
      <w:numPr>
        <w:ilvl w:val="1"/>
        <w:numId w:val="2"/>
      </w:numPr>
      <w:spacing w:line="415" w:lineRule="auto"/>
    </w:pPr>
    <w:rPr>
      <w:rFonts w:ascii="Arial" w:hAnsi="Arial" w:eastAsia="黑体"/>
      <w:b w:val="0"/>
      <w:sz w:val="28"/>
      <w:szCs w:val="20"/>
    </w:rPr>
  </w:style>
  <w:style w:type="paragraph" w:customStyle="1" w:styleId="463">
    <w:name w:val="Char Char Char Char Char Char Char Char Char Char Char Char Char Char Char Char Char Char Char Char Char Char Char"/>
    <w:basedOn w:val="1"/>
    <w:qFormat/>
    <w:uiPriority w:val="0"/>
    <w:rPr>
      <w:rFonts w:ascii="Tahoma" w:hAnsi="Tahoma"/>
      <w:sz w:val="24"/>
    </w:rPr>
  </w:style>
  <w:style w:type="paragraph" w:customStyle="1" w:styleId="464">
    <w:name w:val="样式 标题 3H3sect1.2.3BOD 0Heading 3 - oldh3l3CTLevel 3 Head..."/>
    <w:basedOn w:val="191"/>
    <w:qFormat/>
    <w:uiPriority w:val="0"/>
    <w:pPr>
      <w:jc w:val="left"/>
    </w:pPr>
    <w:rPr>
      <w:rFonts w:cs="宋体"/>
      <w:bCs/>
      <w:sz w:val="30"/>
    </w:rPr>
  </w:style>
  <w:style w:type="paragraph" w:customStyle="1" w:styleId="465">
    <w:name w:val="正文文本缩进 31"/>
    <w:basedOn w:val="1"/>
    <w:qFormat/>
    <w:uiPriority w:val="0"/>
    <w:pPr>
      <w:tabs>
        <w:tab w:val="left" w:pos="0"/>
      </w:tabs>
      <w:spacing w:line="360" w:lineRule="auto"/>
      <w:ind w:firstLine="504"/>
    </w:pPr>
    <w:rPr>
      <w:rFonts w:ascii="宋体"/>
      <w:b/>
      <w:bCs/>
      <w:sz w:val="24"/>
      <w:szCs w:val="24"/>
    </w:rPr>
  </w:style>
  <w:style w:type="paragraph" w:customStyle="1" w:styleId="466">
    <w:name w:val="Char11"/>
    <w:basedOn w:val="1"/>
    <w:qFormat/>
    <w:uiPriority w:val="0"/>
    <w:pPr>
      <w:spacing w:line="360" w:lineRule="auto"/>
    </w:pPr>
    <w:rPr>
      <w:rFonts w:ascii="Tahoma" w:hAnsi="Tahoma"/>
      <w:sz w:val="24"/>
    </w:rPr>
  </w:style>
  <w:style w:type="paragraph" w:customStyle="1" w:styleId="467">
    <w:name w:val="qw"/>
    <w:qFormat/>
    <w:uiPriority w:val="0"/>
    <w:pPr>
      <w:widowControl w:val="0"/>
      <w:spacing w:line="312" w:lineRule="atLeast"/>
      <w:jc w:val="both"/>
    </w:pPr>
    <w:rPr>
      <w:rFonts w:hint="default" w:ascii="Times New Roman" w:hAnsi="Times New Roman" w:eastAsia="宋体" w:cs="Times New Roman"/>
      <w:sz w:val="24"/>
      <w:lang w:val="en-US" w:eastAsia="zh-CN" w:bidi="ar-SA"/>
    </w:rPr>
  </w:style>
  <w:style w:type="paragraph" w:customStyle="1" w:styleId="468">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69">
    <w:name w:val="标题2，章节第二层"/>
    <w:basedOn w:val="1"/>
    <w:next w:val="374"/>
    <w:qFormat/>
    <w:uiPriority w:val="0"/>
    <w:pPr>
      <w:numPr>
        <w:ilvl w:val="4"/>
        <w:numId w:val="4"/>
      </w:numPr>
      <w:tabs>
        <w:tab w:val="left" w:pos="630"/>
        <w:tab w:val="left" w:pos="992"/>
      </w:tabs>
      <w:spacing w:line="300" w:lineRule="auto"/>
      <w:ind w:left="992" w:hanging="567"/>
      <w:outlineLvl w:val="1"/>
    </w:pPr>
    <w:rPr>
      <w:rFonts w:ascii="Arial" w:hAnsi="Arial" w:eastAsia="黑体"/>
      <w:sz w:val="32"/>
      <w:szCs w:val="24"/>
    </w:rPr>
  </w:style>
  <w:style w:type="paragraph" w:customStyle="1" w:styleId="470">
    <w:name w:val="xl51"/>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471">
    <w:name w:val="xl6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b/>
      <w:bCs/>
      <w:sz w:val="20"/>
    </w:rPr>
  </w:style>
  <w:style w:type="paragraph" w:customStyle="1" w:styleId="472">
    <w:name w:val="正文文本 22"/>
    <w:basedOn w:val="1"/>
    <w:qFormat/>
    <w:uiPriority w:val="0"/>
    <w:pPr>
      <w:widowControl/>
      <w:ind w:left="720" w:hanging="720"/>
    </w:pPr>
    <w:rPr>
      <w:sz w:val="24"/>
      <w:lang w:val="en-GB"/>
    </w:rPr>
  </w:style>
  <w:style w:type="paragraph" w:customStyle="1" w:styleId="473">
    <w:name w:val="正文文本 New New"/>
    <w:basedOn w:val="1"/>
    <w:qFormat/>
    <w:uiPriority w:val="0"/>
    <w:pPr>
      <w:widowControl/>
      <w:spacing w:before="60" w:after="60" w:line="360" w:lineRule="auto"/>
      <w:ind w:firstLine="200"/>
    </w:pPr>
    <w:rPr>
      <w:rFonts w:eastAsia="华文楷体"/>
      <w:sz w:val="24"/>
      <w:szCs w:val="24"/>
    </w:rPr>
  </w:style>
  <w:style w:type="paragraph" w:customStyle="1" w:styleId="474">
    <w:name w:val="Char"/>
    <w:basedOn w:val="1"/>
    <w:semiHidden/>
    <w:qFormat/>
    <w:uiPriority w:val="0"/>
    <w:rPr>
      <w:rFonts w:ascii="Tahoma" w:hAnsi="Tahoma" w:cs="仿宋_GB2312"/>
      <w:sz w:val="24"/>
      <w:szCs w:val="28"/>
    </w:rPr>
  </w:style>
  <w:style w:type="paragraph" w:customStyle="1" w:styleId="475">
    <w:name w:val="默认段落字体 Para Char"/>
    <w:basedOn w:val="1"/>
    <w:qFormat/>
    <w:uiPriority w:val="0"/>
    <w:rPr>
      <w:sz w:val="24"/>
      <w:szCs w:val="24"/>
    </w:rPr>
  </w:style>
  <w:style w:type="paragraph" w:customStyle="1" w:styleId="476">
    <w:name w:val="xl56"/>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sz w:val="20"/>
    </w:rPr>
  </w:style>
  <w:style w:type="paragraph" w:customStyle="1" w:styleId="477">
    <w:name w:val="表格"/>
    <w:basedOn w:val="1"/>
    <w:qFormat/>
    <w:uiPriority w:val="0"/>
    <w:pPr>
      <w:ind w:firstLine="21"/>
    </w:pPr>
    <w:rPr>
      <w:rFonts w:ascii="宋体" w:hAnsi="宋体" w:cs="宋体"/>
      <w:sz w:val="20"/>
    </w:rPr>
  </w:style>
  <w:style w:type="paragraph" w:customStyle="1" w:styleId="478">
    <w:name w:val="部分1"/>
    <w:basedOn w:val="1"/>
    <w:qFormat/>
    <w:uiPriority w:val="0"/>
    <w:pPr>
      <w:keepNext/>
      <w:pageBreakBefore/>
      <w:tabs>
        <w:tab w:val="left" w:pos="360"/>
      </w:tabs>
      <w:spacing w:line="360" w:lineRule="auto"/>
      <w:jc w:val="center"/>
      <w:outlineLvl w:val="0"/>
    </w:pPr>
    <w:rPr>
      <w:rFonts w:eastAsia="黑体"/>
      <w:b/>
      <w:sz w:val="36"/>
    </w:rPr>
  </w:style>
  <w:style w:type="paragraph" w:customStyle="1" w:styleId="479">
    <w:name w:val="样式 样式 标题 3H3sect1.2.3BOD 0Heading 3 - oldh3l3CTLevel 3 Head... +..."/>
    <w:basedOn w:val="1"/>
    <w:qFormat/>
    <w:uiPriority w:val="0"/>
    <w:pPr>
      <w:keepNext/>
      <w:keepLines/>
      <w:jc w:val="left"/>
      <w:outlineLvl w:val="2"/>
    </w:pPr>
    <w:rPr>
      <w:rFonts w:cs="宋体"/>
      <w:b/>
      <w:bCs/>
      <w:sz w:val="24"/>
    </w:rPr>
  </w:style>
  <w:style w:type="paragraph" w:customStyle="1" w:styleId="480">
    <w:name w:val="标题 4宋体"/>
    <w:basedOn w:val="193"/>
    <w:qFormat/>
    <w:uiPriority w:val="0"/>
    <w:pPr>
      <w:keepLines w:val="0"/>
      <w:spacing w:before="0" w:after="0" w:line="360" w:lineRule="auto"/>
      <w:jc w:val="left"/>
    </w:pPr>
    <w:rPr>
      <w:rFonts w:ascii="宋体" w:hAnsi="宋体" w:eastAsia="宋体"/>
      <w:bCs/>
      <w:color w:val="000000"/>
      <w:sz w:val="24"/>
    </w:rPr>
  </w:style>
  <w:style w:type="paragraph" w:customStyle="1" w:styleId="481">
    <w:name w:val="标题3"/>
    <w:basedOn w:val="191"/>
    <w:qFormat/>
    <w:uiPriority w:val="0"/>
    <w:pPr>
      <w:keepNext w:val="0"/>
      <w:keepLines w:val="0"/>
      <w:spacing w:line="360" w:lineRule="auto"/>
    </w:pPr>
    <w:rPr>
      <w:rFonts w:eastAsia="仿宋_GB2312"/>
      <w:b w:val="0"/>
      <w:bCs/>
      <w:sz w:val="30"/>
      <w:szCs w:val="32"/>
    </w:rPr>
  </w:style>
  <w:style w:type="paragraph" w:customStyle="1" w:styleId="482">
    <w:name w:val="greytypebeni"/>
    <w:basedOn w:val="1"/>
    <w:qFormat/>
    <w:uiPriority w:val="0"/>
    <w:pPr>
      <w:widowControl/>
      <w:jc w:val="left"/>
    </w:pPr>
    <w:rPr>
      <w:rFonts w:ascii="宋体" w:hAnsi="宋体" w:cs="宋体"/>
      <w:sz w:val="24"/>
      <w:szCs w:val="24"/>
    </w:rPr>
  </w:style>
  <w:style w:type="paragraph" w:customStyle="1" w:styleId="483">
    <w:name w:val="_Style 42"/>
    <w:basedOn w:val="1"/>
    <w:next w:val="224"/>
    <w:qFormat/>
    <w:uiPriority w:val="0"/>
    <w:rPr>
      <w:rFonts w:ascii="楷体_GB2312" w:hAnsi="Arial" w:eastAsia="楷体_GB2312"/>
      <w:sz w:val="28"/>
    </w:rPr>
  </w:style>
  <w:style w:type="paragraph" w:customStyle="1" w:styleId="484">
    <w:name w:val="xl55"/>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sz w:val="20"/>
    </w:rPr>
  </w:style>
  <w:style w:type="paragraph" w:customStyle="1" w:styleId="485">
    <w:name w:val="xl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i/>
      <w:iCs/>
      <w:sz w:val="20"/>
    </w:rPr>
  </w:style>
  <w:style w:type="paragraph" w:customStyle="1" w:styleId="486">
    <w:name w:val="Char Char Char Char Char1"/>
    <w:basedOn w:val="1"/>
    <w:qFormat/>
    <w:uiPriority w:val="0"/>
    <w:rPr>
      <w:rFonts w:ascii="Tahoma" w:hAnsi="Tahoma" w:cs="Tahoma"/>
      <w:sz w:val="24"/>
    </w:rPr>
  </w:style>
  <w:style w:type="paragraph" w:customStyle="1" w:styleId="487">
    <w:name w:val="中等深浅网格 1 - 强调文字颜色 21"/>
    <w:basedOn w:val="1"/>
    <w:qFormat/>
    <w:uiPriority w:val="0"/>
    <w:pPr>
      <w:ind w:firstLine="420"/>
    </w:pPr>
    <w:rPr>
      <w:rFonts w:ascii="Calibri" w:hAnsi="Calibri"/>
      <w:szCs w:val="22"/>
    </w:rPr>
  </w:style>
  <w:style w:type="paragraph" w:customStyle="1" w:styleId="488">
    <w:name w:val="小四 段落 宋体 Char Char Char"/>
    <w:basedOn w:val="215"/>
    <w:qFormat/>
    <w:uiPriority w:val="0"/>
    <w:pPr>
      <w:tabs>
        <w:tab w:val="clear" w:pos="2952"/>
      </w:tabs>
      <w:spacing w:line="360" w:lineRule="auto"/>
      <w:ind w:left="0" w:right="-33" w:firstLine="545"/>
      <w:jc w:val="left"/>
    </w:pPr>
    <w:rPr>
      <w:sz w:val="24"/>
    </w:rPr>
  </w:style>
  <w:style w:type="paragraph" w:customStyle="1" w:styleId="489">
    <w:name w:val="项目符号：一级"/>
    <w:basedOn w:val="374"/>
    <w:next w:val="374"/>
    <w:qFormat/>
    <w:uiPriority w:val="0"/>
    <w:pPr>
      <w:ind w:right="-134"/>
    </w:pPr>
    <w:rPr>
      <w:bCs w:val="0"/>
    </w:rPr>
  </w:style>
  <w:style w:type="paragraph" w:customStyle="1" w:styleId="490">
    <w:name w:val="段 Char"/>
    <w:qFormat/>
    <w:uiPriority w:val="0"/>
    <w:pPr>
      <w:ind w:firstLine="200"/>
      <w:jc w:val="both"/>
    </w:pPr>
    <w:rPr>
      <w:rFonts w:hint="default" w:ascii="Times New Roman" w:hAnsi="Times New Roman" w:eastAsia="宋体" w:cs="Times New Roman"/>
      <w:sz w:val="21"/>
      <w:lang w:val="en-US" w:eastAsia="zh-CN" w:bidi="ar-SA"/>
    </w:rPr>
  </w:style>
  <w:style w:type="paragraph" w:customStyle="1" w:styleId="491">
    <w:name w:val="丁华标题1"/>
    <w:basedOn w:val="189"/>
    <w:next w:val="398"/>
    <w:qFormat/>
    <w:uiPriority w:val="0"/>
    <w:pPr>
      <w:keepLines/>
      <w:tabs>
        <w:tab w:val="left" w:pos="567"/>
      </w:tabs>
      <w:spacing w:line="578" w:lineRule="auto"/>
      <w:ind w:left="567" w:firstLine="0"/>
      <w:jc w:val="left"/>
    </w:pPr>
    <w:rPr>
      <w:rFonts w:ascii="Times New Roman"/>
      <w:b w:val="0"/>
      <w:sz w:val="32"/>
      <w:szCs w:val="20"/>
    </w:rPr>
  </w:style>
  <w:style w:type="paragraph" w:customStyle="1" w:styleId="492">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0"/>
    </w:rPr>
  </w:style>
  <w:style w:type="paragraph" w:customStyle="1" w:styleId="493">
    <w:name w:val="Char Char Char Char Char Char Char Char Char Char Char Char Char Char Char Char Char Char Char Char Char"/>
    <w:basedOn w:val="1"/>
    <w:qFormat/>
    <w:uiPriority w:val="0"/>
    <w:rPr>
      <w:rFonts w:ascii="Tahoma" w:hAnsi="Tahoma" w:cs="Tahoma"/>
      <w:sz w:val="24"/>
    </w:rPr>
  </w:style>
  <w:style w:type="paragraph" w:customStyle="1" w:styleId="494">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495">
    <w:name w:val="正文文本 21"/>
    <w:basedOn w:val="1"/>
    <w:qFormat/>
    <w:uiPriority w:val="0"/>
    <w:pPr>
      <w:widowControl/>
      <w:ind w:left="720" w:hanging="720"/>
    </w:pPr>
    <w:rPr>
      <w:sz w:val="24"/>
      <w:lang w:val="en-GB"/>
    </w:rPr>
  </w:style>
  <w:style w:type="paragraph" w:customStyle="1" w:styleId="496">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497">
    <w:name w:val="公文标题 2"/>
    <w:basedOn w:val="1"/>
    <w:next w:val="387"/>
    <w:qFormat/>
    <w:uiPriority w:val="0"/>
    <w:pPr>
      <w:outlineLvl w:val="1"/>
    </w:pPr>
    <w:rPr>
      <w:rFonts w:ascii="仿宋_GB2312" w:hAnsi="宋体" w:eastAsia="仿宋_GB2312"/>
      <w:sz w:val="28"/>
      <w:szCs w:val="24"/>
    </w:rPr>
  </w:style>
  <w:style w:type="paragraph" w:customStyle="1" w:styleId="498">
    <w:name w:val="列表内容"/>
    <w:basedOn w:val="1"/>
    <w:next w:val="1"/>
    <w:qFormat/>
    <w:uiPriority w:val="0"/>
    <w:pPr>
      <w:widowControl/>
      <w:tabs>
        <w:tab w:val="left" w:pos="840"/>
      </w:tabs>
      <w:ind w:left="840" w:hanging="420"/>
      <w:jc w:val="left"/>
    </w:pPr>
    <w:rPr>
      <w:sz w:val="18"/>
      <w:szCs w:val="24"/>
    </w:rPr>
  </w:style>
  <w:style w:type="paragraph" w:customStyle="1" w:styleId="499">
    <w:name w:val="样式 段后: 0.25 行"/>
    <w:basedOn w:val="1"/>
    <w:qFormat/>
    <w:uiPriority w:val="0"/>
    <w:pPr>
      <w:widowControl/>
      <w:spacing w:line="300" w:lineRule="auto"/>
      <w:ind w:firstLine="420"/>
      <w:jc w:val="left"/>
    </w:pPr>
    <w:rPr>
      <w:rFonts w:ascii="Arial" w:hAnsi="Arial" w:cs="宋体"/>
      <w:sz w:val="22"/>
      <w:lang w:eastAsia="en-US" w:bidi="en-US"/>
    </w:rPr>
  </w:style>
  <w:style w:type="paragraph" w:customStyle="1" w:styleId="50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501">
    <w:name w:val="Pa5"/>
    <w:basedOn w:val="1"/>
    <w:next w:val="1"/>
    <w:qFormat/>
    <w:uiPriority w:val="0"/>
    <w:pPr>
      <w:spacing w:line="241" w:lineRule="atLeast"/>
      <w:jc w:val="left"/>
    </w:pPr>
    <w:rPr>
      <w:rFonts w:ascii="HYDaHeiJ" w:eastAsia="HYDaHeiJ"/>
      <w:sz w:val="24"/>
      <w:szCs w:val="24"/>
    </w:rPr>
  </w:style>
  <w:style w:type="paragraph" w:customStyle="1" w:styleId="502">
    <w:name w:val="Char Char Char Char Char Char Char Char Char Char Char Char Char"/>
    <w:basedOn w:val="1"/>
    <w:qFormat/>
    <w:uiPriority w:val="0"/>
    <w:pPr>
      <w:widowControl/>
      <w:spacing w:after="160" w:line="240" w:lineRule="exact"/>
      <w:jc w:val="left"/>
    </w:pPr>
    <w:rPr>
      <w:szCs w:val="24"/>
    </w:rPr>
  </w:style>
  <w:style w:type="paragraph" w:customStyle="1" w:styleId="503">
    <w:name w:val="xl4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04">
    <w:name w:val="样式 段后: 0.5 行 左  0.75 字符"/>
    <w:basedOn w:val="1"/>
    <w:qFormat/>
    <w:uiPriority w:val="0"/>
    <w:pPr>
      <w:widowControl/>
      <w:spacing w:line="360" w:lineRule="auto"/>
      <w:ind w:firstLine="420"/>
    </w:pPr>
    <w:rPr>
      <w:rFonts w:hAnsi="Arial" w:cs="Arial"/>
      <w:szCs w:val="21"/>
    </w:rPr>
  </w:style>
  <w:style w:type="paragraph" w:customStyle="1" w:styleId="505">
    <w:name w:val="丁华标题3"/>
    <w:basedOn w:val="462"/>
    <w:next w:val="398"/>
    <w:qFormat/>
    <w:uiPriority w:val="0"/>
    <w:pPr>
      <w:numPr>
        <w:ilvl w:val="2"/>
      </w:numPr>
      <w:tabs>
        <w:tab w:val="left" w:pos="1470"/>
        <w:tab w:val="left" w:pos="1980"/>
      </w:tabs>
      <w:spacing w:after="0"/>
      <w:ind w:left="1980" w:hanging="420"/>
      <w:outlineLvl w:val="2"/>
    </w:pPr>
    <w:rPr>
      <w:sz w:val="24"/>
    </w:rPr>
  </w:style>
  <w:style w:type="paragraph" w:customStyle="1" w:styleId="506">
    <w:name w:val="Test2"/>
    <w:basedOn w:val="190"/>
    <w:qFormat/>
    <w:uiPriority w:val="0"/>
    <w:pPr>
      <w:widowControl/>
      <w:spacing w:line="480" w:lineRule="exact"/>
      <w:jc w:val="center"/>
    </w:pPr>
    <w:rPr>
      <w:rFonts w:ascii="黑体" w:hAnsi="Arial" w:eastAsia="黑体"/>
      <w:bCs/>
      <w:sz w:val="24"/>
    </w:rPr>
  </w:style>
  <w:style w:type="paragraph" w:customStyle="1" w:styleId="507">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sz w:val="24"/>
      <w:szCs w:val="24"/>
    </w:rPr>
  </w:style>
  <w:style w:type="paragraph" w:customStyle="1" w:styleId="508">
    <w:name w:val="font12"/>
    <w:basedOn w:val="1"/>
    <w:qFormat/>
    <w:uiPriority w:val="0"/>
    <w:pPr>
      <w:widowControl/>
      <w:spacing w:before="100" w:beforeAutospacing="1" w:after="100" w:afterAutospacing="1"/>
      <w:jc w:val="left"/>
    </w:pPr>
    <w:rPr>
      <w:rFonts w:ascii="宋体" w:hAnsi="宋体" w:cs="宋体"/>
      <w:sz w:val="36"/>
      <w:szCs w:val="36"/>
    </w:rPr>
  </w:style>
  <w:style w:type="paragraph" w:customStyle="1" w:styleId="509">
    <w:name w:val="Char Char Char Char Char Char Char Char"/>
    <w:basedOn w:val="1"/>
    <w:qFormat/>
    <w:uiPriority w:val="0"/>
    <w:rPr>
      <w:rFonts w:ascii="Tahoma" w:hAnsi="Tahoma"/>
      <w:sz w:val="24"/>
    </w:rPr>
  </w:style>
  <w:style w:type="paragraph" w:customStyle="1" w:styleId="510">
    <w:name w:val="font11"/>
    <w:basedOn w:val="1"/>
    <w:qFormat/>
    <w:uiPriority w:val="0"/>
    <w:pPr>
      <w:widowControl/>
      <w:spacing w:before="100" w:beforeAutospacing="1" w:after="100" w:afterAutospacing="1"/>
      <w:jc w:val="left"/>
    </w:pPr>
    <w:rPr>
      <w:b/>
      <w:bCs/>
      <w:sz w:val="18"/>
      <w:szCs w:val="18"/>
    </w:rPr>
  </w:style>
  <w:style w:type="paragraph" w:customStyle="1" w:styleId="511">
    <w:name w:val="xl62"/>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512">
    <w:name w:val="正文 首行缩进:  2 字符 Char"/>
    <w:basedOn w:val="1"/>
    <w:qFormat/>
    <w:uiPriority w:val="0"/>
    <w:pPr>
      <w:spacing w:line="360" w:lineRule="auto"/>
      <w:ind w:firstLine="480"/>
    </w:pPr>
    <w:rPr>
      <w:rFonts w:cs="宋体"/>
      <w:sz w:val="24"/>
    </w:rPr>
  </w:style>
  <w:style w:type="paragraph" w:customStyle="1" w:styleId="513">
    <w:name w:val="Char1"/>
    <w:basedOn w:val="1"/>
    <w:qFormat/>
    <w:uiPriority w:val="0"/>
    <w:rPr>
      <w:rFonts w:ascii="仿宋_GB2312" w:hAnsi="宋体" w:eastAsia="仿宋_GB2312" w:cs="宋体"/>
      <w:b/>
      <w:sz w:val="32"/>
      <w:szCs w:val="32"/>
    </w:rPr>
  </w:style>
  <w:style w:type="paragraph" w:customStyle="1" w:styleId="514">
    <w:name w:val="Table Text Char"/>
    <w:qFormat/>
    <w:uiPriority w:val="0"/>
    <w:pPr>
      <w:spacing w:before="80" w:after="80"/>
    </w:pPr>
    <w:rPr>
      <w:rFonts w:hint="default" w:ascii="Arial" w:hAnsi="Arial" w:eastAsia="宋体" w:cs="Arial"/>
      <w:sz w:val="18"/>
      <w:szCs w:val="28"/>
      <w:lang w:val="en-US" w:eastAsia="zh-CN" w:bidi="ar-SA"/>
    </w:rPr>
  </w:style>
  <w:style w:type="paragraph" w:customStyle="1" w:styleId="51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516">
    <w:name w:val="标题 41"/>
    <w:basedOn w:val="1"/>
    <w:qFormat/>
    <w:uiPriority w:val="1"/>
    <w:pPr>
      <w:ind w:left="618"/>
      <w:jc w:val="left"/>
      <w:outlineLvl w:val="4"/>
    </w:pPr>
    <w:rPr>
      <w:rFonts w:ascii="宋体" w:hAnsi="宋体" w:cs="宋体"/>
      <w:b/>
      <w:bCs/>
      <w:sz w:val="24"/>
      <w:szCs w:val="24"/>
      <w:lang w:val="zh-CN" w:bidi="zh-CN"/>
    </w:rPr>
  </w:style>
  <w:style w:type="paragraph" w:customStyle="1" w:styleId="517">
    <w:name w:val="Char Char3"/>
    <w:basedOn w:val="1"/>
    <w:qFormat/>
    <w:uiPriority w:val="0"/>
    <w:rPr>
      <w:rFonts w:ascii="Tahoma" w:hAnsi="Tahoma" w:cs="Tahoma"/>
      <w:sz w:val="24"/>
    </w:rPr>
  </w:style>
  <w:style w:type="paragraph" w:customStyle="1" w:styleId="518">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b/>
      <w:bCs/>
      <w:sz w:val="20"/>
    </w:rPr>
  </w:style>
  <w:style w:type="paragraph" w:customStyle="1" w:styleId="519">
    <w:name w:val="Char Char Char Char Char Char Char Char Char Char Char"/>
    <w:basedOn w:val="1"/>
    <w:qFormat/>
    <w:uiPriority w:val="0"/>
    <w:rPr>
      <w:rFonts w:ascii="Tahoma" w:hAnsi="Tahoma" w:cs="Tahoma"/>
      <w:sz w:val="24"/>
    </w:rPr>
  </w:style>
  <w:style w:type="paragraph" w:customStyle="1" w:styleId="520">
    <w:name w:val="Char Char Char Char Char Char Char Char Char1"/>
    <w:basedOn w:val="1"/>
    <w:qFormat/>
    <w:uiPriority w:val="0"/>
    <w:pPr>
      <w:tabs>
        <w:tab w:val="left" w:pos="360"/>
      </w:tabs>
      <w:ind w:left="200" w:hanging="200"/>
    </w:pPr>
    <w:rPr>
      <w:sz w:val="24"/>
      <w:szCs w:val="24"/>
    </w:rPr>
  </w:style>
  <w:style w:type="paragraph" w:customStyle="1" w:styleId="521">
    <w:name w:val="项目符号，一级"/>
    <w:basedOn w:val="374"/>
    <w:next w:val="374"/>
    <w:qFormat/>
    <w:uiPriority w:val="0"/>
    <w:pPr>
      <w:tabs>
        <w:tab w:val="left" w:pos="1320"/>
      </w:tabs>
      <w:spacing w:line="240" w:lineRule="atLeast"/>
      <w:ind w:left="376" w:firstLine="0"/>
    </w:pPr>
    <w:rPr>
      <w:bCs w:val="0"/>
      <w:color w:val="000000"/>
      <w:szCs w:val="24"/>
    </w:rPr>
  </w:style>
  <w:style w:type="paragraph" w:customStyle="1" w:styleId="522">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23">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i/>
      <w:iCs/>
      <w:sz w:val="20"/>
    </w:rPr>
  </w:style>
  <w:style w:type="paragraph" w:customStyle="1" w:styleId="524">
    <w:name w:val="马刚标题4"/>
    <w:basedOn w:val="525"/>
    <w:next w:val="1"/>
    <w:qFormat/>
    <w:uiPriority w:val="0"/>
    <w:pPr>
      <w:tabs>
        <w:tab w:val="left" w:pos="567"/>
        <w:tab w:val="left" w:pos="735"/>
        <w:tab w:val="left" w:pos="1050"/>
      </w:tabs>
      <w:spacing w:before="100" w:after="40"/>
      <w:outlineLvl w:val="3"/>
    </w:pPr>
    <w:rPr>
      <w:b w:val="0"/>
    </w:rPr>
  </w:style>
  <w:style w:type="paragraph" w:customStyle="1" w:styleId="52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526">
    <w:name w:val="xl5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27">
    <w:name w:val="Default Text"/>
    <w:basedOn w:val="1"/>
    <w:qFormat/>
    <w:uiPriority w:val="0"/>
    <w:pPr>
      <w:widowControl/>
      <w:jc w:val="left"/>
    </w:pPr>
    <w:rPr>
      <w:sz w:val="24"/>
      <w:lang w:eastAsia="en-US"/>
    </w:rPr>
  </w:style>
  <w:style w:type="paragraph" w:customStyle="1" w:styleId="528">
    <w:name w:val="font14"/>
    <w:basedOn w:val="1"/>
    <w:qFormat/>
    <w:uiPriority w:val="0"/>
    <w:pPr>
      <w:widowControl/>
      <w:spacing w:before="100" w:beforeAutospacing="1" w:after="100" w:afterAutospacing="1"/>
      <w:jc w:val="left"/>
    </w:pPr>
    <w:rPr>
      <w:sz w:val="36"/>
      <w:szCs w:val="36"/>
    </w:rPr>
  </w:style>
  <w:style w:type="paragraph" w:customStyle="1" w:styleId="529">
    <w:name w:val="样式"/>
    <w:basedOn w:val="1"/>
    <w:qFormat/>
    <w:uiPriority w:val="0"/>
    <w:pPr>
      <w:spacing w:before="120" w:after="120" w:line="360" w:lineRule="auto"/>
    </w:pPr>
    <w:rPr>
      <w:rFonts w:ascii="宋体"/>
      <w:sz w:val="24"/>
    </w:rPr>
  </w:style>
  <w:style w:type="paragraph" w:customStyle="1" w:styleId="530">
    <w:name w:val="标题1，章节第一层"/>
    <w:basedOn w:val="374"/>
    <w:next w:val="374"/>
    <w:qFormat/>
    <w:uiPriority w:val="0"/>
    <w:pPr>
      <w:tabs>
        <w:tab w:val="left" w:pos="693"/>
      </w:tabs>
      <w:ind w:left="482"/>
      <w:outlineLvl w:val="0"/>
    </w:pPr>
    <w:rPr>
      <w:color w:val="000000"/>
      <w:sz w:val="24"/>
      <w:szCs w:val="24"/>
    </w:rPr>
  </w:style>
  <w:style w:type="paragraph" w:customStyle="1" w:styleId="531">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i/>
      <w:iCs/>
      <w:sz w:val="20"/>
    </w:rPr>
  </w:style>
  <w:style w:type="paragraph" w:customStyle="1" w:styleId="532">
    <w:name w:val="xl60"/>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33">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34">
    <w:name w:val="Char Char Char Char"/>
    <w:basedOn w:val="1"/>
    <w:qFormat/>
    <w:uiPriority w:val="0"/>
    <w:pPr>
      <w:widowControl/>
      <w:spacing w:after="160" w:line="240" w:lineRule="exact"/>
      <w:jc w:val="center"/>
    </w:pPr>
    <w:rPr>
      <w:rFonts w:ascii="黑体" w:hAnsi="Verdana" w:eastAsia="黑体"/>
      <w:sz w:val="32"/>
      <w:szCs w:val="32"/>
      <w:lang w:eastAsia="en-US"/>
    </w:rPr>
  </w:style>
  <w:style w:type="paragraph" w:customStyle="1" w:styleId="535">
    <w:name w:val="华宇段落1 Char"/>
    <w:basedOn w:val="1"/>
    <w:qFormat/>
    <w:uiPriority w:val="0"/>
    <w:pPr>
      <w:spacing w:line="360" w:lineRule="auto"/>
      <w:ind w:firstLine="200"/>
    </w:pPr>
    <w:rPr>
      <w:bCs/>
      <w:sz w:val="24"/>
      <w:szCs w:val="24"/>
    </w:rPr>
  </w:style>
  <w:style w:type="paragraph" w:customStyle="1" w:styleId="536">
    <w:name w:val="正文2"/>
    <w:basedOn w:val="1"/>
    <w:qFormat/>
    <w:uiPriority w:val="0"/>
    <w:pPr>
      <w:spacing w:before="156" w:line="360" w:lineRule="auto"/>
      <w:ind w:firstLine="510"/>
    </w:pPr>
    <w:rPr>
      <w:sz w:val="24"/>
    </w:rPr>
  </w:style>
  <w:style w:type="paragraph" w:customStyle="1" w:styleId="537">
    <w:name w:val="正文lzq"/>
    <w:basedOn w:val="1"/>
    <w:qFormat/>
    <w:uiPriority w:val="0"/>
    <w:pPr>
      <w:spacing w:line="360" w:lineRule="auto"/>
      <w:ind w:firstLine="480"/>
    </w:pPr>
    <w:rPr>
      <w:sz w:val="24"/>
    </w:rPr>
  </w:style>
  <w:style w:type="paragraph" w:customStyle="1" w:styleId="538">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0"/>
    </w:rPr>
  </w:style>
  <w:style w:type="paragraph" w:customStyle="1" w:styleId="539">
    <w:name w:val="Char Char11"/>
    <w:basedOn w:val="1"/>
    <w:qFormat/>
    <w:uiPriority w:val="0"/>
    <w:rPr>
      <w:rFonts w:ascii="Tahoma" w:hAnsi="Tahoma"/>
      <w:sz w:val="24"/>
    </w:rPr>
  </w:style>
  <w:style w:type="paragraph" w:customStyle="1" w:styleId="540">
    <w:name w:val="默认段落字体 Para Char Char Char Char Char Char Char"/>
    <w:basedOn w:val="1"/>
    <w:qFormat/>
    <w:uiPriority w:val="0"/>
  </w:style>
  <w:style w:type="paragraph" w:customStyle="1" w:styleId="541">
    <w:name w:val="Char Char"/>
    <w:basedOn w:val="1"/>
    <w:qFormat/>
    <w:uiPriority w:val="0"/>
    <w:rPr>
      <w:rFonts w:ascii="Tahoma" w:hAnsi="Tahoma"/>
      <w:sz w:val="24"/>
    </w:rPr>
  </w:style>
  <w:style w:type="paragraph" w:customStyle="1" w:styleId="542">
    <w:name w:val="标题6"/>
    <w:basedOn w:val="194"/>
    <w:qFormat/>
    <w:uiPriority w:val="0"/>
    <w:pPr>
      <w:keepLines/>
      <w:tabs>
        <w:tab w:val="left" w:pos="420"/>
      </w:tabs>
      <w:ind w:left="420" w:hanging="420"/>
    </w:pPr>
    <w:rPr>
      <w:rFonts w:ascii="Times New Roman"/>
      <w:b w:val="0"/>
      <w:bCs/>
      <w:color w:val="000000"/>
      <w:sz w:val="24"/>
      <w:szCs w:val="28"/>
    </w:rPr>
  </w:style>
  <w:style w:type="paragraph" w:customStyle="1" w:styleId="543">
    <w:name w:val="a0"/>
    <w:basedOn w:val="1"/>
    <w:qFormat/>
    <w:uiPriority w:val="0"/>
    <w:pPr>
      <w:widowControl/>
      <w:spacing w:before="100" w:beforeAutospacing="1" w:after="100" w:afterAutospacing="1"/>
    </w:pPr>
    <w:rPr>
      <w:rFonts w:ascii="宋体" w:hAnsi="宋体" w:cs="宋体"/>
      <w:sz w:val="24"/>
      <w:szCs w:val="24"/>
    </w:rPr>
  </w:style>
  <w:style w:type="paragraph" w:customStyle="1" w:styleId="544">
    <w:name w:val="符号与编号 Char Char"/>
    <w:basedOn w:val="1"/>
    <w:qFormat/>
    <w:uiPriority w:val="0"/>
    <w:pPr>
      <w:tabs>
        <w:tab w:val="left" w:pos="840"/>
      </w:tabs>
      <w:spacing w:line="400" w:lineRule="atLeast"/>
      <w:ind w:left="839" w:hanging="419"/>
    </w:pPr>
    <w:rPr>
      <w:sz w:val="24"/>
      <w:szCs w:val="24"/>
    </w:rPr>
  </w:style>
  <w:style w:type="paragraph" w:customStyle="1" w:styleId="545">
    <w:name w:val="xl54"/>
    <w:basedOn w:val="1"/>
    <w:qFormat/>
    <w:uiPriority w:val="0"/>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cs="宋体"/>
      <w:b/>
      <w:bCs/>
      <w:sz w:val="20"/>
    </w:rPr>
  </w:style>
  <w:style w:type="paragraph" w:customStyle="1" w:styleId="546">
    <w:name w:val="Char Char1 Char Char Char Char1 Char Char Char Char Char Char"/>
    <w:basedOn w:val="1"/>
    <w:qFormat/>
    <w:uiPriority w:val="0"/>
    <w:rPr>
      <w:rFonts w:ascii="Tahoma" w:hAnsi="Tahoma"/>
      <w:sz w:val="24"/>
    </w:rPr>
  </w:style>
  <w:style w:type="paragraph" w:customStyle="1" w:styleId="547">
    <w:name w:val="无间隔1"/>
    <w:qFormat/>
    <w:uiPriority w:val="0"/>
    <w:pPr>
      <w:widowControl w:val="0"/>
      <w:jc w:val="both"/>
    </w:pPr>
    <w:rPr>
      <w:rFonts w:hint="default" w:ascii="Calibri" w:hAnsi="Calibri" w:eastAsia="微软雅黑" w:cs="Times New Roman"/>
      <w:sz w:val="24"/>
      <w:szCs w:val="22"/>
      <w:lang w:val="en-US" w:eastAsia="zh-CN" w:bidi="ar-SA"/>
    </w:rPr>
  </w:style>
  <w:style w:type="paragraph" w:customStyle="1" w:styleId="548">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549">
    <w:name w:val="Item List Char Char"/>
    <w:qFormat/>
    <w:uiPriority w:val="0"/>
    <w:pPr>
      <w:spacing w:line="288" w:lineRule="auto"/>
      <w:jc w:val="both"/>
    </w:pPr>
    <w:rPr>
      <w:rFonts w:hint="default" w:ascii="Arial" w:hAnsi="Arial" w:eastAsia="宋体" w:cs="Arial"/>
      <w:b/>
      <w:bCs/>
      <w:sz w:val="21"/>
      <w:szCs w:val="28"/>
      <w:lang w:val="en-US" w:eastAsia="zh-CN" w:bidi="ar-SA"/>
    </w:rPr>
  </w:style>
  <w:style w:type="paragraph" w:customStyle="1" w:styleId="550">
    <w:name w:val="Char Char1 Char"/>
    <w:basedOn w:val="1"/>
    <w:qFormat/>
    <w:uiPriority w:val="0"/>
    <w:pPr>
      <w:widowControl/>
      <w:spacing w:after="160" w:line="240" w:lineRule="exact"/>
      <w:jc w:val="left"/>
    </w:pPr>
    <w:rPr>
      <w:rFonts w:ascii="Verdana" w:hAnsi="Verdana"/>
      <w:sz w:val="20"/>
      <w:lang w:eastAsia="en-US"/>
    </w:rPr>
  </w:style>
  <w:style w:type="paragraph" w:customStyle="1" w:styleId="551">
    <w:name w:val="ewb-con-p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5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553">
    <w:name w:val="xl49"/>
    <w:basedOn w:val="1"/>
    <w:qFormat/>
    <w:uiPriority w:val="0"/>
    <w:pPr>
      <w:widowControl/>
      <w:pBdr>
        <w:left w:val="single" w:color="000000" w:sz="4" w:space="0"/>
        <w:right w:val="single" w:color="000000" w:sz="4" w:space="0"/>
      </w:pBdr>
      <w:spacing w:before="100" w:beforeAutospacing="1" w:after="100" w:afterAutospacing="1"/>
      <w:jc w:val="center"/>
    </w:pPr>
    <w:rPr>
      <w:b/>
      <w:bCs/>
      <w:sz w:val="20"/>
    </w:rPr>
  </w:style>
  <w:style w:type="paragraph" w:customStyle="1" w:styleId="554">
    <w:name w:val="Char Char1 Char Char Char Char Char Char Char"/>
    <w:basedOn w:val="1"/>
    <w:qFormat/>
    <w:uiPriority w:val="0"/>
    <w:rPr>
      <w:rFonts w:ascii="Tahoma" w:hAnsi="Tahoma" w:cs="Tahoma"/>
      <w:sz w:val="24"/>
    </w:rPr>
  </w:style>
  <w:style w:type="paragraph" w:customStyle="1" w:styleId="555">
    <w:name w:val="Item Step in Table"/>
    <w:qFormat/>
    <w:uiPriority w:val="0"/>
    <w:pPr>
      <w:numPr>
        <w:ilvl w:val="0"/>
        <w:numId w:val="4"/>
      </w:numPr>
      <w:spacing w:before="40" w:after="40"/>
      <w:jc w:val="both"/>
    </w:pPr>
    <w:rPr>
      <w:rFonts w:hint="default" w:ascii="Arial" w:hAnsi="Arial" w:eastAsia="宋体" w:cs="Arial"/>
      <w:sz w:val="18"/>
      <w:szCs w:val="18"/>
      <w:lang w:val="en-US" w:eastAsia="zh-CN" w:bidi="ar-SA"/>
    </w:rPr>
  </w:style>
  <w:style w:type="paragraph" w:customStyle="1" w:styleId="556">
    <w:name w:val="Char Char1 Char Char Char Char"/>
    <w:basedOn w:val="217"/>
    <w:qFormat/>
    <w:uiPriority w:val="0"/>
    <w:pPr>
      <w:spacing w:line="436" w:lineRule="exact"/>
      <w:ind w:left="357"/>
      <w:jc w:val="left"/>
      <w:outlineLvl w:val="3"/>
    </w:pPr>
    <w:rPr>
      <w:rFonts w:ascii="Tahoma" w:hAnsi="Tahoma" w:cs="Tahoma"/>
      <w:b/>
      <w:sz w:val="24"/>
      <w:szCs w:val="24"/>
    </w:rPr>
  </w:style>
  <w:style w:type="paragraph" w:customStyle="1" w:styleId="557">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0"/>
    </w:rPr>
  </w:style>
  <w:style w:type="paragraph" w:customStyle="1" w:styleId="558">
    <w:name w:val="样式1"/>
    <w:basedOn w:val="1"/>
    <w:qFormat/>
    <w:uiPriority w:val="0"/>
    <w:pPr>
      <w:spacing w:line="300" w:lineRule="auto"/>
      <w:ind w:firstLine="480"/>
    </w:pPr>
    <w:rPr>
      <w:sz w:val="24"/>
      <w:szCs w:val="24"/>
    </w:rPr>
  </w:style>
  <w:style w:type="paragraph" w:customStyle="1" w:styleId="559">
    <w:name w:val="Normal1"/>
    <w:basedOn w:val="1"/>
    <w:qFormat/>
    <w:uiPriority w:val="0"/>
    <w:rPr>
      <w:rFonts w:ascii="Calibri" w:hAnsi="Calibri" w:eastAsia="Calibri" w:cs="宋体"/>
      <w:lang w:val="zh-CN"/>
    </w:rPr>
  </w:style>
  <w:style w:type="paragraph" w:customStyle="1" w:styleId="560">
    <w:name w:val="表头_5"/>
    <w:basedOn w:val="1"/>
    <w:qFormat/>
    <w:uiPriority w:val="0"/>
    <w:pPr>
      <w:spacing w:line="360" w:lineRule="auto"/>
    </w:pPr>
    <w:rPr>
      <w:b/>
      <w:bCs/>
      <w:sz w:val="28"/>
      <w:szCs w:val="21"/>
    </w:rPr>
  </w:style>
  <w:style w:type="paragraph" w:customStyle="1" w:styleId="561">
    <w:name w:val="Char Char Char Char Char Char"/>
    <w:basedOn w:val="1"/>
    <w:qFormat/>
    <w:uiPriority w:val="0"/>
    <w:rPr>
      <w:rFonts w:ascii="Tahoma" w:hAnsi="Tahoma" w:cs="Tahoma"/>
      <w:sz w:val="24"/>
    </w:rPr>
  </w:style>
  <w:style w:type="paragraph" w:customStyle="1" w:styleId="562">
    <w:name w:val="xl53"/>
    <w:basedOn w:val="1"/>
    <w:qFormat/>
    <w:uiPriority w:val="0"/>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sz w:val="20"/>
    </w:rPr>
  </w:style>
  <w:style w:type="paragraph" w:customStyle="1" w:styleId="563">
    <w:name w:val="1"/>
    <w:basedOn w:val="1"/>
    <w:next w:val="260"/>
    <w:qFormat/>
    <w:uiPriority w:val="0"/>
    <w:pPr>
      <w:spacing w:line="360" w:lineRule="auto"/>
    </w:pPr>
    <w:rPr>
      <w:rFonts w:eastAsia="仿宋_GB2312"/>
      <w:sz w:val="24"/>
      <w:szCs w:val="24"/>
    </w:rPr>
  </w:style>
  <w:style w:type="paragraph" w:customStyle="1" w:styleId="564">
    <w:name w:val="小四 段落 宋体"/>
    <w:basedOn w:val="215"/>
    <w:qFormat/>
    <w:uiPriority w:val="0"/>
    <w:pPr>
      <w:tabs>
        <w:tab w:val="clear" w:pos="2952"/>
      </w:tabs>
      <w:spacing w:line="360" w:lineRule="auto"/>
      <w:ind w:left="113" w:right="113" w:firstLine="425"/>
      <w:jc w:val="left"/>
    </w:pPr>
    <w:rPr>
      <w:sz w:val="24"/>
    </w:rPr>
  </w:style>
  <w:style w:type="paragraph" w:customStyle="1" w:styleId="565">
    <w:name w:val="zw"/>
    <w:basedOn w:val="1"/>
    <w:qFormat/>
    <w:uiPriority w:val="0"/>
    <w:pPr>
      <w:widowControl/>
      <w:spacing w:line="360" w:lineRule="auto"/>
      <w:ind w:firstLine="480"/>
      <w:jc w:val="left"/>
    </w:pPr>
    <w:rPr>
      <w:rFonts w:ascii="宋体" w:hAnsi="宋体"/>
      <w:bCs/>
      <w:sz w:val="24"/>
    </w:rPr>
  </w:style>
  <w:style w:type="paragraph" w:customStyle="1" w:styleId="566">
    <w:name w:val="xl61"/>
    <w:basedOn w:val="1"/>
    <w:qFormat/>
    <w:uiPriority w:val="0"/>
    <w:pPr>
      <w:widowControl/>
      <w:pBdr>
        <w:top w:val="single" w:color="000000" w:sz="4" w:space="0"/>
        <w:bottom w:val="single" w:color="000000" w:sz="4" w:space="0"/>
      </w:pBdr>
      <w:shd w:val="clear" w:color="auto" w:fill="969696"/>
      <w:spacing w:before="100" w:beforeAutospacing="1" w:after="100" w:afterAutospacing="1"/>
      <w:jc w:val="center"/>
    </w:pPr>
    <w:rPr>
      <w:b/>
      <w:bCs/>
      <w:i/>
      <w:iCs/>
      <w:sz w:val="20"/>
    </w:rPr>
  </w:style>
  <w:style w:type="paragraph" w:customStyle="1" w:styleId="567">
    <w:name w:val="Char Char Char Char Char Char Char Char Char Char Char1"/>
    <w:basedOn w:val="1"/>
    <w:qFormat/>
    <w:uiPriority w:val="0"/>
    <w:rPr>
      <w:rFonts w:ascii="Tahoma" w:hAnsi="Tahoma"/>
      <w:sz w:val="24"/>
    </w:rPr>
  </w:style>
  <w:style w:type="paragraph" w:customStyle="1" w:styleId="568">
    <w:name w:val="方案正文"/>
    <w:basedOn w:val="1"/>
    <w:qFormat/>
    <w:uiPriority w:val="0"/>
    <w:pPr>
      <w:spacing w:before="156" w:line="360" w:lineRule="auto"/>
      <w:ind w:firstLine="359"/>
      <w:jc w:val="left"/>
    </w:pPr>
    <w:rPr>
      <w:rFonts w:ascii="Arial" w:hAnsi="Arial" w:cs="宋体"/>
      <w:sz w:val="24"/>
      <w:szCs w:val="21"/>
    </w:rPr>
  </w:style>
  <w:style w:type="paragraph" w:customStyle="1" w:styleId="569">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sz w:val="20"/>
    </w:rPr>
  </w:style>
  <w:style w:type="paragraph" w:customStyle="1" w:styleId="570">
    <w:name w:val="Char1 Char Char Char"/>
    <w:basedOn w:val="1"/>
    <w:qFormat/>
    <w:uiPriority w:val="0"/>
    <w:rPr>
      <w:rFonts w:ascii="Tahoma" w:hAnsi="Tahoma"/>
      <w:sz w:val="24"/>
    </w:rPr>
  </w:style>
  <w:style w:type="paragraph" w:customStyle="1" w:styleId="571">
    <w:name w:val="二级条标题"/>
    <w:basedOn w:val="1"/>
    <w:next w:val="433"/>
    <w:qFormat/>
    <w:uiPriority w:val="0"/>
    <w:pPr>
      <w:widowControl/>
      <w:tabs>
        <w:tab w:val="left" w:pos="2240"/>
      </w:tabs>
      <w:ind w:hanging="420"/>
      <w:outlineLvl w:val="3"/>
    </w:pPr>
    <w:rPr>
      <w:rFonts w:eastAsia="黑体"/>
    </w:rPr>
  </w:style>
  <w:style w:type="paragraph" w:customStyle="1" w:styleId="572">
    <w:name w:val="xl46"/>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573">
    <w:name w:val="Char Char Char Char Char Char Char1 Char"/>
    <w:basedOn w:val="1"/>
    <w:qFormat/>
    <w:uiPriority w:val="0"/>
    <w:rPr>
      <w:rFonts w:ascii="Tahoma" w:hAnsi="Tahoma" w:cs="Tahoma"/>
      <w:sz w:val="24"/>
    </w:rPr>
  </w:style>
  <w:style w:type="paragraph" w:customStyle="1" w:styleId="574">
    <w:name w:val="xl4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sz w:val="20"/>
    </w:rPr>
  </w:style>
  <w:style w:type="paragraph" w:customStyle="1" w:styleId="575">
    <w:name w:val="Char Char1"/>
    <w:basedOn w:val="1"/>
    <w:qFormat/>
    <w:uiPriority w:val="0"/>
    <w:rPr>
      <w:rFonts w:ascii="Tahoma" w:hAnsi="Tahoma" w:cs="Tahoma"/>
      <w:sz w:val="24"/>
    </w:rPr>
  </w:style>
  <w:style w:type="paragraph" w:customStyle="1" w:styleId="576">
    <w:name w:val="文档正文"/>
    <w:basedOn w:val="1"/>
    <w:qFormat/>
    <w:uiPriority w:val="0"/>
    <w:pPr>
      <w:spacing w:line="360" w:lineRule="auto"/>
    </w:pPr>
    <w:rPr>
      <w:rFonts w:ascii="宋体" w:hAnsi="宋体"/>
      <w:b/>
      <w:bCs/>
      <w:szCs w:val="24"/>
    </w:rPr>
  </w:style>
  <w:style w:type="paragraph" w:customStyle="1" w:styleId="577">
    <w:name w:val="af17cgridlangnp1033langf"/>
    <w:qFormat/>
    <w:uiPriority w:val="0"/>
    <w:pPr>
      <w:widowControl w:val="0"/>
      <w:spacing w:before="156" w:line="360" w:lineRule="atLeast"/>
      <w:ind w:left="567" w:firstLine="510"/>
      <w:jc w:val="both"/>
    </w:pPr>
    <w:rPr>
      <w:rFonts w:hint="default" w:ascii="Times New Roman" w:hAnsi="Times New Roman" w:eastAsia="宋体" w:cs="Times New Roman"/>
      <w:lang w:val="en-US" w:eastAsia="zh-CN" w:bidi="ar-SA"/>
    </w:rPr>
  </w:style>
  <w:style w:type="paragraph" w:customStyle="1" w:styleId="578">
    <w:name w:val="插图"/>
    <w:basedOn w:val="1"/>
    <w:qFormat/>
    <w:uiPriority w:val="0"/>
    <w:pPr>
      <w:tabs>
        <w:tab w:val="left" w:pos="1620"/>
      </w:tabs>
      <w:jc w:val="center"/>
    </w:pPr>
    <w:rPr>
      <w:bCs/>
      <w:color w:val="000000"/>
      <w:szCs w:val="22"/>
    </w:rPr>
  </w:style>
  <w:style w:type="paragraph" w:customStyle="1" w:styleId="579">
    <w:name w:val="修订1"/>
    <w:semiHidden/>
    <w:qFormat/>
    <w:uiPriority w:val="0"/>
    <w:rPr>
      <w:rFonts w:hint="default" w:ascii="Times New Roman" w:hAnsi="Times New Roman" w:eastAsia="宋体" w:cs="Times New Roman"/>
      <w:sz w:val="21"/>
      <w:szCs w:val="24"/>
      <w:lang w:val="en-US" w:eastAsia="zh-CN" w:bidi="ar-SA"/>
    </w:rPr>
  </w:style>
  <w:style w:type="paragraph" w:customStyle="1" w:styleId="580">
    <w:name w:val="列出段落2"/>
    <w:basedOn w:val="1"/>
    <w:qFormat/>
    <w:uiPriority w:val="0"/>
    <w:pPr>
      <w:widowControl/>
      <w:ind w:left="720"/>
      <w:jc w:val="left"/>
    </w:pPr>
    <w:rPr>
      <w:rFonts w:ascii="Arial" w:hAnsi="Arial" w:eastAsia="黑体" w:cs="Arial"/>
      <w:sz w:val="24"/>
      <w:szCs w:val="24"/>
      <w:lang w:eastAsia="en-US"/>
    </w:rPr>
  </w:style>
  <w:style w:type="paragraph" w:customStyle="1" w:styleId="581">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582">
    <w:name w:val="Char Char Char Char Char"/>
    <w:basedOn w:val="1"/>
    <w:qFormat/>
    <w:uiPriority w:val="0"/>
    <w:rPr>
      <w:rFonts w:ascii="Tahoma" w:hAnsi="Tahoma"/>
      <w:sz w:val="24"/>
    </w:rPr>
  </w:style>
  <w:style w:type="paragraph" w:customStyle="1" w:styleId="583">
    <w:name w:val="符号与编号"/>
    <w:basedOn w:val="1"/>
    <w:qFormat/>
    <w:uiPriority w:val="0"/>
    <w:pPr>
      <w:tabs>
        <w:tab w:val="left" w:pos="900"/>
      </w:tabs>
      <w:spacing w:line="400" w:lineRule="atLeast"/>
      <w:ind w:left="900" w:hanging="420"/>
    </w:pPr>
    <w:rPr>
      <w:sz w:val="24"/>
      <w:szCs w:val="24"/>
    </w:rPr>
  </w:style>
  <w:style w:type="paragraph" w:customStyle="1" w:styleId="584">
    <w:name w:val="样式3"/>
    <w:basedOn w:val="1"/>
    <w:next w:val="1"/>
    <w:qFormat/>
    <w:uiPriority w:val="0"/>
    <w:pPr>
      <w:spacing w:line="360" w:lineRule="auto"/>
    </w:pPr>
  </w:style>
  <w:style w:type="paragraph" w:customStyle="1" w:styleId="585">
    <w:name w:val="段落"/>
    <w:basedOn w:val="1"/>
    <w:qFormat/>
    <w:uiPriority w:val="0"/>
    <w:pPr>
      <w:spacing w:line="460" w:lineRule="exact"/>
      <w:ind w:firstLine="480"/>
    </w:pPr>
    <w:rPr>
      <w:sz w:val="24"/>
    </w:rPr>
  </w:style>
  <w:style w:type="table" w:customStyle="1" w:styleId="586">
    <w:name w:val="Table Normal"/>
    <w:basedOn w:val="200"/>
    <w:qFormat/>
    <w:uiPriority w:val="0"/>
    <w:pPr>
      <w:widowControl w:val="0"/>
    </w:pPr>
    <w:rPr>
      <w:sz w:val="22"/>
      <w:lang w:eastAsia="en-US"/>
    </w:rPr>
  </w:style>
  <w:style w:type="paragraph" w:customStyle="1" w:styleId="587">
    <w:name w:val="标题 411"/>
    <w:basedOn w:val="1"/>
    <w:qFormat/>
    <w:uiPriority w:val="1"/>
    <w:pPr>
      <w:ind w:left="618"/>
      <w:jc w:val="left"/>
      <w:outlineLvl w:val="4"/>
    </w:pPr>
    <w:rPr>
      <w:rFonts w:ascii="宋体" w:hAnsi="宋体" w:cs="宋体"/>
      <w:b/>
      <w:bCs/>
      <w:sz w:val="24"/>
      <w:lang w:val="zh-CN" w:bidi="zh-CN"/>
    </w:rPr>
  </w:style>
  <w:style w:type="character" w:customStyle="1" w:styleId="588">
    <w:name w:val="NormalCharacter1"/>
    <w:link w:val="1"/>
    <w:semiHidden/>
    <w:qFormat/>
    <w:uiPriority w:val="0"/>
  </w:style>
  <w:style w:type="paragraph" w:customStyle="1" w:styleId="589">
    <w:name w:val="UserStyle_6"/>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sz w:val="24"/>
    </w:rPr>
  </w:style>
  <w:style w:type="paragraph" w:customStyle="1" w:styleId="590">
    <w:name w:val="UserStyle_8"/>
    <w:basedOn w:val="1"/>
    <w:qFormat/>
    <w:uiPriority w:val="0"/>
    <w:pPr>
      <w:widowControl/>
      <w:spacing w:before="156" w:line="360" w:lineRule="auto"/>
      <w:ind w:firstLine="510"/>
    </w:pPr>
    <w:rPr>
      <w:sz w:val="24"/>
    </w:rPr>
  </w:style>
  <w:style w:type="paragraph" w:customStyle="1" w:styleId="591">
    <w:name w:val="NormalIndent1"/>
    <w:basedOn w:val="1"/>
    <w:qFormat/>
    <w:uiPriority w:val="0"/>
    <w:pPr>
      <w:ind w:firstLine="420"/>
    </w:pPr>
    <w:rPr>
      <w:rFonts w:ascii="Calibri" w:hAnsi="Calibri"/>
    </w:rPr>
  </w:style>
  <w:style w:type="paragraph" w:customStyle="1" w:styleId="592">
    <w:name w:val="修订"/>
    <w:unhideWhenUsed/>
    <w:qFormat/>
    <w:uiPriority w:val="99"/>
    <w:rPr>
      <w:rFonts w:hint="default" w:ascii="Times New Roman" w:hAnsi="Times New Roman" w:eastAsia="宋体" w:cs="Times New Roman"/>
      <w:sz w:val="21"/>
      <w:lang w:val="en-US" w:eastAsia="zh-CN" w:bidi="ar-SA"/>
    </w:rPr>
  </w:style>
  <w:style w:type="paragraph" w:customStyle="1" w:styleId="593">
    <w:name w:val="正文 A"/>
    <w:next w:val="594"/>
    <w:qFormat/>
    <w:uiPriority w:val="0"/>
    <w:pPr>
      <w:framePr w:wrap="around" w:vAnchor="margin" w:hAnchor="text" w:yAlign="top"/>
      <w:widowControl w:val="0"/>
      <w:jc w:val="both"/>
    </w:pPr>
    <w:rPr>
      <w:rFonts w:hint="default" w:ascii="Times New Roman" w:hAnsi="Times New Roman" w:eastAsia="Arial Unicode MS" w:cs="Arial Unicode MS"/>
      <w:color w:val="000000"/>
      <w:sz w:val="21"/>
      <w:szCs w:val="21"/>
      <w:lang w:val="en-US" w:eastAsia="zh-CN" w:bidi="ar-SA"/>
    </w:rPr>
  </w:style>
  <w:style w:type="paragraph" w:customStyle="1" w:styleId="594">
    <w:name w:val="文本块1"/>
    <w:qFormat/>
    <w:uiPriority w:val="0"/>
    <w:pPr>
      <w:framePr w:wrap="around" w:vAnchor="margin" w:hAnchor="text" w:yAlign="top"/>
      <w:widowControl w:val="0"/>
      <w:spacing w:after="120"/>
      <w:ind w:left="1440" w:right="1440"/>
      <w:jc w:val="both"/>
    </w:pPr>
    <w:rPr>
      <w:rFonts w:hint="default" w:ascii="Times New Roman" w:hAnsi="Times New Roman" w:eastAsia="Arial Unicode MS" w:cs="Arial Unicode MS"/>
      <w:color w:val="000000"/>
      <w:sz w:val="21"/>
      <w:szCs w:val="21"/>
      <w:lang w:val="en-US" w:eastAsia="zh-CN" w:bidi="ar-SA"/>
    </w:rPr>
  </w:style>
  <w:style w:type="paragraph" w:customStyle="1" w:styleId="595">
    <w:name w:val="页脚1"/>
    <w:qFormat/>
    <w:uiPriority w:val="0"/>
    <w:pPr>
      <w:framePr w:wrap="around" w:vAnchor="margin" w:hAnchor="text" w:yAlign="top"/>
      <w:widowControl w:val="0"/>
      <w:tabs>
        <w:tab w:val="center" w:pos="4153"/>
        <w:tab w:val="right" w:pos="8306"/>
      </w:tabs>
    </w:pPr>
    <w:rPr>
      <w:rFonts w:hint="eastAsia" w:ascii="Arial Unicode MS" w:hAnsi="Arial Unicode MS" w:eastAsia="Times New Roman" w:cs="Arial Unicode MS"/>
      <w:color w:val="000000"/>
      <w:sz w:val="18"/>
      <w:szCs w:val="18"/>
      <w:lang w:val="en-US" w:eastAsia="zh-CN" w:bidi="ar-SA"/>
    </w:rPr>
  </w:style>
  <w:style w:type="paragraph" w:customStyle="1" w:styleId="596">
    <w:name w:val="页眉与页脚"/>
    <w:qFormat/>
    <w:uiPriority w:val="0"/>
    <w:pPr>
      <w:framePr w:wrap="around" w:vAnchor="margin" w:hAnchor="text" w:yAlign="top"/>
      <w:tabs>
        <w:tab w:val="right" w:pos="9020"/>
      </w:tabs>
    </w:pPr>
    <w:rPr>
      <w:rFonts w:hint="default" w:ascii="Times New Roman" w:hAnsi="Times New Roman" w:eastAsia="Arial Unicode MS" w:cs="Arial Unicode MS"/>
      <w:color w:val="000000"/>
      <w:sz w:val="24"/>
      <w:szCs w:val="24"/>
      <w:lang w:val="en-US" w:eastAsia="zh-CN" w:bidi="ar-SA"/>
    </w:rPr>
  </w:style>
  <w:style w:type="character" w:customStyle="1" w:styleId="597">
    <w:name w:val="标题 1 Char"/>
    <w:basedOn w:val="36"/>
    <w:link w:val="4"/>
    <w:qFormat/>
    <w:uiPriority w:val="0"/>
    <w:rPr>
      <w:rFonts w:ascii="黑体" w:eastAsia="黑体"/>
      <w:b/>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NJ</Company>
  <Pages>126</Pages>
  <Words>59180</Words>
  <Characters>61670</Characters>
  <TotalTime>2</TotalTime>
  <ScaleCrop>false</ScaleCrop>
  <LinksUpToDate>false</LinksUpToDate>
  <CharactersWithSpaces>62434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2021-04-23T05:25:00Z</dcterms:created>
  <dc:creator>wh</dc:creator>
  <cp:lastModifiedBy>代理</cp:lastModifiedBy>
  <dcterms:modified xsi:type="dcterms:W3CDTF">2025-09-24T06:56:18Z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eyJoZGlkIjoiMzYwM2E0OTM1MTNmYjdhZDYzZTk0ZmY4ODg5YjlmZWEiLCJ1c2VySWQiOiI0MzkyODMxNDkifQ==</vt:lpwstr>
  </property>
  <property fmtid="{D5CDD505-2E9C-101B-9397-08002B2CF9AE}" pid="3" name="KSOProductBuildVer">
    <vt:lpwstr>2052-12.1.0.22529</vt:lpwstr>
  </property>
  <property fmtid="{D5CDD505-2E9C-101B-9397-08002B2CF9AE}" pid="4" name="ICV">
    <vt:lpwstr>244CEA83509F4C29ACFAD36B5E4E2396_13</vt:lpwstr>
  </property>
</Properties>
</file>