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2BDD2">
      <w:pPr>
        <w:shd w:val="clear"/>
        <w:spacing w:line="400" w:lineRule="exact"/>
        <w:ind w:right="96" w:rightChars="50"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108C8DB">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90E2971">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F58A126">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462AF204">
      <w:pPr>
        <w:shd w:val="clear"/>
        <w:spacing w:line="400" w:lineRule="exact"/>
        <w:ind w:firstLine="448"/>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p>
    <w:p w14:paraId="78935AAB">
      <w:pPr>
        <w:pStyle w:val="16"/>
        <w:widowControl/>
        <w:shd w:val="clear"/>
        <w:overflowPunct w:val="0"/>
        <w:autoSpaceDE w:val="0"/>
        <w:autoSpaceDN w:val="0"/>
        <w:adjustRightInd w:val="0"/>
        <w:ind w:firstLine="849"/>
        <w:jc w:val="center"/>
        <w:textAlignment w:val="baseline"/>
        <w:outlineLvl w:val="0"/>
        <w:rPr>
          <w:rFonts w:hint="eastAsia" w:asciiTheme="minorEastAsia" w:hAnsiTheme="minorEastAsia" w:eastAsiaTheme="minorEastAsia" w:cstheme="minorEastAsia"/>
          <w:b/>
          <w:color w:val="000000" w:themeColor="text1"/>
          <w:kern w:val="0"/>
          <w:sz w:val="44"/>
          <w:szCs w:val="44"/>
          <w:highlight w:val="none"/>
          <w14:textFill>
            <w14:solidFill>
              <w14:schemeClr w14:val="tx1"/>
            </w14:solidFill>
          </w14:textFill>
        </w:rPr>
      </w:pPr>
      <w:bookmarkStart w:id="0" w:name="_Toc4808"/>
      <w:bookmarkStart w:id="1" w:name="_Toc20154"/>
      <w:r>
        <w:rPr>
          <w:rFonts w:hint="eastAsia" w:asciiTheme="minorEastAsia" w:hAnsiTheme="minorEastAsia" w:eastAsiaTheme="minorEastAsia" w:cstheme="minorEastAsia"/>
          <w:b/>
          <w:color w:val="000000" w:themeColor="text1"/>
          <w:kern w:val="0"/>
          <w:sz w:val="44"/>
          <w:szCs w:val="44"/>
          <w:highlight w:val="none"/>
          <w14:textFill>
            <w14:solidFill>
              <w14:schemeClr w14:val="tx1"/>
            </w14:solidFill>
          </w14:textFill>
        </w:rPr>
        <w:t>竞争性磋商文件</w:t>
      </w:r>
      <w:bookmarkEnd w:id="0"/>
      <w:bookmarkEnd w:id="1"/>
    </w:p>
    <w:p w14:paraId="480A3C72">
      <w:pPr>
        <w:shd w:val="clear"/>
        <w:spacing w:line="400" w:lineRule="exact"/>
        <w:ind w:firstLine="2961" w:firstLineChars="700"/>
        <w:jc w:val="left"/>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p>
    <w:p w14:paraId="4BBDB1A9">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7558ED7">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8559DE8">
      <w:pPr>
        <w:shd w:val="clear"/>
        <w:tabs>
          <w:tab w:val="left" w:pos="7881"/>
        </w:tabs>
        <w:autoSpaceDE w:val="0"/>
        <w:autoSpaceDN w:val="0"/>
        <w:adjustRightInd w:val="0"/>
        <w:spacing w:line="400" w:lineRule="exact"/>
        <w:ind w:firstLine="223"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79791EA">
      <w:pPr>
        <w:shd w:val="clear"/>
        <w:tabs>
          <w:tab w:val="left" w:pos="7881"/>
        </w:tabs>
        <w:autoSpaceDE w:val="0"/>
        <w:autoSpaceDN w:val="0"/>
        <w:adjustRightInd w:val="0"/>
        <w:spacing w:line="700" w:lineRule="exact"/>
        <w:ind w:firstLine="1052" w:firstLineChars="400"/>
        <w:outlineLvl w:val="0"/>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bookmarkStart w:id="2" w:name="_Toc23486"/>
      <w:bookmarkStart w:id="3" w:name="_Toc2667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项目编号：</w:t>
      </w:r>
      <w:bookmarkEnd w:id="2"/>
      <w:bookmarkEnd w:id="3"/>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JSJL2025—092302</w:t>
      </w:r>
    </w:p>
    <w:p w14:paraId="1CC5A689">
      <w:pPr>
        <w:shd w:val="clear"/>
        <w:tabs>
          <w:tab w:val="left" w:pos="7881"/>
        </w:tabs>
        <w:autoSpaceDE w:val="0"/>
        <w:autoSpaceDN w:val="0"/>
        <w:adjustRightInd w:val="0"/>
        <w:spacing w:line="700" w:lineRule="exact"/>
        <w:ind w:left="2341" w:leftChars="532" w:hanging="1315" w:hangingChars="500"/>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鼓楼人大实践中心装修改造项目</w:t>
      </w:r>
    </w:p>
    <w:p w14:paraId="65929827">
      <w:pPr>
        <w:shd w:val="clear"/>
        <w:spacing w:line="360" w:lineRule="auto"/>
        <w:ind w:firstLine="528"/>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E40DD3">
      <w:pPr>
        <w:shd w:val="clear"/>
        <w:autoSpaceDE w:val="0"/>
        <w:autoSpaceDN w:val="0"/>
        <w:adjustRightInd w:val="0"/>
        <w:spacing w:line="360" w:lineRule="auto"/>
        <w:ind w:firstLine="528"/>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EF32295">
      <w:pPr>
        <w:shd w:val="clear"/>
        <w:autoSpaceDE w:val="0"/>
        <w:autoSpaceDN w:val="0"/>
        <w:adjustRightInd w:val="0"/>
        <w:spacing w:line="400" w:lineRule="exact"/>
        <w:ind w:firstLine="526"/>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70827A2E">
      <w:pPr>
        <w:shd w:val="clear"/>
        <w:autoSpaceDE w:val="0"/>
        <w:autoSpaceDN w:val="0"/>
        <w:adjustRightInd w:val="0"/>
        <w:spacing w:line="400" w:lineRule="exact"/>
        <w:ind w:firstLine="395" w:firstLineChars="1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p>
    <w:p w14:paraId="58961E8F">
      <w:pPr>
        <w:pStyle w:val="13"/>
        <w:shd w:val="clear"/>
        <w:ind w:firstLine="526"/>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121F4ADD">
      <w:pPr>
        <w:shd w:val="clear"/>
        <w:tabs>
          <w:tab w:val="left" w:pos="7881"/>
        </w:tabs>
        <w:autoSpaceDE w:val="0"/>
        <w:autoSpaceDN w:val="0"/>
        <w:adjustRightInd w:val="0"/>
        <w:spacing w:line="360" w:lineRule="auto"/>
        <w:ind w:firstLine="1973" w:firstLineChars="7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5587BDE0">
      <w:pPr>
        <w:shd w:val="clear"/>
        <w:tabs>
          <w:tab w:val="left" w:pos="7881"/>
        </w:tabs>
        <w:autoSpaceDE w:val="0"/>
        <w:autoSpaceDN w:val="0"/>
        <w:adjustRightInd w:val="0"/>
        <w:spacing w:line="700" w:lineRule="exact"/>
        <w:ind w:firstLine="1973" w:firstLineChars="7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 购 人：</w:t>
      </w:r>
      <w:r>
        <w:rPr>
          <w:rFonts w:hint="eastAsia" w:asciiTheme="minorEastAsia" w:hAnsiTheme="minorEastAsia" w:eastAsiaTheme="minorEastAsia" w:cstheme="minorEastAsia"/>
          <w:color w:val="000000" w:themeColor="text1"/>
          <w:sz w:val="28"/>
          <w:szCs w:val="28"/>
          <w:highlight w:val="none"/>
          <w:u w:val="single"/>
          <w:lang w:eastAsia="zh-CN"/>
          <w14:textFill>
            <w14:solidFill>
              <w14:schemeClr w14:val="tx1"/>
            </w14:solidFill>
          </w14:textFill>
        </w:rPr>
        <w:t xml:space="preserve">南京市鼓楼区人民代表大会常务委员会办公室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14:paraId="538C200D">
      <w:pPr>
        <w:shd w:val="clear"/>
        <w:tabs>
          <w:tab w:val="left" w:pos="7881"/>
        </w:tabs>
        <w:autoSpaceDE w:val="0"/>
        <w:autoSpaceDN w:val="0"/>
        <w:adjustRightInd w:val="0"/>
        <w:spacing w:line="700" w:lineRule="exact"/>
        <w:ind w:firstLine="1973" w:firstLineChars="750"/>
        <w:rPr>
          <w:rFonts w:hint="eastAsia" w:asciiTheme="minorEastAsia" w:hAnsiTheme="minorEastAsia" w:eastAsiaTheme="minorEastAsia" w:cstheme="minorEastAsia"/>
          <w:color w:val="000000" w:themeColor="text1"/>
          <w:sz w:val="28"/>
          <w:szCs w:val="28"/>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代理机构：</w:t>
      </w:r>
      <w:r>
        <w:rPr>
          <w:rFonts w:hint="eastAsia" w:asciiTheme="minorEastAsia" w:hAnsiTheme="minorEastAsia" w:eastAsiaTheme="minorEastAsia" w:cstheme="minorEastAsia"/>
          <w:color w:val="000000" w:themeColor="text1"/>
          <w:sz w:val="28"/>
          <w:szCs w:val="28"/>
          <w:highlight w:val="none"/>
          <w:u w:val="single"/>
          <w:lang w:eastAsia="zh-CN"/>
          <w14:textFill>
            <w14:solidFill>
              <w14:schemeClr w14:val="tx1"/>
            </w14:solidFill>
          </w14:textFill>
        </w:rPr>
        <w:t>江苏京立资产评估咨询有限公司</w:t>
      </w:r>
    </w:p>
    <w:p w14:paraId="41B67F38">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13B61C9">
      <w:pPr>
        <w:shd w:val="clear"/>
        <w:spacing w:line="400" w:lineRule="exact"/>
        <w:ind w:firstLine="44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p>
    <w:p w14:paraId="2E2318B6">
      <w:pPr>
        <w:shd w:val="clear"/>
        <w:spacing w:line="400" w:lineRule="exact"/>
        <w:ind w:firstLine="608"/>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1377DCE8">
      <w:pPr>
        <w:shd w:val="clear"/>
        <w:spacing w:line="400" w:lineRule="exact"/>
        <w:ind w:firstLine="2424" w:firstLineChars="800"/>
        <w:outlineLvl w:val="0"/>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sectPr>
          <w:footerReference r:id="rId5" w:type="first"/>
          <w:headerReference r:id="rId3" w:type="default"/>
          <w:footerReference r:id="rId4" w:type="even"/>
          <w:pgSz w:w="11906" w:h="16838"/>
          <w:pgMar w:top="1418" w:right="1418" w:bottom="1134" w:left="1418" w:header="851" w:footer="992" w:gutter="0"/>
          <w:pgNumType w:start="0"/>
          <w:cols w:space="720" w:num="1"/>
          <w:docGrid w:type="linesAndChars" w:linePitch="291" w:charSpace="-3486"/>
        </w:sectPr>
      </w:pPr>
      <w:bookmarkStart w:id="4" w:name="_Toc3477"/>
      <w:bookmarkStart w:id="5" w:name="_Toc30764"/>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日  期：二〇二五年</w:t>
      </w:r>
      <w:r>
        <w:rPr>
          <w:rFonts w:hint="eastAsia" w:asciiTheme="minorEastAsia" w:hAnsiTheme="minorEastAsia" w:eastAsiaTheme="minorEastAsia" w:cstheme="minorEastAsia"/>
          <w:b/>
          <w:color w:val="000000" w:themeColor="text1"/>
          <w:sz w:val="32"/>
          <w:szCs w:val="32"/>
          <w:highlight w:val="none"/>
          <w:lang w:val="en-US" w:eastAsia="zh-CN"/>
          <w14:textFill>
            <w14:solidFill>
              <w14:schemeClr w14:val="tx1"/>
            </w14:solidFill>
          </w14:textFill>
        </w:rPr>
        <w:t>十</w:t>
      </w: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月</w:t>
      </w:r>
      <w:bookmarkEnd w:id="4"/>
      <w:bookmarkEnd w:id="5"/>
    </w:p>
    <w:p w14:paraId="78625B23">
      <w:pPr>
        <w:shd w:val="clear"/>
        <w:spacing w:line="360" w:lineRule="auto"/>
        <w:jc w:val="center"/>
        <w:rPr>
          <w:rFonts w:hint="eastAsia"/>
          <w:color w:val="000000" w:themeColor="text1"/>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p>
    <w:p w14:paraId="704F4A05">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r>
        <w:rPr>
          <w:highlight w:val="none"/>
        </w:rPr>
        <w:fldChar w:fldCharType="begin"/>
      </w:r>
      <w:r>
        <w:rPr>
          <w:rFonts w:hint="eastAsia"/>
          <w:highlight w:val="none"/>
        </w:rPr>
        <w:instrText xml:space="preserve"> HYPERLINK \l "_Toc1190" </w:instrText>
      </w:r>
      <w:r>
        <w:rPr>
          <w:color w:val="auto"/>
          <w:highlight w:val="none"/>
        </w:rPr>
        <w:fldChar w:fldCharType="separate"/>
      </w:r>
      <w:r>
        <w:rPr>
          <w:rFonts w:hint="eastAsia"/>
          <w:color w:val="000000" w:themeColor="text1"/>
          <w:highlight w:val="none"/>
          <w14:textFill>
            <w14:solidFill>
              <w14:schemeClr w14:val="tx1"/>
            </w14:solidFill>
          </w14:textFill>
        </w:rPr>
        <w:t>第一章 采购磋商公告</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_Toc1190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D788D8">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r>
        <w:rPr>
          <w:highlight w:val="none"/>
        </w:rPr>
        <w:fldChar w:fldCharType="begin"/>
      </w:r>
      <w:r>
        <w:rPr>
          <w:rFonts w:hint="eastAsia"/>
          <w:highlight w:val="none"/>
        </w:rPr>
        <w:instrText xml:space="preserve"> HYPERLINK \l "_Toc8919" </w:instrText>
      </w:r>
      <w:r>
        <w:rPr>
          <w:color w:val="auto"/>
          <w:highlight w:val="none"/>
        </w:rPr>
        <w:fldChar w:fldCharType="separate"/>
      </w:r>
      <w:r>
        <w:rPr>
          <w:rFonts w:hint="eastAsia"/>
          <w:color w:val="000000" w:themeColor="text1"/>
          <w:highlight w:val="none"/>
          <w14:textFill>
            <w14:solidFill>
              <w14:schemeClr w14:val="tx1"/>
            </w14:solidFill>
          </w14:textFill>
        </w:rPr>
        <w:t>第二章 供应商须知</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_Toc8919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A99704">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r>
        <w:rPr>
          <w:highlight w:val="none"/>
        </w:rPr>
        <w:fldChar w:fldCharType="begin"/>
      </w:r>
      <w:r>
        <w:rPr>
          <w:rFonts w:hint="eastAsia"/>
          <w:highlight w:val="none"/>
        </w:rPr>
        <w:instrText xml:space="preserve"> HYPERLINK \l "_Toc663" </w:instrText>
      </w:r>
      <w:r>
        <w:rPr>
          <w:color w:val="auto"/>
          <w:highlight w:val="none"/>
        </w:rPr>
        <w:fldChar w:fldCharType="separate"/>
      </w:r>
      <w:r>
        <w:rPr>
          <w:rFonts w:hint="eastAsia"/>
          <w:color w:val="000000" w:themeColor="text1"/>
          <w:highlight w:val="none"/>
          <w14:textFill>
            <w14:solidFill>
              <w14:schemeClr w14:val="tx1"/>
            </w14:solidFill>
          </w14:textFill>
        </w:rPr>
        <w:t>第三章 评标标准</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_Toc663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135867">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r>
        <w:rPr>
          <w:highlight w:val="none"/>
        </w:rPr>
        <w:fldChar w:fldCharType="begin"/>
      </w:r>
      <w:r>
        <w:rPr>
          <w:rFonts w:hint="eastAsia"/>
          <w:highlight w:val="none"/>
        </w:rPr>
        <w:instrText xml:space="preserve"> HYPERLINK \l "_Toc25810" </w:instrText>
      </w:r>
      <w:r>
        <w:rPr>
          <w:color w:val="auto"/>
          <w:highlight w:val="none"/>
        </w:rPr>
        <w:fldChar w:fldCharType="separate"/>
      </w:r>
      <w:r>
        <w:rPr>
          <w:rFonts w:hint="eastAsia"/>
          <w:color w:val="000000" w:themeColor="text1"/>
          <w:highlight w:val="none"/>
          <w14:textFill>
            <w14:solidFill>
              <w14:schemeClr w14:val="tx1"/>
            </w14:solidFill>
          </w14:textFill>
        </w:rPr>
        <w:t>第四章 采购需求</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_Toc25810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337376">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r>
        <w:rPr>
          <w:highlight w:val="none"/>
        </w:rPr>
        <w:fldChar w:fldCharType="begin"/>
      </w:r>
      <w:r>
        <w:rPr>
          <w:rFonts w:hint="eastAsia"/>
          <w:highlight w:val="none"/>
        </w:rPr>
        <w:instrText xml:space="preserve"> HYPERLINK \l "_Toc26718" </w:instrText>
      </w:r>
      <w:r>
        <w:rPr>
          <w:color w:val="auto"/>
          <w:highlight w:val="none"/>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第五章 合同条款及格式</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_Toc26718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E13C14">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r>
        <w:rPr>
          <w:highlight w:val="none"/>
        </w:rPr>
        <w:fldChar w:fldCharType="begin"/>
      </w:r>
      <w:r>
        <w:rPr>
          <w:rFonts w:hint="eastAsia"/>
          <w:highlight w:val="none"/>
        </w:rPr>
        <w:instrText xml:space="preserve"> HYPERLINK \l "_Toc4852" </w:instrText>
      </w:r>
      <w:r>
        <w:rPr>
          <w:color w:val="auto"/>
          <w:highlight w:val="none"/>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第六章 竞争性磋商文件响应格式及附件</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_Toc4852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0CA8650">
      <w:pPr>
        <w:pStyle w:val="22"/>
        <w:shd w:val="clear"/>
        <w:tabs>
          <w:tab w:val="right" w:leader="dot" w:pos="9072"/>
          <w:tab w:val="clear" w:pos="9062"/>
        </w:tabs>
        <w:spacing w:line="360" w:lineRule="auto"/>
        <w:ind w:firstLine="440"/>
        <w:rPr>
          <w:rFonts w:hint="eastAsia"/>
          <w:color w:val="000000" w:themeColor="text1"/>
          <w:highlight w:val="none"/>
          <w14:textFill>
            <w14:solidFill>
              <w14:schemeClr w14:val="tx1"/>
            </w14:solidFill>
          </w14:textFill>
        </w:rPr>
      </w:pPr>
    </w:p>
    <w:p w14:paraId="148F63A3">
      <w:pPr>
        <w:shd w:val="clea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p>
    <w:p w14:paraId="5BEE1D02">
      <w:pPr>
        <w:shd w:val="clear"/>
        <w:tabs>
          <w:tab w:val="left" w:pos="3659"/>
        </w:tabs>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58DBC9CA">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2D93216">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1633874">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6799867">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1D8853A">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A7BEBCC">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F11AFFA">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498CC83">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4EA6406">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F0C4159">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433E73E">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63B35A8">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8861286">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A8163C4">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0DD1BD1">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D80CA97">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0E8B609">
      <w:pPr>
        <w:shd w:val="clear"/>
        <w:tabs>
          <w:tab w:val="center" w:pos="4536"/>
        </w:tabs>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footerReference r:id="rId6" w:type="default"/>
          <w:pgSz w:w="11906" w:h="16838"/>
          <w:pgMar w:top="1417" w:right="1417" w:bottom="1020" w:left="1417" w:header="851" w:footer="992" w:gutter="0"/>
          <w:pgNumType w:start="1"/>
          <w:cols w:space="720" w:num="1"/>
          <w:docGrid w:type="lines" w:linePitch="312" w:charSpace="0"/>
        </w:sectPr>
      </w:pPr>
    </w:p>
    <w:p w14:paraId="1A9C2D12">
      <w:pPr>
        <w:pStyle w:val="2"/>
        <w:numPr>
          <w:ilvl w:val="0"/>
          <w:numId w:val="2"/>
        </w:numPr>
        <w:shd w:val="clear"/>
        <w:spacing w:line="480" w:lineRule="exact"/>
        <w:ind w:left="0" w:firstLine="641"/>
        <w:rPr>
          <w:rFonts w:hint="eastAsia"/>
          <w:color w:val="000000" w:themeColor="text1"/>
          <w:highlight w:val="none"/>
          <w14:textFill>
            <w14:solidFill>
              <w14:schemeClr w14:val="tx1"/>
            </w14:solidFill>
          </w14:textFill>
        </w:rPr>
      </w:pPr>
      <w:bookmarkStart w:id="6" w:name="_Toc1190"/>
      <w:bookmarkStart w:id="7" w:name="_Toc14025_WPSOffice_Level1"/>
      <w:bookmarkStart w:id="8" w:name="_Toc42519004"/>
      <w:bookmarkStart w:id="9" w:name="_Toc4328_WPSOffice_Level1"/>
      <w:bookmarkStart w:id="10" w:name="_Toc3093"/>
      <w:bookmarkStart w:id="11" w:name="_Toc22325_WPSOffice_Level1"/>
      <w:r>
        <w:rPr>
          <w:rFonts w:hint="eastAsia"/>
          <w:color w:val="000000" w:themeColor="text1"/>
          <w:highlight w:val="none"/>
          <w14:textFill>
            <w14:solidFill>
              <w14:schemeClr w14:val="tx1"/>
            </w14:solidFill>
          </w14:textFill>
        </w:rPr>
        <w:t>采购磋商公告</w:t>
      </w:r>
      <w:bookmarkEnd w:id="6"/>
      <w:bookmarkEnd w:id="7"/>
      <w:bookmarkEnd w:id="8"/>
      <w:bookmarkEnd w:id="9"/>
      <w:bookmarkEnd w:id="10"/>
      <w:bookmarkEnd w:id="11"/>
    </w:p>
    <w:p w14:paraId="7479CF0C">
      <w:pPr>
        <w:pBdr>
          <w:top w:val="single" w:color="auto" w:sz="4" w:space="1"/>
          <w:left w:val="single" w:color="auto" w:sz="4" w:space="4"/>
          <w:bottom w:val="single" w:color="auto" w:sz="4" w:space="1"/>
          <w:right w:val="single" w:color="auto" w:sz="4" w:space="4"/>
        </w:pBdr>
        <w:shd w:val="clear"/>
        <w:spacing w:line="48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2" w:name="_Toc7319_WPSOffice_Level2"/>
      <w:bookmarkStart w:id="13" w:name="_Toc8319_WPSOffice_Level1"/>
      <w:bookmarkStart w:id="14" w:name="_Toc5378_WPSOffice_Level1"/>
      <w:bookmarkStart w:id="15" w:name="_Toc8594"/>
      <w:bookmarkStart w:id="16" w:name="_Toc795_WPSOffice_Level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项目概况：</w:t>
      </w:r>
    </w:p>
    <w:p w14:paraId="0008F274">
      <w:pPr>
        <w:pBdr>
          <w:top w:val="single" w:color="auto" w:sz="4" w:space="1"/>
          <w:left w:val="single" w:color="auto" w:sz="4" w:space="4"/>
          <w:bottom w:val="single" w:color="auto" w:sz="4" w:space="1"/>
          <w:right w:val="single" w:color="auto" w:sz="4" w:space="4"/>
        </w:pBd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鼓楼人大实践中心装修改造项目</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项目的潜在供应商应在 </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江苏京立资产评估咨询有限公司</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线上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获取采购文件，并于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年</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日1</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bCs/>
          <w:color w:val="000000" w:themeColor="text1"/>
          <w:szCs w:val="21"/>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分</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（北京时间）前提交相应文件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bookmarkEnd w:id="12"/>
    <w:p w14:paraId="7249FF9D">
      <w:pPr>
        <w:shd w:val="clear"/>
        <w:spacing w:line="440" w:lineRule="exact"/>
        <w:ind w:firstLine="422"/>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17" w:name="_Toc32474_WPSOffice_Level2"/>
      <w:bookmarkStart w:id="18" w:name="_Toc24109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一、项目基本情况</w:t>
      </w:r>
      <w:bookmarkEnd w:id="17"/>
      <w:bookmarkEnd w:id="18"/>
    </w:p>
    <w:p w14:paraId="1BE02213">
      <w:pPr>
        <w:pStyle w:val="109"/>
        <w:shd w:val="clear"/>
        <w:spacing w:line="440" w:lineRule="exac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JSJL2025—092302</w:t>
      </w:r>
    </w:p>
    <w:p w14:paraId="0087F3B8">
      <w:pPr>
        <w:pStyle w:val="109"/>
        <w:shd w:val="clear"/>
        <w:spacing w:line="440" w:lineRule="exact"/>
        <w:ind w:left="1529" w:leftChars="228" w:hanging="1050" w:hangingChars="5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鼓楼人大实践中心装修改造项目</w:t>
      </w:r>
    </w:p>
    <w:p w14:paraId="7A9D91E3">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采购方式：竞争性磋商</w:t>
      </w:r>
    </w:p>
    <w:p w14:paraId="09F2AC94">
      <w:pPr>
        <w:pStyle w:val="109"/>
        <w:shd w:val="clear"/>
        <w:spacing w:line="440" w:lineRule="exac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22.00万</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元</w:t>
      </w:r>
    </w:p>
    <w:p w14:paraId="3DD35334">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22.00万</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（供应商报价不得超过最高限价）</w:t>
      </w:r>
    </w:p>
    <w:p w14:paraId="10CDFFAB">
      <w:pPr>
        <w:pStyle w:val="109"/>
        <w:shd w:val="clear"/>
        <w:spacing w:line="440" w:lineRule="exact"/>
        <w:ind w:left="1529" w:leftChars="228" w:hanging="1050" w:hangingChars="5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采购需求：</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鼓楼人大实践中心装修改造项目</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，项目总面积约套内361㎡，现场为二次装修</w:t>
      </w:r>
    </w:p>
    <w:p w14:paraId="7C22A130">
      <w:pPr>
        <w:pStyle w:val="109"/>
        <w:shd w:val="clear"/>
        <w:spacing w:line="440" w:lineRule="exact"/>
        <w:ind w:left="1529" w:leftChars="228" w:hanging="1050" w:hangingChars="5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基本拆除状态，需要对其进行除卫生间以外的整体装修改造，包括砌墙隔墙、吊顶、地面铺装、</w:t>
      </w:r>
    </w:p>
    <w:p w14:paraId="6F2BB686">
      <w:pPr>
        <w:pStyle w:val="109"/>
        <w:shd w:val="clear"/>
        <w:spacing w:line="440" w:lineRule="exact"/>
        <w:ind w:left="1529" w:leftChars="228" w:hanging="1050" w:hangingChars="500"/>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墙面涂刷、水电改造，弱电铺设，设备安装等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,具体详见</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工程量清单及</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采购文件</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w:t>
      </w:r>
    </w:p>
    <w:p w14:paraId="7B061B34">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9" w:name="OLE_LINK2"/>
      <w:bookmarkStart w:id="20" w:name="OLE_LINK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工期 ：</w:t>
      </w:r>
      <w:bookmarkEnd w:id="19"/>
      <w:bookmarkEnd w:id="20"/>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接到采购人开工书面通知后，20个日历日内完成竣工并通过验收，具体时间要求以成交供应商工期承诺为准。</w:t>
      </w:r>
    </w:p>
    <w:p w14:paraId="344E82B7">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本项目不接受联合体。</w:t>
      </w:r>
    </w:p>
    <w:p w14:paraId="42F984D1">
      <w:pPr>
        <w:shd w:val="clear"/>
        <w:spacing w:line="440" w:lineRule="exact"/>
        <w:ind w:firstLine="422"/>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21" w:name="_Toc4922_WPSOffice_Level2"/>
      <w:bookmarkStart w:id="22" w:name="_Toc32178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二、申请人的资格要求：</w:t>
      </w:r>
      <w:bookmarkEnd w:id="21"/>
      <w:bookmarkEnd w:id="22"/>
    </w:p>
    <w:p w14:paraId="796913B3">
      <w:pPr>
        <w:pStyle w:val="27"/>
        <w:shd w:val="clear" w:color="auto"/>
        <w:spacing w:before="120" w:beforeAutospacing="0" w:after="0" w:afterAutospacing="0"/>
        <w:ind w:firstLine="42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1、满足《中华人民共和国政府采购法》第二十二条规定：</w:t>
      </w:r>
    </w:p>
    <w:p w14:paraId="4F25A8B2">
      <w:pPr>
        <w:shd w:val="clear"/>
        <w:adjustRightInd w:val="0"/>
        <w:snapToGrid w:val="0"/>
        <w:spacing w:line="560" w:lineRule="exact"/>
        <w:ind w:firstLine="420" w:firstLineChars="2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（1）具有独立承担民事责任的能力（提供法人或者其他组织营业执照，自然人的身份证明）；</w:t>
      </w:r>
    </w:p>
    <w:p w14:paraId="72C59971">
      <w:pPr>
        <w:shd w:val="clear"/>
        <w:adjustRightInd w:val="0"/>
        <w:snapToGrid w:val="0"/>
        <w:spacing w:line="560" w:lineRule="exact"/>
        <w:ind w:firstLine="420" w:firstLineChars="2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（2）具有良好的商业信誉和健全的财务会计制度（提供参加本次政府采购活动前的会计报表，成立不满一年的无需提供）；</w:t>
      </w:r>
    </w:p>
    <w:p w14:paraId="219C69A8">
      <w:pPr>
        <w:shd w:val="clear"/>
        <w:adjustRightInd w:val="0"/>
        <w:snapToGrid w:val="0"/>
        <w:spacing w:line="560" w:lineRule="exact"/>
        <w:ind w:firstLine="420" w:firstLineChars="2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（3）具有履行合同所必需的设备和专业技术能力（根据项目需求提供履行合同所必需的设备和专业技术能力的证明材料）；</w:t>
      </w:r>
    </w:p>
    <w:p w14:paraId="088E1133">
      <w:pPr>
        <w:shd w:val="clear"/>
        <w:adjustRightInd w:val="0"/>
        <w:snapToGrid w:val="0"/>
        <w:spacing w:line="560" w:lineRule="exact"/>
        <w:ind w:firstLine="420" w:firstLineChars="2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（4）有依法缴纳税收和社会保障资金的良好记录（提供参加本次政府采购活动前半年内（至少一个月）依法缴纳税收和社会保障资金的相关材料）；</w:t>
      </w:r>
    </w:p>
    <w:p w14:paraId="4D3689B9">
      <w:pPr>
        <w:shd w:val="clear"/>
        <w:adjustRightInd w:val="0"/>
        <w:snapToGrid w:val="0"/>
        <w:spacing w:line="480" w:lineRule="exact"/>
        <w:ind w:firstLine="420" w:firstLineChars="200"/>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（5）参加政府采购活动前三年内，在经营活动中没有重大违法记录（提供参加本次政府采购活动前3年内在经营活动中没有重大违法记录的书面声明）。</w:t>
      </w:r>
    </w:p>
    <w:p w14:paraId="404E60E3">
      <w:pPr>
        <w:shd w:val="clear"/>
        <w:adjustRightInd w:val="0"/>
        <w:snapToGrid w:val="0"/>
        <w:spacing w:line="4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（6）法律、行政法规规定的其他条件：无。</w:t>
      </w:r>
    </w:p>
    <w:p w14:paraId="19E7C6C6">
      <w:pPr>
        <w:widowControl/>
        <w:shd w:val="clear" w:color="auto"/>
        <w:spacing w:line="480" w:lineRule="exact"/>
        <w:ind w:firstLine="363" w:firstLineChars="173"/>
        <w:outlineLvl w:val="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注：根据《关于在政府采购活动中推行信用承诺制的通知》（宁财购通</w:t>
      </w:r>
      <w:r>
        <w:rPr>
          <w:rFonts w:hint="eastAsia" w:ascii="宋体" w:hAnsi="宋体" w:cs="宋体"/>
          <w:bCs/>
          <w:color w:val="000000" w:themeColor="text1"/>
          <w:szCs w:val="21"/>
          <w:highlight w:val="none"/>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5号）的规定，本项目公告“二. 申请人的资格要求  申请人的资格要求 ”中涉及的证明材料，供应商可以在投标文件中一次性提交，也可以在投标文件中提供满足相应条件的书面承诺书（《南京市政府采购供应商信用记录表暨信用承诺书》（详见《关于在政府采购活动中推行信用承诺制的通知》宁财购通</w:t>
      </w:r>
      <w:r>
        <w:rPr>
          <w:rFonts w:hint="eastAsia" w:ascii="宋体" w:hAnsi="宋体" w:cs="宋体"/>
          <w:bCs/>
          <w:color w:val="000000" w:themeColor="text1"/>
          <w:szCs w:val="21"/>
          <w:highlight w:val="none"/>
          <w14:textFill>
            <w14:solidFill>
              <w14:schemeClr w14:val="tx1"/>
            </w14:solidFill>
          </w14:textFill>
        </w:rPr>
        <w:t>〔2021〕</w:t>
      </w:r>
      <w:r>
        <w:rPr>
          <w:rFonts w:hint="eastAsia" w:ascii="宋体" w:hAnsi="宋体"/>
          <w:color w:val="000000" w:themeColor="text1"/>
          <w:szCs w:val="21"/>
          <w:highlight w:val="none"/>
          <w14:textFill>
            <w14:solidFill>
              <w14:schemeClr w14:val="tx1"/>
            </w14:solidFill>
          </w14:textFill>
        </w:rPr>
        <w:t>5号附件）），不再需要提供上述涉及的证明材料。</w:t>
      </w:r>
    </w:p>
    <w:p w14:paraId="6BC15964">
      <w:pPr>
        <w:pStyle w:val="113"/>
        <w:shd w:val="clear"/>
        <w:spacing w:line="480" w:lineRule="exact"/>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供应商仅提供信用承诺书而未提供“二、申请人的资格要求  申请人的资格要求”中涉及的证明材料的，须在中标（成交）后，另行提供上述由信用承诺书替代的证明材料（一式三份），材料须加盖公章并按招标文件要求胶装提交采购人核验。经核验无误后，由采购人发出中标（成交）通知书。</w:t>
      </w:r>
    </w:p>
    <w:p w14:paraId="738F4BC2">
      <w:pPr>
        <w:pStyle w:val="113"/>
        <w:shd w:val="clear"/>
        <w:spacing w:line="480" w:lineRule="exact"/>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投标人涉及以下情形的，不适用信用承诺，仍须提供上述证明材料：</w:t>
      </w:r>
    </w:p>
    <w:p w14:paraId="5B5A4A2F">
      <w:pPr>
        <w:pStyle w:val="113"/>
        <w:shd w:val="clear"/>
        <w:spacing w:line="480" w:lineRule="exact"/>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供应商被列入严重失信主体名单；</w:t>
      </w:r>
    </w:p>
    <w:p w14:paraId="31DCDEE4">
      <w:pPr>
        <w:pStyle w:val="113"/>
        <w:shd w:val="clear"/>
        <w:spacing w:line="480" w:lineRule="exact"/>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被相关监管部门作出行政处罚且尚在处罚有效期内；</w:t>
      </w:r>
    </w:p>
    <w:p w14:paraId="015FA74D">
      <w:pPr>
        <w:pStyle w:val="113"/>
        <w:shd w:val="clear"/>
        <w:spacing w:line="480" w:lineRule="exact"/>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其他法律、行政法规规定的不适用信用承诺的情形。</w:t>
      </w:r>
    </w:p>
    <w:p w14:paraId="4DA1D99D">
      <w:pPr>
        <w:pStyle w:val="113"/>
        <w:shd w:val="clear"/>
        <w:spacing w:line="480" w:lineRule="exact"/>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投标人对信用承诺内容的真实性、合法性、有效性负责。如作出虚假信用承诺，视同为“提供虚假材料谋取中标、成交”的违法行为。</w:t>
      </w:r>
    </w:p>
    <w:p w14:paraId="55262F0E">
      <w:pPr>
        <w:pStyle w:val="113"/>
        <w:shd w:val="clear"/>
        <w:spacing w:line="480" w:lineRule="exact"/>
        <w:ind w:firstLine="42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落实政府采购政策需满足的资格要求：本项目专门面向中小企业采购，不执行价格扣除优惠政策，供应商应为中小微企业、监狱企业、残疾人福利性单位,提供《中小企业声明函》；监狱和戒毒企业视同小型、微型企业，提供由省级以上监狱管理局、戒毒管理局(含新疆生产建设兵团)出具的属于监狱企业的证明文件；残疾人福利性单位视同小型、微型企业，提供《残疾人福利性单位声明函》</w:t>
      </w:r>
    </w:p>
    <w:p w14:paraId="34E81B48">
      <w:pPr>
        <w:pStyle w:val="113"/>
        <w:shd w:val="clear"/>
        <w:spacing w:line="480" w:lineRule="exact"/>
        <w:ind w:firstLine="42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3、本项目的特定资格要求：</w:t>
      </w:r>
    </w:p>
    <w:p w14:paraId="20A2EAAA">
      <w:pPr>
        <w:pStyle w:val="113"/>
        <w:shd w:val="clear"/>
        <w:spacing w:line="480" w:lineRule="exact"/>
        <w:ind w:firstLine="420"/>
        <w:rPr>
          <w:rFonts w:hint="eastAsia"/>
          <w:b/>
          <w:bCs/>
          <w:color w:val="000000" w:themeColor="text1"/>
          <w:sz w:val="21"/>
          <w:szCs w:val="21"/>
          <w:highlight w:val="none"/>
          <w:lang w:val="zh-CN"/>
          <w14:textFill>
            <w14:solidFill>
              <w14:schemeClr w14:val="tx1"/>
            </w14:solidFill>
          </w14:textFill>
        </w:rPr>
      </w:pPr>
      <w:r>
        <w:rPr>
          <w:rFonts w:hint="eastAsia"/>
          <w:b/>
          <w:bCs/>
          <w:color w:val="000000" w:themeColor="text1"/>
          <w:sz w:val="21"/>
          <w:szCs w:val="21"/>
          <w:highlight w:val="none"/>
          <w:lang w:val="zh-CN"/>
          <w14:textFill>
            <w14:solidFill>
              <w14:schemeClr w14:val="tx1"/>
            </w14:solidFill>
          </w14:textFill>
        </w:rPr>
        <w:t>企业资质：</w:t>
      </w:r>
      <w:r>
        <w:rPr>
          <w:rFonts w:hint="eastAsia"/>
          <w:b/>
          <w:bCs/>
          <w:color w:val="000000" w:themeColor="text1"/>
          <w:sz w:val="21"/>
          <w:szCs w:val="21"/>
          <w:highlight w:val="none"/>
          <w:lang w:val="en-US" w:eastAsia="zh-CN"/>
          <w14:textFill>
            <w14:solidFill>
              <w14:schemeClr w14:val="tx1"/>
            </w14:solidFill>
          </w14:textFill>
        </w:rPr>
        <w:t>建筑工程</w:t>
      </w:r>
      <w:r>
        <w:rPr>
          <w:rFonts w:hint="eastAsia"/>
          <w:b/>
          <w:bCs/>
          <w:color w:val="000000" w:themeColor="text1"/>
          <w:sz w:val="21"/>
          <w:szCs w:val="21"/>
          <w:highlight w:val="none"/>
          <w:lang w:val="zh-CN"/>
          <w14:textFill>
            <w14:solidFill>
              <w14:schemeClr w14:val="tx1"/>
            </w14:solidFill>
          </w14:textFill>
        </w:rPr>
        <w:t>施工总承包三级(含)以上；建设行政主管部门核发的安全生产许可证书在有效期内。</w:t>
      </w:r>
    </w:p>
    <w:p w14:paraId="476B61E9">
      <w:pPr>
        <w:pStyle w:val="113"/>
        <w:shd w:val="clear"/>
        <w:spacing w:line="480" w:lineRule="exact"/>
        <w:ind w:firstLine="42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val="zh-CN"/>
          <w14:textFill>
            <w14:solidFill>
              <w14:schemeClr w14:val="tx1"/>
            </w14:solidFill>
          </w14:textFill>
        </w:rPr>
        <w:t>拒绝下述供应商参加本次采购活动：</w:t>
      </w:r>
    </w:p>
    <w:p w14:paraId="7D980FCB">
      <w:pPr>
        <w:pStyle w:val="113"/>
        <w:shd w:val="clear"/>
        <w:spacing w:line="480" w:lineRule="exact"/>
        <w:ind w:firstLine="420"/>
        <w:rPr>
          <w:rFonts w:hint="eastAsia"/>
          <w:color w:val="000000" w:themeColor="text1"/>
          <w:sz w:val="21"/>
          <w:szCs w:val="21"/>
          <w:highlight w:val="none"/>
          <w:lang w:val="zh-CN"/>
          <w14:textFill>
            <w14:solidFill>
              <w14:schemeClr w14:val="tx1"/>
            </w14:solidFill>
          </w14:textFill>
        </w:rPr>
      </w:pPr>
      <w:bookmarkStart w:id="23" w:name="_Toc7474_WPSOffice_Level2"/>
      <w:bookmarkStart w:id="24" w:name="_Toc32083_WPSOffice_Level2"/>
      <w:r>
        <w:rPr>
          <w:rFonts w:hint="eastAsia"/>
          <w:color w:val="000000" w:themeColor="text1"/>
          <w:sz w:val="21"/>
          <w:szCs w:val="21"/>
          <w:highlight w:val="none"/>
          <w:lang w:val="zh-CN"/>
          <w14:textFill>
            <w14:solidFill>
              <w14:schemeClr w14:val="tx1"/>
            </w14:solidFill>
          </w14:textFill>
        </w:rPr>
        <w:t>（1）供应商单位负责人为同一人或者存在直接控股、管理关系的不同供应商，不得参加同一合同项下的政府采购活动；</w:t>
      </w:r>
    </w:p>
    <w:p w14:paraId="4DA2CB04">
      <w:pPr>
        <w:pStyle w:val="113"/>
        <w:shd w:val="clear"/>
        <w:spacing w:line="480" w:lineRule="exact"/>
        <w:ind w:firstLine="420"/>
        <w:rPr>
          <w:rFonts w:hint="eastAsia"/>
          <w:color w:val="000000" w:themeColor="text1"/>
          <w:sz w:val="21"/>
          <w:szCs w:val="21"/>
          <w:highlight w:val="none"/>
          <w:lang w:val="zh-CN"/>
          <w14:textFill>
            <w14:solidFill>
              <w14:schemeClr w14:val="tx1"/>
            </w14:solidFill>
          </w14:textFill>
        </w:rPr>
      </w:pPr>
      <w:r>
        <w:rPr>
          <w:rFonts w:hint="eastAsia"/>
          <w:color w:val="000000" w:themeColor="text1"/>
          <w:sz w:val="21"/>
          <w:szCs w:val="21"/>
          <w:highlight w:val="none"/>
          <w:lang w:val="zh-CN"/>
          <w14:textFill>
            <w14:solidFill>
              <w14:schemeClr w14:val="tx1"/>
            </w14:solidFill>
          </w14:textFill>
        </w:rPr>
        <w:t>（2）被“信用中国”网站（https://njgc.jfh.com/）列入失信被执行人、重大税收违法案件当事人名单、政府采购严重失信行为记录名单。</w:t>
      </w:r>
    </w:p>
    <w:p w14:paraId="7953446C">
      <w:pPr>
        <w:pStyle w:val="113"/>
        <w:shd w:val="clear"/>
        <w:spacing w:line="480" w:lineRule="exact"/>
        <w:ind w:firstLine="42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三、获取采购文件</w:t>
      </w:r>
      <w:bookmarkEnd w:id="23"/>
      <w:bookmarkEnd w:id="24"/>
    </w:p>
    <w:p w14:paraId="0A74D9A0">
      <w:pPr>
        <w:pStyle w:val="27"/>
        <w:shd w:val="clear"/>
        <w:spacing w:before="0" w:beforeAutospacing="0" w:after="0" w:afterAutospacing="0" w:line="440" w:lineRule="exact"/>
        <w:ind w:firstLine="420"/>
        <w:rPr>
          <w:rFonts w:hint="eastAsia" w:cs="宋体"/>
          <w:color w:val="000000" w:themeColor="text1"/>
          <w:sz w:val="21"/>
          <w:szCs w:val="21"/>
          <w:highlight w:val="none"/>
          <w14:textFill>
            <w14:solidFill>
              <w14:schemeClr w14:val="tx1"/>
            </w14:solidFill>
          </w14:textFill>
        </w:rPr>
      </w:pPr>
      <w:bookmarkStart w:id="25" w:name="_Toc27040_WPSOffice_Level2"/>
      <w:bookmarkStart w:id="26" w:name="_Toc23461_WPSOffice_Level2"/>
      <w:r>
        <w:rPr>
          <w:rFonts w:hint="eastAsia" w:cs="宋体"/>
          <w:color w:val="000000" w:themeColor="text1"/>
          <w:sz w:val="21"/>
          <w:szCs w:val="21"/>
          <w:highlight w:val="none"/>
          <w14:textFill>
            <w14:solidFill>
              <w14:schemeClr w14:val="tx1"/>
            </w14:solidFill>
          </w14:textFill>
        </w:rPr>
        <w:t>时间：2025年</w:t>
      </w:r>
      <w:r>
        <w:rPr>
          <w:rFonts w:hint="eastAsia" w:cs="宋体"/>
          <w:color w:val="000000" w:themeColor="text1"/>
          <w:sz w:val="21"/>
          <w:szCs w:val="21"/>
          <w:highlight w:val="none"/>
          <w:lang w:val="en-US" w:eastAsia="zh-CN"/>
          <w14:textFill>
            <w14:solidFill>
              <w14:schemeClr w14:val="tx1"/>
            </w14:solidFill>
          </w14:textFill>
        </w:rPr>
        <w:t>10</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12</w:t>
      </w:r>
      <w:r>
        <w:rPr>
          <w:rFonts w:hint="eastAsia" w:cs="宋体"/>
          <w:color w:val="000000" w:themeColor="text1"/>
          <w:sz w:val="21"/>
          <w:szCs w:val="21"/>
          <w:highlight w:val="none"/>
          <w14:textFill>
            <w14:solidFill>
              <w14:schemeClr w14:val="tx1"/>
            </w14:solidFill>
          </w14:textFill>
        </w:rPr>
        <w:t>日  09：00至2025年</w:t>
      </w:r>
      <w:r>
        <w:rPr>
          <w:rFonts w:hint="eastAsia" w:cs="宋体"/>
          <w:color w:val="000000" w:themeColor="text1"/>
          <w:sz w:val="21"/>
          <w:szCs w:val="21"/>
          <w:highlight w:val="none"/>
          <w:lang w:val="en-US" w:eastAsia="zh-CN"/>
          <w14:textFill>
            <w14:solidFill>
              <w14:schemeClr w14:val="tx1"/>
            </w14:solidFill>
          </w14:textFill>
        </w:rPr>
        <w:t>10</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17</w:t>
      </w:r>
      <w:r>
        <w:rPr>
          <w:rFonts w:hint="eastAsia" w:cs="宋体"/>
          <w:color w:val="000000" w:themeColor="text1"/>
          <w:sz w:val="21"/>
          <w:szCs w:val="21"/>
          <w:highlight w:val="none"/>
          <w14:textFill>
            <w14:solidFill>
              <w14:schemeClr w14:val="tx1"/>
            </w14:solidFill>
          </w14:textFill>
        </w:rPr>
        <w:t>日 17：00（北京时间，</w:t>
      </w:r>
      <w:r>
        <w:rPr>
          <w:rFonts w:hint="eastAsia" w:cs="宋体"/>
          <w:color w:val="000000" w:themeColor="text1"/>
          <w:sz w:val="21"/>
          <w:szCs w:val="21"/>
          <w:highlight w:val="none"/>
          <w:lang w:val="en-US" w:eastAsia="zh-CN"/>
          <w14:textFill>
            <w14:solidFill>
              <w14:schemeClr w14:val="tx1"/>
            </w14:solidFill>
          </w14:textFill>
        </w:rPr>
        <w:t>周日</w:t>
      </w:r>
      <w:r>
        <w:rPr>
          <w:rFonts w:hint="eastAsia" w:cs="宋体"/>
          <w:color w:val="000000" w:themeColor="text1"/>
          <w:sz w:val="21"/>
          <w:szCs w:val="21"/>
          <w:highlight w:val="none"/>
          <w14:textFill>
            <w14:solidFill>
              <w14:schemeClr w14:val="tx1"/>
            </w14:solidFill>
          </w14:textFill>
        </w:rPr>
        <w:t>除外）</w:t>
      </w:r>
    </w:p>
    <w:p w14:paraId="3FCD824D">
      <w:pPr>
        <w:pStyle w:val="27"/>
        <w:shd w:val="clear"/>
        <w:spacing w:before="0" w:beforeAutospacing="0" w:after="0" w:afterAutospacing="0" w:line="440" w:lineRule="exact"/>
        <w:ind w:firstLine="42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方式：凡有意参与报名者，可将个人有效身份证件复印件加盖公章、营业执照副本复印件加盖公章、单位介绍信原件扫描件（或授权委托书原件扫描件）发送至jiangsujingli2025@163.com，邮件请统一命名为“项目名称+单位名称+联系人+联系电话”（报名资料原件开标时随投标文件一起递交）</w:t>
      </w:r>
      <w:r>
        <w:rPr>
          <w:rFonts w:hint="eastAsia" w:cs="宋体"/>
          <w:color w:val="auto"/>
          <w:sz w:val="21"/>
          <w:szCs w:val="21"/>
          <w:highlight w:val="none"/>
          <w:lang w:eastAsia="zh-CN"/>
        </w:rPr>
        <w:t>，</w:t>
      </w:r>
      <w:r>
        <w:rPr>
          <w:rFonts w:hint="eastAsia" w:cs="宋体"/>
          <w:color w:val="auto"/>
          <w:sz w:val="21"/>
          <w:szCs w:val="21"/>
          <w:highlight w:val="none"/>
          <w:lang w:val="en-US" w:eastAsia="zh-CN"/>
        </w:rPr>
        <w:t>招标文件自行下载</w:t>
      </w:r>
      <w:r>
        <w:rPr>
          <w:rFonts w:hint="eastAsia" w:cs="宋体"/>
          <w:color w:val="auto"/>
          <w:sz w:val="21"/>
          <w:szCs w:val="21"/>
          <w:highlight w:val="none"/>
        </w:rPr>
        <w:t>。</w:t>
      </w:r>
      <w:bookmarkStart w:id="746" w:name="_GoBack"/>
      <w:bookmarkEnd w:id="746"/>
      <w:r>
        <w:rPr>
          <w:rFonts w:hint="eastAsia" w:cs="宋体"/>
          <w:color w:val="auto"/>
          <w:sz w:val="21"/>
          <w:szCs w:val="21"/>
          <w:highlight w:val="none"/>
        </w:rPr>
        <w:br w:type="textWrapping"/>
      </w:r>
      <w:r>
        <w:rPr>
          <w:rFonts w:hint="eastAsia" w:cs="宋体"/>
          <w:color w:val="auto"/>
          <w:sz w:val="21"/>
          <w:szCs w:val="21"/>
          <w:highlight w:val="none"/>
          <w:lang w:val="en-US" w:eastAsia="zh-CN"/>
        </w:rPr>
        <w:t xml:space="preserve">  </w:t>
      </w:r>
      <w:r>
        <w:rPr>
          <w:rFonts w:hint="eastAsia" w:cs="宋体"/>
          <w:sz w:val="21"/>
          <w:szCs w:val="21"/>
          <w:highlight w:val="none"/>
        </w:rPr>
        <w:t>售价：0元/份（售后不退）</w:t>
      </w:r>
    </w:p>
    <w:p w14:paraId="4A0CA022">
      <w:pPr>
        <w:shd w:val="clear"/>
        <w:spacing w:line="440" w:lineRule="exact"/>
        <w:ind w:firstLine="422" w:firstLineChars="20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四、响应文件提交</w:t>
      </w:r>
      <w:bookmarkEnd w:id="25"/>
      <w:bookmarkEnd w:id="26"/>
    </w:p>
    <w:p w14:paraId="61682239">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开始时间：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日14点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（北京时间）</w:t>
      </w:r>
    </w:p>
    <w:p w14:paraId="72F5D7CB">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截止时间：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日1</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（北京时间）</w:t>
      </w:r>
    </w:p>
    <w:p w14:paraId="5C6486F2">
      <w:pPr>
        <w:pStyle w:val="109"/>
        <w:shd w:val="clear"/>
        <w:spacing w:line="440" w:lineRule="exac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地点：</w:t>
      </w:r>
      <w:r>
        <w:rPr>
          <w:rFonts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南京市江北新区孵鹰大厦</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C1</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6会议室</w:t>
      </w:r>
    </w:p>
    <w:p w14:paraId="1799EA07">
      <w:pPr>
        <w:shd w:val="clear"/>
        <w:spacing w:line="440" w:lineRule="exact"/>
        <w:ind w:firstLine="422" w:firstLineChars="20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27" w:name="_Toc21569_WPSOffice_Level2"/>
      <w:bookmarkStart w:id="28" w:name="_Toc29694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五、开启</w:t>
      </w:r>
      <w:bookmarkEnd w:id="27"/>
      <w:bookmarkEnd w:id="28"/>
    </w:p>
    <w:p w14:paraId="06B3C88B">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日1</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（北京时间）</w:t>
      </w:r>
    </w:p>
    <w:p w14:paraId="3A21203D">
      <w:pPr>
        <w:pStyle w:val="13"/>
        <w:shd w:val="clea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地点：</w:t>
      </w:r>
      <w:r>
        <w:rPr>
          <w:rFonts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南京市江北新区孵鹰大厦</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C1</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6会议室</w:t>
      </w:r>
    </w:p>
    <w:p w14:paraId="23DE904A">
      <w:pPr>
        <w:pStyle w:val="13"/>
        <w:shd w:val="clear"/>
        <w:spacing w:line="440" w:lineRule="exact"/>
        <w:ind w:firstLine="422"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bookmarkStart w:id="29" w:name="_Toc28728_WPSOffice_Level2"/>
      <w:bookmarkStart w:id="30" w:name="_Toc10573_WPSOffice_Level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六、公告期限</w:t>
      </w:r>
      <w:bookmarkEnd w:id="29"/>
      <w:bookmarkEnd w:id="30"/>
    </w:p>
    <w:p w14:paraId="2C522F57">
      <w:pPr>
        <w:pStyle w:val="109"/>
        <w:shd w:val="clear"/>
        <w:spacing w:line="44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自本公告发布之日起5个工作日。</w:t>
      </w:r>
    </w:p>
    <w:p w14:paraId="67EEE8E1">
      <w:pPr>
        <w:shd w:val="clear"/>
        <w:spacing w:line="440" w:lineRule="exact"/>
        <w:ind w:firstLine="422" w:firstLineChars="20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31" w:name="_Toc11540_WPSOffice_Level2"/>
      <w:bookmarkStart w:id="32" w:name="_Toc20010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七、其他补充事宜</w:t>
      </w:r>
      <w:bookmarkEnd w:id="31"/>
      <w:bookmarkEnd w:id="32"/>
    </w:p>
    <w:p w14:paraId="5368FC7E">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1.公告期限：自响应公告在“南京公共采购信息网”发布之日起5个工作日。</w:t>
      </w:r>
    </w:p>
    <w:p w14:paraId="7DAB582B">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2.有关本次响应的事项若存在变动或修改，敬请及时关注“南京公共采购信息网”发布的信息更正公告。</w:t>
      </w:r>
    </w:p>
    <w:p w14:paraId="31626721">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磋商文件相应份数：纸质版响应文件一式叁份（壹份正本、贰份副本），电子版响应文件壹份（一般应为正本签字盖章扫描件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271B1A0F">
      <w:pPr>
        <w:shd w:val="clear"/>
        <w:spacing w:line="440" w:lineRule="exact"/>
        <w:ind w:firstLine="422" w:firstLineChars="20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33" w:name="_Toc5416_WPSOffice_Level2"/>
      <w:bookmarkStart w:id="34" w:name="_Toc21213_WPSOffice_Level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八、联系方式</w:t>
      </w:r>
      <w:bookmarkEnd w:id="33"/>
      <w:bookmarkEnd w:id="34"/>
    </w:p>
    <w:p w14:paraId="55C36659">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35" w:name="_Toc24109_WPSOffice_Level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1.采购人信息</w:t>
      </w:r>
      <w:bookmarkEnd w:id="35"/>
    </w:p>
    <w:p w14:paraId="443A4750">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 xml:space="preserve">南京市鼓楼区人民代表大会常务委员会办公室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0ACE9FE2">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南京市鼓楼区山西路124号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33D85015">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刘科长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0C850B33">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025-83230938                         </w:t>
      </w:r>
    </w:p>
    <w:p w14:paraId="670B67A3">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36" w:name="_Toc4922_WPSOffice_Level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2.采购代理机构信息</w:t>
      </w:r>
      <w:bookmarkEnd w:id="36"/>
    </w:p>
    <w:p w14:paraId="3B93B653">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bookmarkStart w:id="37" w:name="_Toc42519005"/>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江苏京立资产评估咨询有限公司</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2CC66D63">
      <w:pPr>
        <w:pStyle w:val="13"/>
        <w:shd w:val="clear"/>
        <w:spacing w:line="440" w:lineRule="exact"/>
        <w:ind w:firstLine="420" w:firstLineChars="200"/>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单位地址：</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南京市江北新区孵鹰大厦C16楼 </w:t>
      </w:r>
    </w:p>
    <w:p w14:paraId="535F43A2">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罗   工                 </w:t>
      </w:r>
    </w:p>
    <w:p w14:paraId="08B2816F">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025-52363586               </w:t>
      </w:r>
    </w:p>
    <w:p w14:paraId="431C4229">
      <w:pPr>
        <w:shd w:val="clea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2E22F9A2">
      <w:pPr>
        <w:pStyle w:val="2"/>
        <w:shd w:val="clear"/>
        <w:ind w:firstLine="643"/>
        <w:rPr>
          <w:rFonts w:hint="eastAsia"/>
          <w:color w:val="000000" w:themeColor="text1"/>
          <w:highlight w:val="none"/>
          <w14:textFill>
            <w14:solidFill>
              <w14:schemeClr w14:val="tx1"/>
            </w14:solidFill>
          </w14:textFill>
        </w:rPr>
      </w:pPr>
      <w:bookmarkStart w:id="38" w:name="_Toc8919"/>
      <w:r>
        <w:rPr>
          <w:rFonts w:hint="eastAsia"/>
          <w:color w:val="000000" w:themeColor="text1"/>
          <w:highlight w:val="none"/>
          <w14:textFill>
            <w14:solidFill>
              <w14:schemeClr w14:val="tx1"/>
            </w14:solidFill>
          </w14:textFill>
        </w:rPr>
        <w:t xml:space="preserve">第二章 </w:t>
      </w:r>
      <w:bookmarkEnd w:id="13"/>
      <w:bookmarkEnd w:id="14"/>
      <w:bookmarkEnd w:id="15"/>
      <w:bookmarkEnd w:id="16"/>
      <w:r>
        <w:rPr>
          <w:rFonts w:hint="eastAsia"/>
          <w:color w:val="000000" w:themeColor="text1"/>
          <w:highlight w:val="none"/>
          <w14:textFill>
            <w14:solidFill>
              <w14:schemeClr w14:val="tx1"/>
            </w14:solidFill>
          </w14:textFill>
        </w:rPr>
        <w:t>供应商须知</w:t>
      </w:r>
      <w:bookmarkEnd w:id="37"/>
      <w:bookmarkEnd w:id="38"/>
    </w:p>
    <w:p w14:paraId="0ECF946C">
      <w:pPr>
        <w:shd w:val="clear"/>
        <w:spacing w:line="48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供应商须知前附表</w:t>
      </w:r>
    </w:p>
    <w:tbl>
      <w:tblPr>
        <w:tblStyle w:val="30"/>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6100"/>
      </w:tblGrid>
      <w:tr w14:paraId="72F9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4C7D9B2C">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w:t>
            </w:r>
          </w:p>
        </w:tc>
        <w:tc>
          <w:tcPr>
            <w:tcW w:w="1984" w:type="dxa"/>
            <w:vAlign w:val="center"/>
          </w:tcPr>
          <w:p w14:paraId="09B6B9B5">
            <w:pPr>
              <w:shd w:val="clear"/>
              <w:spacing w:line="480" w:lineRule="exact"/>
              <w:ind w:firstLine="525" w:firstLineChars="2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名称</w:t>
            </w:r>
          </w:p>
        </w:tc>
        <w:tc>
          <w:tcPr>
            <w:tcW w:w="6100" w:type="dxa"/>
            <w:vAlign w:val="center"/>
          </w:tcPr>
          <w:p w14:paraId="41FF1C9C">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内容</w:t>
            </w:r>
          </w:p>
        </w:tc>
      </w:tr>
      <w:tr w14:paraId="2E89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65FB1475">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984" w:type="dxa"/>
            <w:vAlign w:val="center"/>
          </w:tcPr>
          <w:p w14:paraId="6C4CB3FA">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p>
        </w:tc>
        <w:tc>
          <w:tcPr>
            <w:tcW w:w="6100" w:type="dxa"/>
            <w:vAlign w:val="center"/>
          </w:tcPr>
          <w:p w14:paraId="55A1781A">
            <w:pPr>
              <w:shd w:val="clear"/>
              <w:spacing w:line="480" w:lineRule="exact"/>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鼓楼人大实践中心装修改造项目</w:t>
            </w:r>
          </w:p>
        </w:tc>
      </w:tr>
      <w:tr w14:paraId="12EF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686A4038">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984" w:type="dxa"/>
            <w:vAlign w:val="center"/>
          </w:tcPr>
          <w:p w14:paraId="4F2EA1B3">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t>
            </w:r>
          </w:p>
        </w:tc>
        <w:tc>
          <w:tcPr>
            <w:tcW w:w="6100" w:type="dxa"/>
            <w:vAlign w:val="center"/>
          </w:tcPr>
          <w:p w14:paraId="4AFE2572">
            <w:pPr>
              <w:pStyle w:val="109"/>
              <w:shd w:val="clear"/>
              <w:spacing w:line="480" w:lineRule="exact"/>
              <w:ind w:firstLine="0" w:firstLineChars="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JSJL2025—092302</w:t>
            </w:r>
          </w:p>
        </w:tc>
      </w:tr>
      <w:tr w14:paraId="14BA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04B3EAA2">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984" w:type="dxa"/>
            <w:vAlign w:val="center"/>
          </w:tcPr>
          <w:p w14:paraId="053D00FA">
            <w:pPr>
              <w:shd w:val="clear"/>
              <w:adjustRightInd w:val="0"/>
              <w:snapToGrid w:val="0"/>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磋商保证金</w:t>
            </w:r>
          </w:p>
        </w:tc>
        <w:tc>
          <w:tcPr>
            <w:tcW w:w="6100" w:type="dxa"/>
            <w:vAlign w:val="center"/>
          </w:tcPr>
          <w:p w14:paraId="105B2C2C">
            <w:pPr>
              <w:shd w:val="clear"/>
              <w:adjustRightInd w:val="0"/>
              <w:snapToGrid w:val="0"/>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w:t>
            </w:r>
          </w:p>
        </w:tc>
      </w:tr>
      <w:tr w14:paraId="1276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4B3735D0">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p>
        </w:tc>
        <w:tc>
          <w:tcPr>
            <w:tcW w:w="1984" w:type="dxa"/>
            <w:vAlign w:val="center"/>
          </w:tcPr>
          <w:p w14:paraId="20184428">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履约保证金</w:t>
            </w:r>
          </w:p>
        </w:tc>
        <w:tc>
          <w:tcPr>
            <w:tcW w:w="6100" w:type="dxa"/>
            <w:vAlign w:val="center"/>
          </w:tcPr>
          <w:p w14:paraId="5DFB72F8">
            <w:pPr>
              <w:shd w:val="clear"/>
              <w:spacing w:line="480" w:lineRule="exact"/>
              <w:jc w:val="left"/>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无</w:t>
            </w:r>
          </w:p>
        </w:tc>
      </w:tr>
      <w:tr w14:paraId="427A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vAlign w:val="center"/>
          </w:tcPr>
          <w:p w14:paraId="659AAD87">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p>
        </w:tc>
        <w:tc>
          <w:tcPr>
            <w:tcW w:w="1984" w:type="dxa"/>
            <w:vAlign w:val="center"/>
          </w:tcPr>
          <w:p w14:paraId="79FFFCB7">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响应文件有效期 </w:t>
            </w:r>
          </w:p>
        </w:tc>
        <w:tc>
          <w:tcPr>
            <w:tcW w:w="6100" w:type="dxa"/>
            <w:vAlign w:val="center"/>
          </w:tcPr>
          <w:p w14:paraId="6C8EEF2A">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供应商提交响应文件截止之日起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60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w:t>
            </w:r>
          </w:p>
        </w:tc>
      </w:tr>
      <w:tr w14:paraId="6ADB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8" w:type="dxa"/>
            <w:vAlign w:val="center"/>
          </w:tcPr>
          <w:p w14:paraId="6051793C">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w:t>
            </w:r>
          </w:p>
        </w:tc>
        <w:tc>
          <w:tcPr>
            <w:tcW w:w="1984" w:type="dxa"/>
            <w:vAlign w:val="center"/>
          </w:tcPr>
          <w:p w14:paraId="30A4E524">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最高限价</w:t>
            </w:r>
          </w:p>
        </w:tc>
        <w:tc>
          <w:tcPr>
            <w:tcW w:w="6100" w:type="dxa"/>
            <w:vAlign w:val="center"/>
          </w:tcPr>
          <w:p w14:paraId="40F75099">
            <w:pPr>
              <w:pStyle w:val="109"/>
              <w:shd w:val="clear"/>
              <w:spacing w:line="440" w:lineRule="exact"/>
              <w:ind w:left="0" w:leftChars="0" w:firstLine="0" w:firstLineChars="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22.00万</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元</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（供应商报价不得超过最高限价）</w:t>
            </w:r>
          </w:p>
        </w:tc>
      </w:tr>
      <w:tr w14:paraId="2CA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8" w:type="dxa"/>
            <w:vAlign w:val="center"/>
          </w:tcPr>
          <w:p w14:paraId="0E180517">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w:t>
            </w:r>
          </w:p>
        </w:tc>
        <w:tc>
          <w:tcPr>
            <w:tcW w:w="1984" w:type="dxa"/>
            <w:vAlign w:val="center"/>
          </w:tcPr>
          <w:p w14:paraId="4A880E82">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工期</w:t>
            </w:r>
          </w:p>
        </w:tc>
        <w:tc>
          <w:tcPr>
            <w:tcW w:w="6100" w:type="dxa"/>
            <w:vAlign w:val="center"/>
          </w:tcPr>
          <w:p w14:paraId="60A1722F">
            <w:pPr>
              <w:shd w:val="clear"/>
              <w:spacing w:line="48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接到采购人开工书面通知后，20个日历日内完成竣工并通过验收，具体时间要求以成交供应商工期承诺为准。</w:t>
            </w:r>
          </w:p>
        </w:tc>
      </w:tr>
      <w:tr w14:paraId="51ED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8" w:type="dxa"/>
            <w:vAlign w:val="center"/>
          </w:tcPr>
          <w:p w14:paraId="036D75D7">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w:t>
            </w:r>
          </w:p>
        </w:tc>
        <w:tc>
          <w:tcPr>
            <w:tcW w:w="1984" w:type="dxa"/>
            <w:vAlign w:val="center"/>
          </w:tcPr>
          <w:p w14:paraId="194E5E33">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成交原则</w:t>
            </w:r>
          </w:p>
        </w:tc>
        <w:tc>
          <w:tcPr>
            <w:tcW w:w="6100" w:type="dxa"/>
            <w:vAlign w:val="center"/>
          </w:tcPr>
          <w:p w14:paraId="6E807AA1">
            <w:pPr>
              <w:pStyle w:val="109"/>
              <w:shd w:val="clear"/>
              <w:spacing w:line="480" w:lineRule="exact"/>
              <w:ind w:firstLine="0" w:firstLineChars="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综合评分法。</w:t>
            </w:r>
          </w:p>
        </w:tc>
      </w:tr>
      <w:tr w14:paraId="0340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88" w:type="dxa"/>
            <w:vAlign w:val="center"/>
          </w:tcPr>
          <w:p w14:paraId="1B1C9BA8">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w:t>
            </w:r>
          </w:p>
        </w:tc>
        <w:tc>
          <w:tcPr>
            <w:tcW w:w="1984" w:type="dxa"/>
            <w:vAlign w:val="center"/>
          </w:tcPr>
          <w:p w14:paraId="338C405E">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申请人的资格要求</w:t>
            </w:r>
          </w:p>
        </w:tc>
        <w:tc>
          <w:tcPr>
            <w:tcW w:w="6100" w:type="dxa"/>
            <w:vAlign w:val="center"/>
          </w:tcPr>
          <w:p w14:paraId="268E22CD">
            <w:pPr>
              <w:pStyle w:val="13"/>
              <w:shd w:val="clear"/>
              <w:spacing w:line="480" w:lineRule="exact"/>
              <w:ind w:firstLine="42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同采购公告</w:t>
            </w:r>
          </w:p>
          <w:p w14:paraId="35D9E558">
            <w:pPr>
              <w:pStyle w:val="13"/>
              <w:shd w:val="clear"/>
              <w:spacing w:line="480" w:lineRule="exact"/>
              <w:ind w:firstLine="42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“申请人的资格要求”为响应文件资格性审查内容，未提供或未通过审查的为无效标。</w:t>
            </w:r>
          </w:p>
        </w:tc>
      </w:tr>
      <w:tr w14:paraId="0B96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88" w:type="dxa"/>
            <w:vAlign w:val="center"/>
          </w:tcPr>
          <w:p w14:paraId="5181AFDB">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w:t>
            </w:r>
          </w:p>
        </w:tc>
        <w:tc>
          <w:tcPr>
            <w:tcW w:w="1984" w:type="dxa"/>
            <w:vAlign w:val="center"/>
          </w:tcPr>
          <w:p w14:paraId="7744364E">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响应文件份数 </w:t>
            </w:r>
          </w:p>
        </w:tc>
        <w:tc>
          <w:tcPr>
            <w:tcW w:w="6100" w:type="dxa"/>
            <w:vAlign w:val="center"/>
          </w:tcPr>
          <w:p w14:paraId="0EE445B3">
            <w:pPr>
              <w:shd w:val="clear"/>
              <w:spacing w:line="480" w:lineRule="exact"/>
              <w:ind w:firstLine="315" w:firstLineChars="15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正本壹份、副本贰份、电子版文件壹份（一般应为正本签字盖章扫描件PDF格式、U盘形式）。</w:t>
            </w:r>
          </w:p>
          <w:p w14:paraId="6652A523">
            <w:pPr>
              <w:shd w:val="clear"/>
              <w:spacing w:line="480" w:lineRule="exact"/>
              <w:ind w:firstLine="315" w:firstLineChars="15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当纸质正本文件与副本、电子版文件不一致时，以纸质正本文件为准。每份纸质文件须清楚标明“正本”或“副本”字样。</w:t>
            </w:r>
          </w:p>
        </w:tc>
      </w:tr>
      <w:tr w14:paraId="7276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88" w:type="dxa"/>
            <w:vAlign w:val="center"/>
          </w:tcPr>
          <w:p w14:paraId="1AD60643">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11</w:t>
            </w:r>
          </w:p>
        </w:tc>
        <w:tc>
          <w:tcPr>
            <w:tcW w:w="1984" w:type="dxa"/>
            <w:vAlign w:val="center"/>
          </w:tcPr>
          <w:p w14:paraId="1FBAFE07">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密封要求</w:t>
            </w:r>
          </w:p>
        </w:tc>
        <w:tc>
          <w:tcPr>
            <w:tcW w:w="6100" w:type="dxa"/>
            <w:vAlign w:val="center"/>
          </w:tcPr>
          <w:p w14:paraId="63B0032B">
            <w:pPr>
              <w:shd w:val="clear"/>
              <w:spacing w:line="480" w:lineRule="exact"/>
              <w:ind w:firstLine="210" w:firstLineChars="1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正本、副本分别分开包装密封、电子版随正本文件密封。</w:t>
            </w:r>
          </w:p>
        </w:tc>
      </w:tr>
      <w:tr w14:paraId="773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88" w:type="dxa"/>
            <w:vAlign w:val="center"/>
          </w:tcPr>
          <w:p w14:paraId="47C23FF4">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12</w:t>
            </w:r>
          </w:p>
        </w:tc>
        <w:tc>
          <w:tcPr>
            <w:tcW w:w="1984" w:type="dxa"/>
            <w:vAlign w:val="center"/>
          </w:tcPr>
          <w:p w14:paraId="021C5A12">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开标时需携带资料</w:t>
            </w:r>
          </w:p>
        </w:tc>
        <w:tc>
          <w:tcPr>
            <w:tcW w:w="6100" w:type="dxa"/>
            <w:vAlign w:val="center"/>
          </w:tcPr>
          <w:p w14:paraId="14B823A2">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法人授权委托书、法人代表身份证（或被授权人身份证）原件。</w:t>
            </w:r>
          </w:p>
        </w:tc>
      </w:tr>
      <w:tr w14:paraId="4CD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8" w:type="dxa"/>
            <w:vAlign w:val="center"/>
          </w:tcPr>
          <w:p w14:paraId="47B89012">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13</w:t>
            </w:r>
          </w:p>
        </w:tc>
        <w:tc>
          <w:tcPr>
            <w:tcW w:w="1984" w:type="dxa"/>
            <w:vAlign w:val="center"/>
          </w:tcPr>
          <w:p w14:paraId="0E7BDB7B">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评标委员会的组建</w:t>
            </w:r>
          </w:p>
        </w:tc>
        <w:tc>
          <w:tcPr>
            <w:tcW w:w="6100" w:type="dxa"/>
            <w:vAlign w:val="center"/>
          </w:tcPr>
          <w:p w14:paraId="409FC876">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评标委员会构成:</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3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 其中专家</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3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人。评标专家确定方式:从相关专家库中随机抽取</w:t>
            </w:r>
          </w:p>
        </w:tc>
      </w:tr>
      <w:tr w14:paraId="3E69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88" w:type="dxa"/>
            <w:vAlign w:val="center"/>
          </w:tcPr>
          <w:p w14:paraId="6B238F0F">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14</w:t>
            </w:r>
          </w:p>
        </w:tc>
        <w:tc>
          <w:tcPr>
            <w:tcW w:w="1984" w:type="dxa"/>
            <w:vAlign w:val="center"/>
          </w:tcPr>
          <w:p w14:paraId="4E342876">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费用</w:t>
            </w:r>
          </w:p>
        </w:tc>
        <w:tc>
          <w:tcPr>
            <w:tcW w:w="6100" w:type="dxa"/>
            <w:vAlign w:val="center"/>
          </w:tcPr>
          <w:p w14:paraId="42011401">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招标代理服务按（苏招协〔2022〕002号）江苏省招标代理服务收费的指导意见的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%计取。该费用由成交人在领取成交通知书前一次性向招标代理机构支付招标服务费。以上费用并不单独列项，请在投标报价中综合考虑。</w:t>
            </w:r>
          </w:p>
        </w:tc>
      </w:tr>
      <w:tr w14:paraId="0236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8" w:type="dxa"/>
            <w:vAlign w:val="center"/>
          </w:tcPr>
          <w:p w14:paraId="66257F2D">
            <w:pPr>
              <w:shd w:val="clear"/>
              <w:spacing w:line="4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15</w:t>
            </w:r>
          </w:p>
        </w:tc>
        <w:tc>
          <w:tcPr>
            <w:tcW w:w="1984" w:type="dxa"/>
            <w:vAlign w:val="center"/>
          </w:tcPr>
          <w:p w14:paraId="478CC00F">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w:t>
            </w:r>
          </w:p>
        </w:tc>
        <w:tc>
          <w:tcPr>
            <w:tcW w:w="6100" w:type="dxa"/>
            <w:vAlign w:val="center"/>
          </w:tcPr>
          <w:p w14:paraId="7DB0C9B3">
            <w:pPr>
              <w:shd w:val="clear"/>
              <w:spacing w:line="4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请各供应商在磋商截止日前随时关注更正补充通知或答疑澄清通知。</w:t>
            </w:r>
          </w:p>
        </w:tc>
      </w:tr>
    </w:tbl>
    <w:p w14:paraId="0D1AC0DF">
      <w:pPr>
        <w:widowControl/>
        <w:shd w:val="clear"/>
        <w:spacing w:line="480" w:lineRule="exact"/>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39" w:name="_Toc24416"/>
      <w:bookmarkStart w:id="40" w:name="_Toc6245_WPSOffice_Level2"/>
      <w:bookmarkStart w:id="41" w:name="_Toc24662_WPSOffice_Level2"/>
      <w:bookmarkStart w:id="42" w:name="_Toc21408_WPSOffice_Level2"/>
      <w:bookmarkStart w:id="43" w:name="_Toc21581_WPSOffice_Level2"/>
      <w:bookmarkStart w:id="44" w:name="_Toc1101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一、总    则</w:t>
      </w:r>
      <w:bookmarkEnd w:id="39"/>
      <w:bookmarkEnd w:id="40"/>
      <w:bookmarkEnd w:id="41"/>
      <w:bookmarkEnd w:id="42"/>
      <w:bookmarkEnd w:id="43"/>
      <w:bookmarkEnd w:id="44"/>
    </w:p>
    <w:p w14:paraId="5665DF9D">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5" w:name="_Toc7474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1、适用法律</w:t>
      </w:r>
      <w:bookmarkEnd w:id="45"/>
    </w:p>
    <w:p w14:paraId="1D406823">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本次磋商适用《中华人民共和国政府采购法》（以下简称政府采购法）、《中华人民共和国政府采购法实施条例》（以下简称政府采购法实施条例）、《政府采购货物和服务磋商投标管理办法》等法律、行政法规、部门规章和规范性文件。</w:t>
      </w:r>
    </w:p>
    <w:p w14:paraId="4AE7D6A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6" w:name="_Toc27040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2、采购人、供应商、采购代理机构、供应商</w:t>
      </w:r>
      <w:bookmarkEnd w:id="46"/>
    </w:p>
    <w:p w14:paraId="3B230A54">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2.1采购人是指依法进行政府采购的国家机关、事业单位、团体组织。</w:t>
      </w:r>
    </w:p>
    <w:p w14:paraId="4A5018C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2.2供应商是指向采购人提供货物、工程或者服务的法人、其他组织或者自然人。</w:t>
      </w:r>
    </w:p>
    <w:p w14:paraId="7DD4339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2.3采购代理机构是指集中采购机构和集中采购机构以外的采购代理机构，集中采购机构以外的采购代理机构，是从事采购代理业务的社会中介机构。</w:t>
      </w:r>
    </w:p>
    <w:p w14:paraId="50CCB7EB">
      <w:pPr>
        <w:widowControl/>
        <w:shd w:val="clear"/>
        <w:spacing w:line="480" w:lineRule="exact"/>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47" w:name="_Toc2156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3、工程定义</w:t>
      </w:r>
      <w:bookmarkEnd w:id="47"/>
    </w:p>
    <w:p w14:paraId="58B8A0E4">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3.1“工程”指本招标文件中所述相关工程。</w:t>
      </w:r>
    </w:p>
    <w:p w14:paraId="3E012198">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8" w:name="_Toc1428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4、政策功能</w:t>
      </w:r>
      <w:bookmarkEnd w:id="48"/>
    </w:p>
    <w:p w14:paraId="4C72AB1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4.1中小企业政策</w:t>
      </w:r>
    </w:p>
    <w:p w14:paraId="661AA09E">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2690B2A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（2）本项目非专门面向中小企业或小型、微型企业的项目，对符合规定的小微企业报价给予10% 的扣除，用扣除后的价格参加评审。</w:t>
      </w:r>
    </w:p>
    <w:p w14:paraId="18218D2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对于接受供应商以联合体形式参加采购活动的项目，小型、微型企业联合体应当符合《政府采购促进中小企业发展管理办法》的通知（财库〔2020〕46号）、《关于进一步加大政府采购支持中小企业力度的通知》（财库〔2022〕19号）规定。联合协议中约定，小型、微型企业的协议合同金额占到联合体协议合同总金额30%以上的，给予联合体2%的价格扣除。联合体各方均为小型、微型企业的，联合体视同为小型、微型企业给予10%价格(施工为5%)扣除。组成联合体的大中型企业和其他自然人、法人或者其他组织，与小型、微型企业之间不得存在投资关系。（本项目不接受联合体投标，不适用）</w:t>
      </w:r>
    </w:p>
    <w:p w14:paraId="5A31C426">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423EC69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根据《财库〔2017〕141号》符合条件的残疾人福利性单位视同小型、微型企业，享受中小企业发展的政府采购政策。残疾人福利性单位属于小型、微型企业的，不重复享受政策。参加投标的残疾人福利性单位，应当提供 《残疾人福利性单位声明函》，未提供上述资料的报价，其价格不予扣除。</w:t>
      </w:r>
    </w:p>
    <w:p w14:paraId="7D564295">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（6）参加政府采购活动的中小企业应当按“关于印发《政府采购促进中小企业发展管理办法》的通知[财库〔2020〕46号]” 规定提供《中小企业声明函》，未提供上述资料的报价，其价格不予扣除。</w:t>
      </w:r>
    </w:p>
    <w:p w14:paraId="71454E4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中小企业依据《政府采购促进中小企业发展管理办法》的通知（财库〔2020〕46号）、《关于进一步加大政府采购支持中小企业力度的通知》（财库〔2022〕19号）规定的政策获取政府采购合同后，小微企业不得将合同分包给大中型企业，中型企业不得将合同分包给大型企业。</w:t>
      </w:r>
    </w:p>
    <w:p w14:paraId="0AD804D5">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4.2未按要求提供相关材料的，不享受相关政策。</w:t>
      </w:r>
    </w:p>
    <w:p w14:paraId="1C3E248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49" w:name="_Toc17633_WPSOffice_Level2"/>
      <w:bookmarkStart w:id="50" w:name="_Toc31761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二、磋商文件构成</w:t>
      </w:r>
      <w:bookmarkEnd w:id="49"/>
      <w:bookmarkEnd w:id="50"/>
    </w:p>
    <w:p w14:paraId="170C8EB6">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1" w:name="_Toc1057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5、磋商文件组成</w:t>
      </w:r>
      <w:bookmarkEnd w:id="51"/>
    </w:p>
    <w:p w14:paraId="57CBA805">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5.1磋商文件包括以下主要内容：磋商公告；供应商须知（包括响应文件的密封、签署、盖章要求等）；供应商应当提交的资格、资信证明文件；为落实政府采购政策，采购标的需满足的要求，以及供应商须提供的证明材料；响应文件编制要求、投标报价要求和磋商保证金交纳、退还方式以及不予退还磋商保证金的情形；采购项目预算金额，设定最高限价的，还应当公开最高限价；采购需求等。</w:t>
      </w:r>
    </w:p>
    <w:p w14:paraId="3AF9A1B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5.2磋商的的最小单位是标段。招标工程数量及技术要求中未分标段的，投标人对要求提供的工程不得部分投标；招标货物数量及技术要求中已经分标段的，可以以标段为单位投标。</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5.3 代理机构如果要求供应商按照磋商文件规定提交备选投标方案的，供应商可以提交备选方案；否则，备选方案将被拒绝。</w:t>
      </w:r>
    </w:p>
    <w:p w14:paraId="15BE5B94">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2" w:name="_Toc11540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6、磋商文件的澄清或者修改</w:t>
      </w:r>
      <w:bookmarkEnd w:id="52"/>
    </w:p>
    <w:p w14:paraId="42CBEBA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采购人或者采购代理机构可以对已发出的磋商文件进行必要的澄清或者修改。澄清或者修改将在原公告发布媒体上发布澄清公告。澄清或者修改的内容为磋商文件的组成部分。</w:t>
      </w:r>
    </w:p>
    <w:p w14:paraId="241CF416">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澄清或者修改的内容可能影响响应文件编制的，采购人或者采购代理机构将在投标截止时间至少3日前，以书面形式通知所有获取磋商文件的潜在供应商；不足3日的，采购人或者采购代理机构将顺延提交响应文件的截止时间。</w:t>
      </w:r>
    </w:p>
    <w:p w14:paraId="05CCB83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3" w:name="_Toc5135_WPSOffice_Level2"/>
      <w:bookmarkStart w:id="54" w:name="_Toc15519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三、响应文件的编制</w:t>
      </w:r>
      <w:bookmarkEnd w:id="53"/>
      <w:bookmarkEnd w:id="54"/>
    </w:p>
    <w:p w14:paraId="19C44072">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5" w:name="_Toc2121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7、响应文件的语言、计量单位、货币和编制</w:t>
      </w:r>
      <w:bookmarkEnd w:id="55"/>
    </w:p>
    <w:p w14:paraId="18E911CF">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7.1供应商提交的响应文件、技术文件和资料，以及供应商与代理机构就有关投标的所有来往函电均应使用中文。响应文件中若有英文或其他语言文字的资料，应提供相应的中文翻译资料。对不同文本响应文件的解释发生异议的，以中文文本为准。</w:t>
      </w:r>
    </w:p>
    <w:p w14:paraId="405CF51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7.2供应商所使用的计量单位应为国家法定计量单位。</w:t>
      </w:r>
    </w:p>
    <w:p w14:paraId="493414E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7.3供应商应用人民币报价。投标产品如果是进口产品的，应提供人民币与</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外币之间的汇率。</w:t>
      </w:r>
    </w:p>
    <w:p w14:paraId="6E11D02E">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7.4响应文件应字迹清楚、内容齐全、不得涂改。如有修改，修改处须有供应商公章或投标专用章和法定代表人或其授权的供应商代表签字。</w:t>
      </w:r>
    </w:p>
    <w:p w14:paraId="3C6C69C0">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7.5响应文件应按照磋商文件规定的顺序，统一用A4规格幅面打印、装订成册并编制目录，由于编排混乱导致响应文件被误读或查找不到，责任由供应商承担。</w:t>
      </w:r>
    </w:p>
    <w:p w14:paraId="2621BA1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7.6供应商应在响应文件中写清相应的项目编号、项目名称、供应商全称、地址、电话、传真等。</w:t>
      </w:r>
    </w:p>
    <w:p w14:paraId="76ED38A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7.7</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供应商根据磋商文件载明的标的采购项目实际情况，拟在中标后将中标项目的非主体、非关键性工作交由他人完成的，应当在响应文件中载明。</w:t>
      </w:r>
    </w:p>
    <w:p w14:paraId="05A279BE">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6" w:name="_Toc24662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8、响应文件的组成</w:t>
      </w:r>
      <w:bookmarkEnd w:id="56"/>
    </w:p>
    <w:p w14:paraId="45252E3D">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8.1供应商应当根据磋商文件要求编制响应文件，响应文件应对磋商文件提出的要求和条件作出实质性响应，并在《商务条款偏离表》和《技术规格偏离表》等处逐条标明满足与否。</w:t>
      </w:r>
    </w:p>
    <w:p w14:paraId="3E6BA730">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8.2 响应文件由商务部分、价格部分组成。</w:t>
      </w:r>
    </w:p>
    <w:p w14:paraId="42F9ABC9">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7" w:name="_Toc1763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9、响应文件的商务部分</w:t>
      </w:r>
      <w:bookmarkEnd w:id="57"/>
    </w:p>
    <w:p w14:paraId="7F40259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9.1商务部分是证明供应商有资格参加投标和中标后有能力履行合同的文件，这些文件应能满足磋商的要求，包括但不限于下列文件，其中加★项目不得有缺失或无效：</w:t>
      </w:r>
    </w:p>
    <w:p w14:paraId="5AEE2CED">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（1）★磋商函（磋商申请及声明）</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格式见附件</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7E3E66AC">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（2）★竞争性磋商报价表</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格式见附件</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3AF5C7E0">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（3）★分项报价表</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格式自拟</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201ABB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（4）★第一章竞争性磋商邀请中规定的资格条件证明文件；</w:t>
      </w:r>
    </w:p>
    <w:p w14:paraId="1525BFC3">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（5）★南京市政府采购供应商信用记录表</w:t>
      </w:r>
    </w:p>
    <w:p w14:paraId="643A505D">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（6）《商务条款偏离表》；</w:t>
      </w:r>
    </w:p>
    <w:p w14:paraId="2C29FD4B">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（7）其它（供应商认为有必要提供的声明和文件，如有自拟并自行添加）。</w:t>
      </w:r>
    </w:p>
    <w:p w14:paraId="61E6E33C">
      <w:pPr>
        <w:widowControl/>
        <w:shd w:val="clear"/>
        <w:spacing w:line="480" w:lineRule="exact"/>
        <w:ind w:firstLine="42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8" w:name="_Toc513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10、响应文件的技术部分</w:t>
      </w:r>
      <w:bookmarkEnd w:id="58"/>
    </w:p>
    <w:p w14:paraId="71A86F74">
      <w:pPr>
        <w:widowControl/>
        <w:shd w:val="clear"/>
        <w:adjustRightInd w:val="0"/>
        <w:spacing w:line="480" w:lineRule="exact"/>
        <w:ind w:firstLine="420"/>
        <w:jc w:val="left"/>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技术部分是证明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供应商提供的服务、工程是合格的、并符合磋商文件要求的证明文件，以及</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对服务、</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的详细说明，这些文件可以是文字资料、图纸和数据等。提供的服务</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和工程</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如与磋商文件要求有不符之处，应说明其差别之所在。包括但不限于下列文件，其中加★项目不得有缺失或无效：</w:t>
      </w:r>
    </w:p>
    <w:p w14:paraId="65C89C3D">
      <w:pPr>
        <w:widowControl/>
        <w:shd w:val="clear"/>
        <w:adjustRightInd w:val="0"/>
        <w:spacing w:line="480" w:lineRule="exact"/>
        <w:ind w:firstLine="420"/>
        <w:jc w:val="left"/>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技术方案</w:t>
      </w: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w:t>
      </w:r>
    </w:p>
    <w:p w14:paraId="5C1ECDF7">
      <w:pPr>
        <w:widowControl/>
        <w:shd w:val="clear"/>
        <w:adjustRightInd w:val="0"/>
        <w:spacing w:line="480" w:lineRule="exact"/>
        <w:ind w:firstLine="420"/>
        <w:jc w:val="left"/>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（2）本项目配置人员的有效身份证、资格证等（复印件）；</w:t>
      </w:r>
    </w:p>
    <w:p w14:paraId="24D05599">
      <w:pPr>
        <w:widowControl/>
        <w:shd w:val="clear"/>
        <w:adjustRightInd w:val="0"/>
        <w:spacing w:line="480" w:lineRule="exact"/>
        <w:ind w:firstLine="420"/>
        <w:jc w:val="left"/>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）供应商认为需要提供的其他技术资料</w:t>
      </w:r>
    </w:p>
    <w:p w14:paraId="67709264">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9" w:name="_Toc128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11、响应文件的价格部分</w:t>
      </w:r>
      <w:bookmarkEnd w:id="59"/>
    </w:p>
    <w:p w14:paraId="64ACEEED">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11.1价格部分是对工程价格构成的说明，磋商文件如没有特别说明的话，对每一项工程仅接受一个价格。</w:t>
      </w:r>
    </w:p>
    <w:p w14:paraId="5956E9D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11.2报价应包含本次磋商项目有关的所有费用</w:t>
      </w:r>
      <w:r>
        <w:rPr>
          <w:rFonts w:hint="eastAsia" w:asciiTheme="minorEastAsia" w:hAnsiTheme="minorEastAsia" w:eastAsiaTheme="minorEastAsia" w:cstheme="minorEastAsia"/>
          <w:color w:val="000000" w:themeColor="text1"/>
          <w:kern w:val="0"/>
          <w:szCs w:val="21"/>
          <w:highlight w:val="none"/>
          <w:lang w:val="zh-CN"/>
          <w14:textFill>
            <w14:solidFill>
              <w14:schemeClr w14:val="tx1"/>
            </w14:solidFill>
          </w14:textFill>
        </w:rPr>
        <w:t>，以及技术资料、支付给员工的工资和国家强制缴纳的各种社会保障资金</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，以</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及供应商认为需要的其他费用等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w:t>
      </w:r>
    </w:p>
    <w:p w14:paraId="7654CA1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11.3供应商的任何错漏、优惠、竞争性报价不得作为减轻责任、减少服务、增加收费、降低质量的理由。</w:t>
      </w:r>
    </w:p>
    <w:p w14:paraId="2DD9EC63">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4E5A93">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11.5 供应商应在《竞争性磋商报价表》、《投标分项报价》等标明投标货物和工程的单价、总价</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分项报价</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及主材品牌型号</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04F56D42">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11.6本项目预算为：详见第一章</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566D24C3">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0" w:name="_Toc22488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12、响应文件的其他部分</w:t>
      </w:r>
      <w:bookmarkEnd w:id="60"/>
    </w:p>
    <w:p w14:paraId="342837F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12.1 其他部分由供应商根据编制响应文件需要提供的其他相关文件。</w:t>
      </w:r>
    </w:p>
    <w:p w14:paraId="05F8B503">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1" w:name="_Toc2731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13、磋商保证金</w:t>
      </w:r>
      <w:bookmarkEnd w:id="61"/>
    </w:p>
    <w:p w14:paraId="3144EE3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本项目不要求提供投标保证金。</w:t>
      </w:r>
    </w:p>
    <w:p w14:paraId="3C744BD7">
      <w:pPr>
        <w:widowControl/>
        <w:shd w:val="clear"/>
        <w:spacing w:line="480" w:lineRule="exact"/>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62" w:name="_Toc2325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14、投标有效期</w:t>
      </w:r>
      <w:bookmarkEnd w:id="62"/>
    </w:p>
    <w:p w14:paraId="548E3AF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14.1 自开标之日起</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60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天内投标有效。</w:t>
      </w:r>
    </w:p>
    <w:p w14:paraId="6F79EB7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14.2 在特殊情况下，在原投标有效期截止之前，代理机构可要求供应商同意延长投标有效期，这种要求与答复均以书面形式提交。供应商可拒绝这种要求，并且不影响保证金退还。接收延长投标有效期的供应商将不会要求和允许修正其投标，而只会被要求相应地延长其磋商保证金的有效期。在这种情况下，有关磋商保证金的退还规定在延长了的有效期内继续有效。</w:t>
      </w:r>
    </w:p>
    <w:p w14:paraId="334B92EB">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3" w:name="_Toc28713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15、响应文件签署</w:t>
      </w:r>
      <w:bookmarkEnd w:id="63"/>
    </w:p>
    <w:p w14:paraId="755014E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15.1 响应文件的正本和副本均由供应商法人代表或经正式授权并对供应商有约束力的委托代理人签字，如果它们之间内容有差异，则以正本为准。</w:t>
      </w:r>
    </w:p>
    <w:p w14:paraId="1C3F4328">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4" w:name="_Toc7952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16、投标费用</w:t>
      </w:r>
      <w:bookmarkEnd w:id="64"/>
    </w:p>
    <w:p w14:paraId="4200099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16.1 供应商应承担所有与准备和参加投标有关的费用，无论采购结果如何，代理机构和采购人在任何情况下均无义务和责任承担这些费用。</w:t>
      </w:r>
    </w:p>
    <w:p w14:paraId="167D625E">
      <w:pPr>
        <w:widowControl/>
        <w:shd w:val="clear"/>
        <w:spacing w:line="480" w:lineRule="exact"/>
        <w:ind w:firstLine="422"/>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16.2 本次磋商代理服务费、专家评审费在领取中标通知书时一次性支付给采购代理机构。</w:t>
      </w:r>
    </w:p>
    <w:p w14:paraId="63336891">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5" w:name="_Toc1285_WPSOffice_Level2"/>
      <w:bookmarkStart w:id="66" w:name="_Toc23813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四、响应文件的递交</w:t>
      </w:r>
      <w:bookmarkEnd w:id="65"/>
      <w:bookmarkEnd w:id="66"/>
    </w:p>
    <w:p w14:paraId="463F7A43">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7" w:name="_Toc955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17、响应文件的密封和递交</w:t>
      </w:r>
      <w:bookmarkEnd w:id="67"/>
    </w:p>
    <w:p w14:paraId="0C423249">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17.1 供应商应当将响应文件密封；纸质版响应文件一式叁份（壹份正本、贰份副本），电子版响应文件壹份（一般应为正本签字盖章扫描件PDF格式、U盘形式，随纸质正本文件一并提交）。当纸质正本文件与副本、电子版文件不一致时，以纸质正本文件为准。电子版文件用于存档，供应商须承担前述不一致造成的不利后果。每份纸质文件须清楚标明“正本”或“副本”字样。 </w:t>
      </w:r>
    </w:p>
    <w:p w14:paraId="628FDB1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17.2 响应文件正本和所有副本均需打印或用不褪色墨水书写，并由供应商法定代表人或授权代表签字。</w:t>
      </w:r>
    </w:p>
    <w:p w14:paraId="43D58AA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17.3 响应文件不应有涂改、增删之处，如必须修改时，修改处必须有供应商法定代表人或授权代表签字，但技术标部分除外，任何情况下不予修改。</w:t>
      </w:r>
    </w:p>
    <w:p w14:paraId="7235EFF4">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17.4 供应商应当在磋商文件要求提交响应文件的截止时间前，将响应文件密封送达投标地点。任何单位和个人不得在开标前开启响应文件。</w:t>
      </w:r>
    </w:p>
    <w:p w14:paraId="1A434D11">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8" w:name="_Toc3154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18、有下列情形的响应文件将拒收：</w:t>
      </w:r>
      <w:bookmarkEnd w:id="68"/>
    </w:p>
    <w:p w14:paraId="22F04E8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18.1逾期送达或者未按照磋商文件要求密封的响应文件，采购人、采购代理机构将拒收。</w:t>
      </w:r>
    </w:p>
    <w:p w14:paraId="78018A93">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9" w:name="_Toc6732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19、响应文件的修改和撤回</w:t>
      </w:r>
      <w:bookmarkEnd w:id="69"/>
    </w:p>
    <w:p w14:paraId="6E2E1B1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19.1供应商在投标截止时间前，可以对所递交的响应文件进行补充、修改或者撤回，并书面通知采购人或者采购代理机构。补充、修改的内容应当按照磋商文件要求签署、盖章、密封后，作为响应文件的组成部分。</w:t>
      </w:r>
    </w:p>
    <w:p w14:paraId="79D14A24">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19.2 投标截止时间之后，响应文件不得撤回；如果撤回的，磋商保证金不予退还。</w:t>
      </w:r>
    </w:p>
    <w:p w14:paraId="6D1647B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0" w:name="_Toc256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20、诚实信用</w:t>
      </w:r>
      <w:bookmarkEnd w:id="70"/>
    </w:p>
    <w:p w14:paraId="0ACAA62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20.1供应商应当遵循公平竞争的原则，不得恶意串通，不得妨碍其他供应商的竞争行为，不得损害采购人或者其他供应商的合法权益。</w:t>
      </w:r>
    </w:p>
    <w:p w14:paraId="1B5407B2">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在评标过程中发现供应商有上述情形的，评标委员会应当认定其投标无效，并书面报告本级财政部门。</w:t>
      </w:r>
    </w:p>
    <w:p w14:paraId="01B80AFD">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1" w:name="_Toc22488_WPSOffice_Level2"/>
      <w:bookmarkStart w:id="72" w:name="_Toc26261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五、磋商组织及程序</w:t>
      </w:r>
      <w:bookmarkEnd w:id="71"/>
      <w:bookmarkEnd w:id="72"/>
    </w:p>
    <w:p w14:paraId="0C8A3EC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3" w:name="_Toc166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21、磋商</w:t>
      </w:r>
      <w:bookmarkEnd w:id="73"/>
    </w:p>
    <w:p w14:paraId="2E978BA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21.1在提交响应文件时间截止后，采购人在规定的时间和地点组织磋商小组分别与供应商进行磋商。</w:t>
      </w:r>
    </w:p>
    <w:p w14:paraId="06D6307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21.2磋商工作由采购人负责组织，具体磋商事务由依法组建的磋商小组负责。</w:t>
      </w:r>
    </w:p>
    <w:p w14:paraId="620E6B3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21.3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5E34B3C0">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21.4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26E0B1E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21.5供应商应当按照磋商文件的变动情况和磋商小组的要求重新提交响应文件，并由授权委托人签字。</w:t>
      </w:r>
    </w:p>
    <w:p w14:paraId="1515CD0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21.6响应文件报价出现前后不一致的，除磋商文件另有规定外，按照下列规定修正：</w:t>
      </w:r>
    </w:p>
    <w:p w14:paraId="006649E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21.6.1 响应文件中竞争性磋商报价表内容与响应文件中相应内容不一致的，以竞争性磋商报价表为准；</w:t>
      </w:r>
    </w:p>
    <w:p w14:paraId="6F2EC32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21.6.2 大写金额和小写金额不一致的，以大写金额为准；</w:t>
      </w:r>
    </w:p>
    <w:p w14:paraId="700219B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21.6.3单价金额小数点或者百分比有明显错位的，以竞争性磋商报价表的总价为准，并修改单价；</w:t>
      </w:r>
    </w:p>
    <w:p w14:paraId="1BA0980F">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21.6.4 总价金额与按单价汇总金额不一致的，以单价金额计算结果为准。</w:t>
      </w:r>
    </w:p>
    <w:p w14:paraId="7AF63B8E">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同时出现两种以上不一致的，按照前款规定的顺序修正。修正后的报价按照本办法第五十一条第二款的规定经供应商确认后产生约束力，供应商不确认的，其投标无效。</w:t>
      </w:r>
    </w:p>
    <w:p w14:paraId="5357BB0F">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21.7 投标截止后供应商不足3家或者通过资格审查或符合性审查的供应商不足3家的，除采购任务取消情形外，在磋商文件没有不合理条款、磋商程序符合规定的前提下，采购人报相关部门批准后，可采用其他采购方式。本次磋商文件中对供应商资格条件要求、技术要求和商务等要求，将作为其他采购方式的基本要求和磋商依据。</w:t>
      </w:r>
    </w:p>
    <w:p w14:paraId="67B00DAE">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21.8 本项目有二次报价。</w:t>
      </w:r>
    </w:p>
    <w:p w14:paraId="6809C73E">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4" w:name="_Toc22184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22、磋商</w:t>
      </w:r>
      <w:bookmarkEnd w:id="74"/>
    </w:p>
    <w:p w14:paraId="5A2D791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22.1磋商组织</w:t>
      </w:r>
    </w:p>
    <w:p w14:paraId="1D8BC3A6">
      <w:pPr>
        <w:widowControl/>
        <w:shd w:val="clear"/>
        <w:spacing w:line="480" w:lineRule="exact"/>
        <w:ind w:firstLine="422"/>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22.1.1</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磋商小组负责具体评标事务，并独立履行下列职责：</w:t>
      </w:r>
    </w:p>
    <w:p w14:paraId="15DD6BAF">
      <w:pPr>
        <w:widowControl/>
        <w:shd w:val="clear"/>
        <w:spacing w:line="480" w:lineRule="exact"/>
        <w:ind w:firstLine="42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（一）审查、评价响应文件是否符合磋商文件的商务、技术等实质性要求；</w:t>
      </w:r>
    </w:p>
    <w:p w14:paraId="6A78CAC6">
      <w:pPr>
        <w:widowControl/>
        <w:shd w:val="clear"/>
        <w:spacing w:line="480" w:lineRule="exact"/>
        <w:ind w:firstLine="42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（二）要求供应商对响应文件有关事项作出澄清或者说明；</w:t>
      </w:r>
    </w:p>
    <w:p w14:paraId="37080298">
      <w:pPr>
        <w:widowControl/>
        <w:shd w:val="clear"/>
        <w:spacing w:line="480" w:lineRule="exact"/>
        <w:ind w:firstLine="42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（三）对响应文件进行比较和评价；</w:t>
      </w:r>
    </w:p>
    <w:p w14:paraId="495853F0">
      <w:pPr>
        <w:widowControl/>
        <w:shd w:val="clear"/>
        <w:spacing w:line="480" w:lineRule="exact"/>
        <w:ind w:firstLine="42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（四）确定中标候选人名单，以及根据采购人委托直接确定中标人；</w:t>
      </w:r>
    </w:p>
    <w:p w14:paraId="5C990C6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（五）向采购人、采购代理机构或者有关部门报告评标中发现的违法行为。</w:t>
      </w:r>
    </w:p>
    <w:p w14:paraId="767DD309">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xml:space="preserve">22.1.2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评标委员会由采购人代表和有关技术、经济等方面的专家组成，独立开展评审工作。</w:t>
      </w:r>
    </w:p>
    <w:p w14:paraId="5415F7A1">
      <w:pPr>
        <w:widowControl/>
        <w:shd w:val="clear"/>
        <w:spacing w:line="480" w:lineRule="exact"/>
        <w:ind w:firstLine="42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  评标程序</w:t>
      </w:r>
    </w:p>
    <w:p w14:paraId="69C9C2F6">
      <w:pPr>
        <w:widowControl/>
        <w:shd w:val="clear"/>
        <w:spacing w:line="480" w:lineRule="exact"/>
        <w:ind w:firstLine="42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 xml:space="preserve">22.2.1 </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响应文件的资格性检查。</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采购人或者采购代理机构应当依法对供应商的资格进行审查。</w:t>
      </w:r>
    </w:p>
    <w:p w14:paraId="7C4951A6">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22.2.2响应文件的符合性审查</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。评标委员会对符合资格的供应商的响应文件进行符合性审查，以确定其是否满足磋商文件的实质性要求。</w:t>
      </w:r>
    </w:p>
    <w:p w14:paraId="23CE37EE">
      <w:pPr>
        <w:widowControl/>
        <w:shd w:val="clear"/>
        <w:spacing w:line="480" w:lineRule="exact"/>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22.2.2.1 实质性要求是指本磋商文件中用带星号（“★”）、“必须”或“应（应当）”等其他文字说明的商务和技术要求。</w:t>
      </w:r>
    </w:p>
    <w:p w14:paraId="39446B38">
      <w:pPr>
        <w:shd w:val="clear"/>
        <w:adjustRightInd w:val="0"/>
        <w:snapToGrid w:val="0"/>
        <w:spacing w:after="120" w:afterLines="50" w:line="480" w:lineRule="exact"/>
        <w:ind w:firstLine="422"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22.2.3现场答辩：无</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10D2214F">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22.2.4</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澄清有关问题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68547EA2">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22.2.4.1对于响应文件中含义不明确、同类问题表述不一致或者有明显文字和计算错误的内容，评标委员会应当以书面形式要求供应商作出必要的澄清、说明或者补正。</w:t>
      </w:r>
    </w:p>
    <w:p w14:paraId="0C8AE9C4">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22.2.4.2供应商的澄清、说明或者补正应当采用书面形式，并加盖公章，或者由法定代表人或其授权的代表签字。供应商的澄清、说明或者补正不得超出响应文件的范围或者改变响应文件的实质性内容。</w:t>
      </w:r>
    </w:p>
    <w:p w14:paraId="4836C0AC">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22.2.5</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比较与评价。</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评标委员会应当按照磋商文件中规定的评标方法和标准，对符合性审查合格的响应文件进行商务和技术评估，综合比较与评价。</w:t>
      </w:r>
    </w:p>
    <w:p w14:paraId="778A505C">
      <w:pPr>
        <w:widowControl/>
        <w:shd w:val="clear"/>
        <w:spacing w:line="480" w:lineRule="exact"/>
        <w:ind w:firstLine="422"/>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22.3 评标方法和标准</w:t>
      </w:r>
    </w:p>
    <w:p w14:paraId="1039DD60">
      <w:pPr>
        <w:widowControl/>
        <w:shd w:val="clear"/>
        <w:spacing w:line="480" w:lineRule="exact"/>
        <w:ind w:left="241" w:leftChars="115" w:firstLine="156" w:firstLineChars="74"/>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22.3.1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用综合评分法。综合评分法，是指响应文件满足磋商文件全部实质性要求，且按照评审因素的量化指标评审得分最高的供应商为中标候选人的评标方法。评标时，评标委员会各成员应当独立对每个供应商的响应文件进行评价，并汇总每个供应商的得分。</w:t>
      </w:r>
    </w:p>
    <w:p w14:paraId="16EE5A69">
      <w:pPr>
        <w:widowControl/>
        <w:shd w:val="clear"/>
        <w:spacing w:line="480" w:lineRule="exact"/>
        <w:ind w:firstLine="422"/>
        <w:jc w:val="left"/>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22.3.2  评分标准及评审因素：详见第三章</w:t>
      </w:r>
    </w:p>
    <w:p w14:paraId="510F19E7">
      <w:pPr>
        <w:widowControl/>
        <w:shd w:val="clear"/>
        <w:spacing w:line="480" w:lineRule="exact"/>
        <w:ind w:firstLine="422"/>
        <w:jc w:val="left"/>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22.4 供应商存在下列情况之一的，投标无效：</w:t>
      </w:r>
    </w:p>
    <w:p w14:paraId="4B618FC1">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（1）不具备磋商文件中规定资格条件的；</w:t>
      </w:r>
    </w:p>
    <w:p w14:paraId="78D4BAF9">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（2）未按照磋商文件规定要求密封、签署、盖章的</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1415D6D3">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（3）不具备磋商文件中规定资格要求的；</w:t>
      </w:r>
    </w:p>
    <w:p w14:paraId="24DF1394">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（4）供应商被“信用中国”网站（www.creditchina.gov.cn）、“中国政府采购网"(www.ccgp.gov.cn)列入失信被执行人、重大税收违 法案件当事人名单、政府采购严重违法失信行为记录名单的。接受联合体的项目（本项目不接受），两个以上的自然人、法人或者其他组织组成一个联合体 ，以一个供应商的身份共同参加政府采购活动的，联合体成员存在不良信用记录的，视同联合体存在不良信用记录；</w:t>
      </w:r>
    </w:p>
    <w:p w14:paraId="1CFECDB7">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（5）未实质性响应磋商文件要求的；</w:t>
      </w:r>
    </w:p>
    <w:p w14:paraId="76269AC0">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（6）报价低于完成本项目发生的所有含税费用、支付给员工的工资（不得低于供应商所在地最低工资标准）和国家强制缴纳的各种社会 保障资金、公积金，以及供应商认为需要的其他费用等；</w:t>
      </w:r>
    </w:p>
    <w:p w14:paraId="420BBD92">
      <w:pPr>
        <w:widowControl/>
        <w:shd w:val="clear"/>
        <w:spacing w:line="480" w:lineRule="exact"/>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（7）不符合法律、法规和采购文件规定的其他实质性要求的。</w:t>
      </w:r>
    </w:p>
    <w:p w14:paraId="577473C3">
      <w:pPr>
        <w:widowControl/>
        <w:shd w:val="clear"/>
        <w:spacing w:line="480" w:lineRule="exact"/>
        <w:ind w:firstLine="422"/>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xml:space="preserve">22.5 </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出现下列情形之一的，磋商终止：</w:t>
      </w:r>
    </w:p>
    <w:p w14:paraId="2989E4FF">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（1）因情况变化，不再符合规定的竞争性磋商采购方式适用情形的；</w:t>
      </w:r>
    </w:p>
    <w:p w14:paraId="2A22C65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（2）所有供应商的响应文件被磋商小组认定为无效的；</w:t>
      </w:r>
    </w:p>
    <w:p w14:paraId="132061F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（3）出现影响采购公正的违法、违规行为的；</w:t>
      </w:r>
    </w:p>
    <w:p w14:paraId="5C5BBA9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（4）供应商的报价均超过了采购预算，采购人不能支付的；</w:t>
      </w:r>
    </w:p>
    <w:p w14:paraId="46131079">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（5）因重大变故，采购任务取消的。</w:t>
      </w:r>
    </w:p>
    <w:p w14:paraId="646BB9F6">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5" w:name="_Toc23398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23、确定中标供应商</w:t>
      </w:r>
      <w:bookmarkEnd w:id="75"/>
    </w:p>
    <w:p w14:paraId="13CA0190">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23.1采用综合评分法的，评标结果按评审后得分由高到低顺序排列。得分相同的，按投标报价由低到高顺序排列。得分且投标报价相同的并列。响应文件满足磋商文件全部实质性要求，且按照评审因素的量化指标评审得分最高的供应商为排名第一的中标候选人。</w:t>
      </w:r>
    </w:p>
    <w:p w14:paraId="47AABA1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23.2 中标人确定后，在发布招标公告平台公告中标结果，中标公告期为1个工作日，公告的同时向中标供应商发出中标通知书。</w:t>
      </w:r>
    </w:p>
    <w:p w14:paraId="7BB10653">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23.3 中标通知书对采购人和中标供应商具有同等法律效力。</w:t>
      </w:r>
    </w:p>
    <w:p w14:paraId="514C8A6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23.4 中标通知书发出后，采购人或中标供应商拒绝签订合同的，拒绝签订合同的一方应至少向另一方支付与磋商保证金相等的补偿金，以及为磋商、投标所发生的有关费用和双方商定的其他补偿。</w:t>
      </w:r>
    </w:p>
    <w:p w14:paraId="00673D36">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23.5 中标通知书发出后，中标供应商无正当理由不与采购人签订合同的，磋商保证金不予退还；情节严重的，由财政部门将其列入不良行为记录名单，在一至三年内禁止参加政府采购活动，并予以通报。</w:t>
      </w:r>
    </w:p>
    <w:p w14:paraId="13A3EA4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23.6 所有响应文件不论中标与否，均不退回。</w:t>
      </w:r>
    </w:p>
    <w:p w14:paraId="125F7F56">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6" w:name="_Toc23531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24、编写评标报告</w:t>
      </w:r>
      <w:bookmarkEnd w:id="76"/>
    </w:p>
    <w:p w14:paraId="74A4CA6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24.1评标委员会根据全体评标成员签字的原始评标记录和评标结果编写评标报告。</w:t>
      </w:r>
    </w:p>
    <w:p w14:paraId="70F5E4B5">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7" w:name="_Toc9105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25、评标过程的保密性</w:t>
      </w:r>
      <w:bookmarkEnd w:id="77"/>
    </w:p>
    <w:p w14:paraId="2453D995">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25.1 采购人和采购代理机构将采取必要措施，保证评标在严格保密的情况下进行。</w:t>
      </w:r>
    </w:p>
    <w:p w14:paraId="3FCEFD46">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25.2 任何单位和个人不得非法干预、影响评标办法的确定，以及评标过程和结果。</w:t>
      </w:r>
    </w:p>
    <w:p w14:paraId="02D73F99">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25.3 凡是与审查、澄清、评价和比较投标的有关资料等，均不向供应商及与评标无关的其他人员透露。</w:t>
      </w:r>
    </w:p>
    <w:p w14:paraId="16AF89E8">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78" w:name="_Toc27313_WPSOffice_Level2"/>
      <w:bookmarkStart w:id="79" w:name="_Toc5840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六、签订合同</w:t>
      </w:r>
      <w:bookmarkEnd w:id="78"/>
      <w:bookmarkEnd w:id="79"/>
    </w:p>
    <w:p w14:paraId="674A3B09">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0" w:name="_Toc20657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26、签订合同</w:t>
      </w:r>
      <w:bookmarkEnd w:id="80"/>
    </w:p>
    <w:p w14:paraId="25C7AA2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26.1采购人与中标人应当自中标通知书发出之日起30日内，按照磋商文件和中标人响应文件的规定，签订书面合同。所签订的合同不得对磋商文件确定的事项和中标人响应文件作实质性修改。</w:t>
      </w:r>
    </w:p>
    <w:p w14:paraId="77D6700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 26.2采购人不得向中标人提出任何不合理的要求作为签订合同的条件。</w:t>
      </w:r>
    </w:p>
    <w:p w14:paraId="7893C32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26.3中标供应商拒绝与采购人签订合同的，采购人可以按照评审报告推荐的中标或者成交候选人名单排序，确定下一候选人为中标或者成交供应商，也可以重新开展政府采购活动。</w:t>
      </w:r>
    </w:p>
    <w:p w14:paraId="57B2CBD8">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26.4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142F01E">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26.5 采购人与中标人应当根据合同的约定依法履行合同义务。</w:t>
      </w:r>
    </w:p>
    <w:p w14:paraId="00026FCA">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1" w:name="_Toc14285_WPSOffice_Level2"/>
      <w:bookmarkStart w:id="82" w:name="_Toc23259_WPSOffice_Level2"/>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七、质疑和投诉</w:t>
      </w:r>
      <w:bookmarkEnd w:id="81"/>
      <w:bookmarkEnd w:id="82"/>
    </w:p>
    <w:p w14:paraId="78875765">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3" w:name="_Toc24071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27、质疑</w:t>
      </w:r>
      <w:bookmarkEnd w:id="83"/>
    </w:p>
    <w:p w14:paraId="7B30C02C">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27.1供应商对磋商活动事项有疑问的，可以向采购代理机构提出询问，采购代理机构将依法作出答复，但答复的内容不涉及商业秘密</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w:t>
      </w:r>
    </w:p>
    <w:p w14:paraId="18496347">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27.2供应商认为采购文件、采购过程和中标结果使自己的合法权益受到损害的，可以在知道或者应知其权益受到损害之日起七个工作日内，将质疑文件原件送达采购人或采购代理机构。</w:t>
      </w:r>
    </w:p>
    <w:p w14:paraId="5272680B">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供应商应知其权益受到损害之日，是指：</w:t>
      </w:r>
    </w:p>
    <w:p w14:paraId="0A0E5241">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（一）对可以质疑的采购文件提出质疑的，为收到采购文件之日或者采购文件公告期限届满之日；</w:t>
      </w:r>
    </w:p>
    <w:p w14:paraId="62763C70">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（二）对采购过程提出质疑的，为各采购程序环节结束之日；</w:t>
      </w:r>
    </w:p>
    <w:p w14:paraId="6CF970B2">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（三）对中标或者成交结果提出质疑的，为中标或者成交结果公告期限届满之日。</w:t>
      </w:r>
    </w:p>
    <w:p w14:paraId="38655EF7">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14:paraId="23F8FEC7">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采购代理机构将在一定范围内公开质疑人的名称、质疑事项、质疑处理结果，供有关采购人、财政部门、行业协会查询。</w:t>
      </w:r>
    </w:p>
    <w:p w14:paraId="2252D1FD">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27.4 质疑文件应包括以下主要内容，并按照“谁主张、谁举证”的原则，附上相关证明材料。否则，采购代理机构不予受理：</w:t>
      </w:r>
    </w:p>
    <w:p w14:paraId="5E4EAB81">
      <w:pPr>
        <w:widowControl/>
        <w:shd w:val="clear"/>
        <w:spacing w:line="480" w:lineRule="exact"/>
        <w:ind w:left="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（1）质疑项目名称、项目编号、包号、磋商公告发布时间、开标时间；</w:t>
      </w:r>
    </w:p>
    <w:p w14:paraId="0B16507A">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（2）具体的质疑事项及法律依据（具体条款）；</w:t>
      </w:r>
    </w:p>
    <w:p w14:paraId="721A1F46">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（3）质疑相关证明文件或证明材料，如果涉及到产品功能或技术指标的，应出具相关制造商的证明文件（友情提示：供应商全部产品线中没有满足技术需求要求的产品才可以对磋商产品提出质疑，并提出</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修改理由</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和</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修改建议</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6F2EC127">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（4）质疑供应商名称、地址、联系方式（包括手机、传真号码）；</w:t>
      </w:r>
    </w:p>
    <w:p w14:paraId="6FB4F7C4">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（5）法定代表人签署本人姓名或印盖本人姓名章并加盖单位公章，或法定代表人授权委托代理人加盖单位公章，并由参加采购项目的授权委托代理人签署本人姓名或印盖本人姓名章等。</w:t>
      </w:r>
    </w:p>
    <w:p w14:paraId="0C920B20">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27.5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59C173E9">
      <w:pPr>
        <w:widowControl/>
        <w:shd w:val="clear"/>
        <w:spacing w:line="48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27.6采购代理机构在收到供应商的书面质疑后将及时组织调查核实，在</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七个工作日内</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作出答复，并以书面或在网站公告形式通知质疑供应商和其他有关供应商，答复的内容不涉及商业秘密。代理机构遵循“谁过错谁负担”的原则，有过错的一方承担调查论证费用。</w:t>
      </w:r>
    </w:p>
    <w:p w14:paraId="6D888EB4">
      <w:pPr>
        <w:widowControl/>
        <w:shd w:val="clear"/>
        <w:spacing w:line="480" w:lineRule="exact"/>
        <w:ind w:firstLine="422"/>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4" w:name="_Toc21779_WPSOffice_Level3"/>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28、投诉</w:t>
      </w:r>
      <w:bookmarkEnd w:id="84"/>
    </w:p>
    <w:p w14:paraId="2AD78029">
      <w:pPr>
        <w:widowControl/>
        <w:shd w:val="clear"/>
        <w:spacing w:line="480" w:lineRule="exact"/>
        <w:ind w:firstLine="420"/>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28.1 质疑供应商对代理机构的答复不满意，或代理机构未在规定的时间内作出答复的，可以在答复期满后</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十五个工作日内</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向采购人同级财政部门投诉。</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w:t>
      </w:r>
    </w:p>
    <w:p w14:paraId="285C669C">
      <w:pPr>
        <w:pStyle w:val="13"/>
        <w:shd w:val="clear"/>
        <w:spacing w:line="240" w:lineRule="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7BD92D9C">
      <w:pPr>
        <w:shd w:val="clear"/>
        <w:rPr>
          <w:rFonts w:hint="eastAsia"/>
          <w:color w:val="000000" w:themeColor="text1"/>
          <w:highlight w:val="none"/>
          <w14:textFill>
            <w14:solidFill>
              <w14:schemeClr w14:val="tx1"/>
            </w14:solidFill>
          </w14:textFill>
        </w:rPr>
      </w:pPr>
      <w:bookmarkStart w:id="85" w:name="_Toc663"/>
      <w:bookmarkStart w:id="86" w:name="_Toc42519006"/>
      <w:bookmarkStart w:id="87" w:name="_Toc4194_WPSOffice_Level1"/>
      <w:bookmarkStart w:id="88" w:name="_Toc479586162"/>
      <w:r>
        <w:rPr>
          <w:rFonts w:hint="eastAsia"/>
          <w:color w:val="000000" w:themeColor="text1"/>
          <w:highlight w:val="none"/>
          <w14:textFill>
            <w14:solidFill>
              <w14:schemeClr w14:val="tx1"/>
            </w14:solidFill>
          </w14:textFill>
        </w:rPr>
        <w:br w:type="page"/>
      </w:r>
    </w:p>
    <w:p w14:paraId="55B7A9B0">
      <w:pPr>
        <w:pStyle w:val="2"/>
        <w:shd w:val="clear"/>
        <w:spacing w:line="240" w:lineRule="auto"/>
        <w:ind w:firstLine="64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评标标准</w:t>
      </w:r>
      <w:bookmarkEnd w:id="85"/>
      <w:bookmarkEnd w:id="86"/>
    </w:p>
    <w:p w14:paraId="01F5B40F">
      <w:pPr>
        <w:shd w:val="clear"/>
        <w:spacing w:line="360" w:lineRule="auto"/>
        <w:rPr>
          <w:rFonts w:hint="eastAsia" w:ascii="宋体" w:hAnsi="宋体"/>
          <w:color w:val="000000" w:themeColor="text1"/>
          <w:szCs w:val="21"/>
          <w:highlight w:val="none"/>
          <w:lang w:val="zh-CN"/>
          <w14:textFill>
            <w14:solidFill>
              <w14:schemeClr w14:val="tx1"/>
            </w14:solidFill>
          </w14:textFill>
        </w:rPr>
      </w:pPr>
      <w:bookmarkStart w:id="89" w:name="_Toc47625808"/>
      <w:r>
        <w:rPr>
          <w:rFonts w:hint="eastAsia" w:ascii="宋体" w:hAnsi="宋体"/>
          <w:color w:val="000000" w:themeColor="text1"/>
          <w:szCs w:val="21"/>
          <w:highlight w:val="none"/>
          <w:lang w:val="zh-CN"/>
          <w14:textFill>
            <w14:solidFill>
              <w14:schemeClr w14:val="tx1"/>
            </w14:solidFill>
          </w14:textFill>
        </w:rPr>
        <w:t>一、本项目各标段采用综合评分法。评委会仅对确定为实质上响应招标文件要求的投标文件进行评价和比较。综合评分法，是指投标文件满足招标文件全部实质性要求，且按照评审因素的量化指标评审得分最高的投标人为中标候选人的评标方法。</w:t>
      </w:r>
    </w:p>
    <w:p w14:paraId="4A09653C">
      <w:pPr>
        <w:shd w:val="clea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二、评委会将依据下列评标标准分别对各标段进行评标，本评标标准的总分为100分/标段。每标段按评审后得分由高到低顺序排列。得分相同的，按投标报价由低到高顺序排列。得分且投标报价相同的并列，由评标委员会通过随机抽取的方式确定一个中标候选人。投标文件满足招标文件全部实质性要求，且按照评审因素的量化指标评审得分最高的投标人为排名第一的中标候选人。</w:t>
      </w:r>
      <w:r>
        <w:rPr>
          <w:rFonts w:hint="eastAsia" w:ascii="宋体" w:hAnsi="宋体"/>
          <w:color w:val="000000" w:themeColor="text1"/>
          <w:szCs w:val="21"/>
          <w:highlight w:val="none"/>
          <w:lang w:val="zh-CN"/>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三、</w:t>
      </w:r>
      <w:r>
        <w:rPr>
          <w:rFonts w:hint="eastAsia" w:ascii="宋体" w:hAnsi="宋体"/>
          <w:color w:val="000000" w:themeColor="text1"/>
          <w:szCs w:val="21"/>
          <w:highlight w:val="none"/>
          <w:lang w:val="zh-CN"/>
          <w14:textFill>
            <w14:solidFill>
              <w14:schemeClr w14:val="tx1"/>
            </w14:solidFill>
          </w14:textFill>
        </w:rPr>
        <w:t>具体标准</w:t>
      </w:r>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425"/>
        <w:gridCol w:w="5730"/>
        <w:gridCol w:w="1210"/>
      </w:tblGrid>
      <w:tr w14:paraId="5753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7D226381">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b/>
                <w:kern w:val="0"/>
                <w:sz w:val="21"/>
                <w:szCs w:val="21"/>
                <w:highlight w:val="none"/>
                <w:lang w:val="zh-CN" w:bidi="zh-CN"/>
              </w:rPr>
            </w:pPr>
            <w:r>
              <w:rPr>
                <w:rFonts w:hint="eastAsia" w:ascii="宋体" w:hAnsi="宋体" w:eastAsia="宋体" w:cs="宋体"/>
                <w:b/>
                <w:kern w:val="0"/>
                <w:sz w:val="21"/>
                <w:szCs w:val="21"/>
                <w:highlight w:val="none"/>
                <w:lang w:val="zh-CN" w:bidi="zh-CN"/>
              </w:rPr>
              <w:t>序号</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517939E">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b/>
                <w:kern w:val="0"/>
                <w:sz w:val="21"/>
                <w:szCs w:val="21"/>
                <w:highlight w:val="none"/>
                <w:lang w:val="zh-CN" w:bidi="zh-CN"/>
              </w:rPr>
            </w:pPr>
            <w:r>
              <w:rPr>
                <w:rFonts w:hint="eastAsia" w:ascii="宋体" w:hAnsi="宋体" w:eastAsia="宋体" w:cs="宋体"/>
                <w:b/>
                <w:kern w:val="0"/>
                <w:sz w:val="21"/>
                <w:szCs w:val="21"/>
                <w:highlight w:val="none"/>
                <w:lang w:val="zh-CN" w:bidi="zh-CN"/>
              </w:rPr>
              <w:t>评分因素</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0AD71627">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b/>
                <w:kern w:val="0"/>
                <w:sz w:val="21"/>
                <w:szCs w:val="21"/>
                <w:highlight w:val="none"/>
                <w:lang w:val="zh-CN" w:bidi="zh-CN"/>
              </w:rPr>
            </w:pPr>
            <w:r>
              <w:rPr>
                <w:rFonts w:hint="eastAsia" w:ascii="宋体" w:hAnsi="宋体" w:eastAsia="宋体" w:cs="宋体"/>
                <w:b/>
                <w:kern w:val="0"/>
                <w:sz w:val="21"/>
                <w:szCs w:val="21"/>
                <w:highlight w:val="none"/>
                <w:lang w:val="zh-CN" w:bidi="zh-CN"/>
              </w:rPr>
              <w:t>评审标准</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E6CD2F2">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b/>
                <w:kern w:val="0"/>
                <w:sz w:val="21"/>
                <w:szCs w:val="21"/>
                <w:highlight w:val="none"/>
                <w:lang w:val="zh-CN" w:bidi="zh-CN"/>
              </w:rPr>
            </w:pPr>
            <w:r>
              <w:rPr>
                <w:rFonts w:hint="eastAsia" w:ascii="宋体" w:hAnsi="宋体" w:eastAsia="宋体" w:cs="宋体"/>
                <w:b/>
                <w:kern w:val="0"/>
                <w:sz w:val="21"/>
                <w:szCs w:val="21"/>
                <w:highlight w:val="none"/>
                <w:lang w:val="zh-CN" w:bidi="zh-CN"/>
              </w:rPr>
              <w:t>分值</w:t>
            </w:r>
          </w:p>
        </w:tc>
      </w:tr>
      <w:tr w14:paraId="1A23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433038DA">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89D106E">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价格</w:t>
            </w:r>
          </w:p>
          <w:p w14:paraId="79169BE8">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zh-CN" w:bidi="zh-CN"/>
              </w:rPr>
            </w:pPr>
          </w:p>
        </w:tc>
        <w:tc>
          <w:tcPr>
            <w:tcW w:w="5730" w:type="dxa"/>
            <w:tcBorders>
              <w:top w:val="single" w:color="auto" w:sz="4" w:space="0"/>
              <w:left w:val="single" w:color="auto" w:sz="4" w:space="0"/>
              <w:bottom w:val="single" w:color="auto" w:sz="4" w:space="0"/>
              <w:right w:val="single" w:color="auto" w:sz="4" w:space="0"/>
            </w:tcBorders>
            <w:noWrap w:val="0"/>
            <w:vAlign w:val="center"/>
          </w:tcPr>
          <w:p w14:paraId="0F00175C">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采用低价优先法计算，即满足采购文件要求且投标价格最低的报价为评标基准价，其价格分为满分。其他供应商的价格分统一按照下列公式计算：（小数点后保留二位）：</w:t>
            </w:r>
          </w:p>
          <w:p w14:paraId="07D6C07F">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zh-CN" w:bidi="zh-CN"/>
              </w:rPr>
              <w:t>报价得分=(评标基准价/投标报价)×70</w:t>
            </w:r>
            <w:r>
              <w:rPr>
                <w:rFonts w:hint="default" w:ascii="宋体" w:hAnsi="宋体" w:eastAsia="宋体" w:cs="宋体"/>
                <w:kern w:val="0"/>
                <w:sz w:val="21"/>
                <w:szCs w:val="21"/>
                <w:highlight w:val="none"/>
                <w:lang w:val="en-US" w:bidi="zh-CN"/>
              </w:rPr>
              <w:t>(</w:t>
            </w:r>
            <w:r>
              <w:rPr>
                <w:rFonts w:hint="eastAsia" w:ascii="宋体" w:hAnsi="宋体" w:eastAsia="宋体" w:cs="宋体"/>
                <w:kern w:val="0"/>
                <w:sz w:val="21"/>
                <w:szCs w:val="21"/>
                <w:highlight w:val="none"/>
                <w:shd w:val="clear"/>
                <w:lang w:val="zh-CN" w:eastAsia="zh-CN" w:bidi="zh-CN"/>
              </w:rPr>
              <w:t>为保证报价合理性，</w:t>
            </w:r>
            <w:r>
              <w:rPr>
                <w:rFonts w:hint="eastAsia" w:ascii="宋体" w:hAnsi="宋体" w:eastAsia="宋体" w:cs="宋体"/>
                <w:kern w:val="0"/>
                <w:sz w:val="21"/>
                <w:szCs w:val="21"/>
                <w:highlight w:val="none"/>
                <w:lang w:val="zh-CN" w:eastAsia="zh-CN" w:bidi="zh-CN"/>
              </w:rPr>
              <w:t>避免供应商非理性报价、防范恶意低价谋取成交影响项目实施，影响施工质量、难以诚信履约，</w:t>
            </w:r>
            <w:r>
              <w:rPr>
                <w:rFonts w:hint="eastAsia" w:ascii="宋体" w:hAnsi="宋体" w:eastAsia="宋体" w:cs="宋体"/>
                <w:kern w:val="0"/>
                <w:sz w:val="21"/>
                <w:szCs w:val="21"/>
                <w:highlight w:val="none"/>
                <w:shd w:val="clear"/>
                <w:lang w:val="zh-CN" w:eastAsia="zh-CN" w:bidi="zh-CN"/>
              </w:rPr>
              <w:t>当供应商报价</w:t>
            </w:r>
            <w:r>
              <w:rPr>
                <w:rFonts w:hint="eastAsia" w:ascii="宋体" w:hAnsi="宋体" w:eastAsia="宋体" w:cs="宋体"/>
                <w:kern w:val="0"/>
                <w:sz w:val="21"/>
                <w:szCs w:val="21"/>
                <w:highlight w:val="none"/>
                <w:lang w:val="zh-CN" w:eastAsia="zh-CN" w:bidi="zh-CN"/>
              </w:rPr>
              <w:t>低于</w:t>
            </w:r>
            <w:r>
              <w:rPr>
                <w:rFonts w:hint="eastAsia" w:ascii="宋体" w:hAnsi="宋体" w:eastAsia="宋体" w:cs="宋体"/>
                <w:kern w:val="0"/>
                <w:sz w:val="21"/>
                <w:szCs w:val="21"/>
                <w:highlight w:val="none"/>
                <w:lang w:val="en-US" w:eastAsia="zh-CN" w:bidi="zh-CN"/>
              </w:rPr>
              <w:t>项目预算金额70</w:t>
            </w:r>
            <w:r>
              <w:rPr>
                <w:rFonts w:hint="eastAsia" w:ascii="宋体" w:hAnsi="宋体" w:eastAsia="宋体" w:cs="宋体"/>
                <w:kern w:val="0"/>
                <w:sz w:val="21"/>
                <w:szCs w:val="21"/>
                <w:highlight w:val="none"/>
                <w:lang w:val="zh-CN" w:eastAsia="zh-CN" w:bidi="zh-CN"/>
              </w:rPr>
              <w:t>%时，供应商在投标报价时</w:t>
            </w:r>
            <w:r>
              <w:rPr>
                <w:rFonts w:hint="eastAsia" w:ascii="宋体" w:hAnsi="宋体" w:eastAsia="宋体" w:cs="宋体"/>
                <w:kern w:val="0"/>
                <w:sz w:val="21"/>
                <w:szCs w:val="21"/>
                <w:highlight w:val="none"/>
                <w:lang w:val="en-US" w:eastAsia="zh-CN" w:bidi="zh-CN"/>
              </w:rPr>
              <w:t>须</w:t>
            </w:r>
            <w:r>
              <w:rPr>
                <w:rFonts w:hint="eastAsia" w:ascii="宋体" w:hAnsi="宋体" w:eastAsia="宋体" w:cs="宋体"/>
                <w:kern w:val="0"/>
                <w:sz w:val="21"/>
                <w:szCs w:val="21"/>
                <w:highlight w:val="none"/>
                <w:lang w:val="zh-CN" w:eastAsia="zh-CN" w:bidi="zh-CN"/>
              </w:rPr>
              <w:t>提供完整的成本明细证明材料，评标委员会将根据供应商所提供的成本明细证明材料进行论证，分析报价合理性。若供应商提供的成本明细证明材料不能证明其报价合理性，则评标委员会应当将其作为无效投标处理。</w:t>
            </w:r>
            <w:r>
              <w:rPr>
                <w:rFonts w:hint="default" w:ascii="宋体" w:hAnsi="宋体" w:eastAsia="宋体" w:cs="宋体"/>
                <w:kern w:val="0"/>
                <w:sz w:val="21"/>
                <w:szCs w:val="21"/>
                <w:highlight w:val="none"/>
                <w:lang w:val="en-US" w:bidi="zh-CN"/>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9EE9BF1">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en-US" w:bidi="zh-CN"/>
              </w:rPr>
              <w:t>70</w:t>
            </w:r>
            <w:r>
              <w:rPr>
                <w:rFonts w:hint="eastAsia" w:ascii="宋体" w:hAnsi="宋体" w:eastAsia="宋体" w:cs="宋体"/>
                <w:kern w:val="0"/>
                <w:sz w:val="21"/>
                <w:szCs w:val="21"/>
                <w:highlight w:val="none"/>
                <w:lang w:val="zh-CN" w:bidi="zh-CN"/>
              </w:rPr>
              <w:t>分</w:t>
            </w:r>
          </w:p>
        </w:tc>
      </w:tr>
      <w:tr w14:paraId="7250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2" w:type="dxa"/>
            <w:vMerge w:val="restart"/>
            <w:tcBorders>
              <w:left w:val="single" w:color="auto" w:sz="4" w:space="0"/>
              <w:right w:val="single" w:color="auto" w:sz="4" w:space="0"/>
            </w:tcBorders>
            <w:noWrap w:val="0"/>
            <w:vAlign w:val="center"/>
          </w:tcPr>
          <w:p w14:paraId="37579592">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bidi="zh-CN"/>
              </w:rPr>
              <w:t>2</w:t>
            </w:r>
          </w:p>
        </w:tc>
        <w:tc>
          <w:tcPr>
            <w:tcW w:w="1425" w:type="dxa"/>
            <w:vMerge w:val="restart"/>
            <w:tcBorders>
              <w:left w:val="single" w:color="auto" w:sz="4" w:space="0"/>
              <w:right w:val="single" w:color="auto" w:sz="4" w:space="0"/>
            </w:tcBorders>
            <w:noWrap w:val="0"/>
            <w:vAlign w:val="center"/>
          </w:tcPr>
          <w:p w14:paraId="1984D680">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业绩</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75051F6B">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企业业绩：</w:t>
            </w:r>
          </w:p>
          <w:p w14:paraId="1E0B72E7">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供应商自2020年</w:t>
            </w:r>
            <w:r>
              <w:rPr>
                <w:rFonts w:hint="eastAsia" w:ascii="宋体" w:hAnsi="宋体" w:cs="宋体"/>
                <w:kern w:val="0"/>
                <w:sz w:val="21"/>
                <w:szCs w:val="21"/>
                <w:highlight w:val="none"/>
                <w:lang w:val="en-US" w:bidi="zh-CN"/>
              </w:rPr>
              <w:t>10</w:t>
            </w:r>
            <w:r>
              <w:rPr>
                <w:rFonts w:hint="eastAsia" w:ascii="宋体" w:hAnsi="宋体" w:eastAsia="宋体" w:cs="宋体"/>
                <w:kern w:val="0"/>
                <w:sz w:val="21"/>
                <w:szCs w:val="21"/>
                <w:highlight w:val="none"/>
                <w:lang w:val="zh-CN" w:bidi="zh-CN"/>
              </w:rPr>
              <w:t>月1日以来承接过类似业绩，有一个得</w:t>
            </w:r>
            <w:r>
              <w:rPr>
                <w:rFonts w:hint="eastAsia" w:ascii="宋体" w:hAnsi="宋体" w:cs="宋体"/>
                <w:kern w:val="0"/>
                <w:sz w:val="21"/>
                <w:szCs w:val="21"/>
                <w:highlight w:val="none"/>
                <w:lang w:val="en-US" w:bidi="zh-CN"/>
              </w:rPr>
              <w:t>3</w:t>
            </w:r>
            <w:r>
              <w:rPr>
                <w:rFonts w:hint="eastAsia" w:ascii="宋体" w:hAnsi="宋体" w:eastAsia="宋体" w:cs="宋体"/>
                <w:kern w:val="0"/>
                <w:sz w:val="21"/>
                <w:szCs w:val="21"/>
                <w:highlight w:val="none"/>
                <w:lang w:val="zh-CN" w:bidi="zh-CN"/>
              </w:rPr>
              <w:t>分，最高得</w:t>
            </w:r>
            <w:r>
              <w:rPr>
                <w:rFonts w:hint="eastAsia" w:ascii="宋体" w:hAnsi="宋体" w:cs="宋体"/>
                <w:kern w:val="0"/>
                <w:sz w:val="21"/>
                <w:szCs w:val="21"/>
                <w:highlight w:val="none"/>
                <w:lang w:val="en-US" w:bidi="zh-CN"/>
              </w:rPr>
              <w:t>9</w:t>
            </w:r>
            <w:r>
              <w:rPr>
                <w:rFonts w:hint="eastAsia" w:ascii="宋体" w:hAnsi="宋体" w:eastAsia="宋体" w:cs="宋体"/>
                <w:kern w:val="0"/>
                <w:sz w:val="21"/>
                <w:szCs w:val="21"/>
                <w:highlight w:val="none"/>
                <w:lang w:val="zh-CN" w:bidi="zh-CN"/>
              </w:rPr>
              <w:t>分。</w:t>
            </w:r>
          </w:p>
          <w:p w14:paraId="70AD18AD">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注：业绩必须同时提供下列证明材料复印件并加盖</w:t>
            </w:r>
            <w:r>
              <w:rPr>
                <w:rFonts w:hint="eastAsia" w:ascii="宋体" w:hAnsi="宋体" w:cs="宋体"/>
                <w:kern w:val="0"/>
                <w:sz w:val="21"/>
                <w:szCs w:val="21"/>
                <w:highlight w:val="none"/>
                <w:lang w:val="en-US" w:bidi="zh-CN"/>
              </w:rPr>
              <w:t>单位</w:t>
            </w:r>
            <w:r>
              <w:rPr>
                <w:rFonts w:hint="eastAsia" w:ascii="宋体" w:hAnsi="宋体" w:eastAsia="宋体" w:cs="宋体"/>
                <w:kern w:val="0"/>
                <w:sz w:val="21"/>
                <w:szCs w:val="21"/>
                <w:highlight w:val="none"/>
                <w:lang w:val="zh-CN" w:bidi="zh-CN"/>
              </w:rPr>
              <w:t>公章：①中标通知书；②工程施工合同；③合同完工验收证明或合同工程完工验收鉴定书或竣工验收证书（三者缺一不可；时间以施工合同签订为准，提供的证明材料必须反映出相关数据，否则视为未提供；项目负责人业绩必须为在供应商任职期间内的业绩；企业业绩与项目负责人业绩不可兼得。）</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C93E68D">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zh-CN" w:bidi="zh-CN"/>
              </w:rPr>
            </w:pPr>
            <w:r>
              <w:rPr>
                <w:rFonts w:hint="eastAsia" w:ascii="宋体" w:hAnsi="宋体" w:cs="宋体"/>
                <w:kern w:val="0"/>
                <w:sz w:val="21"/>
                <w:szCs w:val="21"/>
                <w:highlight w:val="none"/>
                <w:lang w:val="en-US" w:bidi="zh-CN"/>
              </w:rPr>
              <w:t>9</w:t>
            </w:r>
            <w:r>
              <w:rPr>
                <w:rFonts w:hint="eastAsia" w:ascii="宋体" w:hAnsi="宋体" w:eastAsia="宋体" w:cs="宋体"/>
                <w:kern w:val="0"/>
                <w:sz w:val="21"/>
                <w:szCs w:val="21"/>
                <w:highlight w:val="none"/>
                <w:lang w:val="zh-CN" w:bidi="zh-CN"/>
              </w:rPr>
              <w:t>分</w:t>
            </w:r>
          </w:p>
        </w:tc>
      </w:tr>
      <w:tr w14:paraId="6104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2" w:type="dxa"/>
            <w:vMerge w:val="continue"/>
            <w:tcBorders>
              <w:left w:val="single" w:color="auto" w:sz="4" w:space="0"/>
              <w:right w:val="single" w:color="auto" w:sz="4" w:space="0"/>
            </w:tcBorders>
            <w:noWrap w:val="0"/>
            <w:vAlign w:val="center"/>
          </w:tcPr>
          <w:p w14:paraId="4F2815D0">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lang w:val="en-US" w:bidi="zh-CN"/>
              </w:rPr>
            </w:pPr>
          </w:p>
        </w:tc>
        <w:tc>
          <w:tcPr>
            <w:tcW w:w="1425" w:type="dxa"/>
            <w:vMerge w:val="continue"/>
            <w:tcBorders>
              <w:left w:val="single" w:color="auto" w:sz="4" w:space="0"/>
              <w:right w:val="single" w:color="auto" w:sz="4" w:space="0"/>
            </w:tcBorders>
            <w:noWrap w:val="0"/>
            <w:vAlign w:val="center"/>
          </w:tcPr>
          <w:p w14:paraId="083AE3C5">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lang w:val="zh-CN" w:bidi="zh-CN"/>
              </w:rPr>
            </w:pPr>
          </w:p>
        </w:tc>
        <w:tc>
          <w:tcPr>
            <w:tcW w:w="5730" w:type="dxa"/>
            <w:tcBorders>
              <w:top w:val="single" w:color="auto" w:sz="4" w:space="0"/>
              <w:left w:val="single" w:color="auto" w:sz="4" w:space="0"/>
              <w:bottom w:val="single" w:color="auto" w:sz="4" w:space="0"/>
              <w:right w:val="single" w:color="auto" w:sz="4" w:space="0"/>
            </w:tcBorders>
            <w:noWrap w:val="0"/>
            <w:vAlign w:val="center"/>
          </w:tcPr>
          <w:p w14:paraId="12AF8F97">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项目经理业绩：</w:t>
            </w:r>
          </w:p>
          <w:p w14:paraId="034BA2A2">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供应商自2020年</w:t>
            </w:r>
            <w:r>
              <w:rPr>
                <w:rFonts w:hint="eastAsia" w:ascii="宋体" w:hAnsi="宋体" w:cs="宋体"/>
                <w:kern w:val="0"/>
                <w:sz w:val="21"/>
                <w:szCs w:val="21"/>
                <w:highlight w:val="none"/>
                <w:lang w:val="en-US" w:bidi="zh-CN"/>
              </w:rPr>
              <w:t>10</w:t>
            </w:r>
            <w:r>
              <w:rPr>
                <w:rFonts w:hint="eastAsia" w:ascii="宋体" w:hAnsi="宋体" w:eastAsia="宋体" w:cs="宋体"/>
                <w:kern w:val="0"/>
                <w:sz w:val="21"/>
                <w:szCs w:val="21"/>
                <w:highlight w:val="none"/>
                <w:lang w:val="zh-CN" w:bidi="zh-CN"/>
              </w:rPr>
              <w:t>月1日以来承接过类似业绩，有一个得</w:t>
            </w:r>
            <w:r>
              <w:rPr>
                <w:rFonts w:hint="eastAsia" w:ascii="宋体" w:hAnsi="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分，最高得</w:t>
            </w:r>
            <w:r>
              <w:rPr>
                <w:rFonts w:hint="eastAsia" w:ascii="宋体" w:hAnsi="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分。</w:t>
            </w:r>
          </w:p>
          <w:p w14:paraId="2C39A46E">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kern w:val="0"/>
                <w:sz w:val="21"/>
                <w:szCs w:val="21"/>
                <w:highlight w:val="none"/>
                <w:lang w:val="zh-CN" w:bidi="zh-CN"/>
              </w:rPr>
            </w:pPr>
            <w:r>
              <w:rPr>
                <w:rFonts w:hint="eastAsia" w:ascii="宋体" w:hAnsi="宋体" w:eastAsia="宋体" w:cs="宋体"/>
                <w:kern w:val="0"/>
                <w:sz w:val="21"/>
                <w:szCs w:val="21"/>
                <w:highlight w:val="none"/>
                <w:lang w:val="zh-CN" w:bidi="zh-CN"/>
              </w:rPr>
              <w:t>注：业绩必须同时提供下列证明材料复印件并加盖</w:t>
            </w:r>
            <w:r>
              <w:rPr>
                <w:rFonts w:hint="eastAsia" w:ascii="宋体" w:hAnsi="宋体" w:cs="宋体"/>
                <w:kern w:val="0"/>
                <w:sz w:val="21"/>
                <w:szCs w:val="21"/>
                <w:highlight w:val="none"/>
                <w:lang w:val="en-US" w:bidi="zh-CN"/>
              </w:rPr>
              <w:t>单位</w:t>
            </w:r>
            <w:r>
              <w:rPr>
                <w:rFonts w:hint="eastAsia" w:ascii="宋体" w:hAnsi="宋体" w:eastAsia="宋体" w:cs="宋体"/>
                <w:kern w:val="0"/>
                <w:sz w:val="21"/>
                <w:szCs w:val="21"/>
                <w:highlight w:val="none"/>
                <w:lang w:val="zh-CN" w:bidi="zh-CN"/>
              </w:rPr>
              <w:t>公章：①中标通知书；②工程施工合同；③合同完工验收证明或合同工程完工验收鉴定书或竣工验收证书（三者缺一不可；时间以施工合同签订为准，提供的证明材料必须反映出相关数据，否则视为未提供；项目负责人业绩必须为在供应商任职期间内的业绩；企业业绩与项目负责人业绩不可兼得。）</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4C334B3">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分</w:t>
            </w:r>
          </w:p>
        </w:tc>
      </w:tr>
      <w:tr w14:paraId="0548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2" w:type="dxa"/>
            <w:tcBorders>
              <w:left w:val="single" w:color="auto" w:sz="4" w:space="0"/>
              <w:right w:val="single" w:color="auto" w:sz="4" w:space="0"/>
            </w:tcBorders>
            <w:noWrap w:val="0"/>
            <w:vAlign w:val="center"/>
          </w:tcPr>
          <w:p w14:paraId="12C07314">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bidi="zh-CN"/>
              </w:rPr>
              <w:t>3</w:t>
            </w:r>
          </w:p>
        </w:tc>
        <w:tc>
          <w:tcPr>
            <w:tcW w:w="1425" w:type="dxa"/>
            <w:tcBorders>
              <w:left w:val="single" w:color="auto" w:sz="4" w:space="0"/>
              <w:right w:val="single" w:color="auto" w:sz="4" w:space="0"/>
            </w:tcBorders>
            <w:noWrap w:val="0"/>
            <w:vAlign w:val="center"/>
          </w:tcPr>
          <w:p w14:paraId="2F3345DE">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p>
          <w:p w14:paraId="4336FF29">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bidi="zh-CN"/>
              </w:rPr>
              <w:t>人员配备</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119B45C1">
            <w:pPr>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jc w:val="left"/>
              <w:textAlignment w:val="auto"/>
              <w:rPr>
                <w:rFonts w:hint="default" w:ascii="宋体" w:hAnsi="宋体" w:eastAsia="宋体" w:cs="宋体"/>
                <w:kern w:val="0"/>
                <w:sz w:val="21"/>
                <w:szCs w:val="21"/>
                <w:highlight w:val="none"/>
                <w:lang w:val="en-US" w:eastAsia="zh-CN" w:bidi="zh-CN"/>
              </w:rPr>
            </w:pPr>
            <w:r>
              <w:rPr>
                <w:rFonts w:hint="eastAsia" w:ascii="宋体" w:hAnsi="宋体" w:eastAsia="宋体" w:cs="宋体"/>
                <w:b/>
                <w:bCs/>
                <w:color w:val="auto"/>
                <w:kern w:val="0"/>
                <w:sz w:val="21"/>
                <w:szCs w:val="21"/>
                <w:highlight w:val="none"/>
                <w:lang w:val="en-US" w:eastAsia="zh-CN" w:bidi="zh-CN"/>
              </w:rPr>
              <w:t>（1）项目负责人</w:t>
            </w:r>
            <w:r>
              <w:rPr>
                <w:rFonts w:hint="eastAsia" w:ascii="宋体" w:hAnsi="宋体" w:eastAsia="宋体" w:cs="宋体"/>
                <w:b w:val="0"/>
                <w:bCs w:val="0"/>
                <w:color w:val="auto"/>
                <w:kern w:val="0"/>
                <w:sz w:val="21"/>
                <w:szCs w:val="21"/>
                <w:highlight w:val="none"/>
                <w:lang w:val="en-US" w:eastAsia="zh-CN" w:bidi="zh-CN"/>
              </w:rPr>
              <w:br w:type="textWrapping"/>
            </w:r>
            <w:r>
              <w:rPr>
                <w:rFonts w:hint="eastAsia" w:ascii="宋体" w:hAnsi="宋体" w:eastAsia="宋体" w:cs="宋体"/>
                <w:b w:val="0"/>
                <w:bCs w:val="0"/>
                <w:color w:val="auto"/>
                <w:kern w:val="0"/>
                <w:sz w:val="21"/>
                <w:szCs w:val="21"/>
                <w:highlight w:val="none"/>
                <w:lang w:val="en-US" w:eastAsia="zh-CN" w:bidi="zh-CN"/>
              </w:rPr>
              <w:t xml:space="preserve">  供应商为本项目配备的项目负责人具有</w:t>
            </w:r>
            <w:r>
              <w:rPr>
                <w:rFonts w:hint="eastAsia" w:ascii="宋体" w:hAnsi="宋体" w:cs="宋体"/>
                <w:b w:val="0"/>
                <w:bCs w:val="0"/>
                <w:color w:val="auto"/>
                <w:kern w:val="0"/>
                <w:sz w:val="21"/>
                <w:szCs w:val="21"/>
                <w:highlight w:val="none"/>
                <w:lang w:val="en-US" w:eastAsia="zh-CN" w:bidi="zh-CN"/>
              </w:rPr>
              <w:t>二</w:t>
            </w:r>
            <w:r>
              <w:rPr>
                <w:rFonts w:hint="eastAsia" w:ascii="宋体" w:hAnsi="宋体" w:eastAsia="宋体" w:cs="宋体"/>
                <w:b w:val="0"/>
                <w:bCs w:val="0"/>
                <w:color w:val="auto"/>
                <w:kern w:val="0"/>
                <w:sz w:val="21"/>
                <w:szCs w:val="21"/>
                <w:highlight w:val="none"/>
                <w:lang w:val="en-US" w:eastAsia="zh-CN" w:bidi="zh-CN"/>
              </w:rPr>
              <w:t>级</w:t>
            </w:r>
            <w:r>
              <w:rPr>
                <w:rFonts w:hint="eastAsia" w:ascii="宋体" w:hAnsi="宋体" w:cs="宋体"/>
                <w:b w:val="0"/>
                <w:bCs w:val="0"/>
                <w:color w:val="auto"/>
                <w:kern w:val="0"/>
                <w:sz w:val="21"/>
                <w:szCs w:val="21"/>
                <w:highlight w:val="none"/>
                <w:lang w:val="en-US" w:eastAsia="zh-CN" w:bidi="zh-CN"/>
              </w:rPr>
              <w:t>及以上</w:t>
            </w:r>
            <w:r>
              <w:rPr>
                <w:rFonts w:hint="eastAsia" w:ascii="宋体" w:hAnsi="宋体" w:eastAsia="宋体" w:cs="宋体"/>
                <w:b w:val="0"/>
                <w:bCs w:val="0"/>
                <w:color w:val="auto"/>
                <w:kern w:val="0"/>
                <w:sz w:val="21"/>
                <w:szCs w:val="21"/>
                <w:highlight w:val="none"/>
                <w:lang w:val="en-US" w:eastAsia="zh-CN" w:bidi="zh-CN"/>
              </w:rPr>
              <w:t>注册建造师得2分，同时具有建设工程类</w:t>
            </w:r>
            <w:r>
              <w:rPr>
                <w:rFonts w:hint="eastAsia" w:ascii="宋体" w:hAnsi="宋体" w:cs="宋体"/>
                <w:b w:val="0"/>
                <w:bCs w:val="0"/>
                <w:color w:val="auto"/>
                <w:kern w:val="0"/>
                <w:sz w:val="21"/>
                <w:szCs w:val="21"/>
                <w:highlight w:val="none"/>
                <w:lang w:val="en-US" w:eastAsia="zh-CN" w:bidi="zh-CN"/>
              </w:rPr>
              <w:t>中</w:t>
            </w:r>
            <w:r>
              <w:rPr>
                <w:rFonts w:hint="eastAsia" w:ascii="宋体" w:hAnsi="宋体" w:eastAsia="宋体" w:cs="宋体"/>
                <w:b w:val="0"/>
                <w:bCs w:val="0"/>
                <w:color w:val="auto"/>
                <w:kern w:val="0"/>
                <w:sz w:val="21"/>
                <w:szCs w:val="21"/>
                <w:highlight w:val="none"/>
                <w:lang w:val="en-US" w:eastAsia="zh-CN" w:bidi="zh-CN"/>
              </w:rPr>
              <w:t>级及以上职称加2分，本项最多得4分</w:t>
            </w:r>
            <w:r>
              <w:rPr>
                <w:rFonts w:hint="eastAsia" w:ascii="宋体" w:hAnsi="宋体" w:eastAsia="宋体" w:cs="宋体"/>
                <w:color w:val="auto"/>
                <w:kern w:val="0"/>
                <w:sz w:val="21"/>
                <w:szCs w:val="21"/>
                <w:highlight w:val="none"/>
                <w:lang w:val="zh-CN" w:eastAsia="zh-CN" w:bidi="zh-CN"/>
              </w:rPr>
              <w:t>。</w:t>
            </w:r>
          </w:p>
          <w:p w14:paraId="0FBF3422">
            <w:pPr>
              <w:keepNext w:val="0"/>
              <w:keepLines w:val="0"/>
              <w:pageBreakBefore w:val="0"/>
              <w:widowControl w:val="0"/>
              <w:numPr>
                <w:ilvl w:val="0"/>
                <w:numId w:val="0"/>
              </w:numPr>
              <w:shd w:val="clear"/>
              <w:kinsoku/>
              <w:wordWrap/>
              <w:overflowPunct/>
              <w:topLinePunct w:val="0"/>
              <w:autoSpaceDE/>
              <w:autoSpaceDN/>
              <w:bidi w:val="0"/>
              <w:adjustRightInd/>
              <w:snapToGrid/>
              <w:spacing w:after="0" w:line="440" w:lineRule="exact"/>
              <w:ind w:left="211" w:leftChars="0" w:hanging="211" w:hangingChars="100"/>
              <w:jc w:val="left"/>
              <w:textAlignment w:val="auto"/>
              <w:rPr>
                <w:rFonts w:hint="default" w:ascii="宋体" w:hAnsi="宋体" w:eastAsia="宋体" w:cs="宋体"/>
                <w:color w:val="auto"/>
                <w:kern w:val="2"/>
                <w:sz w:val="21"/>
                <w:szCs w:val="21"/>
                <w:highlight w:val="none"/>
                <w:lang w:val="zh-CN" w:eastAsia="zh-CN" w:bidi="zh-CN"/>
              </w:rPr>
            </w:pPr>
            <w:r>
              <w:rPr>
                <w:rFonts w:hint="eastAsia" w:ascii="宋体" w:hAnsi="宋体" w:eastAsia="宋体" w:cs="宋体"/>
                <w:b/>
                <w:bCs/>
                <w:kern w:val="0"/>
                <w:sz w:val="21"/>
                <w:szCs w:val="21"/>
                <w:highlight w:val="none"/>
                <w:lang w:val="zh-CN" w:eastAsia="zh-CN" w:bidi="zh-CN"/>
              </w:rPr>
              <w:t>（</w:t>
            </w:r>
            <w:r>
              <w:rPr>
                <w:rFonts w:hint="eastAsia" w:ascii="宋体" w:hAnsi="宋体" w:cs="宋体"/>
                <w:b/>
                <w:bCs/>
                <w:kern w:val="0"/>
                <w:sz w:val="21"/>
                <w:szCs w:val="21"/>
                <w:highlight w:val="none"/>
                <w:lang w:val="en-US" w:eastAsia="zh-CN" w:bidi="zh-CN"/>
              </w:rPr>
              <w:t>2</w:t>
            </w:r>
            <w:r>
              <w:rPr>
                <w:rFonts w:hint="eastAsia" w:ascii="宋体" w:hAnsi="宋体" w:eastAsia="宋体" w:cs="宋体"/>
                <w:b/>
                <w:bCs/>
                <w:kern w:val="0"/>
                <w:sz w:val="21"/>
                <w:szCs w:val="21"/>
                <w:highlight w:val="none"/>
                <w:lang w:val="en-US" w:eastAsia="zh-CN" w:bidi="zh-CN"/>
              </w:rPr>
              <w:t>）项目组成员（项目负责人除外）</w:t>
            </w:r>
            <w:r>
              <w:rPr>
                <w:rFonts w:hint="eastAsia" w:ascii="宋体" w:hAnsi="宋体" w:eastAsia="宋体" w:cs="宋体"/>
                <w:kern w:val="0"/>
                <w:sz w:val="21"/>
                <w:szCs w:val="21"/>
                <w:highlight w:val="none"/>
                <w:lang w:val="en-US" w:eastAsia="zh-CN" w:bidi="zh-CN"/>
              </w:rPr>
              <w:br w:type="textWrapping"/>
            </w:r>
            <w:r>
              <w:rPr>
                <w:rFonts w:hint="eastAsia" w:ascii="宋体" w:hAnsi="宋体" w:eastAsia="宋体" w:cs="宋体"/>
                <w:kern w:val="0"/>
                <w:sz w:val="21"/>
                <w:szCs w:val="21"/>
                <w:highlight w:val="none"/>
                <w:lang w:val="en-US" w:eastAsia="zh-CN" w:bidi="zh-CN"/>
              </w:rPr>
              <w:t>供应商为</w:t>
            </w:r>
            <w:r>
              <w:rPr>
                <w:rFonts w:hint="eastAsia" w:ascii="宋体" w:hAnsi="宋体" w:eastAsia="宋体" w:cs="宋体"/>
                <w:kern w:val="0"/>
                <w:sz w:val="21"/>
                <w:szCs w:val="21"/>
                <w:highlight w:val="none"/>
                <w:lang w:val="zh-CN" w:eastAsia="zh-CN" w:bidi="zh-CN"/>
              </w:rPr>
              <w:t>本项</w:t>
            </w:r>
            <w:r>
              <w:rPr>
                <w:rFonts w:hint="eastAsia" w:ascii="宋体" w:hAnsi="宋体" w:eastAsia="宋体" w:cs="宋体"/>
                <w:color w:val="auto"/>
                <w:kern w:val="2"/>
                <w:sz w:val="21"/>
                <w:szCs w:val="21"/>
                <w:highlight w:val="none"/>
                <w:lang w:val="zh-CN" w:eastAsia="zh-CN" w:bidi="zh-CN"/>
              </w:rPr>
              <w:t>目配备的项目组成员施工员、质检员、材料员、资料员、安全员(安全员除外)具有建设工程类中级及以上职称的全部满足得</w:t>
            </w:r>
            <w:r>
              <w:rPr>
                <w:rFonts w:hint="eastAsia" w:ascii="宋体" w:hAnsi="宋体" w:eastAsia="宋体" w:cs="宋体"/>
                <w:color w:val="auto"/>
                <w:kern w:val="2"/>
                <w:sz w:val="21"/>
                <w:szCs w:val="21"/>
                <w:highlight w:val="none"/>
                <w:lang w:val="en-US" w:eastAsia="zh-CN" w:bidi="zh-CN"/>
              </w:rPr>
              <w:t>4</w:t>
            </w:r>
            <w:r>
              <w:rPr>
                <w:rFonts w:hint="eastAsia" w:ascii="宋体" w:hAnsi="宋体" w:eastAsia="宋体" w:cs="宋体"/>
                <w:color w:val="auto"/>
                <w:kern w:val="2"/>
                <w:sz w:val="21"/>
                <w:szCs w:val="21"/>
                <w:highlight w:val="none"/>
                <w:lang w:val="zh-CN" w:eastAsia="zh-CN" w:bidi="zh-CN"/>
              </w:rPr>
              <w:t>分，每少一项扣</w:t>
            </w:r>
            <w:r>
              <w:rPr>
                <w:rFonts w:hint="eastAsia" w:ascii="宋体" w:hAnsi="宋体" w:eastAsia="宋体" w:cs="宋体"/>
                <w:color w:val="auto"/>
                <w:kern w:val="2"/>
                <w:sz w:val="21"/>
                <w:szCs w:val="21"/>
                <w:highlight w:val="none"/>
                <w:lang w:val="en-US" w:eastAsia="zh-CN" w:bidi="zh-CN"/>
              </w:rPr>
              <w:t>1</w:t>
            </w:r>
            <w:r>
              <w:rPr>
                <w:rFonts w:hint="eastAsia" w:ascii="宋体" w:hAnsi="宋体" w:eastAsia="宋体" w:cs="宋体"/>
                <w:color w:val="auto"/>
                <w:kern w:val="2"/>
                <w:sz w:val="21"/>
                <w:szCs w:val="21"/>
                <w:highlight w:val="none"/>
                <w:lang w:val="zh-CN" w:eastAsia="zh-CN" w:bidi="zh-CN"/>
              </w:rPr>
              <w:t>分，扣完为</w:t>
            </w:r>
            <w:r>
              <w:rPr>
                <w:rFonts w:hint="eastAsia" w:ascii="宋体" w:hAnsi="宋体" w:eastAsia="宋体" w:cs="宋体"/>
                <w:color w:val="auto"/>
                <w:kern w:val="2"/>
                <w:sz w:val="21"/>
                <w:szCs w:val="21"/>
                <w:highlight w:val="none"/>
                <w:lang w:val="en-US" w:eastAsia="zh-CN" w:bidi="zh-CN"/>
              </w:rPr>
              <w:t>止。</w:t>
            </w:r>
          </w:p>
          <w:p w14:paraId="78902BB2">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color w:val="auto"/>
                <w:kern w:val="2"/>
                <w:sz w:val="21"/>
                <w:szCs w:val="21"/>
                <w:highlight w:val="none"/>
                <w:lang w:val="zh-CN" w:eastAsia="zh-CN" w:bidi="zh-CN"/>
              </w:rPr>
              <w:t>以上要求的人员，必须为本单位人员，须提供与投标申请人签订的有效劳动合同、社保机构出具的近三个月投标申请人为其缴纳的养老保险缴费证明材料。（提供相关证书复印件并加盖</w:t>
            </w:r>
            <w:r>
              <w:rPr>
                <w:rFonts w:hint="eastAsia" w:ascii="宋体" w:hAnsi="宋体" w:cs="宋体"/>
                <w:color w:val="auto"/>
                <w:kern w:val="2"/>
                <w:sz w:val="21"/>
                <w:szCs w:val="21"/>
                <w:highlight w:val="none"/>
                <w:lang w:val="en-US" w:eastAsia="zh-CN" w:bidi="zh-CN"/>
              </w:rPr>
              <w:t>单位</w:t>
            </w:r>
            <w:r>
              <w:rPr>
                <w:rFonts w:hint="eastAsia" w:ascii="宋体" w:hAnsi="宋体" w:eastAsia="宋体" w:cs="宋体"/>
                <w:color w:val="auto"/>
                <w:kern w:val="2"/>
                <w:sz w:val="21"/>
                <w:szCs w:val="21"/>
                <w:highlight w:val="none"/>
                <w:lang w:val="zh-CN" w:eastAsia="zh-CN" w:bidi="zh-CN"/>
              </w:rPr>
              <w:t>公章，同一人不能兼任不同岗位）。</w:t>
            </w:r>
            <w:r>
              <w:rPr>
                <w:rFonts w:hint="eastAsia" w:ascii="宋体" w:hAnsi="宋体" w:eastAsia="宋体" w:cs="宋体"/>
                <w:color w:val="auto"/>
                <w:kern w:val="2"/>
                <w:sz w:val="21"/>
                <w:szCs w:val="21"/>
                <w:highlight w:val="none"/>
                <w:u w:val="single"/>
                <w:lang w:val="zh-CN" w:eastAsia="zh-CN" w:bidi="zh-CN"/>
              </w:rPr>
              <w:t>中标后需提供原件核查，若提供不了则按弄虚作假处理</w:t>
            </w:r>
            <w:r>
              <w:rPr>
                <w:rFonts w:hint="eastAsia" w:ascii="宋体" w:hAnsi="宋体" w:eastAsia="宋体" w:cs="宋体"/>
                <w:color w:val="auto"/>
                <w:kern w:val="2"/>
                <w:sz w:val="21"/>
                <w:szCs w:val="21"/>
                <w:highlight w:val="none"/>
                <w:lang w:val="zh-CN" w:eastAsia="zh-CN" w:bidi="zh-CN"/>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8EAC2E2">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bidi="zh-CN"/>
              </w:rPr>
              <w:t>8分</w:t>
            </w:r>
          </w:p>
        </w:tc>
      </w:tr>
      <w:tr w14:paraId="4149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2" w:type="dxa"/>
            <w:tcBorders>
              <w:left w:val="single" w:color="auto" w:sz="4" w:space="0"/>
              <w:right w:val="single" w:color="auto" w:sz="4" w:space="0"/>
            </w:tcBorders>
            <w:noWrap w:val="0"/>
            <w:vAlign w:val="center"/>
          </w:tcPr>
          <w:p w14:paraId="3828FD35">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4</w:t>
            </w:r>
          </w:p>
        </w:tc>
        <w:tc>
          <w:tcPr>
            <w:tcW w:w="1425" w:type="dxa"/>
            <w:tcBorders>
              <w:left w:val="single" w:color="auto" w:sz="4" w:space="0"/>
              <w:right w:val="single" w:color="auto" w:sz="4" w:space="0"/>
            </w:tcBorders>
            <w:noWrap w:val="0"/>
            <w:vAlign w:val="center"/>
          </w:tcPr>
          <w:p w14:paraId="514E6D09">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工期提前</w:t>
            </w:r>
            <w:r>
              <w:rPr>
                <w:rFonts w:hint="eastAsia" w:ascii="宋体" w:hAnsi="宋体" w:cs="宋体"/>
                <w:kern w:val="0"/>
                <w:sz w:val="21"/>
                <w:szCs w:val="21"/>
                <w:highlight w:val="none"/>
                <w:lang w:val="en-US" w:bidi="zh-CN"/>
              </w:rPr>
              <w:br w:type="textWrapping"/>
            </w:r>
            <w:r>
              <w:rPr>
                <w:rFonts w:hint="eastAsia" w:ascii="宋体" w:hAnsi="宋体" w:cs="宋体"/>
                <w:kern w:val="0"/>
                <w:sz w:val="21"/>
                <w:szCs w:val="21"/>
                <w:highlight w:val="none"/>
                <w:lang w:val="en-US" w:bidi="zh-CN"/>
              </w:rPr>
              <w:t>承诺书</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31D607B8">
            <w:pPr>
              <w:keepNext w:val="0"/>
              <w:keepLines w:val="0"/>
              <w:pageBreakBefore w:val="0"/>
              <w:widowControl w:val="0"/>
              <w:shd w:val="clea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cs="宋体"/>
                <w:b/>
                <w:bCs/>
                <w:color w:val="auto"/>
                <w:kern w:val="2"/>
                <w:sz w:val="21"/>
                <w:szCs w:val="21"/>
                <w:highlight w:val="none"/>
                <w:lang w:val="en-US" w:eastAsia="zh-CN" w:bidi="zh-CN"/>
              </w:rPr>
              <w:t>各供应商根据现场实际情况与自身实力及施工方案综合分析考虑施工工期提供承诺书（格式自拟）</w:t>
            </w:r>
            <w:r>
              <w:rPr>
                <w:rFonts w:hint="eastAsia" w:ascii="宋体" w:hAnsi="宋体" w:cs="宋体"/>
                <w:color w:val="auto"/>
                <w:kern w:val="2"/>
                <w:sz w:val="21"/>
                <w:szCs w:val="21"/>
                <w:highlight w:val="none"/>
                <w:lang w:val="en-US" w:eastAsia="zh-CN" w:bidi="zh-CN"/>
              </w:rPr>
              <w:t>：工期在满足竞争性磋商文件要求工期的基础上提前完工5天得1分，在此基础上每增加提前完工1天加0.5分，本项最高得5分。</w:t>
            </w:r>
            <w:r>
              <w:rPr>
                <w:rFonts w:hint="eastAsia" w:ascii="宋体" w:hAnsi="宋体" w:cs="宋体"/>
                <w:color w:val="auto"/>
                <w:kern w:val="2"/>
                <w:sz w:val="21"/>
                <w:szCs w:val="21"/>
                <w:highlight w:val="none"/>
                <w:lang w:val="en-US" w:eastAsia="zh-CN" w:bidi="zh-CN"/>
              </w:rPr>
              <w:br w:type="textWrapping"/>
            </w:r>
            <w:r>
              <w:rPr>
                <w:rFonts w:hint="eastAsia" w:ascii="宋体" w:hAnsi="宋体" w:cs="宋体"/>
                <w:color w:val="auto"/>
                <w:kern w:val="2"/>
                <w:sz w:val="21"/>
                <w:szCs w:val="21"/>
                <w:highlight w:val="none"/>
                <w:lang w:val="en-US" w:eastAsia="zh-CN" w:bidi="zh-CN"/>
              </w:rPr>
              <w:t>注：供应商承诺提前完成工期天数属于施工合同一部分，须按合同条款工期奖罚执行。</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55CD946">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5分</w:t>
            </w:r>
          </w:p>
        </w:tc>
      </w:tr>
      <w:tr w14:paraId="2657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2" w:type="dxa"/>
            <w:tcBorders>
              <w:left w:val="single" w:color="auto" w:sz="4" w:space="0"/>
              <w:right w:val="single" w:color="auto" w:sz="4" w:space="0"/>
            </w:tcBorders>
            <w:noWrap w:val="0"/>
            <w:vAlign w:val="center"/>
          </w:tcPr>
          <w:p w14:paraId="6A20D338">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5</w:t>
            </w:r>
          </w:p>
        </w:tc>
        <w:tc>
          <w:tcPr>
            <w:tcW w:w="1425" w:type="dxa"/>
            <w:tcBorders>
              <w:left w:val="single" w:color="auto" w:sz="4" w:space="0"/>
              <w:right w:val="single" w:color="auto" w:sz="4" w:space="0"/>
            </w:tcBorders>
            <w:noWrap w:val="0"/>
            <w:vAlign w:val="center"/>
          </w:tcPr>
          <w:p w14:paraId="0CBB7150">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bidi="zh-CN"/>
              </w:rPr>
              <w:t>总分</w:t>
            </w:r>
          </w:p>
        </w:tc>
        <w:tc>
          <w:tcPr>
            <w:tcW w:w="6940" w:type="dxa"/>
            <w:gridSpan w:val="2"/>
            <w:tcBorders>
              <w:top w:val="single" w:color="auto" w:sz="4" w:space="0"/>
              <w:left w:val="single" w:color="auto" w:sz="4" w:space="0"/>
              <w:bottom w:val="single" w:color="auto" w:sz="4" w:space="0"/>
              <w:right w:val="single" w:color="auto" w:sz="4" w:space="0"/>
            </w:tcBorders>
            <w:noWrap w:val="0"/>
            <w:vAlign w:val="center"/>
          </w:tcPr>
          <w:p w14:paraId="62BD454F">
            <w:pPr>
              <w:keepNext w:val="0"/>
              <w:keepLines w:val="0"/>
              <w:pageBreakBefore w:val="0"/>
              <w:widowControl w:val="0"/>
              <w:shd w:val="clear"/>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bidi="zh-CN"/>
              </w:rPr>
              <w:t>100分</w:t>
            </w:r>
          </w:p>
        </w:tc>
      </w:tr>
      <w:bookmarkEnd w:id="89"/>
    </w:tbl>
    <w:p w14:paraId="047198E0">
      <w:pPr>
        <w:shd w:val="clear"/>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90" w:name="_Toc42519007"/>
      <w:bookmarkStart w:id="91" w:name="_Toc29698_WPSOffice_Level1"/>
      <w:bookmarkStart w:id="92" w:name="_Toc12281"/>
      <w:bookmarkStart w:id="93" w:name="_Toc25810"/>
      <w:bookmarkStart w:id="94" w:name="_Toc23965_WPSOffice_Level1"/>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说明：</w:t>
      </w:r>
    </w:p>
    <w:p w14:paraId="15027D74">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B9387D6">
      <w:pPr>
        <w:shd w:val="clear"/>
        <w:spacing w:line="44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2.所有认证、证明和业绩均以有效的证明文件的复印件为依据。</w:t>
      </w:r>
    </w:p>
    <w:p w14:paraId="05CED52B">
      <w:pPr>
        <w:shd w:val="clear"/>
        <w:spacing w:line="440" w:lineRule="exac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br w:type="page"/>
      </w:r>
    </w:p>
    <w:bookmarkEnd w:id="87"/>
    <w:p w14:paraId="05170659">
      <w:pPr>
        <w:pStyle w:val="2"/>
        <w:numPr>
          <w:ilvl w:val="0"/>
          <w:numId w:val="3"/>
        </w:numPr>
        <w:shd w:val="clear"/>
        <w:spacing w:line="240" w:lineRule="auto"/>
        <w:jc w:val="center"/>
        <w:rPr>
          <w:rFonts w:hint="default"/>
          <w:b/>
          <w:bCs/>
          <w:highlight w:val="none"/>
          <w:lang w:val="en-US" w:eastAsia="zh-CN"/>
        </w:rPr>
      </w:pPr>
      <w:r>
        <w:rPr>
          <w:rFonts w:hint="eastAsia"/>
          <w:highlight w:val="none"/>
        </w:rPr>
        <w:t>采购需求</w:t>
      </w:r>
      <w:bookmarkEnd w:id="90"/>
      <w:bookmarkEnd w:id="91"/>
      <w:bookmarkEnd w:id="92"/>
      <w:bookmarkEnd w:id="93"/>
      <w:bookmarkEnd w:id="94"/>
      <w:r>
        <w:rPr>
          <w:rFonts w:hint="eastAsia"/>
          <w:highlight w:val="none"/>
        </w:rPr>
        <w:br w:type="textWrapping"/>
      </w:r>
    </w:p>
    <w:p w14:paraId="6AD47D7A">
      <w:pPr>
        <w:pStyle w:val="2"/>
        <w:numPr>
          <w:ilvl w:val="0"/>
          <w:numId w:val="0"/>
        </w:numPr>
        <w:shd w:val="clear"/>
        <w:spacing w:line="240" w:lineRule="auto"/>
        <w:jc w:val="both"/>
        <w:rPr>
          <w:rFonts w:hint="default" w:ascii="宋体" w:hAnsi="宋体" w:eastAsia="宋体" w:cs="Times New Roman"/>
          <w:b/>
          <w:bCs/>
          <w:kern w:val="2"/>
          <w:sz w:val="21"/>
          <w:szCs w:val="22"/>
          <w:highlight w:val="none"/>
          <w:lang w:val="en-US" w:eastAsia="zh-CN" w:bidi="ar-SA"/>
          <w14:ligatures w14:val="standardContextual"/>
        </w:rPr>
      </w:pPr>
      <w:r>
        <w:rPr>
          <w:rFonts w:hint="eastAsia" w:ascii="宋体" w:hAnsi="宋体" w:eastAsia="宋体" w:cs="Times New Roman"/>
          <w:b/>
          <w:bCs/>
          <w:kern w:val="2"/>
          <w:sz w:val="21"/>
          <w:szCs w:val="22"/>
          <w:highlight w:val="none"/>
          <w:lang w:val="en-US" w:eastAsia="zh-CN" w:bidi="ar-SA"/>
          <w14:ligatures w14:val="standardContextual"/>
        </w:rPr>
        <w:t>一、项目概况</w:t>
      </w:r>
    </w:p>
    <w:p w14:paraId="74DEADA0">
      <w:pPr>
        <w:shd w:val="clear"/>
        <w:spacing w:line="360" w:lineRule="auto"/>
        <w:jc w:val="left"/>
        <w:rPr>
          <w:rFonts w:hint="default" w:ascii="宋体" w:hAnsi="宋体" w:eastAsia="宋体" w:cs="Times New Roman"/>
          <w:b w:val="0"/>
          <w:bCs w:val="0"/>
          <w:szCs w:val="22"/>
          <w:highlight w:val="none"/>
          <w:lang w:val="en-US" w:eastAsia="zh-CN"/>
          <w14:ligatures w14:val="standardContextual"/>
        </w:rPr>
      </w:pPr>
      <w:bookmarkStart w:id="95" w:name="_Toc29292_WPSOffice_Level1"/>
      <w:bookmarkStart w:id="96" w:name="_Toc42519008"/>
      <w:bookmarkStart w:id="97" w:name="_Toc29908_WPSOffice_Level1"/>
      <w:r>
        <w:rPr>
          <w:rFonts w:hint="eastAsia" w:ascii="宋体" w:hAnsi="宋体" w:cs="Times New Roman"/>
          <w:b w:val="0"/>
          <w:bCs w:val="0"/>
          <w:szCs w:val="22"/>
          <w:highlight w:val="none"/>
          <w:lang w:val="en-US" w:eastAsia="zh-CN"/>
          <w14:ligatures w14:val="standardContextual"/>
        </w:rPr>
        <w:t>1、项目名称：鼓楼人大实践中心装修改造项目</w:t>
      </w:r>
    </w:p>
    <w:p w14:paraId="2EC50C6C">
      <w:pPr>
        <w:numPr>
          <w:ilvl w:val="0"/>
          <w:numId w:val="0"/>
        </w:numPr>
        <w:shd w:val="clear"/>
        <w:spacing w:line="360" w:lineRule="auto"/>
        <w:jc w:val="left"/>
        <w:rPr>
          <w:rFonts w:hint="eastAsia" w:ascii="宋体" w:hAnsi="宋体" w:cs="宋体"/>
          <w:color w:val="auto"/>
          <w:kern w:val="0"/>
          <w:sz w:val="21"/>
          <w:szCs w:val="21"/>
          <w:highlight w:val="none"/>
          <w:lang w:val="en-US" w:eastAsia="zh-CN" w:bidi="zh-CN"/>
        </w:rPr>
      </w:pPr>
      <w:r>
        <w:rPr>
          <w:rFonts w:hint="eastAsia" w:ascii="宋体" w:hAnsi="宋体" w:cs="宋体"/>
          <w:color w:val="auto"/>
          <w:kern w:val="0"/>
          <w:sz w:val="21"/>
          <w:szCs w:val="21"/>
          <w:highlight w:val="none"/>
          <w:lang w:val="en-US" w:eastAsia="zh-CN" w:bidi="zh-CN"/>
        </w:rPr>
        <w:t>2、工程内容：鼓楼人大实践中心装修改造项目项目，项目总面积约套内361㎡，现场为二次装修基本拆除状态，需要对其进行除卫生间以外的整体装修改造，包括砌墙隔墙、吊顶、地面铺装、墙面涂刷、水电改造，弱电铺设，设备安装等。</w:t>
      </w:r>
    </w:p>
    <w:p w14:paraId="0C383958">
      <w:pPr>
        <w:numPr>
          <w:ilvl w:val="0"/>
          <w:numId w:val="0"/>
        </w:numPr>
        <w:shd w:val="clear"/>
        <w:spacing w:line="360" w:lineRule="auto"/>
        <w:ind w:firstLine="420" w:firstLineChars="200"/>
        <w:jc w:val="left"/>
        <w:rPr>
          <w:rFonts w:hint="eastAsia" w:ascii="宋体" w:hAnsi="宋体" w:cs="宋体"/>
          <w:color w:val="auto"/>
          <w:kern w:val="0"/>
          <w:sz w:val="21"/>
          <w:szCs w:val="21"/>
          <w:highlight w:val="none"/>
          <w:lang w:val="en-US" w:eastAsia="zh-CN" w:bidi="zh-CN"/>
        </w:rPr>
      </w:pPr>
      <w:r>
        <w:rPr>
          <w:rFonts w:hint="eastAsia" w:ascii="宋体" w:hAnsi="宋体" w:cs="宋体"/>
          <w:color w:val="auto"/>
          <w:kern w:val="0"/>
          <w:sz w:val="21"/>
          <w:szCs w:val="21"/>
          <w:highlight w:val="none"/>
          <w:lang w:val="en-US" w:eastAsia="zh-CN" w:bidi="zh-CN"/>
        </w:rPr>
        <w:t>本项目为鼓楼区人大实践中心整体装修改造项目，空间分为展示区、互动区、会议区、休息区、设备间茶水间以及卫生间，各空间功能明确，风格统一。</w:t>
      </w:r>
      <w:r>
        <w:rPr>
          <w:rFonts w:hint="eastAsia" w:ascii="宋体" w:hAnsi="宋体" w:cs="宋体"/>
          <w:color w:val="auto"/>
          <w:kern w:val="0"/>
          <w:sz w:val="21"/>
          <w:szCs w:val="21"/>
          <w:highlight w:val="none"/>
          <w:lang w:val="en-US" w:eastAsia="zh-CN" w:bidi="zh-CN"/>
        </w:rPr>
        <w:br w:type="textWrapping"/>
      </w:r>
      <w:r>
        <w:rPr>
          <w:rFonts w:hint="eastAsia" w:ascii="宋体" w:hAnsi="宋体" w:cs="宋体"/>
          <w:color w:val="auto"/>
          <w:kern w:val="0"/>
          <w:sz w:val="21"/>
          <w:szCs w:val="21"/>
          <w:highlight w:val="none"/>
          <w:lang w:val="en-US" w:eastAsia="zh-CN" w:bidi="zh-CN"/>
        </w:rPr>
        <w:t xml:space="preserve">3、改造目标： </w:t>
      </w:r>
    </w:p>
    <w:p w14:paraId="54428079">
      <w:pPr>
        <w:numPr>
          <w:ilvl w:val="0"/>
          <w:numId w:val="0"/>
        </w:numPr>
        <w:shd w:val="clear"/>
        <w:spacing w:line="360" w:lineRule="auto"/>
        <w:ind w:firstLine="420" w:firstLineChars="200"/>
        <w:jc w:val="left"/>
        <w:rPr>
          <w:rFonts w:hint="eastAsia" w:ascii="宋体" w:hAnsi="宋体" w:cs="宋体"/>
          <w:color w:val="auto"/>
          <w:kern w:val="0"/>
          <w:sz w:val="21"/>
          <w:szCs w:val="21"/>
          <w:highlight w:val="none"/>
          <w:lang w:val="en-US" w:eastAsia="zh-CN" w:bidi="zh-CN"/>
        </w:rPr>
      </w:pPr>
      <w:r>
        <w:rPr>
          <w:rFonts w:hint="eastAsia" w:ascii="宋体" w:hAnsi="宋体" w:cs="宋体"/>
          <w:color w:val="auto"/>
          <w:kern w:val="0"/>
          <w:sz w:val="21"/>
          <w:szCs w:val="21"/>
          <w:highlight w:val="none"/>
          <w:lang w:val="en-US" w:eastAsia="zh-CN" w:bidi="zh-CN"/>
        </w:rPr>
        <w:t>（1）改造后的整体空间布局和功能满足实践中心的所有使用需求。</w:t>
      </w:r>
    </w:p>
    <w:p w14:paraId="5199F3D7">
      <w:pPr>
        <w:numPr>
          <w:ilvl w:val="0"/>
          <w:numId w:val="0"/>
        </w:numPr>
        <w:shd w:val="clear"/>
        <w:spacing w:line="360" w:lineRule="auto"/>
        <w:ind w:firstLine="420" w:firstLineChars="200"/>
        <w:jc w:val="left"/>
        <w:rPr>
          <w:rFonts w:hint="default" w:ascii="宋体" w:hAnsi="宋体" w:eastAsia="宋体" w:cs="Times New Roman"/>
          <w:b w:val="0"/>
          <w:bCs w:val="0"/>
          <w:kern w:val="2"/>
          <w:sz w:val="21"/>
          <w:szCs w:val="22"/>
          <w:highlight w:val="none"/>
          <w:lang w:val="en-US" w:eastAsia="zh-CN" w:bidi="ar-SA"/>
          <w14:ligatures w14:val="standardContextual"/>
        </w:rPr>
      </w:pPr>
      <w:r>
        <w:rPr>
          <w:rFonts w:hint="eastAsia" w:ascii="宋体" w:hAnsi="宋体" w:cs="宋体"/>
          <w:color w:val="auto"/>
          <w:kern w:val="0"/>
          <w:sz w:val="21"/>
          <w:szCs w:val="21"/>
          <w:highlight w:val="none"/>
          <w:lang w:val="en-US" w:eastAsia="zh-CN" w:bidi="zh-CN"/>
        </w:rPr>
        <w:t>（2）改造后的整体感官效果匹配鼓楼区人大的展示形象。</w:t>
      </w:r>
      <w:r>
        <w:rPr>
          <w:rFonts w:hint="eastAsia" w:ascii="宋体" w:hAnsi="宋体" w:cs="宋体"/>
          <w:color w:val="auto"/>
          <w:kern w:val="0"/>
          <w:sz w:val="21"/>
          <w:szCs w:val="21"/>
          <w:highlight w:val="none"/>
          <w:lang w:val="en-US" w:eastAsia="zh-CN" w:bidi="zh-CN"/>
        </w:rPr>
        <w:br w:type="textWrapping"/>
      </w:r>
      <w:r>
        <w:rPr>
          <w:rFonts w:hint="eastAsia" w:ascii="宋体" w:hAnsi="宋体" w:cs="宋体"/>
          <w:color w:val="auto"/>
          <w:kern w:val="0"/>
          <w:sz w:val="21"/>
          <w:szCs w:val="21"/>
          <w:highlight w:val="none"/>
          <w:lang w:val="en-US" w:eastAsia="zh-CN" w:bidi="zh-CN"/>
        </w:rPr>
        <w:t>4、本项目所有产品及材料，需业主签字确认后实施，保证满足环保要求。</w:t>
      </w:r>
      <w:r>
        <w:rPr>
          <w:rFonts w:hint="eastAsia" w:ascii="宋体" w:hAnsi="宋体" w:cs="宋体"/>
          <w:color w:val="auto"/>
          <w:kern w:val="0"/>
          <w:sz w:val="21"/>
          <w:szCs w:val="21"/>
          <w:highlight w:val="none"/>
          <w:lang w:val="en-US" w:eastAsia="zh-CN" w:bidi="zh-CN"/>
        </w:rPr>
        <w:br w:type="textWrapping"/>
      </w:r>
      <w:r>
        <w:rPr>
          <w:rFonts w:hint="eastAsia" w:ascii="宋体" w:hAnsi="宋体" w:eastAsia="宋体" w:cs="Times New Roman"/>
          <w:b/>
          <w:bCs/>
          <w:kern w:val="2"/>
          <w:sz w:val="21"/>
          <w:szCs w:val="22"/>
          <w:highlight w:val="none"/>
          <w:lang w:val="en-US" w:eastAsia="zh-CN" w:bidi="ar-SA"/>
          <w14:ligatures w14:val="standardContextual"/>
        </w:rPr>
        <w:t>二、施工内容</w:t>
      </w:r>
      <w:r>
        <w:rPr>
          <w:rFonts w:hint="eastAsia" w:ascii="宋体" w:hAnsi="宋体" w:cs="Times New Roman"/>
          <w:b w:val="0"/>
          <w:bCs w:val="0"/>
          <w:kern w:val="2"/>
          <w:sz w:val="21"/>
          <w:szCs w:val="22"/>
          <w:highlight w:val="none"/>
          <w:lang w:val="en-US" w:eastAsia="zh-CN" w:bidi="ar-SA"/>
          <w14:ligatures w14:val="standardContextual"/>
        </w:rPr>
        <w:t>（与图纸内容如有冲突部分以图纸为准）</w:t>
      </w:r>
    </w:p>
    <w:p w14:paraId="3C4D47BE">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2.1主材参考品牌规格一览表（改造材料均须符合现行消防规范的标准）</w:t>
      </w:r>
    </w:p>
    <w:tbl>
      <w:tblPr>
        <w:tblStyle w:val="31"/>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4111"/>
        <w:gridCol w:w="2589"/>
      </w:tblGrid>
      <w:tr w14:paraId="43A8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7BC60FC6">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2268" w:type="dxa"/>
            <w:vAlign w:val="center"/>
          </w:tcPr>
          <w:p w14:paraId="78581144">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材料内容</w:t>
            </w:r>
          </w:p>
        </w:tc>
        <w:tc>
          <w:tcPr>
            <w:tcW w:w="4111" w:type="dxa"/>
            <w:vAlign w:val="center"/>
          </w:tcPr>
          <w:p w14:paraId="659B6519">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bCs/>
                <w:kern w:val="0"/>
                <w:sz w:val="21"/>
                <w:szCs w:val="21"/>
                <w:highlight w:val="none"/>
              </w:rPr>
              <w:t>品牌（★供应商响应产品品牌参照下表或同档次的其他品牌。）</w:t>
            </w:r>
          </w:p>
        </w:tc>
        <w:tc>
          <w:tcPr>
            <w:tcW w:w="2589" w:type="dxa"/>
            <w:vAlign w:val="center"/>
          </w:tcPr>
          <w:p w14:paraId="1582529E">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规格</w:t>
            </w:r>
          </w:p>
        </w:tc>
      </w:tr>
      <w:tr w14:paraId="5E9F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24AFCE7D">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268" w:type="dxa"/>
            <w:vAlign w:val="center"/>
          </w:tcPr>
          <w:p w14:paraId="079164B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bookmarkStart w:id="98" w:name="OLE_LINK5"/>
            <w:bookmarkStart w:id="99" w:name="OLE_LINK4"/>
            <w:r>
              <w:rPr>
                <w:rFonts w:hint="eastAsia" w:ascii="宋体" w:hAnsi="宋体" w:eastAsia="宋体" w:cs="宋体"/>
                <w:kern w:val="0"/>
                <w:sz w:val="21"/>
                <w:szCs w:val="21"/>
                <w:highlight w:val="none"/>
              </w:rPr>
              <w:t>轻钢龙骨</w:t>
            </w:r>
            <w:bookmarkEnd w:id="98"/>
            <w:bookmarkEnd w:id="99"/>
          </w:p>
        </w:tc>
        <w:tc>
          <w:tcPr>
            <w:tcW w:w="4111" w:type="dxa"/>
            <w:vAlign w:val="center"/>
          </w:tcPr>
          <w:p w14:paraId="6FD2332C">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龙牌、可耐福、泰山</w:t>
            </w:r>
          </w:p>
        </w:tc>
        <w:tc>
          <w:tcPr>
            <w:tcW w:w="2589" w:type="dxa"/>
            <w:vAlign w:val="center"/>
          </w:tcPr>
          <w:p w14:paraId="6E0205A2">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75mm</w:t>
            </w:r>
          </w:p>
        </w:tc>
      </w:tr>
      <w:tr w14:paraId="3C18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17902CAA">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68" w:type="dxa"/>
            <w:vAlign w:val="center"/>
          </w:tcPr>
          <w:p w14:paraId="110E360D">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石膏板</w:t>
            </w:r>
          </w:p>
        </w:tc>
        <w:tc>
          <w:tcPr>
            <w:tcW w:w="4111" w:type="dxa"/>
            <w:vAlign w:val="center"/>
          </w:tcPr>
          <w:p w14:paraId="693C3E5A">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龙牌、可耐福、泰山</w:t>
            </w:r>
          </w:p>
        </w:tc>
        <w:tc>
          <w:tcPr>
            <w:tcW w:w="2589" w:type="dxa"/>
            <w:vAlign w:val="center"/>
          </w:tcPr>
          <w:p w14:paraId="4730F449">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9.5mm</w:t>
            </w:r>
          </w:p>
        </w:tc>
      </w:tr>
      <w:tr w14:paraId="7AA6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126AF8C9">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268" w:type="dxa"/>
            <w:vAlign w:val="center"/>
          </w:tcPr>
          <w:p w14:paraId="2CD6E28E">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阻燃板</w:t>
            </w:r>
          </w:p>
        </w:tc>
        <w:tc>
          <w:tcPr>
            <w:tcW w:w="4111" w:type="dxa"/>
            <w:vAlign w:val="center"/>
          </w:tcPr>
          <w:p w14:paraId="4ABE2984">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莫干山、兔宝宝、绿野</w:t>
            </w:r>
          </w:p>
        </w:tc>
        <w:tc>
          <w:tcPr>
            <w:tcW w:w="2589" w:type="dxa"/>
            <w:vAlign w:val="center"/>
          </w:tcPr>
          <w:p w14:paraId="7C4B952D">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E1级</w:t>
            </w:r>
          </w:p>
        </w:tc>
      </w:tr>
      <w:tr w14:paraId="4693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CE9AC6A">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2268" w:type="dxa"/>
            <w:vAlign w:val="center"/>
          </w:tcPr>
          <w:p w14:paraId="5B885C50">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乳胶漆</w:t>
            </w:r>
          </w:p>
        </w:tc>
        <w:tc>
          <w:tcPr>
            <w:tcW w:w="4111" w:type="dxa"/>
            <w:vAlign w:val="center"/>
          </w:tcPr>
          <w:p w14:paraId="194A4201">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bookmarkStart w:id="100" w:name="OLE_LINK71"/>
            <w:bookmarkStart w:id="101" w:name="OLE_LINK72"/>
            <w:r>
              <w:rPr>
                <w:rFonts w:hint="eastAsia" w:ascii="宋体" w:hAnsi="宋体" w:eastAsia="宋体" w:cs="宋体"/>
                <w:kern w:val="0"/>
                <w:sz w:val="21"/>
                <w:szCs w:val="21"/>
                <w:highlight w:val="none"/>
              </w:rPr>
              <w:t>立邦、多乐士、华润</w:t>
            </w:r>
            <w:bookmarkEnd w:id="100"/>
            <w:bookmarkEnd w:id="101"/>
          </w:p>
        </w:tc>
        <w:tc>
          <w:tcPr>
            <w:tcW w:w="2589" w:type="dxa"/>
            <w:vAlign w:val="center"/>
          </w:tcPr>
          <w:p w14:paraId="50D2EB24">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VOC A+</w:t>
            </w:r>
          </w:p>
        </w:tc>
      </w:tr>
      <w:tr w14:paraId="4570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29B63FAE">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bookmarkStart w:id="102" w:name="_Hlk209602328"/>
            <w:r>
              <w:rPr>
                <w:rFonts w:hint="eastAsia" w:ascii="宋体" w:hAnsi="宋体" w:eastAsia="宋体" w:cs="宋体"/>
                <w:kern w:val="0"/>
                <w:sz w:val="21"/>
                <w:szCs w:val="21"/>
                <w:highlight w:val="none"/>
              </w:rPr>
              <w:t>5</w:t>
            </w:r>
          </w:p>
        </w:tc>
        <w:tc>
          <w:tcPr>
            <w:tcW w:w="2268" w:type="dxa"/>
            <w:vAlign w:val="center"/>
          </w:tcPr>
          <w:p w14:paraId="4FB5C5D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油漆</w:t>
            </w:r>
          </w:p>
        </w:tc>
        <w:tc>
          <w:tcPr>
            <w:tcW w:w="4111" w:type="dxa"/>
            <w:vAlign w:val="center"/>
          </w:tcPr>
          <w:p w14:paraId="0B7465FD">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立邦、多乐士、华润</w:t>
            </w:r>
          </w:p>
        </w:tc>
        <w:tc>
          <w:tcPr>
            <w:tcW w:w="2589" w:type="dxa"/>
            <w:vAlign w:val="center"/>
          </w:tcPr>
          <w:p w14:paraId="0B793EF4">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bookmarkStart w:id="103" w:name="OLE_LINK75"/>
            <w:bookmarkStart w:id="104" w:name="OLE_LINK76"/>
            <w:r>
              <w:rPr>
                <w:rFonts w:hint="eastAsia" w:ascii="宋体" w:hAnsi="宋体" w:eastAsia="宋体" w:cs="宋体"/>
                <w:kern w:val="0"/>
                <w:sz w:val="21"/>
                <w:szCs w:val="21"/>
                <w:highlight w:val="none"/>
              </w:rPr>
              <w:t>VOC达标</w:t>
            </w:r>
            <w:bookmarkEnd w:id="103"/>
            <w:bookmarkEnd w:id="104"/>
          </w:p>
        </w:tc>
      </w:tr>
      <w:bookmarkEnd w:id="102"/>
      <w:tr w14:paraId="6D1B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1525FA21">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bookmarkStart w:id="105" w:name="_Hlk209603326"/>
            <w:r>
              <w:rPr>
                <w:rFonts w:hint="eastAsia" w:ascii="宋体" w:hAnsi="宋体" w:eastAsia="宋体" w:cs="宋体"/>
                <w:kern w:val="0"/>
                <w:sz w:val="21"/>
                <w:szCs w:val="21"/>
                <w:highlight w:val="none"/>
              </w:rPr>
              <w:t>6</w:t>
            </w:r>
          </w:p>
        </w:tc>
        <w:tc>
          <w:tcPr>
            <w:tcW w:w="2268" w:type="dxa"/>
            <w:vAlign w:val="center"/>
          </w:tcPr>
          <w:p w14:paraId="6CF991C3">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艺术涂料</w:t>
            </w:r>
          </w:p>
        </w:tc>
        <w:tc>
          <w:tcPr>
            <w:tcW w:w="4111" w:type="dxa"/>
            <w:vAlign w:val="center"/>
          </w:tcPr>
          <w:p w14:paraId="3D59D482">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根据需求厂家定制</w:t>
            </w:r>
          </w:p>
        </w:tc>
        <w:tc>
          <w:tcPr>
            <w:tcW w:w="2589" w:type="dxa"/>
            <w:vAlign w:val="center"/>
          </w:tcPr>
          <w:p w14:paraId="3A3A6401">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VOC达标</w:t>
            </w:r>
          </w:p>
        </w:tc>
      </w:tr>
      <w:bookmarkEnd w:id="105"/>
      <w:tr w14:paraId="4ADA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4E3D6C42">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2268" w:type="dxa"/>
            <w:vAlign w:val="center"/>
          </w:tcPr>
          <w:p w14:paraId="256EFE9D">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铝合金/不锈钢</w:t>
            </w:r>
          </w:p>
        </w:tc>
        <w:tc>
          <w:tcPr>
            <w:tcW w:w="4111" w:type="dxa"/>
            <w:vAlign w:val="center"/>
          </w:tcPr>
          <w:p w14:paraId="2E2A9052">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根据需求厂家定制</w:t>
            </w:r>
          </w:p>
        </w:tc>
        <w:tc>
          <w:tcPr>
            <w:tcW w:w="2589" w:type="dxa"/>
            <w:vAlign w:val="center"/>
          </w:tcPr>
          <w:p w14:paraId="31EF77FA">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综合2mm</w:t>
            </w:r>
          </w:p>
        </w:tc>
      </w:tr>
      <w:tr w14:paraId="5B83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394730F1">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2268" w:type="dxa"/>
            <w:vAlign w:val="center"/>
          </w:tcPr>
          <w:p w14:paraId="7B2D7180">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大理石</w:t>
            </w:r>
          </w:p>
        </w:tc>
        <w:tc>
          <w:tcPr>
            <w:tcW w:w="4111" w:type="dxa"/>
            <w:vAlign w:val="center"/>
          </w:tcPr>
          <w:p w14:paraId="1968478B">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根据需求厂家定制</w:t>
            </w:r>
          </w:p>
        </w:tc>
        <w:tc>
          <w:tcPr>
            <w:tcW w:w="2589" w:type="dxa"/>
            <w:vAlign w:val="center"/>
          </w:tcPr>
          <w:p w14:paraId="508D65B4">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15mm</w:t>
            </w:r>
          </w:p>
        </w:tc>
      </w:tr>
      <w:tr w14:paraId="16AB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096F00B">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2268" w:type="dxa"/>
            <w:vAlign w:val="center"/>
          </w:tcPr>
          <w:p w14:paraId="1983B528">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地胶</w:t>
            </w:r>
          </w:p>
        </w:tc>
        <w:tc>
          <w:tcPr>
            <w:tcW w:w="4111" w:type="dxa"/>
            <w:vAlign w:val="center"/>
          </w:tcPr>
          <w:p w14:paraId="6CC98D3B">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根据需求厂家定制</w:t>
            </w:r>
          </w:p>
        </w:tc>
        <w:tc>
          <w:tcPr>
            <w:tcW w:w="2589" w:type="dxa"/>
            <w:vAlign w:val="center"/>
          </w:tcPr>
          <w:p w14:paraId="0B3BF823">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2mm复合PVC</w:t>
            </w:r>
          </w:p>
        </w:tc>
      </w:tr>
      <w:tr w14:paraId="6362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3CF1B19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2268" w:type="dxa"/>
            <w:vAlign w:val="center"/>
          </w:tcPr>
          <w:p w14:paraId="1F37747B">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玻璃门</w:t>
            </w:r>
          </w:p>
        </w:tc>
        <w:tc>
          <w:tcPr>
            <w:tcW w:w="4111" w:type="dxa"/>
            <w:vAlign w:val="center"/>
          </w:tcPr>
          <w:p w14:paraId="2D7C5F1D">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根据需求厂家定制</w:t>
            </w:r>
          </w:p>
        </w:tc>
        <w:tc>
          <w:tcPr>
            <w:tcW w:w="2589" w:type="dxa"/>
            <w:vAlign w:val="center"/>
          </w:tcPr>
          <w:p w14:paraId="17599981">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钢化</w:t>
            </w:r>
          </w:p>
        </w:tc>
      </w:tr>
      <w:tr w14:paraId="37AC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5A79F5E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2268" w:type="dxa"/>
            <w:vAlign w:val="center"/>
          </w:tcPr>
          <w:p w14:paraId="13DC3B0D">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电机</w:t>
            </w:r>
          </w:p>
        </w:tc>
        <w:tc>
          <w:tcPr>
            <w:tcW w:w="4111" w:type="dxa"/>
            <w:vAlign w:val="center"/>
          </w:tcPr>
          <w:p w14:paraId="02D20CCF">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皇冠、飞利浦、松下</w:t>
            </w:r>
          </w:p>
        </w:tc>
        <w:tc>
          <w:tcPr>
            <w:tcW w:w="2589" w:type="dxa"/>
            <w:vAlign w:val="center"/>
          </w:tcPr>
          <w:p w14:paraId="4F4225AF">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可扩展门禁</w:t>
            </w:r>
          </w:p>
        </w:tc>
      </w:tr>
      <w:tr w14:paraId="26CA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707D7DE3">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2268" w:type="dxa"/>
            <w:shd w:val="clear" w:color="auto" w:fill="auto"/>
            <w:vAlign w:val="center"/>
          </w:tcPr>
          <w:p w14:paraId="1953614F">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开关、插座、网口面板</w:t>
            </w:r>
          </w:p>
        </w:tc>
        <w:tc>
          <w:tcPr>
            <w:tcW w:w="4111" w:type="dxa"/>
            <w:shd w:val="clear" w:color="auto" w:fill="auto"/>
            <w:vAlign w:val="center"/>
          </w:tcPr>
          <w:p w14:paraId="2EC8C048">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施耐德、雷士、西门子</w:t>
            </w:r>
          </w:p>
        </w:tc>
        <w:tc>
          <w:tcPr>
            <w:tcW w:w="2589" w:type="dxa"/>
            <w:shd w:val="clear" w:color="auto" w:fill="auto"/>
            <w:vAlign w:val="center"/>
          </w:tcPr>
          <w:p w14:paraId="668566EA">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86型</w:t>
            </w:r>
          </w:p>
        </w:tc>
      </w:tr>
      <w:tr w14:paraId="77C3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325E74D3">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2268" w:type="dxa"/>
            <w:shd w:val="clear" w:color="auto" w:fill="auto"/>
            <w:vAlign w:val="center"/>
          </w:tcPr>
          <w:p w14:paraId="6CB49F7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电线电缆</w:t>
            </w:r>
          </w:p>
        </w:tc>
        <w:tc>
          <w:tcPr>
            <w:tcW w:w="4111" w:type="dxa"/>
            <w:shd w:val="clear" w:color="auto" w:fill="auto"/>
            <w:vAlign w:val="center"/>
          </w:tcPr>
          <w:p w14:paraId="68575A45">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远东、熊猫、江南</w:t>
            </w:r>
          </w:p>
        </w:tc>
        <w:tc>
          <w:tcPr>
            <w:tcW w:w="2589" w:type="dxa"/>
            <w:shd w:val="clear" w:color="auto" w:fill="auto"/>
            <w:vAlign w:val="center"/>
          </w:tcPr>
          <w:p w14:paraId="7A2EFD94">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国标1.5/2.5/4/6/10平方</w:t>
            </w:r>
          </w:p>
        </w:tc>
      </w:tr>
      <w:tr w14:paraId="2EB4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0F2D3E42">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2268" w:type="dxa"/>
            <w:shd w:val="clear" w:color="auto" w:fill="auto"/>
            <w:vAlign w:val="center"/>
          </w:tcPr>
          <w:p w14:paraId="55BA3222">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网线</w:t>
            </w:r>
          </w:p>
        </w:tc>
        <w:tc>
          <w:tcPr>
            <w:tcW w:w="4111" w:type="dxa"/>
            <w:shd w:val="clear" w:color="auto" w:fill="auto"/>
            <w:vAlign w:val="center"/>
          </w:tcPr>
          <w:p w14:paraId="6322191E">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秋叶原、普天、绿联</w:t>
            </w:r>
          </w:p>
        </w:tc>
        <w:tc>
          <w:tcPr>
            <w:tcW w:w="2589" w:type="dxa"/>
            <w:shd w:val="clear" w:color="auto" w:fill="auto"/>
            <w:vAlign w:val="center"/>
          </w:tcPr>
          <w:p w14:paraId="2E2A7AC7">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六类</w:t>
            </w:r>
          </w:p>
        </w:tc>
      </w:tr>
      <w:tr w14:paraId="4AFC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D08383E">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2268" w:type="dxa"/>
            <w:shd w:val="clear" w:color="auto" w:fill="auto"/>
            <w:vAlign w:val="center"/>
          </w:tcPr>
          <w:p w14:paraId="6F628B92">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音响线</w:t>
            </w:r>
          </w:p>
        </w:tc>
        <w:tc>
          <w:tcPr>
            <w:tcW w:w="4111" w:type="dxa"/>
            <w:shd w:val="clear" w:color="auto" w:fill="auto"/>
            <w:vAlign w:val="center"/>
          </w:tcPr>
          <w:p w14:paraId="3291535B">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秋叶原、山泽、开博尔</w:t>
            </w:r>
          </w:p>
        </w:tc>
        <w:tc>
          <w:tcPr>
            <w:tcW w:w="2589" w:type="dxa"/>
            <w:shd w:val="clear" w:color="auto" w:fill="auto"/>
            <w:vAlign w:val="center"/>
          </w:tcPr>
          <w:p w14:paraId="0C379285">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200芯</w:t>
            </w:r>
          </w:p>
        </w:tc>
      </w:tr>
      <w:tr w14:paraId="761F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584F13D3">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2268" w:type="dxa"/>
            <w:shd w:val="clear" w:color="auto" w:fill="auto"/>
            <w:vAlign w:val="center"/>
          </w:tcPr>
          <w:p w14:paraId="6CB8700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HDMI线</w:t>
            </w:r>
          </w:p>
        </w:tc>
        <w:tc>
          <w:tcPr>
            <w:tcW w:w="4111" w:type="dxa"/>
            <w:shd w:val="clear" w:color="auto" w:fill="auto"/>
            <w:vAlign w:val="center"/>
          </w:tcPr>
          <w:p w14:paraId="7AAF79DC">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秋叶原、山泽、绿联</w:t>
            </w:r>
          </w:p>
        </w:tc>
        <w:tc>
          <w:tcPr>
            <w:tcW w:w="2589" w:type="dxa"/>
            <w:shd w:val="clear" w:color="auto" w:fill="auto"/>
            <w:vAlign w:val="center"/>
          </w:tcPr>
          <w:p w14:paraId="38E2F6B7">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4K</w:t>
            </w:r>
          </w:p>
        </w:tc>
      </w:tr>
      <w:tr w14:paraId="25A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37292CE0">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2268" w:type="dxa"/>
            <w:shd w:val="clear" w:color="auto" w:fill="auto"/>
            <w:vAlign w:val="center"/>
          </w:tcPr>
          <w:p w14:paraId="41AB6138">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灯具</w:t>
            </w:r>
          </w:p>
        </w:tc>
        <w:tc>
          <w:tcPr>
            <w:tcW w:w="4111" w:type="dxa"/>
            <w:shd w:val="clear" w:color="auto" w:fill="auto"/>
            <w:vAlign w:val="center"/>
          </w:tcPr>
          <w:p w14:paraId="66BD84FF">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欧普、飞利浦、雷士</w:t>
            </w:r>
          </w:p>
        </w:tc>
        <w:tc>
          <w:tcPr>
            <w:tcW w:w="2589" w:type="dxa"/>
            <w:shd w:val="clear" w:color="auto" w:fill="auto"/>
            <w:vAlign w:val="center"/>
          </w:tcPr>
          <w:p w14:paraId="0FA41ACF">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磁吸灯、吊灯、筒灯</w:t>
            </w:r>
          </w:p>
        </w:tc>
      </w:tr>
      <w:tr w14:paraId="4804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4BE76615">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2268" w:type="dxa"/>
            <w:shd w:val="clear" w:color="auto" w:fill="auto"/>
            <w:vAlign w:val="center"/>
          </w:tcPr>
          <w:p w14:paraId="0743FE69">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收边胶/玻璃胶</w:t>
            </w:r>
          </w:p>
        </w:tc>
        <w:tc>
          <w:tcPr>
            <w:tcW w:w="4111" w:type="dxa"/>
            <w:shd w:val="clear" w:color="auto" w:fill="auto"/>
            <w:vAlign w:val="center"/>
          </w:tcPr>
          <w:p w14:paraId="5683C042">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百德、道康宁、瓦克</w:t>
            </w:r>
          </w:p>
        </w:tc>
        <w:tc>
          <w:tcPr>
            <w:tcW w:w="2589" w:type="dxa"/>
            <w:shd w:val="clear" w:color="auto" w:fill="auto"/>
            <w:vAlign w:val="center"/>
          </w:tcPr>
          <w:p w14:paraId="17739412">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游离甲醛小于等于1.0g/kg</w:t>
            </w:r>
          </w:p>
        </w:tc>
      </w:tr>
      <w:tr w14:paraId="00FC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7057C7F">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2268" w:type="dxa"/>
            <w:shd w:val="clear" w:color="auto" w:fill="auto"/>
            <w:vAlign w:val="center"/>
          </w:tcPr>
          <w:p w14:paraId="588604E7">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KBG、JDG线管</w:t>
            </w:r>
          </w:p>
        </w:tc>
        <w:tc>
          <w:tcPr>
            <w:tcW w:w="4111" w:type="dxa"/>
            <w:shd w:val="clear" w:color="auto" w:fill="auto"/>
            <w:vAlign w:val="center"/>
          </w:tcPr>
          <w:p w14:paraId="2876F9EC">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兴泰隆、坤亿、亿硕</w:t>
            </w:r>
          </w:p>
        </w:tc>
        <w:tc>
          <w:tcPr>
            <w:tcW w:w="2589" w:type="dxa"/>
            <w:shd w:val="clear" w:color="auto" w:fill="auto"/>
            <w:vAlign w:val="center"/>
          </w:tcPr>
          <w:p w14:paraId="775E8AB4">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Q235</w:t>
            </w:r>
          </w:p>
        </w:tc>
      </w:tr>
      <w:tr w14:paraId="3161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0EC9CDC">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2268" w:type="dxa"/>
            <w:shd w:val="clear" w:color="auto" w:fill="auto"/>
            <w:vAlign w:val="center"/>
          </w:tcPr>
          <w:p w14:paraId="704A9690">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桥架</w:t>
            </w:r>
          </w:p>
        </w:tc>
        <w:tc>
          <w:tcPr>
            <w:tcW w:w="4111" w:type="dxa"/>
            <w:shd w:val="clear" w:color="auto" w:fill="auto"/>
            <w:vAlign w:val="center"/>
          </w:tcPr>
          <w:p w14:paraId="787EF42A">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华一，苏龙银、中节能</w:t>
            </w:r>
          </w:p>
        </w:tc>
        <w:tc>
          <w:tcPr>
            <w:tcW w:w="2589" w:type="dxa"/>
            <w:shd w:val="clear" w:color="auto" w:fill="auto"/>
            <w:vAlign w:val="center"/>
          </w:tcPr>
          <w:p w14:paraId="3969F827">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1.0mm</w:t>
            </w:r>
          </w:p>
        </w:tc>
      </w:tr>
      <w:tr w14:paraId="57D6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0EC089B7">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2268" w:type="dxa"/>
            <w:shd w:val="clear" w:color="auto" w:fill="auto"/>
            <w:vAlign w:val="center"/>
          </w:tcPr>
          <w:p w14:paraId="0B6FDA52">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路由器</w:t>
            </w:r>
          </w:p>
        </w:tc>
        <w:tc>
          <w:tcPr>
            <w:tcW w:w="4111" w:type="dxa"/>
            <w:shd w:val="clear" w:color="auto" w:fill="auto"/>
            <w:vAlign w:val="center"/>
          </w:tcPr>
          <w:p w14:paraId="5D172F0A">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华三、TP-Link、华为</w:t>
            </w:r>
          </w:p>
        </w:tc>
        <w:tc>
          <w:tcPr>
            <w:tcW w:w="2589" w:type="dxa"/>
            <w:shd w:val="clear" w:color="auto" w:fill="auto"/>
            <w:vAlign w:val="center"/>
          </w:tcPr>
          <w:p w14:paraId="5D7475C3">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POE，8口</w:t>
            </w:r>
          </w:p>
        </w:tc>
      </w:tr>
      <w:tr w14:paraId="0388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705797EA">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2268" w:type="dxa"/>
            <w:shd w:val="clear" w:color="auto" w:fill="auto"/>
            <w:vAlign w:val="center"/>
          </w:tcPr>
          <w:p w14:paraId="3C101DBD">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无线AP</w:t>
            </w:r>
          </w:p>
        </w:tc>
        <w:tc>
          <w:tcPr>
            <w:tcW w:w="4111" w:type="dxa"/>
            <w:shd w:val="clear" w:color="auto" w:fill="auto"/>
            <w:vAlign w:val="center"/>
          </w:tcPr>
          <w:p w14:paraId="4CF57C5D">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华三、TP-Link、华为</w:t>
            </w:r>
          </w:p>
        </w:tc>
        <w:tc>
          <w:tcPr>
            <w:tcW w:w="2589" w:type="dxa"/>
            <w:shd w:val="clear" w:color="auto" w:fill="auto"/>
            <w:vAlign w:val="center"/>
          </w:tcPr>
          <w:p w14:paraId="41650ECB">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POE，8口</w:t>
            </w:r>
          </w:p>
        </w:tc>
      </w:tr>
      <w:tr w14:paraId="372E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1BBF2A78">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2268" w:type="dxa"/>
            <w:shd w:val="clear" w:color="auto" w:fill="auto"/>
            <w:vAlign w:val="center"/>
          </w:tcPr>
          <w:p w14:paraId="1468CECF">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交换机</w:t>
            </w:r>
          </w:p>
        </w:tc>
        <w:tc>
          <w:tcPr>
            <w:tcW w:w="4111" w:type="dxa"/>
            <w:shd w:val="clear" w:color="auto" w:fill="auto"/>
            <w:vAlign w:val="center"/>
          </w:tcPr>
          <w:p w14:paraId="3431D944">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华三、TP-Link、华为</w:t>
            </w:r>
          </w:p>
        </w:tc>
        <w:tc>
          <w:tcPr>
            <w:tcW w:w="2589" w:type="dxa"/>
            <w:shd w:val="clear" w:color="auto" w:fill="auto"/>
            <w:vAlign w:val="center"/>
          </w:tcPr>
          <w:p w14:paraId="32AA2DF3">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POE，8口</w:t>
            </w:r>
          </w:p>
        </w:tc>
      </w:tr>
      <w:tr w14:paraId="4EC7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63EFE6FA">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2268" w:type="dxa"/>
            <w:shd w:val="clear" w:color="auto" w:fill="auto"/>
            <w:vAlign w:val="center"/>
          </w:tcPr>
          <w:p w14:paraId="7A99504F">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摄像监控</w:t>
            </w:r>
          </w:p>
        </w:tc>
        <w:tc>
          <w:tcPr>
            <w:tcW w:w="4111" w:type="dxa"/>
            <w:shd w:val="clear" w:color="auto" w:fill="auto"/>
            <w:vAlign w:val="center"/>
          </w:tcPr>
          <w:p w14:paraId="7484BDCD">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海康威视、大华、华三</w:t>
            </w:r>
          </w:p>
        </w:tc>
        <w:tc>
          <w:tcPr>
            <w:tcW w:w="2589" w:type="dxa"/>
            <w:shd w:val="clear" w:color="auto" w:fill="auto"/>
            <w:vAlign w:val="center"/>
          </w:tcPr>
          <w:p w14:paraId="7A48A187">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POE，400W</w:t>
            </w:r>
          </w:p>
        </w:tc>
      </w:tr>
      <w:tr w14:paraId="3B30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16F5CC6B">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2268" w:type="dxa"/>
            <w:shd w:val="clear" w:color="auto" w:fill="auto"/>
            <w:vAlign w:val="center"/>
          </w:tcPr>
          <w:p w14:paraId="165D8B91">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录像机</w:t>
            </w:r>
          </w:p>
        </w:tc>
        <w:tc>
          <w:tcPr>
            <w:tcW w:w="4111" w:type="dxa"/>
            <w:shd w:val="clear" w:color="auto" w:fill="auto"/>
            <w:vAlign w:val="center"/>
          </w:tcPr>
          <w:p w14:paraId="1CE6FCBA">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海康威视、大华、华三</w:t>
            </w:r>
          </w:p>
        </w:tc>
        <w:tc>
          <w:tcPr>
            <w:tcW w:w="2589" w:type="dxa"/>
            <w:shd w:val="clear" w:color="auto" w:fill="auto"/>
            <w:vAlign w:val="center"/>
          </w:tcPr>
          <w:p w14:paraId="06A3FF6B">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POE，8口，2T硬盘</w:t>
            </w:r>
          </w:p>
        </w:tc>
      </w:tr>
    </w:tbl>
    <w:p w14:paraId="4AE3BB1B">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2.2装饰装修要求</w:t>
      </w:r>
    </w:p>
    <w:p w14:paraId="1D8DDE3E">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2.2.1施工现场要求</w:t>
      </w:r>
    </w:p>
    <w:p w14:paraId="6693A56C">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（1）施工期间不得影响大楼其他日常工作，须对整体施工区域进行围挡，施工路径不得经过非围挡区域，如遇对重大活动造成影响采购方有权让临时停工。</w:t>
      </w:r>
    </w:p>
    <w:p w14:paraId="493E0337">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（2）须对施工区域外部分进行安全防护，如有损坏需按原样恢复。</w:t>
      </w:r>
    </w:p>
    <w:p w14:paraId="6B0E2CCB">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（3）电梯、货梯、出入口的使用需经过采购方确认。</w:t>
      </w:r>
    </w:p>
    <w:p w14:paraId="19D96375">
      <w:pPr>
        <w:keepNext w:val="0"/>
        <w:keepLines w:val="0"/>
        <w:pageBreakBefore w:val="0"/>
        <w:widowControl w:val="0"/>
        <w:shd w:val="clear"/>
        <w:kinsoku/>
        <w:wordWrap/>
        <w:overflowPunct/>
        <w:topLinePunct w:val="0"/>
        <w:autoSpaceDE/>
        <w:autoSpaceDN/>
        <w:bidi w:val="0"/>
        <w:adjustRightInd/>
        <w:snapToGrid/>
        <w:spacing w:line="48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（4）有出外墙管路需求须与采购方确定可用位置方可安装。</w:t>
      </w:r>
    </w:p>
    <w:p w14:paraId="43C92EC9">
      <w:pPr>
        <w:keepNext w:val="0"/>
        <w:keepLines w:val="0"/>
        <w:pageBreakBefore w:val="0"/>
        <w:widowControl w:val="0"/>
        <w:shd w:val="clear"/>
        <w:kinsoku/>
        <w:wordWrap/>
        <w:overflowPunct/>
        <w:topLinePunct w:val="0"/>
        <w:autoSpaceDE/>
        <w:autoSpaceDN/>
        <w:bidi w:val="0"/>
        <w:adjustRightInd/>
        <w:snapToGrid/>
        <w:spacing w:line="48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2.2.2隐蔽工程 </w:t>
      </w:r>
    </w:p>
    <w:p w14:paraId="1814A01A">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（1）所有隐蔽工程须按消防防火处理，工艺做法要求符合国家现行的建筑设计及室内装饰设计及验收规范；</w:t>
      </w:r>
    </w:p>
    <w:p w14:paraId="6A4EB912">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（2）木作施工：全部隐蔽木作部位均涂刷三遍防火涂料以上，防火涂料应选用当地消防材料主管部门认可的产品；</w:t>
      </w:r>
    </w:p>
    <w:p w14:paraId="691EC725">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（3）作为乳胶漆的基层的腻子必须有足够的厚度，自配的腻子应掺入适量的白乳胶和白水泥，刮腻子层不能过厚，以免开裂。</w:t>
      </w:r>
    </w:p>
    <w:p w14:paraId="5CCACDF3">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2.2.3抹灰工程</w:t>
      </w:r>
    </w:p>
    <w:p w14:paraId="6B4BD89D">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（1）室内墙面、柱面和门洞口的阳角做法应符合设计要求。设计无要求时，应采用1：2水泥砂浆做暗护角，其高度不应低于2m，每侧宽度不应小于50mm。</w:t>
      </w:r>
    </w:p>
    <w:p w14:paraId="57C1EA1B">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（2）当要求抹灰层具有防水、防潮功能时，应采用防水砂浆。</w:t>
      </w:r>
    </w:p>
    <w:p w14:paraId="453EFD60">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（3）各种砂浆抹灰层，在凝结前应防止快干、水冲、撞击、振动和受冻，在凝结后应采取措施防止玷污和损坏。水泥砂浆抹灰层应在湿润条件下养护。</w:t>
      </w:r>
    </w:p>
    <w:p w14:paraId="1C8B3779">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（4）外墙和顶棚的抹灰层与基层之间及各抹灰层之间必须粘结牢固。</w:t>
      </w:r>
    </w:p>
    <w:p w14:paraId="23DBF081">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（5）抹灰前基层表面的尘土、污垢、油渍等应清除干净，并应洒水润湿。</w:t>
      </w:r>
    </w:p>
    <w:p w14:paraId="47A64CA5">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（6）一般抹灰所用材料的品种和性能应符合设计要求。水泥的凝结时间和安定性复验应合格。砂浆的配合比应符合设计要求。</w:t>
      </w:r>
    </w:p>
    <w:p w14:paraId="51D7303B">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（7）抹灰工程应分层进行。当抹灰总厚度大于或等于35mm时，应采取加强措施。不同材料基体交接处表面的抹灰，应采取防止开裂的加强措施，当采用加强网时，加强网与各基体的搭接宽度不应小于100mm。</w:t>
      </w:r>
    </w:p>
    <w:p w14:paraId="47621C8D">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（8）抹灰层与基层之间及各抹灰层之间必须粘结牢固，抹灰层应无脱层、空鼓，面层应无爆灰和裂缝。</w:t>
      </w:r>
    </w:p>
    <w:p w14:paraId="19EE3440">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（9）高级抹灰表面应光滑、洁净、颜色均匀、无抹纹，分格缝和灰线应清晰美观。</w:t>
      </w:r>
    </w:p>
    <w:p w14:paraId="62574BB9">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（10）护角、孔洞、槽、盒周围的抹灰表面应整齐、光滑；管道后面的抹灰表面应平整。</w:t>
      </w:r>
    </w:p>
    <w:p w14:paraId="4A00D531">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（11）抹灰层的总厚度应符合设计要求；水泥砂浆不得抹在石灰砂浆层上；罩面石膏灰不得抹在水泥砂浆层上。</w:t>
      </w:r>
    </w:p>
    <w:p w14:paraId="1CFFA29A">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（12）抹灰层的总厚度应符合设计要求，宽度和深度应均匀，表面应光滑，棱角应整齐。</w:t>
      </w:r>
    </w:p>
    <w:p w14:paraId="160DB3B5">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13）立面垂直度普通抹灰工程质量允许偏差4mm，表面平整度普通抹灰工程质量允许偏差4mm，阴阳角方正普通抹灰工程质量允许偏差4mm，分格条（缝）直线度普通抹灰工程质量允许偏差4mm，墙裙、勒脚上口直线度普通抹灰工程质量允许偏差4mm。</w:t>
      </w:r>
    </w:p>
    <w:p w14:paraId="26B3DE5A">
      <w:pPr>
        <w:keepNext w:val="0"/>
        <w:keepLines w:val="0"/>
        <w:pageBreakBefore w:val="0"/>
        <w:widowControl w:val="0"/>
        <w:shd w:val="clear"/>
        <w:kinsoku/>
        <w:wordWrap/>
        <w:overflowPunct/>
        <w:topLinePunct w:val="0"/>
        <w:autoSpaceDE/>
        <w:autoSpaceDN/>
        <w:bidi w:val="0"/>
        <w:adjustRightInd/>
        <w:snapToGrid/>
        <w:spacing w:line="48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2.2.4吊顶工程</w:t>
      </w:r>
    </w:p>
    <w:p w14:paraId="5D65F3FE">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（1）一般要求</w:t>
      </w:r>
    </w:p>
    <w:p w14:paraId="2B4E3430">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A.安装龙骨前，应按设计要求对房间净高、洞口标高和吊顶内管道、设备及其支架的标高进行交接检验。</w:t>
      </w:r>
    </w:p>
    <w:p w14:paraId="7234D1E7">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B.吊顶工程须符合现行有关设计防火规范的规定。</w:t>
      </w:r>
    </w:p>
    <w:p w14:paraId="6F657B28">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C.吊顶工程中的预埋件、钢筋吊杆和型钢吊杆应进行防锈处理。</w:t>
      </w:r>
    </w:p>
    <w:p w14:paraId="2332B1A2">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D.安装饰面板前应完成吊顶内管道和设备的调试及验收。</w:t>
      </w:r>
    </w:p>
    <w:p w14:paraId="6AD55051">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E.吊杆距龙骨端部距离不得大于300mm，当大于300mm时，应增加吊杆。当吊杆长度大于1.5m时，应设置反支撑。当吊杆与设备相遇时，应调整并增设吊杆。</w:t>
      </w:r>
    </w:p>
    <w:p w14:paraId="147723AC">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F.重型灯具、电扇及其他重型设备严禁安装在吊顶工程的龙骨上。</w:t>
      </w:r>
    </w:p>
    <w:p w14:paraId="39A034DB">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G.吊顶标高、尺寸、起拱和造型应符合设计要求。</w:t>
      </w:r>
    </w:p>
    <w:p w14:paraId="52189850">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H.饰面材料的材质、品种、规格、图案和颜色由甲方选择。</w:t>
      </w:r>
    </w:p>
    <w:p w14:paraId="14981E57">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I.吊杆、龙骨的材质、规格、安装间距及连接方式应符合设计要求。金属吊杆、龙骨应经过表面防腐处理。</w:t>
      </w:r>
    </w:p>
    <w:p w14:paraId="2AD0AAF3">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J.饰面材料表面应洁净、色泽一致，不得有翘曲、裂缝及缺损。压条应平直、宽窄一致。</w:t>
      </w:r>
    </w:p>
    <w:p w14:paraId="223B00B9">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K.饰面板上的灯具、烟感器、喷淋头、风口篦子等设备的位置应合理、美观，与饰面板的交接应吻合、严密。</w:t>
      </w:r>
    </w:p>
    <w:p w14:paraId="19F93477">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L.金属吊杆、龙骨的接缝应均匀一致，角缝应吻合，表面应平整，无翘曲、锤印。木质吊杆、龙骨应顺直，无劈裂、变形。</w:t>
      </w:r>
    </w:p>
    <w:p w14:paraId="085E70FC">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2.2.5饰面工程</w:t>
      </w:r>
    </w:p>
    <w:p w14:paraId="2A211D0F">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（1）墙面基底</w:t>
      </w:r>
    </w:p>
    <w:p w14:paraId="5364940D">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A.基底工程必须表面平整，立面垂直，接缝顺平，边角方正，尺寸精确。</w:t>
      </w:r>
    </w:p>
    <w:p w14:paraId="54909B20">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B.钢、木龙骨（搁棚立筋）线槽安装位置必须正确，连接牢固，安全可靠，不得弯曲、变形，木件无劈裂，符合安全使用要求。</w:t>
      </w:r>
    </w:p>
    <w:p w14:paraId="4A9C03C0">
      <w:pPr>
        <w:keepNext w:val="0"/>
        <w:keepLines w:val="0"/>
        <w:pageBreakBefore w:val="0"/>
        <w:widowControl w:val="0"/>
        <w:shd w:val="clear"/>
        <w:kinsoku/>
        <w:wordWrap/>
        <w:overflowPunct/>
        <w:topLinePunct w:val="0"/>
        <w:autoSpaceDE/>
        <w:autoSpaceDN/>
        <w:bidi w:val="0"/>
        <w:adjustRightInd/>
        <w:snapToGrid/>
        <w:spacing w:line="48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C.以涂料、裱糊为饰面的以抹灰面为基底的质量要求：抹灰面达到高级抹灰面标准，灰表面色泽一致，当使用遮盖力不强的面料时，灰面应为纯白色。</w:t>
      </w:r>
    </w:p>
    <w:p w14:paraId="5E48B085">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D.以涂料、裱糊为饰面的，以胶合板和纸面石膏板为基底的应用耐水板面，表面干净、光滑，割面整齐、接缝严密，接缝的阳角处采用专用封边胶带，无挂胶，无外钉帽，与骨架紧贴牢固，裱糊、涂料工程要求基底含水率应符合下列规定：混凝土面、抹灰面不大于8%，木板面不大于8%。</w:t>
      </w:r>
    </w:p>
    <w:p w14:paraId="25A8BB01">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（2）涂料饰面</w:t>
      </w:r>
    </w:p>
    <w:p w14:paraId="551AE34A">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A.工程涂料饰所用涂料和半成品的品名、等级、种类、颜色、性能等必须符合设计或选定样品的要求（应附有使用说明书）。</w:t>
      </w:r>
    </w:p>
    <w:p w14:paraId="038E6421">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B.喷涂的涂膜厚度应均匀，颜色一致，喷点、喷花的突出点要手感适宜，不掉粒，喷涂接茬应留在分格缝出切无明显色差，无分格缝时接茬不得有搭接痕迹，喷涂表面清洁无污染。</w:t>
      </w:r>
    </w:p>
    <w:p w14:paraId="08A3FC17">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2.3电气安装要求</w:t>
      </w:r>
    </w:p>
    <w:p w14:paraId="160AB761">
      <w:pPr>
        <w:keepNext w:val="0"/>
        <w:keepLines w:val="0"/>
        <w:pageBreakBefore w:val="0"/>
        <w:widowControl w:val="0"/>
        <w:shd w:val="clear"/>
        <w:kinsoku/>
        <w:wordWrap/>
        <w:overflowPunct/>
        <w:topLinePunct w:val="0"/>
        <w:autoSpaceDE/>
        <w:autoSpaceDN/>
        <w:bidi w:val="0"/>
        <w:adjustRightInd/>
        <w:snapToGrid/>
        <w:spacing w:line="48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2.3.1电线穿管敷设 </w:t>
      </w:r>
    </w:p>
    <w:p w14:paraId="3429C07B">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（1）电线穿管前，应将导管内的杂物、积水等清扫干净。可采用空压机吹扫或用布条放入导管内来回拉动清扫。</w:t>
      </w:r>
    </w:p>
    <w:p w14:paraId="40CA0A0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（2）钢导管在穿线前，应先检查各个管口的护口是否齐全，如有遗漏和破损，应补齐和更换。</w:t>
      </w:r>
    </w:p>
    <w:p w14:paraId="21EF4BC4">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（3）相线、中性线及保护线的颜色应符合要求。相线应根据施工图设计的相别，其 A、B、C 相分别应采用黄、绿、红颜色的电线，中性线应采用淡蓝色的电线，保护地线应采用黄绿颜色相间的电线，照明开关控制线可采用白色的电线。 </w:t>
      </w:r>
    </w:p>
    <w:p w14:paraId="743A71E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（4）电线穿管敷设时应符合下列规定：同一交流回路的电线必须穿于同一管内。不同回路、不同电压等级和交流与直流的电线，不得穿入同一管内，但以下几种情况或设计有特殊规定的除外：a标称电压为 50V及以下的回路，b同一设备或同一流水作业线设备的电力回路和无特殊干扰要求的控制回路，c照明花灯的所有回路，d同类照明的几个回路，但管内的电线总数不应多于8根；电线在变形缝处，补偿装置应活动自如，并留有一定的余量；敷设于垂直导管中的导线，当超过下列长度时，应在管口处和接线盒中加以固定：a管内导线截面为50mm^2及以下，长度每超过30m；b管内导线截面为 70～95mm^2，长度每超过 20m；c管内导线截面为 120～240mm^2，长度每超过18m；三相或单相的交流单芯电缆，不得单独穿于钢导管内。同一交流回路的电线应穿于同一钢导管内，且管内电线不得有接头。 </w:t>
      </w:r>
    </w:p>
    <w:p w14:paraId="01305A47">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2.3.2管内电线包括绝缘层在内的总截面积不应大于管内径空截面积的 40％。电线预留长度应符合下列规定：接线盒、开关盒、插座盒及灯头盒内电线的预留长度为 150mm。配电箱内电线的预留长度为配电箱箱体周长的1／2。出户电线的预留长度应为 1.5m。</w:t>
      </w:r>
    </w:p>
    <w:p w14:paraId="3704017A">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2.4开关、插座安装要求</w:t>
      </w:r>
    </w:p>
    <w:p w14:paraId="2FB97B3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2.4.1主要材料</w:t>
      </w:r>
    </w:p>
    <w:p w14:paraId="79B7CBE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（1）开关、插座的型号、规格必须符合设计要求，并有产品合格证和安全认证标志。</w:t>
      </w:r>
    </w:p>
    <w:p w14:paraId="24386E0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）同一建筑物、构筑物的开关、插座宜采用同一系列的产品，开关的通断位置应一致，操作应灵活、接触应可靠。</w:t>
      </w:r>
    </w:p>
    <w:p w14:paraId="23E0D68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2.4.2安装要求</w:t>
      </w:r>
    </w:p>
    <w:p w14:paraId="0392114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（1）开关、插座的安装位置、高度等应符合设计要求。绝缘导线颜色选择应统一， A、B、C相线的颜色为黄色、绿色、红色，零线采用淡蓝色，保护地线（ PE）应为黄绿相间色，开关控制线的颜色宜用白色。</w:t>
      </w:r>
    </w:p>
    <w:p w14:paraId="15AD47F4">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（2）导线与开关、插座面板内的接线柱连接应紧密、牢靠。 </w:t>
      </w:r>
    </w:p>
    <w:p w14:paraId="33AE24D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（3）暗装开关、插座的安装时，应用机螺丝固定牢固。固定时，面板应端正、紧贴墙面，四周无缝隙，安装应牢固，表面应光滑整洁、无碎裂、划伤，装饰帽应齐全。</w:t>
      </w:r>
    </w:p>
    <w:p w14:paraId="3AC85E1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（4）明装开关、插座的安装时，应用木螺丝将绝缘台紧贴于墙面固定牢靠，并将开关、插座紧贴于绝缘台，对中找正，固定牢固。 </w:t>
      </w:r>
    </w:p>
    <w:p w14:paraId="33CD85B9">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（5）开关应切断相线。 </w:t>
      </w:r>
    </w:p>
    <w:p w14:paraId="6E8FD1F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（6）开关安装位置便于操作，开关距门框边缘的距离0.15～0.2m，开关距地面高度设计无要求时为1.3m；拉线开关距地面高度2～3m，层高小于3m时，拉线开关距顶棚应不小于100mm，拉线出口垂直向下。</w:t>
      </w:r>
    </w:p>
    <w:p w14:paraId="1E77B13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（7）同一室内安装的开关高度应一致， 其高度差不应大于5mm；并排安装的相同型号开关时高度差不应大于1mm，且控制有序不错位。 </w:t>
      </w:r>
    </w:p>
    <w:p w14:paraId="20E9FA7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 xml:space="preserve">）同一室内安装相同型号的插座高度应一致，其高度差不应大于5mm；并排安装相同型号的插座高度差不应大于1mm。 </w:t>
      </w:r>
    </w:p>
    <w:p w14:paraId="4B3A37D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）当交流、直流或不同电压等级的插座安装在同一场所时，应有明显的区别，且必须选择不同规格和不能互换的插座，其配套的插头，应按交流、直流或不同电压等级区别使用。</w:t>
      </w:r>
    </w:p>
    <w:p w14:paraId="137DFF91">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2.5综合布线要求</w:t>
      </w:r>
    </w:p>
    <w:p w14:paraId="63C20ED4">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标准性</w:t>
      </w:r>
    </w:p>
    <w:p w14:paraId="26BFBADA">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以行业规范《智能建筑设计标准》GB 50314-2015、《民用建筑电气设计规范》JGJ16-2008进行建设。</w:t>
      </w:r>
    </w:p>
    <w:p w14:paraId="246FFCE3">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先进性</w:t>
      </w:r>
    </w:p>
    <w:p w14:paraId="77455313">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建设应体现“面向未来”的理念，具有良好的先进性与可扩展性，充分考虑参考《智能建筑设计标准》GB 50314-2015的要求。</w:t>
      </w:r>
    </w:p>
    <w:p w14:paraId="3990EC19">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安全性</w:t>
      </w:r>
    </w:p>
    <w:p w14:paraId="07BE6004">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采用相关的软件技术提供较强的管理机制和控制手段，并采用事故监控与安全保密等技术措施，提高综合服务中心的安全可靠性。</w:t>
      </w:r>
    </w:p>
    <w:p w14:paraId="2D762044">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经济性</w:t>
      </w:r>
    </w:p>
    <w:p w14:paraId="27C0ADFE">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项目以较高的性价比改造，使资金的产出投入比达到最大值。</w:t>
      </w:r>
    </w:p>
    <w:p w14:paraId="25DFA239">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可靠性</w:t>
      </w:r>
    </w:p>
    <w:p w14:paraId="0F5F19F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采用相关的软件技术提供较强的管理机制和控制手段，并采用事故监控与安全保密等技术措施，提高安全可靠性。</w:t>
      </w:r>
    </w:p>
    <w:p w14:paraId="4E7491A4">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灵活性</w:t>
      </w:r>
    </w:p>
    <w:p w14:paraId="69042A2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可以实现设施的快速灵活布署，并有效降低建设初期的建设成本和运营成本。</w:t>
      </w:r>
    </w:p>
    <w:p w14:paraId="5FD1F162">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2.6施工注意事项</w:t>
      </w:r>
    </w:p>
    <w:p w14:paraId="142626EE">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（1）施工单位在施工前应同设计单位对设计图纸及施工图纸进行必要的校对，如发现问题应及时通知采购人。</w:t>
      </w:r>
    </w:p>
    <w:p w14:paraId="16B02246">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（2）墙体施工时，应先校对各专业图纸，成交供应商间应密切配合严格检查，如发现问题应及时通知采购方。</w:t>
      </w:r>
    </w:p>
    <w:p w14:paraId="7E1F988A">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（3）所有管道及施工洞待设备安装完毕后均应以不燃材料封严堵实。</w:t>
      </w:r>
    </w:p>
    <w:p w14:paraId="1D2BE06B">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（4）填充墙、轻隔墙应做至结构顶板顶部并封严，墙体在吊顶以上的部分应在设备管道安装完成后再进行施工。</w:t>
      </w:r>
    </w:p>
    <w:p w14:paraId="374D2D22">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（5）砌块墙体应按规定设置构造柱及圈梁，构造柱及圈梁与砌块墙体间有可靠的拉结，构造柱与圈梁的布置及规格必须符合规范。</w:t>
      </w:r>
    </w:p>
    <w:p w14:paraId="26C93709">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（6）凡靠墙木构件、木门樘等材料均应事先涂刷防腐剂或氟化钠两道或防潮棉。</w:t>
      </w:r>
    </w:p>
    <w:p w14:paraId="10512B44">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（7）所有木装修均需事先在板背及龙骨上按规范要求涂刷防火涂料三遍。</w:t>
      </w:r>
    </w:p>
    <w:p w14:paraId="14F57EC3">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（8）所有露明吊挂、支撑钢杆件、埋铁等铁件均需镀锌或刷防锈漆三道。</w:t>
      </w:r>
    </w:p>
    <w:p w14:paraId="290CB504">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（9）铝合金窗所用连接件及固定件，除不锈钢外，均应经防腐处理，连接时需在与铝材接触处加设塑料或橡胶垫片。</w:t>
      </w:r>
    </w:p>
    <w:p w14:paraId="67891A71">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（10）凡需做防水层的楼、层面，在防水层施工完成后应进行48小时闭水试验，井检验合格后方可进行下一道工序的施工。</w:t>
      </w:r>
    </w:p>
    <w:p w14:paraId="11C83F8A">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（11）如施工中发现材料做法厚度与材料做法不一致，可在设计方认可的条件下，对其中垫层或混凝土找坡层厚度作适当增减。</w:t>
      </w:r>
    </w:p>
    <w:p w14:paraId="4A3A467B">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（12）本工程所采用的材料其性能指标均应达到或超过国家标准中优等品的标准。</w:t>
      </w:r>
    </w:p>
    <w:p w14:paraId="38AEC31D">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（13）施工中应严格执行国家现行的有关施工及验收规范。</w:t>
      </w:r>
    </w:p>
    <w:p w14:paraId="237FEEA0">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（14）花岗石、大理石墙面及地面平整度公差+1mm（二米直尺），详见安装收规范《建筑装饰工程质量验收规范》（GB-50210）-2001。</w:t>
      </w:r>
    </w:p>
    <w:p w14:paraId="7DF247B6">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（15）凡是异形造型的天花，采用石膏板面时基层可采用木龙骨夹板制作，木作埃特板未注明均为15mm厚，未注明处按此说明。</w:t>
      </w:r>
    </w:p>
    <w:p w14:paraId="52B61E48">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（16）作为乳胶漆的基层腻子，必须具有足够的强度，自配的腻子应掺入适量的白乳胶和白水泥，刮腻子层不能过厚，以免开裂。</w:t>
      </w:r>
    </w:p>
    <w:p w14:paraId="2FB49217">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（17）黑色金属的防锈漆选用配套的防锈底漆，防锈底漆应当在彻底除锈之后再刷，如不能彻底除锈，可以采用带锈底漆。</w:t>
      </w:r>
    </w:p>
    <w:p w14:paraId="3D553F58">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（18）所有花岗石、大理石、在辅贴以前都要用防污防潮剂做防污及防渗透处理；内墙面和柱面的石材施工为潮剂做防污和防渗透处理；内墙面和柱面的石材施工为干挂法施工。</w:t>
      </w:r>
    </w:p>
    <w:p w14:paraId="0A6BD549">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（19）石面施工工艺除另说明的特殊部位需采用1：2水泥砂浆湿作业外，其作均为胶粘结施工。墙面柱面抹灰，及砌筑砂浆均采用1：2水泥砂浆。</w:t>
      </w:r>
    </w:p>
    <w:p w14:paraId="65E1FB7A">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（20）墙面和天花乳胶漆施工必须底漆和面漆配套使用，在天花的重要部位要采用进口高弹性乳胶漆，建筑装饰工程施工必须与水电空调等专业图纸密切配合施工，发现矛盾应及时组织有关方面共同协商解决。</w:t>
      </w:r>
    </w:p>
    <w:p w14:paraId="29796CBC">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（21）涉及土建结构设计变更的地方，需经原建筑设计院认可后方可施工。</w:t>
      </w:r>
    </w:p>
    <w:p w14:paraId="324D33FA">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（22）拆除的物品均由采购方指定处理存放或清托。</w:t>
      </w:r>
    </w:p>
    <w:p w14:paraId="53F31C84">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rPr>
        <w:t>（23）整体装修风格保持统一。</w:t>
      </w:r>
      <w:r>
        <w:rPr>
          <w:rFonts w:hint="eastAsia" w:ascii="宋体" w:hAnsi="宋体" w:eastAsia="宋体" w:cs="宋体"/>
          <w:kern w:val="0"/>
          <w:sz w:val="21"/>
          <w:szCs w:val="21"/>
          <w:highlight w:val="none"/>
        </w:rPr>
        <w:br w:type="textWrapping"/>
      </w:r>
      <w:r>
        <w:rPr>
          <w:rFonts w:hint="eastAsia" w:ascii="宋体" w:hAnsi="宋体" w:eastAsia="宋体" w:cs="宋体"/>
          <w:b/>
          <w:bCs/>
          <w:kern w:val="0"/>
          <w:sz w:val="21"/>
          <w:szCs w:val="21"/>
          <w:highlight w:val="none"/>
          <w:lang w:val="en-US" w:eastAsia="zh-CN"/>
        </w:rPr>
        <w:t>2.7 工程量清单</w:t>
      </w:r>
      <w:r>
        <w:rPr>
          <w:rFonts w:hint="eastAsia" w:ascii="宋体" w:hAnsi="宋体" w:cs="宋体"/>
          <w:b/>
          <w:bCs/>
          <w:kern w:val="0"/>
          <w:sz w:val="21"/>
          <w:szCs w:val="21"/>
          <w:highlight w:val="none"/>
          <w:lang w:val="en-US" w:eastAsia="zh-CN"/>
        </w:rPr>
        <w:t>（图纸另附）</w:t>
      </w:r>
    </w:p>
    <w:tbl>
      <w:tblPr>
        <w:tblStyle w:val="30"/>
        <w:tblW w:w="9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3199"/>
        <w:gridCol w:w="3614"/>
        <w:gridCol w:w="885"/>
        <w:gridCol w:w="1471"/>
      </w:tblGrid>
      <w:tr w14:paraId="47EA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F5D2">
            <w:pPr>
              <w:keepNext w:val="0"/>
              <w:keepLines w:val="0"/>
              <w:widowControl/>
              <w:suppressLineNumbers w:val="0"/>
              <w:shd w:val="clear"/>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31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EDD6">
            <w:pPr>
              <w:keepNext w:val="0"/>
              <w:keepLines w:val="0"/>
              <w:widowControl/>
              <w:suppressLineNumbers w:val="0"/>
              <w:shd w:val="clear"/>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F966B">
            <w:pPr>
              <w:keepNext w:val="0"/>
              <w:keepLines w:val="0"/>
              <w:widowControl/>
              <w:suppressLineNumbers w:val="0"/>
              <w:shd w:val="clear"/>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工作内容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96717">
            <w:pPr>
              <w:keepNext w:val="0"/>
              <w:keepLines w:val="0"/>
              <w:widowControl/>
              <w:suppressLineNumbers w:val="0"/>
              <w:shd w:val="clear"/>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  单位</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4274">
            <w:pPr>
              <w:keepNext w:val="0"/>
              <w:keepLines w:val="0"/>
              <w:widowControl/>
              <w:suppressLineNumbers w:val="0"/>
              <w:shd w:val="clear"/>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工作量</w:t>
            </w:r>
          </w:p>
        </w:tc>
      </w:tr>
      <w:tr w14:paraId="384D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8F18">
            <w:pPr>
              <w:shd w:val="clear"/>
              <w:jc w:val="center"/>
              <w:rPr>
                <w:rFonts w:hint="eastAsia" w:ascii="宋体" w:hAnsi="宋体" w:eastAsia="宋体" w:cs="宋体"/>
                <w:b/>
                <w:bCs/>
                <w:i w:val="0"/>
                <w:iCs w:val="0"/>
                <w:color w:val="000000"/>
                <w:sz w:val="18"/>
                <w:szCs w:val="18"/>
                <w:highlight w:val="none"/>
                <w:u w:val="none"/>
              </w:rPr>
            </w:pPr>
          </w:p>
        </w:tc>
        <w:tc>
          <w:tcPr>
            <w:tcW w:w="3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93A3">
            <w:pPr>
              <w:shd w:val="clear"/>
              <w:jc w:val="center"/>
              <w:rPr>
                <w:rFonts w:hint="eastAsia" w:ascii="宋体" w:hAnsi="宋体" w:eastAsia="宋体" w:cs="宋体"/>
                <w:b/>
                <w:bCs/>
                <w:i w:val="0"/>
                <w:iCs w:val="0"/>
                <w:color w:val="000000"/>
                <w:sz w:val="18"/>
                <w:szCs w:val="18"/>
                <w:highlight w:val="none"/>
                <w:u w:val="none"/>
              </w:rPr>
            </w:pPr>
          </w:p>
        </w:tc>
        <w:tc>
          <w:tcPr>
            <w:tcW w:w="3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6E84">
            <w:pPr>
              <w:shd w:val="clear"/>
              <w:jc w:val="center"/>
              <w:rPr>
                <w:rFonts w:hint="eastAsia" w:ascii="宋体" w:hAnsi="宋体" w:eastAsia="宋体" w:cs="宋体"/>
                <w:b/>
                <w:bCs/>
                <w:i w:val="0"/>
                <w:iCs w:val="0"/>
                <w:color w:val="000000"/>
                <w:sz w:val="18"/>
                <w:szCs w:val="18"/>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3544">
            <w:pPr>
              <w:shd w:val="clear"/>
              <w:jc w:val="center"/>
              <w:rPr>
                <w:rFonts w:hint="eastAsia" w:ascii="宋体" w:hAnsi="宋体" w:eastAsia="宋体" w:cs="宋体"/>
                <w:b/>
                <w:bCs/>
                <w:i w:val="0"/>
                <w:iCs w:val="0"/>
                <w:color w:val="000000"/>
                <w:sz w:val="18"/>
                <w:szCs w:val="18"/>
                <w:highlight w:val="none"/>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D913">
            <w:pPr>
              <w:shd w:val="clear"/>
              <w:jc w:val="center"/>
              <w:rPr>
                <w:rFonts w:hint="eastAsia" w:ascii="宋体" w:hAnsi="宋体" w:eastAsia="宋体" w:cs="宋体"/>
                <w:b/>
                <w:bCs/>
                <w:i w:val="0"/>
                <w:iCs w:val="0"/>
                <w:color w:val="000000"/>
                <w:sz w:val="18"/>
                <w:szCs w:val="18"/>
                <w:highlight w:val="none"/>
                <w:u w:val="none"/>
              </w:rPr>
            </w:pPr>
          </w:p>
        </w:tc>
      </w:tr>
      <w:tr w14:paraId="463E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nil"/>
              <w:right w:val="single" w:color="000000" w:sz="4" w:space="0"/>
            </w:tcBorders>
            <w:shd w:val="clear" w:color="auto" w:fill="BFBFBF"/>
            <w:vAlign w:val="center"/>
          </w:tcPr>
          <w:p w14:paraId="069F35F9">
            <w:pPr>
              <w:keepNext w:val="0"/>
              <w:keepLines w:val="0"/>
              <w:widowControl/>
              <w:suppressLineNumbers w:val="0"/>
              <w:shd w:val="clear"/>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硬装部分</w:t>
            </w:r>
          </w:p>
        </w:tc>
      </w:tr>
      <w:tr w14:paraId="44F2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2144994">
            <w:pPr>
              <w:keepNext w:val="0"/>
              <w:keepLines w:val="0"/>
              <w:widowControl/>
              <w:suppressLineNumbers w:val="0"/>
              <w:shd w:val="clear"/>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新建墙体项目（登高作业）</w:t>
            </w:r>
          </w:p>
        </w:tc>
      </w:tr>
      <w:tr w14:paraId="7B7C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608" w:type="dxa"/>
            <w:tcBorders>
              <w:top w:val="nil"/>
              <w:left w:val="single" w:color="000000" w:sz="4" w:space="0"/>
              <w:bottom w:val="single" w:color="000000" w:sz="4" w:space="0"/>
              <w:right w:val="single" w:color="000000" w:sz="4" w:space="0"/>
            </w:tcBorders>
            <w:shd w:val="clear" w:color="auto" w:fill="auto"/>
            <w:noWrap/>
            <w:vAlign w:val="center"/>
          </w:tcPr>
          <w:p w14:paraId="2B9FD3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99" w:type="dxa"/>
            <w:tcBorders>
              <w:top w:val="nil"/>
              <w:left w:val="single" w:color="000000" w:sz="4" w:space="0"/>
              <w:bottom w:val="single" w:color="000000" w:sz="4" w:space="0"/>
              <w:right w:val="single" w:color="000000" w:sz="4" w:space="0"/>
            </w:tcBorders>
            <w:shd w:val="clear" w:color="auto" w:fill="auto"/>
            <w:vAlign w:val="center"/>
          </w:tcPr>
          <w:p w14:paraId="6F55DF5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原始顶面废除管线拆除</w:t>
            </w:r>
          </w:p>
        </w:tc>
        <w:tc>
          <w:tcPr>
            <w:tcW w:w="3614" w:type="dxa"/>
            <w:tcBorders>
              <w:top w:val="nil"/>
              <w:left w:val="single" w:color="000000" w:sz="4" w:space="0"/>
              <w:bottom w:val="single" w:color="000000" w:sz="4" w:space="0"/>
              <w:right w:val="single" w:color="000000" w:sz="4" w:space="0"/>
            </w:tcBorders>
            <w:shd w:val="clear" w:color="auto" w:fill="auto"/>
            <w:vAlign w:val="center"/>
          </w:tcPr>
          <w:p w14:paraId="75C5FC5B">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包含顶面废除管线及灯具人工拆除（打包装袋）</w:t>
            </w:r>
          </w:p>
        </w:tc>
        <w:tc>
          <w:tcPr>
            <w:tcW w:w="885" w:type="dxa"/>
            <w:tcBorders>
              <w:top w:val="nil"/>
              <w:left w:val="single" w:color="000000" w:sz="4" w:space="0"/>
              <w:bottom w:val="single" w:color="000000" w:sz="4" w:space="0"/>
              <w:right w:val="single" w:color="000000" w:sz="4" w:space="0"/>
            </w:tcBorders>
            <w:shd w:val="clear" w:color="auto" w:fill="auto"/>
            <w:noWrap/>
            <w:vAlign w:val="center"/>
          </w:tcPr>
          <w:p w14:paraId="67D6EB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471" w:type="dxa"/>
            <w:tcBorders>
              <w:top w:val="nil"/>
              <w:left w:val="single" w:color="000000" w:sz="4" w:space="0"/>
              <w:bottom w:val="single" w:color="000000" w:sz="4" w:space="0"/>
              <w:right w:val="single" w:color="000000" w:sz="4" w:space="0"/>
            </w:tcBorders>
            <w:shd w:val="clear" w:color="auto" w:fill="auto"/>
            <w:noWrap/>
            <w:vAlign w:val="center"/>
          </w:tcPr>
          <w:p w14:paraId="2CC25F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1BC0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E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35A0">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原始地面地胶拆除</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24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人工拆除（打包装袋）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E0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0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306.00 </w:t>
            </w:r>
          </w:p>
        </w:tc>
      </w:tr>
      <w:tr w14:paraId="2F11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4D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2030">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新建单面隔墙</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EEA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1、U75天地轻钢龙骨隔墙定位、U75竖向轻钢龙骨立架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2、12mm阻燃版基层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3、12mm石膏板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4、2、基层类型：批腻子三遍（前两遍满批，第三遍以找平批均匀准），干燥后带灯打磨，白色乳胶漆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A7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FC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55.00 </w:t>
            </w:r>
          </w:p>
        </w:tc>
      </w:tr>
      <w:tr w14:paraId="0E3E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8E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465">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新建双面隔墙</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C2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1、U75天地轻钢龙骨隔墙定位、U75竖向轻钢龙骨立架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2、12mm阻燃版基层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3、12mm石膏板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4、2、基层类型：批腻子三遍（前两遍满批，第三遍以找平批均匀准），干燥后带灯打磨，白色乳胶漆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C5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1D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D40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272DC14">
            <w:pPr>
              <w:keepNext w:val="0"/>
              <w:keepLines w:val="0"/>
              <w:widowControl/>
              <w:suppressLineNumbers w:val="0"/>
              <w:shd w:val="clear"/>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地面项目</w:t>
            </w:r>
          </w:p>
        </w:tc>
      </w:tr>
      <w:tr w14:paraId="1136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81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B8F">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水泥自流平</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753">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5mm以内自流平水泥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55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6A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306.00 </w:t>
            </w:r>
          </w:p>
        </w:tc>
      </w:tr>
      <w:tr w14:paraId="0D29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95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955">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石材门槛石400mm宽（玻璃门下方）</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4120">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1、灰色石门槛石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2、30厚1:3干硬性水泥砂浆结合层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3、包括石材切割、磨边、倒角等加工费，六面防护处理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85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4C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1.60 </w:t>
            </w:r>
          </w:p>
        </w:tc>
      </w:tr>
      <w:tr w14:paraId="3657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E5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24E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地面PVC地胶铺设</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52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1、2mm复合PVC地胶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2、宽幅2m卷材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3、接缝焊线拼接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4、水性地板胶粘贴</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EC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6C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306.00 </w:t>
            </w:r>
          </w:p>
        </w:tc>
      </w:tr>
      <w:tr w14:paraId="5F00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1573D16">
            <w:pPr>
              <w:keepNext w:val="0"/>
              <w:keepLines w:val="0"/>
              <w:widowControl/>
              <w:suppressLineNumbers w:val="0"/>
              <w:shd w:val="clear"/>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顶面项目</w:t>
            </w:r>
          </w:p>
        </w:tc>
      </w:tr>
      <w:tr w14:paraId="56A9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C4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A8B0">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原始顶面拆除后修复</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2AAB">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顶部拆除后腻子修复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8F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1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306.00 </w:t>
            </w:r>
          </w:p>
        </w:tc>
      </w:tr>
      <w:tr w14:paraId="049E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EA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B901">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顶面修复后喷涂深灰色乳胶漆</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24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1、基层类型：装饰抹灰面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2、涂料品种、喷刷遍数：深灰色乳胶漆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7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C2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497.00 </w:t>
            </w:r>
          </w:p>
        </w:tc>
      </w:tr>
      <w:tr w14:paraId="2D5D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04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9BA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局部管线刷红色油漆</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6D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喷涂铁锈红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D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BD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32FE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2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578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双层石膏板屏吊顶+白色乳胶漆</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5E9">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1、轻钢龙骨+多层板异型开模+双层石膏板吊顶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2、基层类型：批腻子三遍（前两遍满批，第三遍以找平批均匀准），干燥后带灯打磨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3、涂料品种、喷刷遍数：白色乳胶漆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6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BA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11.90 </w:t>
            </w:r>
          </w:p>
        </w:tc>
      </w:tr>
      <w:tr w14:paraId="2B77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61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130">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双层石膏板圆拱造型吊顶+白色乳胶漆</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9D1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1、轻钢龙骨+多层板异型开模+双层石膏板吊顶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2、基层类型：批腻子三遍（前两遍满批，第三遍以找平批均匀准），干燥后带灯打磨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3、涂料品种、喷刷遍数：白色乳胶漆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69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56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14.70 </w:t>
            </w:r>
          </w:p>
        </w:tc>
      </w:tr>
      <w:tr w14:paraId="4009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DF3A531">
            <w:pPr>
              <w:keepNext w:val="0"/>
              <w:keepLines w:val="0"/>
              <w:widowControl/>
              <w:suppressLineNumbers w:val="0"/>
              <w:shd w:val="clear"/>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墙面项目</w:t>
            </w:r>
          </w:p>
        </w:tc>
      </w:tr>
      <w:tr w14:paraId="03C6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00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F18F">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墙面原基层铲除</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2C68">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原墙面艺术涂料及涂料铲除</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4C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B0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445.50 </w:t>
            </w:r>
          </w:p>
        </w:tc>
      </w:tr>
      <w:tr w14:paraId="55E1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09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1F0D">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墙面乳胶漆（白色）</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018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1、基层类型：装饰抹灰面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2、腻子种类：批腻子三遍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3、涂料品种、喷刷遍数：白色乳胶漆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17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6F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200.00 </w:t>
            </w:r>
          </w:p>
        </w:tc>
      </w:tr>
      <w:tr w14:paraId="6884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87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7D9">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墙面乳胶漆（彩色）</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51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1、基层类型：装饰抹灰面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2、腻子种类：批腻子三遍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3、涂料品种、喷刷遍数：彩色乳胶漆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EE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AB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295.00 </w:t>
            </w:r>
          </w:p>
        </w:tc>
      </w:tr>
      <w:tr w14:paraId="6ED7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5F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856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主背景墙白色艺术涂料基层</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D6B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1、基层类型：装饰抹灰面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2、腻子种类：批腻子三遍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3、封闭底漆一遍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9D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47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24.00 </w:t>
            </w:r>
          </w:p>
        </w:tc>
      </w:tr>
      <w:tr w14:paraId="6F3A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B9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2AD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多功能室三面背景墙</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24F">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1、基层类型：装饰抹灰面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2、腻子种类：批腻子三遍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3、涂料品种、喷刷遍数：彩色乳胶漆 二遍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D9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62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41.00 </w:t>
            </w:r>
          </w:p>
        </w:tc>
      </w:tr>
      <w:tr w14:paraId="4B16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C0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196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人民民主中部凹凸造型</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6E2B">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1、木龙骨、木工板框架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2、12mm阻燃版基层开模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3、12mm石膏板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7A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0E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9.20 </w:t>
            </w:r>
          </w:p>
        </w:tc>
      </w:tr>
      <w:tr w14:paraId="13CF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F3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FE9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笑脸墙书本造型</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2468">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1、木龙骨、木工板框架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2、12mm阻燃版基层开模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3、12mm石膏板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AD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F4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3246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1C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32F9">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消防栓隐形门</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D83">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定制合金隐形门五金，多层板基层，石膏板面层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FD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47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10EF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E5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A29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长墙面安全门隐形门</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C27">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定制隐形门五金及安装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91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C6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5F64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1C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15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长墙面内嵌电视造型墙</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31D7">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1、木龙骨、木工板框架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2、12mm阻燃版基层开模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3、12mm石膏板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8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71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49BE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95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D668">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铝合金踢脚线</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EBA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黑色拉丝铝合金踢脚线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37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3B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165.00 </w:t>
            </w:r>
          </w:p>
        </w:tc>
      </w:tr>
      <w:tr w14:paraId="1D97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D0627C5">
            <w:pPr>
              <w:keepNext w:val="0"/>
              <w:keepLines w:val="0"/>
              <w:widowControl/>
              <w:suppressLineNumbers w:val="0"/>
              <w:shd w:val="clear"/>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门窗项目</w:t>
            </w:r>
          </w:p>
        </w:tc>
      </w:tr>
      <w:tr w14:paraId="38BC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A07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BE6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主入口砸粉门头</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9E88">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人工加辅材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8D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26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174C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F2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95F7">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主入口玻璃门不锈钢套线</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7F7">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木工板基层+黑色不锈钢配套门套线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62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84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8.20 </w:t>
            </w:r>
          </w:p>
        </w:tc>
      </w:tr>
      <w:tr w14:paraId="7E84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0F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97FD">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玻璃门基层</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16C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钢架基层+木工板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0F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D6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7.80 </w:t>
            </w:r>
          </w:p>
        </w:tc>
      </w:tr>
      <w:tr w14:paraId="6D56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BB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1A9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主入口玻璃门</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8BF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成品电动移门：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钢化玻璃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含电机，含玻璃扛楼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（优势：自动平移，开启后宽度大，无边框和拉手，透视度较好；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缺点：造价相较贵。）</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B8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F3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72C1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E7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033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下挂窗帘盒</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B94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阻燃板基础，外封石膏板，刷乳胶漆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77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C6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20.00 </w:t>
            </w:r>
          </w:p>
        </w:tc>
      </w:tr>
      <w:tr w14:paraId="3776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4D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DDC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窗台</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C5F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白色人造石L型带下挂</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62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D8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20.00 </w:t>
            </w:r>
          </w:p>
        </w:tc>
      </w:tr>
      <w:tr w14:paraId="5FC2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B91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卫生间门头隔墙拆除修补</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01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人工加辅材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D4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29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630F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6BC3FB8">
            <w:pPr>
              <w:keepNext w:val="0"/>
              <w:keepLines w:val="0"/>
              <w:widowControl/>
              <w:suppressLineNumbers w:val="0"/>
              <w:shd w:val="clear"/>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水电项目项目</w:t>
            </w:r>
          </w:p>
        </w:tc>
      </w:tr>
      <w:tr w14:paraId="17CF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C7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7F0">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强电（电路插座、灯具开关线、设备供电）改造</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A81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1、配线形式：管内穿线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2、JDG配管或者桥架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3、电线型号：BVR2.5/4.0mm2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4、材质：铜芯绝缘导线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F1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CB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306.00 </w:t>
            </w:r>
          </w:p>
        </w:tc>
      </w:tr>
      <w:tr w14:paraId="6917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11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30B7">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进水改造</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C26D">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PPR塑料给水管安装，DN25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BF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56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25.00 </w:t>
            </w:r>
          </w:p>
        </w:tc>
      </w:tr>
      <w:tr w14:paraId="2F74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FF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5F2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下水改造</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33B8">
            <w:pPr>
              <w:keepNext w:val="0"/>
              <w:keepLines w:val="0"/>
              <w:widowControl/>
              <w:suppressLineNumbers w:val="0"/>
              <w:shd w:val="clear"/>
              <w:jc w:val="left"/>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PVC排水管</w:t>
            </w:r>
            <w:r>
              <w:rPr>
                <w:rFonts w:hint="eastAsia" w:ascii="宋体" w:hAnsi="宋体" w:cs="宋体"/>
                <w:i w:val="0"/>
                <w:iCs w:val="0"/>
                <w:color w:val="000000"/>
                <w:kern w:val="0"/>
                <w:sz w:val="18"/>
                <w:szCs w:val="18"/>
                <w:highlight w:val="none"/>
                <w:u w:val="none"/>
                <w:lang w:val="en-US" w:eastAsia="zh-CN" w:bidi="ar"/>
              </w:rPr>
              <w:t>（根据现场实际情况为准）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C6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1C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12.00 </w:t>
            </w:r>
          </w:p>
        </w:tc>
      </w:tr>
      <w:tr w14:paraId="14A0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E2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F3B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弱电线路改造</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5094">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RVS-六类八芯网线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67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点位</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E6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285B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5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1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564F">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灯具</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7B1">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磁吸轨道灯（一米轨道配一个灯，12V暖白光，4000K格栅灯）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9F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F4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60.00 </w:t>
            </w:r>
          </w:p>
        </w:tc>
      </w:tr>
      <w:tr w14:paraId="3E9A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6632">
            <w:pPr>
              <w:shd w:val="clear"/>
              <w:jc w:val="center"/>
              <w:rPr>
                <w:rFonts w:hint="eastAsia" w:ascii="宋体" w:hAnsi="宋体" w:eastAsia="宋体" w:cs="宋体"/>
                <w:i w:val="0"/>
                <w:iCs w:val="0"/>
                <w:color w:val="000000"/>
                <w:sz w:val="18"/>
                <w:szCs w:val="18"/>
                <w:highlight w:val="none"/>
                <w:u w:val="none"/>
              </w:rPr>
            </w:pPr>
          </w:p>
        </w:tc>
        <w:tc>
          <w:tcPr>
            <w:tcW w:w="3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4C0">
            <w:pPr>
              <w:shd w:val="clear"/>
              <w:jc w:val="left"/>
              <w:rPr>
                <w:rFonts w:hint="eastAsia" w:ascii="宋体" w:hAnsi="宋体" w:eastAsia="宋体" w:cs="宋体"/>
                <w:i w:val="0"/>
                <w:iCs w:val="0"/>
                <w:color w:val="000000"/>
                <w:sz w:val="18"/>
                <w:szCs w:val="18"/>
                <w:highlight w:val="none"/>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F8F">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暗装筒灯（9W  4000K  嵌入式深杯，全光谱）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B4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3E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1459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FB14">
            <w:pPr>
              <w:shd w:val="clear"/>
              <w:jc w:val="center"/>
              <w:rPr>
                <w:rFonts w:hint="eastAsia" w:ascii="宋体" w:hAnsi="宋体" w:eastAsia="宋体" w:cs="宋体"/>
                <w:i w:val="0"/>
                <w:iCs w:val="0"/>
                <w:color w:val="000000"/>
                <w:sz w:val="18"/>
                <w:szCs w:val="18"/>
                <w:highlight w:val="none"/>
                <w:u w:val="none"/>
              </w:rPr>
            </w:pPr>
          </w:p>
        </w:tc>
        <w:tc>
          <w:tcPr>
            <w:tcW w:w="3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04AA">
            <w:pPr>
              <w:shd w:val="clear"/>
              <w:jc w:val="left"/>
              <w:rPr>
                <w:rFonts w:hint="eastAsia" w:ascii="宋体" w:hAnsi="宋体" w:eastAsia="宋体" w:cs="宋体"/>
                <w:i w:val="0"/>
                <w:iCs w:val="0"/>
                <w:color w:val="000000"/>
                <w:sz w:val="18"/>
                <w:szCs w:val="18"/>
                <w:highlight w:val="none"/>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65B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工业灯（直径35CM，30WLED）</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1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05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17.00 </w:t>
            </w:r>
          </w:p>
        </w:tc>
      </w:tr>
      <w:tr w14:paraId="182A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E034">
            <w:pPr>
              <w:shd w:val="clear"/>
              <w:jc w:val="center"/>
              <w:rPr>
                <w:rFonts w:hint="eastAsia" w:ascii="宋体" w:hAnsi="宋体" w:eastAsia="宋体" w:cs="宋体"/>
                <w:i w:val="0"/>
                <w:iCs w:val="0"/>
                <w:color w:val="000000"/>
                <w:sz w:val="18"/>
                <w:szCs w:val="18"/>
                <w:highlight w:val="none"/>
                <w:u w:val="none"/>
              </w:rPr>
            </w:pPr>
          </w:p>
        </w:tc>
        <w:tc>
          <w:tcPr>
            <w:tcW w:w="3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7166">
            <w:pPr>
              <w:shd w:val="clear"/>
              <w:jc w:val="left"/>
              <w:rPr>
                <w:rFonts w:hint="eastAsia" w:ascii="宋体" w:hAnsi="宋体" w:eastAsia="宋体" w:cs="宋体"/>
                <w:i w:val="0"/>
                <w:iCs w:val="0"/>
                <w:color w:val="000000"/>
                <w:sz w:val="18"/>
                <w:szCs w:val="18"/>
                <w:highlight w:val="none"/>
                <w:u w:val="none"/>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95F2">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线性灯带（低压带变压器）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6C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0C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2.40 </w:t>
            </w:r>
          </w:p>
        </w:tc>
      </w:tr>
      <w:tr w14:paraId="4B60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D9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9713">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地插</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BC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金属暗盒+铜地插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9F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D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6.00 </w:t>
            </w:r>
          </w:p>
        </w:tc>
      </w:tr>
      <w:tr w14:paraId="3ABE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F9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77CA">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开关面板</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53F8">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插座及开关面板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D7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A1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40.00 </w:t>
            </w:r>
          </w:p>
        </w:tc>
      </w:tr>
      <w:tr w14:paraId="3973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2D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D5B">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强电控制安装</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63F">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人工加空开加辅材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1C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F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10EC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BA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7F53">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弱电安装+POE路由器+POE交换机+POE录像机+硬盘</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68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全面支持POE供电，录像机带存储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82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9E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14:paraId="3560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C6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2B45">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POE摄像头</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E536">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POE供电</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A1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DF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 </w:t>
            </w:r>
          </w:p>
        </w:tc>
      </w:tr>
      <w:tr w14:paraId="4DF1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6B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EAC">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POE无线AP</w:t>
            </w:r>
          </w:p>
        </w:tc>
        <w:tc>
          <w:tcPr>
            <w:tcW w:w="3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CCBE">
            <w:pPr>
              <w:keepNext w:val="0"/>
              <w:keepLines w:val="0"/>
              <w:widowControl/>
              <w:suppressLineNumbers w:val="0"/>
              <w:shd w:val="clear"/>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POE供电</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8D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C0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4.00 </w:t>
            </w:r>
          </w:p>
        </w:tc>
      </w:tr>
    </w:tbl>
    <w:p w14:paraId="7B722404">
      <w:pPr>
        <w:shd w:val="clear"/>
        <w:rPr>
          <w:rFonts w:hint="eastAsia" w:asciiTheme="minorEastAsia" w:hAnsiTheme="minorEastAsia" w:eastAsiaTheme="minorEastAsia" w:cstheme="minorEastAsia"/>
          <w:b/>
          <w:bCs/>
          <w:sz w:val="21"/>
          <w:szCs w:val="21"/>
          <w:highlight w:val="none"/>
        </w:rPr>
      </w:pPr>
      <w:r>
        <w:rPr>
          <w:rFonts w:hint="eastAsia" w:ascii="宋体" w:hAnsi="宋体" w:eastAsia="宋体" w:cs="宋体"/>
          <w:b/>
          <w:bCs/>
          <w:sz w:val="21"/>
          <w:szCs w:val="21"/>
          <w:highlight w:val="none"/>
          <w:lang w:val="en-US" w:eastAsia="zh-CN"/>
        </w:rPr>
        <w:t>三、其他要求</w:t>
      </w:r>
      <w:r>
        <w:rPr>
          <w:rFonts w:hint="eastAsia" w:ascii="宋体" w:hAnsi="宋体" w:eastAsia="宋体" w:cs="宋体"/>
          <w:b/>
          <w:bCs/>
          <w:sz w:val="21"/>
          <w:szCs w:val="21"/>
          <w:highlight w:val="none"/>
          <w:lang w:val="en-US" w:eastAsia="zh-CN"/>
        </w:rPr>
        <w:br w:type="textWrapping"/>
      </w:r>
      <w:r>
        <w:rPr>
          <w:rFonts w:hint="eastAsia" w:asciiTheme="minorEastAsia" w:hAnsiTheme="minorEastAsia" w:eastAsiaTheme="minorEastAsia" w:cstheme="minorEastAsia"/>
          <w:b/>
          <w:bCs/>
          <w:sz w:val="21"/>
          <w:szCs w:val="21"/>
          <w:highlight w:val="none"/>
        </w:rPr>
        <w:t>★3.1计划工期要求</w:t>
      </w:r>
    </w:p>
    <w:p w14:paraId="64DCA7F5">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接到采购人开工书面通知后，20个日历日内完成竣工并通过验收，具体时间要求以成交供应商工期承诺为准。</w:t>
      </w:r>
    </w:p>
    <w:p w14:paraId="0024619C">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★3.2整体保修要求</w:t>
      </w:r>
    </w:p>
    <w:p w14:paraId="0EC15DF7">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自终验合格之日起，本次改造工程整体质保期不低于24个月。</w:t>
      </w:r>
    </w:p>
    <w:p w14:paraId="2B3E7A5D">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Theme="minorEastAsia" w:hAnsiTheme="minorEastAsia" w:eastAsiaTheme="minorEastAsia" w:cstheme="minorEastAsia"/>
          <w:b/>
          <w:bCs/>
          <w:sz w:val="21"/>
          <w:szCs w:val="21"/>
          <w:highlight w:val="none"/>
        </w:rPr>
      </w:pPr>
      <w:bookmarkStart w:id="106" w:name="OLE_LINK24"/>
      <w:r>
        <w:rPr>
          <w:rFonts w:hint="eastAsia" w:asciiTheme="minorEastAsia" w:hAnsiTheme="minorEastAsia" w:eastAsiaTheme="minorEastAsia" w:cstheme="minorEastAsia"/>
          <w:b/>
          <w:bCs/>
          <w:sz w:val="21"/>
          <w:szCs w:val="21"/>
          <w:highlight w:val="none"/>
        </w:rPr>
        <w:t>★3.3</w:t>
      </w:r>
      <w:bookmarkStart w:id="107" w:name="OLE_LINK20"/>
      <w:bookmarkStart w:id="108" w:name="OLE_LINK21"/>
      <w:r>
        <w:rPr>
          <w:rFonts w:hint="eastAsia" w:asciiTheme="minorEastAsia" w:hAnsiTheme="minorEastAsia" w:eastAsiaTheme="minorEastAsia" w:cstheme="minorEastAsia"/>
          <w:b/>
          <w:bCs/>
          <w:sz w:val="21"/>
          <w:szCs w:val="21"/>
          <w:highlight w:val="none"/>
        </w:rPr>
        <w:t>防火要求</w:t>
      </w:r>
      <w:bookmarkEnd w:id="107"/>
      <w:bookmarkEnd w:id="108"/>
    </w:p>
    <w:bookmarkEnd w:id="106"/>
    <w:p w14:paraId="07CC433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bookmarkStart w:id="109" w:name="OLE_LINK127"/>
      <w:bookmarkStart w:id="110" w:name="OLE_LINK128"/>
      <w:r>
        <w:rPr>
          <w:rFonts w:hint="eastAsia" w:asciiTheme="minorEastAsia" w:hAnsiTheme="minorEastAsia" w:eastAsiaTheme="minorEastAsia" w:cstheme="minorEastAsia"/>
          <w:sz w:val="21"/>
          <w:szCs w:val="21"/>
          <w:highlight w:val="none"/>
        </w:rPr>
        <w:t>响应供应商对本次改造所使用的材料防火等级应有充分理解，能正确选取材料防火规格，达到消防标准要求，施工主材提供检测合格。室内主要空间装修用料要求需满足《建筑内部装修设计防火规范》GB50222-2017中规定内容。</w:t>
      </w:r>
    </w:p>
    <w:bookmarkEnd w:id="109"/>
    <w:bookmarkEnd w:id="110"/>
    <w:p w14:paraId="423C3D52">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★3.4设备采购渠道</w:t>
      </w:r>
    </w:p>
    <w:p w14:paraId="1C095B8B">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sz w:val="21"/>
          <w:szCs w:val="21"/>
          <w:highlight w:val="none"/>
        </w:rPr>
      </w:pPr>
      <w:bookmarkStart w:id="111" w:name="OLE_LINK129"/>
      <w:r>
        <w:rPr>
          <w:rFonts w:hint="eastAsia" w:asciiTheme="minorEastAsia" w:hAnsiTheme="minorEastAsia" w:eastAsiaTheme="minorEastAsia" w:cstheme="minorEastAsia"/>
          <w:b/>
          <w:bCs/>
          <w:sz w:val="21"/>
          <w:szCs w:val="21"/>
          <w:highlight w:val="none"/>
        </w:rPr>
        <w:t>成交供应商应承诺本项目涉及的主要设备，均从具备制造商授权的代理商等正规渠道采购设备以及相关条款约定的质保服务，提供承诺函</w:t>
      </w:r>
      <w:r>
        <w:rPr>
          <w:rFonts w:hint="eastAsia" w:asciiTheme="minorEastAsia" w:hAnsiTheme="minorEastAsia" w:eastAsiaTheme="minorEastAsia" w:cstheme="minorEastAsia"/>
          <w:sz w:val="21"/>
          <w:szCs w:val="21"/>
          <w:highlight w:val="none"/>
        </w:rPr>
        <w:t>。</w:t>
      </w:r>
    </w:p>
    <w:bookmarkEnd w:id="111"/>
    <w:p w14:paraId="2E09946D">
      <w:pPr>
        <w:keepNext w:val="0"/>
        <w:keepLines w:val="0"/>
        <w:pageBreakBefore w:val="0"/>
        <w:widowControl w:val="0"/>
        <w:shd w:val="clear"/>
        <w:kinsoku/>
        <w:wordWrap/>
        <w:overflowPunct/>
        <w:topLinePunct w:val="0"/>
        <w:autoSpaceDE/>
        <w:autoSpaceDN/>
        <w:bidi w:val="0"/>
        <w:adjustRightInd/>
        <w:snapToGrid/>
        <w:spacing w:line="480" w:lineRule="exact"/>
        <w:ind w:firstLine="422" w:firstLineChars="200"/>
        <w:jc w:val="left"/>
        <w:textAlignment w:val="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3.5装修现场要求</w:t>
      </w:r>
    </w:p>
    <w:p w14:paraId="408FE487">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（1）成交供应商应遵守《建筑装饰装修管理规定》、《中华人民共和国环境噪声污染防治法》等相关法律法规；</w:t>
      </w:r>
    </w:p>
    <w:p w14:paraId="6B3EDB18">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（2）成交供应商应保持施工现场的环境卫生，爱护采购人原有的、不在本次装修设计范围内的设施设备、装饰装修；</w:t>
      </w:r>
    </w:p>
    <w:p w14:paraId="643869DF">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（3）成交供应商需对已完项目现场做一次深度保洁，费用包含在报价中。</w:t>
      </w:r>
    </w:p>
    <w:p w14:paraId="65680F9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（4）成交供应商应遵守采购人公司相关管理办法，改造施工行为及现场施工人员的言行禁止干扰采购人正常生产经营工作。</w:t>
      </w:r>
    </w:p>
    <w:p w14:paraId="642A249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（5）成交供应商应遵守采购人公司对施工时间的具体要求，改造施工除不得影响周围日常工作以外，遇重大活动或特殊事件需停工等待通知复工。</w:t>
      </w:r>
    </w:p>
    <w:p w14:paraId="3FCA7272">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对施工现场周围进行防护，不得破坏不涉及施工项目的成品，如有损坏需按原样恢复，对施工区域周围及电梯做相应防护，不得破坏外墙，需对噪音、粉尘、气味做重点防护方案和措施，不得对周围生产工作造成影响。</w:t>
      </w:r>
    </w:p>
    <w:p w14:paraId="4F23C6E1">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（7）★验收标准：</w:t>
      </w:r>
    </w:p>
    <w:p w14:paraId="2A919396">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交人提供的产品必须符合我国最新颁布的与之相关的技术规范与标准，同时必须满足文件中所列规格、技术参数及功能要求和成交人承诺的其它指标，所有产品安装调试完成后,由采购人组织进行相关设备的现场测试,试运行1个月不发生故障，再出具验收报告，视作竣工验收合格标准（如发生故障，成交人需第一时间对故障进行清除，解决故障后方可重新申报竣工验收，清除故障所发生的所有费用由成交人承担，设备运行恢复正常运行后方可继续累计1个月的试运行时间周期，故障修复所花费的时间不计算在试运行的时间周期中）。</w:t>
      </w:r>
    </w:p>
    <w:p w14:paraId="5076AE2D">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项目竣工后需进行环境检测，检验是否达标，如检测不合格，所产生的检测费用由成交人承担用并整改直至检测合格。</w:t>
      </w:r>
    </w:p>
    <w:p w14:paraId="410E2F84">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bCs/>
          <w:sz w:val="21"/>
          <w:szCs w:val="21"/>
          <w:highlight w:val="none"/>
          <w:lang w:val="en-US" w:eastAsia="zh-CN"/>
        </w:rPr>
      </w:pPr>
      <w:bookmarkStart w:id="112" w:name="_Hlk188620441"/>
      <w:r>
        <w:rPr>
          <w:rFonts w:hint="eastAsia" w:asciiTheme="minorEastAsia" w:hAnsiTheme="minorEastAsia" w:eastAsiaTheme="minorEastAsia" w:cstheme="minorEastAsia"/>
          <w:sz w:val="21"/>
          <w:szCs w:val="21"/>
          <w:highlight w:val="none"/>
        </w:rPr>
        <w:t>成交人</w:t>
      </w:r>
      <w:bookmarkEnd w:id="112"/>
      <w:r>
        <w:rPr>
          <w:rFonts w:hint="eastAsia" w:asciiTheme="minorEastAsia" w:hAnsiTheme="minorEastAsia" w:eastAsiaTheme="minorEastAsia" w:cstheme="minorEastAsia"/>
          <w:sz w:val="21"/>
          <w:szCs w:val="21"/>
          <w:highlight w:val="none"/>
        </w:rPr>
        <w:t>须负责其所提供的所有设备的安装调试、旧设备拆除、内部环境的改造服务，以及与之相关的一切必要配套工作。具体要求根据采购人意见进行实施，所产生的一切相关协调及施工费用均由成交人承担。</w:t>
      </w:r>
    </w:p>
    <w:p w14:paraId="576CFE44">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kern w:val="0"/>
          <w:sz w:val="21"/>
          <w:szCs w:val="21"/>
          <w:highlight w:val="none"/>
          <w:lang w:val="zh-CN" w:eastAsia="zh-CN" w:bidi="zh-CN"/>
        </w:rPr>
      </w:pPr>
      <w:r>
        <w:rPr>
          <w:rFonts w:hint="eastAsia" w:asciiTheme="minorEastAsia" w:hAnsiTheme="minorEastAsia" w:eastAsiaTheme="minorEastAsia" w:cstheme="minorEastAsia"/>
          <w:kern w:val="0"/>
          <w:sz w:val="21"/>
          <w:szCs w:val="21"/>
          <w:highlight w:val="none"/>
          <w:lang w:val="en-US" w:eastAsia="zh-CN" w:bidi="zh-CN"/>
        </w:rPr>
        <w:t xml:space="preserve">3.6 </w:t>
      </w:r>
      <w:r>
        <w:rPr>
          <w:rFonts w:hint="eastAsia" w:asciiTheme="minorEastAsia" w:hAnsiTheme="minorEastAsia" w:eastAsiaTheme="minorEastAsia" w:cstheme="minorEastAsia"/>
          <w:kern w:val="0"/>
          <w:sz w:val="21"/>
          <w:szCs w:val="21"/>
          <w:highlight w:val="none"/>
          <w:lang w:val="zh-CN" w:eastAsia="zh-CN" w:bidi="zh-CN"/>
        </w:rPr>
        <w:t xml:space="preserve">本项目按工程量清单计价模式进行计价。供应商按照采购文件附件《工程量清单》要求报价。   </w:t>
      </w:r>
    </w:p>
    <w:p w14:paraId="12876FAC">
      <w:pPr>
        <w:pStyle w:val="109"/>
        <w:shd w:val="clear"/>
        <w:spacing w:line="440" w:lineRule="exact"/>
        <w:rPr>
          <w:rFonts w:hint="eastAsia" w:asciiTheme="minorEastAsia" w:hAnsiTheme="minorEastAsia" w:eastAsiaTheme="minorEastAsia" w:cstheme="minorEastAsia"/>
          <w:kern w:val="0"/>
          <w:sz w:val="21"/>
          <w:szCs w:val="21"/>
          <w:highlight w:val="none"/>
          <w:lang w:val="zh-CN" w:eastAsia="zh-CN" w:bidi="zh-CN"/>
        </w:rPr>
      </w:pPr>
      <w:r>
        <w:rPr>
          <w:rFonts w:hint="eastAsia" w:asciiTheme="minorEastAsia" w:hAnsiTheme="minorEastAsia" w:eastAsiaTheme="minorEastAsia" w:cstheme="minorEastAsia"/>
          <w:kern w:val="0"/>
          <w:sz w:val="21"/>
          <w:szCs w:val="21"/>
          <w:highlight w:val="none"/>
          <w:lang w:val="zh-CN" w:eastAsia="zh-CN" w:bidi="zh-CN"/>
        </w:rPr>
        <w:t>控制价为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22.00万</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元</w:t>
      </w:r>
      <w:r>
        <w:rPr>
          <w:rFonts w:hint="eastAsia" w:asciiTheme="minorEastAsia" w:hAnsiTheme="minorEastAsia" w:eastAsiaTheme="minorEastAsia" w:cstheme="minorEastAsia"/>
          <w:kern w:val="0"/>
          <w:sz w:val="21"/>
          <w:szCs w:val="21"/>
          <w:highlight w:val="none"/>
          <w:lang w:val="zh-CN" w:eastAsia="zh-CN" w:bidi="zh-CN"/>
        </w:rPr>
        <w:t>，投标人报价超过控制价作无效标处理。投标人也不得恶意竞争报低价(为保证报价合理性，当供应商报价低于控制价</w:t>
      </w:r>
      <w:r>
        <w:rPr>
          <w:rFonts w:hint="eastAsia" w:asciiTheme="minorEastAsia" w:hAnsiTheme="minorEastAsia" w:eastAsiaTheme="minorEastAsia" w:cstheme="minorEastAsia"/>
          <w:kern w:val="0"/>
          <w:sz w:val="21"/>
          <w:szCs w:val="21"/>
          <w:highlight w:val="none"/>
          <w:lang w:val="en-US" w:eastAsia="zh-CN" w:bidi="zh-CN"/>
        </w:rPr>
        <w:t>70</w:t>
      </w:r>
      <w:r>
        <w:rPr>
          <w:rFonts w:hint="eastAsia" w:asciiTheme="minorEastAsia" w:hAnsiTheme="minorEastAsia" w:eastAsiaTheme="minorEastAsia" w:cstheme="minorEastAsia"/>
          <w:kern w:val="0"/>
          <w:sz w:val="21"/>
          <w:szCs w:val="21"/>
          <w:highlight w:val="none"/>
          <w:lang w:val="zh-CN" w:eastAsia="zh-CN" w:bidi="zh-CN"/>
        </w:rPr>
        <w:t>%时，供应商在投标报价时需提供完整的成本明细证明材料，评标委员会将根据供应商所提供的成本明细证明材料进行论证，分析报价合理性。若供应商提供的成本明细证明材料不能证明其报价合理性，则评标委员会应当将其作为无效投标处理。)</w:t>
      </w:r>
    </w:p>
    <w:p w14:paraId="49ED01A0">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kern w:val="0"/>
          <w:sz w:val="21"/>
          <w:szCs w:val="21"/>
          <w:highlight w:val="none"/>
          <w:lang w:val="en-US" w:eastAsia="zh-CN" w:bidi="zh-CN"/>
        </w:rPr>
      </w:pPr>
      <w:r>
        <w:rPr>
          <w:rFonts w:hint="eastAsia" w:asciiTheme="minorEastAsia" w:hAnsiTheme="minorEastAsia" w:eastAsiaTheme="minorEastAsia" w:cstheme="minorEastAsia"/>
          <w:kern w:val="0"/>
          <w:sz w:val="21"/>
          <w:szCs w:val="21"/>
          <w:highlight w:val="none"/>
          <w:lang w:val="en-US" w:eastAsia="zh-CN" w:bidi="zh-CN"/>
        </w:rPr>
        <w:t>3.7  付款说明：</w:t>
      </w:r>
    </w:p>
    <w:p w14:paraId="7C815375">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ind w:leftChars="0"/>
        <w:jc w:val="left"/>
        <w:textAlignment w:val="auto"/>
        <w:rPr>
          <w:rFonts w:hint="eastAsia" w:asciiTheme="minorEastAsia" w:hAnsiTheme="minorEastAsia" w:eastAsiaTheme="minorEastAsia" w:cstheme="minorEastAsia"/>
          <w:kern w:val="0"/>
          <w:sz w:val="21"/>
          <w:szCs w:val="21"/>
          <w:highlight w:val="none"/>
          <w:lang w:val="en-US" w:eastAsia="zh-CN" w:bidi="zh-CN"/>
        </w:rPr>
      </w:pPr>
      <w:r>
        <w:rPr>
          <w:rFonts w:hint="eastAsia" w:asciiTheme="minorEastAsia" w:hAnsiTheme="minorEastAsia" w:eastAsiaTheme="minorEastAsia" w:cstheme="minorEastAsia"/>
          <w:kern w:val="0"/>
          <w:sz w:val="21"/>
          <w:szCs w:val="21"/>
          <w:highlight w:val="none"/>
          <w:lang w:val="zh-CN" w:eastAsia="zh-CN" w:bidi="zh-CN"/>
        </w:rPr>
        <w:t>工程竣工验收后付至合同价款的</w:t>
      </w:r>
      <w:r>
        <w:rPr>
          <w:rFonts w:hint="eastAsia" w:asciiTheme="minorEastAsia" w:hAnsiTheme="minorEastAsia" w:eastAsiaTheme="minorEastAsia" w:cstheme="minorEastAsia"/>
          <w:kern w:val="0"/>
          <w:sz w:val="21"/>
          <w:szCs w:val="21"/>
          <w:highlight w:val="none"/>
          <w:lang w:val="en-US" w:eastAsia="zh-CN" w:bidi="zh-CN"/>
        </w:rPr>
        <w:t>8</w:t>
      </w:r>
      <w:r>
        <w:rPr>
          <w:rFonts w:hint="eastAsia" w:asciiTheme="minorEastAsia" w:hAnsiTheme="minorEastAsia" w:eastAsiaTheme="minorEastAsia" w:cstheme="minorEastAsia"/>
          <w:kern w:val="0"/>
          <w:sz w:val="21"/>
          <w:szCs w:val="21"/>
          <w:highlight w:val="none"/>
          <w:lang w:val="zh-CN" w:eastAsia="zh-CN" w:bidi="zh-CN"/>
        </w:rPr>
        <w:t>0%</w:t>
      </w:r>
      <w:r>
        <w:rPr>
          <w:rFonts w:hint="eastAsia" w:asciiTheme="minorEastAsia" w:hAnsiTheme="minorEastAsia" w:eastAsiaTheme="minorEastAsia" w:cstheme="minorEastAsia"/>
          <w:kern w:val="0"/>
          <w:sz w:val="21"/>
          <w:szCs w:val="21"/>
          <w:highlight w:val="none"/>
          <w:lang w:val="en-US" w:eastAsia="zh-CN" w:bidi="zh-CN"/>
        </w:rPr>
        <w:t>；</w:t>
      </w:r>
    </w:p>
    <w:p w14:paraId="0CEAD762">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ind w:leftChars="0"/>
        <w:jc w:val="left"/>
        <w:textAlignment w:val="auto"/>
        <w:rPr>
          <w:rFonts w:hint="eastAsia" w:asciiTheme="minorEastAsia" w:hAnsiTheme="minorEastAsia" w:eastAsiaTheme="minorEastAsia" w:cstheme="minorEastAsia"/>
          <w:kern w:val="0"/>
          <w:sz w:val="21"/>
          <w:szCs w:val="21"/>
          <w:highlight w:val="none"/>
          <w:lang w:val="zh-CN" w:eastAsia="zh-CN" w:bidi="zh-CN"/>
        </w:rPr>
      </w:pPr>
      <w:r>
        <w:rPr>
          <w:rFonts w:hint="eastAsia" w:asciiTheme="minorEastAsia" w:hAnsiTheme="minorEastAsia" w:eastAsiaTheme="minorEastAsia" w:cstheme="minorEastAsia"/>
          <w:kern w:val="0"/>
          <w:sz w:val="21"/>
          <w:szCs w:val="21"/>
          <w:highlight w:val="none"/>
          <w:lang w:val="zh-CN" w:eastAsia="zh-CN" w:bidi="zh-CN"/>
        </w:rPr>
        <w:t>经审计结算审定后支付至审定价款的97%</w:t>
      </w:r>
      <w:r>
        <w:rPr>
          <w:rFonts w:hint="eastAsia" w:asciiTheme="minorEastAsia" w:hAnsiTheme="minorEastAsia" w:eastAsiaTheme="minorEastAsia" w:cstheme="minorEastAsia"/>
          <w:kern w:val="0"/>
          <w:sz w:val="21"/>
          <w:szCs w:val="21"/>
          <w:highlight w:val="none"/>
          <w:lang w:val="en-US" w:eastAsia="zh-CN" w:bidi="zh-CN"/>
        </w:rPr>
        <w:t>；</w:t>
      </w:r>
      <w:r>
        <w:rPr>
          <w:rFonts w:hint="eastAsia" w:asciiTheme="minorEastAsia" w:hAnsiTheme="minorEastAsia" w:eastAsiaTheme="minorEastAsia" w:cstheme="minorEastAsia"/>
          <w:kern w:val="0"/>
          <w:sz w:val="21"/>
          <w:szCs w:val="21"/>
          <w:highlight w:val="none"/>
          <w:lang w:val="en-US" w:eastAsia="zh-CN" w:bidi="zh-CN"/>
        </w:rPr>
        <w:br w:type="textWrapping"/>
      </w:r>
      <w:r>
        <w:rPr>
          <w:rFonts w:hint="eastAsia" w:asciiTheme="minorEastAsia" w:hAnsiTheme="minorEastAsia" w:eastAsiaTheme="minorEastAsia" w:cstheme="minorEastAsia"/>
          <w:kern w:val="0"/>
          <w:sz w:val="21"/>
          <w:szCs w:val="21"/>
          <w:highlight w:val="none"/>
          <w:lang w:val="en-US" w:eastAsia="zh-CN" w:bidi="zh-CN"/>
        </w:rPr>
        <w:t>（3）保期满后10个工作日内付至审计价100%（无息）。</w:t>
      </w:r>
    </w:p>
    <w:p w14:paraId="7285585D">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eastAsia="zh-CN" w:bidi="zh-CN"/>
        </w:rPr>
      </w:pPr>
      <w:r>
        <w:rPr>
          <w:rFonts w:hint="eastAsia" w:asciiTheme="minorEastAsia" w:hAnsiTheme="minorEastAsia" w:eastAsiaTheme="minorEastAsia" w:cstheme="minorEastAsia"/>
          <w:kern w:val="0"/>
          <w:sz w:val="21"/>
          <w:szCs w:val="21"/>
          <w:highlight w:val="none"/>
          <w:lang w:val="en-US" w:eastAsia="zh-CN" w:bidi="zh-CN"/>
        </w:rPr>
        <w:t>注：（1）采购人每次付款前，中标供应商应先行提供符合法律的等额发票，否则采购人有权拒绝付款；</w:t>
      </w:r>
      <w:r>
        <w:rPr>
          <w:rFonts w:hint="eastAsia" w:asciiTheme="minorEastAsia" w:hAnsiTheme="minorEastAsia" w:eastAsiaTheme="minorEastAsia" w:cstheme="minorEastAsia"/>
          <w:kern w:val="0"/>
          <w:sz w:val="21"/>
          <w:szCs w:val="21"/>
          <w:highlight w:val="none"/>
          <w:lang w:val="en-US" w:eastAsia="zh-CN" w:bidi="zh-CN"/>
        </w:rPr>
        <w:br w:type="textWrapping"/>
      </w:r>
      <w:r>
        <w:rPr>
          <w:rFonts w:hint="eastAsia" w:asciiTheme="minorEastAsia" w:hAnsiTheme="minorEastAsia" w:eastAsiaTheme="minorEastAsia" w:cstheme="minorEastAsia"/>
          <w:kern w:val="0"/>
          <w:sz w:val="21"/>
          <w:szCs w:val="21"/>
          <w:highlight w:val="none"/>
          <w:lang w:val="en-US" w:eastAsia="zh-CN" w:bidi="zh-CN"/>
        </w:rPr>
        <w:t xml:space="preserve"> （2)</w:t>
      </w:r>
      <w:r>
        <w:rPr>
          <w:rFonts w:hint="eastAsia" w:asciiTheme="minorEastAsia" w:hAnsiTheme="minorEastAsia" w:eastAsiaTheme="minorEastAsia" w:cstheme="minorEastAsia"/>
          <w:kern w:val="0"/>
          <w:sz w:val="21"/>
          <w:szCs w:val="21"/>
          <w:highlight w:val="none"/>
          <w:lang w:val="zh-CN" w:eastAsia="zh-CN" w:bidi="zh-CN"/>
        </w:rPr>
        <w:t>竣工结算审减额超过承包方报审额15%以上的</w:t>
      </w:r>
      <w:r>
        <w:rPr>
          <w:rFonts w:hint="eastAsia" w:ascii="宋体" w:hAnsi="宋体" w:eastAsia="宋体" w:cs="宋体"/>
          <w:kern w:val="0"/>
          <w:sz w:val="21"/>
          <w:szCs w:val="21"/>
          <w:highlight w:val="none"/>
          <w:lang w:val="zh-CN" w:eastAsia="zh-CN" w:bidi="zh-CN"/>
        </w:rPr>
        <w:t>，所有结算审计费用由施工方承担。</w:t>
      </w:r>
    </w:p>
    <w:p w14:paraId="6C543656">
      <w:pPr>
        <w:keepNext w:val="0"/>
        <w:keepLines w:val="0"/>
        <w:pageBreakBefore w:val="0"/>
        <w:widowControl w:val="0"/>
        <w:shd w:val="clear"/>
        <w:kinsoku/>
        <w:wordWrap/>
        <w:overflowPunct/>
        <w:topLinePunct w:val="0"/>
        <w:bidi w:val="0"/>
        <w:spacing w:line="480" w:lineRule="exact"/>
        <w:ind w:firstLine="210" w:firstLineChars="100"/>
        <w:jc w:val="left"/>
        <w:textAlignment w:val="auto"/>
        <w:rPr>
          <w:rFonts w:hint="eastAsia" w:ascii="宋体" w:hAnsi="宋体" w:eastAsia="宋体" w:cs="宋体"/>
          <w:kern w:val="0"/>
          <w:sz w:val="21"/>
          <w:szCs w:val="21"/>
          <w:highlight w:val="none"/>
          <w:lang w:val="zh-CN" w:eastAsia="zh-CN" w:bidi="zh-CN"/>
        </w:rPr>
      </w:pPr>
      <w:r>
        <w:rPr>
          <w:rFonts w:hint="eastAsia" w:ascii="宋体" w:hAnsi="宋体" w:cs="宋体"/>
          <w:kern w:val="0"/>
          <w:sz w:val="21"/>
          <w:szCs w:val="21"/>
          <w:highlight w:val="none"/>
          <w:lang w:val="en-US" w:eastAsia="zh-CN" w:bidi="zh-CN"/>
        </w:rPr>
        <w:t>(3)</w:t>
      </w:r>
      <w:r>
        <w:rPr>
          <w:rFonts w:hint="eastAsia" w:ascii="宋体" w:hAnsi="宋体" w:eastAsia="宋体" w:cs="宋体"/>
          <w:kern w:val="0"/>
          <w:sz w:val="21"/>
          <w:szCs w:val="21"/>
          <w:highlight w:val="none"/>
          <w:lang w:val="zh-CN" w:eastAsia="zh-CN" w:bidi="zh-CN"/>
        </w:rPr>
        <w:t>建设工程报结算审计时，结算送审价不得超过合同总价的10%，超过10%的工程项目不予审计。</w:t>
      </w:r>
    </w:p>
    <w:p w14:paraId="3CA6FF0B">
      <w:pPr>
        <w:keepNext w:val="0"/>
        <w:keepLines w:val="0"/>
        <w:pageBreakBefore w:val="0"/>
        <w:widowControl w:val="0"/>
        <w:shd w:val="clear"/>
        <w:kinsoku/>
        <w:wordWrap/>
        <w:overflowPunct/>
        <w:topLinePunct w:val="0"/>
        <w:bidi w:val="0"/>
        <w:spacing w:line="480" w:lineRule="exact"/>
        <w:jc w:val="left"/>
        <w:textAlignment w:val="auto"/>
        <w:rPr>
          <w:rFonts w:hint="eastAsia" w:ascii="宋体" w:hAnsi="宋体" w:eastAsia="宋体" w:cs="宋体"/>
          <w:kern w:val="0"/>
          <w:sz w:val="21"/>
          <w:szCs w:val="21"/>
          <w:highlight w:val="none"/>
          <w:lang w:val="zh-CN" w:eastAsia="zh-CN" w:bidi="zh-CN"/>
        </w:rPr>
      </w:pPr>
      <w:r>
        <w:rPr>
          <w:rFonts w:hint="eastAsia" w:ascii="宋体" w:hAnsi="宋体" w:cs="宋体"/>
          <w:kern w:val="0"/>
          <w:sz w:val="21"/>
          <w:szCs w:val="21"/>
          <w:highlight w:val="none"/>
          <w:lang w:val="en-US" w:eastAsia="zh-CN" w:bidi="zh-CN"/>
        </w:rPr>
        <w:t xml:space="preserve">3.8 </w:t>
      </w:r>
      <w:r>
        <w:rPr>
          <w:rFonts w:hint="eastAsia" w:ascii="宋体" w:hAnsi="宋体" w:eastAsia="宋体" w:cs="宋体"/>
          <w:kern w:val="0"/>
          <w:sz w:val="21"/>
          <w:szCs w:val="21"/>
          <w:highlight w:val="none"/>
          <w:lang w:val="zh-CN" w:eastAsia="zh-CN" w:bidi="zh-CN"/>
        </w:rPr>
        <w:t>技术规范：执行国家和行业最新规范。</w:t>
      </w:r>
    </w:p>
    <w:p w14:paraId="106EB792">
      <w:pPr>
        <w:keepNext w:val="0"/>
        <w:keepLines w:val="0"/>
        <w:pageBreakBefore w:val="0"/>
        <w:widowControl w:val="0"/>
        <w:shd w:val="clear"/>
        <w:kinsoku/>
        <w:wordWrap/>
        <w:overflowPunct/>
        <w:topLinePunct w:val="0"/>
        <w:bidi w:val="0"/>
        <w:spacing w:line="480" w:lineRule="exact"/>
        <w:jc w:val="left"/>
        <w:textAlignment w:val="auto"/>
        <w:rPr>
          <w:rFonts w:hint="eastAsia" w:ascii="宋体" w:hAnsi="宋体" w:eastAsia="宋体" w:cs="宋体"/>
          <w:kern w:val="0"/>
          <w:sz w:val="21"/>
          <w:szCs w:val="21"/>
          <w:highlight w:val="none"/>
          <w:lang w:val="zh-CN" w:eastAsia="zh-CN" w:bidi="zh-CN"/>
        </w:rPr>
      </w:pPr>
      <w:r>
        <w:rPr>
          <w:rFonts w:hint="eastAsia" w:ascii="宋体" w:hAnsi="宋体" w:cs="宋体"/>
          <w:kern w:val="0"/>
          <w:sz w:val="21"/>
          <w:szCs w:val="21"/>
          <w:highlight w:val="none"/>
          <w:lang w:val="en-US" w:eastAsia="zh-CN" w:bidi="zh-CN"/>
        </w:rPr>
        <w:t xml:space="preserve">3.9 </w:t>
      </w:r>
      <w:r>
        <w:rPr>
          <w:rFonts w:hint="eastAsia" w:ascii="宋体" w:hAnsi="宋体" w:eastAsia="宋体" w:cs="宋体"/>
          <w:kern w:val="0"/>
          <w:sz w:val="21"/>
          <w:szCs w:val="21"/>
          <w:highlight w:val="none"/>
          <w:lang w:val="zh-CN" w:eastAsia="zh-CN" w:bidi="zh-CN"/>
        </w:rPr>
        <w:t>安全要求：遵守国家、地方现行工程建设安全生产有关管理规定，严格按安全标准实行文明施工管理，并随时接受行政监督机构及其安全检查人员依法实施的监督检查。具体详见合同条款。</w:t>
      </w:r>
    </w:p>
    <w:p w14:paraId="0FA02717">
      <w:pPr>
        <w:keepNext w:val="0"/>
        <w:keepLines w:val="0"/>
        <w:pageBreakBefore w:val="0"/>
        <w:widowControl w:val="0"/>
        <w:shd w:val="clear"/>
        <w:kinsoku/>
        <w:wordWrap/>
        <w:overflowPunct/>
        <w:topLinePunct w:val="0"/>
        <w:bidi w:val="0"/>
        <w:spacing w:line="480" w:lineRule="exact"/>
        <w:jc w:val="left"/>
        <w:textAlignment w:val="auto"/>
        <w:rPr>
          <w:rFonts w:hint="eastAsia" w:ascii="宋体" w:hAnsi="宋体" w:eastAsia="宋体" w:cs="宋体"/>
          <w:kern w:val="0"/>
          <w:sz w:val="21"/>
          <w:szCs w:val="21"/>
          <w:highlight w:val="none"/>
          <w:lang w:val="zh-CN" w:eastAsia="zh-CN" w:bidi="zh-CN"/>
        </w:rPr>
      </w:pPr>
      <w:r>
        <w:rPr>
          <w:rFonts w:hint="eastAsia" w:ascii="宋体" w:hAnsi="宋体" w:cs="宋体"/>
          <w:kern w:val="0"/>
          <w:sz w:val="21"/>
          <w:szCs w:val="21"/>
          <w:highlight w:val="none"/>
          <w:lang w:val="en-US" w:eastAsia="zh-CN" w:bidi="zh-CN"/>
        </w:rPr>
        <w:t>3.</w:t>
      </w:r>
      <w:r>
        <w:rPr>
          <w:rFonts w:hint="eastAsia" w:ascii="宋体" w:hAnsi="宋体" w:eastAsia="宋体" w:cs="宋体"/>
          <w:kern w:val="0"/>
          <w:sz w:val="21"/>
          <w:szCs w:val="21"/>
          <w:highlight w:val="none"/>
          <w:lang w:val="en-US" w:eastAsia="zh-CN" w:bidi="zh-CN"/>
        </w:rPr>
        <w:t>10</w:t>
      </w:r>
      <w:r>
        <w:rPr>
          <w:rFonts w:hint="eastAsia" w:ascii="宋体" w:hAnsi="宋体" w:cs="宋体"/>
          <w:kern w:val="0"/>
          <w:sz w:val="21"/>
          <w:szCs w:val="21"/>
          <w:highlight w:val="none"/>
          <w:lang w:val="en-US" w:eastAsia="zh-CN" w:bidi="zh-CN"/>
        </w:rPr>
        <w:t xml:space="preserve"> </w:t>
      </w:r>
      <w:r>
        <w:rPr>
          <w:rFonts w:hint="eastAsia" w:ascii="宋体" w:hAnsi="宋体" w:eastAsia="宋体" w:cs="宋体"/>
          <w:kern w:val="0"/>
          <w:sz w:val="21"/>
          <w:szCs w:val="21"/>
          <w:highlight w:val="none"/>
          <w:lang w:val="zh-CN" w:eastAsia="zh-CN" w:bidi="zh-CN"/>
        </w:rPr>
        <w:t>承包人不得做出恶意低价竞标政府采购项目无意诚信履约，只是利用政府采购的低价优先原则，以报出不合理低价为手段，以占据低价优势或牟取中标为条件，以损害发包人利益和破坏正常采购秩序为代价的行为。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能参加对该项目重新开展的采购活动。采购人对供应商成交后放弃、拒签合同、违法转包分包，不按照承诺的品牌、型号、规格供货，不按照承诺的施工方案或质量施工，擅自改变工程量要求采购人增加款项等违法行为，除依据合同追究违约责任外，将同时向</w:t>
      </w:r>
      <w:r>
        <w:rPr>
          <w:rFonts w:hint="eastAsia" w:ascii="宋体" w:hAnsi="宋体" w:eastAsia="宋体" w:cs="宋体"/>
          <w:kern w:val="0"/>
          <w:sz w:val="21"/>
          <w:szCs w:val="21"/>
          <w:highlight w:val="none"/>
          <w:lang w:val="en-US" w:eastAsia="zh-CN" w:bidi="zh-CN"/>
        </w:rPr>
        <w:t>南京市</w:t>
      </w:r>
      <w:r>
        <w:rPr>
          <w:rFonts w:hint="eastAsia" w:ascii="宋体" w:hAnsi="宋体" w:eastAsia="宋体" w:cs="宋体"/>
          <w:kern w:val="0"/>
          <w:sz w:val="21"/>
          <w:szCs w:val="21"/>
          <w:highlight w:val="none"/>
          <w:lang w:val="zh-CN" w:eastAsia="zh-CN" w:bidi="zh-CN"/>
        </w:rPr>
        <w:t>财政局报告。由</w:t>
      </w:r>
      <w:r>
        <w:rPr>
          <w:rFonts w:hint="eastAsia" w:ascii="宋体" w:hAnsi="宋体" w:eastAsia="宋体" w:cs="宋体"/>
          <w:kern w:val="0"/>
          <w:sz w:val="21"/>
          <w:szCs w:val="21"/>
          <w:highlight w:val="none"/>
          <w:lang w:val="en-US" w:eastAsia="zh-CN" w:bidi="zh-CN"/>
        </w:rPr>
        <w:t>南京市</w:t>
      </w:r>
      <w:r>
        <w:rPr>
          <w:rFonts w:hint="eastAsia" w:ascii="宋体" w:hAnsi="宋体" w:eastAsia="宋体" w:cs="宋体"/>
          <w:kern w:val="0"/>
          <w:sz w:val="21"/>
          <w:szCs w:val="21"/>
          <w:highlight w:val="none"/>
          <w:lang w:val="zh-CN" w:eastAsia="zh-CN" w:bidi="zh-CN"/>
        </w:rPr>
        <w:t>财政局按照《政府采购法》第七十七条第一款予以罚款，列入不良行为记录名单，在一至三年内禁止参加政府采购活动，并予以通报。</w:t>
      </w:r>
    </w:p>
    <w:p w14:paraId="32E07D6A">
      <w:pPr>
        <w:keepNext w:val="0"/>
        <w:keepLines w:val="0"/>
        <w:pageBreakBefore w:val="0"/>
        <w:widowControl w:val="0"/>
        <w:shd w:val="clear"/>
        <w:kinsoku/>
        <w:wordWrap/>
        <w:overflowPunct/>
        <w:topLinePunct w:val="0"/>
        <w:bidi w:val="0"/>
        <w:spacing w:line="480" w:lineRule="exact"/>
        <w:jc w:val="left"/>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w:t>
      </w:r>
      <w:r>
        <w:rPr>
          <w:rFonts w:hint="eastAsia" w:ascii="宋体" w:hAnsi="宋体" w:cs="宋体"/>
          <w:kern w:val="0"/>
          <w:sz w:val="21"/>
          <w:szCs w:val="21"/>
          <w:highlight w:val="none"/>
          <w:lang w:val="en-US" w:eastAsia="zh-CN" w:bidi="zh-CN"/>
        </w:rPr>
        <w:t>3.</w:t>
      </w:r>
      <w:r>
        <w:rPr>
          <w:rFonts w:hint="eastAsia" w:ascii="宋体" w:hAnsi="宋体" w:eastAsia="宋体" w:cs="宋体"/>
          <w:kern w:val="0"/>
          <w:sz w:val="21"/>
          <w:szCs w:val="21"/>
          <w:highlight w:val="none"/>
          <w:lang w:val="zh-CN" w:eastAsia="zh-CN" w:bidi="zh-CN"/>
        </w:rPr>
        <w:t>1</w:t>
      </w:r>
      <w:r>
        <w:rPr>
          <w:rFonts w:hint="eastAsia" w:ascii="宋体" w:hAnsi="宋体" w:cs="宋体"/>
          <w:kern w:val="0"/>
          <w:sz w:val="21"/>
          <w:szCs w:val="21"/>
          <w:highlight w:val="none"/>
          <w:lang w:val="en-US" w:eastAsia="zh-CN" w:bidi="zh-CN"/>
        </w:rPr>
        <w:t xml:space="preserve">5 </w:t>
      </w:r>
      <w:r>
        <w:rPr>
          <w:rFonts w:hint="eastAsia" w:ascii="宋体" w:hAnsi="宋体" w:eastAsia="宋体" w:cs="宋体"/>
          <w:kern w:val="0"/>
          <w:sz w:val="21"/>
          <w:szCs w:val="21"/>
          <w:highlight w:val="none"/>
          <w:lang w:val="zh-CN" w:eastAsia="zh-CN" w:bidi="zh-CN"/>
        </w:rPr>
        <w:t>为避免供应商非理性报价、防范恶意低价谋取成交影响项目实施，磋商小组在认为供应商最终报价明显低于其他实质响应供应商报价、有可能影响施工质量、难以诚信履约时，可以要求供应商在现场合理的时间内提供书面说明，内容包括但不限于其最后报价与首次报价差额的原因、具体可落实环节和理由等。供应商不能按磋商小组要求说明报价合理性的，磋商小组可以将其作为无效响应。</w:t>
      </w:r>
    </w:p>
    <w:p w14:paraId="5B1CE6F8">
      <w:pPr>
        <w:keepNext w:val="0"/>
        <w:keepLines w:val="0"/>
        <w:pageBreakBefore w:val="0"/>
        <w:widowControl w:val="0"/>
        <w:shd w:val="clear"/>
        <w:kinsoku/>
        <w:wordWrap/>
        <w:overflowPunct/>
        <w:topLinePunct w:val="0"/>
        <w:bidi w:val="0"/>
        <w:spacing w:line="480" w:lineRule="exact"/>
        <w:ind w:firstLine="480"/>
        <w:jc w:val="left"/>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说明的内容包括但不限于：其最后报价与首次报价差额的原因、具体可落实环节和理由（包括综合单价的合理性分析、成本的计算公式、材料市场价格分析及相关证明资料）、后期的履约保证等。</w:t>
      </w:r>
    </w:p>
    <w:p w14:paraId="5D0B8715">
      <w:pPr>
        <w:shd w:val="clear"/>
        <w:spacing w:line="360" w:lineRule="auto"/>
        <w:ind w:firstLine="480"/>
        <w:jc w:val="left"/>
        <w:rPr>
          <w:rFonts w:hint="eastAsia" w:ascii="宋体" w:hAnsi="宋体" w:eastAsia="宋体" w:cs="宋体"/>
          <w:kern w:val="0"/>
          <w:sz w:val="22"/>
          <w:szCs w:val="22"/>
          <w:highlight w:val="none"/>
          <w:lang w:val="zh-CN" w:eastAsia="zh-CN" w:bidi="zh-CN"/>
        </w:rPr>
      </w:pPr>
      <w:r>
        <w:rPr>
          <w:rFonts w:hint="eastAsia" w:ascii="宋体" w:hAnsi="宋体" w:eastAsia="宋体" w:cs="宋体"/>
          <w:b/>
          <w:bCs/>
          <w:kern w:val="0"/>
          <w:sz w:val="22"/>
          <w:szCs w:val="22"/>
          <w:highlight w:val="none"/>
          <w:lang w:val="zh-CN" w:eastAsia="zh-CN" w:bidi="zh-CN"/>
        </w:rPr>
        <w:t>特别说明：本章所有内容均为实质性要求，不接受负偏离（负偏离作无效标处理）</w:t>
      </w:r>
    </w:p>
    <w:p w14:paraId="6AE433F0">
      <w:pPr>
        <w:widowControl w:val="0"/>
        <w:shd w:val="clear"/>
        <w:spacing w:before="42" w:line="278" w:lineRule="auto"/>
        <w:ind w:right="312"/>
        <w:rPr>
          <w:rFonts w:hint="default"/>
          <w:highlight w:val="none"/>
          <w:lang w:val="en-US"/>
        </w:rPr>
        <w:sectPr>
          <w:footerReference r:id="rId7" w:type="default"/>
          <w:pgSz w:w="11906" w:h="16838"/>
          <w:pgMar w:top="1418" w:right="1418" w:bottom="1418" w:left="1418" w:header="851" w:footer="680" w:gutter="0"/>
          <w:pgNumType w:fmt="decimal" w:start="1"/>
          <w:cols w:space="720" w:num="1"/>
          <w:docGrid w:linePitch="290" w:charSpace="0"/>
        </w:sectPr>
      </w:pPr>
    </w:p>
    <w:p w14:paraId="0587BDE9">
      <w:pPr>
        <w:shd w:val="clear"/>
        <w:spacing w:line="360" w:lineRule="auto"/>
        <w:ind w:firstLine="422" w:firstLineChars="200"/>
        <w:jc w:val="left"/>
        <w:rPr>
          <w:rFonts w:hint="eastAsia" w:ascii="宋体" w:hAnsi="宋体" w:cs="Times New Roman"/>
          <w:b/>
          <w:bCs/>
          <w:szCs w:val="22"/>
          <w:highlight w:val="none"/>
          <w14:ligatures w14:val="standardContextual"/>
        </w:rPr>
      </w:pPr>
      <w:r>
        <w:rPr>
          <w:rFonts w:hint="eastAsia" w:ascii="宋体" w:hAnsi="宋体" w:cs="Times New Roman"/>
          <w:b/>
          <w:bCs/>
          <w:szCs w:val="22"/>
          <w:highlight w:val="none"/>
          <w14:ligatures w14:val="standardContextual"/>
        </w:rPr>
        <w:t xml:space="preserve"> </w:t>
      </w:r>
    </w:p>
    <w:p w14:paraId="16E4A5D9">
      <w:pPr>
        <w:shd w:val="clear"/>
        <w:spacing w:line="240" w:lineRule="auto"/>
        <w:ind w:firstLine="0" w:firstLineChars="0"/>
        <w:jc w:val="left"/>
        <w:rPr>
          <w:rFonts w:hint="eastAsia" w:ascii="宋体" w:hAnsi="宋体" w:cs="Times New Roman"/>
          <w:b/>
          <w:bCs/>
          <w:szCs w:val="22"/>
          <w:highlight w:val="none"/>
          <w14:ligatures w14:val="standardContextual"/>
        </w:rPr>
      </w:pPr>
    </w:p>
    <w:p w14:paraId="0D238664">
      <w:pPr>
        <w:shd w:val="clear"/>
        <w:spacing w:line="360" w:lineRule="auto"/>
        <w:ind w:firstLine="420"/>
        <w:rPr>
          <w:rFonts w:ascii="仿宋_GB2312" w:hAnsi="Calibri" w:eastAsia="仿宋_GB2312" w:cs="Times New Roman"/>
          <w:color w:val="000000" w:themeColor="text1"/>
          <w:szCs w:val="21"/>
          <w:highlight w:val="none"/>
          <w14:textFill>
            <w14:solidFill>
              <w14:schemeClr w14:val="tx1"/>
            </w14:solidFill>
          </w14:textFill>
        </w:rPr>
      </w:pPr>
    </w:p>
    <w:p w14:paraId="26E77542">
      <w:pPr>
        <w:shd w:val="clear"/>
        <w:spacing w:line="480" w:lineRule="exact"/>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188A3108">
      <w:pPr>
        <w:shd w:val="clear"/>
        <w:spacing w:line="480" w:lineRule="exact"/>
        <w:ind w:firstLine="420" w:firstLineChars="200"/>
        <w:rPr>
          <w:rFonts w:ascii="仿宋_GB2312" w:hAnsi="Calibri" w:eastAsia="仿宋_GB2312" w:cs="Times New Roman"/>
          <w:color w:val="000000" w:themeColor="text1"/>
          <w:szCs w:val="21"/>
          <w:highlight w:val="none"/>
          <w14:textFill>
            <w14:solidFill>
              <w14:schemeClr w14:val="tx1"/>
            </w14:solidFill>
          </w14:textFill>
        </w:rPr>
      </w:pPr>
    </w:p>
    <w:p w14:paraId="0887C166">
      <w:pPr>
        <w:shd w:val="clea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5B131017">
      <w:pPr>
        <w:pStyle w:val="2"/>
        <w:shd w:val="clear"/>
        <w:ind w:firstLine="482"/>
        <w:rPr>
          <w:rFonts w:hint="eastAsia" w:cs="宋体"/>
          <w:bCs/>
          <w:color w:val="000000" w:themeColor="text1"/>
          <w:sz w:val="48"/>
          <w:szCs w:val="48"/>
          <w:highlight w:val="none"/>
          <w14:textFill>
            <w14:solidFill>
              <w14:schemeClr w14:val="tx1"/>
            </w14:solidFill>
          </w14:textFill>
        </w:rPr>
      </w:pPr>
      <w:bookmarkStart w:id="113" w:name="_Toc2671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第五章 </w:t>
      </w:r>
      <w:bookmarkEnd w:id="9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合同条款及格式</w:t>
      </w:r>
      <w:bookmarkEnd w:id="88"/>
      <w:bookmarkEnd w:id="96"/>
      <w:bookmarkEnd w:id="97"/>
      <w:bookmarkEnd w:id="113"/>
      <w:bookmarkStart w:id="114" w:name="_Toc17926_WPSOffice_Level1"/>
      <w:bookmarkStart w:id="115" w:name="_Toc14477"/>
      <w:bookmarkStart w:id="116" w:name="_Toc42519009"/>
      <w:bookmarkStart w:id="117" w:name="_Toc21539_WPSOffice_Level1"/>
    </w:p>
    <w:p w14:paraId="055D1861">
      <w:pPr>
        <w:shd w:val="clear"/>
        <w:spacing w:after="120" w:line="25" w:lineRule="atLeast"/>
        <w:ind w:firstLine="221" w:firstLineChars="100"/>
        <w:rPr>
          <w:rFonts w:hint="eastAsia" w:ascii="宋体" w:hAnsi="宋体" w:cs="宋体"/>
          <w:b/>
          <w:bCs/>
          <w:sz w:val="22"/>
          <w:szCs w:val="22"/>
          <w:highlight w:val="none"/>
        </w:rPr>
      </w:pPr>
      <w:bookmarkStart w:id="118" w:name="_Toc24418"/>
    </w:p>
    <w:p w14:paraId="5F7CE26E">
      <w:pPr>
        <w:widowControl/>
        <w:shd w:val="clear" w:color="auto"/>
        <w:spacing w:line="25" w:lineRule="atLeast"/>
        <w:jc w:val="center"/>
        <w:rPr>
          <w:rFonts w:hint="eastAsia" w:ascii="宋体" w:hAnsi="宋体" w:cs="Times New Roman"/>
          <w:b/>
          <w:bCs/>
          <w:kern w:val="0"/>
          <w:sz w:val="48"/>
          <w:szCs w:val="48"/>
          <w:highlight w:val="none"/>
        </w:rPr>
      </w:pPr>
      <w:r>
        <w:rPr>
          <w:rFonts w:hint="eastAsia" w:ascii="宋体" w:hAnsi="宋体" w:cs="Times New Roman"/>
          <w:b/>
          <w:bCs/>
          <w:kern w:val="0"/>
          <w:sz w:val="48"/>
          <w:szCs w:val="48"/>
          <w:highlight w:val="none"/>
        </w:rPr>
        <w:t>合同</w:t>
      </w:r>
    </w:p>
    <w:p w14:paraId="550781B5">
      <w:pPr>
        <w:shd w:val="clear"/>
        <w:ind w:firstLine="315"/>
        <w:jc w:val="left"/>
        <w:rPr>
          <w:rFonts w:hint="eastAsia" w:ascii="黑体" w:hAnsi="黑体" w:eastAsia="黑体" w:cs="黑体"/>
          <w:kern w:val="0"/>
          <w:sz w:val="32"/>
          <w:szCs w:val="22"/>
          <w:highlight w:val="none"/>
          <w:lang w:val="zh-CN" w:bidi="zh-CN"/>
        </w:rPr>
      </w:pPr>
      <w:r>
        <w:rPr>
          <w:rFonts w:hint="eastAsia" w:ascii="宋体" w:hAnsi="宋体" w:cs="Times New Roman"/>
          <w:b/>
          <w:bCs/>
          <w:kern w:val="0"/>
          <w:szCs w:val="21"/>
          <w:highlight w:val="none"/>
        </w:rPr>
        <w:t>            </w:t>
      </w:r>
      <w:r>
        <w:rPr>
          <w:rFonts w:hint="eastAsia" w:ascii="宋体" w:hAnsi="宋体" w:cs="Times New Roman"/>
          <w:kern w:val="0"/>
          <w:szCs w:val="21"/>
          <w:highlight w:val="none"/>
        </w:rPr>
        <w:t> </w:t>
      </w:r>
      <w:r>
        <w:rPr>
          <w:rFonts w:hint="eastAsia" w:ascii="黑体" w:hAnsi="黑体" w:eastAsia="黑体" w:cs="黑体"/>
          <w:kern w:val="0"/>
          <w:sz w:val="32"/>
          <w:szCs w:val="22"/>
          <w:highlight w:val="none"/>
          <w:lang w:val="zh-CN" w:bidi="zh-CN"/>
        </w:rPr>
        <w:t>（仅供参考）</w:t>
      </w:r>
    </w:p>
    <w:p w14:paraId="1C07DE3D">
      <w:pPr>
        <w:widowControl/>
        <w:shd w:val="clear" w:color="auto"/>
        <w:spacing w:line="25" w:lineRule="atLeast"/>
        <w:ind w:firstLine="315"/>
        <w:rPr>
          <w:rFonts w:hint="eastAsia" w:ascii="宋体" w:hAnsi="宋体" w:cs="Times New Roman"/>
          <w:kern w:val="0"/>
          <w:szCs w:val="21"/>
          <w:highlight w:val="none"/>
        </w:rPr>
      </w:pPr>
    </w:p>
    <w:p w14:paraId="74E589B2">
      <w:pPr>
        <w:widowControl/>
        <w:shd w:val="clear" w:color="auto"/>
        <w:spacing w:line="25" w:lineRule="atLeast"/>
        <w:ind w:firstLine="315"/>
        <w:rPr>
          <w:rFonts w:hint="eastAsia" w:ascii="宋体" w:hAnsi="宋体" w:cs="Times New Roman"/>
          <w:kern w:val="0"/>
          <w:szCs w:val="21"/>
          <w:highlight w:val="none"/>
        </w:rPr>
      </w:pPr>
      <w:r>
        <w:rPr>
          <w:rFonts w:hint="eastAsia" w:ascii="宋体" w:hAnsi="宋体" w:cs="Times New Roman"/>
          <w:kern w:val="0"/>
          <w:szCs w:val="21"/>
          <w:highlight w:val="none"/>
        </w:rPr>
        <w:t> </w:t>
      </w:r>
    </w:p>
    <w:p w14:paraId="24E07311">
      <w:pPr>
        <w:widowControl/>
        <w:shd w:val="clear" w:color="auto"/>
        <w:spacing w:line="25" w:lineRule="atLeast"/>
        <w:ind w:firstLine="315"/>
        <w:rPr>
          <w:rFonts w:hint="eastAsia" w:ascii="宋体" w:hAnsi="宋体" w:cs="Times New Roman"/>
          <w:kern w:val="0"/>
          <w:szCs w:val="21"/>
          <w:highlight w:val="none"/>
        </w:rPr>
      </w:pPr>
      <w:r>
        <w:rPr>
          <w:rFonts w:hint="eastAsia" w:ascii="宋体" w:hAnsi="宋体" w:cs="Times New Roman"/>
          <w:b/>
          <w:bCs/>
          <w:kern w:val="0"/>
          <w:szCs w:val="21"/>
          <w:highlight w:val="none"/>
        </w:rPr>
        <w:t> </w:t>
      </w:r>
    </w:p>
    <w:p w14:paraId="51AB2153">
      <w:pPr>
        <w:widowControl/>
        <w:shd w:val="clear" w:color="auto"/>
        <w:spacing w:line="25" w:lineRule="atLeast"/>
        <w:ind w:firstLine="315"/>
        <w:rPr>
          <w:rFonts w:hint="eastAsia" w:ascii="宋体" w:hAnsi="宋体" w:cs="Times New Roman"/>
          <w:b/>
          <w:bCs/>
          <w:kern w:val="0"/>
          <w:szCs w:val="21"/>
          <w:highlight w:val="none"/>
        </w:rPr>
      </w:pPr>
      <w:r>
        <w:rPr>
          <w:rFonts w:hint="eastAsia" w:ascii="宋体" w:hAnsi="宋体" w:cs="Times New Roman"/>
          <w:b/>
          <w:bCs/>
          <w:kern w:val="0"/>
          <w:szCs w:val="21"/>
          <w:highlight w:val="none"/>
        </w:rPr>
        <w:t> </w:t>
      </w:r>
    </w:p>
    <w:p w14:paraId="2D2A584D">
      <w:pPr>
        <w:widowControl/>
        <w:shd w:val="clear" w:color="auto"/>
        <w:spacing w:line="25" w:lineRule="atLeast"/>
        <w:ind w:firstLine="315"/>
        <w:rPr>
          <w:rFonts w:hint="eastAsia" w:ascii="宋体" w:hAnsi="宋体" w:cs="Times New Roman"/>
          <w:b/>
          <w:bCs/>
          <w:kern w:val="0"/>
          <w:szCs w:val="21"/>
          <w:highlight w:val="none"/>
        </w:rPr>
      </w:pPr>
    </w:p>
    <w:p w14:paraId="4C8A5212">
      <w:pPr>
        <w:widowControl/>
        <w:shd w:val="clear" w:color="auto"/>
        <w:spacing w:line="480" w:lineRule="exact"/>
        <w:rPr>
          <w:rFonts w:hint="eastAsia" w:ascii="宋体" w:hAnsi="宋体" w:cs="Times New Roman"/>
          <w:kern w:val="0"/>
          <w:szCs w:val="21"/>
          <w:highlight w:val="none"/>
        </w:rPr>
      </w:pPr>
    </w:p>
    <w:p w14:paraId="717B5D0B">
      <w:pPr>
        <w:widowControl/>
        <w:shd w:val="clear" w:color="auto"/>
        <w:spacing w:line="480" w:lineRule="exact"/>
        <w:ind w:left="1260" w:leftChars="600" w:firstLine="315"/>
        <w:rPr>
          <w:rFonts w:hint="eastAsia" w:ascii="宋体" w:hAnsi="宋体" w:cs="Times New Roman"/>
          <w:kern w:val="0"/>
          <w:szCs w:val="21"/>
          <w:highlight w:val="none"/>
        </w:rPr>
      </w:pPr>
      <w:r>
        <w:rPr>
          <w:rFonts w:hint="eastAsia" w:ascii="宋体" w:hAnsi="宋体" w:cs="Times New Roman"/>
          <w:b/>
          <w:bCs/>
          <w:kern w:val="0"/>
          <w:szCs w:val="21"/>
          <w:highlight w:val="none"/>
        </w:rPr>
        <w:t> </w:t>
      </w:r>
    </w:p>
    <w:p w14:paraId="24AD6D67">
      <w:pPr>
        <w:widowControl/>
        <w:shd w:val="clear" w:color="auto"/>
        <w:spacing w:line="480" w:lineRule="exact"/>
        <w:ind w:left="1260" w:leftChars="600" w:firstLine="1918"/>
        <w:rPr>
          <w:rFonts w:hint="eastAsia" w:ascii="宋体" w:hAnsi="宋体" w:cs="Times New Roman"/>
          <w:kern w:val="0"/>
          <w:szCs w:val="21"/>
          <w:highlight w:val="none"/>
        </w:rPr>
      </w:pPr>
      <w:r>
        <w:rPr>
          <w:rFonts w:hint="eastAsia" w:ascii="宋体" w:hAnsi="宋体" w:cs="Times New Roman"/>
          <w:b/>
          <w:bCs/>
          <w:kern w:val="0"/>
          <w:szCs w:val="21"/>
          <w:highlight w:val="none"/>
        </w:rPr>
        <w:t>合同编号 ：</w:t>
      </w:r>
      <w:r>
        <w:rPr>
          <w:rFonts w:hint="eastAsia" w:ascii="宋体" w:hAnsi="宋体" w:cs="Times New Roman"/>
          <w:b/>
          <w:bCs/>
          <w:kern w:val="0"/>
          <w:szCs w:val="21"/>
          <w:highlight w:val="none"/>
          <w:u w:val="single"/>
        </w:rPr>
        <w:t>          </w:t>
      </w:r>
    </w:p>
    <w:p w14:paraId="2C4ACC61">
      <w:pPr>
        <w:widowControl/>
        <w:shd w:val="clear" w:color="auto"/>
        <w:spacing w:line="480" w:lineRule="exact"/>
        <w:ind w:left="1260" w:leftChars="600" w:firstLine="1918"/>
        <w:rPr>
          <w:rFonts w:hint="eastAsia" w:ascii="宋体" w:hAnsi="宋体" w:cs="Times New Roman"/>
          <w:kern w:val="0"/>
          <w:szCs w:val="21"/>
          <w:highlight w:val="none"/>
        </w:rPr>
      </w:pPr>
      <w:r>
        <w:rPr>
          <w:rFonts w:hint="eastAsia" w:ascii="宋体" w:hAnsi="宋体" w:cs="Times New Roman"/>
          <w:b/>
          <w:bCs/>
          <w:kern w:val="0"/>
          <w:szCs w:val="21"/>
          <w:highlight w:val="none"/>
        </w:rPr>
        <w:t>项目名称 ：</w:t>
      </w:r>
      <w:r>
        <w:rPr>
          <w:rFonts w:hint="eastAsia" w:ascii="宋体" w:hAnsi="宋体" w:cs="Times New Roman"/>
          <w:b/>
          <w:bCs/>
          <w:kern w:val="0"/>
          <w:szCs w:val="21"/>
          <w:highlight w:val="none"/>
          <w:u w:val="single"/>
        </w:rPr>
        <w:t>          </w:t>
      </w:r>
    </w:p>
    <w:p w14:paraId="4C8F7569">
      <w:pPr>
        <w:widowControl/>
        <w:shd w:val="clear" w:color="auto"/>
        <w:spacing w:line="480" w:lineRule="exact"/>
        <w:ind w:left="1260" w:leftChars="600" w:firstLine="1918"/>
        <w:rPr>
          <w:rFonts w:hint="eastAsia" w:ascii="宋体" w:hAnsi="宋体" w:cs="Times New Roman"/>
          <w:kern w:val="0"/>
          <w:szCs w:val="21"/>
          <w:highlight w:val="none"/>
        </w:rPr>
      </w:pPr>
      <w:r>
        <w:rPr>
          <w:rFonts w:hint="eastAsia" w:ascii="宋体" w:hAnsi="宋体" w:cs="Times New Roman"/>
          <w:b/>
          <w:bCs/>
          <w:kern w:val="0"/>
          <w:szCs w:val="21"/>
          <w:highlight w:val="none"/>
        </w:rPr>
        <w:t>使用单位 ：</w:t>
      </w:r>
      <w:r>
        <w:rPr>
          <w:rFonts w:hint="eastAsia" w:ascii="宋体" w:hAnsi="宋体" w:cs="Times New Roman"/>
          <w:b/>
          <w:bCs/>
          <w:kern w:val="0"/>
          <w:szCs w:val="21"/>
          <w:highlight w:val="none"/>
          <w:u w:val="single"/>
        </w:rPr>
        <w:t>          </w:t>
      </w:r>
    </w:p>
    <w:p w14:paraId="3698249F">
      <w:pPr>
        <w:widowControl/>
        <w:shd w:val="clear" w:color="auto"/>
        <w:spacing w:line="480" w:lineRule="exact"/>
        <w:ind w:left="1260" w:leftChars="600" w:firstLine="1916"/>
        <w:rPr>
          <w:rFonts w:hint="eastAsia" w:ascii="宋体" w:hAnsi="宋体" w:cs="Times New Roman"/>
          <w:kern w:val="0"/>
          <w:szCs w:val="21"/>
          <w:highlight w:val="none"/>
        </w:rPr>
      </w:pPr>
      <w:r>
        <w:rPr>
          <w:rFonts w:hint="eastAsia" w:ascii="宋体" w:hAnsi="宋体" w:cs="Times New Roman"/>
          <w:b/>
          <w:bCs/>
          <w:kern w:val="0"/>
          <w:szCs w:val="21"/>
          <w:highlight w:val="none"/>
        </w:rPr>
        <w:t>供货单位 ：</w:t>
      </w:r>
      <w:r>
        <w:rPr>
          <w:rFonts w:hint="eastAsia" w:ascii="宋体" w:hAnsi="宋体" w:cs="Times New Roman"/>
          <w:b/>
          <w:bCs/>
          <w:kern w:val="0"/>
          <w:szCs w:val="21"/>
          <w:highlight w:val="none"/>
          <w:u w:val="single"/>
        </w:rPr>
        <w:t>          </w:t>
      </w:r>
    </w:p>
    <w:p w14:paraId="05C1BBAF">
      <w:pPr>
        <w:widowControl/>
        <w:shd w:val="clear" w:color="auto"/>
        <w:spacing w:line="480" w:lineRule="exact"/>
        <w:ind w:left="1260" w:leftChars="600" w:firstLine="1916"/>
        <w:rPr>
          <w:rFonts w:hint="eastAsia" w:ascii="宋体" w:hAnsi="宋体" w:cs="Times New Roman"/>
          <w:kern w:val="0"/>
          <w:szCs w:val="21"/>
          <w:highlight w:val="none"/>
        </w:rPr>
      </w:pPr>
      <w:r>
        <w:rPr>
          <w:rFonts w:hint="eastAsia" w:ascii="宋体" w:hAnsi="宋体" w:cs="Times New Roman"/>
          <w:b/>
          <w:bCs/>
          <w:kern w:val="0"/>
          <w:szCs w:val="21"/>
          <w:highlight w:val="none"/>
        </w:rPr>
        <w:t>签订日期 ：</w:t>
      </w:r>
      <w:r>
        <w:rPr>
          <w:rFonts w:hint="eastAsia" w:ascii="宋体" w:hAnsi="宋体" w:cs="Times New Roman"/>
          <w:b/>
          <w:bCs/>
          <w:kern w:val="0"/>
          <w:szCs w:val="21"/>
          <w:highlight w:val="none"/>
          <w:u w:val="single"/>
        </w:rPr>
        <w:t>          </w:t>
      </w:r>
    </w:p>
    <w:p w14:paraId="7449ECD5">
      <w:pPr>
        <w:widowControl/>
        <w:shd w:val="clear" w:color="auto"/>
        <w:spacing w:line="480" w:lineRule="exact"/>
        <w:rPr>
          <w:rFonts w:hint="eastAsia" w:ascii="宋体" w:hAnsi="宋体" w:cs="Times New Roman"/>
          <w:kern w:val="0"/>
          <w:szCs w:val="21"/>
          <w:highlight w:val="none"/>
        </w:rPr>
      </w:pPr>
      <w:r>
        <w:rPr>
          <w:rFonts w:hint="eastAsia" w:ascii="宋体" w:hAnsi="宋体" w:cs="Times New Roman"/>
          <w:kern w:val="0"/>
          <w:szCs w:val="21"/>
          <w:highlight w:val="none"/>
        </w:rPr>
        <w:t>      </w:t>
      </w:r>
      <w:r>
        <w:rPr>
          <w:rFonts w:hint="eastAsia" w:ascii="宋体" w:hAnsi="宋体" w:cs="Times New Roman"/>
          <w:b/>
          <w:bCs/>
          <w:kern w:val="0"/>
          <w:szCs w:val="21"/>
          <w:highlight w:val="none"/>
        </w:rPr>
        <w:t> </w:t>
      </w:r>
    </w:p>
    <w:p w14:paraId="530F936D">
      <w:pPr>
        <w:widowControl/>
        <w:shd w:val="clear" w:color="auto"/>
        <w:spacing w:line="480" w:lineRule="exact"/>
        <w:ind w:firstLine="2984"/>
        <w:rPr>
          <w:rFonts w:hint="eastAsia" w:ascii="宋体" w:hAnsi="宋体" w:cs="Times New Roman"/>
          <w:b/>
          <w:bCs/>
          <w:kern w:val="0"/>
          <w:szCs w:val="21"/>
          <w:highlight w:val="none"/>
        </w:rPr>
      </w:pPr>
      <w:r>
        <w:rPr>
          <w:rFonts w:hint="eastAsia" w:ascii="宋体" w:hAnsi="宋体" w:cs="Times New Roman"/>
          <w:b/>
          <w:bCs/>
          <w:kern w:val="0"/>
          <w:szCs w:val="21"/>
          <w:highlight w:val="none"/>
        </w:rPr>
        <w:t>  </w:t>
      </w:r>
    </w:p>
    <w:p w14:paraId="179793BE">
      <w:pPr>
        <w:shd w:val="clear"/>
        <w:spacing w:line="480" w:lineRule="exact"/>
        <w:ind w:firstLine="422" w:firstLineChars="200"/>
        <w:rPr>
          <w:rFonts w:hint="eastAsia" w:ascii="宋体" w:hAnsi="宋体" w:cs="Times New Roman"/>
          <w:b/>
          <w:bCs/>
          <w:kern w:val="0"/>
          <w:szCs w:val="21"/>
          <w:highlight w:val="none"/>
        </w:rPr>
      </w:pPr>
    </w:p>
    <w:p w14:paraId="2D0B9D04">
      <w:pPr>
        <w:shd w:val="clear"/>
        <w:spacing w:line="480" w:lineRule="exact"/>
        <w:rPr>
          <w:rFonts w:hint="eastAsia" w:ascii="宋体" w:hAnsi="宋体" w:cs="Times New Roman"/>
          <w:b/>
          <w:bCs/>
          <w:kern w:val="0"/>
          <w:szCs w:val="21"/>
          <w:highlight w:val="none"/>
        </w:rPr>
      </w:pPr>
    </w:p>
    <w:p w14:paraId="319376C0">
      <w:pPr>
        <w:shd w:val="clear"/>
        <w:spacing w:line="480" w:lineRule="exact"/>
        <w:rPr>
          <w:rFonts w:ascii="Times New Roman" w:hAnsi="Times New Roman" w:cs="Times New Roman"/>
          <w:szCs w:val="21"/>
          <w:highlight w:val="none"/>
        </w:rPr>
      </w:pPr>
    </w:p>
    <w:p w14:paraId="013F647E">
      <w:pPr>
        <w:widowControl/>
        <w:shd w:val="clear" w:color="auto"/>
        <w:spacing w:line="480" w:lineRule="exact"/>
        <w:ind w:firstLine="2984"/>
        <w:rPr>
          <w:rFonts w:hint="eastAsia" w:ascii="宋体" w:hAnsi="宋体" w:cs="Times New Roman"/>
          <w:b/>
          <w:bCs/>
          <w:kern w:val="0"/>
          <w:szCs w:val="21"/>
          <w:highlight w:val="none"/>
        </w:rPr>
      </w:pPr>
    </w:p>
    <w:p w14:paraId="77FEE6D9">
      <w:pPr>
        <w:widowControl/>
        <w:shd w:val="clear" w:color="auto"/>
        <w:spacing w:line="480" w:lineRule="exact"/>
        <w:ind w:firstLine="2984"/>
        <w:rPr>
          <w:rFonts w:hint="eastAsia" w:ascii="宋体" w:hAnsi="宋体" w:cs="Times New Roman"/>
          <w:b/>
          <w:bCs/>
          <w:kern w:val="0"/>
          <w:szCs w:val="21"/>
          <w:highlight w:val="none"/>
        </w:rPr>
      </w:pPr>
    </w:p>
    <w:p w14:paraId="08EB1211">
      <w:pPr>
        <w:shd w:val="clear"/>
        <w:rPr>
          <w:rFonts w:hint="eastAsia" w:ascii="宋体" w:hAnsi="宋体" w:cs="宋体"/>
          <w:szCs w:val="21"/>
          <w:highlight w:val="none"/>
          <w:lang w:val="zh-CN" w:bidi="zh-CN"/>
        </w:rPr>
      </w:pPr>
      <w:r>
        <w:rPr>
          <w:rFonts w:hint="eastAsia" w:ascii="宋体" w:hAnsi="宋体" w:cs="宋体"/>
          <w:szCs w:val="21"/>
          <w:highlight w:val="none"/>
          <w:lang w:val="zh-CN" w:bidi="zh-CN"/>
        </w:rPr>
        <w:br w:type="page"/>
      </w:r>
    </w:p>
    <w:p w14:paraId="3D20BF29">
      <w:pPr>
        <w:shd w:val="clear"/>
        <w:spacing w:line="480" w:lineRule="exact"/>
        <w:ind w:left="8" w:firstLine="480"/>
        <w:jc w:val="center"/>
        <w:rPr>
          <w:rFonts w:hint="eastAsia" w:ascii="宋体" w:hAnsi="宋体" w:cs="宋体"/>
          <w:szCs w:val="21"/>
          <w:highlight w:val="none"/>
          <w:lang w:val="zh-CN" w:bidi="zh-CN"/>
        </w:rPr>
      </w:pPr>
      <w:r>
        <w:rPr>
          <w:rFonts w:hint="eastAsia" w:ascii="宋体" w:hAnsi="宋体" w:cs="宋体"/>
          <w:szCs w:val="21"/>
          <w:highlight w:val="none"/>
          <w:lang w:val="zh-CN" w:bidi="zh-CN"/>
        </w:rPr>
        <w:t>第一部分 合同协议书</w:t>
      </w:r>
    </w:p>
    <w:p w14:paraId="2C526F72">
      <w:pPr>
        <w:shd w:val="clear"/>
        <w:spacing w:line="480" w:lineRule="exact"/>
        <w:jc w:val="left"/>
        <w:rPr>
          <w:rFonts w:hint="eastAsia" w:ascii="宋体" w:hAnsi="宋体" w:cs="宋体"/>
          <w:kern w:val="0"/>
          <w:szCs w:val="21"/>
          <w:highlight w:val="none"/>
          <w:u w:val="single"/>
          <w:lang w:bidi="zh-CN"/>
        </w:rPr>
      </w:pPr>
      <w:r>
        <w:rPr>
          <w:rFonts w:hint="eastAsia" w:ascii="宋体" w:hAnsi="宋体" w:cs="宋体"/>
          <w:kern w:val="0"/>
          <w:szCs w:val="21"/>
          <w:highlight w:val="none"/>
          <w:lang w:val="zh-CN" w:bidi="zh-CN"/>
        </w:rPr>
        <w:t>发包人（全称）：</w:t>
      </w:r>
      <w:r>
        <w:rPr>
          <w:rFonts w:hint="eastAsia" w:ascii="宋体" w:hAnsi="宋体" w:cs="宋体"/>
          <w:kern w:val="0"/>
          <w:szCs w:val="21"/>
          <w:highlight w:val="none"/>
          <w:u w:val="single"/>
          <w:lang w:val="zh-CN" w:bidi="zh-CN"/>
        </w:rPr>
        <w:t xml:space="preserve">南京市鼓楼区人民代表大会常务委员会办公室 </w:t>
      </w:r>
    </w:p>
    <w:p w14:paraId="718A434D">
      <w:pPr>
        <w:shd w:val="clear"/>
        <w:spacing w:line="480" w:lineRule="exact"/>
        <w:jc w:val="left"/>
        <w:rPr>
          <w:rFonts w:hint="default" w:ascii="宋体" w:hAnsi="宋体" w:cs="宋体"/>
          <w:kern w:val="0"/>
          <w:szCs w:val="21"/>
          <w:highlight w:val="none"/>
          <w:u w:val="single"/>
          <w:lang w:val="en-US" w:bidi="zh-CN"/>
        </w:rPr>
      </w:pPr>
      <w:r>
        <w:rPr>
          <w:rFonts w:hint="eastAsia" w:ascii="宋体" w:hAnsi="宋体" w:cs="宋体"/>
          <w:kern w:val="0"/>
          <w:szCs w:val="21"/>
          <w:highlight w:val="none"/>
          <w:lang w:val="zh-CN" w:bidi="zh-CN"/>
        </w:rPr>
        <w:t>承包人（全称）：</w:t>
      </w:r>
      <w:r>
        <w:rPr>
          <w:rFonts w:hint="eastAsia" w:ascii="宋体" w:hAnsi="宋体" w:cs="宋体"/>
          <w:kern w:val="0"/>
          <w:szCs w:val="21"/>
          <w:highlight w:val="none"/>
          <w:u w:val="single"/>
          <w:lang w:val="en-US" w:bidi="zh-CN"/>
        </w:rPr>
        <w:t xml:space="preserve">                                         </w:t>
      </w:r>
    </w:p>
    <w:p w14:paraId="6044C779">
      <w:pPr>
        <w:shd w:val="clear"/>
        <w:spacing w:line="480" w:lineRule="exact"/>
        <w:ind w:firstLine="47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根据《中华人民共和国民法典》及有关法律规定，遵循平等、自愿、公平和诚实信用的原则，双方就 </w:t>
      </w:r>
      <w:r>
        <w:rPr>
          <w:rFonts w:hint="eastAsia" w:ascii="宋体" w:hAnsi="宋体" w:cs="宋体"/>
          <w:kern w:val="0"/>
          <w:szCs w:val="21"/>
          <w:highlight w:val="none"/>
          <w:u w:val="single"/>
          <w:lang w:val="zh-CN" w:bidi="zh-CN"/>
        </w:rPr>
        <w:t>鼓楼人大实践中心装修改造项目</w:t>
      </w:r>
      <w:r>
        <w:rPr>
          <w:rFonts w:hint="eastAsia" w:ascii="宋体" w:hAnsi="宋体" w:cs="宋体"/>
          <w:kern w:val="0"/>
          <w:szCs w:val="21"/>
          <w:highlight w:val="none"/>
          <w:lang w:val="zh-CN" w:bidi="zh-CN"/>
        </w:rPr>
        <w:t>施工及有关事项协商一致，共同达成如下协议：</w:t>
      </w:r>
    </w:p>
    <w:p w14:paraId="49A55961">
      <w:pPr>
        <w:shd w:val="clear"/>
        <w:spacing w:line="480" w:lineRule="exact"/>
        <w:ind w:firstLine="470"/>
        <w:jc w:val="left"/>
        <w:rPr>
          <w:rFonts w:hint="eastAsia" w:ascii="宋体" w:hAnsi="宋体" w:cs="宋体"/>
          <w:kern w:val="0"/>
          <w:szCs w:val="21"/>
          <w:highlight w:val="none"/>
          <w:lang w:val="zh-CN" w:bidi="zh-CN"/>
        </w:rPr>
      </w:pPr>
      <w:bookmarkStart w:id="119" w:name="_Toc351203481"/>
      <w:r>
        <w:rPr>
          <w:rFonts w:hint="eastAsia" w:ascii="宋体" w:hAnsi="宋体" w:cs="宋体"/>
          <w:kern w:val="0"/>
          <w:szCs w:val="21"/>
          <w:highlight w:val="none"/>
          <w:lang w:val="zh-CN" w:bidi="zh-CN"/>
        </w:rPr>
        <w:t>一、工程概况</w:t>
      </w:r>
      <w:bookmarkEnd w:id="119"/>
    </w:p>
    <w:p w14:paraId="6762B1B5">
      <w:pPr>
        <w:shd w:val="clear"/>
        <w:spacing w:line="480" w:lineRule="exact"/>
        <w:ind w:firstLine="470"/>
        <w:jc w:val="left"/>
        <w:rPr>
          <w:rFonts w:hint="eastAsia" w:ascii="宋体" w:hAnsi="宋体" w:cs="宋体"/>
          <w:kern w:val="0"/>
          <w:szCs w:val="21"/>
          <w:highlight w:val="none"/>
          <w:u w:val="single"/>
          <w:lang w:val="zh-CN" w:bidi="zh-CN"/>
        </w:rPr>
      </w:pPr>
      <w:r>
        <w:rPr>
          <w:rFonts w:hint="eastAsia" w:ascii="宋体" w:hAnsi="宋体" w:cs="宋体"/>
          <w:kern w:val="0"/>
          <w:szCs w:val="21"/>
          <w:highlight w:val="none"/>
          <w:lang w:val="zh-CN" w:bidi="zh-CN"/>
        </w:rPr>
        <w:t>1.工程名称：</w:t>
      </w:r>
      <w:r>
        <w:rPr>
          <w:rFonts w:hint="eastAsia" w:ascii="宋体" w:hAnsi="宋体" w:cs="宋体"/>
          <w:kern w:val="0"/>
          <w:szCs w:val="21"/>
          <w:highlight w:val="none"/>
          <w:u w:val="single"/>
          <w:lang w:val="zh-CN" w:bidi="zh-CN"/>
        </w:rPr>
        <w:t>鼓楼人大实践中心装修改造项目</w:t>
      </w:r>
    </w:p>
    <w:p w14:paraId="504853EE">
      <w:pPr>
        <w:shd w:val="clear"/>
        <w:spacing w:line="480" w:lineRule="exact"/>
        <w:ind w:firstLine="470"/>
        <w:jc w:val="left"/>
        <w:rPr>
          <w:rFonts w:hint="eastAsia" w:ascii="宋体" w:hAnsi="宋体" w:cs="宋体"/>
          <w:kern w:val="0"/>
          <w:szCs w:val="21"/>
          <w:highlight w:val="none"/>
          <w:u w:val="single"/>
          <w:lang w:bidi="zh-CN"/>
        </w:rPr>
      </w:pPr>
      <w:r>
        <w:rPr>
          <w:rFonts w:hint="eastAsia" w:ascii="宋体" w:hAnsi="宋体" w:cs="宋体"/>
          <w:kern w:val="0"/>
          <w:szCs w:val="21"/>
          <w:highlight w:val="none"/>
          <w:lang w:val="zh-CN" w:bidi="zh-CN"/>
        </w:rPr>
        <w:t>2.工程地点：</w:t>
      </w:r>
      <w:r>
        <w:rPr>
          <w:rFonts w:hint="eastAsia" w:ascii="宋体" w:hAnsi="宋体" w:cs="宋体"/>
          <w:kern w:val="0"/>
          <w:szCs w:val="21"/>
          <w:highlight w:val="none"/>
          <w:u w:val="single"/>
          <w:lang w:val="zh-CN" w:bidi="zh-CN"/>
        </w:rPr>
        <w:t xml:space="preserve">   南京市</w:t>
      </w:r>
      <w:r>
        <w:rPr>
          <w:rFonts w:hint="eastAsia" w:ascii="宋体" w:hAnsi="宋体" w:cs="宋体"/>
          <w:kern w:val="0"/>
          <w:szCs w:val="21"/>
          <w:highlight w:val="none"/>
          <w:u w:val="single"/>
          <w:lang w:val="en-US" w:bidi="zh-CN"/>
        </w:rPr>
        <w:t>鼓楼区</w:t>
      </w:r>
      <w:r>
        <w:rPr>
          <w:rFonts w:hint="eastAsia" w:ascii="宋体" w:hAnsi="宋体" w:cs="宋体"/>
          <w:kern w:val="0"/>
          <w:szCs w:val="21"/>
          <w:highlight w:val="none"/>
          <w:u w:val="single"/>
          <w:lang w:bidi="zh-CN"/>
        </w:rPr>
        <w:t xml:space="preserve">    </w:t>
      </w:r>
    </w:p>
    <w:p w14:paraId="01C8AFE0">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3.资金来源：</w:t>
      </w:r>
      <w:r>
        <w:rPr>
          <w:rFonts w:hint="eastAsia" w:ascii="宋体" w:hAnsi="宋体" w:cs="宋体"/>
          <w:kern w:val="0"/>
          <w:szCs w:val="21"/>
          <w:highlight w:val="none"/>
          <w:u w:val="single"/>
          <w:lang w:bidi="zh-CN"/>
        </w:rPr>
        <w:t xml:space="preserve"> </w:t>
      </w:r>
      <w:r>
        <w:rPr>
          <w:rFonts w:hint="eastAsia" w:ascii="宋体" w:hAnsi="宋体" w:cs="宋体"/>
          <w:kern w:val="0"/>
          <w:szCs w:val="21"/>
          <w:highlight w:val="none"/>
          <w:u w:val="single"/>
          <w:lang w:val="en-US" w:bidi="zh-CN"/>
        </w:rPr>
        <w:t xml:space="preserve">  </w:t>
      </w:r>
      <w:r>
        <w:rPr>
          <w:rFonts w:hint="eastAsia" w:ascii="宋体" w:hAnsi="宋体" w:cs="宋体"/>
          <w:kern w:val="0"/>
          <w:szCs w:val="21"/>
          <w:highlight w:val="none"/>
          <w:u w:val="single"/>
          <w:lang w:bidi="zh-CN"/>
        </w:rPr>
        <w:t xml:space="preserve"> 财政资金 </w:t>
      </w:r>
      <w:r>
        <w:rPr>
          <w:rFonts w:hint="eastAsia" w:ascii="宋体" w:hAnsi="宋体" w:cs="宋体"/>
          <w:kern w:val="0"/>
          <w:szCs w:val="21"/>
          <w:highlight w:val="none"/>
          <w:u w:val="single"/>
          <w:lang w:val="en-US" w:bidi="zh-CN"/>
        </w:rPr>
        <w:t xml:space="preserve">   </w:t>
      </w:r>
      <w:r>
        <w:rPr>
          <w:rFonts w:hint="eastAsia" w:ascii="宋体" w:hAnsi="宋体" w:cs="宋体"/>
          <w:kern w:val="0"/>
          <w:szCs w:val="21"/>
          <w:highlight w:val="none"/>
          <w:u w:val="single"/>
          <w:lang w:bidi="zh-CN"/>
        </w:rPr>
        <w:t xml:space="preserve">  </w:t>
      </w:r>
      <w:r>
        <w:rPr>
          <w:rFonts w:hint="eastAsia" w:ascii="宋体" w:hAnsi="宋体" w:cs="宋体"/>
          <w:kern w:val="0"/>
          <w:szCs w:val="21"/>
          <w:highlight w:val="none"/>
          <w:lang w:val="zh-CN" w:bidi="zh-CN"/>
        </w:rPr>
        <w:t>。</w:t>
      </w:r>
    </w:p>
    <w:p w14:paraId="0B0FD2C2">
      <w:pPr>
        <w:shd w:val="clear"/>
        <w:spacing w:line="480" w:lineRule="exact"/>
        <w:ind w:firstLine="470"/>
        <w:jc w:val="left"/>
        <w:rPr>
          <w:rFonts w:hint="eastAsia" w:ascii="宋体" w:hAnsi="宋体" w:cs="宋体"/>
          <w:kern w:val="0"/>
          <w:szCs w:val="21"/>
          <w:highlight w:val="none"/>
          <w:u w:val="single"/>
          <w:lang w:val="zh-CN" w:bidi="zh-CN"/>
        </w:rPr>
      </w:pPr>
      <w:r>
        <w:rPr>
          <w:rFonts w:hint="eastAsia" w:ascii="宋体" w:hAnsi="宋体" w:cs="宋体"/>
          <w:kern w:val="0"/>
          <w:szCs w:val="21"/>
          <w:highlight w:val="none"/>
          <w:lang w:val="zh-CN" w:bidi="zh-CN"/>
        </w:rPr>
        <w:t>4.工程内容：</w:t>
      </w:r>
      <w:r>
        <w:rPr>
          <w:rFonts w:hint="eastAsia" w:ascii="宋体" w:hAnsi="宋体" w:cs="宋体"/>
          <w:kern w:val="0"/>
          <w:szCs w:val="21"/>
          <w:highlight w:val="none"/>
          <w:u w:val="single"/>
          <w:lang w:val="zh-CN" w:bidi="zh-CN"/>
        </w:rPr>
        <w:t>鼓楼人大实践中心装修改造项目</w:t>
      </w:r>
      <w:r>
        <w:rPr>
          <w:rFonts w:hint="eastAsia" w:ascii="宋体" w:hAnsi="宋体" w:cs="宋体"/>
          <w:kern w:val="0"/>
          <w:szCs w:val="21"/>
          <w:highlight w:val="none"/>
          <w:u w:val="single"/>
          <w:lang w:val="en-US" w:bidi="zh-CN"/>
        </w:rPr>
        <w:t>工程</w:t>
      </w:r>
      <w:r>
        <w:rPr>
          <w:rFonts w:hint="eastAsia" w:ascii="宋体" w:hAnsi="宋体" w:cs="宋体"/>
          <w:kern w:val="0"/>
          <w:szCs w:val="21"/>
          <w:highlight w:val="none"/>
          <w:u w:val="single"/>
          <w:lang w:val="zh-CN" w:bidi="zh-CN"/>
        </w:rPr>
        <w:t>。</w:t>
      </w:r>
    </w:p>
    <w:p w14:paraId="791520A9">
      <w:pPr>
        <w:shd w:val="clear"/>
        <w:spacing w:line="480" w:lineRule="exact"/>
        <w:ind w:firstLine="47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群体工程应附《承包人承揽工程项目一览表》（附件1）。</w:t>
      </w:r>
    </w:p>
    <w:p w14:paraId="3A92EF78">
      <w:pPr>
        <w:shd w:val="clear"/>
        <w:spacing w:line="480" w:lineRule="exact"/>
        <w:ind w:firstLine="470"/>
        <w:jc w:val="left"/>
        <w:rPr>
          <w:rFonts w:hint="eastAsia" w:ascii="宋体" w:hAnsi="宋体" w:cs="宋体"/>
          <w:kern w:val="0"/>
          <w:szCs w:val="21"/>
          <w:highlight w:val="none"/>
          <w:u w:val="single"/>
          <w:lang w:val="zh-CN" w:bidi="zh-CN"/>
        </w:rPr>
      </w:pPr>
      <w:r>
        <w:rPr>
          <w:rFonts w:hint="eastAsia" w:ascii="宋体" w:hAnsi="宋体" w:cs="宋体"/>
          <w:kern w:val="0"/>
          <w:szCs w:val="21"/>
          <w:highlight w:val="none"/>
          <w:lang w:val="zh-CN" w:bidi="zh-CN"/>
        </w:rPr>
        <w:t>5.工程承包范围：</w:t>
      </w:r>
      <w:r>
        <w:rPr>
          <w:rFonts w:hint="eastAsia" w:ascii="宋体" w:hAnsi="宋体" w:cs="宋体"/>
          <w:kern w:val="0"/>
          <w:szCs w:val="21"/>
          <w:highlight w:val="none"/>
          <w:u w:val="single"/>
          <w:lang w:val="zh-CN" w:bidi="zh-CN"/>
        </w:rPr>
        <w:t>鼓楼人大实践中心装修改造项目</w:t>
      </w:r>
      <w:r>
        <w:rPr>
          <w:rFonts w:hint="eastAsia" w:ascii="宋体" w:hAnsi="宋体" w:cs="宋体"/>
          <w:kern w:val="0"/>
          <w:szCs w:val="21"/>
          <w:highlight w:val="none"/>
          <w:u w:val="single"/>
          <w:lang w:val="en-US" w:bidi="zh-CN"/>
        </w:rPr>
        <w:t>工程</w:t>
      </w:r>
      <w:r>
        <w:rPr>
          <w:rFonts w:hint="eastAsia" w:ascii="宋体" w:hAnsi="宋体" w:cs="宋体"/>
          <w:kern w:val="0"/>
          <w:szCs w:val="21"/>
          <w:highlight w:val="none"/>
          <w:u w:val="single"/>
          <w:lang w:val="zh-CN" w:bidi="zh-CN"/>
        </w:rPr>
        <w:t>，</w:t>
      </w:r>
      <w:r>
        <w:rPr>
          <w:rFonts w:hint="eastAsia" w:ascii="宋体" w:hAnsi="宋体" w:cs="宋体"/>
          <w:kern w:val="0"/>
          <w:szCs w:val="21"/>
          <w:highlight w:val="none"/>
          <w:u w:val="single"/>
          <w:lang w:val="en-US" w:bidi="zh-CN"/>
        </w:rPr>
        <w:t>具体详见清单</w:t>
      </w:r>
      <w:r>
        <w:rPr>
          <w:rFonts w:hint="eastAsia" w:ascii="宋体" w:hAnsi="宋体" w:cs="宋体"/>
          <w:kern w:val="0"/>
          <w:szCs w:val="21"/>
          <w:highlight w:val="none"/>
          <w:u w:val="single"/>
          <w:lang w:val="zh-CN" w:bidi="zh-CN"/>
        </w:rPr>
        <w:t>。</w:t>
      </w:r>
    </w:p>
    <w:p w14:paraId="31F99182">
      <w:pPr>
        <w:shd w:val="clear"/>
        <w:spacing w:line="480" w:lineRule="exact"/>
        <w:ind w:firstLine="352"/>
        <w:jc w:val="left"/>
        <w:rPr>
          <w:rFonts w:hint="eastAsia" w:ascii="宋体" w:hAnsi="宋体" w:cs="宋体"/>
          <w:kern w:val="0"/>
          <w:szCs w:val="21"/>
          <w:highlight w:val="none"/>
          <w:lang w:val="zh-CN" w:bidi="zh-CN"/>
        </w:rPr>
      </w:pPr>
      <w:bookmarkStart w:id="120" w:name="_Toc351203482"/>
      <w:r>
        <w:rPr>
          <w:rFonts w:hint="eastAsia" w:ascii="宋体" w:hAnsi="宋体" w:cs="宋体"/>
          <w:kern w:val="0"/>
          <w:szCs w:val="21"/>
          <w:highlight w:val="none"/>
          <w:lang w:val="zh-CN" w:bidi="zh-CN"/>
        </w:rPr>
        <w:t>二、合同工期</w:t>
      </w:r>
      <w:bookmarkEnd w:id="120"/>
    </w:p>
    <w:p w14:paraId="4E4FE392">
      <w:pPr>
        <w:shd w:val="clear"/>
        <w:spacing w:line="480" w:lineRule="exact"/>
        <w:ind w:firstLine="459"/>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计划开工日期：年月日。</w:t>
      </w:r>
    </w:p>
    <w:p w14:paraId="69DA2C7B">
      <w:pPr>
        <w:shd w:val="clear"/>
        <w:spacing w:line="480" w:lineRule="exact"/>
        <w:ind w:firstLine="459"/>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计划竣工日期：年月日。</w:t>
      </w:r>
    </w:p>
    <w:p w14:paraId="71E95FB8">
      <w:pPr>
        <w:numPr>
          <w:ilvl w:val="0"/>
          <w:numId w:val="5"/>
        </w:numPr>
        <w:shd w:val="clear"/>
        <w:spacing w:line="360" w:lineRule="auto"/>
        <w:ind w:firstLine="420" w:firstLineChars="20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工期总日历天数：接到采购人开工书面通知后，</w:t>
      </w:r>
      <w:r>
        <w:rPr>
          <w:rFonts w:hint="eastAsia" w:ascii="宋体" w:hAnsi="宋体" w:cs="宋体"/>
          <w:kern w:val="0"/>
          <w:szCs w:val="21"/>
          <w:highlight w:val="none"/>
          <w:lang w:val="en-US" w:bidi="zh-CN"/>
        </w:rPr>
        <w:t>2</w:t>
      </w:r>
      <w:r>
        <w:rPr>
          <w:rFonts w:hint="eastAsia" w:ascii="宋体" w:hAnsi="宋体" w:cs="宋体"/>
          <w:kern w:val="0"/>
          <w:szCs w:val="21"/>
          <w:highlight w:val="none"/>
          <w:lang w:val="zh-CN" w:bidi="zh-CN"/>
        </w:rPr>
        <w:t>0个日历日内完成竣工并通过验收，具体时间要求以成交供应商工期承诺为准</w:t>
      </w:r>
      <w:r>
        <w:rPr>
          <w:rFonts w:hint="eastAsia" w:ascii="宋体" w:hAnsi="宋体" w:cs="宋体"/>
          <w:kern w:val="0"/>
          <w:sz w:val="21"/>
          <w:szCs w:val="21"/>
          <w:highlight w:val="none"/>
          <w:lang w:val="en-US" w:eastAsia="zh-CN" w:bidi="zh-CN"/>
        </w:rPr>
        <w:t xml:space="preserve"> </w:t>
      </w:r>
      <w:r>
        <w:rPr>
          <w:rFonts w:hint="eastAsia" w:ascii="宋体" w:hAnsi="宋体" w:cs="宋体"/>
          <w:kern w:val="0"/>
          <w:szCs w:val="21"/>
          <w:highlight w:val="none"/>
          <w:lang w:val="zh-CN" w:bidi="zh-CN"/>
        </w:rPr>
        <w:t>。</w:t>
      </w:r>
    </w:p>
    <w:p w14:paraId="210A0B69">
      <w:pPr>
        <w:shd w:val="clear"/>
        <w:spacing w:line="480" w:lineRule="exact"/>
        <w:ind w:firstLine="470"/>
        <w:jc w:val="left"/>
        <w:rPr>
          <w:rFonts w:hint="eastAsia" w:ascii="宋体" w:hAnsi="宋体" w:cs="宋体"/>
          <w:kern w:val="0"/>
          <w:szCs w:val="21"/>
          <w:highlight w:val="none"/>
          <w:lang w:val="zh-CN" w:bidi="zh-CN"/>
        </w:rPr>
      </w:pPr>
      <w:bookmarkStart w:id="121" w:name="_Toc351203483"/>
      <w:r>
        <w:rPr>
          <w:rFonts w:hint="eastAsia" w:ascii="宋体" w:hAnsi="宋体" w:cs="宋体"/>
          <w:kern w:val="0"/>
          <w:szCs w:val="21"/>
          <w:highlight w:val="none"/>
          <w:lang w:val="zh-CN" w:bidi="zh-CN"/>
        </w:rPr>
        <w:t>三、质量标准</w:t>
      </w:r>
      <w:bookmarkEnd w:id="121"/>
    </w:p>
    <w:p w14:paraId="19646E79">
      <w:pPr>
        <w:shd w:val="clear"/>
        <w:spacing w:line="480" w:lineRule="exact"/>
        <w:ind w:firstLine="459"/>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工程质量符合：</w:t>
      </w:r>
      <w:r>
        <w:rPr>
          <w:rFonts w:hint="eastAsia" w:ascii="宋体" w:hAnsi="宋体" w:cs="宋体"/>
          <w:spacing w:val="10"/>
          <w:kern w:val="0"/>
          <w:szCs w:val="21"/>
          <w:highlight w:val="none"/>
          <w:u w:val="single"/>
          <w:lang w:val="zh-CN" w:bidi="zh-CN"/>
        </w:rPr>
        <w:t>符合国家质量验收标准。</w:t>
      </w:r>
    </w:p>
    <w:p w14:paraId="3CEEDBB1">
      <w:pPr>
        <w:shd w:val="clear"/>
        <w:spacing w:line="480" w:lineRule="exact"/>
        <w:ind w:firstLine="470"/>
        <w:jc w:val="left"/>
        <w:rPr>
          <w:rFonts w:hint="eastAsia" w:ascii="宋体" w:hAnsi="宋体" w:cs="宋体"/>
          <w:kern w:val="0"/>
          <w:szCs w:val="21"/>
          <w:highlight w:val="none"/>
          <w:lang w:val="zh-CN" w:bidi="zh-CN"/>
        </w:rPr>
      </w:pPr>
      <w:bookmarkStart w:id="122" w:name="_Toc351203484"/>
      <w:bookmarkStart w:id="123" w:name="_Toc351203485"/>
      <w:r>
        <w:rPr>
          <w:rFonts w:hint="eastAsia" w:ascii="宋体" w:hAnsi="宋体" w:cs="宋体"/>
          <w:kern w:val="0"/>
          <w:szCs w:val="21"/>
          <w:highlight w:val="none"/>
          <w:lang w:val="zh-CN" w:bidi="zh-CN"/>
        </w:rPr>
        <w:t>四、签约合同价与合同价格形式</w:t>
      </w:r>
      <w:bookmarkEnd w:id="122"/>
      <w:r>
        <w:rPr>
          <w:rFonts w:hint="eastAsia" w:ascii="宋体" w:hAnsi="宋体" w:cs="宋体"/>
          <w:kern w:val="0"/>
          <w:szCs w:val="21"/>
          <w:highlight w:val="none"/>
          <w:lang w:val="zh-CN" w:bidi="zh-CN"/>
        </w:rPr>
        <w:tab/>
      </w:r>
    </w:p>
    <w:p w14:paraId="326EF6EF">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1.签约合同价为</w:t>
      </w:r>
    </w:p>
    <w:p w14:paraId="6603FC4C">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人民币（大写）</w:t>
      </w:r>
      <w:r>
        <w:rPr>
          <w:rFonts w:hint="eastAsia" w:ascii="宋体" w:hAnsi="宋体" w:cs="宋体"/>
          <w:kern w:val="0"/>
          <w:szCs w:val="21"/>
          <w:highlight w:val="none"/>
          <w:u w:val="single"/>
          <w:lang w:val="zh-CN" w:bidi="zh-CN"/>
        </w:rPr>
        <w:t xml:space="preserve">                                (¥                   元)；</w:t>
      </w:r>
      <w:r>
        <w:rPr>
          <w:rFonts w:hint="eastAsia" w:ascii="宋体" w:hAnsi="宋体" w:cs="宋体"/>
          <w:kern w:val="0"/>
          <w:szCs w:val="21"/>
          <w:highlight w:val="none"/>
          <w:lang w:val="zh-CN" w:bidi="zh-CN"/>
        </w:rPr>
        <w:tab/>
      </w:r>
    </w:p>
    <w:p w14:paraId="41F2E8C5">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其中：</w:t>
      </w:r>
    </w:p>
    <w:p w14:paraId="1ED89C65">
      <w:pPr>
        <w:shd w:val="clear"/>
        <w:spacing w:line="480" w:lineRule="exact"/>
        <w:ind w:firstLine="480"/>
        <w:jc w:val="left"/>
        <w:rPr>
          <w:rFonts w:hint="eastAsia" w:ascii="宋体" w:hAnsi="宋体" w:cs="宋体"/>
          <w:kern w:val="0"/>
          <w:szCs w:val="21"/>
          <w:highlight w:val="none"/>
          <w:u w:val="single"/>
          <w:lang w:val="zh-CN" w:bidi="zh-CN"/>
        </w:rPr>
      </w:pPr>
      <w:r>
        <w:rPr>
          <w:rFonts w:hint="eastAsia" w:ascii="宋体" w:hAnsi="宋体" w:cs="宋体"/>
          <w:kern w:val="0"/>
          <w:szCs w:val="21"/>
          <w:highlight w:val="none"/>
          <w:lang w:val="zh-CN" w:bidi="zh-CN"/>
        </w:rPr>
        <w:t>（）安全文明施工费：</w:t>
      </w:r>
      <w:r>
        <w:rPr>
          <w:rFonts w:hint="eastAsia" w:ascii="宋体" w:hAnsi="宋体" w:cs="宋体"/>
          <w:kern w:val="0"/>
          <w:szCs w:val="21"/>
          <w:highlight w:val="none"/>
          <w:u w:val="single"/>
          <w:lang w:val="zh-CN" w:bidi="zh-CN"/>
        </w:rPr>
        <w:t xml:space="preserve">                          (¥                   元)；</w:t>
      </w:r>
    </w:p>
    <w:p w14:paraId="76F48576">
      <w:pPr>
        <w:shd w:val="clear"/>
        <w:spacing w:line="480" w:lineRule="exact"/>
        <w:ind w:firstLine="10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人民币（大写）</w:t>
      </w:r>
    </w:p>
    <w:p w14:paraId="1DB0F79B">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（2）材料和工程设备暂估价金额：</w:t>
      </w:r>
    </w:p>
    <w:p w14:paraId="2917B2FA">
      <w:pPr>
        <w:shd w:val="clear"/>
        <w:spacing w:line="480" w:lineRule="exact"/>
        <w:ind w:firstLine="10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人民币（大写） (¥元)；</w:t>
      </w:r>
    </w:p>
    <w:p w14:paraId="0D39E71B">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（3）专业工程暂估价金额：</w:t>
      </w:r>
    </w:p>
    <w:p w14:paraId="0163B8D3">
      <w:pPr>
        <w:shd w:val="clear"/>
        <w:spacing w:line="480" w:lineRule="exact"/>
        <w:ind w:firstLine="10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人民币（大写） (¥元)；</w:t>
      </w:r>
    </w:p>
    <w:p w14:paraId="69B62B1A">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（4）暂列金额：</w:t>
      </w:r>
    </w:p>
    <w:p w14:paraId="0CA063FC">
      <w:pPr>
        <w:shd w:val="clear"/>
        <w:spacing w:line="480" w:lineRule="exact"/>
        <w:ind w:firstLine="10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人民币（大写） (¥元)。</w:t>
      </w:r>
    </w:p>
    <w:p w14:paraId="002869D5">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2.合同价格形式：</w:t>
      </w:r>
      <w:r>
        <w:rPr>
          <w:rFonts w:hint="eastAsia" w:ascii="宋体" w:hAnsi="宋体" w:cs="宋体"/>
          <w:kern w:val="0"/>
          <w:szCs w:val="21"/>
          <w:highlight w:val="none"/>
          <w:u w:val="single"/>
          <w:lang w:val="zh-CN" w:bidi="zh-CN"/>
        </w:rPr>
        <w:t xml:space="preserve">固定单价 </w:t>
      </w:r>
      <w:r>
        <w:rPr>
          <w:rFonts w:hint="eastAsia" w:ascii="宋体" w:hAnsi="宋体" w:cs="宋体"/>
          <w:kern w:val="0"/>
          <w:szCs w:val="21"/>
          <w:highlight w:val="none"/>
          <w:lang w:val="zh-CN" w:bidi="zh-CN"/>
        </w:rPr>
        <w:t>。</w:t>
      </w:r>
    </w:p>
    <w:p w14:paraId="2970B518">
      <w:pPr>
        <w:shd w:val="clear"/>
        <w:spacing w:line="480" w:lineRule="exact"/>
        <w:ind w:firstLine="47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五、</w:t>
      </w:r>
      <w:bookmarkEnd w:id="123"/>
      <w:r>
        <w:rPr>
          <w:rFonts w:hint="eastAsia" w:ascii="宋体" w:hAnsi="宋体" w:cs="宋体"/>
          <w:kern w:val="0"/>
          <w:szCs w:val="21"/>
          <w:highlight w:val="none"/>
          <w:lang w:val="zh-CN" w:bidi="zh-CN"/>
        </w:rPr>
        <w:t>项目经理</w:t>
      </w:r>
    </w:p>
    <w:p w14:paraId="63E033B5">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承包人项目经理：。</w:t>
      </w:r>
    </w:p>
    <w:p w14:paraId="2B2C94C0">
      <w:pPr>
        <w:shd w:val="clear"/>
        <w:spacing w:line="480" w:lineRule="exact"/>
        <w:ind w:firstLine="470"/>
        <w:jc w:val="left"/>
        <w:rPr>
          <w:rFonts w:hint="eastAsia" w:ascii="宋体" w:hAnsi="宋体" w:cs="宋体"/>
          <w:kern w:val="0"/>
          <w:szCs w:val="21"/>
          <w:highlight w:val="none"/>
          <w:lang w:val="zh-CN" w:bidi="zh-CN"/>
        </w:rPr>
      </w:pPr>
      <w:bookmarkStart w:id="124" w:name="_Toc351203486"/>
      <w:r>
        <w:rPr>
          <w:rFonts w:hint="eastAsia" w:ascii="宋体" w:hAnsi="宋体" w:cs="宋体"/>
          <w:kern w:val="0"/>
          <w:szCs w:val="21"/>
          <w:highlight w:val="none"/>
          <w:lang w:val="zh-CN" w:bidi="zh-CN"/>
        </w:rPr>
        <w:t>六、合同文件构成</w:t>
      </w:r>
      <w:bookmarkEnd w:id="124"/>
    </w:p>
    <w:p w14:paraId="6853561A">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本协议书与下列文件一起构成合同文件：</w:t>
      </w:r>
    </w:p>
    <w:p w14:paraId="601B00CE">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（1）中标通知书（如果有）；</w:t>
      </w:r>
    </w:p>
    <w:p w14:paraId="06FAC51E">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（2）投标函及其附录（如果有）； </w:t>
      </w:r>
    </w:p>
    <w:p w14:paraId="5D68C10D">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（3）专用合同条款及其附件；</w:t>
      </w:r>
    </w:p>
    <w:p w14:paraId="16C2EF8F">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（4）通用合同条款；</w:t>
      </w:r>
    </w:p>
    <w:p w14:paraId="4F6D00A3">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（5）技术标准和要求；</w:t>
      </w:r>
    </w:p>
    <w:p w14:paraId="23BE5631">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（6）图纸；</w:t>
      </w:r>
    </w:p>
    <w:p w14:paraId="57FD5BA2">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（7）已标价工程量清单或预算书；</w:t>
      </w:r>
    </w:p>
    <w:p w14:paraId="2DB13AC8">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（8）其他合同文件。</w:t>
      </w:r>
    </w:p>
    <w:p w14:paraId="0328D7D6">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在合同订立及履行过程中形成的与合同有关的文件均构成合同文件组成部分。</w:t>
      </w:r>
    </w:p>
    <w:p w14:paraId="50ECE3AA">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2AE6D012">
      <w:pPr>
        <w:shd w:val="clear"/>
        <w:spacing w:line="480" w:lineRule="exact"/>
        <w:ind w:firstLine="470"/>
        <w:jc w:val="left"/>
        <w:rPr>
          <w:rFonts w:hint="eastAsia" w:ascii="宋体" w:hAnsi="宋体" w:cs="宋体"/>
          <w:kern w:val="0"/>
          <w:szCs w:val="21"/>
          <w:highlight w:val="none"/>
          <w:lang w:val="zh-CN" w:bidi="zh-CN"/>
        </w:rPr>
      </w:pPr>
      <w:bookmarkStart w:id="125" w:name="_Toc351203487"/>
      <w:r>
        <w:rPr>
          <w:rFonts w:hint="eastAsia" w:ascii="宋体" w:hAnsi="宋体" w:cs="宋体"/>
          <w:kern w:val="0"/>
          <w:szCs w:val="21"/>
          <w:highlight w:val="none"/>
          <w:lang w:val="zh-CN" w:bidi="zh-CN"/>
        </w:rPr>
        <w:t>七、承诺</w:t>
      </w:r>
      <w:bookmarkEnd w:id="125"/>
    </w:p>
    <w:p w14:paraId="73C90ED0">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1.发包人承诺按照法律规定履行项目审批手续、筹集工程建设资金并按照合同约定的期限和方式支付合同价款。</w:t>
      </w:r>
    </w:p>
    <w:p w14:paraId="034A3E52">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2.承包人承诺按照法律规定及合同约定组织完成工程施工，确保工程质量和安全，不进行转包及违法分包，并在缺陷责任期及保修期内承担相应的工程维修责任。</w:t>
      </w:r>
    </w:p>
    <w:p w14:paraId="524593E6">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3.发包人和承包人通过招投标形式签订合同的，双方理解并承诺不再就同一工程另行签订与合同实质性内容相背离的协议。</w:t>
      </w:r>
    </w:p>
    <w:p w14:paraId="5247BCAB">
      <w:pPr>
        <w:shd w:val="clear"/>
        <w:spacing w:line="480" w:lineRule="exact"/>
        <w:ind w:firstLine="470"/>
        <w:jc w:val="left"/>
        <w:rPr>
          <w:rFonts w:hint="eastAsia" w:ascii="宋体" w:hAnsi="宋体" w:cs="宋体"/>
          <w:kern w:val="0"/>
          <w:szCs w:val="21"/>
          <w:highlight w:val="none"/>
          <w:lang w:val="zh-CN" w:bidi="zh-CN"/>
        </w:rPr>
      </w:pPr>
      <w:bookmarkStart w:id="126" w:name="_Toc351203488"/>
      <w:r>
        <w:rPr>
          <w:rFonts w:hint="eastAsia" w:ascii="宋体" w:hAnsi="宋体" w:cs="宋体"/>
          <w:kern w:val="0"/>
          <w:szCs w:val="21"/>
          <w:highlight w:val="none"/>
          <w:lang w:val="zh-CN" w:bidi="zh-CN"/>
        </w:rPr>
        <w:t>八、词语含义</w:t>
      </w:r>
      <w:bookmarkEnd w:id="126"/>
    </w:p>
    <w:p w14:paraId="251DBBFF">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本协议书中词语含义与第二部分通用合同条款中赋予的含义相同。</w:t>
      </w:r>
    </w:p>
    <w:p w14:paraId="00C1F13E">
      <w:pPr>
        <w:shd w:val="clear"/>
        <w:spacing w:line="480" w:lineRule="exact"/>
        <w:ind w:firstLine="470"/>
        <w:jc w:val="left"/>
        <w:rPr>
          <w:rFonts w:hint="eastAsia" w:ascii="宋体" w:hAnsi="宋体" w:cs="宋体"/>
          <w:kern w:val="0"/>
          <w:szCs w:val="21"/>
          <w:highlight w:val="none"/>
          <w:lang w:val="zh-CN" w:bidi="zh-CN"/>
        </w:rPr>
      </w:pPr>
      <w:bookmarkStart w:id="127" w:name="_Toc351203489"/>
      <w:r>
        <w:rPr>
          <w:rFonts w:hint="eastAsia" w:ascii="宋体" w:hAnsi="宋体" w:cs="宋体"/>
          <w:kern w:val="0"/>
          <w:szCs w:val="21"/>
          <w:highlight w:val="none"/>
          <w:lang w:val="zh-CN" w:bidi="zh-CN"/>
        </w:rPr>
        <w:t>九、签订时间</w:t>
      </w:r>
      <w:bookmarkEnd w:id="127"/>
    </w:p>
    <w:p w14:paraId="2B509591">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本合同于年月日签订。</w:t>
      </w:r>
    </w:p>
    <w:p w14:paraId="4D869E70">
      <w:pPr>
        <w:shd w:val="clear"/>
        <w:spacing w:line="480" w:lineRule="exact"/>
        <w:ind w:firstLine="470"/>
        <w:jc w:val="left"/>
        <w:rPr>
          <w:rFonts w:hint="eastAsia" w:ascii="宋体" w:hAnsi="宋体" w:cs="宋体"/>
          <w:kern w:val="0"/>
          <w:szCs w:val="21"/>
          <w:highlight w:val="none"/>
          <w:lang w:val="zh-CN" w:bidi="zh-CN"/>
        </w:rPr>
      </w:pPr>
      <w:bookmarkStart w:id="128" w:name="_Toc351203490"/>
      <w:r>
        <w:rPr>
          <w:rFonts w:hint="eastAsia" w:ascii="宋体" w:hAnsi="宋体" w:cs="宋体"/>
          <w:kern w:val="0"/>
          <w:szCs w:val="21"/>
          <w:highlight w:val="none"/>
          <w:lang w:val="zh-CN" w:bidi="zh-CN"/>
        </w:rPr>
        <w:t>十、签订地点</w:t>
      </w:r>
      <w:bookmarkEnd w:id="128"/>
    </w:p>
    <w:p w14:paraId="40790DF6">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本合同在签订。</w:t>
      </w:r>
    </w:p>
    <w:p w14:paraId="7F195B4C">
      <w:pPr>
        <w:shd w:val="clear"/>
        <w:spacing w:line="480" w:lineRule="exact"/>
        <w:ind w:firstLine="470"/>
        <w:jc w:val="left"/>
        <w:rPr>
          <w:rFonts w:hint="eastAsia" w:ascii="宋体" w:hAnsi="宋体" w:cs="宋体"/>
          <w:kern w:val="0"/>
          <w:szCs w:val="21"/>
          <w:highlight w:val="none"/>
          <w:lang w:val="zh-CN" w:bidi="zh-CN"/>
        </w:rPr>
      </w:pPr>
      <w:bookmarkStart w:id="129" w:name="_Toc351203491"/>
      <w:r>
        <w:rPr>
          <w:rFonts w:hint="eastAsia" w:ascii="宋体" w:hAnsi="宋体" w:cs="宋体"/>
          <w:kern w:val="0"/>
          <w:szCs w:val="21"/>
          <w:highlight w:val="none"/>
          <w:lang w:val="zh-CN" w:bidi="zh-CN"/>
        </w:rPr>
        <w:t>十一、补充协议</w:t>
      </w:r>
      <w:bookmarkEnd w:id="129"/>
    </w:p>
    <w:p w14:paraId="0AD07703">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合同未尽事宜，合同当事人另行签订补充协议，补充协议是合同的组成部分。</w:t>
      </w:r>
    </w:p>
    <w:p w14:paraId="7A726010">
      <w:pPr>
        <w:shd w:val="clear"/>
        <w:spacing w:line="480" w:lineRule="exact"/>
        <w:ind w:firstLine="470"/>
        <w:jc w:val="left"/>
        <w:rPr>
          <w:rFonts w:hint="eastAsia" w:ascii="宋体" w:hAnsi="宋体" w:cs="宋体"/>
          <w:kern w:val="0"/>
          <w:szCs w:val="21"/>
          <w:highlight w:val="none"/>
          <w:lang w:val="zh-CN" w:bidi="zh-CN"/>
        </w:rPr>
      </w:pPr>
      <w:bookmarkStart w:id="130" w:name="_Toc351203492"/>
      <w:r>
        <w:rPr>
          <w:rFonts w:hint="eastAsia" w:ascii="宋体" w:hAnsi="宋体" w:cs="宋体"/>
          <w:kern w:val="0"/>
          <w:szCs w:val="21"/>
          <w:highlight w:val="none"/>
          <w:lang w:val="zh-CN" w:bidi="zh-CN"/>
        </w:rPr>
        <w:t>十二、合同生效</w:t>
      </w:r>
      <w:bookmarkEnd w:id="130"/>
    </w:p>
    <w:p w14:paraId="10DC4BF0">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本合同自生效。</w:t>
      </w:r>
    </w:p>
    <w:p w14:paraId="6E59EF0E">
      <w:pPr>
        <w:shd w:val="clear"/>
        <w:spacing w:line="480" w:lineRule="exact"/>
        <w:ind w:firstLine="470"/>
        <w:jc w:val="left"/>
        <w:rPr>
          <w:rFonts w:hint="eastAsia" w:ascii="宋体" w:hAnsi="宋体" w:cs="宋体"/>
          <w:kern w:val="0"/>
          <w:szCs w:val="21"/>
          <w:highlight w:val="none"/>
          <w:lang w:val="zh-CN" w:bidi="zh-CN"/>
        </w:rPr>
      </w:pPr>
      <w:bookmarkStart w:id="131" w:name="_Toc351203493"/>
      <w:r>
        <w:rPr>
          <w:rFonts w:hint="eastAsia" w:ascii="宋体" w:hAnsi="宋体" w:cs="宋体"/>
          <w:kern w:val="0"/>
          <w:szCs w:val="21"/>
          <w:highlight w:val="none"/>
          <w:lang w:val="zh-CN" w:bidi="zh-CN"/>
        </w:rPr>
        <w:t>十三、合同份数</w:t>
      </w:r>
      <w:bookmarkEnd w:id="131"/>
    </w:p>
    <w:p w14:paraId="0B34E71F">
      <w:pPr>
        <w:shd w:val="clear"/>
        <w:spacing w:line="480" w:lineRule="exact"/>
        <w:ind w:firstLine="480"/>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本合同一式份，均具有同等法律效力，发包人执份，承包人执份。</w:t>
      </w:r>
    </w:p>
    <w:p w14:paraId="07934DA2">
      <w:pPr>
        <w:shd w:val="clear"/>
        <w:spacing w:line="480" w:lineRule="exact"/>
        <w:jc w:val="left"/>
        <w:rPr>
          <w:rFonts w:hint="eastAsia" w:ascii="宋体" w:hAnsi="宋体" w:cs="宋体"/>
          <w:kern w:val="0"/>
          <w:szCs w:val="21"/>
          <w:highlight w:val="none"/>
          <w:lang w:val="zh-CN" w:bidi="zh-CN"/>
        </w:rPr>
      </w:pPr>
    </w:p>
    <w:p w14:paraId="3915EA43">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发包人：  (公章)                            承包人：  (公章)</w:t>
      </w:r>
    </w:p>
    <w:p w14:paraId="18C8DED7">
      <w:pPr>
        <w:shd w:val="clear"/>
        <w:spacing w:line="480" w:lineRule="exact"/>
        <w:jc w:val="left"/>
        <w:rPr>
          <w:rFonts w:hint="eastAsia" w:ascii="宋体" w:hAnsi="宋体" w:cs="宋体"/>
          <w:kern w:val="0"/>
          <w:szCs w:val="21"/>
          <w:highlight w:val="none"/>
          <w:u w:val="single"/>
          <w:lang w:val="zh-CN" w:bidi="zh-CN"/>
        </w:rPr>
      </w:pPr>
    </w:p>
    <w:p w14:paraId="6D19910E">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法定代表人或其委托代理人：                 法定代表人或其委托代理人：</w:t>
      </w:r>
    </w:p>
    <w:p w14:paraId="08DEB3B6">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（签字）                                   （签字）</w:t>
      </w:r>
    </w:p>
    <w:p w14:paraId="62A0F6B3">
      <w:pPr>
        <w:shd w:val="clear"/>
        <w:tabs>
          <w:tab w:val="left" w:pos="4410"/>
        </w:tabs>
        <w:spacing w:line="480" w:lineRule="exact"/>
        <w:jc w:val="left"/>
        <w:rPr>
          <w:rFonts w:hint="eastAsia" w:ascii="宋体" w:hAnsi="宋体" w:cs="宋体"/>
          <w:kern w:val="0"/>
          <w:szCs w:val="21"/>
          <w:highlight w:val="none"/>
          <w:lang w:val="zh-CN" w:bidi="zh-CN"/>
        </w:rPr>
      </w:pPr>
    </w:p>
    <w:p w14:paraId="542529F6">
      <w:pPr>
        <w:shd w:val="clear"/>
        <w:tabs>
          <w:tab w:val="left" w:pos="4410"/>
        </w:tabs>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组织机构代码：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组织机构代码：</w:t>
      </w:r>
    </w:p>
    <w:p w14:paraId="30C7A2A7">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地  址：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地  址：</w:t>
      </w:r>
    </w:p>
    <w:p w14:paraId="75B7A3CD">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邮政编码：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邮政编码：</w:t>
      </w:r>
    </w:p>
    <w:p w14:paraId="2113E616">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法定代表人：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法定代表人：</w:t>
      </w:r>
    </w:p>
    <w:p w14:paraId="136EA227">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委托代理人：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委托代理人：</w:t>
      </w:r>
    </w:p>
    <w:p w14:paraId="164F6293">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电  话：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电  话：</w:t>
      </w:r>
    </w:p>
    <w:p w14:paraId="7E8561EA">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传  真：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传  真：</w:t>
      </w:r>
    </w:p>
    <w:p w14:paraId="5E0A36E8">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电子信箱：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电子信箱：</w:t>
      </w:r>
    </w:p>
    <w:p w14:paraId="48E94782">
      <w:pPr>
        <w:shd w:val="clear"/>
        <w:spacing w:line="480" w:lineRule="exact"/>
        <w:jc w:val="left"/>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 xml:space="preserve">开户银行：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开户银行：</w:t>
      </w:r>
    </w:p>
    <w:p w14:paraId="2FB63BC2">
      <w:pPr>
        <w:pageBreakBefore w:val="0"/>
        <w:shd w:val="clear"/>
        <w:kinsoku/>
        <w:wordWrap/>
        <w:overflowPunct/>
        <w:topLinePunct w:val="0"/>
        <w:autoSpaceDE/>
        <w:autoSpaceDN/>
        <w:bidi w:val="0"/>
        <w:adjustRightInd/>
        <w:snapToGrid/>
        <w:spacing w:line="480" w:lineRule="exact"/>
        <w:ind w:firstLine="120"/>
        <w:jc w:val="left"/>
        <w:textAlignment w:val="auto"/>
        <w:rPr>
          <w:rFonts w:hint="eastAsia" w:ascii="宋体" w:hAnsi="宋体" w:eastAsia="宋体" w:cs="宋体"/>
          <w:kern w:val="0"/>
          <w:sz w:val="21"/>
          <w:szCs w:val="21"/>
          <w:highlight w:val="none"/>
          <w:lang w:val="zh-CN" w:bidi="zh-CN"/>
        </w:rPr>
      </w:pPr>
      <w:r>
        <w:rPr>
          <w:rFonts w:hint="eastAsia" w:ascii="宋体" w:hAnsi="宋体" w:cs="宋体"/>
          <w:kern w:val="0"/>
          <w:szCs w:val="21"/>
          <w:highlight w:val="none"/>
          <w:lang w:val="zh-CN" w:bidi="zh-CN"/>
        </w:rPr>
        <w:t xml:space="preserve">账  号：                         </w:t>
      </w:r>
      <w:r>
        <w:rPr>
          <w:rFonts w:hint="eastAsia" w:ascii="宋体" w:hAnsi="宋体" w:cs="宋体"/>
          <w:kern w:val="0"/>
          <w:szCs w:val="21"/>
          <w:highlight w:val="none"/>
          <w:lang w:bidi="zh-CN"/>
        </w:rPr>
        <w:t xml:space="preserve">      </w:t>
      </w:r>
      <w:r>
        <w:rPr>
          <w:rFonts w:hint="eastAsia" w:ascii="宋体" w:hAnsi="宋体" w:cs="宋体"/>
          <w:kern w:val="0"/>
          <w:szCs w:val="21"/>
          <w:highlight w:val="none"/>
          <w:lang w:val="zh-CN" w:bidi="zh-CN"/>
        </w:rPr>
        <w:t xml:space="preserve"> 账  号：</w:t>
      </w:r>
      <w:r>
        <w:rPr>
          <w:rFonts w:hint="eastAsia" w:ascii="宋体" w:hAnsi="宋体" w:cs="宋体"/>
          <w:kern w:val="0"/>
          <w:szCs w:val="21"/>
          <w:highlight w:val="none"/>
          <w:lang w:val="zh-CN" w:bidi="zh-CN"/>
        </w:rPr>
        <w:br w:type="page" w:clear="all"/>
      </w:r>
      <w:bookmarkEnd w:id="118"/>
      <w:bookmarkStart w:id="132" w:name="_Toc351203494"/>
      <w:bookmarkStart w:id="133" w:name="_Toc4852"/>
      <w:r>
        <w:rPr>
          <w:rFonts w:hint="eastAsia" w:ascii="宋体" w:hAnsi="宋体" w:eastAsia="宋体" w:cs="宋体"/>
          <w:kern w:val="0"/>
          <w:sz w:val="21"/>
          <w:szCs w:val="21"/>
          <w:highlight w:val="none"/>
          <w:lang w:val="zh-CN" w:bidi="zh-CN"/>
        </w:rPr>
        <w:t>第二部分 通用合同条款</w:t>
      </w:r>
      <w:bookmarkEnd w:id="132"/>
      <w:bookmarkStart w:id="134" w:name="_Toc337558727"/>
    </w:p>
    <w:p w14:paraId="5BDC39CD">
      <w:pPr>
        <w:pageBreakBefore w:val="0"/>
        <w:widowControl w:val="0"/>
        <w:shd w:val="clear"/>
        <w:kinsoku/>
        <w:wordWrap/>
        <w:overflowPunct/>
        <w:topLinePunct w:val="0"/>
        <w:autoSpaceDE/>
        <w:autoSpaceDN/>
        <w:bidi w:val="0"/>
        <w:adjustRightInd/>
        <w:snapToGrid/>
        <w:spacing w:line="480" w:lineRule="exact"/>
        <w:ind w:firstLine="56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此部分采用《建设工程施工合同》范本（GF-2013-0201）中《第二部分  通用条款》</w:t>
      </w:r>
      <w:bookmarkEnd w:id="134"/>
    </w:p>
    <w:p w14:paraId="1ABC018F">
      <w:pPr>
        <w:keepNext/>
        <w:keepLines/>
        <w:pageBreakBefore w:val="0"/>
        <w:widowControl w:val="0"/>
        <w:shd w:val="clear"/>
        <w:kinsoku/>
        <w:wordWrap/>
        <w:overflowPunct/>
        <w:topLinePunct w:val="0"/>
        <w:autoSpaceDE/>
        <w:autoSpaceDN/>
        <w:bidi w:val="0"/>
        <w:adjustRightInd/>
        <w:snapToGrid/>
        <w:spacing w:before="260" w:after="260" w:line="480" w:lineRule="exact"/>
        <w:textAlignment w:val="auto"/>
        <w:outlineLvl w:val="2"/>
        <w:rPr>
          <w:rFonts w:hint="eastAsia" w:ascii="宋体" w:hAnsi="宋体" w:eastAsia="宋体" w:cs="宋体"/>
          <w:b w:val="0"/>
          <w:bCs w:val="0"/>
          <w:kern w:val="2"/>
          <w:sz w:val="21"/>
          <w:szCs w:val="21"/>
          <w:highlight w:val="none"/>
          <w:lang w:val="zh-CN" w:eastAsia="zh-CN" w:bidi="zh-CN"/>
        </w:rPr>
      </w:pPr>
      <w:bookmarkStart w:id="135" w:name="_Toc351203632"/>
      <w:bookmarkStart w:id="136" w:name="_Toc27905"/>
      <w:r>
        <w:rPr>
          <w:rFonts w:hint="eastAsia" w:ascii="宋体" w:hAnsi="宋体" w:eastAsia="宋体" w:cs="宋体"/>
          <w:b w:val="0"/>
          <w:bCs w:val="0"/>
          <w:kern w:val="2"/>
          <w:sz w:val="21"/>
          <w:szCs w:val="21"/>
          <w:highlight w:val="none"/>
          <w:lang w:val="zh-CN" w:eastAsia="zh-CN" w:bidi="zh-CN"/>
        </w:rPr>
        <w:t>第三部分 专用合同条款</w:t>
      </w:r>
      <w:bookmarkEnd w:id="135"/>
      <w:bookmarkEnd w:id="136"/>
    </w:p>
    <w:p w14:paraId="404BB179">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137" w:name="_Toc351203633"/>
      <w:r>
        <w:rPr>
          <w:rFonts w:hint="eastAsia" w:ascii="宋体" w:hAnsi="宋体" w:eastAsia="宋体" w:cs="宋体"/>
          <w:b w:val="0"/>
          <w:bCs w:val="0"/>
          <w:kern w:val="2"/>
          <w:sz w:val="21"/>
          <w:szCs w:val="21"/>
          <w:highlight w:val="none"/>
          <w:lang w:val="zh-CN" w:eastAsia="zh-CN" w:bidi="zh-CN"/>
        </w:rPr>
        <w:t>1</w:t>
      </w:r>
      <w:bookmarkStart w:id="138" w:name="_Toc296890984"/>
      <w:bookmarkStart w:id="139" w:name="_Toc297048342"/>
      <w:bookmarkStart w:id="140" w:name="_Toc297120456"/>
      <w:bookmarkStart w:id="141" w:name="_Toc292559361"/>
      <w:bookmarkStart w:id="142" w:name="_Toc296503156"/>
      <w:bookmarkStart w:id="143" w:name="_Toc292559866"/>
      <w:bookmarkStart w:id="144" w:name="_Toc296944495"/>
      <w:bookmarkStart w:id="145" w:name="_Toc296891196"/>
      <w:bookmarkStart w:id="146" w:name="_Toc296346657"/>
      <w:bookmarkStart w:id="147" w:name="_Toc296347155"/>
      <w:r>
        <w:rPr>
          <w:rFonts w:hint="eastAsia" w:ascii="宋体" w:hAnsi="宋体" w:eastAsia="宋体" w:cs="宋体"/>
          <w:b w:val="0"/>
          <w:bCs w:val="0"/>
          <w:kern w:val="2"/>
          <w:sz w:val="21"/>
          <w:szCs w:val="21"/>
          <w:highlight w:val="none"/>
          <w:lang w:val="zh-CN" w:eastAsia="zh-CN" w:bidi="zh-CN"/>
        </w:rPr>
        <w:t>. 一般约定</w:t>
      </w:r>
      <w:bookmarkEnd w:id="137"/>
      <w:bookmarkEnd w:id="138"/>
      <w:bookmarkEnd w:id="139"/>
      <w:bookmarkEnd w:id="140"/>
      <w:bookmarkEnd w:id="141"/>
      <w:bookmarkEnd w:id="142"/>
      <w:bookmarkEnd w:id="143"/>
      <w:bookmarkEnd w:id="144"/>
      <w:bookmarkEnd w:id="145"/>
      <w:bookmarkEnd w:id="146"/>
      <w:bookmarkEnd w:id="147"/>
    </w:p>
    <w:p w14:paraId="12C7531D">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 词语定义</w:t>
      </w:r>
    </w:p>
    <w:p w14:paraId="62A2061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1.1.1合同</w:t>
      </w:r>
    </w:p>
    <w:p w14:paraId="211ED283">
      <w:pPr>
        <w:pageBreakBefore w:val="0"/>
        <w:widowControl w:val="0"/>
        <w:shd w:val="clear"/>
        <w:kinsoku/>
        <w:wordWrap/>
        <w:overflowPunct/>
        <w:topLinePunct w:val="0"/>
        <w:autoSpaceDE/>
        <w:autoSpaceDN/>
        <w:bidi w:val="0"/>
        <w:adjustRightInd/>
        <w:snapToGrid/>
        <w:spacing w:line="480" w:lineRule="exact"/>
        <w:ind w:firstLine="35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1.1.1.10其他合同文件包括：</w:t>
      </w:r>
      <w:r>
        <w:rPr>
          <w:rFonts w:hint="eastAsia" w:ascii="宋体" w:hAnsi="宋体" w:eastAsia="宋体" w:cs="宋体"/>
          <w:kern w:val="2"/>
          <w:sz w:val="21"/>
          <w:szCs w:val="21"/>
          <w:highlight w:val="none"/>
          <w:u w:val="single"/>
          <w:lang w:val="zh-CN" w:eastAsia="zh-CN" w:bidi="zh-CN"/>
        </w:rPr>
        <w:t>双方洽商的会议纪要或者补充协议</w:t>
      </w:r>
      <w:r>
        <w:rPr>
          <w:rFonts w:hint="eastAsia" w:ascii="宋体" w:hAnsi="宋体" w:eastAsia="宋体" w:cs="宋体"/>
          <w:kern w:val="2"/>
          <w:sz w:val="21"/>
          <w:szCs w:val="21"/>
          <w:highlight w:val="none"/>
          <w:lang w:val="zh-CN" w:eastAsia="zh-CN" w:bidi="zh-CN"/>
        </w:rPr>
        <w:t>。</w:t>
      </w:r>
    </w:p>
    <w:p w14:paraId="30900D3E">
      <w:pPr>
        <w:pageBreakBefore w:val="0"/>
        <w:widowControl w:val="0"/>
        <w:shd w:val="clear"/>
        <w:kinsoku/>
        <w:wordWrap/>
        <w:overflowPunct/>
        <w:topLinePunct w:val="0"/>
        <w:autoSpaceDE/>
        <w:autoSpaceDN/>
        <w:bidi w:val="0"/>
        <w:adjustRightInd/>
        <w:snapToGrid/>
        <w:spacing w:line="480" w:lineRule="exact"/>
        <w:ind w:firstLine="357"/>
        <w:textAlignment w:val="auto"/>
        <w:rPr>
          <w:rFonts w:hint="eastAsia" w:ascii="宋体" w:hAnsi="宋体" w:eastAsia="宋体" w:cs="宋体"/>
          <w:kern w:val="2"/>
          <w:sz w:val="21"/>
          <w:szCs w:val="21"/>
          <w:highlight w:val="none"/>
          <w:lang w:val="zh-CN" w:eastAsia="zh-CN" w:bidi="zh-CN"/>
        </w:rPr>
      </w:pPr>
    </w:p>
    <w:p w14:paraId="5530CA2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1.1.2 合同当事人及其他相关方</w:t>
      </w:r>
    </w:p>
    <w:p w14:paraId="49CA0CB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1.1.2.4</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w:t>
      </w:r>
    </w:p>
    <w:p w14:paraId="6BF8340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名    称：；</w:t>
      </w:r>
    </w:p>
    <w:p w14:paraId="3DF6355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资质类别和等级：；</w:t>
      </w:r>
    </w:p>
    <w:p w14:paraId="4BF353F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w:t>
      </w:r>
    </w:p>
    <w:p w14:paraId="41BDCA3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电子信箱：；</w:t>
      </w:r>
    </w:p>
    <w:p w14:paraId="64FD590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通信地址：。</w:t>
      </w:r>
    </w:p>
    <w:p w14:paraId="46BBE3E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1.1.2.5 设计人：</w:t>
      </w:r>
    </w:p>
    <w:p w14:paraId="1ACF98A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名    称：；</w:t>
      </w:r>
    </w:p>
    <w:p w14:paraId="021D574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资质类别和等级：；</w:t>
      </w:r>
    </w:p>
    <w:p w14:paraId="43A91C7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w:t>
      </w:r>
    </w:p>
    <w:p w14:paraId="097B5A7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电子信箱：；</w:t>
      </w:r>
    </w:p>
    <w:p w14:paraId="2033DD1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通信地址：。</w:t>
      </w:r>
    </w:p>
    <w:p w14:paraId="72FDCC1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1.1.3 工程和设备</w:t>
      </w:r>
    </w:p>
    <w:p w14:paraId="7BAE2F1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1.1.3.7 作为施工现场组成部分的其他场所包括：</w:t>
      </w:r>
      <w:r>
        <w:rPr>
          <w:rFonts w:hint="eastAsia" w:ascii="宋体" w:hAnsi="宋体" w:eastAsia="宋体" w:cs="宋体"/>
          <w:kern w:val="0"/>
          <w:sz w:val="21"/>
          <w:szCs w:val="21"/>
          <w:highlight w:val="none"/>
          <w:u w:val="single"/>
          <w:lang w:val="zh-CN" w:bidi="zh-CN"/>
        </w:rPr>
        <w:t xml:space="preserve">   无</w:t>
      </w:r>
      <w:r>
        <w:rPr>
          <w:rFonts w:hint="eastAsia" w:ascii="宋体" w:hAnsi="宋体" w:eastAsia="宋体" w:cs="宋体"/>
          <w:kern w:val="0"/>
          <w:sz w:val="21"/>
          <w:szCs w:val="21"/>
          <w:highlight w:val="none"/>
          <w:lang w:val="zh-CN" w:bidi="zh-CN"/>
        </w:rPr>
        <w:t>。</w:t>
      </w:r>
    </w:p>
    <w:p w14:paraId="77B2E54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1.1.3.9 永久占地包括：</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0B04EF0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1.1.3.10 临时占地包括：</w:t>
      </w:r>
      <w:r>
        <w:rPr>
          <w:rFonts w:hint="eastAsia" w:ascii="宋体" w:hAnsi="宋体" w:eastAsia="宋体" w:cs="宋体"/>
          <w:kern w:val="0"/>
          <w:sz w:val="21"/>
          <w:szCs w:val="21"/>
          <w:highlight w:val="none"/>
          <w:u w:val="single"/>
          <w:lang w:val="zh-CN" w:bidi="zh-CN"/>
        </w:rPr>
        <w:t xml:space="preserve">      施工场地周围道路 </w:t>
      </w:r>
      <w:r>
        <w:rPr>
          <w:rFonts w:hint="eastAsia" w:ascii="宋体" w:hAnsi="宋体" w:eastAsia="宋体" w:cs="宋体"/>
          <w:kern w:val="0"/>
          <w:sz w:val="21"/>
          <w:szCs w:val="21"/>
          <w:highlight w:val="none"/>
          <w:lang w:val="zh-CN" w:bidi="zh-CN"/>
        </w:rPr>
        <w:t>。</w:t>
      </w:r>
    </w:p>
    <w:p w14:paraId="7F511F1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1.3法律 </w:t>
      </w:r>
    </w:p>
    <w:p w14:paraId="40AFB441">
      <w:pPr>
        <w:pageBreakBefore w:val="0"/>
        <w:shd w:val="clear"/>
        <w:kinsoku/>
        <w:wordWrap/>
        <w:overflowPunct/>
        <w:topLinePunct w:val="0"/>
        <w:autoSpaceDE/>
        <w:autoSpaceDN/>
        <w:bidi w:val="0"/>
        <w:adjustRightInd/>
        <w:snapToGrid/>
        <w:spacing w:line="480" w:lineRule="exact"/>
        <w:ind w:left="6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适用于合同的其他规范性文件：</w:t>
      </w:r>
      <w:r>
        <w:rPr>
          <w:rFonts w:hint="eastAsia" w:ascii="宋体" w:hAnsi="宋体" w:eastAsia="宋体" w:cs="宋体"/>
          <w:spacing w:val="10"/>
          <w:kern w:val="0"/>
          <w:sz w:val="21"/>
          <w:szCs w:val="21"/>
          <w:highlight w:val="none"/>
          <w:u w:val="single"/>
          <w:lang w:val="zh-CN" w:bidi="zh-CN"/>
        </w:rPr>
        <w:t>现行国家、行业、专业及南京市的有关标准、规范、规定和条例所阐明的强制性标准。当对同一考核指标国家、行业、专业和南京市颁布的有关标准、规范产生不一致时，以其颁布的标准、规范较为严格者为准。</w:t>
      </w:r>
    </w:p>
    <w:p w14:paraId="6963B397">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 标准和规范</w:t>
      </w:r>
    </w:p>
    <w:p w14:paraId="35D7682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1.4.1适用于工程的标准规范包括：</w:t>
      </w:r>
      <w:r>
        <w:rPr>
          <w:rFonts w:hint="eastAsia" w:ascii="宋体" w:hAnsi="宋体" w:eastAsia="宋体" w:cs="宋体"/>
          <w:kern w:val="0"/>
          <w:sz w:val="21"/>
          <w:szCs w:val="21"/>
          <w:highlight w:val="none"/>
          <w:u w:val="single"/>
          <w:lang w:val="zh-CN" w:bidi="zh-CN"/>
        </w:rPr>
        <w:t>按招标文件和国家、省、市有关规定</w:t>
      </w:r>
      <w:r>
        <w:rPr>
          <w:rFonts w:hint="eastAsia" w:ascii="宋体" w:hAnsi="宋体" w:eastAsia="宋体" w:cs="宋体"/>
          <w:kern w:val="0"/>
          <w:sz w:val="21"/>
          <w:szCs w:val="21"/>
          <w:highlight w:val="none"/>
          <w:lang w:val="zh-CN" w:bidi="zh-CN"/>
        </w:rPr>
        <w:t>。</w:t>
      </w:r>
    </w:p>
    <w:p w14:paraId="4D369FD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1.4.2 发包人提供国外标准、规范的名称：</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1D33D8A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发包人提供国外标准、规范的份数：</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21C0953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发包人提供国外标准、规范的名称：</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4FB5B383">
      <w:pPr>
        <w:pageBreakBefore w:val="0"/>
        <w:shd w:val="clear"/>
        <w:kinsoku/>
        <w:wordWrap/>
        <w:overflowPunct/>
        <w:topLinePunct w:val="0"/>
        <w:autoSpaceDE/>
        <w:autoSpaceDN/>
        <w:bidi w:val="0"/>
        <w:adjustRightInd/>
        <w:snapToGrid/>
        <w:spacing w:line="480" w:lineRule="exact"/>
        <w:ind w:left="6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1.4.3发包人对工程的技术标准和功能要求的特殊要求：</w:t>
      </w:r>
      <w:r>
        <w:rPr>
          <w:rFonts w:hint="eastAsia" w:ascii="宋体" w:hAnsi="宋体" w:eastAsia="宋体" w:cs="宋体"/>
          <w:kern w:val="0"/>
          <w:sz w:val="21"/>
          <w:szCs w:val="21"/>
          <w:highlight w:val="none"/>
          <w:u w:val="single"/>
          <w:lang w:val="zh-CN" w:bidi="zh-CN"/>
        </w:rPr>
        <w:t xml:space="preserve">无    </w:t>
      </w:r>
      <w:r>
        <w:rPr>
          <w:rFonts w:hint="eastAsia" w:ascii="宋体" w:hAnsi="宋体" w:eastAsia="宋体" w:cs="宋体"/>
          <w:kern w:val="0"/>
          <w:sz w:val="21"/>
          <w:szCs w:val="21"/>
          <w:highlight w:val="none"/>
          <w:lang w:val="zh-CN" w:bidi="zh-CN"/>
        </w:rPr>
        <w:t>。</w:t>
      </w:r>
    </w:p>
    <w:p w14:paraId="0BC693C8">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 合同文件的优先顺序</w:t>
      </w:r>
    </w:p>
    <w:p w14:paraId="6229C72D">
      <w:pPr>
        <w:pageBreakBefore w:val="0"/>
        <w:widowControl w:val="0"/>
        <w:shd w:val="clear"/>
        <w:kinsoku/>
        <w:wordWrap/>
        <w:overflowPunct/>
        <w:topLinePunct w:val="0"/>
        <w:autoSpaceDE/>
        <w:autoSpaceDN/>
        <w:bidi w:val="0"/>
        <w:adjustRightInd/>
        <w:snapToGrid/>
        <w:spacing w:line="480" w:lineRule="exact"/>
        <w:ind w:firstLine="35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合同文件组成及优先顺序为：</w:t>
      </w:r>
      <w:r>
        <w:rPr>
          <w:rFonts w:hint="eastAsia" w:ascii="宋体" w:hAnsi="宋体" w:eastAsia="宋体" w:cs="宋体"/>
          <w:b w:val="0"/>
          <w:bCs w:val="0"/>
          <w:kern w:val="2"/>
          <w:sz w:val="21"/>
          <w:szCs w:val="21"/>
          <w:highlight w:val="none"/>
          <w:u w:val="single"/>
          <w:lang w:val="zh-CN" w:eastAsia="zh-CN" w:bidi="zh-CN"/>
        </w:rPr>
        <w:t>（1</w:t>
      </w:r>
      <w:r>
        <w:rPr>
          <w:rFonts w:hint="eastAsia" w:ascii="宋体" w:hAnsi="宋体" w:eastAsia="宋体" w:cs="宋体"/>
          <w:spacing w:val="10"/>
          <w:kern w:val="2"/>
          <w:sz w:val="21"/>
          <w:szCs w:val="21"/>
          <w:highlight w:val="none"/>
          <w:u w:val="single"/>
          <w:lang w:val="zh-CN" w:eastAsia="zh-CN" w:bidi="zh-CN"/>
        </w:rPr>
        <w:t>）合同协议书；（2）中标通知书；（3）投标函；（4）专用条款；（5）通用条款（6）技术标准和要求；（7）图纸；（8）工程量清单及招标控制价；（9）其他文件</w:t>
      </w:r>
    </w:p>
    <w:p w14:paraId="314462E8">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 图纸和承包人文件</w:t>
      </w:r>
      <w:r>
        <w:rPr>
          <w:rFonts w:hint="eastAsia" w:ascii="宋体" w:hAnsi="宋体" w:eastAsia="宋体" w:cs="宋体"/>
          <w:kern w:val="0"/>
          <w:sz w:val="21"/>
          <w:szCs w:val="21"/>
          <w:highlight w:val="none"/>
          <w:lang w:val="zh-CN" w:bidi="zh-CN"/>
        </w:rPr>
        <w:tab/>
      </w:r>
    </w:p>
    <w:p w14:paraId="029ADE8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1.6.1 图纸的提供</w:t>
      </w:r>
    </w:p>
    <w:p w14:paraId="1B7A987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发包人向承包人提供图纸的期限：</w:t>
      </w:r>
      <w:r>
        <w:rPr>
          <w:rFonts w:hint="eastAsia" w:ascii="宋体" w:hAnsi="宋体" w:eastAsia="宋体" w:cs="宋体"/>
          <w:kern w:val="0"/>
          <w:sz w:val="21"/>
          <w:szCs w:val="21"/>
          <w:highlight w:val="none"/>
          <w:u w:val="single"/>
          <w:lang w:val="zh-CN" w:bidi="zh-CN"/>
        </w:rPr>
        <w:t>签订合同后7日内，叁套</w:t>
      </w:r>
      <w:r>
        <w:rPr>
          <w:rFonts w:hint="eastAsia" w:ascii="宋体" w:hAnsi="宋体" w:eastAsia="宋体" w:cs="宋体"/>
          <w:kern w:val="0"/>
          <w:sz w:val="21"/>
          <w:szCs w:val="21"/>
          <w:highlight w:val="none"/>
          <w:lang w:val="zh-CN" w:bidi="zh-CN"/>
        </w:rPr>
        <w:t>；</w:t>
      </w:r>
    </w:p>
    <w:p w14:paraId="7E5E383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发包人向承包人提供图纸的数量：</w:t>
      </w:r>
      <w:r>
        <w:rPr>
          <w:rFonts w:hint="eastAsia" w:ascii="宋体" w:hAnsi="宋体" w:eastAsia="宋体" w:cs="宋体"/>
          <w:kern w:val="0"/>
          <w:sz w:val="21"/>
          <w:szCs w:val="21"/>
          <w:highlight w:val="none"/>
          <w:u w:val="single"/>
          <w:lang w:val="zh-CN" w:bidi="zh-CN"/>
        </w:rPr>
        <w:t xml:space="preserve">叁套    </w:t>
      </w:r>
      <w:r>
        <w:rPr>
          <w:rFonts w:hint="eastAsia" w:ascii="宋体" w:hAnsi="宋体" w:eastAsia="宋体" w:cs="宋体"/>
          <w:kern w:val="0"/>
          <w:sz w:val="21"/>
          <w:szCs w:val="21"/>
          <w:highlight w:val="none"/>
          <w:lang w:val="zh-CN" w:bidi="zh-CN"/>
        </w:rPr>
        <w:t>；</w:t>
      </w:r>
    </w:p>
    <w:p w14:paraId="758C54E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发包人向承包人提供图纸的内容：</w:t>
      </w:r>
      <w:r>
        <w:rPr>
          <w:rFonts w:hint="eastAsia" w:ascii="宋体" w:hAnsi="宋体" w:eastAsia="宋体" w:cs="宋体"/>
          <w:kern w:val="0"/>
          <w:sz w:val="21"/>
          <w:szCs w:val="21"/>
          <w:highlight w:val="none"/>
          <w:u w:val="single"/>
          <w:lang w:val="zh-CN" w:bidi="zh-CN"/>
        </w:rPr>
        <w:t>招标范围内各专业</w:t>
      </w:r>
      <w:r>
        <w:rPr>
          <w:rFonts w:hint="eastAsia" w:ascii="宋体" w:hAnsi="宋体" w:eastAsia="宋体" w:cs="宋体"/>
          <w:kern w:val="0"/>
          <w:sz w:val="21"/>
          <w:szCs w:val="21"/>
          <w:highlight w:val="none"/>
          <w:lang w:val="zh-CN" w:bidi="zh-CN"/>
        </w:rPr>
        <w:t>。</w:t>
      </w:r>
    </w:p>
    <w:p w14:paraId="02615AD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1.6.4 承包人文件</w:t>
      </w:r>
    </w:p>
    <w:p w14:paraId="7B32A599">
      <w:pPr>
        <w:pageBreakBefore w:val="0"/>
        <w:shd w:val="clear"/>
        <w:kinsoku/>
        <w:wordWrap/>
        <w:overflowPunct/>
        <w:topLinePunct w:val="0"/>
        <w:autoSpaceDE/>
        <w:autoSpaceDN/>
        <w:bidi w:val="0"/>
        <w:adjustRightInd/>
        <w:snapToGrid/>
        <w:spacing w:line="480" w:lineRule="exact"/>
        <w:ind w:left="6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需要由承包人提供的文件，包括：</w:t>
      </w:r>
      <w:r>
        <w:rPr>
          <w:rFonts w:hint="eastAsia" w:ascii="宋体" w:hAnsi="宋体" w:eastAsia="宋体" w:cs="宋体"/>
          <w:kern w:val="0"/>
          <w:sz w:val="21"/>
          <w:szCs w:val="21"/>
          <w:highlight w:val="none"/>
          <w:u w:val="single"/>
          <w:lang w:val="zh-CN" w:bidi="zh-CN"/>
        </w:rPr>
        <w:t>施工组织方案</w:t>
      </w:r>
      <w:r>
        <w:rPr>
          <w:rFonts w:hint="eastAsia" w:ascii="宋体" w:hAnsi="宋体" w:eastAsia="宋体" w:cs="宋体"/>
          <w:kern w:val="0"/>
          <w:sz w:val="21"/>
          <w:szCs w:val="21"/>
          <w:highlight w:val="none"/>
          <w:lang w:val="zh-CN" w:bidi="zh-CN"/>
        </w:rPr>
        <w:t>；</w:t>
      </w:r>
    </w:p>
    <w:p w14:paraId="2D5E2AF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承包人提供的文件的期限为：</w:t>
      </w:r>
      <w:r>
        <w:rPr>
          <w:rFonts w:hint="eastAsia" w:ascii="宋体" w:hAnsi="宋体" w:eastAsia="宋体" w:cs="宋体"/>
          <w:kern w:val="0"/>
          <w:sz w:val="21"/>
          <w:szCs w:val="21"/>
          <w:highlight w:val="none"/>
          <w:u w:val="single"/>
          <w:lang w:val="zh-CN" w:bidi="zh-CN"/>
        </w:rPr>
        <w:t>签订合同后7日内</w:t>
      </w:r>
      <w:r>
        <w:rPr>
          <w:rFonts w:hint="eastAsia" w:ascii="宋体" w:hAnsi="宋体" w:eastAsia="宋体" w:cs="宋体"/>
          <w:kern w:val="0"/>
          <w:sz w:val="21"/>
          <w:szCs w:val="21"/>
          <w:highlight w:val="none"/>
          <w:lang w:val="zh-CN" w:bidi="zh-CN"/>
        </w:rPr>
        <w:t>；</w:t>
      </w:r>
    </w:p>
    <w:p w14:paraId="7B3CC19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承包人提供的文件的数量为：</w:t>
      </w:r>
      <w:r>
        <w:rPr>
          <w:rFonts w:hint="eastAsia" w:ascii="宋体" w:hAnsi="宋体" w:eastAsia="宋体" w:cs="宋体"/>
          <w:kern w:val="0"/>
          <w:sz w:val="21"/>
          <w:szCs w:val="21"/>
          <w:highlight w:val="none"/>
          <w:u w:val="single"/>
          <w:lang w:val="zh-CN" w:bidi="zh-CN"/>
        </w:rPr>
        <w:t>贰份</w:t>
      </w:r>
      <w:r>
        <w:rPr>
          <w:rFonts w:hint="eastAsia" w:ascii="宋体" w:hAnsi="宋体" w:eastAsia="宋体" w:cs="宋体"/>
          <w:kern w:val="0"/>
          <w:sz w:val="21"/>
          <w:szCs w:val="21"/>
          <w:highlight w:val="none"/>
          <w:lang w:val="zh-CN" w:bidi="zh-CN"/>
        </w:rPr>
        <w:t>；</w:t>
      </w:r>
    </w:p>
    <w:p w14:paraId="031B191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承包人提供的文件的形式为：</w:t>
      </w:r>
      <w:r>
        <w:rPr>
          <w:rFonts w:hint="eastAsia" w:ascii="宋体" w:hAnsi="宋体" w:eastAsia="宋体" w:cs="宋体"/>
          <w:kern w:val="0"/>
          <w:sz w:val="21"/>
          <w:szCs w:val="21"/>
          <w:highlight w:val="none"/>
          <w:u w:val="single"/>
          <w:lang w:val="zh-CN" w:bidi="zh-CN"/>
        </w:rPr>
        <w:t>书面</w:t>
      </w:r>
      <w:r>
        <w:rPr>
          <w:rFonts w:hint="eastAsia" w:ascii="宋体" w:hAnsi="宋体" w:eastAsia="宋体" w:cs="宋体"/>
          <w:kern w:val="0"/>
          <w:sz w:val="21"/>
          <w:szCs w:val="21"/>
          <w:highlight w:val="none"/>
          <w:lang w:val="zh-CN" w:bidi="zh-CN"/>
        </w:rPr>
        <w:t>；</w:t>
      </w:r>
    </w:p>
    <w:p w14:paraId="73F0DCF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发包人审批承包人文件的期限：</w:t>
      </w:r>
      <w:r>
        <w:rPr>
          <w:rFonts w:hint="eastAsia" w:ascii="宋体" w:hAnsi="宋体" w:eastAsia="宋体" w:cs="宋体"/>
          <w:kern w:val="0"/>
          <w:sz w:val="21"/>
          <w:szCs w:val="21"/>
          <w:highlight w:val="none"/>
          <w:u w:val="single"/>
          <w:lang w:val="zh-CN" w:bidi="zh-CN"/>
        </w:rPr>
        <w:t>自收到文件后5日内</w:t>
      </w:r>
      <w:r>
        <w:rPr>
          <w:rFonts w:hint="eastAsia" w:ascii="宋体" w:hAnsi="宋体" w:eastAsia="宋体" w:cs="宋体"/>
          <w:kern w:val="0"/>
          <w:sz w:val="21"/>
          <w:szCs w:val="21"/>
          <w:highlight w:val="none"/>
          <w:lang w:val="zh-CN" w:bidi="zh-CN"/>
        </w:rPr>
        <w:t>。</w:t>
      </w:r>
    </w:p>
    <w:p w14:paraId="1D1D1BF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1.6.5 现场图纸准备</w:t>
      </w:r>
    </w:p>
    <w:p w14:paraId="310CEE4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关于现场图纸准备的约定：</w:t>
      </w:r>
      <w:r>
        <w:rPr>
          <w:rFonts w:hint="eastAsia" w:ascii="宋体" w:hAnsi="宋体" w:eastAsia="宋体" w:cs="宋体"/>
          <w:kern w:val="0"/>
          <w:sz w:val="21"/>
          <w:szCs w:val="21"/>
          <w:highlight w:val="none"/>
          <w:u w:val="single"/>
          <w:lang w:val="zh-CN" w:bidi="zh-CN"/>
        </w:rPr>
        <w:t>无</w:t>
      </w:r>
      <w:r>
        <w:rPr>
          <w:rFonts w:hint="eastAsia" w:ascii="宋体" w:hAnsi="宋体" w:eastAsia="宋体" w:cs="宋体"/>
          <w:kern w:val="0"/>
          <w:sz w:val="21"/>
          <w:szCs w:val="21"/>
          <w:highlight w:val="none"/>
          <w:lang w:val="zh-CN" w:bidi="zh-CN"/>
        </w:rPr>
        <w:t>。</w:t>
      </w:r>
    </w:p>
    <w:p w14:paraId="29B87FBF">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1.7 联络</w:t>
      </w:r>
    </w:p>
    <w:p w14:paraId="1223B03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1.7.1发包人和承包人应当在</w:t>
      </w:r>
      <w:r>
        <w:rPr>
          <w:rFonts w:hint="eastAsia" w:ascii="宋体" w:hAnsi="宋体" w:eastAsia="宋体" w:cs="宋体"/>
          <w:kern w:val="0"/>
          <w:sz w:val="21"/>
          <w:szCs w:val="21"/>
          <w:highlight w:val="none"/>
          <w:u w:val="single"/>
          <w:lang w:val="zh-CN" w:bidi="zh-CN"/>
        </w:rPr>
        <w:t xml:space="preserve">3  </w:t>
      </w:r>
      <w:r>
        <w:rPr>
          <w:rFonts w:hint="eastAsia" w:ascii="宋体" w:hAnsi="宋体" w:eastAsia="宋体" w:cs="宋体"/>
          <w:kern w:val="0"/>
          <w:sz w:val="21"/>
          <w:szCs w:val="21"/>
          <w:highlight w:val="none"/>
          <w:lang w:val="zh-CN" w:bidi="zh-CN"/>
        </w:rPr>
        <w:t>天内将与合同有关的通知、批准、证明、证书、指示、指令、要求、请求、同意、意见、确定和决定等书面函件送达对方当事人。</w:t>
      </w:r>
    </w:p>
    <w:p w14:paraId="29F6D55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1.7.2 发包人接收文件的地点：；</w:t>
      </w:r>
    </w:p>
    <w:p w14:paraId="7034398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发包人指定的接收人为：。</w:t>
      </w:r>
    </w:p>
    <w:p w14:paraId="7887423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承包人接收文件的地点：</w:t>
      </w:r>
      <w:r>
        <w:rPr>
          <w:rFonts w:hint="eastAsia" w:ascii="宋体" w:hAnsi="宋体" w:eastAsia="宋体" w:cs="宋体"/>
          <w:kern w:val="0"/>
          <w:sz w:val="21"/>
          <w:szCs w:val="21"/>
          <w:highlight w:val="none"/>
          <w:u w:val="single"/>
          <w:lang w:val="zh-CN" w:bidi="zh-CN"/>
        </w:rPr>
        <w:t>项目现场</w:t>
      </w:r>
      <w:r>
        <w:rPr>
          <w:rFonts w:hint="eastAsia" w:ascii="宋体" w:hAnsi="宋体" w:eastAsia="宋体" w:cs="宋体"/>
          <w:kern w:val="0"/>
          <w:sz w:val="21"/>
          <w:szCs w:val="21"/>
          <w:highlight w:val="none"/>
          <w:lang w:val="zh-CN" w:bidi="zh-CN"/>
        </w:rPr>
        <w:t>；</w:t>
      </w:r>
    </w:p>
    <w:p w14:paraId="71F43A1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承包人指定的接收人为：</w:t>
      </w:r>
      <w:r>
        <w:rPr>
          <w:rFonts w:hint="eastAsia" w:ascii="宋体" w:hAnsi="宋体" w:eastAsia="宋体" w:cs="宋体"/>
          <w:kern w:val="0"/>
          <w:sz w:val="21"/>
          <w:szCs w:val="21"/>
          <w:highlight w:val="none"/>
          <w:u w:val="single"/>
          <w:lang w:val="zh-CN" w:bidi="zh-CN"/>
        </w:rPr>
        <w:t xml:space="preserve">项目负责人   </w:t>
      </w:r>
      <w:r>
        <w:rPr>
          <w:rFonts w:hint="eastAsia" w:ascii="宋体" w:hAnsi="宋体" w:eastAsia="宋体" w:cs="宋体"/>
          <w:kern w:val="0"/>
          <w:sz w:val="21"/>
          <w:szCs w:val="21"/>
          <w:highlight w:val="none"/>
          <w:lang w:val="zh-CN" w:bidi="zh-CN"/>
        </w:rPr>
        <w:t>。</w:t>
      </w:r>
    </w:p>
    <w:p w14:paraId="44481CF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人接收文件的地点：</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421E47D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人指定的接收人为：</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lang w:val="zh-CN" w:bidi="zh-CN"/>
        </w:rPr>
        <w:t>。</w:t>
      </w:r>
    </w:p>
    <w:p w14:paraId="61A64008">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1.10 交通运输</w:t>
      </w:r>
    </w:p>
    <w:p w14:paraId="10C433F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Start w:id="148" w:name="_Toc304295521"/>
      <w:bookmarkStart w:id="149" w:name="_Toc318581155"/>
      <w:bookmarkStart w:id="150" w:name="_Toc312677986"/>
      <w:bookmarkStart w:id="151" w:name="_Toc300934943"/>
      <w:bookmarkStart w:id="152" w:name="_Toc303539100"/>
      <w:r>
        <w:rPr>
          <w:rFonts w:hint="eastAsia" w:ascii="宋体" w:hAnsi="宋体" w:eastAsia="宋体" w:cs="宋体"/>
          <w:kern w:val="0"/>
          <w:sz w:val="21"/>
          <w:szCs w:val="21"/>
          <w:highlight w:val="none"/>
          <w:lang w:val="zh-CN" w:bidi="zh-CN"/>
        </w:rPr>
        <w:t>.10.1 出入现场的权利</w:t>
      </w:r>
    </w:p>
    <w:p w14:paraId="3E6BD9CD">
      <w:pPr>
        <w:pageBreakBefore w:val="0"/>
        <w:shd w:val="clear"/>
        <w:kinsoku/>
        <w:wordWrap/>
        <w:overflowPunct/>
        <w:topLinePunct w:val="0"/>
        <w:autoSpaceDE/>
        <w:autoSpaceDN/>
        <w:bidi w:val="0"/>
        <w:adjustRightInd/>
        <w:snapToGrid/>
        <w:spacing w:line="480" w:lineRule="exact"/>
        <w:ind w:left="6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关于出入现场的权利的约定：</w:t>
      </w:r>
      <w:r>
        <w:rPr>
          <w:rFonts w:hint="eastAsia" w:ascii="宋体" w:hAnsi="宋体" w:eastAsia="宋体" w:cs="宋体"/>
          <w:kern w:val="0"/>
          <w:sz w:val="21"/>
          <w:szCs w:val="21"/>
          <w:highlight w:val="none"/>
          <w:u w:val="single"/>
          <w:lang w:val="zh-CN" w:bidi="zh-CN"/>
        </w:rPr>
        <w:t>发包人项目负责人及主管领导、承包人项目组成员</w:t>
      </w:r>
      <w:r>
        <w:rPr>
          <w:rFonts w:hint="eastAsia" w:ascii="宋体" w:hAnsi="宋体" w:eastAsia="宋体" w:cs="宋体"/>
          <w:kern w:val="0"/>
          <w:sz w:val="21"/>
          <w:szCs w:val="21"/>
          <w:highlight w:val="none"/>
          <w:lang w:val="zh-CN" w:bidi="zh-CN"/>
        </w:rPr>
        <w:t>。</w:t>
      </w:r>
      <w:bookmarkEnd w:id="148"/>
      <w:bookmarkEnd w:id="149"/>
      <w:bookmarkEnd w:id="150"/>
      <w:bookmarkEnd w:id="151"/>
      <w:bookmarkEnd w:id="152"/>
    </w:p>
    <w:p w14:paraId="41DFE2B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Start w:id="153" w:name="_Toc304295522"/>
      <w:bookmarkStart w:id="154" w:name="_Toc303539101"/>
      <w:bookmarkStart w:id="155" w:name="_Toc300934944"/>
      <w:bookmarkStart w:id="156" w:name="_Toc312677987"/>
      <w:bookmarkStart w:id="157" w:name="_Toc318581156"/>
      <w:r>
        <w:rPr>
          <w:rFonts w:hint="eastAsia" w:ascii="宋体" w:hAnsi="宋体" w:eastAsia="宋体" w:cs="宋体"/>
          <w:kern w:val="0"/>
          <w:sz w:val="21"/>
          <w:szCs w:val="21"/>
          <w:highlight w:val="none"/>
          <w:lang w:val="zh-CN" w:bidi="zh-CN"/>
        </w:rPr>
        <w:t>.10.3 场内交通</w:t>
      </w:r>
    </w:p>
    <w:p w14:paraId="04B970C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关于场外交通和场内交通的边界的约定：</w:t>
      </w:r>
      <w:r>
        <w:rPr>
          <w:rFonts w:hint="eastAsia" w:ascii="宋体" w:hAnsi="宋体" w:eastAsia="宋体" w:cs="宋体"/>
          <w:kern w:val="0"/>
          <w:sz w:val="21"/>
          <w:szCs w:val="21"/>
          <w:highlight w:val="none"/>
          <w:u w:val="single"/>
          <w:lang w:val="zh-CN" w:bidi="zh-CN"/>
        </w:rPr>
        <w:t>视项目现场情况另行约定</w:t>
      </w:r>
      <w:r>
        <w:rPr>
          <w:rFonts w:hint="eastAsia" w:ascii="宋体" w:hAnsi="宋体" w:eastAsia="宋体" w:cs="宋体"/>
          <w:kern w:val="0"/>
          <w:sz w:val="21"/>
          <w:szCs w:val="21"/>
          <w:highlight w:val="none"/>
          <w:lang w:val="zh-CN" w:bidi="zh-CN"/>
        </w:rPr>
        <w:t>。</w:t>
      </w:r>
    </w:p>
    <w:p w14:paraId="5431EB2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关于发包人向承包人免费提供满足工程施工需要的场内道路和交通设施的约定：</w:t>
      </w:r>
      <w:r>
        <w:rPr>
          <w:rFonts w:hint="eastAsia" w:ascii="宋体" w:hAnsi="宋体" w:eastAsia="宋体" w:cs="宋体"/>
          <w:kern w:val="0"/>
          <w:sz w:val="21"/>
          <w:szCs w:val="21"/>
          <w:highlight w:val="none"/>
          <w:u w:val="single"/>
          <w:lang w:val="zh-CN" w:bidi="zh-CN"/>
        </w:rPr>
        <w:t>无</w:t>
      </w:r>
      <w:r>
        <w:rPr>
          <w:rFonts w:hint="eastAsia" w:ascii="宋体" w:hAnsi="宋体" w:eastAsia="宋体" w:cs="宋体"/>
          <w:kern w:val="0"/>
          <w:sz w:val="21"/>
          <w:szCs w:val="21"/>
          <w:highlight w:val="none"/>
          <w:lang w:val="zh-CN" w:bidi="zh-CN"/>
        </w:rPr>
        <w:t>。</w:t>
      </w:r>
      <w:bookmarkEnd w:id="153"/>
      <w:bookmarkEnd w:id="154"/>
      <w:bookmarkEnd w:id="155"/>
      <w:bookmarkEnd w:id="156"/>
      <w:bookmarkEnd w:id="157"/>
      <w:bookmarkStart w:id="158" w:name="_Toc318581157"/>
    </w:p>
    <w:p w14:paraId="03A710D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1.10.4超大件和超重件的运输</w:t>
      </w:r>
    </w:p>
    <w:p w14:paraId="027EB2D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运输超大件或超重件所需的道路和桥梁临时加固改造费用和其他有关费用由</w:t>
      </w:r>
      <w:r>
        <w:rPr>
          <w:rFonts w:hint="eastAsia" w:ascii="宋体" w:hAnsi="宋体" w:eastAsia="宋体" w:cs="宋体"/>
          <w:kern w:val="0"/>
          <w:sz w:val="21"/>
          <w:szCs w:val="21"/>
          <w:highlight w:val="none"/>
          <w:u w:val="single"/>
          <w:lang w:val="zh-CN" w:bidi="zh-CN"/>
        </w:rPr>
        <w:t xml:space="preserve"> 承包人 </w:t>
      </w:r>
      <w:r>
        <w:rPr>
          <w:rFonts w:hint="eastAsia" w:ascii="宋体" w:hAnsi="宋体" w:eastAsia="宋体" w:cs="宋体"/>
          <w:kern w:val="0"/>
          <w:sz w:val="21"/>
          <w:szCs w:val="21"/>
          <w:highlight w:val="none"/>
          <w:lang w:val="zh-CN" w:bidi="zh-CN"/>
        </w:rPr>
        <w:t>承担。</w:t>
      </w:r>
      <w:bookmarkEnd w:id="158"/>
    </w:p>
    <w:p w14:paraId="7358D181">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1.11 知识产权</w:t>
      </w:r>
    </w:p>
    <w:p w14:paraId="41036F1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1"/>
          <w:szCs w:val="21"/>
          <w:highlight w:val="none"/>
          <w:u w:val="single"/>
          <w:lang w:val="zh-CN" w:bidi="zh-CN"/>
        </w:rPr>
        <w:t xml:space="preserve">图纸属设计院、其他属发包人 </w:t>
      </w:r>
      <w:r>
        <w:rPr>
          <w:rFonts w:hint="eastAsia" w:ascii="宋体" w:hAnsi="宋体" w:eastAsia="宋体" w:cs="宋体"/>
          <w:kern w:val="0"/>
          <w:sz w:val="21"/>
          <w:szCs w:val="21"/>
          <w:highlight w:val="none"/>
          <w:lang w:val="zh-CN" w:bidi="zh-CN"/>
        </w:rPr>
        <w:t>。</w:t>
      </w:r>
    </w:p>
    <w:p w14:paraId="66ABBF04">
      <w:pPr>
        <w:pageBreakBefore w:val="0"/>
        <w:shd w:val="clear"/>
        <w:kinsoku/>
        <w:wordWrap/>
        <w:overflowPunct/>
        <w:topLinePunct w:val="0"/>
        <w:autoSpaceDE/>
        <w:autoSpaceDN/>
        <w:bidi w:val="0"/>
        <w:adjustRightInd/>
        <w:snapToGrid/>
        <w:spacing w:line="480" w:lineRule="exact"/>
        <w:ind w:left="6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关于发包人提供的上述文件的使用限制的要求：</w:t>
      </w:r>
      <w:r>
        <w:rPr>
          <w:rFonts w:hint="eastAsia" w:ascii="宋体" w:hAnsi="宋体" w:eastAsia="宋体" w:cs="宋体"/>
          <w:kern w:val="0"/>
          <w:sz w:val="21"/>
          <w:szCs w:val="21"/>
          <w:highlight w:val="none"/>
          <w:u w:val="single"/>
          <w:lang w:val="zh-CN" w:bidi="zh-CN"/>
        </w:rPr>
        <w:t xml:space="preserve">  仅限于此工程项目  </w:t>
      </w:r>
      <w:r>
        <w:rPr>
          <w:rFonts w:hint="eastAsia" w:ascii="宋体" w:hAnsi="宋体" w:eastAsia="宋体" w:cs="宋体"/>
          <w:kern w:val="0"/>
          <w:sz w:val="21"/>
          <w:szCs w:val="21"/>
          <w:highlight w:val="none"/>
          <w:lang w:val="zh-CN" w:bidi="zh-CN"/>
        </w:rPr>
        <w:t>。</w:t>
      </w:r>
    </w:p>
    <w:p w14:paraId="7CD73DDA">
      <w:pPr>
        <w:pageBreakBefore w:val="0"/>
        <w:shd w:val="clear"/>
        <w:kinsoku/>
        <w:wordWrap/>
        <w:overflowPunct/>
        <w:topLinePunct w:val="0"/>
        <w:autoSpaceDE/>
        <w:autoSpaceDN/>
        <w:bidi w:val="0"/>
        <w:adjustRightInd/>
        <w:snapToGrid/>
        <w:spacing w:line="480" w:lineRule="exact"/>
        <w:ind w:left="6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1.11.2 关于承包人为实施工程所编制文件的著作权的归属：</w:t>
      </w:r>
      <w:r>
        <w:rPr>
          <w:rFonts w:hint="eastAsia" w:ascii="宋体" w:hAnsi="宋体" w:eastAsia="宋体" w:cs="宋体"/>
          <w:kern w:val="0"/>
          <w:sz w:val="21"/>
          <w:szCs w:val="21"/>
          <w:highlight w:val="none"/>
          <w:u w:val="single"/>
          <w:lang w:val="zh-CN" w:bidi="zh-CN"/>
        </w:rPr>
        <w:t xml:space="preserve"> 属承包人</w:t>
      </w:r>
      <w:r>
        <w:rPr>
          <w:rFonts w:hint="eastAsia" w:ascii="宋体" w:hAnsi="宋体" w:eastAsia="宋体" w:cs="宋体"/>
          <w:kern w:val="0"/>
          <w:sz w:val="21"/>
          <w:szCs w:val="21"/>
          <w:highlight w:val="none"/>
          <w:lang w:val="zh-CN" w:bidi="zh-CN"/>
        </w:rPr>
        <w:t>。</w:t>
      </w:r>
    </w:p>
    <w:p w14:paraId="2450041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关于承包人提供的上述文件的使用限制的要求：</w:t>
      </w:r>
      <w:r>
        <w:rPr>
          <w:rFonts w:hint="eastAsia" w:ascii="宋体" w:hAnsi="宋体" w:eastAsia="宋体" w:cs="宋体"/>
          <w:kern w:val="0"/>
          <w:sz w:val="21"/>
          <w:szCs w:val="21"/>
          <w:highlight w:val="none"/>
          <w:u w:val="single"/>
          <w:lang w:val="zh-CN" w:bidi="zh-CN"/>
        </w:rPr>
        <w:t xml:space="preserve">仅限于此工程项目 </w:t>
      </w:r>
      <w:r>
        <w:rPr>
          <w:rFonts w:hint="eastAsia" w:ascii="宋体" w:hAnsi="宋体" w:eastAsia="宋体" w:cs="宋体"/>
          <w:kern w:val="0"/>
          <w:sz w:val="21"/>
          <w:szCs w:val="21"/>
          <w:highlight w:val="none"/>
          <w:lang w:val="zh-CN" w:bidi="zh-CN"/>
        </w:rPr>
        <w:t>。</w:t>
      </w:r>
    </w:p>
    <w:p w14:paraId="3912AAA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1.11.4 承包人在施工过程中所采用的专利、专有技术、技术秘密的使用费的承担方式：</w:t>
      </w:r>
      <w:r>
        <w:rPr>
          <w:rFonts w:hint="eastAsia" w:ascii="宋体" w:hAnsi="宋体" w:eastAsia="宋体" w:cs="宋体"/>
          <w:kern w:val="0"/>
          <w:sz w:val="21"/>
          <w:szCs w:val="21"/>
          <w:highlight w:val="none"/>
          <w:u w:val="single"/>
          <w:lang w:val="zh-CN" w:bidi="zh-CN"/>
        </w:rPr>
        <w:t xml:space="preserve">由承包人承担  </w:t>
      </w:r>
      <w:r>
        <w:rPr>
          <w:rFonts w:hint="eastAsia" w:ascii="宋体" w:hAnsi="宋体" w:eastAsia="宋体" w:cs="宋体"/>
          <w:kern w:val="0"/>
          <w:sz w:val="21"/>
          <w:szCs w:val="21"/>
          <w:highlight w:val="none"/>
          <w:lang w:val="zh-CN" w:bidi="zh-CN"/>
        </w:rPr>
        <w:t>。</w:t>
      </w:r>
    </w:p>
    <w:p w14:paraId="7030FDB6">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1.13工程量清单错误的修正</w:t>
      </w:r>
    </w:p>
    <w:p w14:paraId="61EDAA3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出现工程量清单错误时，是否调整合同价格：</w:t>
      </w:r>
      <w:r>
        <w:rPr>
          <w:rFonts w:hint="eastAsia" w:ascii="宋体" w:hAnsi="宋体" w:eastAsia="宋体" w:cs="宋体"/>
          <w:kern w:val="0"/>
          <w:sz w:val="21"/>
          <w:szCs w:val="21"/>
          <w:highlight w:val="none"/>
          <w:u w:val="single"/>
          <w:lang w:val="zh-CN" w:bidi="zh-CN"/>
        </w:rPr>
        <w:t xml:space="preserve">  数量错误调整数量，综合单价不调整 </w:t>
      </w:r>
      <w:r>
        <w:rPr>
          <w:rFonts w:hint="eastAsia" w:ascii="宋体" w:hAnsi="宋体" w:eastAsia="宋体" w:cs="宋体"/>
          <w:kern w:val="0"/>
          <w:sz w:val="21"/>
          <w:szCs w:val="21"/>
          <w:highlight w:val="none"/>
          <w:lang w:val="zh-CN" w:bidi="zh-CN"/>
        </w:rPr>
        <w:t>。</w:t>
      </w:r>
    </w:p>
    <w:p w14:paraId="42C6E39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允许调整合同价格的工程量偏差范围：</w:t>
      </w:r>
      <w:r>
        <w:rPr>
          <w:rFonts w:hint="eastAsia" w:ascii="宋体" w:hAnsi="宋体" w:eastAsia="宋体" w:cs="宋体"/>
          <w:kern w:val="0"/>
          <w:sz w:val="21"/>
          <w:szCs w:val="21"/>
          <w:highlight w:val="none"/>
          <w:u w:val="single"/>
          <w:lang w:val="zh-CN" w:bidi="zh-CN"/>
        </w:rPr>
        <w:t xml:space="preserve">±2%  </w:t>
      </w:r>
      <w:r>
        <w:rPr>
          <w:rFonts w:hint="eastAsia" w:ascii="宋体" w:hAnsi="宋体" w:eastAsia="宋体" w:cs="宋体"/>
          <w:kern w:val="0"/>
          <w:sz w:val="21"/>
          <w:szCs w:val="21"/>
          <w:highlight w:val="none"/>
          <w:lang w:val="zh-CN" w:bidi="zh-CN"/>
        </w:rPr>
        <w:t>。</w:t>
      </w:r>
    </w:p>
    <w:p w14:paraId="24174827">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159" w:name="_Toc351203634"/>
      <w:r>
        <w:rPr>
          <w:rFonts w:hint="eastAsia" w:ascii="宋体" w:hAnsi="宋体" w:eastAsia="宋体" w:cs="宋体"/>
          <w:b w:val="0"/>
          <w:bCs w:val="0"/>
          <w:kern w:val="2"/>
          <w:sz w:val="21"/>
          <w:szCs w:val="21"/>
          <w:highlight w:val="none"/>
          <w:lang w:val="zh-CN" w:eastAsia="zh-CN" w:bidi="zh-CN"/>
        </w:rPr>
        <w:t>2</w:t>
      </w:r>
      <w:bookmarkStart w:id="160" w:name="_Toc296890985"/>
      <w:bookmarkStart w:id="161" w:name="_Toc297120457"/>
      <w:bookmarkStart w:id="162" w:name="_Toc296944496"/>
      <w:bookmarkStart w:id="163" w:name="_Toc296503157"/>
      <w:bookmarkStart w:id="164" w:name="_Toc296891197"/>
      <w:bookmarkStart w:id="165" w:name="_Toc292559867"/>
      <w:bookmarkStart w:id="166" w:name="_Toc297048343"/>
      <w:bookmarkStart w:id="167" w:name="_Toc296347156"/>
      <w:bookmarkStart w:id="168" w:name="_Toc292559362"/>
      <w:bookmarkStart w:id="169" w:name="_Toc296346658"/>
      <w:r>
        <w:rPr>
          <w:rFonts w:hint="eastAsia" w:ascii="宋体" w:hAnsi="宋体" w:eastAsia="宋体" w:cs="宋体"/>
          <w:b w:val="0"/>
          <w:bCs w:val="0"/>
          <w:kern w:val="2"/>
          <w:sz w:val="21"/>
          <w:szCs w:val="21"/>
          <w:highlight w:val="none"/>
          <w:lang w:val="zh-CN" w:eastAsia="zh-CN" w:bidi="zh-CN"/>
        </w:rPr>
        <w:t>. 发包人</w:t>
      </w:r>
      <w:bookmarkEnd w:id="159"/>
      <w:bookmarkEnd w:id="160"/>
      <w:bookmarkEnd w:id="161"/>
      <w:bookmarkEnd w:id="162"/>
      <w:bookmarkEnd w:id="163"/>
      <w:bookmarkEnd w:id="164"/>
      <w:bookmarkEnd w:id="165"/>
      <w:bookmarkEnd w:id="166"/>
      <w:bookmarkEnd w:id="167"/>
      <w:bookmarkEnd w:id="168"/>
      <w:bookmarkEnd w:id="169"/>
    </w:p>
    <w:p w14:paraId="6E3DDD3B">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2.2 发包人代表</w:t>
      </w:r>
    </w:p>
    <w:p w14:paraId="1220F00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发包人代表：</w:t>
      </w:r>
    </w:p>
    <w:p w14:paraId="72DA1AB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姓    名：；</w:t>
      </w:r>
    </w:p>
    <w:p w14:paraId="10A8C31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身份证号：；</w:t>
      </w:r>
    </w:p>
    <w:p w14:paraId="58217C3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职    务：；</w:t>
      </w:r>
    </w:p>
    <w:p w14:paraId="40BFBE4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w:t>
      </w:r>
    </w:p>
    <w:p w14:paraId="1D8A8CA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通信地址：。</w:t>
      </w:r>
    </w:p>
    <w:p w14:paraId="717C24D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发包人对发包人代表的授权范围如下：</w:t>
      </w:r>
      <w:r>
        <w:rPr>
          <w:rFonts w:hint="eastAsia" w:ascii="宋体" w:hAnsi="宋体" w:eastAsia="宋体" w:cs="宋体"/>
          <w:kern w:val="0"/>
          <w:sz w:val="21"/>
          <w:szCs w:val="21"/>
          <w:highlight w:val="none"/>
          <w:u w:val="single"/>
          <w:lang w:val="zh-CN" w:bidi="zh-CN"/>
        </w:rPr>
        <w:t xml:space="preserve">代表发包人行使职权   </w:t>
      </w:r>
      <w:r>
        <w:rPr>
          <w:rFonts w:hint="eastAsia" w:ascii="宋体" w:hAnsi="宋体" w:eastAsia="宋体" w:cs="宋体"/>
          <w:kern w:val="0"/>
          <w:sz w:val="21"/>
          <w:szCs w:val="21"/>
          <w:highlight w:val="none"/>
          <w:lang w:val="zh-CN" w:bidi="zh-CN"/>
        </w:rPr>
        <w:t>。</w:t>
      </w:r>
    </w:p>
    <w:p w14:paraId="4759FFDE">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2.4 施工现场、施工条件和基础资料的提供</w:t>
      </w:r>
    </w:p>
    <w:p w14:paraId="2E4CA12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2.4.1 提供施工现场</w:t>
      </w:r>
    </w:p>
    <w:p w14:paraId="0E4048B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关于发包人移交施工现场的期限要求：</w:t>
      </w:r>
      <w:r>
        <w:rPr>
          <w:rFonts w:hint="eastAsia" w:ascii="宋体" w:hAnsi="宋体" w:cs="宋体"/>
          <w:kern w:val="0"/>
          <w:sz w:val="21"/>
          <w:szCs w:val="21"/>
          <w:highlight w:val="none"/>
          <w:u w:val="single"/>
          <w:lang w:val="en-US" w:bidi="zh-CN"/>
        </w:rPr>
        <w:t>/</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lang w:val="zh-CN" w:bidi="zh-CN"/>
        </w:rPr>
        <w:t>。</w:t>
      </w:r>
    </w:p>
    <w:p w14:paraId="1ABC2B3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2.4.2 提供施工条件</w:t>
      </w:r>
    </w:p>
    <w:p w14:paraId="682FD80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关于发包人应负责提供施工所需要的条件，包括：</w:t>
      </w:r>
      <w:r>
        <w:rPr>
          <w:rFonts w:hint="eastAsia" w:ascii="宋体" w:hAnsi="宋体" w:eastAsia="宋体" w:cs="宋体"/>
          <w:kern w:val="0"/>
          <w:sz w:val="21"/>
          <w:szCs w:val="21"/>
          <w:highlight w:val="none"/>
          <w:u w:val="single"/>
          <w:lang w:val="zh-CN" w:bidi="zh-CN"/>
        </w:rPr>
        <w:t xml:space="preserve"> 1、施工场地具备施工条件；2、施工场地与公共道路的通道开通时间和要求：以现场为准；3、开工前提供水准点与坐标管制点，按施工图要求由发包人、承包人现场交验   </w:t>
      </w:r>
      <w:r>
        <w:rPr>
          <w:rFonts w:hint="eastAsia" w:ascii="宋体" w:hAnsi="宋体" w:eastAsia="宋体" w:cs="宋体"/>
          <w:kern w:val="0"/>
          <w:sz w:val="21"/>
          <w:szCs w:val="21"/>
          <w:highlight w:val="none"/>
          <w:lang w:val="zh-CN" w:bidi="zh-CN"/>
        </w:rPr>
        <w:t>。</w:t>
      </w:r>
    </w:p>
    <w:p w14:paraId="3B20BDE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2.5 资金来源证明及支付担保</w:t>
      </w:r>
    </w:p>
    <w:p w14:paraId="1554443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发包人提供资金来源证明的期限要求：</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u w:val="single"/>
          <w:lang w:val="en-US" w:bidi="zh-CN"/>
        </w:rPr>
        <w:t>无</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lang w:val="zh-CN" w:bidi="zh-CN"/>
        </w:rPr>
        <w:t>。</w:t>
      </w:r>
    </w:p>
    <w:p w14:paraId="48105AE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发包人是否提供支付担保：</w:t>
      </w:r>
      <w:r>
        <w:rPr>
          <w:rFonts w:hint="eastAsia" w:ascii="宋体" w:hAnsi="宋体" w:eastAsia="宋体" w:cs="宋体"/>
          <w:kern w:val="0"/>
          <w:sz w:val="21"/>
          <w:szCs w:val="21"/>
          <w:highlight w:val="none"/>
          <w:u w:val="single"/>
          <w:lang w:val="zh-CN" w:bidi="zh-CN"/>
        </w:rPr>
        <w:t xml:space="preserve"> 否      </w:t>
      </w:r>
      <w:r>
        <w:rPr>
          <w:rFonts w:hint="eastAsia" w:ascii="宋体" w:hAnsi="宋体" w:eastAsia="宋体" w:cs="宋体"/>
          <w:kern w:val="0"/>
          <w:sz w:val="21"/>
          <w:szCs w:val="21"/>
          <w:highlight w:val="none"/>
          <w:lang w:val="zh-CN" w:bidi="zh-CN"/>
        </w:rPr>
        <w:t>。</w:t>
      </w:r>
    </w:p>
    <w:p w14:paraId="755B258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发包人提供支付担保的形式：</w:t>
      </w:r>
      <w:r>
        <w:rPr>
          <w:rFonts w:hint="eastAsia" w:ascii="宋体" w:hAnsi="宋体" w:eastAsia="宋体" w:cs="宋体"/>
          <w:kern w:val="0"/>
          <w:sz w:val="21"/>
          <w:szCs w:val="21"/>
          <w:highlight w:val="none"/>
          <w:u w:val="single"/>
          <w:lang w:val="zh-CN" w:bidi="zh-CN"/>
        </w:rPr>
        <w:t xml:space="preserve">无       </w:t>
      </w:r>
      <w:r>
        <w:rPr>
          <w:rFonts w:hint="eastAsia" w:ascii="宋体" w:hAnsi="宋体" w:eastAsia="宋体" w:cs="宋体"/>
          <w:kern w:val="0"/>
          <w:sz w:val="21"/>
          <w:szCs w:val="21"/>
          <w:highlight w:val="none"/>
          <w:lang w:val="zh-CN" w:bidi="zh-CN"/>
        </w:rPr>
        <w:t>。</w:t>
      </w:r>
    </w:p>
    <w:p w14:paraId="0509276D">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170" w:name="_Toc351203635"/>
      <w:r>
        <w:rPr>
          <w:rFonts w:hint="eastAsia" w:ascii="宋体" w:hAnsi="宋体" w:eastAsia="宋体" w:cs="宋体"/>
          <w:b w:val="0"/>
          <w:bCs w:val="0"/>
          <w:kern w:val="2"/>
          <w:sz w:val="21"/>
          <w:szCs w:val="21"/>
          <w:highlight w:val="none"/>
          <w:lang w:val="zh-CN" w:eastAsia="zh-CN" w:bidi="zh-CN"/>
        </w:rPr>
        <w:t>3</w:t>
      </w:r>
      <w:bookmarkStart w:id="171" w:name="_Toc296347157"/>
      <w:bookmarkStart w:id="172" w:name="_Toc297120458"/>
      <w:bookmarkStart w:id="173" w:name="_Toc292559868"/>
      <w:bookmarkStart w:id="174" w:name="_Toc296891198"/>
      <w:bookmarkStart w:id="175" w:name="_Toc296503158"/>
      <w:bookmarkStart w:id="176" w:name="_Toc296944497"/>
      <w:bookmarkStart w:id="177" w:name="_Toc297048344"/>
      <w:bookmarkStart w:id="178" w:name="_Toc292559363"/>
      <w:bookmarkStart w:id="179" w:name="_Toc296890986"/>
      <w:bookmarkStart w:id="180" w:name="_Toc296346659"/>
      <w:r>
        <w:rPr>
          <w:rFonts w:hint="eastAsia" w:ascii="宋体" w:hAnsi="宋体" w:eastAsia="宋体" w:cs="宋体"/>
          <w:b w:val="0"/>
          <w:bCs w:val="0"/>
          <w:kern w:val="2"/>
          <w:sz w:val="21"/>
          <w:szCs w:val="21"/>
          <w:highlight w:val="none"/>
          <w:lang w:val="zh-CN" w:eastAsia="zh-CN" w:bidi="zh-CN"/>
        </w:rPr>
        <w:t>. 承包人</w:t>
      </w:r>
      <w:bookmarkEnd w:id="170"/>
      <w:bookmarkEnd w:id="171"/>
      <w:bookmarkEnd w:id="172"/>
      <w:bookmarkEnd w:id="173"/>
      <w:bookmarkEnd w:id="174"/>
      <w:bookmarkEnd w:id="175"/>
      <w:bookmarkEnd w:id="176"/>
      <w:bookmarkEnd w:id="177"/>
      <w:bookmarkEnd w:id="178"/>
      <w:bookmarkEnd w:id="179"/>
      <w:bookmarkEnd w:id="180"/>
    </w:p>
    <w:p w14:paraId="35D9D341">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3.1 承包人的一般义务</w:t>
      </w:r>
    </w:p>
    <w:p w14:paraId="5EFBE9A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（5）承包人提交的竣工资料的内容：</w:t>
      </w:r>
      <w:r>
        <w:rPr>
          <w:rFonts w:hint="eastAsia" w:ascii="宋体" w:hAnsi="宋体" w:eastAsia="宋体" w:cs="宋体"/>
          <w:kern w:val="0"/>
          <w:sz w:val="21"/>
          <w:szCs w:val="21"/>
          <w:highlight w:val="none"/>
          <w:u w:val="single"/>
          <w:lang w:val="zh-CN" w:bidi="zh-CN"/>
        </w:rPr>
        <w:t xml:space="preserve">  竣工图、竣工结算资料、设计变更、签证等  </w:t>
      </w:r>
      <w:r>
        <w:rPr>
          <w:rFonts w:hint="eastAsia" w:ascii="宋体" w:hAnsi="宋体" w:eastAsia="宋体" w:cs="宋体"/>
          <w:kern w:val="0"/>
          <w:sz w:val="21"/>
          <w:szCs w:val="21"/>
          <w:highlight w:val="none"/>
          <w:lang w:val="zh-CN" w:bidi="zh-CN"/>
        </w:rPr>
        <w:t>。</w:t>
      </w:r>
    </w:p>
    <w:p w14:paraId="511AEC4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承包人需要提交的竣工资料套数：</w:t>
      </w:r>
      <w:r>
        <w:rPr>
          <w:rFonts w:hint="eastAsia" w:ascii="宋体" w:hAnsi="宋体" w:eastAsia="宋体" w:cs="宋体"/>
          <w:kern w:val="0"/>
          <w:sz w:val="21"/>
          <w:szCs w:val="21"/>
          <w:highlight w:val="none"/>
          <w:u w:val="single"/>
          <w:lang w:val="zh-CN" w:bidi="zh-CN"/>
        </w:rPr>
        <w:t xml:space="preserve">   肆套          </w:t>
      </w:r>
      <w:r>
        <w:rPr>
          <w:rFonts w:hint="eastAsia" w:ascii="宋体" w:hAnsi="宋体" w:eastAsia="宋体" w:cs="宋体"/>
          <w:kern w:val="0"/>
          <w:sz w:val="21"/>
          <w:szCs w:val="21"/>
          <w:highlight w:val="none"/>
          <w:lang w:val="zh-CN" w:bidi="zh-CN"/>
        </w:rPr>
        <w:t>。</w:t>
      </w:r>
    </w:p>
    <w:p w14:paraId="75302FE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承包人提交的竣工资料的费用承担：</w:t>
      </w:r>
      <w:r>
        <w:rPr>
          <w:rFonts w:hint="eastAsia" w:ascii="宋体" w:hAnsi="宋体" w:eastAsia="宋体" w:cs="宋体"/>
          <w:kern w:val="0"/>
          <w:sz w:val="21"/>
          <w:szCs w:val="21"/>
          <w:highlight w:val="none"/>
          <w:u w:val="single"/>
          <w:lang w:val="zh-CN" w:bidi="zh-CN"/>
        </w:rPr>
        <w:t xml:space="preserve">   自行承担    </w:t>
      </w:r>
      <w:r>
        <w:rPr>
          <w:rFonts w:hint="eastAsia" w:ascii="宋体" w:hAnsi="宋体" w:eastAsia="宋体" w:cs="宋体"/>
          <w:kern w:val="0"/>
          <w:sz w:val="21"/>
          <w:szCs w:val="21"/>
          <w:highlight w:val="none"/>
          <w:lang w:val="zh-CN" w:bidi="zh-CN"/>
        </w:rPr>
        <w:t>。</w:t>
      </w:r>
    </w:p>
    <w:p w14:paraId="5B74C7D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承包人提交的竣工资料移交时间：</w:t>
      </w:r>
      <w:r>
        <w:rPr>
          <w:rFonts w:hint="eastAsia" w:ascii="宋体" w:hAnsi="宋体" w:eastAsia="宋体" w:cs="宋体"/>
          <w:kern w:val="0"/>
          <w:sz w:val="21"/>
          <w:szCs w:val="21"/>
          <w:highlight w:val="none"/>
          <w:u w:val="single"/>
          <w:lang w:val="zh-CN" w:bidi="zh-CN"/>
        </w:rPr>
        <w:t xml:space="preserve">    工程竣工一个月后  </w:t>
      </w:r>
      <w:r>
        <w:rPr>
          <w:rFonts w:hint="eastAsia" w:ascii="宋体" w:hAnsi="宋体" w:eastAsia="宋体" w:cs="宋体"/>
          <w:kern w:val="0"/>
          <w:sz w:val="21"/>
          <w:szCs w:val="21"/>
          <w:highlight w:val="none"/>
          <w:lang w:val="zh-CN" w:bidi="zh-CN"/>
        </w:rPr>
        <w:t>。</w:t>
      </w:r>
    </w:p>
    <w:p w14:paraId="70013EF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承包人提交的竣工资料形式要求：</w:t>
      </w:r>
      <w:r>
        <w:rPr>
          <w:rFonts w:hint="eastAsia" w:ascii="宋体" w:hAnsi="宋体" w:eastAsia="宋体" w:cs="宋体"/>
          <w:kern w:val="0"/>
          <w:sz w:val="21"/>
          <w:szCs w:val="21"/>
          <w:highlight w:val="none"/>
          <w:u w:val="single"/>
          <w:lang w:val="zh-CN" w:bidi="zh-CN"/>
        </w:rPr>
        <w:t xml:space="preserve">   书面、电子          </w:t>
      </w:r>
      <w:r>
        <w:rPr>
          <w:rFonts w:hint="eastAsia" w:ascii="宋体" w:hAnsi="宋体" w:eastAsia="宋体" w:cs="宋体"/>
          <w:kern w:val="0"/>
          <w:sz w:val="21"/>
          <w:szCs w:val="21"/>
          <w:highlight w:val="none"/>
          <w:lang w:val="zh-CN" w:bidi="zh-CN"/>
        </w:rPr>
        <w:t>。</w:t>
      </w:r>
    </w:p>
    <w:p w14:paraId="61A6BD6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（6）承包人应履行的其他义务：</w:t>
      </w:r>
      <w:r>
        <w:rPr>
          <w:rFonts w:hint="eastAsia" w:ascii="宋体" w:hAnsi="宋体" w:eastAsia="宋体" w:cs="宋体"/>
          <w:kern w:val="0"/>
          <w:sz w:val="21"/>
          <w:szCs w:val="21"/>
          <w:highlight w:val="none"/>
          <w:u w:val="single"/>
          <w:lang w:val="zh-CN" w:bidi="zh-CN"/>
        </w:rPr>
        <w:t xml:space="preserve">按通用条款    </w:t>
      </w:r>
      <w:r>
        <w:rPr>
          <w:rFonts w:hint="eastAsia" w:ascii="宋体" w:hAnsi="宋体" w:eastAsia="宋体" w:cs="宋体"/>
          <w:kern w:val="0"/>
          <w:sz w:val="21"/>
          <w:szCs w:val="21"/>
          <w:highlight w:val="none"/>
          <w:lang w:val="zh-CN" w:bidi="zh-CN"/>
        </w:rPr>
        <w:t>。</w:t>
      </w:r>
    </w:p>
    <w:p w14:paraId="236AA85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3.2 项目经理</w:t>
      </w:r>
    </w:p>
    <w:p w14:paraId="7C562E8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3.2.1 项目经理：</w:t>
      </w:r>
    </w:p>
    <w:p w14:paraId="3236AE5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姓    名：；</w:t>
      </w:r>
    </w:p>
    <w:p w14:paraId="6A13373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身份证号：；</w:t>
      </w:r>
    </w:p>
    <w:p w14:paraId="4813EA2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建造师执业资格等级：；</w:t>
      </w:r>
    </w:p>
    <w:p w14:paraId="04BCB75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建造师注册证书号：；</w:t>
      </w:r>
    </w:p>
    <w:p w14:paraId="6B8D475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建造师执业印章号：；</w:t>
      </w:r>
    </w:p>
    <w:p w14:paraId="67A5FBF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安全生产考核合格证书号：；</w:t>
      </w:r>
    </w:p>
    <w:p w14:paraId="2BD368C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w:t>
      </w:r>
    </w:p>
    <w:p w14:paraId="081D2BC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电子信箱：；</w:t>
      </w:r>
    </w:p>
    <w:p w14:paraId="6B9C637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通信地址：；</w:t>
      </w:r>
    </w:p>
    <w:p w14:paraId="04C41A05">
      <w:pPr>
        <w:pageBreakBefore w:val="0"/>
        <w:widowControl w:val="0"/>
        <w:shd w:val="clear"/>
        <w:kinsoku/>
        <w:wordWrap/>
        <w:overflowPunct/>
        <w:topLinePunct w:val="0"/>
        <w:autoSpaceDE/>
        <w:autoSpaceDN/>
        <w:bidi w:val="0"/>
        <w:adjustRightInd/>
        <w:snapToGrid/>
        <w:spacing w:line="480" w:lineRule="exact"/>
        <w:ind w:firstLine="48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承包人对项目经理的授权范围如下：</w:t>
      </w:r>
      <w:r>
        <w:rPr>
          <w:rFonts w:hint="eastAsia" w:ascii="宋体" w:hAnsi="宋体" w:eastAsia="宋体" w:cs="宋体"/>
          <w:kern w:val="2"/>
          <w:sz w:val="21"/>
          <w:szCs w:val="21"/>
          <w:highlight w:val="none"/>
          <w:u w:val="single"/>
          <w:lang w:val="zh-CN" w:eastAsia="zh-CN" w:bidi="zh-CN"/>
        </w:rPr>
        <w:t xml:space="preserve">代表承包人行使合同约定的乙方权利和义务，履行合同约定的乙方职责 </w:t>
      </w:r>
      <w:r>
        <w:rPr>
          <w:rFonts w:hint="eastAsia" w:ascii="宋体" w:hAnsi="宋体" w:eastAsia="宋体" w:cs="宋体"/>
          <w:kern w:val="2"/>
          <w:sz w:val="21"/>
          <w:szCs w:val="21"/>
          <w:highlight w:val="none"/>
          <w:lang w:val="zh-CN" w:eastAsia="zh-CN" w:bidi="zh-CN"/>
        </w:rPr>
        <w:t>。</w:t>
      </w:r>
    </w:p>
    <w:p w14:paraId="2EB7C48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关于项目经理每月在施工现场的时间要求：</w:t>
      </w:r>
      <w:r>
        <w:rPr>
          <w:rFonts w:hint="eastAsia" w:ascii="宋体" w:hAnsi="宋体" w:eastAsia="宋体" w:cs="宋体"/>
          <w:kern w:val="0"/>
          <w:sz w:val="21"/>
          <w:szCs w:val="21"/>
          <w:highlight w:val="none"/>
          <w:u w:val="single"/>
          <w:lang w:val="zh-CN" w:bidi="zh-CN"/>
        </w:rPr>
        <w:t>一周不少于六天，每天不少于8小时</w:t>
      </w:r>
      <w:r>
        <w:rPr>
          <w:rFonts w:hint="eastAsia" w:ascii="宋体" w:hAnsi="宋体" w:eastAsia="宋体" w:cs="宋体"/>
          <w:kern w:val="0"/>
          <w:sz w:val="21"/>
          <w:szCs w:val="21"/>
          <w:highlight w:val="none"/>
          <w:lang w:val="zh-CN" w:bidi="zh-CN"/>
        </w:rPr>
        <w:t>。</w:t>
      </w:r>
    </w:p>
    <w:p w14:paraId="02F3A17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承包人未提交劳动合同，以及没有为项目经理缴纳社会保险证明的违约责任：</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07CAE52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项目经理未经批准，擅自离开施工现场的违约责任：</w:t>
      </w:r>
      <w:r>
        <w:rPr>
          <w:rFonts w:hint="eastAsia" w:ascii="宋体" w:hAnsi="宋体" w:eastAsia="宋体" w:cs="宋体"/>
          <w:kern w:val="0"/>
          <w:sz w:val="21"/>
          <w:szCs w:val="21"/>
          <w:highlight w:val="none"/>
          <w:u w:val="single"/>
          <w:lang w:val="zh-CN" w:bidi="zh-CN"/>
        </w:rPr>
        <w:t xml:space="preserve">  人员离开工地需经发包人及总</w:t>
      </w:r>
      <w:r>
        <w:rPr>
          <w:rFonts w:hint="eastAsia" w:ascii="宋体" w:hAnsi="宋体" w:cs="宋体"/>
          <w:kern w:val="0"/>
          <w:sz w:val="21"/>
          <w:szCs w:val="21"/>
          <w:highlight w:val="none"/>
          <w:u w:val="single"/>
          <w:lang w:val="zh-CN" w:bidi="zh-CN"/>
        </w:rPr>
        <w:t>监理（如有）</w:t>
      </w:r>
      <w:r>
        <w:rPr>
          <w:rFonts w:hint="eastAsia" w:ascii="宋体" w:hAnsi="宋体" w:eastAsia="宋体" w:cs="宋体"/>
          <w:kern w:val="0"/>
          <w:sz w:val="21"/>
          <w:szCs w:val="21"/>
          <w:highlight w:val="none"/>
          <w:u w:val="single"/>
          <w:lang w:val="zh-CN" w:bidi="zh-CN"/>
        </w:rPr>
        <w:t>工程师同意，若无正当理由且未经发包人及总</w:t>
      </w:r>
      <w:r>
        <w:rPr>
          <w:rFonts w:hint="eastAsia" w:ascii="宋体" w:hAnsi="宋体" w:cs="宋体"/>
          <w:kern w:val="0"/>
          <w:sz w:val="21"/>
          <w:szCs w:val="21"/>
          <w:highlight w:val="none"/>
          <w:u w:val="single"/>
          <w:lang w:val="zh-CN" w:bidi="zh-CN"/>
        </w:rPr>
        <w:t>监理（如有）</w:t>
      </w:r>
      <w:r>
        <w:rPr>
          <w:rFonts w:hint="eastAsia" w:ascii="宋体" w:hAnsi="宋体" w:eastAsia="宋体" w:cs="宋体"/>
          <w:kern w:val="0"/>
          <w:sz w:val="21"/>
          <w:szCs w:val="21"/>
          <w:highlight w:val="none"/>
          <w:u w:val="single"/>
          <w:lang w:val="zh-CN" w:bidi="zh-CN"/>
        </w:rPr>
        <w:t>工程师的同意不在工地现场的，发现一次罚款1000元。若项目经理及主要管理人员未经同意连续5天不在工地或两个月内累计十天不在现场，发包人有权要求撤换人员或解除合同，追究违约责任人</w:t>
      </w:r>
      <w:r>
        <w:rPr>
          <w:rFonts w:hint="eastAsia" w:ascii="宋体" w:hAnsi="宋体" w:eastAsia="宋体" w:cs="宋体"/>
          <w:kern w:val="0"/>
          <w:sz w:val="21"/>
          <w:szCs w:val="21"/>
          <w:highlight w:val="none"/>
          <w:lang w:val="zh-CN" w:bidi="zh-CN"/>
        </w:rPr>
        <w:t>。</w:t>
      </w:r>
    </w:p>
    <w:p w14:paraId="6BCCC92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3.2.3 承包人擅自更换项目经理的违约责任：</w:t>
      </w:r>
      <w:r>
        <w:rPr>
          <w:rFonts w:hint="eastAsia" w:ascii="宋体" w:hAnsi="宋体" w:eastAsia="宋体" w:cs="宋体"/>
          <w:kern w:val="0"/>
          <w:sz w:val="21"/>
          <w:szCs w:val="21"/>
          <w:highlight w:val="none"/>
          <w:u w:val="single"/>
          <w:lang w:val="zh-CN" w:bidi="zh-CN"/>
        </w:rPr>
        <w:t xml:space="preserve"> 解除合同、追究违约责任，并报主管局备案</w:t>
      </w:r>
      <w:r>
        <w:rPr>
          <w:rFonts w:hint="eastAsia" w:ascii="宋体" w:hAnsi="宋体" w:eastAsia="宋体" w:cs="宋体"/>
          <w:kern w:val="0"/>
          <w:sz w:val="21"/>
          <w:szCs w:val="21"/>
          <w:highlight w:val="none"/>
          <w:lang w:val="zh-CN" w:bidi="zh-CN"/>
        </w:rPr>
        <w:t>。</w:t>
      </w:r>
    </w:p>
    <w:p w14:paraId="04FBC041">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    3.2.4 承包人无正当理由拒绝更换项目经理的违约责任：</w:t>
      </w:r>
      <w:r>
        <w:rPr>
          <w:rFonts w:hint="eastAsia" w:ascii="宋体" w:hAnsi="宋体" w:eastAsia="宋体" w:cs="宋体"/>
          <w:kern w:val="0"/>
          <w:sz w:val="21"/>
          <w:szCs w:val="21"/>
          <w:highlight w:val="none"/>
          <w:u w:val="single"/>
          <w:lang w:val="zh-CN" w:bidi="zh-CN"/>
        </w:rPr>
        <w:t xml:space="preserve"> 如出现以上情况或其他违约，发包人有权要求承包人撤换调整其认为不称职的项目经理及项目部成员，承包人拒绝的，发包人有权解除合同</w:t>
      </w:r>
      <w:r>
        <w:rPr>
          <w:rFonts w:hint="eastAsia" w:ascii="宋体" w:hAnsi="宋体" w:eastAsia="宋体" w:cs="宋体"/>
          <w:kern w:val="0"/>
          <w:sz w:val="21"/>
          <w:szCs w:val="21"/>
          <w:highlight w:val="none"/>
          <w:lang w:val="zh-CN" w:bidi="zh-CN"/>
        </w:rPr>
        <w:t>。</w:t>
      </w:r>
    </w:p>
    <w:p w14:paraId="5552EA14">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3.3 承包人人员</w:t>
      </w:r>
    </w:p>
    <w:p w14:paraId="2336B32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3.3.1 承包人提交项目管理机构及施工现场管理人员安排报告的期限：</w:t>
      </w:r>
      <w:r>
        <w:rPr>
          <w:rFonts w:hint="eastAsia" w:ascii="宋体" w:hAnsi="宋体" w:eastAsia="宋体" w:cs="宋体"/>
          <w:kern w:val="0"/>
          <w:sz w:val="21"/>
          <w:szCs w:val="21"/>
          <w:highlight w:val="none"/>
          <w:u w:val="single"/>
          <w:lang w:val="zh-CN" w:bidi="zh-CN"/>
        </w:rPr>
        <w:t xml:space="preserve">  开工前一周 </w:t>
      </w:r>
      <w:r>
        <w:rPr>
          <w:rFonts w:hint="eastAsia" w:ascii="宋体" w:hAnsi="宋体" w:eastAsia="宋体" w:cs="宋体"/>
          <w:kern w:val="0"/>
          <w:sz w:val="21"/>
          <w:szCs w:val="21"/>
          <w:highlight w:val="none"/>
          <w:lang w:val="zh-CN" w:bidi="zh-CN"/>
        </w:rPr>
        <w:t>。</w:t>
      </w:r>
    </w:p>
    <w:p w14:paraId="2EDCA77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3.3.3 承包人无正当理由拒绝撤换主要施工管理人员的违约责任：</w:t>
      </w:r>
      <w:r>
        <w:rPr>
          <w:rFonts w:hint="eastAsia" w:ascii="宋体" w:hAnsi="宋体" w:eastAsia="宋体" w:cs="宋体"/>
          <w:kern w:val="0"/>
          <w:sz w:val="21"/>
          <w:szCs w:val="21"/>
          <w:highlight w:val="none"/>
          <w:u w:val="single"/>
          <w:lang w:val="zh-CN" w:bidi="zh-CN"/>
        </w:rPr>
        <w:t>发包人有权要求承包人撤换调整其认为不称职的项目经理及项目部成员，承包人拒绝的，发包人有权解除合同</w:t>
      </w:r>
      <w:r>
        <w:rPr>
          <w:rFonts w:hint="eastAsia" w:ascii="宋体" w:hAnsi="宋体" w:eastAsia="宋体" w:cs="宋体"/>
          <w:kern w:val="0"/>
          <w:sz w:val="21"/>
          <w:szCs w:val="21"/>
          <w:highlight w:val="none"/>
          <w:lang w:val="zh-CN" w:bidi="zh-CN"/>
        </w:rPr>
        <w:t>。</w:t>
      </w:r>
    </w:p>
    <w:p w14:paraId="44011FA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3.3.4 承包人主要施工管理人员离开施工现场的批准要求：</w:t>
      </w:r>
      <w:r>
        <w:rPr>
          <w:rFonts w:hint="eastAsia" w:ascii="宋体" w:hAnsi="宋体" w:eastAsia="宋体" w:cs="宋体"/>
          <w:kern w:val="0"/>
          <w:sz w:val="21"/>
          <w:szCs w:val="21"/>
          <w:highlight w:val="none"/>
          <w:u w:val="single"/>
          <w:lang w:val="zh-CN" w:bidi="zh-CN"/>
        </w:rPr>
        <w:t xml:space="preserve">经发包人书面批准 </w:t>
      </w:r>
      <w:r>
        <w:rPr>
          <w:rFonts w:hint="eastAsia" w:ascii="宋体" w:hAnsi="宋体" w:eastAsia="宋体" w:cs="宋体"/>
          <w:kern w:val="0"/>
          <w:sz w:val="21"/>
          <w:szCs w:val="21"/>
          <w:highlight w:val="none"/>
          <w:lang w:val="zh-CN" w:bidi="zh-CN"/>
        </w:rPr>
        <w:t>。</w:t>
      </w:r>
    </w:p>
    <w:p w14:paraId="3386331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3.3.5承包人擅自更换主要施工管理人员的违约责任：</w:t>
      </w:r>
      <w:r>
        <w:rPr>
          <w:rFonts w:hint="eastAsia" w:ascii="宋体" w:hAnsi="宋体" w:eastAsia="宋体" w:cs="宋体"/>
          <w:kern w:val="0"/>
          <w:sz w:val="21"/>
          <w:szCs w:val="21"/>
          <w:highlight w:val="none"/>
          <w:u w:val="single"/>
          <w:lang w:val="zh-CN" w:bidi="zh-CN"/>
        </w:rPr>
        <w:t xml:space="preserve">投标文件中及合同中明确的项目经理和各专业人员不得擅自变更，开工时或施工过程中若有擅自变更，发包人有权解除合同，并追究由此带来的发包人一切损失  </w:t>
      </w:r>
      <w:r>
        <w:rPr>
          <w:rFonts w:hint="eastAsia" w:ascii="宋体" w:hAnsi="宋体" w:eastAsia="宋体" w:cs="宋体"/>
          <w:kern w:val="0"/>
          <w:sz w:val="21"/>
          <w:szCs w:val="21"/>
          <w:highlight w:val="none"/>
          <w:lang w:val="zh-CN" w:bidi="zh-CN"/>
        </w:rPr>
        <w:t>。</w:t>
      </w:r>
    </w:p>
    <w:p w14:paraId="6D63539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承包人主要施工管理人员擅自离开施工现场的违约责任：</w:t>
      </w:r>
      <w:r>
        <w:rPr>
          <w:rFonts w:hint="eastAsia" w:ascii="宋体" w:hAnsi="宋体" w:eastAsia="宋体" w:cs="宋体"/>
          <w:kern w:val="0"/>
          <w:sz w:val="21"/>
          <w:szCs w:val="21"/>
          <w:highlight w:val="none"/>
          <w:u w:val="single"/>
          <w:lang w:val="zh-CN" w:bidi="zh-CN"/>
        </w:rPr>
        <w:t xml:space="preserve"> 主要人员必须常驻现场，若出现未经发包人书面批准的主要人员更换的情况，则视为违约。如承包人违约，发包人将处罚承包人2000元/次的违约金  </w:t>
      </w:r>
      <w:r>
        <w:rPr>
          <w:rFonts w:hint="eastAsia" w:ascii="宋体" w:hAnsi="宋体" w:eastAsia="宋体" w:cs="宋体"/>
          <w:kern w:val="0"/>
          <w:sz w:val="21"/>
          <w:szCs w:val="21"/>
          <w:highlight w:val="none"/>
          <w:lang w:val="zh-CN" w:bidi="zh-CN"/>
        </w:rPr>
        <w:t>。</w:t>
      </w:r>
    </w:p>
    <w:p w14:paraId="5090207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w:t>
      </w:r>
      <w:bookmarkStart w:id="181" w:name="_Toc292559869"/>
      <w:bookmarkStart w:id="182" w:name="_Toc296890987"/>
      <w:bookmarkStart w:id="183" w:name="_Toc297120459"/>
      <w:bookmarkStart w:id="184" w:name="_Toc297216151"/>
      <w:bookmarkStart w:id="185" w:name="_Toc312677988"/>
      <w:bookmarkStart w:id="186" w:name="_Toc292559364"/>
      <w:bookmarkStart w:id="187" w:name="_Toc296347158"/>
      <w:bookmarkStart w:id="188" w:name="_Toc297123492"/>
      <w:bookmarkStart w:id="189" w:name="_Toc297048345"/>
      <w:bookmarkStart w:id="190" w:name="_Toc296944498"/>
      <w:bookmarkStart w:id="191" w:name="_Toc296346660"/>
      <w:bookmarkStart w:id="192" w:name="_Toc296891199"/>
      <w:bookmarkStart w:id="193" w:name="_Toc300934945"/>
      <w:bookmarkStart w:id="194" w:name="_Toc296503159"/>
      <w:bookmarkStart w:id="195" w:name="_Toc303539102"/>
      <w:bookmarkStart w:id="196" w:name="_Toc304295523"/>
      <w:r>
        <w:rPr>
          <w:rFonts w:hint="eastAsia" w:ascii="宋体" w:hAnsi="宋体" w:eastAsia="宋体" w:cs="宋体"/>
          <w:kern w:val="0"/>
          <w:sz w:val="21"/>
          <w:szCs w:val="21"/>
          <w:highlight w:val="none"/>
          <w:lang w:val="zh-CN" w:bidi="zh-CN"/>
        </w:rPr>
        <w:t>.5 分包</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31F3C9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w:t>
      </w:r>
      <w:bookmarkStart w:id="197" w:name="_Toc297048346"/>
      <w:bookmarkStart w:id="198" w:name="_Toc292559365"/>
      <w:bookmarkStart w:id="199" w:name="_Toc296346661"/>
      <w:bookmarkStart w:id="200" w:name="_Toc297216152"/>
      <w:bookmarkStart w:id="201" w:name="_Toc296891200"/>
      <w:bookmarkStart w:id="202" w:name="_Toc297123493"/>
      <w:bookmarkStart w:id="203" w:name="_Toc318581158"/>
      <w:bookmarkStart w:id="204" w:name="_Toc304295524"/>
      <w:bookmarkStart w:id="205" w:name="_Toc300934946"/>
      <w:bookmarkStart w:id="206" w:name="_Toc296503160"/>
      <w:bookmarkStart w:id="207" w:name="_Toc296347159"/>
      <w:bookmarkStart w:id="208" w:name="_Toc292559870"/>
      <w:bookmarkStart w:id="209" w:name="_Toc312677989"/>
      <w:bookmarkStart w:id="210" w:name="_Toc296890988"/>
      <w:bookmarkStart w:id="211" w:name="_Toc296944499"/>
      <w:bookmarkStart w:id="212" w:name="_Toc303539103"/>
      <w:bookmarkStart w:id="213" w:name="_Toc297120460"/>
      <w:r>
        <w:rPr>
          <w:rFonts w:hint="eastAsia" w:ascii="宋体" w:hAnsi="宋体" w:eastAsia="宋体" w:cs="宋体"/>
          <w:kern w:val="0"/>
          <w:sz w:val="21"/>
          <w:szCs w:val="21"/>
          <w:highlight w:val="none"/>
          <w:lang w:val="zh-CN" w:bidi="zh-CN"/>
        </w:rPr>
        <w:t>.5.1 分包的一般约定</w:t>
      </w:r>
    </w:p>
    <w:p w14:paraId="3265E2D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禁止分包的工程包括：</w:t>
      </w:r>
      <w:r>
        <w:rPr>
          <w:rFonts w:hint="eastAsia" w:ascii="宋体" w:hAnsi="宋体" w:eastAsia="宋体" w:cs="宋体"/>
          <w:kern w:val="0"/>
          <w:sz w:val="21"/>
          <w:szCs w:val="21"/>
          <w:highlight w:val="none"/>
          <w:u w:val="single"/>
          <w:lang w:val="zh-CN" w:bidi="zh-CN"/>
        </w:rPr>
        <w:t xml:space="preserve">主体、关键性工作  </w:t>
      </w:r>
      <w:r>
        <w:rPr>
          <w:rFonts w:hint="eastAsia" w:ascii="宋体" w:hAnsi="宋体" w:eastAsia="宋体" w:cs="宋体"/>
          <w:kern w:val="0"/>
          <w:sz w:val="21"/>
          <w:szCs w:val="21"/>
          <w:highlight w:val="none"/>
          <w:lang w:val="zh-CN" w:bidi="zh-CN"/>
        </w:rPr>
        <w:t>。</w:t>
      </w:r>
    </w:p>
    <w:p w14:paraId="15FA56C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主体结构、关键性工作的范围：</w:t>
      </w:r>
      <w:r>
        <w:rPr>
          <w:rFonts w:hint="eastAsia" w:ascii="宋体" w:hAnsi="宋体" w:eastAsia="宋体" w:cs="宋体"/>
          <w:kern w:val="0"/>
          <w:sz w:val="21"/>
          <w:szCs w:val="21"/>
          <w:highlight w:val="none"/>
          <w:u w:val="single"/>
          <w:lang w:val="zh-CN" w:bidi="zh-CN"/>
        </w:rPr>
        <w:t xml:space="preserve"> 本协议约定的所有施工内容 </w:t>
      </w:r>
      <w:r>
        <w:rPr>
          <w:rFonts w:hint="eastAsia" w:ascii="宋体" w:hAnsi="宋体" w:eastAsia="宋体" w:cs="宋体"/>
          <w:kern w:val="0"/>
          <w:sz w:val="21"/>
          <w:szCs w:val="21"/>
          <w:highlight w:val="none"/>
          <w:lang w:val="zh-CN" w:bidi="zh-CN"/>
        </w:rPr>
        <w: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4" w:name="_Toc296891201"/>
      <w:bookmarkEnd w:id="214"/>
      <w:bookmarkStart w:id="215" w:name="_Toc297123494"/>
      <w:bookmarkEnd w:id="215"/>
      <w:bookmarkStart w:id="216" w:name="_Toc296503161"/>
      <w:bookmarkEnd w:id="216"/>
      <w:bookmarkStart w:id="217" w:name="_Toc296890989"/>
      <w:bookmarkEnd w:id="217"/>
      <w:bookmarkStart w:id="218" w:name="_Toc297120461"/>
      <w:bookmarkEnd w:id="218"/>
      <w:bookmarkStart w:id="219" w:name="_Toc297216153"/>
      <w:bookmarkEnd w:id="219"/>
      <w:bookmarkStart w:id="220" w:name="_Toc303539104"/>
      <w:bookmarkEnd w:id="220"/>
      <w:bookmarkStart w:id="221" w:name="_Toc304295525"/>
      <w:bookmarkEnd w:id="221"/>
      <w:bookmarkStart w:id="222" w:name="_Toc296346662"/>
      <w:bookmarkEnd w:id="222"/>
      <w:bookmarkStart w:id="223" w:name="_Toc297048347"/>
      <w:bookmarkEnd w:id="223"/>
      <w:bookmarkStart w:id="224" w:name="_Toc296944500"/>
      <w:bookmarkEnd w:id="224"/>
      <w:bookmarkStart w:id="225" w:name="_Toc300934947"/>
      <w:bookmarkEnd w:id="225"/>
      <w:bookmarkStart w:id="226" w:name="_Toc296347160"/>
      <w:bookmarkEnd w:id="226"/>
    </w:p>
    <w:p w14:paraId="2965F302">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    3</w:t>
      </w:r>
      <w:bookmarkStart w:id="227" w:name="_Toc312677990"/>
      <w:bookmarkStart w:id="228" w:name="_Toc318581159"/>
      <w:r>
        <w:rPr>
          <w:rFonts w:hint="eastAsia" w:ascii="宋体" w:hAnsi="宋体" w:eastAsia="宋体" w:cs="宋体"/>
          <w:kern w:val="0"/>
          <w:sz w:val="21"/>
          <w:szCs w:val="21"/>
          <w:highlight w:val="none"/>
          <w:lang w:val="zh-CN" w:bidi="zh-CN"/>
        </w:rPr>
        <w:t>.5.2分包的确定</w:t>
      </w:r>
    </w:p>
    <w:p w14:paraId="719F6E4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允许分包的专业工程包括：</w:t>
      </w:r>
      <w:r>
        <w:rPr>
          <w:rFonts w:hint="eastAsia" w:ascii="宋体" w:hAnsi="宋体" w:eastAsia="宋体" w:cs="宋体"/>
          <w:kern w:val="0"/>
          <w:sz w:val="21"/>
          <w:szCs w:val="21"/>
          <w:highlight w:val="none"/>
          <w:u w:val="single"/>
          <w:lang w:val="zh-CN" w:bidi="zh-CN"/>
        </w:rPr>
        <w:t xml:space="preserve">无  </w:t>
      </w:r>
      <w:r>
        <w:rPr>
          <w:rFonts w:hint="eastAsia" w:ascii="宋体" w:hAnsi="宋体" w:eastAsia="宋体" w:cs="宋体"/>
          <w:kern w:val="0"/>
          <w:sz w:val="21"/>
          <w:szCs w:val="21"/>
          <w:highlight w:val="none"/>
          <w:lang w:val="zh-CN" w:bidi="zh-CN"/>
        </w:rPr>
        <w:t>。</w:t>
      </w:r>
    </w:p>
    <w:p w14:paraId="56C4003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其他关于分包的约定：</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38263D3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3.5.4 分包合同价款</w:t>
      </w:r>
    </w:p>
    <w:p w14:paraId="0F677F7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关于分包合同价款支付的约定：</w:t>
      </w:r>
      <w:r>
        <w:rPr>
          <w:rFonts w:hint="eastAsia" w:ascii="宋体" w:hAnsi="宋体" w:eastAsia="宋体" w:cs="宋体"/>
          <w:kern w:val="0"/>
          <w:sz w:val="21"/>
          <w:szCs w:val="21"/>
          <w:highlight w:val="none"/>
          <w:u w:val="single"/>
          <w:lang w:val="zh-CN" w:bidi="zh-CN"/>
        </w:rPr>
        <w:t xml:space="preserve">无    </w:t>
      </w:r>
      <w:r>
        <w:rPr>
          <w:rFonts w:hint="eastAsia" w:ascii="宋体" w:hAnsi="宋体" w:eastAsia="宋体" w:cs="宋体"/>
          <w:kern w:val="0"/>
          <w:sz w:val="21"/>
          <w:szCs w:val="21"/>
          <w:highlight w:val="none"/>
          <w:lang w:val="zh-CN" w:bidi="zh-CN"/>
        </w:rPr>
        <w:t>。</w:t>
      </w:r>
      <w:bookmarkEnd w:id="227"/>
      <w:bookmarkEnd w:id="228"/>
    </w:p>
    <w:p w14:paraId="084B336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3.6 工程照管与成品、半成品保护</w:t>
      </w:r>
    </w:p>
    <w:p w14:paraId="28B3726C">
      <w:pPr>
        <w:pageBreakBefore w:val="0"/>
        <w:shd w:val="clear"/>
        <w:kinsoku/>
        <w:wordWrap/>
        <w:overflowPunct/>
        <w:topLinePunct w:val="0"/>
        <w:autoSpaceDE/>
        <w:autoSpaceDN/>
        <w:bidi w:val="0"/>
        <w:adjustRightInd/>
        <w:snapToGrid/>
        <w:spacing w:before="120" w:after="12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承包人负责照管工程及工程相关的材料、工程设备的起始时间：</w:t>
      </w:r>
      <w:r>
        <w:rPr>
          <w:rFonts w:hint="eastAsia" w:ascii="宋体" w:hAnsi="宋体" w:eastAsia="宋体" w:cs="宋体"/>
          <w:kern w:val="0"/>
          <w:sz w:val="21"/>
          <w:szCs w:val="21"/>
          <w:highlight w:val="none"/>
          <w:u w:val="single"/>
          <w:lang w:val="zh-CN" w:bidi="zh-CN"/>
        </w:rPr>
        <w:t xml:space="preserve">  从开工日至竣工日结束后30天 </w:t>
      </w:r>
      <w:r>
        <w:rPr>
          <w:rFonts w:hint="eastAsia" w:ascii="宋体" w:hAnsi="宋体" w:eastAsia="宋体" w:cs="宋体"/>
          <w:kern w:val="0"/>
          <w:sz w:val="21"/>
          <w:szCs w:val="21"/>
          <w:highlight w:val="none"/>
          <w:lang w:val="zh-CN" w:bidi="zh-CN"/>
        </w:rPr>
        <w:t>。</w:t>
      </w:r>
    </w:p>
    <w:p w14:paraId="7E7CD1ED">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3.7 履约担保</w:t>
      </w:r>
    </w:p>
    <w:p w14:paraId="0E951E2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承包人是否提供履约担保：</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 xml:space="preserve">  。</w:t>
      </w:r>
    </w:p>
    <w:p w14:paraId="33F1B1C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承包人提供履约担保的形式、金额及期限的：</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 xml:space="preserve"> 。       </w:t>
      </w:r>
    </w:p>
    <w:p w14:paraId="66609854">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229" w:name="_Toc351203636"/>
      <w:r>
        <w:rPr>
          <w:rFonts w:hint="eastAsia" w:ascii="宋体" w:hAnsi="宋体" w:eastAsia="宋体" w:cs="宋体"/>
          <w:b w:val="0"/>
          <w:bCs w:val="0"/>
          <w:kern w:val="2"/>
          <w:sz w:val="21"/>
          <w:szCs w:val="21"/>
          <w:highlight w:val="none"/>
          <w:lang w:val="zh-CN" w:eastAsia="zh-CN" w:bidi="zh-CN"/>
        </w:rPr>
        <w:t>4</w:t>
      </w:r>
      <w:bookmarkStart w:id="230" w:name="_Toc292559366"/>
      <w:bookmarkStart w:id="231" w:name="_Toc296890990"/>
      <w:bookmarkStart w:id="232" w:name="_Toc296503162"/>
      <w:bookmarkStart w:id="233" w:name="_Toc296346663"/>
      <w:bookmarkStart w:id="234" w:name="_Toc296891202"/>
      <w:bookmarkStart w:id="235" w:name="_Toc296347161"/>
      <w:bookmarkStart w:id="236" w:name="_Toc297120462"/>
      <w:bookmarkStart w:id="237" w:name="_Toc296944501"/>
      <w:bookmarkStart w:id="238" w:name="_Toc297048348"/>
      <w:bookmarkStart w:id="239" w:name="_Toc267251413"/>
      <w:bookmarkStart w:id="240" w:name="_Toc292559871"/>
      <w:r>
        <w:rPr>
          <w:rFonts w:hint="eastAsia" w:ascii="宋体" w:hAnsi="宋体" w:eastAsia="宋体" w:cs="宋体"/>
          <w:b w:val="0"/>
          <w:bCs w:val="0"/>
          <w:kern w:val="2"/>
          <w:sz w:val="21"/>
          <w:szCs w:val="21"/>
          <w:highlight w:val="none"/>
          <w:lang w:val="zh-CN" w:eastAsia="zh-CN" w:bidi="zh-CN"/>
        </w:rPr>
        <w:t xml:space="preserve">. </w:t>
      </w:r>
      <w:bookmarkEnd w:id="230"/>
      <w:bookmarkEnd w:id="231"/>
      <w:bookmarkEnd w:id="232"/>
      <w:bookmarkEnd w:id="233"/>
      <w:bookmarkEnd w:id="234"/>
      <w:bookmarkEnd w:id="235"/>
      <w:bookmarkEnd w:id="236"/>
      <w:bookmarkEnd w:id="237"/>
      <w:bookmarkEnd w:id="238"/>
      <w:bookmarkEnd w:id="239"/>
      <w:bookmarkEnd w:id="240"/>
      <w:r>
        <w:rPr>
          <w:rFonts w:hint="eastAsia" w:ascii="宋体" w:hAnsi="宋体" w:cs="宋体"/>
          <w:b w:val="0"/>
          <w:bCs w:val="0"/>
          <w:kern w:val="2"/>
          <w:sz w:val="21"/>
          <w:szCs w:val="21"/>
          <w:highlight w:val="none"/>
          <w:lang w:val="zh-CN" w:eastAsia="zh-CN" w:bidi="zh-CN"/>
        </w:rPr>
        <w:t>监理</w:t>
      </w:r>
      <w:r>
        <w:rPr>
          <w:rFonts w:hint="eastAsia" w:ascii="宋体" w:hAnsi="宋体" w:eastAsia="宋体" w:cs="宋体"/>
          <w:b w:val="0"/>
          <w:bCs w:val="0"/>
          <w:kern w:val="2"/>
          <w:sz w:val="21"/>
          <w:szCs w:val="21"/>
          <w:highlight w:val="none"/>
          <w:lang w:val="zh-CN" w:eastAsia="zh-CN" w:bidi="zh-CN"/>
        </w:rPr>
        <w:t>人</w:t>
      </w:r>
      <w:bookmarkEnd w:id="229"/>
      <w:r>
        <w:rPr>
          <w:rFonts w:hint="eastAsia" w:ascii="宋体" w:hAnsi="宋体" w:cs="宋体"/>
          <w:b w:val="0"/>
          <w:bCs w:val="0"/>
          <w:kern w:val="2"/>
          <w:sz w:val="21"/>
          <w:szCs w:val="21"/>
          <w:highlight w:val="none"/>
          <w:lang w:val="zh-CN" w:eastAsia="zh-CN" w:bidi="zh-CN"/>
        </w:rPr>
        <w:t>（如有）</w:t>
      </w:r>
    </w:p>
    <w:p w14:paraId="51CC0A4B">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4.1</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人的一般规定</w:t>
      </w:r>
    </w:p>
    <w:p w14:paraId="3E796B3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w:t>
      </w:r>
      <w:r>
        <w:rPr>
          <w:rFonts w:hint="eastAsia" w:ascii="宋体" w:hAnsi="宋体" w:cs="宋体"/>
          <w:kern w:val="0"/>
          <w:sz w:val="21"/>
          <w:szCs w:val="21"/>
          <w:highlight w:val="none"/>
          <w:lang w:val="zh-CN" w:bidi="zh-CN"/>
        </w:rPr>
        <w:t>监理</w:t>
      </w:r>
      <w:r>
        <w:rPr>
          <w:rFonts w:hint="eastAsia" w:ascii="宋体" w:hAnsi="宋体" w:eastAsia="宋体" w:cs="宋体"/>
          <w:kern w:val="0"/>
          <w:sz w:val="21"/>
          <w:szCs w:val="21"/>
          <w:highlight w:val="none"/>
          <w:lang w:val="zh-CN" w:bidi="zh-CN"/>
        </w:rPr>
        <w:t>人</w:t>
      </w:r>
      <w:r>
        <w:rPr>
          <w:rFonts w:hint="eastAsia" w:ascii="宋体" w:hAnsi="宋体" w:cs="宋体"/>
          <w:kern w:val="0"/>
          <w:sz w:val="21"/>
          <w:szCs w:val="21"/>
          <w:highlight w:val="none"/>
          <w:lang w:val="zh-CN" w:bidi="zh-CN"/>
        </w:rPr>
        <w:t>（如有）</w:t>
      </w:r>
      <w:r>
        <w:rPr>
          <w:rFonts w:hint="eastAsia" w:ascii="宋体" w:hAnsi="宋体" w:eastAsia="宋体" w:cs="宋体"/>
          <w:kern w:val="0"/>
          <w:sz w:val="21"/>
          <w:szCs w:val="21"/>
          <w:highlight w:val="none"/>
          <w:lang w:val="zh-CN" w:bidi="zh-CN"/>
        </w:rPr>
        <w:t>的</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内容：</w:t>
      </w:r>
      <w:r>
        <w:rPr>
          <w:rFonts w:hint="eastAsia" w:ascii="宋体" w:hAnsi="宋体" w:eastAsia="宋体" w:cs="宋体"/>
          <w:kern w:val="0"/>
          <w:sz w:val="21"/>
          <w:szCs w:val="21"/>
          <w:highlight w:val="none"/>
          <w:u w:val="single"/>
          <w:lang w:val="zh-CN" w:bidi="zh-CN"/>
        </w:rPr>
        <w:t xml:space="preserve">  工程质量控制、进度控制、造价控制、信息管理、合同管理、安全监督、现场协调</w:t>
      </w:r>
      <w:r>
        <w:rPr>
          <w:rFonts w:hint="eastAsia" w:ascii="宋体" w:hAnsi="宋体" w:eastAsia="宋体" w:cs="宋体"/>
          <w:kern w:val="0"/>
          <w:sz w:val="21"/>
          <w:szCs w:val="21"/>
          <w:highlight w:val="none"/>
          <w:lang w:val="zh-CN" w:bidi="zh-CN"/>
        </w:rPr>
        <w:t>。</w:t>
      </w:r>
    </w:p>
    <w:p w14:paraId="3268B5F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w:t>
      </w:r>
      <w:r>
        <w:rPr>
          <w:rFonts w:hint="eastAsia" w:ascii="宋体" w:hAnsi="宋体" w:cs="宋体"/>
          <w:kern w:val="0"/>
          <w:sz w:val="21"/>
          <w:szCs w:val="21"/>
          <w:highlight w:val="none"/>
          <w:lang w:val="zh-CN" w:bidi="zh-CN"/>
        </w:rPr>
        <w:t>监理</w:t>
      </w:r>
      <w:r>
        <w:rPr>
          <w:rFonts w:hint="eastAsia" w:ascii="宋体" w:hAnsi="宋体" w:eastAsia="宋体" w:cs="宋体"/>
          <w:kern w:val="0"/>
          <w:sz w:val="21"/>
          <w:szCs w:val="21"/>
          <w:highlight w:val="none"/>
          <w:lang w:val="zh-CN" w:bidi="zh-CN"/>
        </w:rPr>
        <w:t>人</w:t>
      </w:r>
      <w:r>
        <w:rPr>
          <w:rFonts w:hint="eastAsia" w:ascii="宋体" w:hAnsi="宋体" w:cs="宋体"/>
          <w:kern w:val="0"/>
          <w:sz w:val="21"/>
          <w:szCs w:val="21"/>
          <w:highlight w:val="none"/>
          <w:lang w:val="zh-CN" w:bidi="zh-CN"/>
        </w:rPr>
        <w:t>（如有）</w:t>
      </w:r>
      <w:r>
        <w:rPr>
          <w:rFonts w:hint="eastAsia" w:ascii="宋体" w:hAnsi="宋体" w:eastAsia="宋体" w:cs="宋体"/>
          <w:kern w:val="0"/>
          <w:sz w:val="21"/>
          <w:szCs w:val="21"/>
          <w:highlight w:val="none"/>
          <w:lang w:val="zh-CN" w:bidi="zh-CN"/>
        </w:rPr>
        <w:t>的</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权限：</w:t>
      </w:r>
      <w:r>
        <w:rPr>
          <w:rFonts w:hint="eastAsia" w:ascii="宋体" w:hAnsi="宋体" w:eastAsia="宋体" w:cs="宋体"/>
          <w:kern w:val="0"/>
          <w:sz w:val="21"/>
          <w:szCs w:val="21"/>
          <w:highlight w:val="none"/>
          <w:u w:val="single"/>
          <w:lang w:val="zh-CN" w:bidi="zh-CN"/>
        </w:rPr>
        <w:t xml:space="preserve">  施工阶段的质量、造价、进度、安全进行控制，以及合同、信息管理和现场组织管理，协调各单位之间的关系等    </w:t>
      </w:r>
      <w:r>
        <w:rPr>
          <w:rFonts w:hint="eastAsia" w:ascii="宋体" w:hAnsi="宋体" w:eastAsia="宋体" w:cs="宋体"/>
          <w:kern w:val="0"/>
          <w:sz w:val="21"/>
          <w:szCs w:val="21"/>
          <w:highlight w:val="none"/>
          <w:lang w:val="zh-CN" w:bidi="zh-CN"/>
        </w:rPr>
        <w:t xml:space="preserve">。 </w:t>
      </w:r>
    </w:p>
    <w:p w14:paraId="3B6878E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w:t>
      </w:r>
      <w:r>
        <w:rPr>
          <w:rFonts w:hint="eastAsia" w:ascii="宋体" w:hAnsi="宋体" w:cs="宋体"/>
          <w:kern w:val="0"/>
          <w:sz w:val="21"/>
          <w:szCs w:val="21"/>
          <w:highlight w:val="none"/>
          <w:lang w:val="zh-CN" w:bidi="zh-CN"/>
        </w:rPr>
        <w:t>监理</w:t>
      </w:r>
      <w:r>
        <w:rPr>
          <w:rFonts w:hint="eastAsia" w:ascii="宋体" w:hAnsi="宋体" w:eastAsia="宋体" w:cs="宋体"/>
          <w:kern w:val="0"/>
          <w:sz w:val="21"/>
          <w:szCs w:val="21"/>
          <w:highlight w:val="none"/>
          <w:lang w:val="zh-CN" w:bidi="zh-CN"/>
        </w:rPr>
        <w:t>人</w:t>
      </w:r>
      <w:r>
        <w:rPr>
          <w:rFonts w:hint="eastAsia" w:ascii="宋体" w:hAnsi="宋体" w:cs="宋体"/>
          <w:kern w:val="0"/>
          <w:sz w:val="21"/>
          <w:szCs w:val="21"/>
          <w:highlight w:val="none"/>
          <w:lang w:val="zh-CN" w:bidi="zh-CN"/>
        </w:rPr>
        <w:t>（如有）</w:t>
      </w:r>
      <w:r>
        <w:rPr>
          <w:rFonts w:hint="eastAsia" w:ascii="宋体" w:hAnsi="宋体" w:eastAsia="宋体" w:cs="宋体"/>
          <w:kern w:val="0"/>
          <w:sz w:val="21"/>
          <w:szCs w:val="21"/>
          <w:highlight w:val="none"/>
          <w:lang w:val="zh-CN" w:bidi="zh-CN"/>
        </w:rPr>
        <w:t>在施工现场的办公场所、生活场所的提供和费用承担的约定：</w:t>
      </w:r>
      <w:r>
        <w:rPr>
          <w:rFonts w:hint="eastAsia" w:ascii="宋体" w:hAnsi="宋体" w:eastAsia="宋体" w:cs="宋体"/>
          <w:kern w:val="0"/>
          <w:sz w:val="21"/>
          <w:szCs w:val="21"/>
          <w:highlight w:val="none"/>
          <w:u w:val="single"/>
          <w:lang w:val="zh-CN" w:bidi="zh-CN"/>
        </w:rPr>
        <w:t xml:space="preserve"> 由承包人提供，费用计入总合同价中  </w:t>
      </w:r>
      <w:r>
        <w:rPr>
          <w:rFonts w:hint="eastAsia" w:ascii="宋体" w:hAnsi="宋体" w:eastAsia="宋体" w:cs="宋体"/>
          <w:kern w:val="0"/>
          <w:sz w:val="21"/>
          <w:szCs w:val="21"/>
          <w:highlight w:val="none"/>
          <w:lang w:val="zh-CN" w:bidi="zh-CN"/>
        </w:rPr>
        <w:t>。</w:t>
      </w:r>
    </w:p>
    <w:p w14:paraId="1FC6B1CB">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4.2 </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人员</w:t>
      </w:r>
    </w:p>
    <w:p w14:paraId="1CBD154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总</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工程师：</w:t>
      </w:r>
    </w:p>
    <w:p w14:paraId="05D17E6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姓    名：</w:t>
      </w:r>
      <w:r>
        <w:rPr>
          <w:rFonts w:hint="eastAsia" w:ascii="宋体" w:hAnsi="宋体" w:eastAsia="宋体" w:cs="宋体"/>
          <w:kern w:val="0"/>
          <w:sz w:val="21"/>
          <w:szCs w:val="21"/>
          <w:highlight w:val="none"/>
          <w:lang w:val="en-US" w:bidi="zh-CN"/>
        </w:rPr>
        <w:t xml:space="preserve"> </w:t>
      </w:r>
      <w:r>
        <w:rPr>
          <w:rFonts w:hint="eastAsia" w:ascii="宋体" w:hAnsi="宋体" w:eastAsia="宋体" w:cs="宋体"/>
          <w:kern w:val="0"/>
          <w:sz w:val="21"/>
          <w:szCs w:val="21"/>
          <w:highlight w:val="none"/>
          <w:lang w:val="zh-CN" w:bidi="zh-CN"/>
        </w:rPr>
        <w:t>；</w:t>
      </w:r>
    </w:p>
    <w:p w14:paraId="7E8F46E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职    务：；</w:t>
      </w:r>
    </w:p>
    <w:p w14:paraId="62C18C8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工程师执业资格证书号：；</w:t>
      </w:r>
    </w:p>
    <w:p w14:paraId="3163C17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w:t>
      </w:r>
    </w:p>
    <w:p w14:paraId="0AE7537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电子信箱：；</w:t>
      </w:r>
    </w:p>
    <w:p w14:paraId="5825AC4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通信地址：；</w:t>
      </w:r>
    </w:p>
    <w:p w14:paraId="7AD081D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人的其他约定：。</w:t>
      </w:r>
    </w:p>
    <w:p w14:paraId="7BC0033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4.3 商定或确定</w:t>
      </w:r>
    </w:p>
    <w:p w14:paraId="75E23CF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bookmarkStart w:id="241" w:name="_Toc267251418"/>
      <w:r>
        <w:rPr>
          <w:rFonts w:hint="eastAsia" w:ascii="宋体" w:hAnsi="宋体" w:eastAsia="宋体" w:cs="宋体"/>
          <w:kern w:val="0"/>
          <w:sz w:val="21"/>
          <w:szCs w:val="21"/>
          <w:highlight w:val="none"/>
          <w:lang w:val="zh-CN" w:bidi="zh-CN"/>
        </w:rPr>
        <w:t>在发包人和承包人不能通过协商达成一致意见时，发包人授权</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人对以下事项进行确定：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0204F2B0">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242" w:name="_Toc351203637"/>
      <w:r>
        <w:rPr>
          <w:rFonts w:hint="eastAsia" w:ascii="宋体" w:hAnsi="宋体" w:eastAsia="宋体" w:cs="宋体"/>
          <w:b w:val="0"/>
          <w:bCs w:val="0"/>
          <w:kern w:val="2"/>
          <w:sz w:val="21"/>
          <w:szCs w:val="21"/>
          <w:highlight w:val="none"/>
          <w:lang w:val="zh-CN" w:eastAsia="zh-CN" w:bidi="zh-CN"/>
        </w:rPr>
        <w:t>5</w:t>
      </w:r>
      <w:bookmarkEnd w:id="241"/>
      <w:bookmarkStart w:id="243" w:name="_Toc297120463"/>
      <w:bookmarkStart w:id="244" w:name="_Toc296944502"/>
      <w:bookmarkStart w:id="245" w:name="_Toc292559367"/>
      <w:bookmarkStart w:id="246" w:name="_Toc296347162"/>
      <w:bookmarkStart w:id="247" w:name="_Toc292559872"/>
      <w:bookmarkStart w:id="248" w:name="_Toc296346664"/>
      <w:bookmarkStart w:id="249" w:name="_Toc296890991"/>
      <w:bookmarkStart w:id="250" w:name="_Toc296891203"/>
      <w:bookmarkStart w:id="251" w:name="_Toc297048349"/>
      <w:bookmarkStart w:id="252" w:name="_Toc296503163"/>
      <w:r>
        <w:rPr>
          <w:rFonts w:hint="eastAsia" w:ascii="宋体" w:hAnsi="宋体" w:eastAsia="宋体" w:cs="宋体"/>
          <w:b w:val="0"/>
          <w:bCs w:val="0"/>
          <w:kern w:val="2"/>
          <w:sz w:val="21"/>
          <w:szCs w:val="21"/>
          <w:highlight w:val="none"/>
          <w:lang w:val="zh-CN" w:eastAsia="zh-CN" w:bidi="zh-CN"/>
        </w:rPr>
        <w:t>. 工程质量</w:t>
      </w:r>
      <w:bookmarkEnd w:id="242"/>
    </w:p>
    <w:p w14:paraId="65841B9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5.1 质量要求</w:t>
      </w:r>
    </w:p>
    <w:p w14:paraId="399FCE5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w:t>
      </w:r>
      <w:bookmarkStart w:id="253" w:name="_Toc318581164"/>
      <w:bookmarkStart w:id="254" w:name="_Toc312677997"/>
      <w:bookmarkStart w:id="255" w:name="_Toc304295527"/>
      <w:bookmarkStart w:id="256" w:name="_Toc297216155"/>
      <w:bookmarkStart w:id="257" w:name="_Toc300934949"/>
      <w:bookmarkStart w:id="258" w:name="_Toc297123496"/>
      <w:bookmarkStart w:id="259" w:name="_Toc303539106"/>
      <w:r>
        <w:rPr>
          <w:rFonts w:hint="eastAsia" w:ascii="宋体" w:hAnsi="宋体" w:eastAsia="宋体" w:cs="宋体"/>
          <w:kern w:val="0"/>
          <w:sz w:val="21"/>
          <w:szCs w:val="21"/>
          <w:highlight w:val="none"/>
          <w:lang w:val="zh-CN" w:bidi="zh-CN"/>
        </w:rPr>
        <w:t>.1.1 特殊质量标准和要求：</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6453BFE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关于工程奖项的约定：</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76832A1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5.3 隐蔽工程检查</w:t>
      </w:r>
    </w:p>
    <w:p w14:paraId="4B4D84B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5.3.2承包人提前通知</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人隐蔽工程检查的期限的约定：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323625B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人不能按时进行检查时，应提前</w:t>
      </w:r>
      <w:r>
        <w:rPr>
          <w:rFonts w:hint="eastAsia" w:ascii="宋体" w:hAnsi="宋体" w:eastAsia="宋体" w:cs="宋体"/>
          <w:kern w:val="0"/>
          <w:sz w:val="21"/>
          <w:szCs w:val="21"/>
          <w:highlight w:val="none"/>
          <w:u w:val="single"/>
          <w:lang w:val="zh-CN" w:bidi="zh-CN"/>
        </w:rPr>
        <w:t xml:space="preserve">  8  </w:t>
      </w:r>
      <w:r>
        <w:rPr>
          <w:rFonts w:hint="eastAsia" w:ascii="宋体" w:hAnsi="宋体" w:eastAsia="宋体" w:cs="宋体"/>
          <w:kern w:val="0"/>
          <w:sz w:val="21"/>
          <w:szCs w:val="21"/>
          <w:highlight w:val="none"/>
          <w:lang w:val="zh-CN" w:bidi="zh-CN"/>
        </w:rPr>
        <w:t>小时提交书面延期要求。</w:t>
      </w:r>
    </w:p>
    <w:p w14:paraId="753A5DB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关于延期最长不得超过：</w:t>
      </w:r>
      <w:r>
        <w:rPr>
          <w:rFonts w:hint="eastAsia" w:ascii="宋体" w:hAnsi="宋体" w:eastAsia="宋体" w:cs="宋体"/>
          <w:kern w:val="0"/>
          <w:sz w:val="21"/>
          <w:szCs w:val="21"/>
          <w:highlight w:val="none"/>
          <w:u w:val="single"/>
          <w:lang w:val="zh-CN" w:bidi="zh-CN"/>
        </w:rPr>
        <w:t xml:space="preserve">   24  </w:t>
      </w:r>
      <w:r>
        <w:rPr>
          <w:rFonts w:hint="eastAsia" w:ascii="宋体" w:hAnsi="宋体" w:eastAsia="宋体" w:cs="宋体"/>
          <w:kern w:val="0"/>
          <w:sz w:val="21"/>
          <w:szCs w:val="21"/>
          <w:highlight w:val="none"/>
          <w:lang w:val="zh-CN" w:bidi="zh-CN"/>
        </w:rPr>
        <w:t>小时。</w:t>
      </w:r>
    </w:p>
    <w:p w14:paraId="43580EF3">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260" w:name="_Toc351203638"/>
      <w:r>
        <w:rPr>
          <w:rFonts w:hint="eastAsia" w:ascii="宋体" w:hAnsi="宋体" w:eastAsia="宋体" w:cs="宋体"/>
          <w:b w:val="0"/>
          <w:bCs w:val="0"/>
          <w:kern w:val="2"/>
          <w:sz w:val="21"/>
          <w:szCs w:val="21"/>
          <w:highlight w:val="none"/>
          <w:lang w:val="zh-CN" w:eastAsia="zh-CN" w:bidi="zh-CN"/>
        </w:rPr>
        <w:t>6. 安全文明施工与环境保护</w:t>
      </w:r>
      <w:bookmarkEnd w:id="260"/>
    </w:p>
    <w:p w14:paraId="5C17223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6.1安全文明施工</w:t>
      </w:r>
    </w:p>
    <w:p w14:paraId="7D6BC279">
      <w:pPr>
        <w:pageBreakBefore w:val="0"/>
        <w:widowControl w:val="0"/>
        <w:shd w:val="clear"/>
        <w:kinsoku/>
        <w:wordWrap/>
        <w:overflowPunct/>
        <w:topLinePunct w:val="0"/>
        <w:autoSpaceDE/>
        <w:autoSpaceDN/>
        <w:bidi w:val="0"/>
        <w:adjustRightInd/>
        <w:snapToGrid/>
        <w:spacing w:line="480" w:lineRule="exact"/>
        <w:ind w:firstLine="561"/>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6.1.1 项目安全生产的达标目标及相应事项的约定：（1）</w:t>
      </w:r>
      <w:r>
        <w:rPr>
          <w:rFonts w:hint="eastAsia" w:ascii="宋体" w:hAnsi="宋体" w:eastAsia="宋体" w:cs="宋体"/>
          <w:kern w:val="2"/>
          <w:sz w:val="21"/>
          <w:szCs w:val="21"/>
          <w:highlight w:val="none"/>
          <w:u w:val="single"/>
          <w:lang w:val="zh-CN" w:eastAsia="zh-CN" w:bidi="zh-CN"/>
        </w:rPr>
        <w:t>按安全标准组织施工，根据现场情况采取必要的安全防护措施，全面负责施工现场的安全及第三方人身安全，加强安全教育，坚决杜绝安全事故的发生，并承担一切责任。</w:t>
      </w:r>
      <w:r>
        <w:rPr>
          <w:rFonts w:hint="eastAsia" w:ascii="宋体" w:hAnsi="宋体" w:eastAsia="宋体" w:cs="宋体"/>
          <w:kern w:val="2"/>
          <w:sz w:val="21"/>
          <w:szCs w:val="21"/>
          <w:highlight w:val="none"/>
          <w:lang w:val="zh-CN" w:eastAsia="zh-CN" w:bidi="zh-CN"/>
        </w:rPr>
        <w:t>（2）</w:t>
      </w:r>
      <w:r>
        <w:rPr>
          <w:rFonts w:hint="eastAsia" w:ascii="宋体" w:hAnsi="宋体" w:eastAsia="宋体" w:cs="宋体"/>
          <w:kern w:val="2"/>
          <w:sz w:val="21"/>
          <w:szCs w:val="21"/>
          <w:highlight w:val="none"/>
          <w:u w:val="single"/>
          <w:lang w:val="zh-CN" w:eastAsia="zh-CN" w:bidi="zh-CN"/>
        </w:rPr>
        <w:t>承包人对安全生产负全责，与发包人另签《安全生产责任协议书》。施工中加强安全防范意识和措施，杜绝安全事故的发生。每发生一起安全事故，发包人可以按违约责任给予责任单位一次性经济处罚，最低为1000元，最高5000元。如发生重大安全事故，最高经济处罚为</w:t>
      </w:r>
      <w:r>
        <w:rPr>
          <w:rFonts w:hint="eastAsia" w:ascii="宋体" w:hAnsi="宋体" w:cs="宋体"/>
          <w:kern w:val="2"/>
          <w:sz w:val="21"/>
          <w:szCs w:val="21"/>
          <w:highlight w:val="none"/>
          <w:u w:val="single"/>
          <w:lang w:val="en-US" w:eastAsia="zh-CN" w:bidi="zh-CN"/>
        </w:rPr>
        <w:t>5</w:t>
      </w:r>
      <w:r>
        <w:rPr>
          <w:rFonts w:hint="eastAsia" w:ascii="宋体" w:hAnsi="宋体" w:eastAsia="宋体" w:cs="宋体"/>
          <w:kern w:val="2"/>
          <w:sz w:val="21"/>
          <w:szCs w:val="21"/>
          <w:highlight w:val="none"/>
          <w:u w:val="single"/>
          <w:lang w:val="zh-CN" w:eastAsia="zh-CN" w:bidi="zh-CN"/>
        </w:rPr>
        <w:t>万元。</w:t>
      </w:r>
    </w:p>
    <w:p w14:paraId="53B5132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6.1.4 关于治安保卫的特别约定：</w:t>
      </w:r>
      <w:r>
        <w:rPr>
          <w:rFonts w:hint="eastAsia" w:ascii="宋体" w:hAnsi="宋体" w:eastAsia="宋体" w:cs="宋体"/>
          <w:spacing w:val="10"/>
          <w:kern w:val="0"/>
          <w:sz w:val="21"/>
          <w:szCs w:val="21"/>
          <w:highlight w:val="none"/>
          <w:u w:val="single"/>
          <w:lang w:val="zh-CN" w:bidi="zh-CN"/>
        </w:rPr>
        <w:t>按通用条款</w:t>
      </w:r>
      <w:r>
        <w:rPr>
          <w:rFonts w:hint="eastAsia" w:ascii="宋体" w:hAnsi="宋体" w:eastAsia="宋体" w:cs="宋体"/>
          <w:kern w:val="0"/>
          <w:sz w:val="21"/>
          <w:szCs w:val="21"/>
          <w:highlight w:val="none"/>
          <w:lang w:val="zh-CN" w:bidi="zh-CN"/>
        </w:rPr>
        <w:t>。</w:t>
      </w:r>
    </w:p>
    <w:p w14:paraId="06C9BD2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关于编制施工场地治安管理计划的约定：</w:t>
      </w:r>
      <w:r>
        <w:rPr>
          <w:rFonts w:hint="eastAsia" w:ascii="宋体" w:hAnsi="宋体" w:eastAsia="宋体" w:cs="宋体"/>
          <w:kern w:val="0"/>
          <w:sz w:val="21"/>
          <w:szCs w:val="21"/>
          <w:highlight w:val="none"/>
          <w:u w:val="single"/>
          <w:lang w:val="zh-CN" w:bidi="zh-CN"/>
        </w:rPr>
        <w:t xml:space="preserve">  在开工前提交的施工组织设计中必须要有此部分内容</w:t>
      </w:r>
      <w:r>
        <w:rPr>
          <w:rFonts w:hint="eastAsia" w:ascii="宋体" w:hAnsi="宋体" w:cs="宋体"/>
          <w:kern w:val="0"/>
          <w:sz w:val="21"/>
          <w:szCs w:val="21"/>
          <w:highlight w:val="none"/>
          <w:u w:val="single"/>
          <w:lang w:val="en-US" w:bidi="zh-CN"/>
        </w:rPr>
        <w:t xml:space="preserve"> </w:t>
      </w:r>
      <w:r>
        <w:rPr>
          <w:rFonts w:hint="eastAsia" w:ascii="宋体" w:hAnsi="宋体" w:eastAsia="宋体" w:cs="宋体"/>
          <w:kern w:val="0"/>
          <w:sz w:val="21"/>
          <w:szCs w:val="21"/>
          <w:highlight w:val="none"/>
          <w:lang w:val="zh-CN" w:bidi="zh-CN"/>
        </w:rPr>
        <w:t>。</w:t>
      </w:r>
    </w:p>
    <w:p w14:paraId="2D525A2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6.1.5 文明施工</w:t>
      </w:r>
    </w:p>
    <w:p w14:paraId="77D8AD4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合同当事人对文明施工的要求：</w:t>
      </w:r>
      <w:r>
        <w:rPr>
          <w:rFonts w:hint="eastAsia" w:ascii="宋体" w:hAnsi="宋体" w:eastAsia="宋体" w:cs="宋体"/>
          <w:kern w:val="0"/>
          <w:sz w:val="21"/>
          <w:szCs w:val="21"/>
          <w:highlight w:val="none"/>
          <w:u w:val="single"/>
          <w:lang w:val="zh-CN" w:bidi="zh-CN"/>
        </w:rPr>
        <w:t xml:space="preserve"> 施工现场卫生按标准化现场要求管理，材料和设备堆放整齐，施工区和居住区保持整洁卫生  </w:t>
      </w:r>
      <w:r>
        <w:rPr>
          <w:rFonts w:hint="eastAsia" w:ascii="宋体" w:hAnsi="宋体" w:eastAsia="宋体" w:cs="宋体"/>
          <w:kern w:val="0"/>
          <w:sz w:val="21"/>
          <w:szCs w:val="21"/>
          <w:highlight w:val="none"/>
          <w:lang w:val="zh-CN" w:bidi="zh-CN"/>
        </w:rPr>
        <w:t>。</w:t>
      </w:r>
    </w:p>
    <w:p w14:paraId="60D8003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6.1.6 关于安全文明施工费支付比例和支付期限的约定：</w:t>
      </w:r>
      <w:r>
        <w:rPr>
          <w:rFonts w:hint="eastAsia" w:ascii="宋体" w:hAnsi="宋体" w:eastAsia="宋体" w:cs="宋体"/>
          <w:kern w:val="0"/>
          <w:sz w:val="21"/>
          <w:szCs w:val="21"/>
          <w:highlight w:val="none"/>
          <w:u w:val="single"/>
          <w:lang w:val="en-US" w:bidi="zh-CN"/>
        </w:rPr>
        <w:t xml:space="preserve"> /</w:t>
      </w:r>
      <w:r>
        <w:rPr>
          <w:rFonts w:hint="eastAsia" w:ascii="宋体" w:hAnsi="宋体" w:eastAsia="宋体" w:cs="宋体"/>
          <w:kern w:val="0"/>
          <w:sz w:val="21"/>
          <w:szCs w:val="21"/>
          <w:highlight w:val="none"/>
          <w:u w:val="single"/>
          <w:lang w:val="zh-CN" w:bidi="zh-CN"/>
        </w:rPr>
        <w:t>。</w:t>
      </w:r>
      <w:bookmarkEnd w:id="253"/>
      <w:bookmarkEnd w:id="254"/>
      <w:bookmarkEnd w:id="255"/>
      <w:bookmarkEnd w:id="256"/>
      <w:bookmarkEnd w:id="257"/>
      <w:bookmarkEnd w:id="258"/>
      <w:bookmarkEnd w:id="259"/>
    </w:p>
    <w:p w14:paraId="7593FBC5">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261" w:name="_Toc351203639"/>
      <w:r>
        <w:rPr>
          <w:rFonts w:hint="eastAsia" w:ascii="宋体" w:hAnsi="宋体" w:eastAsia="宋体" w:cs="宋体"/>
          <w:b w:val="0"/>
          <w:bCs w:val="0"/>
          <w:kern w:val="2"/>
          <w:sz w:val="21"/>
          <w:szCs w:val="21"/>
          <w:highlight w:val="none"/>
          <w:lang w:val="zh-CN" w:eastAsia="zh-CN" w:bidi="zh-CN"/>
        </w:rPr>
        <w:t>7. 工期和进度</w:t>
      </w:r>
      <w:bookmarkEnd w:id="261"/>
    </w:p>
    <w:p w14:paraId="79D7B911">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7.1 施工组织设计</w:t>
      </w:r>
    </w:p>
    <w:p w14:paraId="620B86E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7.1.1 合同当事人约定的施工组织设计应包括的其他内容：</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7B30CDC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7.1.2 施工组织设计的提交和修改</w:t>
      </w:r>
    </w:p>
    <w:p w14:paraId="76EAA96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承包人提交详细施工组织设计的期限的约定：</w:t>
      </w:r>
      <w:r>
        <w:rPr>
          <w:rFonts w:hint="eastAsia" w:ascii="宋体" w:hAnsi="宋体" w:eastAsia="宋体" w:cs="宋体"/>
          <w:kern w:val="0"/>
          <w:sz w:val="21"/>
          <w:szCs w:val="21"/>
          <w:highlight w:val="none"/>
          <w:u w:val="single"/>
          <w:lang w:val="zh-CN" w:bidi="zh-CN"/>
        </w:rPr>
        <w:t xml:space="preserve">  合同签订后7日内  </w:t>
      </w:r>
      <w:r>
        <w:rPr>
          <w:rFonts w:hint="eastAsia" w:ascii="宋体" w:hAnsi="宋体" w:eastAsia="宋体" w:cs="宋体"/>
          <w:kern w:val="0"/>
          <w:sz w:val="21"/>
          <w:szCs w:val="21"/>
          <w:highlight w:val="none"/>
          <w:lang w:val="zh-CN" w:bidi="zh-CN"/>
        </w:rPr>
        <w:t>。</w:t>
      </w:r>
    </w:p>
    <w:p w14:paraId="659A39F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发包人和</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人在收到详细的施工组织设计后确认或提出修改意见的期限：</w:t>
      </w:r>
      <w:r>
        <w:rPr>
          <w:rFonts w:hint="eastAsia" w:ascii="宋体" w:hAnsi="宋体" w:eastAsia="宋体" w:cs="宋体"/>
          <w:kern w:val="0"/>
          <w:sz w:val="21"/>
          <w:szCs w:val="21"/>
          <w:highlight w:val="none"/>
          <w:u w:val="single"/>
          <w:lang w:val="zh-CN" w:bidi="zh-CN"/>
        </w:rPr>
        <w:t>5日</w:t>
      </w:r>
      <w:r>
        <w:rPr>
          <w:rFonts w:hint="eastAsia" w:ascii="宋体" w:hAnsi="宋体" w:eastAsia="宋体" w:cs="宋体"/>
          <w:kern w:val="0"/>
          <w:sz w:val="21"/>
          <w:szCs w:val="21"/>
          <w:highlight w:val="none"/>
          <w:lang w:val="zh-CN" w:bidi="zh-CN"/>
        </w:rPr>
        <w:t>。</w:t>
      </w:r>
    </w:p>
    <w:p w14:paraId="3B6FA2B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w:t>
      </w:r>
      <w:bookmarkStart w:id="262" w:name="_Toc312678005"/>
      <w:bookmarkStart w:id="263" w:name="_Toc297216173"/>
      <w:bookmarkStart w:id="264" w:name="_Toc300934966"/>
      <w:bookmarkStart w:id="265" w:name="_Toc297123514"/>
      <w:bookmarkStart w:id="266" w:name="_Toc303539123"/>
      <w:bookmarkStart w:id="267" w:name="_Toc312677479"/>
      <w:bookmarkStart w:id="268" w:name="_Toc304295541"/>
      <w:r>
        <w:rPr>
          <w:rFonts w:hint="eastAsia" w:ascii="宋体" w:hAnsi="宋体" w:eastAsia="宋体" w:cs="宋体"/>
          <w:kern w:val="0"/>
          <w:sz w:val="21"/>
          <w:szCs w:val="21"/>
          <w:highlight w:val="none"/>
          <w:lang w:val="zh-CN" w:bidi="zh-CN"/>
        </w:rPr>
        <w:t>.2 施工进度计划</w:t>
      </w:r>
    </w:p>
    <w:p w14:paraId="3EBA922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7.2.2 施工进度计划的修订</w:t>
      </w:r>
    </w:p>
    <w:p w14:paraId="2307EF3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发包人和</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人在收到修订的施工进度计划后确认或提出修改意见的期限：</w:t>
      </w:r>
      <w:r>
        <w:rPr>
          <w:rFonts w:hint="eastAsia" w:ascii="宋体" w:hAnsi="宋体" w:eastAsia="宋体" w:cs="宋体"/>
          <w:kern w:val="0"/>
          <w:sz w:val="21"/>
          <w:szCs w:val="21"/>
          <w:highlight w:val="none"/>
          <w:u w:val="single"/>
          <w:lang w:val="zh-CN" w:bidi="zh-CN"/>
        </w:rPr>
        <w:t>5日</w:t>
      </w:r>
      <w:r>
        <w:rPr>
          <w:rFonts w:hint="eastAsia" w:ascii="宋体" w:hAnsi="宋体" w:eastAsia="宋体" w:cs="宋体"/>
          <w:kern w:val="0"/>
          <w:sz w:val="21"/>
          <w:szCs w:val="21"/>
          <w:highlight w:val="none"/>
          <w:lang w:val="zh-CN" w:bidi="zh-CN"/>
        </w:rPr>
        <w:t>。</w:t>
      </w:r>
    </w:p>
    <w:p w14:paraId="524BD4A6">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7.3 开工</w:t>
      </w:r>
    </w:p>
    <w:p w14:paraId="5746C1E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7.3.1 开工准备</w:t>
      </w:r>
    </w:p>
    <w:p w14:paraId="0A34E38B">
      <w:pPr>
        <w:pageBreakBefore w:val="0"/>
        <w:shd w:val="clear"/>
        <w:kinsoku/>
        <w:wordWrap/>
        <w:overflowPunct/>
        <w:topLinePunct w:val="0"/>
        <w:autoSpaceDE/>
        <w:autoSpaceDN/>
        <w:bidi w:val="0"/>
        <w:adjustRightInd/>
        <w:snapToGrid/>
        <w:spacing w:line="480" w:lineRule="exact"/>
        <w:ind w:firstLine="645"/>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关于承包人提交工程开工报审表的期限：</w:t>
      </w:r>
      <w:r>
        <w:rPr>
          <w:rFonts w:hint="eastAsia" w:ascii="宋体" w:hAnsi="宋体" w:eastAsia="宋体" w:cs="宋体"/>
          <w:kern w:val="0"/>
          <w:sz w:val="21"/>
          <w:szCs w:val="21"/>
          <w:highlight w:val="none"/>
          <w:u w:val="single"/>
          <w:lang w:val="zh-CN" w:bidi="zh-CN"/>
        </w:rPr>
        <w:t xml:space="preserve">  合同签订后</w:t>
      </w:r>
      <w:r>
        <w:rPr>
          <w:rFonts w:hint="eastAsia" w:ascii="宋体" w:hAnsi="宋体" w:eastAsia="宋体" w:cs="宋体"/>
          <w:kern w:val="0"/>
          <w:sz w:val="21"/>
          <w:szCs w:val="21"/>
          <w:highlight w:val="none"/>
          <w:u w:val="single"/>
          <w:lang w:val="en-US" w:bidi="zh-CN"/>
        </w:rPr>
        <w:t>5</w:t>
      </w:r>
      <w:r>
        <w:rPr>
          <w:rFonts w:hint="eastAsia" w:ascii="宋体" w:hAnsi="宋体" w:eastAsia="宋体" w:cs="宋体"/>
          <w:kern w:val="0"/>
          <w:sz w:val="21"/>
          <w:szCs w:val="21"/>
          <w:highlight w:val="none"/>
          <w:u w:val="single"/>
          <w:lang w:val="zh-CN" w:bidi="zh-CN"/>
        </w:rPr>
        <w:t xml:space="preserve">日  </w:t>
      </w:r>
      <w:r>
        <w:rPr>
          <w:rFonts w:hint="eastAsia" w:ascii="宋体" w:hAnsi="宋体" w:eastAsia="宋体" w:cs="宋体"/>
          <w:kern w:val="0"/>
          <w:sz w:val="21"/>
          <w:szCs w:val="21"/>
          <w:highlight w:val="none"/>
          <w:lang w:val="zh-CN" w:bidi="zh-CN"/>
        </w:rPr>
        <w:t>。</w:t>
      </w:r>
    </w:p>
    <w:p w14:paraId="01A05EF5">
      <w:pPr>
        <w:pageBreakBefore w:val="0"/>
        <w:shd w:val="clear"/>
        <w:kinsoku/>
        <w:wordWrap/>
        <w:overflowPunct/>
        <w:topLinePunct w:val="0"/>
        <w:autoSpaceDE/>
        <w:autoSpaceDN/>
        <w:bidi w:val="0"/>
        <w:adjustRightInd/>
        <w:snapToGrid/>
        <w:spacing w:line="480" w:lineRule="exact"/>
        <w:ind w:firstLine="64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关于发包人应完成的其他开工准备工作及期限：</w:t>
      </w:r>
      <w:r>
        <w:rPr>
          <w:rFonts w:hint="eastAsia" w:ascii="宋体" w:hAnsi="宋体" w:eastAsia="宋体" w:cs="宋体"/>
          <w:kern w:val="0"/>
          <w:sz w:val="21"/>
          <w:szCs w:val="21"/>
          <w:highlight w:val="none"/>
          <w:u w:val="single"/>
          <w:lang w:val="zh-CN" w:bidi="zh-CN"/>
        </w:rPr>
        <w:t xml:space="preserve"> 临时设施搭建、材料、设备、人员等，合同签订后10日 </w:t>
      </w:r>
      <w:r>
        <w:rPr>
          <w:rFonts w:hint="eastAsia" w:ascii="宋体" w:hAnsi="宋体" w:eastAsia="宋体" w:cs="宋体"/>
          <w:kern w:val="0"/>
          <w:sz w:val="21"/>
          <w:szCs w:val="21"/>
          <w:highlight w:val="none"/>
          <w:lang w:val="zh-CN" w:bidi="zh-CN"/>
        </w:rPr>
        <w:t>。</w:t>
      </w:r>
    </w:p>
    <w:p w14:paraId="51CCCB0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关于承包人应完成的其他开工准备工作及期限：</w:t>
      </w:r>
      <w:r>
        <w:rPr>
          <w:rFonts w:hint="eastAsia" w:ascii="宋体" w:hAnsi="宋体" w:eastAsia="宋体" w:cs="宋体"/>
          <w:kern w:val="0"/>
          <w:sz w:val="21"/>
          <w:szCs w:val="21"/>
          <w:highlight w:val="none"/>
          <w:u w:val="single"/>
          <w:lang w:val="zh-CN" w:bidi="zh-CN"/>
        </w:rPr>
        <w:t xml:space="preserve"> 暂无，如有另行协商   </w:t>
      </w:r>
      <w:r>
        <w:rPr>
          <w:rFonts w:hint="eastAsia" w:ascii="宋体" w:hAnsi="宋体" w:eastAsia="宋体" w:cs="宋体"/>
          <w:kern w:val="0"/>
          <w:sz w:val="21"/>
          <w:szCs w:val="21"/>
          <w:highlight w:val="none"/>
          <w:lang w:val="zh-CN" w:bidi="zh-CN"/>
        </w:rPr>
        <w:t>。</w:t>
      </w:r>
    </w:p>
    <w:p w14:paraId="0FF53C4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7.3.2开工通知</w:t>
      </w:r>
    </w:p>
    <w:p w14:paraId="5FCFBE5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因发包人原因造成</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人未能在计划开工日期之日起</w:t>
      </w:r>
      <w:r>
        <w:rPr>
          <w:rFonts w:hint="eastAsia" w:ascii="宋体" w:hAnsi="宋体" w:eastAsia="宋体" w:cs="宋体"/>
          <w:kern w:val="0"/>
          <w:sz w:val="21"/>
          <w:szCs w:val="21"/>
          <w:highlight w:val="none"/>
          <w:u w:val="single"/>
          <w:lang w:val="zh-CN" w:bidi="zh-CN"/>
        </w:rPr>
        <w:t xml:space="preserve"> 7 </w:t>
      </w:r>
      <w:r>
        <w:rPr>
          <w:rFonts w:hint="eastAsia" w:ascii="宋体" w:hAnsi="宋体" w:eastAsia="宋体" w:cs="宋体"/>
          <w:kern w:val="0"/>
          <w:sz w:val="21"/>
          <w:szCs w:val="21"/>
          <w:highlight w:val="none"/>
          <w:lang w:val="zh-CN" w:bidi="zh-CN"/>
        </w:rPr>
        <w:t>天内发出开工通知的，承包人有权提出价格调整要求，或者解除合同。</w:t>
      </w:r>
      <w:bookmarkEnd w:id="262"/>
      <w:bookmarkEnd w:id="263"/>
      <w:bookmarkEnd w:id="264"/>
      <w:bookmarkEnd w:id="265"/>
      <w:bookmarkEnd w:id="266"/>
      <w:bookmarkEnd w:id="267"/>
      <w:bookmarkEnd w:id="268"/>
    </w:p>
    <w:p w14:paraId="184AF041">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7.4 测量放线</w:t>
      </w:r>
    </w:p>
    <w:p w14:paraId="780DD46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7.4.1发包人通过</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人向承包人提供测量基准点、基准线和水准点及其书面资料的期限：</w:t>
      </w:r>
      <w:r>
        <w:rPr>
          <w:rFonts w:hint="eastAsia" w:ascii="宋体" w:hAnsi="宋体" w:eastAsia="宋体" w:cs="宋体"/>
          <w:spacing w:val="10"/>
          <w:kern w:val="0"/>
          <w:sz w:val="21"/>
          <w:szCs w:val="21"/>
          <w:highlight w:val="none"/>
          <w:u w:val="single"/>
          <w:lang w:val="zh-CN" w:bidi="zh-CN"/>
        </w:rPr>
        <w:t>开工前提供水准点与坐标管制点，按施工图要求由发包人、承包人现场交验</w:t>
      </w:r>
      <w:r>
        <w:rPr>
          <w:rFonts w:hint="eastAsia" w:ascii="宋体" w:hAnsi="宋体" w:eastAsia="宋体" w:cs="宋体"/>
          <w:kern w:val="0"/>
          <w:sz w:val="21"/>
          <w:szCs w:val="21"/>
          <w:highlight w:val="none"/>
          <w:lang w:val="zh-CN" w:bidi="zh-CN"/>
        </w:rPr>
        <w:t>。</w:t>
      </w:r>
    </w:p>
    <w:p w14:paraId="771D286D">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w:t>
      </w:r>
      <w:bookmarkStart w:id="269" w:name="_Toc297123516"/>
      <w:bookmarkStart w:id="270" w:name="_Toc303539125"/>
      <w:bookmarkStart w:id="271" w:name="_Toc304295546"/>
      <w:bookmarkStart w:id="272" w:name="_Toc312678010"/>
      <w:bookmarkStart w:id="273" w:name="_Toc300934968"/>
      <w:bookmarkStart w:id="274" w:name="_Toc312677484"/>
      <w:bookmarkStart w:id="275" w:name="_Toc297216175"/>
      <w:r>
        <w:rPr>
          <w:rFonts w:hint="eastAsia" w:ascii="宋体" w:hAnsi="宋体" w:eastAsia="宋体" w:cs="宋体"/>
          <w:kern w:val="0"/>
          <w:sz w:val="21"/>
          <w:szCs w:val="21"/>
          <w:highlight w:val="none"/>
          <w:lang w:val="zh-CN" w:bidi="zh-CN"/>
        </w:rPr>
        <w:t>.5 工期延误</w:t>
      </w:r>
      <w:bookmarkEnd w:id="269"/>
      <w:bookmarkEnd w:id="270"/>
      <w:bookmarkEnd w:id="271"/>
      <w:bookmarkEnd w:id="272"/>
      <w:bookmarkEnd w:id="273"/>
      <w:bookmarkEnd w:id="274"/>
      <w:bookmarkEnd w:id="275"/>
    </w:p>
    <w:p w14:paraId="7AA3DDB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7.5.1 因发包人原因导致工期延误</w:t>
      </w:r>
    </w:p>
    <w:p w14:paraId="2400E5D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（7）因发包人原因导致工期延误的其他情形：</w:t>
      </w:r>
      <w:r>
        <w:rPr>
          <w:rFonts w:hint="eastAsia" w:ascii="宋体" w:hAnsi="宋体" w:eastAsia="宋体" w:cs="宋体"/>
          <w:kern w:val="0"/>
          <w:sz w:val="21"/>
          <w:szCs w:val="21"/>
          <w:highlight w:val="none"/>
          <w:u w:val="single"/>
          <w:lang w:val="zh-CN" w:bidi="zh-CN"/>
        </w:rPr>
        <w:t xml:space="preserve">  因发包人原因造成暂停施工的，发包人于十天前书面通知承包人，承包人应积极配合发包人做好施工计划调整，并合理调整人员和施工机械，工期顺延，发包人不承担误工损失费</w:t>
      </w:r>
      <w:r>
        <w:rPr>
          <w:rFonts w:hint="eastAsia" w:ascii="宋体" w:hAnsi="宋体" w:eastAsia="宋体" w:cs="宋体"/>
          <w:kern w:val="0"/>
          <w:sz w:val="21"/>
          <w:szCs w:val="21"/>
          <w:highlight w:val="none"/>
          <w:lang w:val="zh-CN" w:bidi="zh-CN"/>
        </w:rPr>
        <w:t>。</w:t>
      </w:r>
    </w:p>
    <w:p w14:paraId="23DB5A9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w:t>
      </w:r>
      <w:bookmarkStart w:id="276" w:name="_Toc312677486"/>
      <w:bookmarkStart w:id="277" w:name="_Toc312678012"/>
      <w:bookmarkStart w:id="278" w:name="_Toc318581169"/>
      <w:bookmarkStart w:id="279" w:name="_Toc297123518"/>
      <w:bookmarkStart w:id="280" w:name="_Toc297216177"/>
      <w:bookmarkStart w:id="281" w:name="_Toc300934970"/>
      <w:bookmarkStart w:id="282" w:name="_Toc304295548"/>
      <w:bookmarkStart w:id="283" w:name="_Toc303539127"/>
      <w:r>
        <w:rPr>
          <w:rFonts w:hint="eastAsia" w:ascii="宋体" w:hAnsi="宋体" w:eastAsia="宋体" w:cs="宋体"/>
          <w:kern w:val="0"/>
          <w:sz w:val="21"/>
          <w:szCs w:val="21"/>
          <w:highlight w:val="none"/>
          <w:lang w:val="zh-CN" w:bidi="zh-CN"/>
        </w:rPr>
        <w:t>.5.2 因承包人原因导致工期延误</w:t>
      </w:r>
      <w:bookmarkEnd w:id="276"/>
      <w:bookmarkEnd w:id="277"/>
      <w:bookmarkEnd w:id="278"/>
    </w:p>
    <w:p w14:paraId="40C8B3D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因</w:t>
      </w:r>
      <w:bookmarkStart w:id="284" w:name="_Toc312677487"/>
      <w:bookmarkStart w:id="285" w:name="_Toc312678013"/>
      <w:bookmarkStart w:id="286" w:name="_Toc318581170"/>
      <w:r>
        <w:rPr>
          <w:rFonts w:hint="eastAsia" w:ascii="宋体" w:hAnsi="宋体" w:eastAsia="宋体" w:cs="宋体"/>
          <w:kern w:val="0"/>
          <w:sz w:val="21"/>
          <w:szCs w:val="21"/>
          <w:highlight w:val="none"/>
          <w:lang w:val="zh-CN" w:bidi="zh-CN"/>
        </w:rPr>
        <w:t>承包人原因造成工期延误，逾期竣工违约金的计算方法为：</w:t>
      </w:r>
    </w:p>
    <w:p w14:paraId="5EB489CC">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spacing w:val="10"/>
          <w:kern w:val="0"/>
          <w:sz w:val="21"/>
          <w:szCs w:val="21"/>
          <w:highlight w:val="none"/>
          <w:u w:val="single"/>
          <w:lang w:val="zh-CN" w:bidi="zh-CN"/>
        </w:rPr>
        <w:t>如因承包人原因，导致竣工工期滞后于合同工期，按每滞后一天赔偿2000元违约金</w:t>
      </w:r>
      <w:r>
        <w:rPr>
          <w:rFonts w:hint="eastAsia" w:ascii="宋体" w:hAnsi="宋体" w:eastAsia="宋体" w:cs="宋体"/>
          <w:kern w:val="0"/>
          <w:sz w:val="21"/>
          <w:szCs w:val="21"/>
          <w:highlight w:val="none"/>
          <w:lang w:val="zh-CN" w:bidi="zh-CN"/>
        </w:rPr>
        <w:t>。</w:t>
      </w:r>
      <w:bookmarkEnd w:id="279"/>
      <w:bookmarkEnd w:id="280"/>
      <w:bookmarkEnd w:id="281"/>
      <w:bookmarkEnd w:id="282"/>
      <w:bookmarkEnd w:id="283"/>
      <w:bookmarkEnd w:id="284"/>
      <w:bookmarkEnd w:id="285"/>
      <w:bookmarkEnd w:id="286"/>
    </w:p>
    <w:p w14:paraId="6BF8B33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因承包人原因造成工期延误，逾</w:t>
      </w:r>
      <w:bookmarkStart w:id="287" w:name="_Toc318581171"/>
      <w:bookmarkStart w:id="288" w:name="_Toc312678014"/>
      <w:r>
        <w:rPr>
          <w:rFonts w:hint="eastAsia" w:ascii="宋体" w:hAnsi="宋体" w:eastAsia="宋体" w:cs="宋体"/>
          <w:kern w:val="0"/>
          <w:sz w:val="21"/>
          <w:szCs w:val="21"/>
          <w:highlight w:val="none"/>
          <w:lang w:val="zh-CN" w:bidi="zh-CN"/>
        </w:rPr>
        <w:t>期竣工违约金的上限：</w:t>
      </w:r>
      <w:r>
        <w:rPr>
          <w:rFonts w:hint="eastAsia" w:ascii="宋体" w:hAnsi="宋体" w:eastAsia="宋体" w:cs="宋体"/>
          <w:spacing w:val="10"/>
          <w:kern w:val="0"/>
          <w:sz w:val="21"/>
          <w:szCs w:val="21"/>
          <w:highlight w:val="none"/>
          <w:u w:val="single"/>
          <w:lang w:val="zh-CN" w:bidi="zh-CN"/>
        </w:rPr>
        <w:t>合同价款的百分之二</w:t>
      </w:r>
      <w:r>
        <w:rPr>
          <w:rFonts w:hint="eastAsia" w:ascii="宋体" w:hAnsi="宋体" w:eastAsia="宋体" w:cs="宋体"/>
          <w:kern w:val="0"/>
          <w:sz w:val="21"/>
          <w:szCs w:val="21"/>
          <w:highlight w:val="none"/>
          <w:lang w:val="zh-CN" w:bidi="zh-CN"/>
        </w:rPr>
        <w:t>。</w:t>
      </w:r>
      <w:bookmarkEnd w:id="287"/>
      <w:bookmarkEnd w:id="288"/>
    </w:p>
    <w:p w14:paraId="05963AE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w:t>
      </w:r>
      <w:bookmarkStart w:id="289" w:name="_Toc304295549"/>
      <w:bookmarkStart w:id="290" w:name="_Toc297123519"/>
      <w:bookmarkStart w:id="291" w:name="_Toc312678015"/>
      <w:bookmarkStart w:id="292" w:name="_Toc297216178"/>
      <w:bookmarkStart w:id="293" w:name="_Toc300934971"/>
      <w:bookmarkStart w:id="294" w:name="_Toc303539128"/>
      <w:r>
        <w:rPr>
          <w:rFonts w:hint="eastAsia" w:ascii="宋体" w:hAnsi="宋体" w:eastAsia="宋体" w:cs="宋体"/>
          <w:kern w:val="0"/>
          <w:sz w:val="21"/>
          <w:szCs w:val="21"/>
          <w:highlight w:val="none"/>
          <w:lang w:val="zh-CN" w:bidi="zh-CN"/>
        </w:rPr>
        <w:t>.6 不</w:t>
      </w:r>
      <w:bookmarkEnd w:id="289"/>
      <w:bookmarkEnd w:id="290"/>
      <w:bookmarkEnd w:id="291"/>
      <w:bookmarkEnd w:id="292"/>
      <w:bookmarkEnd w:id="293"/>
      <w:bookmarkEnd w:id="294"/>
      <w:r>
        <w:rPr>
          <w:rFonts w:hint="eastAsia" w:ascii="宋体" w:hAnsi="宋体" w:eastAsia="宋体" w:cs="宋体"/>
          <w:kern w:val="0"/>
          <w:sz w:val="21"/>
          <w:szCs w:val="21"/>
          <w:highlight w:val="none"/>
          <w:lang w:val="zh-CN" w:bidi="zh-CN"/>
        </w:rPr>
        <w:t>利物质条件</w:t>
      </w:r>
    </w:p>
    <w:p w14:paraId="6283EF7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bookmarkStart w:id="295" w:name="_Toc297123520"/>
      <w:bookmarkStart w:id="296" w:name="_Toc304295550"/>
      <w:bookmarkStart w:id="297" w:name="_Toc303539129"/>
      <w:bookmarkStart w:id="298" w:name="_Toc297216179"/>
      <w:bookmarkStart w:id="299" w:name="_Toc312678016"/>
      <w:bookmarkStart w:id="300" w:name="_Toc318581172"/>
      <w:bookmarkStart w:id="301" w:name="_Toc300934972"/>
      <w:r>
        <w:rPr>
          <w:rFonts w:hint="eastAsia" w:ascii="宋体" w:hAnsi="宋体" w:eastAsia="宋体" w:cs="宋体"/>
          <w:kern w:val="0"/>
          <w:sz w:val="21"/>
          <w:szCs w:val="21"/>
          <w:highlight w:val="none"/>
          <w:lang w:val="zh-CN" w:bidi="zh-CN"/>
        </w:rPr>
        <w:t>不利物质条件的其他情形和有关约定：</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bookmarkEnd w:id="295"/>
      <w:bookmarkEnd w:id="296"/>
      <w:bookmarkEnd w:id="297"/>
      <w:bookmarkEnd w:id="298"/>
      <w:bookmarkEnd w:id="299"/>
      <w:bookmarkEnd w:id="300"/>
      <w:bookmarkEnd w:id="301"/>
    </w:p>
    <w:p w14:paraId="05F491E5">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w:t>
      </w:r>
      <w:bookmarkStart w:id="302" w:name="_Toc297216180"/>
      <w:bookmarkStart w:id="303" w:name="_Toc312678017"/>
      <w:bookmarkStart w:id="304" w:name="_Toc304295551"/>
      <w:bookmarkStart w:id="305" w:name="_Toc300934973"/>
      <w:bookmarkStart w:id="306" w:name="_Toc303539130"/>
      <w:bookmarkStart w:id="307" w:name="_Toc297123521"/>
      <w:r>
        <w:rPr>
          <w:rFonts w:hint="eastAsia" w:ascii="宋体" w:hAnsi="宋体" w:eastAsia="宋体" w:cs="宋体"/>
          <w:kern w:val="0"/>
          <w:sz w:val="21"/>
          <w:szCs w:val="21"/>
          <w:highlight w:val="none"/>
          <w:lang w:val="zh-CN" w:bidi="zh-CN"/>
        </w:rPr>
        <w:t>.7异常恶劣的气候条件</w:t>
      </w:r>
      <w:bookmarkEnd w:id="302"/>
      <w:bookmarkEnd w:id="303"/>
      <w:bookmarkEnd w:id="304"/>
      <w:bookmarkEnd w:id="305"/>
      <w:bookmarkEnd w:id="306"/>
      <w:bookmarkEnd w:id="307"/>
    </w:p>
    <w:p w14:paraId="572FE7E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发包人和承包人同意以下情形视为异常恶劣的气候条件：</w:t>
      </w:r>
      <w:r>
        <w:rPr>
          <w:rFonts w:hint="eastAsia" w:ascii="宋体" w:hAnsi="宋体" w:eastAsia="宋体" w:cs="宋体"/>
          <w:kern w:val="0"/>
          <w:sz w:val="21"/>
          <w:szCs w:val="21"/>
          <w:highlight w:val="none"/>
          <w:u w:val="single"/>
          <w:lang w:val="zh-CN" w:bidi="zh-CN"/>
        </w:rPr>
        <w:t>按通用条款</w:t>
      </w:r>
    </w:p>
    <w:p w14:paraId="43D76491">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7.9 提前竣工的奖励</w:t>
      </w:r>
    </w:p>
    <w:p w14:paraId="51405C1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7.9.2提前竣工的奖励：</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4EE2CE63">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308" w:name="_Toc351203640"/>
      <w:r>
        <w:rPr>
          <w:rFonts w:hint="eastAsia" w:ascii="宋体" w:hAnsi="宋体" w:eastAsia="宋体" w:cs="宋体"/>
          <w:b w:val="0"/>
          <w:bCs w:val="0"/>
          <w:kern w:val="2"/>
          <w:sz w:val="21"/>
          <w:szCs w:val="21"/>
          <w:highlight w:val="none"/>
          <w:lang w:val="zh-CN" w:eastAsia="zh-CN" w:bidi="zh-CN"/>
        </w:rPr>
        <w:t>8. 材料与设备</w:t>
      </w:r>
      <w:bookmarkEnd w:id="243"/>
      <w:bookmarkEnd w:id="244"/>
      <w:bookmarkEnd w:id="245"/>
      <w:bookmarkEnd w:id="246"/>
      <w:bookmarkEnd w:id="247"/>
      <w:bookmarkEnd w:id="248"/>
      <w:bookmarkEnd w:id="249"/>
      <w:bookmarkEnd w:id="250"/>
      <w:bookmarkEnd w:id="251"/>
      <w:bookmarkEnd w:id="252"/>
      <w:bookmarkEnd w:id="308"/>
    </w:p>
    <w:p w14:paraId="650D3E54">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8</w:t>
      </w:r>
      <w:bookmarkStart w:id="309" w:name="_Toc296891207"/>
      <w:bookmarkStart w:id="310" w:name="_Toc296346668"/>
      <w:bookmarkStart w:id="311" w:name="_Toc296503167"/>
      <w:bookmarkStart w:id="312" w:name="_Toc296890995"/>
      <w:bookmarkStart w:id="313" w:name="_Toc296944506"/>
      <w:bookmarkStart w:id="314" w:name="_Toc312677493"/>
      <w:bookmarkStart w:id="315" w:name="_Toc297048353"/>
      <w:bookmarkStart w:id="316" w:name="_Toc312678019"/>
      <w:bookmarkStart w:id="317" w:name="_Toc300934979"/>
      <w:bookmarkStart w:id="318" w:name="_Toc297216186"/>
      <w:bookmarkStart w:id="319" w:name="_Toc292559877"/>
      <w:bookmarkStart w:id="320" w:name="_Toc280868654"/>
      <w:bookmarkStart w:id="321" w:name="_Toc303539136"/>
      <w:bookmarkStart w:id="322" w:name="_Toc297123527"/>
      <w:bookmarkStart w:id="323" w:name="_Toc297120467"/>
      <w:bookmarkStart w:id="324" w:name="_Toc304295556"/>
      <w:bookmarkStart w:id="325" w:name="_Toc292559372"/>
      <w:bookmarkStart w:id="326" w:name="_Toc296347166"/>
      <w:bookmarkStart w:id="327" w:name="_Toc267251424"/>
      <w:bookmarkStart w:id="328" w:name="_Toc280868656"/>
      <w:bookmarkStart w:id="329" w:name="_Toc280868655"/>
      <w:r>
        <w:rPr>
          <w:rFonts w:hint="eastAsia" w:ascii="宋体" w:hAnsi="宋体" w:eastAsia="宋体" w:cs="宋体"/>
          <w:kern w:val="0"/>
          <w:sz w:val="21"/>
          <w:szCs w:val="21"/>
          <w:highlight w:val="none"/>
          <w:lang w:val="zh-CN" w:bidi="zh-CN"/>
        </w:rPr>
        <w:t>.4  材料与工程设备的保管与使用</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8566C6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8</w:t>
      </w:r>
      <w:bookmarkStart w:id="330" w:name="_Toc292559878"/>
      <w:bookmarkStart w:id="331" w:name="_Toc292559373"/>
      <w:bookmarkStart w:id="332" w:name="_Toc303539137"/>
      <w:bookmarkStart w:id="333" w:name="_Toc297123528"/>
      <w:bookmarkStart w:id="334" w:name="_Toc296944507"/>
      <w:bookmarkStart w:id="335" w:name="_Toc312678020"/>
      <w:bookmarkStart w:id="336" w:name="_Toc297216187"/>
      <w:bookmarkStart w:id="337" w:name="_Toc296890996"/>
      <w:bookmarkStart w:id="338" w:name="_Toc300934980"/>
      <w:bookmarkStart w:id="339" w:name="_Toc297120468"/>
      <w:bookmarkStart w:id="340" w:name="_Toc304295557"/>
      <w:bookmarkStart w:id="341" w:name="_Toc312677494"/>
      <w:bookmarkStart w:id="342" w:name="_Toc297048354"/>
      <w:bookmarkStart w:id="343" w:name="_Toc296891208"/>
      <w:bookmarkStart w:id="344" w:name="_Toc318581173"/>
      <w:bookmarkStart w:id="345" w:name="_Toc296347167"/>
      <w:bookmarkStart w:id="346" w:name="_Toc296503168"/>
      <w:bookmarkStart w:id="347" w:name="_Toc296346669"/>
      <w:r>
        <w:rPr>
          <w:rFonts w:hint="eastAsia" w:ascii="宋体" w:hAnsi="宋体" w:eastAsia="宋体" w:cs="宋体"/>
          <w:kern w:val="0"/>
          <w:sz w:val="21"/>
          <w:szCs w:val="21"/>
          <w:highlight w:val="none"/>
          <w:lang w:val="zh-CN" w:bidi="zh-CN"/>
        </w:rPr>
        <w:t>.4.1发包人供应的材料设备的保管费用的承担：</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bookmarkEnd w:id="330"/>
      <w:bookmarkEnd w:id="331"/>
    </w:p>
    <w:p w14:paraId="51C67078">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8.6 样品</w:t>
      </w:r>
    </w:p>
    <w:p w14:paraId="5C5823B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8.6.1  样品的报送与封存</w:t>
      </w:r>
    </w:p>
    <w:p w14:paraId="30F286C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需要承包人报送样品的材料或工程设备，样品的种类、名称、规格、数量要求：</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1B618D1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8.8 施工设备和临时设施</w:t>
      </w:r>
    </w:p>
    <w:p w14:paraId="5CEA768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8.8.1 承包人提供的施工设备和临时设施</w:t>
      </w:r>
    </w:p>
    <w:p w14:paraId="2A7FDF4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关于修建临时设施费用承担的约定：</w:t>
      </w:r>
      <w:r>
        <w:rPr>
          <w:rFonts w:hint="eastAsia" w:ascii="宋体" w:hAnsi="宋体" w:eastAsia="宋体" w:cs="宋体"/>
          <w:kern w:val="0"/>
          <w:sz w:val="21"/>
          <w:szCs w:val="21"/>
          <w:highlight w:val="none"/>
          <w:u w:val="single"/>
          <w:lang w:val="zh-CN" w:bidi="zh-CN"/>
        </w:rPr>
        <w:t xml:space="preserve">  计入投标报价中  </w:t>
      </w:r>
      <w:r>
        <w:rPr>
          <w:rFonts w:hint="eastAsia" w:ascii="宋体" w:hAnsi="宋体" w:eastAsia="宋体" w:cs="宋体"/>
          <w:kern w:val="0"/>
          <w:sz w:val="21"/>
          <w:szCs w:val="21"/>
          <w:highlight w:val="none"/>
          <w:lang w:val="zh-CN" w:bidi="zh-CN"/>
        </w:rPr>
        <w: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1697C42">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348" w:name="_Toc351203641"/>
      <w:r>
        <w:rPr>
          <w:rFonts w:hint="eastAsia" w:ascii="宋体" w:hAnsi="宋体" w:eastAsia="宋体" w:cs="宋体"/>
          <w:b w:val="0"/>
          <w:bCs w:val="0"/>
          <w:kern w:val="2"/>
          <w:sz w:val="21"/>
          <w:szCs w:val="21"/>
          <w:highlight w:val="none"/>
          <w:lang w:val="zh-CN" w:eastAsia="zh-CN" w:bidi="zh-CN"/>
        </w:rPr>
        <w:t>9</w:t>
      </w:r>
      <w:bookmarkEnd w:id="327"/>
      <w:bookmarkEnd w:id="328"/>
      <w:bookmarkEnd w:id="329"/>
      <w:bookmarkStart w:id="349" w:name="_Toc312678021"/>
      <w:bookmarkStart w:id="350" w:name="_Toc297123533"/>
      <w:bookmarkStart w:id="351" w:name="_Toc304295559"/>
      <w:bookmarkStart w:id="352" w:name="_Toc297216192"/>
      <w:bookmarkStart w:id="353" w:name="_Toc312677495"/>
      <w:bookmarkStart w:id="354" w:name="_Toc303539139"/>
      <w:bookmarkStart w:id="355" w:name="_Toc300934982"/>
      <w:bookmarkStart w:id="356" w:name="_Toc297048359"/>
      <w:bookmarkStart w:id="357" w:name="_Toc297120473"/>
      <w:bookmarkStart w:id="358" w:name="_Toc292559378"/>
      <w:bookmarkStart w:id="359" w:name="_Toc292559883"/>
      <w:bookmarkStart w:id="360" w:name="_Toc267251428"/>
      <w:bookmarkStart w:id="361" w:name="_Toc296503173"/>
      <w:bookmarkStart w:id="362" w:name="_Toc296944512"/>
      <w:bookmarkStart w:id="363" w:name="_Toc267251427"/>
      <w:bookmarkStart w:id="364" w:name="_Toc296891001"/>
      <w:bookmarkStart w:id="365" w:name="_Toc296891213"/>
      <w:bookmarkStart w:id="366" w:name="_Toc296346674"/>
      <w:bookmarkStart w:id="367" w:name="_Toc296347172"/>
      <w:r>
        <w:rPr>
          <w:rFonts w:hint="eastAsia" w:ascii="宋体" w:hAnsi="宋体" w:eastAsia="宋体" w:cs="宋体"/>
          <w:b w:val="0"/>
          <w:bCs w:val="0"/>
          <w:kern w:val="2"/>
          <w:sz w:val="21"/>
          <w:szCs w:val="21"/>
          <w:highlight w:val="none"/>
          <w:lang w:val="zh-CN" w:eastAsia="zh-CN" w:bidi="zh-CN"/>
        </w:rPr>
        <w:t>. 试验与检验</w:t>
      </w:r>
      <w:bookmarkEnd w:id="348"/>
      <w:bookmarkEnd w:id="349"/>
      <w:bookmarkEnd w:id="350"/>
      <w:bookmarkEnd w:id="351"/>
      <w:bookmarkEnd w:id="352"/>
      <w:bookmarkEnd w:id="353"/>
      <w:bookmarkEnd w:id="354"/>
      <w:bookmarkEnd w:id="355"/>
    </w:p>
    <w:p w14:paraId="1F7996E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9</w:t>
      </w:r>
      <w:bookmarkStart w:id="368" w:name="_Toc312678022"/>
      <w:bookmarkStart w:id="369" w:name="_Toc303539140"/>
      <w:bookmarkStart w:id="370" w:name="_Toc300934983"/>
      <w:bookmarkStart w:id="371" w:name="_Toc297216193"/>
      <w:bookmarkStart w:id="372" w:name="_Toc297123534"/>
      <w:bookmarkStart w:id="373" w:name="_Toc304295560"/>
      <w:bookmarkStart w:id="374" w:name="_Toc312677496"/>
      <w:r>
        <w:rPr>
          <w:rFonts w:hint="eastAsia" w:ascii="宋体" w:hAnsi="宋体" w:eastAsia="宋体" w:cs="宋体"/>
          <w:kern w:val="0"/>
          <w:sz w:val="21"/>
          <w:szCs w:val="21"/>
          <w:highlight w:val="none"/>
          <w:lang w:val="zh-CN" w:bidi="zh-CN"/>
        </w:rPr>
        <w:t>.1试验设备与试验人员</w:t>
      </w:r>
      <w:bookmarkEnd w:id="368"/>
      <w:bookmarkEnd w:id="369"/>
      <w:bookmarkEnd w:id="370"/>
      <w:bookmarkEnd w:id="371"/>
      <w:bookmarkEnd w:id="372"/>
      <w:bookmarkEnd w:id="373"/>
      <w:bookmarkEnd w:id="374"/>
    </w:p>
    <w:p w14:paraId="3864681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9</w:t>
      </w:r>
      <w:bookmarkStart w:id="375" w:name="_Toc300934984"/>
      <w:bookmarkStart w:id="376" w:name="_Toc297123535"/>
      <w:bookmarkStart w:id="377" w:name="_Toc297216194"/>
      <w:bookmarkStart w:id="378" w:name="_Toc303539141"/>
      <w:bookmarkStart w:id="379" w:name="_Toc312678023"/>
      <w:bookmarkStart w:id="380" w:name="_Toc312677497"/>
      <w:bookmarkStart w:id="381" w:name="_Toc304295561"/>
      <w:bookmarkStart w:id="382" w:name="_Toc318581174"/>
      <w:r>
        <w:rPr>
          <w:rFonts w:hint="eastAsia" w:ascii="宋体" w:hAnsi="宋体" w:eastAsia="宋体" w:cs="宋体"/>
          <w:kern w:val="0"/>
          <w:sz w:val="21"/>
          <w:szCs w:val="21"/>
          <w:highlight w:val="none"/>
          <w:lang w:val="zh-CN" w:bidi="zh-CN"/>
        </w:rPr>
        <w:t>.1.2 试验设备</w:t>
      </w:r>
    </w:p>
    <w:p w14:paraId="1AE0683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施工现场需要配置的试验场所：</w:t>
      </w:r>
      <w:bookmarkEnd w:id="375"/>
      <w:bookmarkEnd w:id="376"/>
      <w:bookmarkEnd w:id="377"/>
      <w:bookmarkEnd w:id="378"/>
      <w:bookmarkEnd w:id="379"/>
      <w:bookmarkEnd w:id="380"/>
      <w:bookmarkEnd w:id="381"/>
      <w:bookmarkStart w:id="383" w:name="_Toc303539142"/>
      <w:bookmarkStart w:id="384" w:name="_Toc304295562"/>
      <w:bookmarkStart w:id="385" w:name="_Toc297216195"/>
      <w:bookmarkStart w:id="386" w:name="_Toc312677498"/>
      <w:bookmarkStart w:id="387" w:name="_Toc297123536"/>
      <w:bookmarkStart w:id="388" w:name="_Toc312678024"/>
      <w:bookmarkStart w:id="389" w:name="_Toc300934985"/>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 xml:space="preserve">。 </w:t>
      </w:r>
    </w:p>
    <w:p w14:paraId="06A1BE0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施工现场需要配备的试验设备：</w:t>
      </w:r>
      <w:r>
        <w:rPr>
          <w:rFonts w:hint="eastAsia" w:ascii="宋体" w:hAnsi="宋体" w:eastAsia="宋体" w:cs="宋体"/>
          <w:kern w:val="0"/>
          <w:sz w:val="21"/>
          <w:szCs w:val="21"/>
          <w:highlight w:val="none"/>
          <w:u w:val="single"/>
          <w:lang w:val="zh-CN" w:bidi="zh-CN"/>
        </w:rPr>
        <w:t xml:space="preserve">  水准仪、测量仪等  </w:t>
      </w:r>
      <w:r>
        <w:rPr>
          <w:rFonts w:hint="eastAsia" w:ascii="宋体" w:hAnsi="宋体" w:eastAsia="宋体" w:cs="宋体"/>
          <w:kern w:val="0"/>
          <w:sz w:val="21"/>
          <w:szCs w:val="21"/>
          <w:highlight w:val="none"/>
          <w:lang w:val="zh-CN" w:bidi="zh-CN"/>
        </w:rPr>
        <w:t>。</w:t>
      </w:r>
    </w:p>
    <w:p w14:paraId="4DB0A15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施工现场需要具备的其他试验条件：</w:t>
      </w:r>
      <w:r>
        <w:rPr>
          <w:rFonts w:hint="eastAsia" w:ascii="宋体" w:hAnsi="宋体" w:eastAsia="宋体" w:cs="宋体"/>
          <w:kern w:val="0"/>
          <w:sz w:val="21"/>
          <w:szCs w:val="21"/>
          <w:highlight w:val="none"/>
          <w:u w:val="single"/>
          <w:lang w:val="zh-CN" w:bidi="zh-CN"/>
        </w:rPr>
        <w:t xml:space="preserve">  暂无，其他按通用条款  </w:t>
      </w:r>
      <w:r>
        <w:rPr>
          <w:rFonts w:hint="eastAsia" w:ascii="宋体" w:hAnsi="宋体" w:eastAsia="宋体" w:cs="宋体"/>
          <w:kern w:val="0"/>
          <w:sz w:val="21"/>
          <w:szCs w:val="21"/>
          <w:highlight w:val="none"/>
          <w:lang w:val="zh-CN" w:bidi="zh-CN"/>
        </w:rPr>
        <w:t>。</w:t>
      </w:r>
    </w:p>
    <w:p w14:paraId="140B543E">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9.4 现场工艺试验 </w:t>
      </w:r>
    </w:p>
    <w:p w14:paraId="59DE7BF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现场工艺试验的有关约定：</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bookmarkEnd w:id="382"/>
      <w:bookmarkEnd w:id="383"/>
      <w:bookmarkEnd w:id="384"/>
      <w:bookmarkEnd w:id="385"/>
      <w:bookmarkEnd w:id="386"/>
      <w:bookmarkEnd w:id="387"/>
      <w:bookmarkEnd w:id="388"/>
      <w:bookmarkEnd w:id="389"/>
    </w:p>
    <w:p w14:paraId="4E6376C5">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390" w:name="_Toc351203642"/>
      <w:r>
        <w:rPr>
          <w:rFonts w:hint="eastAsia" w:ascii="宋体" w:hAnsi="宋体" w:eastAsia="宋体" w:cs="宋体"/>
          <w:b w:val="0"/>
          <w:bCs w:val="0"/>
          <w:kern w:val="2"/>
          <w:sz w:val="21"/>
          <w:szCs w:val="21"/>
          <w:highlight w:val="none"/>
          <w:lang w:val="zh-CN" w:eastAsia="zh-CN" w:bidi="zh-CN"/>
        </w:rPr>
        <w:t>1</w:t>
      </w:r>
      <w:bookmarkEnd w:id="356"/>
      <w:bookmarkEnd w:id="357"/>
      <w:bookmarkEnd w:id="358"/>
      <w:bookmarkEnd w:id="359"/>
      <w:bookmarkEnd w:id="360"/>
      <w:bookmarkEnd w:id="361"/>
      <w:bookmarkEnd w:id="362"/>
      <w:bookmarkEnd w:id="363"/>
      <w:bookmarkEnd w:id="364"/>
      <w:bookmarkEnd w:id="365"/>
      <w:bookmarkEnd w:id="366"/>
      <w:bookmarkEnd w:id="367"/>
      <w:bookmarkStart w:id="391" w:name="_Toc312677499"/>
      <w:bookmarkStart w:id="392" w:name="_Toc297048379"/>
      <w:bookmarkStart w:id="393" w:name="_Toc297123540"/>
      <w:bookmarkStart w:id="394" w:name="_Toc303539146"/>
      <w:bookmarkStart w:id="395" w:name="_Toc296346694"/>
      <w:bookmarkStart w:id="396" w:name="_Toc296944532"/>
      <w:bookmarkStart w:id="397" w:name="_Toc292559398"/>
      <w:bookmarkStart w:id="398" w:name="_Toc296891233"/>
      <w:bookmarkStart w:id="399" w:name="_Toc300934989"/>
      <w:bookmarkStart w:id="400" w:name="_Toc297216199"/>
      <w:bookmarkStart w:id="401" w:name="_Toc296503193"/>
      <w:bookmarkStart w:id="402" w:name="_Toc312678025"/>
      <w:bookmarkStart w:id="403" w:name="_Toc296891021"/>
      <w:bookmarkStart w:id="404" w:name="_Toc292559903"/>
      <w:bookmarkStart w:id="405" w:name="_Toc304295566"/>
      <w:bookmarkStart w:id="406" w:name="_Toc296347192"/>
      <w:bookmarkStart w:id="407" w:name="_Toc297120493"/>
      <w:bookmarkStart w:id="408" w:name="_Toc267251437"/>
      <w:bookmarkStart w:id="409" w:name="_Toc267251440"/>
      <w:bookmarkStart w:id="410" w:name="_Toc267251441"/>
      <w:bookmarkStart w:id="411" w:name="_Toc267251439"/>
      <w:bookmarkStart w:id="412" w:name="_Toc267251435"/>
      <w:bookmarkStart w:id="413" w:name="_Toc267251433"/>
      <w:bookmarkStart w:id="414" w:name="_Toc267251442"/>
      <w:r>
        <w:rPr>
          <w:rFonts w:hint="eastAsia" w:ascii="宋体" w:hAnsi="宋体" w:eastAsia="宋体" w:cs="宋体"/>
          <w:b w:val="0"/>
          <w:bCs w:val="0"/>
          <w:kern w:val="2"/>
          <w:sz w:val="21"/>
          <w:szCs w:val="21"/>
          <w:highlight w:val="none"/>
          <w:lang w:val="zh-CN" w:eastAsia="zh-CN" w:bidi="zh-CN"/>
        </w:rPr>
        <w:t>0. 变更</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2C793981">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Start w:id="415" w:name="_Toc304295567"/>
      <w:bookmarkStart w:id="416" w:name="_Toc312677500"/>
      <w:bookmarkStart w:id="417" w:name="_Toc292559904"/>
      <w:bookmarkStart w:id="418" w:name="_Toc297123541"/>
      <w:bookmarkStart w:id="419" w:name="_Toc296346695"/>
      <w:bookmarkStart w:id="420" w:name="_Toc296891234"/>
      <w:bookmarkStart w:id="421" w:name="_Toc303539147"/>
      <w:bookmarkStart w:id="422" w:name="_Toc297048380"/>
      <w:bookmarkStart w:id="423" w:name="_Toc296944533"/>
      <w:bookmarkStart w:id="424" w:name="_Toc300934990"/>
      <w:bookmarkStart w:id="425" w:name="_Toc296891022"/>
      <w:bookmarkStart w:id="426" w:name="_Toc292559399"/>
      <w:bookmarkStart w:id="427" w:name="_Toc312678026"/>
      <w:bookmarkStart w:id="428" w:name="_Toc297216200"/>
      <w:bookmarkStart w:id="429" w:name="_Toc297120494"/>
      <w:bookmarkStart w:id="430" w:name="_Toc296347193"/>
      <w:bookmarkStart w:id="431" w:name="_Toc296503194"/>
      <w:r>
        <w:rPr>
          <w:rFonts w:hint="eastAsia" w:ascii="宋体" w:hAnsi="宋体" w:eastAsia="宋体" w:cs="宋体"/>
          <w:kern w:val="0"/>
          <w:sz w:val="21"/>
          <w:szCs w:val="21"/>
          <w:highlight w:val="none"/>
          <w:lang w:val="zh-CN" w:bidi="zh-CN"/>
        </w:rPr>
        <w:t>0.1变更的范围</w:t>
      </w:r>
    </w:p>
    <w:p w14:paraId="42325810">
      <w:pPr>
        <w:pageBreakBefore w:val="0"/>
        <w:shd w:val="clear"/>
        <w:kinsoku/>
        <w:wordWrap/>
        <w:overflowPunct/>
        <w:topLinePunct w:val="0"/>
        <w:autoSpaceDE/>
        <w:autoSpaceDN/>
        <w:bidi w:val="0"/>
        <w:adjustRightInd/>
        <w:snapToGrid/>
        <w:spacing w:line="480" w:lineRule="exact"/>
        <w:ind w:firstLine="6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关于变更的范围的约定：</w:t>
      </w:r>
      <w:r>
        <w:rPr>
          <w:rFonts w:hint="eastAsia" w:ascii="宋体" w:hAnsi="宋体" w:eastAsia="宋体" w:cs="宋体"/>
          <w:kern w:val="0"/>
          <w:sz w:val="21"/>
          <w:szCs w:val="21"/>
          <w:highlight w:val="none"/>
          <w:u w:val="single"/>
          <w:lang w:val="zh-CN" w:bidi="zh-CN"/>
        </w:rPr>
        <w:t xml:space="preserve">  根据现场施工条件，材料数量需要增加，工程量调整，综合单价不调整  </w:t>
      </w:r>
      <w:r>
        <w:rPr>
          <w:rFonts w:hint="eastAsia" w:ascii="宋体" w:hAnsi="宋体" w:eastAsia="宋体" w:cs="宋体"/>
          <w:kern w:val="0"/>
          <w:sz w:val="21"/>
          <w:szCs w:val="21"/>
          <w:highlight w:val="none"/>
          <w:lang w:val="zh-CN" w:bidi="zh-CN"/>
        </w:rPr>
        <w:t>。</w:t>
      </w:r>
    </w:p>
    <w:p w14:paraId="6E20C5F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10.4 变更估价</w:t>
      </w:r>
    </w:p>
    <w:p w14:paraId="6C18DF3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10.4.1 变更估价原则</w:t>
      </w:r>
    </w:p>
    <w:p w14:paraId="71130BF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 xml:space="preserve">关于变更估价的约定: </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6590E723">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Start w:id="432" w:name="_Toc296891025"/>
      <w:bookmarkStart w:id="433" w:name="_Toc296944536"/>
      <w:bookmarkStart w:id="434" w:name="_Toc296891237"/>
      <w:bookmarkStart w:id="435" w:name="_Toc297120497"/>
      <w:bookmarkStart w:id="436" w:name="_Toc297123544"/>
      <w:bookmarkStart w:id="437" w:name="_Toc292559907"/>
      <w:bookmarkStart w:id="438" w:name="_Toc292559402"/>
      <w:bookmarkStart w:id="439" w:name="_Toc297216203"/>
      <w:bookmarkStart w:id="440" w:name="_Toc303539150"/>
      <w:bookmarkStart w:id="441" w:name="_Toc300934993"/>
      <w:bookmarkStart w:id="442" w:name="_Toc296347196"/>
      <w:bookmarkStart w:id="443" w:name="_Toc296503197"/>
      <w:bookmarkStart w:id="444" w:name="_Toc296346698"/>
      <w:bookmarkStart w:id="445" w:name="_Toc297048383"/>
      <w:bookmarkStart w:id="446" w:name="_Toc304295570"/>
      <w:bookmarkStart w:id="447" w:name="_Toc312678029"/>
      <w:bookmarkStart w:id="448" w:name="_Toc312677503"/>
      <w:r>
        <w:rPr>
          <w:rFonts w:hint="eastAsia" w:ascii="宋体" w:hAnsi="宋体" w:eastAsia="宋体" w:cs="宋体"/>
          <w:kern w:val="0"/>
          <w:sz w:val="21"/>
          <w:szCs w:val="21"/>
          <w:highlight w:val="none"/>
          <w:lang w:val="zh-CN" w:bidi="zh-CN"/>
        </w:rPr>
        <w:t>0.5承</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9" w:name="_Toc303539151"/>
      <w:bookmarkStart w:id="450" w:name="_Toc296891243"/>
      <w:bookmarkStart w:id="451" w:name="_Toc297216204"/>
      <w:bookmarkStart w:id="452" w:name="_Toc292559408"/>
      <w:bookmarkStart w:id="453" w:name="_Toc297123545"/>
      <w:bookmarkStart w:id="454" w:name="_Toc292559913"/>
      <w:bookmarkStart w:id="455" w:name="_Toc297048389"/>
      <w:bookmarkStart w:id="456" w:name="_Toc296346704"/>
      <w:bookmarkStart w:id="457" w:name="_Toc297120503"/>
      <w:bookmarkStart w:id="458" w:name="_Toc296503203"/>
      <w:bookmarkStart w:id="459" w:name="_Toc296944542"/>
      <w:bookmarkStart w:id="460" w:name="_Toc296347202"/>
      <w:bookmarkStart w:id="461" w:name="_Toc300934994"/>
      <w:bookmarkStart w:id="462" w:name="_Toc296891031"/>
      <w:r>
        <w:rPr>
          <w:rFonts w:hint="eastAsia" w:ascii="宋体" w:hAnsi="宋体" w:eastAsia="宋体" w:cs="宋体"/>
          <w:kern w:val="0"/>
          <w:sz w:val="21"/>
          <w:szCs w:val="21"/>
          <w:highlight w:val="none"/>
          <w:lang w:val="zh-CN" w:bidi="zh-CN"/>
        </w:rPr>
        <w:t>包人的合理化建议</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978B06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人审查承包人合理化建议的期限：</w:t>
      </w:r>
      <w:r>
        <w:rPr>
          <w:rFonts w:hint="eastAsia" w:ascii="宋体" w:hAnsi="宋体" w:eastAsia="宋体" w:cs="宋体"/>
          <w:kern w:val="0"/>
          <w:sz w:val="21"/>
          <w:szCs w:val="21"/>
          <w:highlight w:val="none"/>
          <w:u w:val="single"/>
          <w:lang w:val="zh-CN" w:bidi="zh-CN"/>
        </w:rPr>
        <w:t xml:space="preserve">  2日  </w:t>
      </w:r>
      <w:r>
        <w:rPr>
          <w:rFonts w:hint="eastAsia" w:ascii="宋体" w:hAnsi="宋体" w:eastAsia="宋体" w:cs="宋体"/>
          <w:kern w:val="0"/>
          <w:sz w:val="21"/>
          <w:szCs w:val="21"/>
          <w:highlight w:val="none"/>
          <w:lang w:val="zh-CN" w:bidi="zh-CN"/>
        </w:rPr>
        <w:t>。</w:t>
      </w:r>
    </w:p>
    <w:p w14:paraId="6EA38B0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发包人审批承包人合理化建议的期限：</w:t>
      </w:r>
      <w:r>
        <w:rPr>
          <w:rFonts w:hint="eastAsia" w:ascii="宋体" w:hAnsi="宋体" w:eastAsia="宋体" w:cs="宋体"/>
          <w:kern w:val="0"/>
          <w:sz w:val="21"/>
          <w:szCs w:val="21"/>
          <w:highlight w:val="none"/>
          <w:u w:val="single"/>
          <w:lang w:val="zh-CN" w:bidi="zh-CN"/>
        </w:rPr>
        <w:t xml:space="preserve">  2日   </w:t>
      </w:r>
      <w:r>
        <w:rPr>
          <w:rFonts w:hint="eastAsia" w:ascii="宋体" w:hAnsi="宋体" w:eastAsia="宋体" w:cs="宋体"/>
          <w:kern w:val="0"/>
          <w:sz w:val="21"/>
          <w:szCs w:val="21"/>
          <w:highlight w:val="none"/>
          <w:lang w:val="zh-CN" w:bidi="zh-CN"/>
        </w:rPr>
        <w:t>。</w:t>
      </w:r>
    </w:p>
    <w:p w14:paraId="631ED4B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承</w:t>
      </w:r>
      <w:bookmarkStart w:id="463" w:name="_Toc303539152"/>
      <w:bookmarkStart w:id="464" w:name="_Toc312677504"/>
      <w:bookmarkStart w:id="465" w:name="_Toc304295571"/>
      <w:bookmarkStart w:id="466" w:name="_Toc297120504"/>
      <w:bookmarkStart w:id="467" w:name="_Toc296891244"/>
      <w:bookmarkStart w:id="468" w:name="_Toc296891032"/>
      <w:bookmarkStart w:id="469" w:name="_Toc318581175"/>
      <w:bookmarkStart w:id="470" w:name="_Toc300934995"/>
      <w:bookmarkStart w:id="471" w:name="_Toc296347203"/>
      <w:bookmarkStart w:id="472" w:name="_Toc312678030"/>
      <w:bookmarkStart w:id="473" w:name="_Toc296503204"/>
      <w:bookmarkStart w:id="474" w:name="_Toc292559914"/>
      <w:bookmarkStart w:id="475" w:name="_Toc297048390"/>
      <w:bookmarkStart w:id="476" w:name="_Toc292559409"/>
      <w:bookmarkStart w:id="477" w:name="_Toc297123546"/>
      <w:bookmarkStart w:id="478" w:name="_Toc297216205"/>
      <w:bookmarkStart w:id="479" w:name="_Toc296346705"/>
      <w:bookmarkStart w:id="480" w:name="_Toc296944543"/>
      <w:r>
        <w:rPr>
          <w:rFonts w:hint="eastAsia" w:ascii="宋体" w:hAnsi="宋体" w:eastAsia="宋体" w:cs="宋体"/>
          <w:kern w:val="0"/>
          <w:sz w:val="21"/>
          <w:szCs w:val="21"/>
          <w:highlight w:val="none"/>
          <w:lang w:val="zh-CN" w:bidi="zh-CN"/>
        </w:rPr>
        <w:t>包人提出的合理化建议降低了合同价格或者提高了工程经济效益的奖励的方法和金额为：</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6713974">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Start w:id="481" w:name="_Toc296503199"/>
      <w:bookmarkStart w:id="482" w:name="_Toc297123548"/>
      <w:bookmarkStart w:id="483" w:name="_Toc296347198"/>
      <w:bookmarkStart w:id="484" w:name="_Toc312678033"/>
      <w:bookmarkStart w:id="485" w:name="_Toc296944538"/>
      <w:bookmarkStart w:id="486" w:name="_Toc297048385"/>
      <w:bookmarkStart w:id="487" w:name="_Toc303539154"/>
      <w:bookmarkStart w:id="488" w:name="_Toc300934997"/>
      <w:bookmarkStart w:id="489" w:name="_Toc296346700"/>
      <w:bookmarkStart w:id="490" w:name="_Toc296891027"/>
      <w:bookmarkStart w:id="491" w:name="_Toc296891239"/>
      <w:bookmarkStart w:id="492" w:name="_Toc304295574"/>
      <w:bookmarkStart w:id="493" w:name="_Toc292559909"/>
      <w:bookmarkStart w:id="494" w:name="_Toc292559404"/>
      <w:bookmarkStart w:id="495" w:name="_Toc297120499"/>
      <w:bookmarkStart w:id="496" w:name="_Toc297216207"/>
      <w:bookmarkStart w:id="497" w:name="_Toc312677507"/>
      <w:r>
        <w:rPr>
          <w:rFonts w:hint="eastAsia" w:ascii="宋体" w:hAnsi="宋体" w:eastAsia="宋体" w:cs="宋体"/>
          <w:kern w:val="0"/>
          <w:sz w:val="21"/>
          <w:szCs w:val="21"/>
          <w:highlight w:val="none"/>
          <w:lang w:val="zh-CN" w:bidi="zh-CN"/>
        </w:rPr>
        <w:t>0.7 暂估价</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11A2CB1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暂</w:t>
      </w:r>
      <w:bookmarkStart w:id="498" w:name="_Toc318581176"/>
      <w:bookmarkStart w:id="499" w:name="_Toc312678034"/>
      <w:bookmarkStart w:id="500" w:name="_Toc312677508"/>
      <w:r>
        <w:rPr>
          <w:rFonts w:hint="eastAsia" w:ascii="宋体" w:hAnsi="宋体" w:eastAsia="宋体" w:cs="宋体"/>
          <w:kern w:val="0"/>
          <w:sz w:val="21"/>
          <w:szCs w:val="21"/>
          <w:highlight w:val="none"/>
          <w:lang w:val="zh-CN" w:bidi="zh-CN"/>
        </w:rPr>
        <w:t>估价材料和工程设备的明细详见附件11：《暂估价一览表》。</w:t>
      </w:r>
      <w:bookmarkEnd w:id="498"/>
      <w:bookmarkEnd w:id="499"/>
      <w:bookmarkEnd w:id="500"/>
    </w:p>
    <w:p w14:paraId="2755BA0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Start w:id="501" w:name="_Toc312677509"/>
      <w:bookmarkStart w:id="502" w:name="_Toc312678035"/>
      <w:bookmarkStart w:id="503" w:name="_Toc318581177"/>
      <w:r>
        <w:rPr>
          <w:rFonts w:hint="eastAsia" w:ascii="宋体" w:hAnsi="宋体" w:eastAsia="宋体" w:cs="宋体"/>
          <w:kern w:val="0"/>
          <w:sz w:val="21"/>
          <w:szCs w:val="21"/>
          <w:highlight w:val="none"/>
          <w:lang w:val="zh-CN" w:bidi="zh-CN"/>
        </w:rPr>
        <w:t>0.7.1 依法必须招标的暂估价项目</w:t>
      </w:r>
      <w:bookmarkEnd w:id="501"/>
      <w:bookmarkEnd w:id="502"/>
      <w:bookmarkEnd w:id="503"/>
    </w:p>
    <w:p w14:paraId="14782AD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对于依法必须招标的暂估价项目的确认和批准采取第</w:t>
      </w:r>
      <w:r>
        <w:rPr>
          <w:rFonts w:hint="eastAsia" w:ascii="宋体" w:hAnsi="宋体" w:eastAsia="宋体" w:cs="宋体"/>
          <w:kern w:val="0"/>
          <w:sz w:val="21"/>
          <w:szCs w:val="21"/>
          <w:highlight w:val="none"/>
          <w:u w:val="single"/>
          <w:lang w:val="zh-CN" w:bidi="zh-CN"/>
        </w:rPr>
        <w:t xml:space="preserve">  2  </w:t>
      </w:r>
      <w:r>
        <w:rPr>
          <w:rFonts w:hint="eastAsia" w:ascii="宋体" w:hAnsi="宋体" w:eastAsia="宋体" w:cs="宋体"/>
          <w:kern w:val="0"/>
          <w:sz w:val="21"/>
          <w:szCs w:val="21"/>
          <w:highlight w:val="none"/>
          <w:lang w:val="zh-CN" w:bidi="zh-CN"/>
        </w:rPr>
        <w:t>种方式确定。</w:t>
      </w:r>
    </w:p>
    <w:p w14:paraId="6A69B1B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10.7.2 不属于依法必须招标的暂估价项目</w:t>
      </w:r>
    </w:p>
    <w:p w14:paraId="6C774FD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对于不属于依法必须招标的暂估价项目的确认和批准采取第 种方式确定。</w:t>
      </w:r>
    </w:p>
    <w:p w14:paraId="238A185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第3种方式：承包人直接实施的暂估价项目</w:t>
      </w:r>
    </w:p>
    <w:p w14:paraId="4C8A08A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承包人直接实施的暂估价项目的约定：</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08BB5749">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10.8 暂列金额</w:t>
      </w:r>
    </w:p>
    <w:p w14:paraId="7D49327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合同当事人关于暂列金额使用的约定：</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11371E56">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504" w:name="_Toc351203643"/>
      <w:r>
        <w:rPr>
          <w:rFonts w:hint="eastAsia" w:ascii="宋体" w:hAnsi="宋体" w:eastAsia="宋体" w:cs="宋体"/>
          <w:b w:val="0"/>
          <w:bCs w:val="0"/>
          <w:kern w:val="2"/>
          <w:sz w:val="21"/>
          <w:szCs w:val="21"/>
          <w:highlight w:val="none"/>
          <w:lang w:val="zh-CN" w:eastAsia="zh-CN" w:bidi="zh-CN"/>
        </w:rPr>
        <w:t>11. 价格调整</w:t>
      </w:r>
      <w:bookmarkEnd w:id="504"/>
    </w:p>
    <w:p w14:paraId="4C7C244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bookmarkStart w:id="505" w:name="_Toc297048387"/>
      <w:bookmarkStart w:id="506" w:name="_Toc296891029"/>
      <w:bookmarkStart w:id="507" w:name="_Toc304295577"/>
      <w:bookmarkStart w:id="508" w:name="_Toc292559406"/>
      <w:bookmarkStart w:id="509" w:name="_Toc303539157"/>
      <w:bookmarkStart w:id="510" w:name="_Toc312678039"/>
      <w:bookmarkStart w:id="511" w:name="_Toc296346702"/>
      <w:bookmarkStart w:id="512" w:name="_Toc296503201"/>
      <w:bookmarkStart w:id="513" w:name="_Toc300935000"/>
      <w:bookmarkStart w:id="514" w:name="_Toc297216209"/>
      <w:bookmarkStart w:id="515" w:name="_Toc296944540"/>
      <w:bookmarkStart w:id="516" w:name="_Toc297123550"/>
      <w:bookmarkStart w:id="517" w:name="_Toc297120501"/>
      <w:bookmarkStart w:id="518" w:name="_Toc296891241"/>
      <w:bookmarkStart w:id="519" w:name="_Toc292559911"/>
      <w:bookmarkStart w:id="520" w:name="_Toc296347200"/>
      <w:r>
        <w:rPr>
          <w:rFonts w:hint="eastAsia" w:ascii="宋体" w:hAnsi="宋体" w:eastAsia="宋体" w:cs="宋体"/>
          <w:kern w:val="0"/>
          <w:sz w:val="21"/>
          <w:szCs w:val="21"/>
          <w:highlight w:val="none"/>
          <w:lang w:val="zh-CN" w:bidi="zh-CN"/>
        </w:rPr>
        <w:t>11.1 市场价格波动引起的调整</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12615C6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市场价格波动是否调整合同价格的约定：</w:t>
      </w:r>
      <w:r>
        <w:rPr>
          <w:rFonts w:hint="eastAsia" w:ascii="宋体" w:hAnsi="宋体" w:eastAsia="宋体" w:cs="宋体"/>
          <w:kern w:val="0"/>
          <w:sz w:val="21"/>
          <w:szCs w:val="21"/>
          <w:highlight w:val="none"/>
          <w:u w:val="single"/>
          <w:lang w:val="en-US" w:bidi="zh-CN"/>
        </w:rPr>
        <w:t xml:space="preserve"> 本项目工期短，不调整</w:t>
      </w:r>
      <w:r>
        <w:rPr>
          <w:rFonts w:hint="eastAsia" w:ascii="宋体" w:hAnsi="宋体" w:eastAsia="宋体" w:cs="宋体"/>
          <w:kern w:val="0"/>
          <w:sz w:val="21"/>
          <w:szCs w:val="21"/>
          <w:highlight w:val="none"/>
          <w:lang w:val="zh-CN" w:bidi="zh-CN"/>
        </w:rPr>
        <w:t>。</w:t>
      </w:r>
    </w:p>
    <w:bookmarkEnd w:id="408"/>
    <w:bookmarkEnd w:id="409"/>
    <w:bookmarkEnd w:id="410"/>
    <w:bookmarkEnd w:id="411"/>
    <w:bookmarkEnd w:id="412"/>
    <w:bookmarkEnd w:id="413"/>
    <w:p w14:paraId="036D54A3">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521" w:name="_Toc296891033"/>
      <w:bookmarkStart w:id="522" w:name="_Toc296891245"/>
      <w:bookmarkStart w:id="523" w:name="_Toc296347204"/>
      <w:bookmarkStart w:id="524" w:name="_Toc297048391"/>
      <w:bookmarkStart w:id="525" w:name="_Toc296346706"/>
      <w:bookmarkStart w:id="526" w:name="_Toc292559915"/>
      <w:bookmarkStart w:id="527" w:name="_Toc296503205"/>
      <w:bookmarkStart w:id="528" w:name="_Toc297120505"/>
      <w:bookmarkStart w:id="529" w:name="_Toc292559410"/>
      <w:bookmarkStart w:id="530" w:name="_Toc296944544"/>
      <w:bookmarkStart w:id="531" w:name="_Toc297216211"/>
      <w:bookmarkStart w:id="532" w:name="_Toc303539159"/>
      <w:bookmarkStart w:id="533" w:name="_Toc304295579"/>
      <w:bookmarkStart w:id="534" w:name="_Toc312678040"/>
      <w:bookmarkStart w:id="535" w:name="_Toc300935002"/>
      <w:bookmarkStart w:id="536" w:name="_Toc351203644"/>
      <w:bookmarkStart w:id="537" w:name="_Toc297123552"/>
      <w:r>
        <w:rPr>
          <w:rFonts w:hint="eastAsia" w:ascii="宋体" w:hAnsi="宋体" w:eastAsia="宋体" w:cs="宋体"/>
          <w:b w:val="0"/>
          <w:bCs w:val="0"/>
          <w:kern w:val="2"/>
          <w:sz w:val="21"/>
          <w:szCs w:val="21"/>
          <w:highlight w:val="none"/>
          <w:lang w:val="zh-CN" w:eastAsia="zh-CN" w:bidi="zh-CN"/>
        </w:rPr>
        <w:t xml:space="preserve">12. </w:t>
      </w:r>
      <w:bookmarkEnd w:id="521"/>
      <w:bookmarkEnd w:id="522"/>
      <w:bookmarkEnd w:id="523"/>
      <w:bookmarkEnd w:id="524"/>
      <w:bookmarkEnd w:id="525"/>
      <w:bookmarkEnd w:id="526"/>
      <w:bookmarkEnd w:id="527"/>
      <w:bookmarkEnd w:id="528"/>
      <w:bookmarkEnd w:id="529"/>
      <w:bookmarkEnd w:id="530"/>
      <w:r>
        <w:rPr>
          <w:rFonts w:hint="eastAsia" w:ascii="宋体" w:hAnsi="宋体" w:eastAsia="宋体" w:cs="宋体"/>
          <w:b w:val="0"/>
          <w:bCs w:val="0"/>
          <w:kern w:val="2"/>
          <w:sz w:val="21"/>
          <w:szCs w:val="21"/>
          <w:highlight w:val="none"/>
          <w:lang w:val="zh-CN" w:eastAsia="zh-CN" w:bidi="zh-CN"/>
        </w:rPr>
        <w:t>合同价格、计量与支付</w:t>
      </w:r>
      <w:bookmarkEnd w:id="531"/>
      <w:bookmarkEnd w:id="532"/>
      <w:bookmarkEnd w:id="533"/>
      <w:bookmarkEnd w:id="534"/>
      <w:bookmarkEnd w:id="535"/>
      <w:bookmarkEnd w:id="536"/>
      <w:bookmarkEnd w:id="537"/>
    </w:p>
    <w:p w14:paraId="3224D419">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bookmarkStart w:id="538" w:name="_Toc292559916"/>
      <w:bookmarkStart w:id="539" w:name="_Toc267251461"/>
      <w:bookmarkStart w:id="540" w:name="_Toc292559411"/>
      <w:bookmarkStart w:id="541" w:name="_Toc297120506"/>
      <w:bookmarkStart w:id="542" w:name="_Toc296944545"/>
      <w:bookmarkStart w:id="543" w:name="_Toc296891246"/>
      <w:bookmarkStart w:id="544" w:name="_Toc296347205"/>
      <w:bookmarkStart w:id="545" w:name="_Toc297048392"/>
      <w:bookmarkStart w:id="546" w:name="_Toc296891034"/>
      <w:bookmarkStart w:id="547" w:name="_Toc296503206"/>
      <w:bookmarkStart w:id="548" w:name="_Toc296346707"/>
      <w:bookmarkStart w:id="549" w:name="_Toc300935003"/>
      <w:bookmarkStart w:id="550" w:name="_Toc297123553"/>
      <w:bookmarkStart w:id="551" w:name="_Toc297216212"/>
      <w:bookmarkStart w:id="552" w:name="_Toc304295580"/>
      <w:bookmarkStart w:id="553" w:name="_Toc303539160"/>
      <w:bookmarkStart w:id="554" w:name="_Toc312678041"/>
      <w:r>
        <w:rPr>
          <w:rFonts w:hint="eastAsia" w:ascii="宋体" w:hAnsi="宋体" w:eastAsia="宋体" w:cs="宋体"/>
          <w:kern w:val="0"/>
          <w:sz w:val="21"/>
          <w:szCs w:val="21"/>
          <w:highlight w:val="none"/>
          <w:lang w:val="zh-CN" w:bidi="zh-CN"/>
        </w:rPr>
        <w:t>12.1 合</w:t>
      </w:r>
      <w:bookmarkEnd w:id="538"/>
      <w:bookmarkEnd w:id="539"/>
      <w:bookmarkEnd w:id="540"/>
      <w:r>
        <w:rPr>
          <w:rFonts w:hint="eastAsia" w:ascii="宋体" w:hAnsi="宋体" w:eastAsia="宋体" w:cs="宋体"/>
          <w:kern w:val="0"/>
          <w:sz w:val="21"/>
          <w:szCs w:val="21"/>
          <w:highlight w:val="none"/>
          <w:lang w:val="zh-CN" w:bidi="zh-CN"/>
        </w:rPr>
        <w:t>同价</w:t>
      </w:r>
      <w:bookmarkEnd w:id="541"/>
      <w:bookmarkEnd w:id="542"/>
      <w:bookmarkEnd w:id="543"/>
      <w:bookmarkEnd w:id="544"/>
      <w:bookmarkEnd w:id="545"/>
      <w:bookmarkEnd w:id="546"/>
      <w:bookmarkEnd w:id="547"/>
      <w:bookmarkEnd w:id="548"/>
      <w:r>
        <w:rPr>
          <w:rFonts w:hint="eastAsia" w:ascii="宋体" w:hAnsi="宋体" w:eastAsia="宋体" w:cs="宋体"/>
          <w:kern w:val="0"/>
          <w:sz w:val="21"/>
          <w:szCs w:val="21"/>
          <w:highlight w:val="none"/>
          <w:lang w:val="zh-CN" w:bidi="zh-CN"/>
        </w:rPr>
        <w:t>格形式</w:t>
      </w:r>
      <w:bookmarkEnd w:id="549"/>
      <w:bookmarkEnd w:id="550"/>
      <w:bookmarkEnd w:id="551"/>
      <w:bookmarkEnd w:id="552"/>
      <w:bookmarkEnd w:id="553"/>
      <w:bookmarkEnd w:id="554"/>
    </w:p>
    <w:p w14:paraId="5723570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1、单价合同。</w:t>
      </w:r>
    </w:p>
    <w:p w14:paraId="427465AF">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综合单价包含的风险范围：</w:t>
      </w:r>
    </w:p>
    <w:p w14:paraId="32930942">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（1.1）各类建材的市场价格风险；</w:t>
      </w:r>
    </w:p>
    <w:p w14:paraId="279F4B00">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1.2）施工期间的各类政策性调整风险:以递交投标文件截止日期前28天为基准日，其后国家的法律、法规、规章和政策发生变化影响工程造价的，应按省级或行业建设主管部门或授权的工程造价管理机构发布的规定调整合同价款；</w:t>
      </w:r>
    </w:p>
    <w:p w14:paraId="476EB801">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（1.3）施工组织设计的技术、安全措施结算时不调整；</w:t>
      </w:r>
    </w:p>
    <w:p w14:paraId="1CF3444B">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（1.4）甲供设备/材料的保管费，结算时不调整；</w:t>
      </w:r>
    </w:p>
    <w:p w14:paraId="1CB9CD23">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（1.5）作为有经验的承包商应该可以预见的风险，结算时不调整；</w:t>
      </w:r>
    </w:p>
    <w:p w14:paraId="6C4B0111">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（1.6）招标文件中明示和暗示的风险费用，结算时不调整；</w:t>
      </w:r>
    </w:p>
    <w:p w14:paraId="462CDAF7">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（1.7）法律、法规、条例中规定的其他风险。</w:t>
      </w:r>
    </w:p>
    <w:p w14:paraId="69521E0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风险费用的计算方法：</w:t>
      </w:r>
      <w:r>
        <w:rPr>
          <w:rFonts w:hint="eastAsia" w:ascii="宋体" w:hAnsi="宋体" w:eastAsia="宋体" w:cs="宋体"/>
          <w:kern w:val="0"/>
          <w:sz w:val="21"/>
          <w:szCs w:val="21"/>
          <w:highlight w:val="none"/>
          <w:u w:val="single"/>
          <w:lang w:val="zh-CN" w:bidi="zh-CN"/>
        </w:rPr>
        <w:t>承包人根据风险范围，由承包人承担的风险计入合同单价中，结算时不调整</w:t>
      </w:r>
      <w:r>
        <w:rPr>
          <w:rFonts w:hint="eastAsia" w:ascii="宋体" w:hAnsi="宋体" w:eastAsia="宋体" w:cs="宋体"/>
          <w:kern w:val="0"/>
          <w:sz w:val="21"/>
          <w:szCs w:val="21"/>
          <w:highlight w:val="none"/>
          <w:lang w:val="zh-CN" w:bidi="zh-CN"/>
        </w:rPr>
        <w:t>。</w:t>
      </w:r>
    </w:p>
    <w:p w14:paraId="6C584E8C">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风险范围以外合同价格的调整方法：</w:t>
      </w:r>
    </w:p>
    <w:p w14:paraId="0FC8DEE4">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（1）发包人、</w:t>
      </w:r>
      <w:r>
        <w:rPr>
          <w:rFonts w:hint="eastAsia" w:ascii="宋体" w:hAnsi="宋体" w:cs="宋体"/>
          <w:kern w:val="0"/>
          <w:sz w:val="21"/>
          <w:szCs w:val="21"/>
          <w:highlight w:val="none"/>
          <w:u w:val="single"/>
          <w:lang w:val="zh-CN" w:bidi="zh-CN"/>
        </w:rPr>
        <w:t>监理（如有）方（如有）</w:t>
      </w:r>
      <w:r>
        <w:rPr>
          <w:rFonts w:hint="eastAsia" w:ascii="宋体" w:hAnsi="宋体" w:eastAsia="宋体" w:cs="宋体"/>
          <w:kern w:val="0"/>
          <w:sz w:val="21"/>
          <w:szCs w:val="21"/>
          <w:highlight w:val="none"/>
          <w:u w:val="single"/>
          <w:lang w:val="zh-CN" w:bidi="zh-CN"/>
        </w:rPr>
        <w:t>、审计方认可的设计变更（变更依据：工程变更单）；</w:t>
      </w:r>
    </w:p>
    <w:p w14:paraId="1D8B4C02">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（2）发包人和</w:t>
      </w:r>
      <w:r>
        <w:rPr>
          <w:rFonts w:hint="eastAsia" w:ascii="宋体" w:hAnsi="宋体" w:cs="宋体"/>
          <w:kern w:val="0"/>
          <w:sz w:val="21"/>
          <w:szCs w:val="21"/>
          <w:highlight w:val="none"/>
          <w:u w:val="single"/>
          <w:lang w:val="zh-CN" w:bidi="zh-CN"/>
        </w:rPr>
        <w:t>监理（如有）方（如有）</w:t>
      </w:r>
      <w:r>
        <w:rPr>
          <w:rFonts w:hint="eastAsia" w:ascii="宋体" w:hAnsi="宋体" w:eastAsia="宋体" w:cs="宋体"/>
          <w:kern w:val="0"/>
          <w:sz w:val="21"/>
          <w:szCs w:val="21"/>
          <w:highlight w:val="none"/>
          <w:u w:val="single"/>
          <w:lang w:val="zh-CN" w:bidi="zh-CN"/>
        </w:rPr>
        <w:t>、审计方均认可的签证，减少的分部分项工程项目按合同价报价表中相应计价程序扣除；</w:t>
      </w:r>
    </w:p>
    <w:p w14:paraId="11794507">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（3）承包人每周四前报送符合本条款（1）、（2）范围的变更及签证预算；</w:t>
      </w:r>
    </w:p>
    <w:p w14:paraId="75D4936F">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（4）变更及签证完成工程量由发包人和</w:t>
      </w:r>
      <w:r>
        <w:rPr>
          <w:rFonts w:hint="eastAsia" w:ascii="宋体" w:hAnsi="宋体" w:cs="宋体"/>
          <w:kern w:val="0"/>
          <w:sz w:val="21"/>
          <w:szCs w:val="21"/>
          <w:highlight w:val="none"/>
          <w:u w:val="single"/>
          <w:lang w:val="zh-CN" w:bidi="zh-CN"/>
        </w:rPr>
        <w:t>监理（如有）</w:t>
      </w:r>
      <w:r>
        <w:rPr>
          <w:rFonts w:hint="eastAsia" w:ascii="宋体" w:hAnsi="宋体" w:eastAsia="宋体" w:cs="宋体"/>
          <w:kern w:val="0"/>
          <w:sz w:val="21"/>
          <w:szCs w:val="21"/>
          <w:highlight w:val="none"/>
          <w:u w:val="single"/>
          <w:lang w:val="zh-CN" w:bidi="zh-CN"/>
        </w:rPr>
        <w:t>及审计确认。变更的工程量中：投标报价中已有的子目按优惠后的投标报价计算;投标报价中没有的子目按本招标文件规定的定额及有关文件计算，取费优惠率按10%执行</w:t>
      </w:r>
      <w:r>
        <w:rPr>
          <w:rFonts w:hint="eastAsia" w:ascii="宋体" w:hAnsi="宋体" w:eastAsia="宋体" w:cs="宋体"/>
          <w:kern w:val="0"/>
          <w:sz w:val="21"/>
          <w:szCs w:val="21"/>
          <w:highlight w:val="none"/>
          <w:u w:val="single"/>
          <w:lang w:val="zh-CN" w:eastAsia="zh-CN" w:bidi="zh-CN"/>
        </w:rPr>
        <w:t>。若投标下浮比例大于10%，按投标下浮比例执行</w:t>
      </w:r>
      <w:r>
        <w:rPr>
          <w:rFonts w:hint="eastAsia" w:ascii="宋体" w:hAnsi="宋体" w:eastAsia="宋体" w:cs="宋体"/>
          <w:kern w:val="0"/>
          <w:sz w:val="21"/>
          <w:szCs w:val="21"/>
          <w:highlight w:val="none"/>
          <w:u w:val="single"/>
          <w:lang w:val="zh-CN" w:bidi="zh-CN"/>
        </w:rPr>
        <w:t>。</w:t>
      </w:r>
    </w:p>
    <w:p w14:paraId="2530B56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（5）零时用工单价按省市文件规定执行，措施费不予调整。</w:t>
      </w:r>
    </w:p>
    <w:p w14:paraId="741713D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u w:val="single"/>
          <w:lang w:val="zh-CN" w:bidi="zh-CN"/>
        </w:rPr>
        <w:t xml:space="preserve">（6）本合同在合同履行及竣工结算时根据江苏省住房城乡建设厅苏建价（2016）154号《关于建筑业实施营改增后江苏省建设工程计价依据调整的通知》文件规定执行。 </w:t>
      </w:r>
    </w:p>
    <w:p w14:paraId="653B31E0">
      <w:pPr>
        <w:pageBreakBefore w:val="0"/>
        <w:shd w:val="clear"/>
        <w:kinsoku/>
        <w:wordWrap/>
        <w:overflowPunct/>
        <w:topLinePunct w:val="0"/>
        <w:autoSpaceDE/>
        <w:autoSpaceDN/>
        <w:bidi w:val="0"/>
        <w:adjustRightInd/>
        <w:snapToGrid/>
        <w:spacing w:before="100" w:after="100" w:line="480" w:lineRule="exact"/>
        <w:ind w:firstLine="480"/>
        <w:jc w:val="left"/>
        <w:textAlignment w:val="auto"/>
        <w:rPr>
          <w:rFonts w:hint="eastAsia" w:ascii="宋体" w:hAnsi="宋体" w:eastAsia="宋体" w:cs="宋体"/>
          <w:kern w:val="0"/>
          <w:sz w:val="21"/>
          <w:szCs w:val="21"/>
          <w:highlight w:val="none"/>
          <w:u w:val="single"/>
          <w:lang w:val="zh-CN" w:bidi="zh-CN"/>
        </w:rPr>
      </w:pPr>
    </w:p>
    <w:p w14:paraId="57530E0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bookmarkStart w:id="555" w:name="_Toc312678042"/>
      <w:bookmarkStart w:id="556" w:name="_Toc304295581"/>
      <w:bookmarkStart w:id="557" w:name="_Toc297216213"/>
      <w:bookmarkStart w:id="558" w:name="_Toc300935004"/>
      <w:bookmarkStart w:id="559" w:name="_Toc303539161"/>
      <w:bookmarkStart w:id="560" w:name="_Toc297123554"/>
      <w:bookmarkStart w:id="561" w:name="_Toc296944546"/>
      <w:bookmarkStart w:id="562" w:name="_Toc297048393"/>
      <w:bookmarkStart w:id="563" w:name="_Toc296503207"/>
      <w:bookmarkStart w:id="564" w:name="_Toc292559412"/>
      <w:bookmarkStart w:id="565" w:name="_Toc296347206"/>
      <w:bookmarkStart w:id="566" w:name="_Toc297120507"/>
      <w:bookmarkStart w:id="567" w:name="_Toc296891247"/>
      <w:bookmarkStart w:id="568" w:name="_Toc292559917"/>
      <w:bookmarkStart w:id="569" w:name="_Toc296891035"/>
      <w:bookmarkStart w:id="570" w:name="_Toc296346708"/>
      <w:r>
        <w:rPr>
          <w:rFonts w:hint="eastAsia" w:ascii="宋体" w:hAnsi="宋体" w:eastAsia="宋体" w:cs="宋体"/>
          <w:kern w:val="0"/>
          <w:sz w:val="21"/>
          <w:szCs w:val="21"/>
          <w:highlight w:val="none"/>
          <w:lang w:val="zh-CN" w:bidi="zh-CN"/>
        </w:rPr>
        <w:t>12.2 预付款</w:t>
      </w:r>
      <w:bookmarkEnd w:id="555"/>
      <w:bookmarkEnd w:id="556"/>
      <w:bookmarkEnd w:id="557"/>
      <w:bookmarkEnd w:id="558"/>
      <w:bookmarkEnd w:id="559"/>
      <w:bookmarkEnd w:id="560"/>
    </w:p>
    <w:p w14:paraId="6D1DE8F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12.2.1 预付款的支付</w:t>
      </w:r>
    </w:p>
    <w:p w14:paraId="6757938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预付款支付比例或金额：</w:t>
      </w:r>
      <w:r>
        <w:rPr>
          <w:rFonts w:hint="eastAsia" w:ascii="宋体" w:hAnsi="宋体" w:eastAsia="宋体" w:cs="宋体"/>
          <w:spacing w:val="10"/>
          <w:kern w:val="0"/>
          <w:sz w:val="21"/>
          <w:szCs w:val="21"/>
          <w:highlight w:val="none"/>
          <w:u w:val="single"/>
          <w:lang w:val="zh-CN" w:bidi="zh-CN"/>
        </w:rPr>
        <w:t>/</w:t>
      </w:r>
      <w:r>
        <w:rPr>
          <w:rFonts w:hint="eastAsia" w:ascii="宋体" w:hAnsi="宋体" w:eastAsia="宋体" w:cs="宋体"/>
          <w:kern w:val="0"/>
          <w:sz w:val="21"/>
          <w:szCs w:val="21"/>
          <w:highlight w:val="none"/>
          <w:lang w:val="zh-CN" w:bidi="zh-CN"/>
        </w:rPr>
        <w:t>。</w:t>
      </w:r>
    </w:p>
    <w:p w14:paraId="6B0FB40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预付款支付期限：</w:t>
      </w:r>
      <w:r>
        <w:rPr>
          <w:rFonts w:hint="eastAsia" w:ascii="宋体" w:hAnsi="宋体" w:eastAsia="宋体" w:cs="宋体"/>
          <w:spacing w:val="10"/>
          <w:kern w:val="0"/>
          <w:sz w:val="21"/>
          <w:szCs w:val="21"/>
          <w:highlight w:val="none"/>
          <w:u w:val="single"/>
          <w:lang w:val="zh-CN" w:bidi="zh-CN"/>
        </w:rPr>
        <w:t>/</w:t>
      </w:r>
      <w:r>
        <w:rPr>
          <w:rFonts w:hint="eastAsia" w:ascii="宋体" w:hAnsi="宋体" w:eastAsia="宋体" w:cs="宋体"/>
          <w:kern w:val="0"/>
          <w:sz w:val="21"/>
          <w:szCs w:val="21"/>
          <w:highlight w:val="none"/>
          <w:lang w:val="zh-CN" w:bidi="zh-CN"/>
        </w:rPr>
        <w:t>。</w:t>
      </w:r>
    </w:p>
    <w:p w14:paraId="152FA33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预付款扣回的方式：</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4F14B96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12.2.2 预付款担保</w:t>
      </w:r>
    </w:p>
    <w:p w14:paraId="7D1867E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承包人提交预付款担保的期限：</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3FC8D1D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预付款担保的形式为：</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bookmarkEnd w:id="561"/>
      <w:bookmarkEnd w:id="562"/>
      <w:bookmarkEnd w:id="563"/>
      <w:bookmarkEnd w:id="564"/>
      <w:bookmarkEnd w:id="565"/>
      <w:bookmarkEnd w:id="566"/>
      <w:bookmarkEnd w:id="567"/>
      <w:bookmarkEnd w:id="568"/>
      <w:bookmarkEnd w:id="569"/>
      <w:bookmarkEnd w:id="570"/>
    </w:p>
    <w:p w14:paraId="7AB034FF">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 计量</w:t>
      </w:r>
    </w:p>
    <w:p w14:paraId="2F6A4EF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12.3.1 计量原则</w:t>
      </w:r>
    </w:p>
    <w:p w14:paraId="6ED2235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工程量计算规则：</w:t>
      </w:r>
      <w:r>
        <w:rPr>
          <w:rFonts w:hint="eastAsia" w:ascii="宋体" w:hAnsi="宋体" w:eastAsia="宋体" w:cs="宋体"/>
          <w:kern w:val="0"/>
          <w:sz w:val="21"/>
          <w:szCs w:val="21"/>
          <w:highlight w:val="none"/>
          <w:u w:val="single"/>
          <w:lang w:val="zh-CN" w:bidi="zh-CN"/>
        </w:rPr>
        <w:t xml:space="preserve">    按相关的国家标准、行业标准等为依据    </w:t>
      </w:r>
      <w:r>
        <w:rPr>
          <w:rFonts w:hint="eastAsia" w:ascii="宋体" w:hAnsi="宋体" w:eastAsia="宋体" w:cs="宋体"/>
          <w:kern w:val="0"/>
          <w:sz w:val="21"/>
          <w:szCs w:val="21"/>
          <w:highlight w:val="none"/>
          <w:lang w:val="zh-CN" w:bidi="zh-CN"/>
        </w:rPr>
        <w:t>。</w:t>
      </w:r>
    </w:p>
    <w:p w14:paraId="0277E01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12.3.2 计量周期</w:t>
      </w:r>
    </w:p>
    <w:p w14:paraId="3DBD632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关于计量周期的约定：</w:t>
      </w:r>
      <w:r>
        <w:rPr>
          <w:rFonts w:hint="eastAsia" w:ascii="宋体" w:hAnsi="宋体" w:eastAsia="宋体" w:cs="宋体"/>
          <w:kern w:val="0"/>
          <w:sz w:val="21"/>
          <w:szCs w:val="21"/>
          <w:highlight w:val="none"/>
          <w:u w:val="single"/>
          <w:lang w:val="zh-CN" w:bidi="zh-CN"/>
        </w:rPr>
        <w:t xml:space="preserve">   见12.4.1   </w:t>
      </w:r>
      <w:r>
        <w:rPr>
          <w:rFonts w:hint="eastAsia" w:ascii="宋体" w:hAnsi="宋体" w:eastAsia="宋体" w:cs="宋体"/>
          <w:kern w:val="0"/>
          <w:sz w:val="21"/>
          <w:szCs w:val="21"/>
          <w:highlight w:val="none"/>
          <w:lang w:val="zh-CN" w:bidi="zh-CN"/>
        </w:rPr>
        <w:t>。</w:t>
      </w:r>
    </w:p>
    <w:p w14:paraId="2354D0B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12.3.3 单价合同的计量</w:t>
      </w:r>
    </w:p>
    <w:p w14:paraId="6BD5B83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关于单价合同计量的约定：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36299B5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12.3.4 总价合同的计量</w:t>
      </w:r>
    </w:p>
    <w:p w14:paraId="3F5A95F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关于总价合同计量的约定：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73A4E2F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12.3.5总价合同采用支付分解表计量支付的，是否适用第12.3.4 项〔总价合同的计量〕约定进行计量：</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585465F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12.3.6 其他价格形式合同的计量</w:t>
      </w:r>
    </w:p>
    <w:p w14:paraId="6613FC8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其他价格形式的计量方式和程序：</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3BF98247">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12.4 工程进度款支付</w:t>
      </w:r>
    </w:p>
    <w:p w14:paraId="0CA8F11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bookmarkStart w:id="571" w:name="_Toc297216215"/>
      <w:bookmarkStart w:id="572" w:name="_Toc292559416"/>
      <w:bookmarkStart w:id="573" w:name="_Toc297123556"/>
      <w:bookmarkStart w:id="574" w:name="_Toc300935006"/>
      <w:bookmarkStart w:id="575" w:name="_Toc296944550"/>
      <w:bookmarkStart w:id="576" w:name="_Toc297120511"/>
      <w:bookmarkStart w:id="577" w:name="_Toc296891039"/>
      <w:bookmarkStart w:id="578" w:name="_Toc296347210"/>
      <w:bookmarkStart w:id="579" w:name="_Toc296346712"/>
      <w:bookmarkStart w:id="580" w:name="_Toc303539163"/>
      <w:bookmarkStart w:id="581" w:name="_Toc296503211"/>
      <w:bookmarkStart w:id="582" w:name="_Toc292559921"/>
      <w:bookmarkStart w:id="583" w:name="_Toc296891251"/>
      <w:bookmarkStart w:id="584" w:name="_Toc297048397"/>
      <w:r>
        <w:rPr>
          <w:rFonts w:hint="eastAsia" w:ascii="宋体" w:hAnsi="宋体" w:eastAsia="宋体" w:cs="宋体"/>
          <w:kern w:val="0"/>
          <w:sz w:val="21"/>
          <w:szCs w:val="21"/>
          <w:highlight w:val="none"/>
          <w:lang w:val="zh-CN" w:bidi="zh-CN"/>
        </w:rPr>
        <w:t>12.4.1 付款周期</w:t>
      </w:r>
    </w:p>
    <w:p w14:paraId="163F72A1">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pacing w:val="10"/>
          <w:kern w:val="0"/>
          <w:sz w:val="21"/>
          <w:szCs w:val="21"/>
          <w:highlight w:val="none"/>
          <w:u w:val="single"/>
          <w:lang w:val="zh-CN" w:bidi="zh-CN"/>
        </w:rPr>
      </w:pPr>
      <w:r>
        <w:rPr>
          <w:rFonts w:hint="eastAsia" w:ascii="宋体" w:hAnsi="宋体" w:eastAsia="宋体" w:cs="宋体"/>
          <w:kern w:val="0"/>
          <w:sz w:val="21"/>
          <w:szCs w:val="21"/>
          <w:highlight w:val="none"/>
          <w:lang w:val="zh-CN" w:bidi="zh-CN"/>
        </w:rPr>
        <w:t>关于付款周期的约定：</w:t>
      </w:r>
    </w:p>
    <w:p w14:paraId="6FCCE2C4">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ind w:leftChars="0"/>
        <w:jc w:val="left"/>
        <w:textAlignment w:val="auto"/>
        <w:rPr>
          <w:rFonts w:hint="eastAsia" w:asciiTheme="minorEastAsia" w:hAnsiTheme="minorEastAsia" w:eastAsiaTheme="minorEastAsia" w:cstheme="minorEastAsia"/>
          <w:kern w:val="0"/>
          <w:sz w:val="21"/>
          <w:szCs w:val="21"/>
          <w:highlight w:val="none"/>
          <w:lang w:val="en-US" w:eastAsia="zh-CN" w:bidi="zh-CN"/>
        </w:rPr>
      </w:pPr>
      <w:r>
        <w:rPr>
          <w:rFonts w:hint="eastAsia" w:asciiTheme="minorEastAsia" w:hAnsiTheme="minorEastAsia" w:eastAsiaTheme="minorEastAsia" w:cstheme="minorEastAsia"/>
          <w:kern w:val="0"/>
          <w:sz w:val="21"/>
          <w:szCs w:val="21"/>
          <w:highlight w:val="none"/>
          <w:lang w:val="zh-CN" w:eastAsia="zh-CN" w:bidi="zh-CN"/>
        </w:rPr>
        <w:t>工程竣工验收后付至合同价款的</w:t>
      </w:r>
      <w:r>
        <w:rPr>
          <w:rFonts w:hint="eastAsia" w:asciiTheme="minorEastAsia" w:hAnsiTheme="minorEastAsia" w:eastAsiaTheme="minorEastAsia" w:cstheme="minorEastAsia"/>
          <w:kern w:val="0"/>
          <w:sz w:val="21"/>
          <w:szCs w:val="21"/>
          <w:highlight w:val="none"/>
          <w:lang w:val="en-US" w:eastAsia="zh-CN" w:bidi="zh-CN"/>
        </w:rPr>
        <w:t>8</w:t>
      </w:r>
      <w:r>
        <w:rPr>
          <w:rFonts w:hint="eastAsia" w:asciiTheme="minorEastAsia" w:hAnsiTheme="minorEastAsia" w:eastAsiaTheme="minorEastAsia" w:cstheme="minorEastAsia"/>
          <w:kern w:val="0"/>
          <w:sz w:val="21"/>
          <w:szCs w:val="21"/>
          <w:highlight w:val="none"/>
          <w:lang w:val="zh-CN" w:eastAsia="zh-CN" w:bidi="zh-CN"/>
        </w:rPr>
        <w:t>0%</w:t>
      </w:r>
      <w:r>
        <w:rPr>
          <w:rFonts w:hint="eastAsia" w:asciiTheme="minorEastAsia" w:hAnsiTheme="minorEastAsia" w:eastAsiaTheme="minorEastAsia" w:cstheme="minorEastAsia"/>
          <w:kern w:val="0"/>
          <w:sz w:val="21"/>
          <w:szCs w:val="21"/>
          <w:highlight w:val="none"/>
          <w:lang w:val="en-US" w:eastAsia="zh-CN" w:bidi="zh-CN"/>
        </w:rPr>
        <w:t>；</w:t>
      </w:r>
    </w:p>
    <w:p w14:paraId="2626FD70">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ind w:leftChars="0"/>
        <w:jc w:val="left"/>
        <w:textAlignment w:val="auto"/>
        <w:rPr>
          <w:rFonts w:hint="eastAsia" w:asciiTheme="minorEastAsia" w:hAnsiTheme="minorEastAsia" w:eastAsiaTheme="minorEastAsia" w:cstheme="minorEastAsia"/>
          <w:kern w:val="0"/>
          <w:sz w:val="21"/>
          <w:szCs w:val="21"/>
          <w:highlight w:val="none"/>
          <w:lang w:val="zh-CN" w:eastAsia="zh-CN" w:bidi="zh-CN"/>
        </w:rPr>
      </w:pPr>
      <w:r>
        <w:rPr>
          <w:rFonts w:hint="eastAsia" w:asciiTheme="minorEastAsia" w:hAnsiTheme="minorEastAsia" w:eastAsiaTheme="minorEastAsia" w:cstheme="minorEastAsia"/>
          <w:kern w:val="0"/>
          <w:sz w:val="21"/>
          <w:szCs w:val="21"/>
          <w:highlight w:val="none"/>
          <w:lang w:val="zh-CN" w:eastAsia="zh-CN" w:bidi="zh-CN"/>
        </w:rPr>
        <w:t>经审计结算审定后支付至审定价款的97%</w:t>
      </w:r>
      <w:r>
        <w:rPr>
          <w:rFonts w:hint="eastAsia" w:asciiTheme="minorEastAsia" w:hAnsiTheme="minorEastAsia" w:eastAsiaTheme="minorEastAsia" w:cstheme="minorEastAsia"/>
          <w:kern w:val="0"/>
          <w:sz w:val="21"/>
          <w:szCs w:val="21"/>
          <w:highlight w:val="none"/>
          <w:lang w:val="en-US" w:eastAsia="zh-CN" w:bidi="zh-CN"/>
        </w:rPr>
        <w:t>；</w:t>
      </w:r>
      <w:r>
        <w:rPr>
          <w:rFonts w:hint="eastAsia" w:asciiTheme="minorEastAsia" w:hAnsiTheme="minorEastAsia" w:eastAsiaTheme="minorEastAsia" w:cstheme="minorEastAsia"/>
          <w:kern w:val="0"/>
          <w:sz w:val="21"/>
          <w:szCs w:val="21"/>
          <w:highlight w:val="none"/>
          <w:lang w:val="en-US" w:eastAsia="zh-CN" w:bidi="zh-CN"/>
        </w:rPr>
        <w:br w:type="textWrapping"/>
      </w:r>
      <w:r>
        <w:rPr>
          <w:rFonts w:hint="eastAsia" w:asciiTheme="minorEastAsia" w:hAnsiTheme="minorEastAsia" w:eastAsiaTheme="minorEastAsia" w:cstheme="minorEastAsia"/>
          <w:kern w:val="0"/>
          <w:sz w:val="21"/>
          <w:szCs w:val="21"/>
          <w:highlight w:val="none"/>
          <w:lang w:val="en-US" w:eastAsia="zh-CN" w:bidi="zh-CN"/>
        </w:rPr>
        <w:t>（3）保期满后10个工作日内付至审计价100%（无息）。</w:t>
      </w:r>
    </w:p>
    <w:p w14:paraId="0B23A5E4">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kern w:val="0"/>
          <w:sz w:val="21"/>
          <w:szCs w:val="21"/>
          <w:highlight w:val="none"/>
          <w:lang w:val="en-US" w:eastAsia="zh-CN" w:bidi="zh-CN"/>
        </w:rPr>
      </w:pPr>
      <w:r>
        <w:rPr>
          <w:rFonts w:hint="eastAsia" w:asciiTheme="minorEastAsia" w:hAnsiTheme="minorEastAsia" w:eastAsiaTheme="minorEastAsia" w:cstheme="minorEastAsia"/>
          <w:kern w:val="0"/>
          <w:sz w:val="21"/>
          <w:szCs w:val="21"/>
          <w:highlight w:val="none"/>
          <w:lang w:val="en-US" w:eastAsia="zh-CN" w:bidi="zh-CN"/>
        </w:rPr>
        <w:t>注：</w:t>
      </w:r>
    </w:p>
    <w:p w14:paraId="73422500">
      <w:pPr>
        <w:keepNext w:val="0"/>
        <w:keepLines w:val="0"/>
        <w:pageBreakBefore w:val="0"/>
        <w:widowControl w:val="0"/>
        <w:shd w:val="clear"/>
        <w:kinsoku/>
        <w:wordWrap/>
        <w:overflowPunct/>
        <w:topLinePunct w:val="0"/>
        <w:autoSpaceDE/>
        <w:autoSpaceDN/>
        <w:bidi w:val="0"/>
        <w:adjustRightInd/>
        <w:snapToGrid/>
        <w:spacing w:line="480" w:lineRule="exact"/>
        <w:ind w:firstLine="210" w:firstLineChars="100"/>
        <w:jc w:val="left"/>
        <w:textAlignment w:val="auto"/>
        <w:rPr>
          <w:rFonts w:hint="eastAsia" w:ascii="宋体" w:hAnsi="宋体" w:eastAsia="宋体" w:cs="宋体"/>
          <w:kern w:val="0"/>
          <w:sz w:val="21"/>
          <w:szCs w:val="21"/>
          <w:highlight w:val="none"/>
          <w:lang w:val="zh-CN" w:eastAsia="zh-CN" w:bidi="zh-CN"/>
        </w:rPr>
      </w:pPr>
      <w:r>
        <w:rPr>
          <w:rFonts w:hint="eastAsia" w:asciiTheme="minorEastAsia" w:hAnsiTheme="minorEastAsia" w:eastAsiaTheme="minorEastAsia" w:cstheme="minorEastAsia"/>
          <w:kern w:val="0"/>
          <w:sz w:val="21"/>
          <w:szCs w:val="21"/>
          <w:highlight w:val="none"/>
          <w:lang w:val="en-US" w:eastAsia="zh-CN" w:bidi="zh-CN"/>
        </w:rPr>
        <w:t>（1）采购人每次付款前，中标供应商应先行提供符合法律的等额发票，否则采购人有权拒绝付款；</w:t>
      </w:r>
      <w:r>
        <w:rPr>
          <w:rFonts w:hint="eastAsia" w:asciiTheme="minorEastAsia" w:hAnsiTheme="minorEastAsia" w:eastAsiaTheme="minorEastAsia" w:cstheme="minorEastAsia"/>
          <w:kern w:val="0"/>
          <w:sz w:val="21"/>
          <w:szCs w:val="21"/>
          <w:highlight w:val="none"/>
          <w:lang w:val="en-US" w:eastAsia="zh-CN" w:bidi="zh-CN"/>
        </w:rPr>
        <w:br w:type="textWrapping"/>
      </w:r>
      <w:r>
        <w:rPr>
          <w:rFonts w:hint="eastAsia" w:asciiTheme="minorEastAsia" w:hAnsiTheme="minorEastAsia" w:eastAsiaTheme="minorEastAsia" w:cstheme="minorEastAsia"/>
          <w:kern w:val="0"/>
          <w:sz w:val="21"/>
          <w:szCs w:val="21"/>
          <w:highlight w:val="none"/>
          <w:lang w:val="en-US" w:eastAsia="zh-CN" w:bidi="zh-CN"/>
        </w:rPr>
        <w:t xml:space="preserve"> （2)</w:t>
      </w:r>
      <w:r>
        <w:rPr>
          <w:rFonts w:hint="eastAsia" w:asciiTheme="minorEastAsia" w:hAnsiTheme="minorEastAsia" w:eastAsiaTheme="minorEastAsia" w:cstheme="minorEastAsia"/>
          <w:kern w:val="0"/>
          <w:sz w:val="21"/>
          <w:szCs w:val="21"/>
          <w:highlight w:val="none"/>
          <w:lang w:val="zh-CN" w:eastAsia="zh-CN" w:bidi="zh-CN"/>
        </w:rPr>
        <w:t>竣工结算审减额超过承包方报审额15%以上的</w:t>
      </w:r>
      <w:r>
        <w:rPr>
          <w:rFonts w:hint="eastAsia" w:ascii="宋体" w:hAnsi="宋体" w:eastAsia="宋体" w:cs="宋体"/>
          <w:kern w:val="0"/>
          <w:sz w:val="21"/>
          <w:szCs w:val="21"/>
          <w:highlight w:val="none"/>
          <w:lang w:val="zh-CN" w:eastAsia="zh-CN" w:bidi="zh-CN"/>
        </w:rPr>
        <w:t>，所有结算审计费用由施工方承担。</w:t>
      </w:r>
    </w:p>
    <w:p w14:paraId="23D483A4">
      <w:pPr>
        <w:keepNext w:val="0"/>
        <w:keepLines w:val="0"/>
        <w:pageBreakBefore w:val="0"/>
        <w:widowControl w:val="0"/>
        <w:shd w:val="clear"/>
        <w:kinsoku/>
        <w:wordWrap/>
        <w:overflowPunct/>
        <w:topLinePunct w:val="0"/>
        <w:bidi w:val="0"/>
        <w:spacing w:line="480" w:lineRule="exact"/>
        <w:ind w:firstLine="210" w:firstLineChars="100"/>
        <w:jc w:val="left"/>
        <w:textAlignment w:val="auto"/>
        <w:rPr>
          <w:rFonts w:hint="eastAsia" w:ascii="宋体" w:hAnsi="宋体" w:eastAsia="宋体" w:cs="宋体"/>
          <w:kern w:val="0"/>
          <w:sz w:val="21"/>
          <w:szCs w:val="21"/>
          <w:highlight w:val="none"/>
          <w:lang w:val="zh-CN" w:eastAsia="zh-CN" w:bidi="zh-CN"/>
        </w:rPr>
      </w:pPr>
      <w:r>
        <w:rPr>
          <w:rFonts w:hint="eastAsia" w:ascii="宋体" w:hAnsi="宋体" w:cs="宋体"/>
          <w:kern w:val="0"/>
          <w:sz w:val="21"/>
          <w:szCs w:val="21"/>
          <w:highlight w:val="none"/>
          <w:lang w:val="en-US" w:eastAsia="zh-CN" w:bidi="zh-CN"/>
        </w:rPr>
        <w:t>(3)</w:t>
      </w:r>
      <w:r>
        <w:rPr>
          <w:rFonts w:hint="eastAsia" w:ascii="宋体" w:hAnsi="宋体" w:eastAsia="宋体" w:cs="宋体"/>
          <w:kern w:val="0"/>
          <w:sz w:val="21"/>
          <w:szCs w:val="21"/>
          <w:highlight w:val="none"/>
          <w:lang w:val="zh-CN" w:eastAsia="zh-CN" w:bidi="zh-CN"/>
        </w:rPr>
        <w:t>建设工程报结算审计时，结算送审价不得超过合同总价的10%，超过10%的工程项目不予审计。</w:t>
      </w:r>
    </w:p>
    <w:p w14:paraId="2A4AB90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关于进度付款申请单编制的约定：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305AD1B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hint="eastAsia" w:ascii="宋体" w:hAnsi="宋体" w:eastAsia="宋体" w:cs="宋体"/>
          <w:kern w:val="0"/>
          <w:sz w:val="21"/>
          <w:szCs w:val="21"/>
          <w:highlight w:val="none"/>
          <w:lang w:val="zh-CN" w:bidi="zh-CN"/>
        </w:rPr>
        <w:t>2.4.3 进度付款申请单的提交</w:t>
      </w:r>
    </w:p>
    <w:p w14:paraId="60A7B80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（1）单价合同进度付款申请单提交的约定：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09EAA06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（2）总价合同进度付款申请单提交的约定：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7D875AF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（3）其他价格形式合同进度付款申请单提交的约定：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15DCD13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12.4.4 进度款审核和支付</w:t>
      </w:r>
    </w:p>
    <w:p w14:paraId="0C54D10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（1）</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人审查并报送发包人的期限：</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55068FB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发包人完成审批并签发进度款支付证书的期限：</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4C830CC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（2）发包人支付进度款的期限：</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7A430E14">
      <w:pPr>
        <w:pageBreakBefore w:val="0"/>
        <w:shd w:val="clear"/>
        <w:kinsoku/>
        <w:wordWrap/>
        <w:overflowPunct/>
        <w:topLinePunct w:val="0"/>
        <w:autoSpaceDE/>
        <w:autoSpaceDN/>
        <w:bidi w:val="0"/>
        <w:adjustRightInd/>
        <w:snapToGrid/>
        <w:spacing w:line="480" w:lineRule="exact"/>
        <w:ind w:firstLine="6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发包人逾期支付进度款的违约金的计算方式：</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5FC5CB5F">
      <w:pPr>
        <w:pageBreakBefore w:val="0"/>
        <w:shd w:val="clear"/>
        <w:kinsoku/>
        <w:wordWrap/>
        <w:overflowPunct/>
        <w:topLinePunct w:val="0"/>
        <w:autoSpaceDE/>
        <w:autoSpaceDN/>
        <w:bidi w:val="0"/>
        <w:adjustRightInd/>
        <w:snapToGrid/>
        <w:spacing w:line="480" w:lineRule="exact"/>
        <w:ind w:firstLine="6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12.4.6 支付分解表的编制</w:t>
      </w:r>
    </w:p>
    <w:p w14:paraId="35F4A38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2、总价合同支付分解表的编制与审批：</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2BD8BDF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3、单价合同的总价项目支付分解表的编制与审批：</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bookmarkEnd w:id="414"/>
    </w:p>
    <w:p w14:paraId="0A870F6B">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585" w:name="_Toc292559929"/>
      <w:bookmarkStart w:id="586" w:name="_Toc296891047"/>
      <w:bookmarkStart w:id="587" w:name="_Toc296891259"/>
      <w:bookmarkStart w:id="588" w:name="_Toc296347218"/>
      <w:bookmarkStart w:id="589" w:name="_Toc292559424"/>
      <w:bookmarkStart w:id="590" w:name="_Toc300935015"/>
      <w:bookmarkStart w:id="591" w:name="_Toc312678053"/>
      <w:bookmarkStart w:id="592" w:name="_Toc296503219"/>
      <w:bookmarkStart w:id="593" w:name="_Toc297123564"/>
      <w:bookmarkStart w:id="594" w:name="_Toc296346720"/>
      <w:bookmarkStart w:id="595" w:name="_Toc297048405"/>
      <w:bookmarkStart w:id="596" w:name="_Toc297120519"/>
      <w:bookmarkStart w:id="597" w:name="_Toc303539172"/>
      <w:bookmarkStart w:id="598" w:name="_Toc304295593"/>
      <w:bookmarkStart w:id="599" w:name="_Toc296944558"/>
      <w:bookmarkStart w:id="600" w:name="_Toc351203645"/>
      <w:bookmarkStart w:id="601" w:name="_Toc297216223"/>
      <w:r>
        <w:rPr>
          <w:rFonts w:hint="eastAsia" w:ascii="宋体" w:hAnsi="宋体" w:eastAsia="宋体" w:cs="宋体"/>
          <w:b w:val="0"/>
          <w:bCs w:val="0"/>
          <w:kern w:val="2"/>
          <w:sz w:val="21"/>
          <w:szCs w:val="21"/>
          <w:highlight w:val="none"/>
          <w:lang w:val="zh-CN" w:eastAsia="zh-CN" w:bidi="zh-CN"/>
        </w:rPr>
        <w:t>13. 验收和工程试车</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E2982E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13.1 分部分项工程验收</w:t>
      </w:r>
    </w:p>
    <w:p w14:paraId="160FF15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13.1.2</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人不能按时进行验收时，应提前</w:t>
      </w:r>
      <w:r>
        <w:rPr>
          <w:rFonts w:hint="eastAsia" w:ascii="宋体" w:hAnsi="宋体" w:eastAsia="宋体" w:cs="宋体"/>
          <w:kern w:val="0"/>
          <w:sz w:val="21"/>
          <w:szCs w:val="21"/>
          <w:highlight w:val="none"/>
          <w:u w:val="single"/>
          <w:lang w:val="zh-CN" w:bidi="zh-CN"/>
        </w:rPr>
        <w:t xml:space="preserve">  24  </w:t>
      </w:r>
      <w:r>
        <w:rPr>
          <w:rFonts w:hint="eastAsia" w:ascii="宋体" w:hAnsi="宋体" w:eastAsia="宋体" w:cs="宋体"/>
          <w:kern w:val="0"/>
          <w:sz w:val="21"/>
          <w:szCs w:val="21"/>
          <w:highlight w:val="none"/>
          <w:lang w:val="zh-CN" w:bidi="zh-CN"/>
        </w:rPr>
        <w:t>小时提交书面延期要求。</w:t>
      </w:r>
    </w:p>
    <w:p w14:paraId="4852BAE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关于延期最长不得超过：</w:t>
      </w:r>
      <w:r>
        <w:rPr>
          <w:rFonts w:hint="eastAsia" w:ascii="宋体" w:hAnsi="宋体" w:eastAsia="宋体" w:cs="宋体"/>
          <w:kern w:val="0"/>
          <w:sz w:val="21"/>
          <w:szCs w:val="21"/>
          <w:highlight w:val="none"/>
          <w:u w:val="single"/>
          <w:lang w:val="zh-CN" w:bidi="zh-CN"/>
        </w:rPr>
        <w:t xml:space="preserve">  48  </w:t>
      </w:r>
      <w:r>
        <w:rPr>
          <w:rFonts w:hint="eastAsia" w:ascii="宋体" w:hAnsi="宋体" w:eastAsia="宋体" w:cs="宋体"/>
          <w:kern w:val="0"/>
          <w:sz w:val="21"/>
          <w:szCs w:val="21"/>
          <w:highlight w:val="none"/>
          <w:lang w:val="zh-CN" w:bidi="zh-CN"/>
        </w:rPr>
        <w:t>小时。</w:t>
      </w:r>
    </w:p>
    <w:p w14:paraId="06286E50">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bookmarkStart w:id="602" w:name="_Toc297123565"/>
      <w:bookmarkStart w:id="603" w:name="_Toc292559933"/>
      <w:bookmarkStart w:id="604" w:name="_Toc297048409"/>
      <w:bookmarkStart w:id="605" w:name="_Toc312678056"/>
      <w:bookmarkStart w:id="606" w:name="_Toc297120523"/>
      <w:bookmarkStart w:id="607" w:name="_Toc296503223"/>
      <w:bookmarkStart w:id="608" w:name="_Toc296891051"/>
      <w:bookmarkStart w:id="609" w:name="_Toc297216224"/>
      <w:bookmarkStart w:id="610" w:name="_Toc304295596"/>
      <w:bookmarkStart w:id="611" w:name="_Toc296346724"/>
      <w:bookmarkStart w:id="612" w:name="_Toc296944562"/>
      <w:bookmarkStart w:id="613" w:name="_Toc296347222"/>
      <w:bookmarkStart w:id="614" w:name="_Toc292559428"/>
      <w:bookmarkStart w:id="615" w:name="_Toc296891263"/>
      <w:bookmarkStart w:id="616" w:name="_Toc303539173"/>
      <w:bookmarkStart w:id="617" w:name="_Toc300935016"/>
      <w:bookmarkStart w:id="618" w:name="_Toc267251470"/>
      <w:bookmarkStart w:id="619" w:name="_Toc267251472"/>
      <w:bookmarkStart w:id="620" w:name="_Toc267251475"/>
      <w:bookmarkStart w:id="621" w:name="_Toc267251474"/>
      <w:bookmarkStart w:id="622" w:name="_Toc267251471"/>
      <w:bookmarkStart w:id="623" w:name="_Toc267251473"/>
      <w:bookmarkStart w:id="624" w:name="_Toc267251476"/>
      <w:r>
        <w:rPr>
          <w:rFonts w:hint="eastAsia" w:ascii="宋体" w:hAnsi="宋体" w:eastAsia="宋体" w:cs="宋体"/>
          <w:kern w:val="0"/>
          <w:sz w:val="21"/>
          <w:szCs w:val="21"/>
          <w:highlight w:val="none"/>
          <w:lang w:val="zh-CN" w:bidi="zh-CN"/>
        </w:rPr>
        <w:t>13.2 竣工验收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C22BD5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bookmarkStart w:id="625" w:name="_Toc280868704"/>
      <w:bookmarkStart w:id="626" w:name="_Toc280868705"/>
      <w:bookmarkStart w:id="627" w:name="_Toc280868706"/>
      <w:bookmarkStart w:id="628" w:name="_Toc280868707"/>
      <w:bookmarkStart w:id="629" w:name="_Toc280868708"/>
      <w:bookmarkStart w:id="630" w:name="_Toc280868709"/>
      <w:r>
        <w:rPr>
          <w:rFonts w:hint="eastAsia" w:ascii="宋体" w:hAnsi="宋体" w:eastAsia="宋体" w:cs="宋体"/>
          <w:kern w:val="0"/>
          <w:sz w:val="21"/>
          <w:szCs w:val="21"/>
          <w:highlight w:val="none"/>
          <w:lang w:val="zh-CN" w:bidi="zh-CN"/>
        </w:rPr>
        <w:t>13.2.2竣工验收程序</w:t>
      </w:r>
      <w:bookmarkEnd w:id="625"/>
    </w:p>
    <w:p w14:paraId="47BFF24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关于竣工验收程序的约定：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68B9514C">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发包人不按照本项约定组织竣工验收、颁发工程接收证书的违约金的计算方法：</w:t>
      </w:r>
      <w:r>
        <w:rPr>
          <w:rFonts w:hint="eastAsia" w:ascii="宋体" w:hAnsi="宋体" w:eastAsia="宋体" w:cs="宋体"/>
          <w:kern w:val="0"/>
          <w:sz w:val="21"/>
          <w:szCs w:val="21"/>
          <w:highlight w:val="none"/>
          <w:u w:val="single"/>
          <w:lang w:val="zh-CN" w:bidi="zh-CN"/>
        </w:rPr>
        <w:t>无</w:t>
      </w:r>
      <w:r>
        <w:rPr>
          <w:rFonts w:hint="eastAsia" w:ascii="宋体" w:hAnsi="宋体" w:eastAsia="宋体" w:cs="宋体"/>
          <w:kern w:val="0"/>
          <w:sz w:val="21"/>
          <w:szCs w:val="21"/>
          <w:highlight w:val="none"/>
          <w:lang w:val="zh-CN" w:bidi="zh-CN"/>
        </w:rPr>
        <w:t>。</w:t>
      </w:r>
      <w:bookmarkEnd w:id="626"/>
    </w:p>
    <w:p w14:paraId="2273F03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13.2.5移交、接收全部与部分工程</w:t>
      </w:r>
      <w:bookmarkEnd w:id="627"/>
    </w:p>
    <w:p w14:paraId="2F66BB0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承包人向发包人移交工程的期限：</w:t>
      </w:r>
      <w:r>
        <w:rPr>
          <w:rFonts w:hint="eastAsia" w:ascii="宋体" w:hAnsi="宋体" w:eastAsia="宋体" w:cs="宋体"/>
          <w:kern w:val="0"/>
          <w:sz w:val="21"/>
          <w:szCs w:val="21"/>
          <w:highlight w:val="none"/>
          <w:u w:val="single"/>
          <w:lang w:val="zh-CN" w:bidi="zh-CN"/>
        </w:rPr>
        <w:t xml:space="preserve">   按照合同约定工期  </w:t>
      </w:r>
      <w:r>
        <w:rPr>
          <w:rFonts w:hint="eastAsia" w:ascii="宋体" w:hAnsi="宋体" w:eastAsia="宋体" w:cs="宋体"/>
          <w:kern w:val="0"/>
          <w:sz w:val="21"/>
          <w:szCs w:val="21"/>
          <w:highlight w:val="none"/>
          <w:lang w:val="zh-CN" w:bidi="zh-CN"/>
        </w:rPr>
        <w:t>。</w:t>
      </w:r>
    </w:p>
    <w:p w14:paraId="2E8A30C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发包人未按本合同约定接收全部或部分工程的，违约金的计算方法为：</w:t>
      </w:r>
      <w:r>
        <w:rPr>
          <w:rFonts w:hint="eastAsia" w:ascii="宋体" w:hAnsi="宋体" w:eastAsia="宋体" w:cs="宋体"/>
          <w:kern w:val="0"/>
          <w:sz w:val="21"/>
          <w:szCs w:val="21"/>
          <w:highlight w:val="none"/>
          <w:u w:val="single"/>
          <w:lang w:val="zh-CN" w:bidi="zh-CN"/>
        </w:rPr>
        <w:t xml:space="preserve">无  </w:t>
      </w:r>
      <w:r>
        <w:rPr>
          <w:rFonts w:hint="eastAsia" w:ascii="宋体" w:hAnsi="宋体" w:eastAsia="宋体" w:cs="宋体"/>
          <w:kern w:val="0"/>
          <w:sz w:val="21"/>
          <w:szCs w:val="21"/>
          <w:highlight w:val="none"/>
          <w:lang w:val="zh-CN" w:bidi="zh-CN"/>
        </w:rPr>
        <w:t>。</w:t>
      </w:r>
      <w:bookmarkEnd w:id="628"/>
    </w:p>
    <w:p w14:paraId="55F7DB9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承包人未按时移交工程的，违约金的计算方法为：</w:t>
      </w:r>
      <w:r>
        <w:rPr>
          <w:rFonts w:hint="eastAsia" w:ascii="宋体" w:hAnsi="宋体" w:eastAsia="宋体" w:cs="宋体"/>
          <w:spacing w:val="10"/>
          <w:kern w:val="0"/>
          <w:sz w:val="21"/>
          <w:szCs w:val="21"/>
          <w:highlight w:val="none"/>
          <w:u w:val="single"/>
          <w:lang w:val="zh-CN" w:bidi="zh-CN"/>
        </w:rPr>
        <w:t>按每滞后一天赔偿2000元违约金</w:t>
      </w:r>
      <w:r>
        <w:rPr>
          <w:rFonts w:hint="eastAsia" w:ascii="宋体" w:hAnsi="宋体" w:eastAsia="宋体" w:cs="宋体"/>
          <w:kern w:val="0"/>
          <w:sz w:val="21"/>
          <w:szCs w:val="21"/>
          <w:highlight w:val="none"/>
          <w:lang w:val="zh-CN" w:bidi="zh-CN"/>
        </w:rPr>
        <w:t>。</w:t>
      </w:r>
    </w:p>
    <w:p w14:paraId="691FDA85">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13.3 工程试车</w:t>
      </w:r>
      <w:bookmarkEnd w:id="629"/>
    </w:p>
    <w:p w14:paraId="7F985D2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13.3.1 试车程序</w:t>
      </w:r>
    </w:p>
    <w:p w14:paraId="5F87C7A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工程试车内容：</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2268A54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（1）单机无负荷试车费用由</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承担；</w:t>
      </w:r>
    </w:p>
    <w:p w14:paraId="4C7281D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（2）无负荷联动试车费用由</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承担。</w:t>
      </w:r>
    </w:p>
    <w:p w14:paraId="1C4088E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13.3.3 投料试车</w:t>
      </w:r>
    </w:p>
    <w:p w14:paraId="7076767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关于投料试车相关事项的约定：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6067DD47">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13.6 竣工退场</w:t>
      </w:r>
    </w:p>
    <w:p w14:paraId="2B59602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13.6.1 竣工退场</w:t>
      </w:r>
    </w:p>
    <w:p w14:paraId="3B6E222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承包人完成竣工退场的期限：</w:t>
      </w:r>
      <w:r>
        <w:rPr>
          <w:rFonts w:hint="eastAsia" w:ascii="宋体" w:hAnsi="宋体" w:eastAsia="宋体" w:cs="宋体"/>
          <w:kern w:val="0"/>
          <w:sz w:val="21"/>
          <w:szCs w:val="21"/>
          <w:highlight w:val="none"/>
          <w:u w:val="single"/>
          <w:lang w:val="zh-CN" w:bidi="zh-CN"/>
        </w:rPr>
        <w:t xml:space="preserve">   竣工验收合同20日  </w:t>
      </w:r>
      <w:r>
        <w:rPr>
          <w:rFonts w:hint="eastAsia" w:ascii="宋体" w:hAnsi="宋体" w:eastAsia="宋体" w:cs="宋体"/>
          <w:kern w:val="0"/>
          <w:sz w:val="21"/>
          <w:szCs w:val="21"/>
          <w:highlight w:val="none"/>
          <w:lang w:val="zh-CN" w:bidi="zh-CN"/>
        </w:rPr>
        <w:t>。</w:t>
      </w:r>
    </w:p>
    <w:p w14:paraId="35040E0D">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631" w:name="_Toc351203646"/>
      <w:r>
        <w:rPr>
          <w:rFonts w:hint="eastAsia" w:ascii="宋体" w:hAnsi="宋体" w:eastAsia="宋体" w:cs="宋体"/>
          <w:b w:val="0"/>
          <w:bCs w:val="0"/>
          <w:kern w:val="2"/>
          <w:sz w:val="21"/>
          <w:szCs w:val="21"/>
          <w:highlight w:val="none"/>
          <w:lang w:val="zh-CN" w:eastAsia="zh-CN" w:bidi="zh-CN"/>
        </w:rPr>
        <w:t>14. 竣工结算</w:t>
      </w:r>
      <w:bookmarkEnd w:id="631"/>
    </w:p>
    <w:p w14:paraId="1B33FFC7">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14.1 竣工付款申请</w:t>
      </w:r>
    </w:p>
    <w:p w14:paraId="351746B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承包人提交竣工付款申请单的期限：</w:t>
      </w:r>
      <w:r>
        <w:rPr>
          <w:rFonts w:hint="eastAsia" w:ascii="宋体" w:hAnsi="宋体" w:eastAsia="宋体" w:cs="宋体"/>
          <w:kern w:val="0"/>
          <w:sz w:val="21"/>
          <w:szCs w:val="21"/>
          <w:highlight w:val="none"/>
          <w:u w:val="single"/>
          <w:lang w:val="zh-CN" w:bidi="zh-CN"/>
        </w:rPr>
        <w:t xml:space="preserve">  竣工验收合格28天内  </w:t>
      </w:r>
      <w:r>
        <w:rPr>
          <w:rFonts w:hint="eastAsia" w:ascii="宋体" w:hAnsi="宋体" w:eastAsia="宋体" w:cs="宋体"/>
          <w:kern w:val="0"/>
          <w:sz w:val="21"/>
          <w:szCs w:val="21"/>
          <w:highlight w:val="none"/>
          <w:lang w:val="zh-CN" w:bidi="zh-CN"/>
        </w:rPr>
        <w:t>。</w:t>
      </w:r>
    </w:p>
    <w:p w14:paraId="4F0B936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竣工付款申请单应包括的内容：</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64CFD9C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14.2 竣工结算审核</w:t>
      </w:r>
    </w:p>
    <w:p w14:paraId="4A43E88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发包人审批竣工付款申请单的期限：</w:t>
      </w:r>
      <w:r>
        <w:rPr>
          <w:rFonts w:hint="eastAsia" w:ascii="宋体" w:hAnsi="宋体" w:eastAsia="宋体" w:cs="宋体"/>
          <w:kern w:val="0"/>
          <w:sz w:val="21"/>
          <w:szCs w:val="21"/>
          <w:highlight w:val="none"/>
          <w:u w:val="single"/>
          <w:lang w:val="zh-CN" w:bidi="zh-CN"/>
        </w:rPr>
        <w:t xml:space="preserve">   收到竣工结算申请单后15天内    </w:t>
      </w:r>
      <w:r>
        <w:rPr>
          <w:rFonts w:hint="eastAsia" w:ascii="宋体" w:hAnsi="宋体" w:eastAsia="宋体" w:cs="宋体"/>
          <w:kern w:val="0"/>
          <w:sz w:val="21"/>
          <w:szCs w:val="21"/>
          <w:highlight w:val="none"/>
          <w:lang w:val="zh-CN" w:bidi="zh-CN"/>
        </w:rPr>
        <w:t>。</w:t>
      </w:r>
    </w:p>
    <w:p w14:paraId="68B24D1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发包人完成竣工付款的期限：</w:t>
      </w:r>
      <w:r>
        <w:rPr>
          <w:rFonts w:hint="eastAsia" w:ascii="宋体" w:hAnsi="宋体" w:eastAsia="宋体" w:cs="宋体"/>
          <w:kern w:val="0"/>
          <w:sz w:val="21"/>
          <w:szCs w:val="21"/>
          <w:highlight w:val="none"/>
          <w:u w:val="single"/>
          <w:lang w:val="zh-CN" w:bidi="zh-CN"/>
        </w:rPr>
        <w:t xml:space="preserve">  15天内完成审批   </w:t>
      </w:r>
      <w:r>
        <w:rPr>
          <w:rFonts w:hint="eastAsia" w:ascii="宋体" w:hAnsi="宋体" w:eastAsia="宋体" w:cs="宋体"/>
          <w:kern w:val="0"/>
          <w:sz w:val="21"/>
          <w:szCs w:val="21"/>
          <w:highlight w:val="none"/>
          <w:lang w:val="zh-CN" w:bidi="zh-CN"/>
        </w:rPr>
        <w:t>。</w:t>
      </w:r>
    </w:p>
    <w:p w14:paraId="23542DD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关于竣工付款证书异议部分复核的方式和程序：</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48DAFBD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14.4 最终结清</w:t>
      </w:r>
    </w:p>
    <w:p w14:paraId="4AB69F3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14.4.1 最终结清申请单</w:t>
      </w:r>
    </w:p>
    <w:p w14:paraId="08F801A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承包人提交最终结清申请单的份数：</w:t>
      </w:r>
      <w:r>
        <w:rPr>
          <w:rFonts w:hint="eastAsia" w:ascii="宋体" w:hAnsi="宋体" w:eastAsia="宋体" w:cs="宋体"/>
          <w:kern w:val="0"/>
          <w:sz w:val="21"/>
          <w:szCs w:val="21"/>
          <w:highlight w:val="none"/>
          <w:u w:val="single"/>
          <w:lang w:val="zh-CN" w:bidi="zh-CN"/>
        </w:rPr>
        <w:t xml:space="preserve">   叁份     </w:t>
      </w:r>
      <w:r>
        <w:rPr>
          <w:rFonts w:hint="eastAsia" w:ascii="宋体" w:hAnsi="宋体" w:eastAsia="宋体" w:cs="宋体"/>
          <w:kern w:val="0"/>
          <w:sz w:val="21"/>
          <w:szCs w:val="21"/>
          <w:highlight w:val="none"/>
          <w:lang w:val="zh-CN" w:bidi="zh-CN"/>
        </w:rPr>
        <w:t>。</w:t>
      </w:r>
    </w:p>
    <w:p w14:paraId="28C6E8D9">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承包人提交最终结算申请单的期限：</w:t>
      </w:r>
      <w:r>
        <w:rPr>
          <w:rFonts w:hint="eastAsia" w:ascii="宋体" w:hAnsi="宋体" w:eastAsia="宋体" w:cs="宋体"/>
          <w:kern w:val="0"/>
          <w:sz w:val="21"/>
          <w:szCs w:val="21"/>
          <w:highlight w:val="none"/>
          <w:u w:val="single"/>
          <w:lang w:val="zh-CN" w:bidi="zh-CN"/>
        </w:rPr>
        <w:t xml:space="preserve">   根据进度款支付周期节点时间15日内 </w:t>
      </w:r>
      <w:r>
        <w:rPr>
          <w:rFonts w:hint="eastAsia" w:ascii="宋体" w:hAnsi="宋体" w:eastAsia="宋体" w:cs="宋体"/>
          <w:kern w:val="0"/>
          <w:sz w:val="21"/>
          <w:szCs w:val="21"/>
          <w:highlight w:val="none"/>
          <w:lang w:val="zh-CN" w:bidi="zh-CN"/>
        </w:rPr>
        <w:t xml:space="preserve">。 </w:t>
      </w:r>
    </w:p>
    <w:p w14:paraId="51E7E29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14.4.2 最终结清证书和支付</w:t>
      </w:r>
    </w:p>
    <w:p w14:paraId="3294D15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（1）发包人完成最终结清申请单的审批并颁发最终结清证书的期限：</w:t>
      </w:r>
      <w:r>
        <w:rPr>
          <w:rFonts w:hint="eastAsia" w:ascii="宋体" w:hAnsi="宋体" w:eastAsia="宋体" w:cs="宋体"/>
          <w:kern w:val="0"/>
          <w:sz w:val="21"/>
          <w:szCs w:val="21"/>
          <w:highlight w:val="none"/>
          <w:u w:val="single"/>
          <w:lang w:val="zh-CN" w:bidi="zh-CN"/>
        </w:rPr>
        <w:t xml:space="preserve"> 在缺陷责任期终止证书颁发后15天内   </w:t>
      </w:r>
      <w:r>
        <w:rPr>
          <w:rFonts w:hint="eastAsia" w:ascii="宋体" w:hAnsi="宋体" w:eastAsia="宋体" w:cs="宋体"/>
          <w:kern w:val="0"/>
          <w:sz w:val="21"/>
          <w:szCs w:val="21"/>
          <w:highlight w:val="none"/>
          <w:lang w:val="zh-CN" w:bidi="zh-CN"/>
        </w:rPr>
        <w:t>。</w:t>
      </w:r>
    </w:p>
    <w:p w14:paraId="06DABFF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（2）发包人完成支付的期限：</w:t>
      </w:r>
      <w:r>
        <w:rPr>
          <w:rFonts w:hint="eastAsia" w:ascii="宋体" w:hAnsi="宋体" w:eastAsia="宋体" w:cs="宋体"/>
          <w:kern w:val="0"/>
          <w:sz w:val="21"/>
          <w:szCs w:val="21"/>
          <w:highlight w:val="none"/>
          <w:u w:val="single"/>
          <w:lang w:val="zh-CN" w:bidi="zh-CN"/>
        </w:rPr>
        <w:t xml:space="preserve">  按进度款支付约定      </w:t>
      </w:r>
      <w:r>
        <w:rPr>
          <w:rFonts w:hint="eastAsia" w:ascii="宋体" w:hAnsi="宋体" w:eastAsia="宋体" w:cs="宋体"/>
          <w:kern w:val="0"/>
          <w:sz w:val="21"/>
          <w:szCs w:val="21"/>
          <w:highlight w:val="none"/>
          <w:lang w:val="zh-CN" w:bidi="zh-CN"/>
        </w:rPr>
        <w:t>。</w:t>
      </w:r>
      <w:bookmarkEnd w:id="618"/>
      <w:bookmarkEnd w:id="619"/>
      <w:bookmarkEnd w:id="620"/>
      <w:bookmarkEnd w:id="621"/>
      <w:bookmarkEnd w:id="622"/>
      <w:bookmarkEnd w:id="623"/>
      <w:bookmarkEnd w:id="624"/>
      <w:bookmarkEnd w:id="630"/>
    </w:p>
    <w:p w14:paraId="12BE0979">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632" w:name="_Toc351203647"/>
      <w:bookmarkStart w:id="633" w:name="_Toc267251483"/>
      <w:bookmarkStart w:id="634" w:name="_Toc267251484"/>
      <w:bookmarkStart w:id="635" w:name="_Toc267251482"/>
      <w:bookmarkStart w:id="636" w:name="_Toc267251485"/>
      <w:bookmarkStart w:id="637" w:name="_Toc267251490"/>
      <w:bookmarkStart w:id="638" w:name="_Toc267251486"/>
      <w:bookmarkStart w:id="639" w:name="_Toc267251488"/>
      <w:bookmarkStart w:id="640" w:name="_Toc267251489"/>
      <w:bookmarkStart w:id="641" w:name="_Toc267251492"/>
      <w:bookmarkStart w:id="642" w:name="_Toc267251497"/>
      <w:bookmarkStart w:id="643" w:name="_Toc267251495"/>
      <w:bookmarkStart w:id="644" w:name="_Toc267251496"/>
      <w:bookmarkStart w:id="645" w:name="_Toc267251501"/>
      <w:bookmarkStart w:id="646" w:name="_Toc267251491"/>
      <w:bookmarkStart w:id="647" w:name="_Toc267251493"/>
      <w:bookmarkStart w:id="648" w:name="_Toc267251502"/>
      <w:bookmarkStart w:id="649" w:name="_Toc267251503"/>
      <w:bookmarkStart w:id="650" w:name="_Toc267251494"/>
      <w:bookmarkStart w:id="651" w:name="_Toc267251499"/>
      <w:bookmarkStart w:id="652" w:name="_Toc267251498"/>
      <w:bookmarkStart w:id="653" w:name="_Toc267251504"/>
      <w:bookmarkStart w:id="654" w:name="_Toc267251506"/>
      <w:bookmarkStart w:id="655" w:name="_Toc267251507"/>
      <w:bookmarkStart w:id="656" w:name="_Toc267251508"/>
      <w:bookmarkStart w:id="657" w:name="_Toc267251515"/>
      <w:bookmarkStart w:id="658" w:name="_Toc267251509"/>
      <w:bookmarkStart w:id="659" w:name="_Toc267251510"/>
      <w:bookmarkStart w:id="660" w:name="_Toc267251511"/>
      <w:bookmarkStart w:id="661" w:name="_Toc267251514"/>
      <w:bookmarkStart w:id="662" w:name="_Toc267251513"/>
      <w:r>
        <w:rPr>
          <w:rFonts w:hint="eastAsia" w:ascii="宋体" w:hAnsi="宋体" w:eastAsia="宋体" w:cs="宋体"/>
          <w:b w:val="0"/>
          <w:bCs w:val="0"/>
          <w:kern w:val="2"/>
          <w:sz w:val="21"/>
          <w:szCs w:val="21"/>
          <w:highlight w:val="none"/>
          <w:lang w:val="zh-CN" w:eastAsia="zh-CN" w:bidi="zh-CN"/>
        </w:rPr>
        <w:t>15. 缺陷责任期与保修</w:t>
      </w:r>
      <w:bookmarkEnd w:id="632"/>
    </w:p>
    <w:p w14:paraId="78F4E6DF">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15.2缺陷责任期</w:t>
      </w:r>
      <w:bookmarkEnd w:id="633"/>
    </w:p>
    <w:p w14:paraId="6949C8F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缺陷责任期的具体期限：</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579EA39F">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15.3 质量保证金</w:t>
      </w:r>
    </w:p>
    <w:p w14:paraId="219F3A0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关于是否扣留质量保证金的约定：</w:t>
      </w:r>
      <w:r>
        <w:rPr>
          <w:rFonts w:hint="eastAsia" w:ascii="宋体" w:hAnsi="宋体" w:eastAsia="宋体" w:cs="宋体"/>
          <w:kern w:val="0"/>
          <w:sz w:val="21"/>
          <w:szCs w:val="21"/>
          <w:highlight w:val="none"/>
          <w:u w:val="single"/>
          <w:lang w:val="zh-CN" w:bidi="zh-CN"/>
        </w:rPr>
        <w:t xml:space="preserve">  是   </w:t>
      </w:r>
      <w:r>
        <w:rPr>
          <w:rFonts w:hint="eastAsia" w:ascii="宋体" w:hAnsi="宋体" w:eastAsia="宋体" w:cs="宋体"/>
          <w:kern w:val="0"/>
          <w:sz w:val="21"/>
          <w:szCs w:val="21"/>
          <w:highlight w:val="none"/>
          <w:lang w:val="zh-CN" w:bidi="zh-CN"/>
        </w:rPr>
        <w:t>。</w:t>
      </w:r>
    </w:p>
    <w:p w14:paraId="34661E2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15.3.1 承包人提供质量保证金的方式</w:t>
      </w:r>
    </w:p>
    <w:p w14:paraId="2CEEB75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质量保证金采用以下第</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u w:val="single"/>
          <w:lang w:val="en-US" w:bidi="zh-CN"/>
        </w:rPr>
        <w:t>1</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lang w:val="zh-CN" w:bidi="zh-CN"/>
        </w:rPr>
        <w:t>种方式：</w:t>
      </w:r>
    </w:p>
    <w:p w14:paraId="052462C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（1）质量保证金保函，保证金额为：</w:t>
      </w:r>
      <w:r>
        <w:rPr>
          <w:rFonts w:hint="eastAsia" w:ascii="宋体" w:hAnsi="宋体" w:eastAsia="宋体" w:cs="宋体"/>
          <w:kern w:val="0"/>
          <w:sz w:val="21"/>
          <w:szCs w:val="21"/>
          <w:highlight w:val="none"/>
          <w:lang w:val="en-US" w:bidi="zh-CN"/>
        </w:rPr>
        <w:t>3%的工程款</w:t>
      </w:r>
      <w:r>
        <w:rPr>
          <w:rFonts w:hint="eastAsia" w:ascii="宋体" w:hAnsi="宋体" w:eastAsia="宋体" w:cs="宋体"/>
          <w:kern w:val="0"/>
          <w:sz w:val="21"/>
          <w:szCs w:val="21"/>
          <w:highlight w:val="none"/>
          <w:lang w:val="zh-CN" w:bidi="zh-CN"/>
        </w:rPr>
        <w:t xml:space="preserve">； </w:t>
      </w:r>
    </w:p>
    <w:p w14:paraId="6D8B23A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u w:val="single"/>
          <w:lang w:val="en-US" w:bidi="zh-CN"/>
        </w:rPr>
        <w:t>3</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lang w:val="zh-CN" w:bidi="zh-CN"/>
        </w:rPr>
        <w:t>%的工程款；</w:t>
      </w:r>
    </w:p>
    <w:p w14:paraId="5EB2E74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（3）其他方式:。</w:t>
      </w:r>
    </w:p>
    <w:p w14:paraId="6C84740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15.3.2 质量保证金的扣留 </w:t>
      </w:r>
    </w:p>
    <w:p w14:paraId="4720AAF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质量保证金的扣留采取以下第</w:t>
      </w:r>
      <w:r>
        <w:rPr>
          <w:rFonts w:hint="eastAsia" w:ascii="宋体" w:hAnsi="宋体" w:eastAsia="宋体" w:cs="宋体"/>
          <w:kern w:val="0"/>
          <w:sz w:val="21"/>
          <w:szCs w:val="21"/>
          <w:highlight w:val="none"/>
          <w:u w:val="single"/>
          <w:lang w:val="zh-CN" w:bidi="zh-CN"/>
        </w:rPr>
        <w:t xml:space="preserve">  (</w:t>
      </w:r>
      <w:r>
        <w:rPr>
          <w:rFonts w:hint="eastAsia" w:ascii="宋体" w:hAnsi="宋体" w:cs="宋体"/>
          <w:kern w:val="0"/>
          <w:sz w:val="21"/>
          <w:szCs w:val="21"/>
          <w:highlight w:val="none"/>
          <w:u w:val="single"/>
          <w:lang w:val="en-US" w:bidi="zh-CN"/>
        </w:rPr>
        <w:t>2</w:t>
      </w:r>
      <w:r>
        <w:rPr>
          <w:rFonts w:hint="eastAsia" w:ascii="宋体" w:hAnsi="宋体" w:eastAsia="宋体" w:cs="宋体"/>
          <w:kern w:val="0"/>
          <w:sz w:val="21"/>
          <w:szCs w:val="21"/>
          <w:highlight w:val="none"/>
          <w:u w:val="single"/>
          <w:lang w:val="zh-CN" w:bidi="zh-CN"/>
        </w:rPr>
        <w:t xml:space="preserve">)   </w:t>
      </w:r>
      <w:r>
        <w:rPr>
          <w:rFonts w:hint="eastAsia" w:ascii="宋体" w:hAnsi="宋体" w:eastAsia="宋体" w:cs="宋体"/>
          <w:kern w:val="0"/>
          <w:sz w:val="21"/>
          <w:szCs w:val="21"/>
          <w:highlight w:val="none"/>
          <w:lang w:val="zh-CN" w:bidi="zh-CN"/>
        </w:rPr>
        <w:t>种方式：</w:t>
      </w:r>
    </w:p>
    <w:p w14:paraId="56D5977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（1）在支付工程进度款时逐次扣留，在此情形下，质量保证金的计算基数不包括预付款的支付、扣回以及价格调整的金额；</w:t>
      </w:r>
    </w:p>
    <w:p w14:paraId="177ED00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（2）工程竣工结算时一次性扣留质量保证金；</w:t>
      </w:r>
    </w:p>
    <w:p w14:paraId="5DE323E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（3）其他扣留方式:</w:t>
      </w:r>
      <w:r>
        <w:rPr>
          <w:rFonts w:hint="eastAsia" w:ascii="宋体" w:hAnsi="宋体" w:cs="宋体"/>
          <w:kern w:val="0"/>
          <w:sz w:val="21"/>
          <w:szCs w:val="21"/>
          <w:highlight w:val="none"/>
          <w:u w:val="single"/>
          <w:lang w:val="en-US" w:bidi="zh-CN"/>
        </w:rPr>
        <w:t>/</w:t>
      </w:r>
      <w:r>
        <w:rPr>
          <w:rFonts w:hint="eastAsia" w:ascii="宋体" w:hAnsi="宋体" w:eastAsia="宋体" w:cs="宋体"/>
          <w:kern w:val="0"/>
          <w:sz w:val="21"/>
          <w:szCs w:val="21"/>
          <w:highlight w:val="none"/>
          <w:lang w:val="zh-CN" w:bidi="zh-CN"/>
        </w:rPr>
        <w:t>。</w:t>
      </w:r>
    </w:p>
    <w:p w14:paraId="60D1AF5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关于质量保证金的补充约定：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bookmarkEnd w:id="634"/>
      <w:bookmarkEnd w:id="635"/>
    </w:p>
    <w:p w14:paraId="74AAB895">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15.4保修</w:t>
      </w:r>
      <w:bookmarkEnd w:id="636"/>
    </w:p>
    <w:p w14:paraId="5CAF27E2">
      <w:pPr>
        <w:pageBreakBefore w:val="0"/>
        <w:shd w:val="clear"/>
        <w:kinsoku/>
        <w:wordWrap/>
        <w:overflowPunct/>
        <w:topLinePunct w:val="0"/>
        <w:autoSpaceDE/>
        <w:autoSpaceDN/>
        <w:bidi w:val="0"/>
        <w:adjustRightInd/>
        <w:snapToGrid/>
        <w:spacing w:line="480" w:lineRule="exact"/>
        <w:ind w:firstLine="468"/>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15.4.1 保修责任</w:t>
      </w:r>
    </w:p>
    <w:p w14:paraId="4E75553D">
      <w:pPr>
        <w:pageBreakBefore w:val="0"/>
        <w:shd w:val="clear"/>
        <w:kinsoku/>
        <w:wordWrap/>
        <w:overflowPunct/>
        <w:topLinePunct w:val="0"/>
        <w:autoSpaceDE/>
        <w:autoSpaceDN/>
        <w:bidi w:val="0"/>
        <w:adjustRightInd/>
        <w:snapToGrid/>
        <w:spacing w:line="480" w:lineRule="exact"/>
        <w:ind w:firstLine="468"/>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工程保修期为：</w:t>
      </w:r>
      <w:r>
        <w:rPr>
          <w:rFonts w:hint="eastAsia" w:ascii="宋体" w:hAnsi="宋体" w:eastAsia="宋体" w:cs="宋体"/>
          <w:kern w:val="0"/>
          <w:sz w:val="21"/>
          <w:szCs w:val="21"/>
          <w:highlight w:val="none"/>
          <w:u w:val="single"/>
          <w:lang w:val="zh-CN" w:bidi="zh-CN"/>
        </w:rPr>
        <w:t xml:space="preserve">  见附件   </w:t>
      </w:r>
      <w:r>
        <w:rPr>
          <w:rFonts w:hint="eastAsia" w:ascii="宋体" w:hAnsi="宋体" w:eastAsia="宋体" w:cs="宋体"/>
          <w:kern w:val="0"/>
          <w:sz w:val="21"/>
          <w:szCs w:val="21"/>
          <w:highlight w:val="none"/>
          <w:lang w:val="zh-CN" w:bidi="zh-CN"/>
        </w:rPr>
        <w:t>。</w:t>
      </w:r>
    </w:p>
    <w:p w14:paraId="35AEFE16">
      <w:pPr>
        <w:pageBreakBefore w:val="0"/>
        <w:shd w:val="clear"/>
        <w:kinsoku/>
        <w:wordWrap/>
        <w:overflowPunct/>
        <w:topLinePunct w:val="0"/>
        <w:autoSpaceDE/>
        <w:autoSpaceDN/>
        <w:bidi w:val="0"/>
        <w:adjustRightInd/>
        <w:snapToGrid/>
        <w:spacing w:line="480" w:lineRule="exact"/>
        <w:ind w:firstLine="468"/>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15.4.3 修复通知</w:t>
      </w:r>
    </w:p>
    <w:p w14:paraId="592CD8D6">
      <w:pPr>
        <w:pageBreakBefore w:val="0"/>
        <w:shd w:val="clear"/>
        <w:kinsoku/>
        <w:wordWrap/>
        <w:overflowPunct/>
        <w:topLinePunct w:val="0"/>
        <w:autoSpaceDE/>
        <w:autoSpaceDN/>
        <w:bidi w:val="0"/>
        <w:adjustRightInd/>
        <w:snapToGrid/>
        <w:spacing w:line="480" w:lineRule="exact"/>
        <w:ind w:firstLine="468"/>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承包人收到保修通知并到达工程现场的合理时间：</w:t>
      </w:r>
      <w:r>
        <w:rPr>
          <w:rFonts w:hint="eastAsia" w:ascii="宋体" w:hAnsi="宋体" w:eastAsia="宋体" w:cs="宋体"/>
          <w:kern w:val="0"/>
          <w:sz w:val="21"/>
          <w:szCs w:val="21"/>
          <w:highlight w:val="none"/>
          <w:u w:val="single"/>
          <w:lang w:val="zh-CN" w:bidi="zh-CN"/>
        </w:rPr>
        <w:t xml:space="preserve">  按通用条款</w:t>
      </w:r>
      <w:r>
        <w:rPr>
          <w:rFonts w:hint="eastAsia" w:ascii="宋体" w:hAnsi="宋体" w:eastAsia="宋体" w:cs="宋体"/>
          <w:kern w:val="0"/>
          <w:sz w:val="21"/>
          <w:szCs w:val="21"/>
          <w:highlight w:val="none"/>
          <w:lang w:val="zh-CN" w:bidi="zh-CN"/>
        </w:rPr>
        <w:t>。</w:t>
      </w:r>
      <w:bookmarkEnd w:id="637"/>
      <w:bookmarkEnd w:id="638"/>
      <w:bookmarkEnd w:id="639"/>
      <w:bookmarkEnd w:id="640"/>
    </w:p>
    <w:p w14:paraId="4B2DCC15">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663" w:name="_Toc351203648"/>
      <w:bookmarkStart w:id="664" w:name="_Toc280868717"/>
      <w:bookmarkStart w:id="665" w:name="_Toc280868718"/>
      <w:r>
        <w:rPr>
          <w:rFonts w:hint="eastAsia" w:ascii="宋体" w:hAnsi="宋体" w:eastAsia="宋体" w:cs="宋体"/>
          <w:b w:val="0"/>
          <w:bCs w:val="0"/>
          <w:kern w:val="2"/>
          <w:sz w:val="21"/>
          <w:szCs w:val="21"/>
          <w:highlight w:val="none"/>
          <w:lang w:val="zh-CN" w:eastAsia="zh-CN" w:bidi="zh-CN"/>
        </w:rPr>
        <w:t>16. 违约</w:t>
      </w:r>
      <w:bookmarkEnd w:id="663"/>
    </w:p>
    <w:p w14:paraId="3DE44E12">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16.1 发包人违约</w:t>
      </w:r>
    </w:p>
    <w:p w14:paraId="29242ED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16.1.1发包人违约的情形</w:t>
      </w:r>
    </w:p>
    <w:p w14:paraId="339252C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发包人违约的其他情形：</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6BF90006">
      <w:pPr>
        <w:pageBreakBefore w:val="0"/>
        <w:shd w:val="clear"/>
        <w:kinsoku/>
        <w:wordWrap/>
        <w:overflowPunct/>
        <w:topLinePunct w:val="0"/>
        <w:autoSpaceDE/>
        <w:autoSpaceDN/>
        <w:bidi w:val="0"/>
        <w:adjustRightInd/>
        <w:snapToGrid/>
        <w:spacing w:line="480" w:lineRule="exact"/>
        <w:ind w:left="1200" w:hanging="1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    16.1.2 发包人违约的责任</w:t>
      </w:r>
    </w:p>
    <w:p w14:paraId="3DC91C2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发包人违约责任的承担方式和计算方法：</w:t>
      </w:r>
    </w:p>
    <w:p w14:paraId="7C9DB13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（1）因发包人原因未能在计划开工日期前7天内下达开工通知的违约责任：</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3679BFF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（2）因发包人原因未能按合同约定支付合同价款的违约责任：</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p>
    <w:p w14:paraId="47CF0595">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（3）发包人违反第10.1款〔变更的范围〕第（2）项约定，自行实施被取消的工作或转由他人实施的违约责任：</w:t>
      </w:r>
      <w:r>
        <w:rPr>
          <w:rFonts w:hint="eastAsia" w:ascii="宋体" w:hAnsi="宋体" w:eastAsia="宋体" w:cs="宋体"/>
          <w:kern w:val="0"/>
          <w:sz w:val="21"/>
          <w:szCs w:val="21"/>
          <w:highlight w:val="none"/>
          <w:u w:val="single"/>
          <w:lang w:val="zh-CN" w:bidi="zh-CN"/>
        </w:rPr>
        <w:t xml:space="preserve">  无 。 </w:t>
      </w:r>
    </w:p>
    <w:p w14:paraId="13DBBE7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4604A5A2">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（5）因发包人违反合同约定造成暂停施工的违约责任：</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570DE8C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（6）其他：</w:t>
      </w:r>
      <w:r>
        <w:rPr>
          <w:rFonts w:hint="eastAsia" w:ascii="宋体" w:hAnsi="宋体" w:eastAsia="宋体" w:cs="宋体"/>
          <w:kern w:val="0"/>
          <w:sz w:val="21"/>
          <w:szCs w:val="21"/>
          <w:highlight w:val="none"/>
          <w:u w:val="single"/>
          <w:lang w:val="zh-CN" w:bidi="zh-CN"/>
        </w:rPr>
        <w:t xml:space="preserve">   无        </w:t>
      </w:r>
      <w:r>
        <w:rPr>
          <w:rFonts w:hint="eastAsia" w:ascii="宋体" w:hAnsi="宋体" w:eastAsia="宋体" w:cs="宋体"/>
          <w:kern w:val="0"/>
          <w:sz w:val="21"/>
          <w:szCs w:val="21"/>
          <w:highlight w:val="none"/>
          <w:lang w:val="zh-CN" w:bidi="zh-CN"/>
        </w:rPr>
        <w:t>。</w:t>
      </w:r>
    </w:p>
    <w:p w14:paraId="34FF1A6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16.1.3 因发包人违约解除合同</w:t>
      </w:r>
    </w:p>
    <w:p w14:paraId="0AA9BEE7">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承包人按16.1.1项〔发包人违约的情形〕约定暂停施工满天后发包人仍不纠正其违约行为并致使合同目的不能实现的，承包人有权解除合同。</w:t>
      </w:r>
    </w:p>
    <w:p w14:paraId="5E22438E">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16.2 承包人违约</w:t>
      </w:r>
    </w:p>
    <w:p w14:paraId="21B170D4">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16.2.1 承包人违约的情形</w:t>
      </w:r>
    </w:p>
    <w:p w14:paraId="1282696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承包人违约的其他情形：</w:t>
      </w:r>
      <w:r>
        <w:rPr>
          <w:rFonts w:hint="eastAsia" w:ascii="宋体" w:hAnsi="宋体" w:eastAsia="宋体" w:cs="宋体"/>
          <w:kern w:val="0"/>
          <w:sz w:val="21"/>
          <w:szCs w:val="21"/>
          <w:highlight w:val="none"/>
          <w:u w:val="single"/>
          <w:lang w:val="zh-CN" w:bidi="zh-CN"/>
        </w:rPr>
        <w:t xml:space="preserve"> 工期延误、质量问题、技术文件未按约定时间提交、承包人擅自停要或单方面终止合同等   </w:t>
      </w:r>
      <w:r>
        <w:rPr>
          <w:rFonts w:hint="eastAsia" w:ascii="宋体" w:hAnsi="宋体" w:eastAsia="宋体" w:cs="宋体"/>
          <w:kern w:val="0"/>
          <w:sz w:val="21"/>
          <w:szCs w:val="21"/>
          <w:highlight w:val="none"/>
          <w:lang w:val="zh-CN" w:bidi="zh-CN"/>
        </w:rPr>
        <w:t>。</w:t>
      </w:r>
    </w:p>
    <w:p w14:paraId="64865A78">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16.2.2承包人违约的责任</w:t>
      </w:r>
    </w:p>
    <w:p w14:paraId="66D24A5F">
      <w:pPr>
        <w:pageBreakBefore w:val="0"/>
        <w:widowControl w:val="0"/>
        <w:shd w:val="clear"/>
        <w:tabs>
          <w:tab w:val="left" w:pos="905"/>
        </w:tabs>
        <w:kinsoku/>
        <w:wordWrap/>
        <w:overflowPunct/>
        <w:topLinePunct w:val="0"/>
        <w:autoSpaceDE/>
        <w:autoSpaceDN/>
        <w:bidi w:val="0"/>
        <w:adjustRightInd/>
        <w:snapToGrid/>
        <w:spacing w:line="480" w:lineRule="exact"/>
        <w:ind w:firstLine="477"/>
        <w:textAlignment w:val="auto"/>
        <w:rPr>
          <w:rFonts w:hint="eastAsia" w:ascii="宋体" w:hAnsi="宋体" w:eastAsia="宋体" w:cs="宋体"/>
          <w:spacing w:val="10"/>
          <w:kern w:val="2"/>
          <w:sz w:val="21"/>
          <w:szCs w:val="21"/>
          <w:highlight w:val="none"/>
          <w:u w:val="single"/>
          <w:lang w:val="zh-CN" w:eastAsia="zh-CN" w:bidi="zh-CN"/>
        </w:rPr>
      </w:pPr>
      <w:r>
        <w:rPr>
          <w:rFonts w:hint="eastAsia" w:ascii="宋体" w:hAnsi="宋体" w:eastAsia="宋体" w:cs="宋体"/>
          <w:kern w:val="2"/>
          <w:sz w:val="21"/>
          <w:szCs w:val="21"/>
          <w:highlight w:val="none"/>
          <w:lang w:val="zh-CN" w:eastAsia="zh-CN" w:bidi="zh-CN"/>
        </w:rPr>
        <w:t>承包人违约责任的承担方式和计算方法：</w:t>
      </w:r>
      <w:r>
        <w:rPr>
          <w:rFonts w:hint="eastAsia" w:ascii="宋体" w:hAnsi="宋体" w:eastAsia="宋体" w:cs="宋体"/>
          <w:spacing w:val="10"/>
          <w:kern w:val="2"/>
          <w:sz w:val="21"/>
          <w:szCs w:val="21"/>
          <w:highlight w:val="none"/>
          <w:u w:val="single"/>
          <w:lang w:val="zh-CN" w:eastAsia="zh-CN" w:bidi="zh-CN"/>
        </w:rPr>
        <w:t>A、工期延误：如承包人未能完成施工进度计划工作量的80%，发包人有权将其中部分工程委托其他人员进行施工或停止支付工程款，由此产生的费用加收10%的管理费后从承包人的合同款内扣除。</w:t>
      </w:r>
    </w:p>
    <w:p w14:paraId="3AB376EA">
      <w:pPr>
        <w:pageBreakBefore w:val="0"/>
        <w:widowControl w:val="0"/>
        <w:shd w:val="clear"/>
        <w:tabs>
          <w:tab w:val="left" w:pos="905"/>
        </w:tabs>
        <w:kinsoku/>
        <w:wordWrap/>
        <w:overflowPunct/>
        <w:topLinePunct w:val="0"/>
        <w:autoSpaceDE/>
        <w:autoSpaceDN/>
        <w:bidi w:val="0"/>
        <w:adjustRightInd/>
        <w:snapToGrid/>
        <w:spacing w:line="480" w:lineRule="exact"/>
        <w:ind w:firstLine="517"/>
        <w:textAlignment w:val="auto"/>
        <w:rPr>
          <w:rFonts w:hint="eastAsia" w:ascii="宋体" w:hAnsi="宋体" w:eastAsia="宋体" w:cs="宋体"/>
          <w:spacing w:val="10"/>
          <w:kern w:val="2"/>
          <w:sz w:val="21"/>
          <w:szCs w:val="21"/>
          <w:highlight w:val="none"/>
          <w:u w:val="single"/>
          <w:lang w:val="zh-CN" w:eastAsia="zh-CN" w:bidi="zh-CN"/>
        </w:rPr>
      </w:pPr>
      <w:r>
        <w:rPr>
          <w:rFonts w:hint="eastAsia" w:ascii="宋体" w:hAnsi="宋体" w:eastAsia="宋体" w:cs="宋体"/>
          <w:spacing w:val="10"/>
          <w:kern w:val="2"/>
          <w:sz w:val="21"/>
          <w:szCs w:val="21"/>
          <w:highlight w:val="none"/>
          <w:u w:val="single"/>
          <w:lang w:val="zh-CN" w:eastAsia="zh-CN" w:bidi="zh-CN"/>
        </w:rPr>
        <w:t>B、质量问题：工程质量应符合国家验收规范，若质量未达到要求，承包人应进行整改，返工合格后，发包人有权在承包人工程结算款中扣除由此而发给发包人而造成的经济损失。</w:t>
      </w:r>
    </w:p>
    <w:p w14:paraId="3294D593">
      <w:pPr>
        <w:pageBreakBefore w:val="0"/>
        <w:widowControl w:val="0"/>
        <w:shd w:val="clear"/>
        <w:tabs>
          <w:tab w:val="left" w:pos="905"/>
        </w:tabs>
        <w:kinsoku/>
        <w:wordWrap/>
        <w:overflowPunct/>
        <w:topLinePunct w:val="0"/>
        <w:autoSpaceDE/>
        <w:autoSpaceDN/>
        <w:bidi w:val="0"/>
        <w:adjustRightInd/>
        <w:snapToGrid/>
        <w:spacing w:line="480" w:lineRule="exact"/>
        <w:ind w:firstLine="517"/>
        <w:textAlignment w:val="auto"/>
        <w:rPr>
          <w:rFonts w:hint="eastAsia" w:ascii="宋体" w:hAnsi="宋体" w:eastAsia="宋体" w:cs="宋体"/>
          <w:spacing w:val="10"/>
          <w:kern w:val="2"/>
          <w:sz w:val="21"/>
          <w:szCs w:val="21"/>
          <w:highlight w:val="none"/>
          <w:u w:val="single"/>
          <w:lang w:val="zh-CN" w:eastAsia="zh-CN" w:bidi="zh-CN"/>
        </w:rPr>
      </w:pPr>
      <w:r>
        <w:rPr>
          <w:rFonts w:hint="eastAsia" w:ascii="宋体" w:hAnsi="宋体" w:eastAsia="宋体" w:cs="宋体"/>
          <w:spacing w:val="10"/>
          <w:kern w:val="2"/>
          <w:sz w:val="21"/>
          <w:szCs w:val="21"/>
          <w:highlight w:val="none"/>
          <w:u w:val="single"/>
          <w:lang w:val="zh-CN" w:eastAsia="zh-CN" w:bidi="zh-CN"/>
        </w:rPr>
        <w:t>C、因承包人原因导致技术文件（包括竣工图纸、签证等）未能按约定时间提交，每迟一天，发包人在支付给承包人的工程款内扣除1000元的违约金。同时并不解除承包人继续交付上述技术文件的义务。</w:t>
      </w:r>
    </w:p>
    <w:p w14:paraId="2B785D45">
      <w:pPr>
        <w:pageBreakBefore w:val="0"/>
        <w:shd w:val="clear"/>
        <w:kinsoku/>
        <w:wordWrap/>
        <w:overflowPunct/>
        <w:topLinePunct w:val="0"/>
        <w:autoSpaceDE/>
        <w:autoSpaceDN/>
        <w:bidi w:val="0"/>
        <w:adjustRightInd/>
        <w:snapToGrid/>
        <w:spacing w:line="480" w:lineRule="exact"/>
        <w:ind w:firstLine="52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spacing w:val="10"/>
          <w:kern w:val="0"/>
          <w:sz w:val="21"/>
          <w:szCs w:val="21"/>
          <w:highlight w:val="none"/>
          <w:u w:val="single"/>
          <w:lang w:val="zh-CN" w:bidi="zh-CN"/>
        </w:rPr>
        <w:t xml:space="preserve">D、若承包人擅自停工或单方面终止合同的执行或违约，造成合同无法履行，在本合同解除后，承包人必须在5天内无条件退场。发包人将按承包人已完成工程量的70%给予结算，承包人并承担由此而给发包方造成的一切损失。  </w:t>
      </w:r>
    </w:p>
    <w:p w14:paraId="48BDD5A6">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16.2.3 因承包人违约解除合同</w:t>
      </w:r>
    </w:p>
    <w:p w14:paraId="4A71191B">
      <w:pPr>
        <w:pageBreakBefore w:val="0"/>
        <w:shd w:val="clear"/>
        <w:kinsoku/>
        <w:wordWrap/>
        <w:overflowPunct/>
        <w:topLinePunct w:val="0"/>
        <w:autoSpaceDE/>
        <w:autoSpaceDN/>
        <w:bidi w:val="0"/>
        <w:adjustRightInd/>
        <w:snapToGrid/>
        <w:spacing w:before="120"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关于承包人违约解除合同的特别约定：</w:t>
      </w:r>
      <w:r>
        <w:rPr>
          <w:rFonts w:hint="eastAsia" w:ascii="宋体" w:hAnsi="宋体" w:eastAsia="宋体" w:cs="宋体"/>
          <w:spacing w:val="10"/>
          <w:kern w:val="0"/>
          <w:sz w:val="21"/>
          <w:szCs w:val="21"/>
          <w:highlight w:val="none"/>
          <w:u w:val="single"/>
          <w:lang w:val="zh-CN" w:bidi="zh-CN"/>
        </w:rPr>
        <w:t>在本合同解除后，承包人必须在5天内无条件退场。发包人将按承包人已完成工程量的70%给予结算，承包人并承担由此而给发包方造成的一切损失。</w:t>
      </w:r>
    </w:p>
    <w:p w14:paraId="156DF4BF">
      <w:pPr>
        <w:pageBreakBefore w:val="0"/>
        <w:shd w:val="clear"/>
        <w:kinsoku/>
        <w:wordWrap/>
        <w:overflowPunct/>
        <w:topLinePunct w:val="0"/>
        <w:autoSpaceDE/>
        <w:autoSpaceDN/>
        <w:bidi w:val="0"/>
        <w:adjustRightInd/>
        <w:snapToGrid/>
        <w:spacing w:before="120"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发包人继续使用承包人在施工现场的材料、设备、临时工程、承包人文件和由承包人或以其名义编制的其他文件的费用承担方式：</w:t>
      </w:r>
      <w:r>
        <w:rPr>
          <w:rFonts w:hint="eastAsia" w:ascii="宋体" w:hAnsi="宋体" w:eastAsia="宋体" w:cs="宋体"/>
          <w:kern w:val="0"/>
          <w:sz w:val="21"/>
          <w:szCs w:val="21"/>
          <w:highlight w:val="none"/>
          <w:u w:val="single"/>
          <w:lang w:val="zh-CN" w:bidi="zh-CN"/>
        </w:rPr>
        <w:t xml:space="preserve">  根据</w:t>
      </w:r>
      <w:r>
        <w:rPr>
          <w:rFonts w:hint="eastAsia" w:ascii="宋体" w:hAnsi="宋体" w:cs="宋体"/>
          <w:kern w:val="0"/>
          <w:sz w:val="21"/>
          <w:szCs w:val="21"/>
          <w:highlight w:val="none"/>
          <w:u w:val="single"/>
          <w:lang w:val="zh-CN" w:bidi="zh-CN"/>
        </w:rPr>
        <w:t>监理（如有）</w:t>
      </w:r>
      <w:r>
        <w:rPr>
          <w:rFonts w:hint="eastAsia" w:ascii="宋体" w:hAnsi="宋体" w:eastAsia="宋体" w:cs="宋体"/>
          <w:kern w:val="0"/>
          <w:sz w:val="21"/>
          <w:szCs w:val="21"/>
          <w:highlight w:val="none"/>
          <w:u w:val="single"/>
          <w:lang w:val="zh-CN" w:bidi="zh-CN"/>
        </w:rPr>
        <w:t xml:space="preserve">、审计出具的报告结算给承包人  </w:t>
      </w:r>
      <w:r>
        <w:rPr>
          <w:rFonts w:hint="eastAsia" w:ascii="宋体" w:hAnsi="宋体" w:eastAsia="宋体" w:cs="宋体"/>
          <w:kern w:val="0"/>
          <w:sz w:val="21"/>
          <w:szCs w:val="21"/>
          <w:highlight w:val="none"/>
          <w:lang w:val="zh-CN" w:bidi="zh-CN"/>
        </w:rPr>
        <w:t>。</w:t>
      </w:r>
    </w:p>
    <w:p w14:paraId="084E5531">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666" w:name="_Toc351203649"/>
      <w:r>
        <w:rPr>
          <w:rFonts w:hint="eastAsia" w:ascii="宋体" w:hAnsi="宋体" w:eastAsia="宋体" w:cs="宋体"/>
          <w:b w:val="0"/>
          <w:bCs w:val="0"/>
          <w:kern w:val="2"/>
          <w:sz w:val="21"/>
          <w:szCs w:val="21"/>
          <w:highlight w:val="none"/>
          <w:lang w:val="zh-CN" w:eastAsia="zh-CN" w:bidi="zh-CN"/>
        </w:rPr>
        <w:t>17. 不可抗力</w:t>
      </w:r>
      <w:bookmarkEnd w:id="664"/>
      <w:bookmarkEnd w:id="666"/>
    </w:p>
    <w:p w14:paraId="5B88DA66">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17.1 不可抗力的确认</w:t>
      </w:r>
    </w:p>
    <w:p w14:paraId="3D5D1DC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 xml:space="preserve">除通用合同条款约定的不可抗力事件之外，视为不可抗力的其他情形： </w:t>
      </w:r>
      <w:r>
        <w:rPr>
          <w:rFonts w:hint="eastAsia" w:ascii="宋体" w:hAnsi="宋体" w:eastAsia="宋体" w:cs="宋体"/>
          <w:spacing w:val="10"/>
          <w:kern w:val="0"/>
          <w:sz w:val="21"/>
          <w:szCs w:val="21"/>
          <w:highlight w:val="none"/>
          <w:u w:val="single"/>
          <w:lang w:val="zh-CN" w:bidi="zh-CN"/>
        </w:rPr>
        <w:t>按省级有关部门的规定执行</w:t>
      </w:r>
      <w:r>
        <w:rPr>
          <w:rFonts w:hint="eastAsia" w:ascii="宋体" w:hAnsi="宋体" w:eastAsia="宋体" w:cs="宋体"/>
          <w:kern w:val="0"/>
          <w:sz w:val="21"/>
          <w:szCs w:val="21"/>
          <w:highlight w:val="none"/>
          <w:lang w:val="zh-CN" w:bidi="zh-CN"/>
        </w:rPr>
        <w:t>。</w:t>
      </w:r>
    </w:p>
    <w:p w14:paraId="4340C229">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17.4 因不可抗力解除合同</w:t>
      </w:r>
    </w:p>
    <w:p w14:paraId="3913146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合同解除后，发包人应在商定或确定发包人应支付款项后</w:t>
      </w:r>
      <w:r>
        <w:rPr>
          <w:rFonts w:hint="eastAsia" w:ascii="宋体" w:hAnsi="宋体" w:eastAsia="宋体" w:cs="宋体"/>
          <w:kern w:val="0"/>
          <w:sz w:val="21"/>
          <w:szCs w:val="21"/>
          <w:highlight w:val="none"/>
          <w:u w:val="single"/>
          <w:lang w:val="zh-CN" w:bidi="zh-CN"/>
        </w:rPr>
        <w:t xml:space="preserve"> 28   </w:t>
      </w:r>
      <w:r>
        <w:rPr>
          <w:rFonts w:hint="eastAsia" w:ascii="宋体" w:hAnsi="宋体" w:eastAsia="宋体" w:cs="宋体"/>
          <w:kern w:val="0"/>
          <w:sz w:val="21"/>
          <w:szCs w:val="21"/>
          <w:highlight w:val="none"/>
          <w:lang w:val="zh-CN" w:bidi="zh-CN"/>
        </w:rPr>
        <w:t>天内完成款项的支付。</w:t>
      </w:r>
    </w:p>
    <w:p w14:paraId="5FFC4881">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667" w:name="_Toc351203650"/>
      <w:r>
        <w:rPr>
          <w:rFonts w:hint="eastAsia" w:ascii="宋体" w:hAnsi="宋体" w:eastAsia="宋体" w:cs="宋体"/>
          <w:b w:val="0"/>
          <w:bCs w:val="0"/>
          <w:kern w:val="2"/>
          <w:sz w:val="21"/>
          <w:szCs w:val="21"/>
          <w:highlight w:val="none"/>
          <w:lang w:val="zh-CN" w:eastAsia="zh-CN" w:bidi="zh-CN"/>
        </w:rPr>
        <w:t>18. 保险</w:t>
      </w:r>
      <w:bookmarkEnd w:id="665"/>
      <w:bookmarkEnd w:id="667"/>
    </w:p>
    <w:p w14:paraId="0A47F98A">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18.1 工程保险</w:t>
      </w:r>
    </w:p>
    <w:p w14:paraId="39E9A8F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关于工程保险的特别约定：</w:t>
      </w:r>
      <w:r>
        <w:rPr>
          <w:rFonts w:hint="eastAsia" w:ascii="宋体" w:hAnsi="宋体" w:eastAsia="宋体" w:cs="宋体"/>
          <w:spacing w:val="10"/>
          <w:kern w:val="0"/>
          <w:sz w:val="21"/>
          <w:szCs w:val="21"/>
          <w:highlight w:val="none"/>
          <w:u w:val="single"/>
          <w:lang w:val="zh-CN" w:bidi="zh-CN"/>
        </w:rPr>
        <w:t>承包人必须按国家或地方相关规定为从事危险作业的职工办理意外伤害保险，并为施工场地内自有人员生命财产和施工机械设备办理保险，承担保险责任。</w:t>
      </w:r>
    </w:p>
    <w:p w14:paraId="588A9875">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18.3 其他保险</w:t>
      </w:r>
    </w:p>
    <w:p w14:paraId="1CFDCB7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关于其他保险的约定：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2D68848A">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承包人是否应为其施工设备等办理财产保险：</w:t>
      </w:r>
      <w:r>
        <w:rPr>
          <w:rFonts w:hint="eastAsia" w:ascii="宋体" w:hAnsi="宋体" w:eastAsia="宋体" w:cs="宋体"/>
          <w:kern w:val="0"/>
          <w:sz w:val="21"/>
          <w:szCs w:val="21"/>
          <w:highlight w:val="none"/>
          <w:u w:val="single"/>
          <w:lang w:val="zh-CN" w:bidi="zh-CN"/>
        </w:rPr>
        <w:t xml:space="preserve">  由承包自行考虑   </w:t>
      </w:r>
      <w:r>
        <w:rPr>
          <w:rFonts w:hint="eastAsia" w:ascii="宋体" w:hAnsi="宋体" w:eastAsia="宋体" w:cs="宋体"/>
          <w:kern w:val="0"/>
          <w:sz w:val="21"/>
          <w:szCs w:val="21"/>
          <w:highlight w:val="none"/>
          <w:lang w:val="zh-CN" w:bidi="zh-CN"/>
        </w:rPr>
        <w:t>。</w:t>
      </w:r>
    </w:p>
    <w:p w14:paraId="49807339">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18.7 通知义务</w:t>
      </w:r>
    </w:p>
    <w:p w14:paraId="255A8633">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关于变更保险合同时的通知义务的约定：</w:t>
      </w:r>
      <w:r>
        <w:rPr>
          <w:rFonts w:hint="eastAsia" w:ascii="宋体" w:hAnsi="宋体" w:eastAsia="宋体" w:cs="宋体"/>
          <w:kern w:val="0"/>
          <w:sz w:val="21"/>
          <w:szCs w:val="21"/>
          <w:highlight w:val="none"/>
          <w:u w:val="single"/>
          <w:lang w:val="zh-CN" w:bidi="zh-CN"/>
        </w:rPr>
        <w:t xml:space="preserve">  按通用条款 </w:t>
      </w:r>
      <w:r>
        <w:rPr>
          <w:rFonts w:hint="eastAsia" w:ascii="宋体" w:hAnsi="宋体" w:eastAsia="宋体" w:cs="宋体"/>
          <w:kern w:val="0"/>
          <w:sz w:val="21"/>
          <w:szCs w:val="21"/>
          <w:highlight w:val="none"/>
          <w:lang w:val="zh-CN" w:bidi="zh-CN"/>
        </w:rPr>
        <w:t>。</w:t>
      </w:r>
      <w:bookmarkEnd w:id="641"/>
      <w:bookmarkEnd w:id="642"/>
      <w:bookmarkEnd w:id="643"/>
      <w:bookmarkEnd w:id="644"/>
      <w:bookmarkEnd w:id="645"/>
      <w:bookmarkEnd w:id="646"/>
      <w:bookmarkEnd w:id="647"/>
      <w:bookmarkEnd w:id="648"/>
      <w:bookmarkEnd w:id="649"/>
      <w:bookmarkEnd w:id="650"/>
      <w:bookmarkEnd w:id="651"/>
      <w:bookmarkEnd w:id="652"/>
    </w:p>
    <w:p w14:paraId="1F767CC6">
      <w:pPr>
        <w:keepNext/>
        <w:keepLines/>
        <w:pageBreakBefore w:val="0"/>
        <w:widowControl/>
        <w:shd w:val="clear"/>
        <w:kinsoku/>
        <w:wordWrap/>
        <w:overflowPunct/>
        <w:topLinePunct w:val="0"/>
        <w:autoSpaceDE/>
        <w:autoSpaceDN/>
        <w:bidi w:val="0"/>
        <w:adjustRightInd/>
        <w:snapToGrid/>
        <w:spacing w:before="120" w:after="120" w:line="480" w:lineRule="exact"/>
        <w:textAlignment w:val="auto"/>
        <w:outlineLvl w:val="3"/>
        <w:rPr>
          <w:rFonts w:hint="eastAsia" w:ascii="宋体" w:hAnsi="宋体" w:eastAsia="宋体" w:cs="宋体"/>
          <w:b w:val="0"/>
          <w:bCs w:val="0"/>
          <w:kern w:val="2"/>
          <w:sz w:val="21"/>
          <w:szCs w:val="21"/>
          <w:highlight w:val="none"/>
          <w:lang w:val="zh-CN" w:eastAsia="zh-CN" w:bidi="zh-CN"/>
        </w:rPr>
      </w:pPr>
      <w:bookmarkStart w:id="668" w:name="_Toc351203651"/>
      <w:r>
        <w:rPr>
          <w:rFonts w:hint="eastAsia" w:ascii="宋体" w:hAnsi="宋体" w:eastAsia="宋体" w:cs="宋体"/>
          <w:b w:val="0"/>
          <w:bCs w:val="0"/>
          <w:kern w:val="2"/>
          <w:sz w:val="21"/>
          <w:szCs w:val="21"/>
          <w:highlight w:val="none"/>
          <w:lang w:val="zh-CN" w:eastAsia="zh-CN" w:bidi="zh-CN"/>
        </w:rPr>
        <w:t>20. 争议解决</w:t>
      </w:r>
      <w:bookmarkEnd w:id="653"/>
      <w:bookmarkEnd w:id="654"/>
      <w:bookmarkEnd w:id="668"/>
    </w:p>
    <w:p w14:paraId="0124D165">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20.3 争</w:t>
      </w:r>
      <w:bookmarkEnd w:id="655"/>
      <w:r>
        <w:rPr>
          <w:rFonts w:hint="eastAsia" w:ascii="宋体" w:hAnsi="宋体" w:eastAsia="宋体" w:cs="宋体"/>
          <w:kern w:val="0"/>
          <w:sz w:val="21"/>
          <w:szCs w:val="21"/>
          <w:highlight w:val="none"/>
          <w:lang w:val="zh-CN" w:bidi="zh-CN"/>
        </w:rPr>
        <w:t>议评审</w:t>
      </w:r>
    </w:p>
    <w:p w14:paraId="099A03C0">
      <w:pPr>
        <w:pageBreakBefore w:val="0"/>
        <w:shd w:val="clear"/>
        <w:kinsoku/>
        <w:wordWrap/>
        <w:overflowPunct/>
        <w:topLinePunct w:val="0"/>
        <w:autoSpaceDE/>
        <w:autoSpaceDN/>
        <w:bidi w:val="0"/>
        <w:adjustRightInd/>
        <w:snapToGrid/>
        <w:spacing w:line="480" w:lineRule="exact"/>
        <w:ind w:left="156" w:firstLine="36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合同当事人是否同意将工程争议提交争议评审小组决定：</w:t>
      </w:r>
      <w:r>
        <w:rPr>
          <w:rFonts w:hint="eastAsia" w:ascii="宋体" w:hAnsi="宋体" w:eastAsia="宋体" w:cs="宋体"/>
          <w:kern w:val="0"/>
          <w:sz w:val="21"/>
          <w:szCs w:val="21"/>
          <w:highlight w:val="none"/>
          <w:u w:val="single"/>
          <w:lang w:val="zh-CN" w:bidi="zh-CN"/>
        </w:rPr>
        <w:t xml:space="preserve"> 不同意 </w:t>
      </w:r>
      <w:r>
        <w:rPr>
          <w:rFonts w:hint="eastAsia" w:ascii="宋体" w:hAnsi="宋体" w:eastAsia="宋体" w:cs="宋体"/>
          <w:kern w:val="0"/>
          <w:sz w:val="21"/>
          <w:szCs w:val="21"/>
          <w:highlight w:val="none"/>
          <w:lang w:val="zh-CN" w:bidi="zh-CN"/>
        </w:rPr>
        <w:t xml:space="preserve">。  </w:t>
      </w:r>
    </w:p>
    <w:p w14:paraId="522D824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20.3.1 争议评审小组的确定</w:t>
      </w:r>
    </w:p>
    <w:p w14:paraId="77750B41">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u w:val="single"/>
          <w:lang w:val="zh-CN" w:bidi="zh-CN"/>
        </w:rPr>
      </w:pPr>
      <w:r>
        <w:rPr>
          <w:rFonts w:hint="eastAsia" w:ascii="宋体" w:hAnsi="宋体" w:eastAsia="宋体" w:cs="宋体"/>
          <w:kern w:val="0"/>
          <w:sz w:val="21"/>
          <w:szCs w:val="21"/>
          <w:highlight w:val="none"/>
          <w:lang w:val="zh-CN" w:bidi="zh-CN"/>
        </w:rPr>
        <w:t>争议评审小组成员的确定：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59E9AC44">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选定争议评审员的期限：</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1DF6BC00">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争议评审小组成员的报酬承担方式：</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2DDF022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其他事项的约定：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506290FF">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20.3.2 争议评审小组的决定</w:t>
      </w:r>
    </w:p>
    <w:p w14:paraId="3BD6014B">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合同当事人关于本项的约定：</w:t>
      </w:r>
      <w:r>
        <w:rPr>
          <w:rFonts w:hint="eastAsia" w:ascii="宋体" w:hAnsi="宋体" w:eastAsia="宋体" w:cs="宋体"/>
          <w:kern w:val="0"/>
          <w:sz w:val="21"/>
          <w:szCs w:val="21"/>
          <w:highlight w:val="none"/>
          <w:u w:val="single"/>
          <w:lang w:val="zh-CN" w:bidi="zh-CN"/>
        </w:rPr>
        <w:t xml:space="preserve">      /          </w:t>
      </w:r>
      <w:r>
        <w:rPr>
          <w:rFonts w:hint="eastAsia" w:ascii="宋体" w:hAnsi="宋体" w:eastAsia="宋体" w:cs="宋体"/>
          <w:kern w:val="0"/>
          <w:sz w:val="21"/>
          <w:szCs w:val="21"/>
          <w:highlight w:val="none"/>
          <w:lang w:val="zh-CN" w:bidi="zh-CN"/>
        </w:rPr>
        <w:t>。</w:t>
      </w:r>
    </w:p>
    <w:p w14:paraId="14D40D25">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20.4仲裁或诉讼</w:t>
      </w:r>
      <w:bookmarkEnd w:id="656"/>
    </w:p>
    <w:p w14:paraId="5C30EB5C">
      <w:pPr>
        <w:pageBreakBefore w:val="0"/>
        <w:shd w:val="clear"/>
        <w:kinsoku/>
        <w:wordWrap/>
        <w:overflowPunct/>
        <w:topLinePunct w:val="0"/>
        <w:autoSpaceDE/>
        <w:autoSpaceDN/>
        <w:bidi w:val="0"/>
        <w:adjustRightInd/>
        <w:snapToGrid/>
        <w:spacing w:after="120"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因合同及合同有关事项发生的争议，按下列第</w:t>
      </w:r>
      <w:r>
        <w:rPr>
          <w:rFonts w:hint="eastAsia" w:ascii="宋体" w:hAnsi="宋体" w:eastAsia="宋体" w:cs="宋体"/>
          <w:kern w:val="0"/>
          <w:sz w:val="21"/>
          <w:szCs w:val="21"/>
          <w:highlight w:val="none"/>
          <w:u w:val="single"/>
          <w:lang w:val="zh-CN" w:bidi="zh-CN"/>
        </w:rPr>
        <w:t xml:space="preserve">  （2）   </w:t>
      </w:r>
      <w:r>
        <w:rPr>
          <w:rFonts w:hint="eastAsia" w:ascii="宋体" w:hAnsi="宋体" w:eastAsia="宋体" w:cs="宋体"/>
          <w:kern w:val="0"/>
          <w:sz w:val="21"/>
          <w:szCs w:val="21"/>
          <w:highlight w:val="none"/>
          <w:lang w:val="zh-CN" w:bidi="zh-CN"/>
        </w:rPr>
        <w:t>种方式解决：</w:t>
      </w:r>
    </w:p>
    <w:p w14:paraId="4B8A879D">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（1）向仲裁委员会申请仲裁；</w:t>
      </w:r>
    </w:p>
    <w:p w14:paraId="3BB1430E">
      <w:pPr>
        <w:pageBreakBefore w:val="0"/>
        <w:shd w:val="clear"/>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（2）向</w:t>
      </w:r>
      <w:r>
        <w:rPr>
          <w:rFonts w:hint="eastAsia" w:ascii="宋体" w:hAnsi="宋体" w:eastAsia="宋体" w:cs="宋体"/>
          <w:kern w:val="0"/>
          <w:sz w:val="21"/>
          <w:szCs w:val="21"/>
          <w:highlight w:val="none"/>
          <w:u w:val="single"/>
          <w:lang w:val="zh-CN" w:bidi="zh-CN"/>
        </w:rPr>
        <w:t xml:space="preserve">    工程所在地  </w:t>
      </w:r>
      <w:r>
        <w:rPr>
          <w:rFonts w:hint="eastAsia" w:ascii="宋体" w:hAnsi="宋体" w:eastAsia="宋体" w:cs="宋体"/>
          <w:kern w:val="0"/>
          <w:sz w:val="21"/>
          <w:szCs w:val="21"/>
          <w:highlight w:val="none"/>
          <w:lang w:val="zh-CN" w:bidi="zh-CN"/>
        </w:rPr>
        <w:t>人民法院起诉。</w:t>
      </w:r>
      <w:bookmarkEnd w:id="657"/>
      <w:bookmarkEnd w:id="658"/>
      <w:bookmarkEnd w:id="659"/>
      <w:bookmarkEnd w:id="660"/>
      <w:bookmarkEnd w:id="661"/>
      <w:bookmarkEnd w:id="662"/>
    </w:p>
    <w:p w14:paraId="5C9DCC63">
      <w:pPr>
        <w:pageBreakBefore w:val="0"/>
        <w:shd w:val="clear"/>
        <w:kinsoku/>
        <w:wordWrap/>
        <w:overflowPunct/>
        <w:topLinePunct w:val="0"/>
        <w:autoSpaceDE/>
        <w:autoSpaceDN/>
        <w:bidi w:val="0"/>
        <w:adjustRightInd/>
        <w:snapToGrid/>
        <w:spacing w:before="72" w:line="480" w:lineRule="exact"/>
        <w:ind w:left="551"/>
        <w:jc w:val="left"/>
        <w:textAlignment w:val="auto"/>
        <w:rPr>
          <w:rFonts w:hint="eastAsia" w:ascii="宋体" w:hAnsi="宋体" w:eastAsia="宋体" w:cs="宋体"/>
          <w:b/>
          <w:kern w:val="0"/>
          <w:sz w:val="21"/>
          <w:szCs w:val="21"/>
          <w:highlight w:val="none"/>
          <w:lang w:val="zh-CN" w:bidi="zh-CN"/>
        </w:rPr>
      </w:pPr>
      <w:r>
        <w:rPr>
          <w:rFonts w:hint="eastAsia" w:ascii="宋体" w:hAnsi="宋体" w:eastAsia="宋体" w:cs="宋体"/>
          <w:b/>
          <w:kern w:val="0"/>
          <w:sz w:val="21"/>
          <w:szCs w:val="21"/>
          <w:highlight w:val="none"/>
          <w:lang w:val="zh-CN" w:bidi="zh-CN"/>
        </w:rPr>
        <w:br w:type="textWrapping"/>
      </w:r>
    </w:p>
    <w:p w14:paraId="514AD111">
      <w:pPr>
        <w:pageBreakBefore w:val="0"/>
        <w:shd w:val="clear"/>
        <w:kinsoku/>
        <w:wordWrap/>
        <w:overflowPunct/>
        <w:topLinePunct w:val="0"/>
        <w:autoSpaceDE/>
        <w:autoSpaceDN/>
        <w:bidi w:val="0"/>
        <w:adjustRightInd/>
        <w:snapToGrid/>
        <w:spacing w:before="72" w:line="480" w:lineRule="exact"/>
        <w:ind w:left="551"/>
        <w:jc w:val="left"/>
        <w:textAlignment w:val="auto"/>
        <w:rPr>
          <w:rFonts w:hint="eastAsia" w:ascii="宋体" w:hAnsi="宋体" w:eastAsia="宋体" w:cs="宋体"/>
          <w:b/>
          <w:kern w:val="0"/>
          <w:sz w:val="21"/>
          <w:szCs w:val="21"/>
          <w:highlight w:val="none"/>
          <w:lang w:val="zh-CN" w:bidi="zh-CN"/>
        </w:rPr>
      </w:pPr>
      <w:r>
        <w:rPr>
          <w:rFonts w:hint="eastAsia" w:ascii="宋体" w:hAnsi="宋体" w:eastAsia="宋体" w:cs="宋体"/>
          <w:b/>
          <w:kern w:val="0"/>
          <w:sz w:val="21"/>
          <w:szCs w:val="21"/>
          <w:highlight w:val="none"/>
          <w:lang w:val="zh-CN" w:bidi="zh-CN"/>
        </w:rPr>
        <w:br w:type="page"/>
      </w:r>
      <w:r>
        <w:rPr>
          <w:rFonts w:hint="eastAsia" w:ascii="宋体" w:hAnsi="宋体" w:eastAsia="宋体" w:cs="宋体"/>
          <w:b/>
          <w:kern w:val="0"/>
          <w:sz w:val="21"/>
          <w:szCs w:val="21"/>
          <w:highlight w:val="none"/>
          <w:lang w:val="zh-CN" w:bidi="zh-CN"/>
        </w:rPr>
        <w:t>附件</w:t>
      </w:r>
    </w:p>
    <w:p w14:paraId="5DF39791">
      <w:pPr>
        <w:pageBreakBefore w:val="0"/>
        <w:shd w:val="clear"/>
        <w:kinsoku/>
        <w:wordWrap/>
        <w:overflowPunct/>
        <w:topLinePunct w:val="0"/>
        <w:autoSpaceDE/>
        <w:autoSpaceDN/>
        <w:bidi w:val="0"/>
        <w:adjustRightInd/>
        <w:snapToGrid/>
        <w:spacing w:before="158" w:line="480" w:lineRule="exact"/>
        <w:ind w:left="551"/>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协议书附件：</w:t>
      </w:r>
    </w:p>
    <w:p w14:paraId="5F3E3471">
      <w:pPr>
        <w:pageBreakBefore w:val="0"/>
        <w:shd w:val="clear"/>
        <w:kinsoku/>
        <w:wordWrap/>
        <w:overflowPunct/>
        <w:topLinePunct w:val="0"/>
        <w:autoSpaceDE/>
        <w:autoSpaceDN/>
        <w:bidi w:val="0"/>
        <w:adjustRightInd/>
        <w:snapToGrid/>
        <w:spacing w:before="161" w:line="480" w:lineRule="exact"/>
        <w:ind w:left="551" w:right="570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附件 1：承包人承揽工程项目一览表专用合同条款附件：</w:t>
      </w:r>
    </w:p>
    <w:p w14:paraId="56C891DF">
      <w:pPr>
        <w:pageBreakBefore w:val="0"/>
        <w:shd w:val="clear"/>
        <w:kinsoku/>
        <w:wordWrap/>
        <w:overflowPunct/>
        <w:topLinePunct w:val="0"/>
        <w:autoSpaceDE/>
        <w:autoSpaceDN/>
        <w:bidi w:val="0"/>
        <w:adjustRightInd/>
        <w:snapToGrid/>
        <w:spacing w:line="480" w:lineRule="exact"/>
        <w:ind w:left="551" w:right="570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附件 2：发包人供应材料设备一览表附件 3：工程质量保修书</w:t>
      </w:r>
    </w:p>
    <w:p w14:paraId="34907179">
      <w:pPr>
        <w:pageBreakBefore w:val="0"/>
        <w:shd w:val="clear"/>
        <w:kinsoku/>
        <w:wordWrap/>
        <w:overflowPunct/>
        <w:topLinePunct w:val="0"/>
        <w:autoSpaceDE/>
        <w:autoSpaceDN/>
        <w:bidi w:val="0"/>
        <w:adjustRightInd/>
        <w:snapToGrid/>
        <w:spacing w:line="480" w:lineRule="exact"/>
        <w:ind w:left="551"/>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附件 4：主要建设工程文件目录</w:t>
      </w:r>
    </w:p>
    <w:p w14:paraId="60E10301">
      <w:pPr>
        <w:pageBreakBefore w:val="0"/>
        <w:shd w:val="clear"/>
        <w:kinsoku/>
        <w:wordWrap/>
        <w:overflowPunct/>
        <w:topLinePunct w:val="0"/>
        <w:autoSpaceDE/>
        <w:autoSpaceDN/>
        <w:bidi w:val="0"/>
        <w:adjustRightInd/>
        <w:snapToGrid/>
        <w:spacing w:before="159" w:line="480" w:lineRule="exact"/>
        <w:ind w:left="551" w:right="474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附件 5：承包人用于本工程施工的机械设备表附件 6：承包人主要施工管理人员表</w:t>
      </w:r>
    </w:p>
    <w:p w14:paraId="2F427C5A">
      <w:pPr>
        <w:pageBreakBefore w:val="0"/>
        <w:shd w:val="clear"/>
        <w:kinsoku/>
        <w:wordWrap/>
        <w:overflowPunct/>
        <w:topLinePunct w:val="0"/>
        <w:autoSpaceDE/>
        <w:autoSpaceDN/>
        <w:bidi w:val="0"/>
        <w:adjustRightInd/>
        <w:snapToGrid/>
        <w:spacing w:before="5" w:line="480" w:lineRule="exact"/>
        <w:ind w:left="551" w:right="570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附件 7：分包人主要施工管理人员表附件 </w:t>
      </w:r>
      <w:r>
        <w:rPr>
          <w:rFonts w:hint="eastAsia" w:ascii="宋体" w:hAnsi="宋体" w:eastAsia="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：暂估价一览表</w:t>
      </w:r>
    </w:p>
    <w:p w14:paraId="1D126FA5">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headerReference r:id="rId8" w:type="default"/>
          <w:footerReference r:id="rId9" w:type="default"/>
          <w:pgSz w:w="11910" w:h="16840"/>
          <w:pgMar w:top="1340" w:right="820" w:bottom="1380" w:left="980" w:header="878" w:footer="1196" w:gutter="0"/>
          <w:pgNumType w:fmt="decimal"/>
          <w:cols w:space="720" w:num="1"/>
          <w:docGrid w:linePitch="360" w:charSpace="0"/>
        </w:sectPr>
      </w:pPr>
    </w:p>
    <w:p w14:paraId="0B00CE0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1F9E8BB1">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3272EAF4">
      <w:pPr>
        <w:pageBreakBefore w:val="0"/>
        <w:shd w:val="clear"/>
        <w:tabs>
          <w:tab w:val="left" w:pos="5719"/>
        </w:tabs>
        <w:kinsoku/>
        <w:wordWrap/>
        <w:overflowPunct/>
        <w:topLinePunct w:val="0"/>
        <w:autoSpaceDE/>
        <w:autoSpaceDN/>
        <w:bidi w:val="0"/>
        <w:adjustRightInd/>
        <w:snapToGrid/>
        <w:spacing w:before="77" w:line="480" w:lineRule="exact"/>
        <w:ind w:left="556"/>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附件1：</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承包人承揽工程项目一览表</w:t>
      </w:r>
    </w:p>
    <w:p w14:paraId="43CE262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bl>
      <w:tblPr>
        <w:tblStyle w:val="30"/>
        <w:tblW w:w="15548" w:type="dxa"/>
        <w:tblInd w:w="-5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95"/>
        <w:gridCol w:w="1363"/>
        <w:gridCol w:w="1500"/>
        <w:gridCol w:w="1500"/>
        <w:gridCol w:w="1500"/>
        <w:gridCol w:w="709"/>
        <w:gridCol w:w="1691"/>
        <w:gridCol w:w="1400"/>
        <w:gridCol w:w="1400"/>
        <w:gridCol w:w="1290"/>
      </w:tblGrid>
      <w:tr w14:paraId="678E20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3" w:hRule="atLeast"/>
        </w:trPr>
        <w:tc>
          <w:tcPr>
            <w:tcW w:w="3195" w:type="dxa"/>
            <w:tcBorders>
              <w:bottom w:val="single" w:color="000000" w:sz="2" w:space="0"/>
              <w:right w:val="single" w:color="000000" w:sz="6" w:space="0"/>
            </w:tcBorders>
            <w:noWrap w:val="0"/>
            <w:vAlign w:val="top"/>
          </w:tcPr>
          <w:p w14:paraId="18EFC987">
            <w:pPr>
              <w:pageBreakBefore w:val="0"/>
              <w:widowControl w:val="0"/>
              <w:shd w:val="clear"/>
              <w:kinsoku/>
              <w:wordWrap/>
              <w:overflowPunct/>
              <w:topLinePunct w:val="0"/>
              <w:autoSpaceDE/>
              <w:autoSpaceDN/>
              <w:bidi w:val="0"/>
              <w:adjustRightInd/>
              <w:snapToGrid/>
              <w:spacing w:before="4" w:line="480" w:lineRule="exact"/>
              <w:ind w:left="99" w:right="81"/>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单位</w:t>
            </w:r>
          </w:p>
          <w:p w14:paraId="03F7C04B">
            <w:pPr>
              <w:pageBreakBefore w:val="0"/>
              <w:widowControl w:val="0"/>
              <w:shd w:val="clear"/>
              <w:kinsoku/>
              <w:wordWrap/>
              <w:overflowPunct/>
              <w:topLinePunct w:val="0"/>
              <w:autoSpaceDE/>
              <w:autoSpaceDN/>
              <w:bidi w:val="0"/>
              <w:adjustRightInd/>
              <w:snapToGrid/>
              <w:spacing w:before="125" w:line="480" w:lineRule="exact"/>
              <w:ind w:left="99" w:right="81"/>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工程名称</w:t>
            </w:r>
          </w:p>
        </w:tc>
        <w:tc>
          <w:tcPr>
            <w:tcW w:w="1363" w:type="dxa"/>
            <w:tcBorders>
              <w:left w:val="single" w:color="000000" w:sz="6" w:space="0"/>
              <w:bottom w:val="single" w:color="000000" w:sz="2" w:space="0"/>
              <w:right w:val="single" w:color="000000" w:sz="6" w:space="0"/>
            </w:tcBorders>
            <w:noWrap w:val="0"/>
            <w:vAlign w:val="top"/>
          </w:tcPr>
          <w:p w14:paraId="3213AC75">
            <w:pPr>
              <w:pageBreakBefore w:val="0"/>
              <w:widowControl w:val="0"/>
              <w:shd w:val="clear"/>
              <w:kinsoku/>
              <w:wordWrap/>
              <w:overflowPunct/>
              <w:topLinePunct w:val="0"/>
              <w:autoSpaceDE/>
              <w:autoSpaceDN/>
              <w:bidi w:val="0"/>
              <w:adjustRightInd/>
              <w:snapToGrid/>
              <w:spacing w:before="2" w:line="480" w:lineRule="exact"/>
              <w:textAlignment w:val="auto"/>
              <w:rPr>
                <w:rFonts w:hint="eastAsia" w:ascii="宋体" w:hAnsi="宋体" w:eastAsia="宋体" w:cs="宋体"/>
                <w:kern w:val="2"/>
                <w:sz w:val="21"/>
                <w:szCs w:val="21"/>
                <w:highlight w:val="none"/>
                <w:lang w:val="zh-CN" w:eastAsia="zh-CN" w:bidi="zh-CN"/>
              </w:rPr>
            </w:pPr>
          </w:p>
          <w:p w14:paraId="5F670665">
            <w:pPr>
              <w:pageBreakBefore w:val="0"/>
              <w:widowControl w:val="0"/>
              <w:shd w:val="clear"/>
              <w:kinsoku/>
              <w:wordWrap/>
              <w:overflowPunct/>
              <w:topLinePunct w:val="0"/>
              <w:autoSpaceDE/>
              <w:autoSpaceDN/>
              <w:bidi w:val="0"/>
              <w:adjustRightInd/>
              <w:snapToGrid/>
              <w:spacing w:line="480" w:lineRule="exact"/>
              <w:ind w:left="37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建设规模</w:t>
            </w:r>
          </w:p>
        </w:tc>
        <w:tc>
          <w:tcPr>
            <w:tcW w:w="1500" w:type="dxa"/>
            <w:tcBorders>
              <w:left w:val="single" w:color="000000" w:sz="6" w:space="0"/>
              <w:bottom w:val="single" w:color="000000" w:sz="2" w:space="0"/>
              <w:right w:val="single" w:color="000000" w:sz="6" w:space="0"/>
            </w:tcBorders>
            <w:noWrap w:val="0"/>
            <w:vAlign w:val="top"/>
          </w:tcPr>
          <w:p w14:paraId="55D194F0">
            <w:pPr>
              <w:pageBreakBefore w:val="0"/>
              <w:widowControl w:val="0"/>
              <w:shd w:val="clear"/>
              <w:kinsoku/>
              <w:wordWrap/>
              <w:overflowPunct/>
              <w:topLinePunct w:val="0"/>
              <w:autoSpaceDE/>
              <w:autoSpaceDN/>
              <w:bidi w:val="0"/>
              <w:adjustRightInd/>
              <w:snapToGrid/>
              <w:spacing w:before="4" w:line="480" w:lineRule="exact"/>
              <w:ind w:left="27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建筑面积</w:t>
            </w:r>
          </w:p>
          <w:p w14:paraId="32644E73">
            <w:pPr>
              <w:pageBreakBefore w:val="0"/>
              <w:widowControl w:val="0"/>
              <w:shd w:val="clear"/>
              <w:kinsoku/>
              <w:wordWrap/>
              <w:overflowPunct/>
              <w:topLinePunct w:val="0"/>
              <w:autoSpaceDE/>
              <w:autoSpaceDN/>
              <w:bidi w:val="0"/>
              <w:adjustRightInd/>
              <w:snapToGrid/>
              <w:spacing w:before="125" w:line="480" w:lineRule="exact"/>
              <w:ind w:left="325"/>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平方米)</w:t>
            </w:r>
          </w:p>
        </w:tc>
        <w:tc>
          <w:tcPr>
            <w:tcW w:w="1500" w:type="dxa"/>
            <w:tcBorders>
              <w:left w:val="single" w:color="000000" w:sz="6" w:space="0"/>
              <w:bottom w:val="single" w:color="000000" w:sz="2" w:space="0"/>
              <w:right w:val="single" w:color="000000" w:sz="6" w:space="0"/>
            </w:tcBorders>
            <w:noWrap w:val="0"/>
            <w:vAlign w:val="top"/>
          </w:tcPr>
          <w:p w14:paraId="12E2FEA1">
            <w:pPr>
              <w:pageBreakBefore w:val="0"/>
              <w:widowControl w:val="0"/>
              <w:shd w:val="clear"/>
              <w:kinsoku/>
              <w:wordWrap/>
              <w:overflowPunct/>
              <w:topLinePunct w:val="0"/>
              <w:autoSpaceDE/>
              <w:autoSpaceDN/>
              <w:bidi w:val="0"/>
              <w:adjustRightInd/>
              <w:snapToGrid/>
              <w:spacing w:before="2" w:line="480" w:lineRule="exact"/>
              <w:textAlignment w:val="auto"/>
              <w:rPr>
                <w:rFonts w:hint="eastAsia" w:ascii="宋体" w:hAnsi="宋体" w:eastAsia="宋体" w:cs="宋体"/>
                <w:kern w:val="2"/>
                <w:sz w:val="21"/>
                <w:szCs w:val="21"/>
                <w:highlight w:val="none"/>
                <w:lang w:val="zh-CN" w:eastAsia="zh-CN" w:bidi="zh-CN"/>
              </w:rPr>
            </w:pPr>
          </w:p>
          <w:p w14:paraId="50B772B6">
            <w:pPr>
              <w:pageBreakBefore w:val="0"/>
              <w:widowControl w:val="0"/>
              <w:shd w:val="clear"/>
              <w:kinsoku/>
              <w:wordWrap/>
              <w:overflowPunct/>
              <w:topLinePunct w:val="0"/>
              <w:autoSpaceDE/>
              <w:autoSpaceDN/>
              <w:bidi w:val="0"/>
              <w:adjustRightInd/>
              <w:snapToGrid/>
              <w:spacing w:line="480" w:lineRule="exact"/>
              <w:ind w:left="27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结构形式</w:t>
            </w:r>
          </w:p>
        </w:tc>
        <w:tc>
          <w:tcPr>
            <w:tcW w:w="1500" w:type="dxa"/>
            <w:tcBorders>
              <w:left w:val="single" w:color="000000" w:sz="6" w:space="0"/>
              <w:bottom w:val="single" w:color="000000" w:sz="2" w:space="0"/>
              <w:right w:val="single" w:color="000000" w:sz="6" w:space="0"/>
            </w:tcBorders>
            <w:noWrap w:val="0"/>
            <w:vAlign w:val="top"/>
          </w:tcPr>
          <w:p w14:paraId="2C5B578A">
            <w:pPr>
              <w:pageBreakBefore w:val="0"/>
              <w:widowControl w:val="0"/>
              <w:shd w:val="clear"/>
              <w:kinsoku/>
              <w:wordWrap/>
              <w:overflowPunct/>
              <w:topLinePunct w:val="0"/>
              <w:autoSpaceDE/>
              <w:autoSpaceDN/>
              <w:bidi w:val="0"/>
              <w:adjustRightInd/>
              <w:snapToGrid/>
              <w:spacing w:before="2" w:line="480" w:lineRule="exact"/>
              <w:textAlignment w:val="auto"/>
              <w:rPr>
                <w:rFonts w:hint="eastAsia" w:ascii="宋体" w:hAnsi="宋体" w:eastAsia="宋体" w:cs="宋体"/>
                <w:kern w:val="2"/>
                <w:sz w:val="21"/>
                <w:szCs w:val="21"/>
                <w:highlight w:val="none"/>
                <w:lang w:val="zh-CN" w:eastAsia="zh-CN" w:bidi="zh-CN"/>
              </w:rPr>
            </w:pPr>
          </w:p>
          <w:p w14:paraId="54E43EBD">
            <w:pPr>
              <w:pageBreakBefore w:val="0"/>
              <w:widowControl w:val="0"/>
              <w:shd w:val="clear"/>
              <w:kinsoku/>
              <w:wordWrap/>
              <w:overflowPunct/>
              <w:topLinePunct w:val="0"/>
              <w:autoSpaceDE/>
              <w:autoSpaceDN/>
              <w:bidi w:val="0"/>
              <w:adjustRightInd/>
              <w:snapToGrid/>
              <w:spacing w:line="480" w:lineRule="exact"/>
              <w:ind w:left="51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层数</w:t>
            </w:r>
          </w:p>
        </w:tc>
        <w:tc>
          <w:tcPr>
            <w:tcW w:w="709" w:type="dxa"/>
            <w:tcBorders>
              <w:left w:val="single" w:color="000000" w:sz="6" w:space="0"/>
              <w:bottom w:val="single" w:color="000000" w:sz="2" w:space="0"/>
              <w:right w:val="single" w:color="000000" w:sz="6" w:space="0"/>
            </w:tcBorders>
            <w:noWrap w:val="0"/>
            <w:vAlign w:val="top"/>
          </w:tcPr>
          <w:p w14:paraId="4E10593C">
            <w:pPr>
              <w:pageBreakBefore w:val="0"/>
              <w:widowControl w:val="0"/>
              <w:shd w:val="clear"/>
              <w:kinsoku/>
              <w:wordWrap/>
              <w:overflowPunct/>
              <w:topLinePunct w:val="0"/>
              <w:autoSpaceDE/>
              <w:autoSpaceDN/>
              <w:bidi w:val="0"/>
              <w:adjustRightInd/>
              <w:snapToGrid/>
              <w:spacing w:before="64" w:line="480" w:lineRule="exact"/>
              <w:ind w:left="121" w:righ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生产能力</w:t>
            </w:r>
          </w:p>
        </w:tc>
        <w:tc>
          <w:tcPr>
            <w:tcW w:w="1691" w:type="dxa"/>
            <w:tcBorders>
              <w:left w:val="single" w:color="000000" w:sz="6" w:space="0"/>
              <w:bottom w:val="single" w:color="000000" w:sz="2" w:space="0"/>
              <w:right w:val="single" w:color="000000" w:sz="6" w:space="0"/>
            </w:tcBorders>
            <w:noWrap w:val="0"/>
            <w:vAlign w:val="top"/>
          </w:tcPr>
          <w:p w14:paraId="63ECE67D">
            <w:pPr>
              <w:pageBreakBefore w:val="0"/>
              <w:widowControl w:val="0"/>
              <w:shd w:val="clear"/>
              <w:kinsoku/>
              <w:wordWrap/>
              <w:overflowPunct/>
              <w:topLinePunct w:val="0"/>
              <w:autoSpaceDE/>
              <w:autoSpaceDN/>
              <w:bidi w:val="0"/>
              <w:adjustRightInd/>
              <w:snapToGrid/>
              <w:spacing w:before="2" w:line="480" w:lineRule="exact"/>
              <w:textAlignment w:val="auto"/>
              <w:rPr>
                <w:rFonts w:hint="eastAsia" w:ascii="宋体" w:hAnsi="宋体" w:eastAsia="宋体" w:cs="宋体"/>
                <w:kern w:val="2"/>
                <w:sz w:val="21"/>
                <w:szCs w:val="21"/>
                <w:highlight w:val="none"/>
                <w:lang w:val="zh-CN" w:eastAsia="zh-CN" w:bidi="zh-CN"/>
              </w:rPr>
            </w:pPr>
          </w:p>
          <w:p w14:paraId="2721D5EB">
            <w:pPr>
              <w:pageBreakBefore w:val="0"/>
              <w:widowControl w:val="0"/>
              <w:shd w:val="clear"/>
              <w:kinsoku/>
              <w:wordWrap/>
              <w:overflowPunct/>
              <w:topLinePunct w:val="0"/>
              <w:autoSpaceDE/>
              <w:autoSpaceDN/>
              <w:bidi w:val="0"/>
              <w:adjustRightInd/>
              <w:snapToGrid/>
              <w:spacing w:line="480" w:lineRule="exact"/>
              <w:ind w:left="132"/>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设备安装内容</w:t>
            </w:r>
          </w:p>
        </w:tc>
        <w:tc>
          <w:tcPr>
            <w:tcW w:w="1400" w:type="dxa"/>
            <w:tcBorders>
              <w:left w:val="single" w:color="000000" w:sz="6" w:space="0"/>
              <w:bottom w:val="single" w:color="000000" w:sz="2" w:space="0"/>
              <w:right w:val="single" w:color="000000" w:sz="6" w:space="0"/>
            </w:tcBorders>
            <w:noWrap w:val="0"/>
            <w:vAlign w:val="top"/>
          </w:tcPr>
          <w:p w14:paraId="082DDC70">
            <w:pPr>
              <w:pageBreakBefore w:val="0"/>
              <w:widowControl w:val="0"/>
              <w:shd w:val="clear"/>
              <w:kinsoku/>
              <w:wordWrap/>
              <w:overflowPunct/>
              <w:topLinePunct w:val="0"/>
              <w:autoSpaceDE/>
              <w:autoSpaceDN/>
              <w:bidi w:val="0"/>
              <w:adjustRightInd/>
              <w:snapToGrid/>
              <w:spacing w:before="4" w:line="480" w:lineRule="exact"/>
              <w:ind w:left="22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合同价格</w:t>
            </w:r>
          </w:p>
          <w:p w14:paraId="444EAA32">
            <w:pPr>
              <w:pageBreakBefore w:val="0"/>
              <w:widowControl w:val="0"/>
              <w:shd w:val="clear"/>
              <w:kinsoku/>
              <w:wordWrap/>
              <w:overflowPunct/>
              <w:topLinePunct w:val="0"/>
              <w:autoSpaceDE/>
              <w:autoSpaceDN/>
              <w:bidi w:val="0"/>
              <w:adjustRightInd/>
              <w:snapToGrid/>
              <w:spacing w:before="125" w:line="480" w:lineRule="exact"/>
              <w:ind w:left="34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（元）</w:t>
            </w:r>
          </w:p>
        </w:tc>
        <w:tc>
          <w:tcPr>
            <w:tcW w:w="1400" w:type="dxa"/>
            <w:tcBorders>
              <w:left w:val="single" w:color="000000" w:sz="6" w:space="0"/>
              <w:bottom w:val="single" w:color="000000" w:sz="2" w:space="0"/>
              <w:right w:val="single" w:color="000000" w:sz="6" w:space="0"/>
            </w:tcBorders>
            <w:noWrap w:val="0"/>
            <w:vAlign w:val="top"/>
          </w:tcPr>
          <w:p w14:paraId="4C5A1267">
            <w:pPr>
              <w:pageBreakBefore w:val="0"/>
              <w:widowControl w:val="0"/>
              <w:shd w:val="clear"/>
              <w:kinsoku/>
              <w:wordWrap/>
              <w:overflowPunct/>
              <w:topLinePunct w:val="0"/>
              <w:autoSpaceDE/>
              <w:autoSpaceDN/>
              <w:bidi w:val="0"/>
              <w:adjustRightInd/>
              <w:snapToGrid/>
              <w:spacing w:before="4" w:line="480" w:lineRule="exact"/>
              <w:ind w:left="46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开工</w:t>
            </w:r>
          </w:p>
          <w:p w14:paraId="316EA725">
            <w:pPr>
              <w:pageBreakBefore w:val="0"/>
              <w:widowControl w:val="0"/>
              <w:shd w:val="clear"/>
              <w:kinsoku/>
              <w:wordWrap/>
              <w:overflowPunct/>
              <w:topLinePunct w:val="0"/>
              <w:autoSpaceDE/>
              <w:autoSpaceDN/>
              <w:bidi w:val="0"/>
              <w:adjustRightInd/>
              <w:snapToGrid/>
              <w:spacing w:before="125" w:line="480" w:lineRule="exact"/>
              <w:ind w:left="46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日期</w:t>
            </w:r>
          </w:p>
        </w:tc>
        <w:tc>
          <w:tcPr>
            <w:tcW w:w="1290" w:type="dxa"/>
            <w:tcBorders>
              <w:left w:val="single" w:color="000000" w:sz="6" w:space="0"/>
              <w:bottom w:val="single" w:color="000000" w:sz="2" w:space="0"/>
            </w:tcBorders>
            <w:noWrap w:val="0"/>
            <w:vAlign w:val="top"/>
          </w:tcPr>
          <w:p w14:paraId="0DCFE183">
            <w:pPr>
              <w:pageBreakBefore w:val="0"/>
              <w:widowControl w:val="0"/>
              <w:shd w:val="clear"/>
              <w:kinsoku/>
              <w:wordWrap/>
              <w:overflowPunct/>
              <w:topLinePunct w:val="0"/>
              <w:autoSpaceDE/>
              <w:autoSpaceDN/>
              <w:bidi w:val="0"/>
              <w:adjustRightInd/>
              <w:snapToGrid/>
              <w:spacing w:before="4" w:line="480" w:lineRule="exact"/>
              <w:ind w:left="412"/>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竣工</w:t>
            </w:r>
          </w:p>
          <w:p w14:paraId="128FB2CA">
            <w:pPr>
              <w:pageBreakBefore w:val="0"/>
              <w:widowControl w:val="0"/>
              <w:shd w:val="clear"/>
              <w:kinsoku/>
              <w:wordWrap/>
              <w:overflowPunct/>
              <w:topLinePunct w:val="0"/>
              <w:autoSpaceDE/>
              <w:autoSpaceDN/>
              <w:bidi w:val="0"/>
              <w:adjustRightInd/>
              <w:snapToGrid/>
              <w:spacing w:before="125" w:line="480" w:lineRule="exact"/>
              <w:ind w:left="412"/>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日期</w:t>
            </w:r>
          </w:p>
        </w:tc>
      </w:tr>
      <w:tr w14:paraId="20893E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3195" w:type="dxa"/>
            <w:tcBorders>
              <w:top w:val="single" w:color="000000" w:sz="2" w:space="0"/>
              <w:bottom w:val="single" w:color="000000" w:sz="6" w:space="0"/>
              <w:right w:val="single" w:color="000000" w:sz="6" w:space="0"/>
            </w:tcBorders>
            <w:noWrap w:val="0"/>
            <w:vAlign w:val="top"/>
          </w:tcPr>
          <w:p w14:paraId="5D2A49B1">
            <w:pPr>
              <w:pageBreakBefore w:val="0"/>
              <w:widowControl w:val="0"/>
              <w:shd w:val="clear"/>
              <w:kinsoku/>
              <w:wordWrap/>
              <w:overflowPunct/>
              <w:topLinePunct w:val="0"/>
              <w:autoSpaceDE/>
              <w:autoSpaceDN/>
              <w:bidi w:val="0"/>
              <w:adjustRightInd/>
              <w:snapToGrid/>
              <w:spacing w:before="3" w:line="480" w:lineRule="exact"/>
              <w:ind w:left="102" w:right="81"/>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cs="宋体"/>
                <w:spacing w:val="-3"/>
                <w:kern w:val="2"/>
                <w:sz w:val="21"/>
                <w:szCs w:val="21"/>
                <w:highlight w:val="none"/>
                <w:u w:val="single"/>
                <w:lang w:val="zh-CN" w:eastAsia="zh-CN" w:bidi="zh-CN"/>
              </w:rPr>
              <w:t>鼓楼人大实践中心装修改造项目</w:t>
            </w:r>
          </w:p>
        </w:tc>
        <w:tc>
          <w:tcPr>
            <w:tcW w:w="1363" w:type="dxa"/>
            <w:tcBorders>
              <w:top w:val="single" w:color="000000" w:sz="2" w:space="0"/>
              <w:left w:val="single" w:color="000000" w:sz="6" w:space="0"/>
              <w:bottom w:val="single" w:color="000000" w:sz="6" w:space="0"/>
              <w:right w:val="single" w:color="000000" w:sz="6" w:space="0"/>
            </w:tcBorders>
            <w:noWrap w:val="0"/>
            <w:vAlign w:val="top"/>
          </w:tcPr>
          <w:p w14:paraId="0452671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2" w:space="0"/>
              <w:left w:val="single" w:color="000000" w:sz="6" w:space="0"/>
              <w:bottom w:val="single" w:color="000000" w:sz="6" w:space="0"/>
              <w:right w:val="single" w:color="000000" w:sz="6" w:space="0"/>
            </w:tcBorders>
            <w:noWrap w:val="0"/>
            <w:vAlign w:val="top"/>
          </w:tcPr>
          <w:p w14:paraId="60FBB40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2" w:space="0"/>
              <w:left w:val="single" w:color="000000" w:sz="6" w:space="0"/>
              <w:bottom w:val="single" w:color="000000" w:sz="6" w:space="0"/>
              <w:right w:val="single" w:color="000000" w:sz="6" w:space="0"/>
            </w:tcBorders>
            <w:noWrap w:val="0"/>
            <w:vAlign w:val="top"/>
          </w:tcPr>
          <w:p w14:paraId="0A10870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2" w:space="0"/>
              <w:left w:val="single" w:color="000000" w:sz="6" w:space="0"/>
              <w:bottom w:val="single" w:color="000000" w:sz="6" w:space="0"/>
              <w:right w:val="single" w:color="000000" w:sz="6" w:space="0"/>
            </w:tcBorders>
            <w:noWrap w:val="0"/>
            <w:vAlign w:val="top"/>
          </w:tcPr>
          <w:p w14:paraId="382FDA9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2" w:space="0"/>
              <w:left w:val="single" w:color="000000" w:sz="6" w:space="0"/>
              <w:bottom w:val="single" w:color="000000" w:sz="6" w:space="0"/>
              <w:right w:val="single" w:color="000000" w:sz="6" w:space="0"/>
            </w:tcBorders>
            <w:noWrap w:val="0"/>
            <w:vAlign w:val="top"/>
          </w:tcPr>
          <w:p w14:paraId="54E031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2" w:space="0"/>
              <w:left w:val="single" w:color="000000" w:sz="6" w:space="0"/>
              <w:bottom w:val="single" w:color="000000" w:sz="6" w:space="0"/>
              <w:right w:val="single" w:color="000000" w:sz="6" w:space="0"/>
            </w:tcBorders>
            <w:noWrap w:val="0"/>
            <w:vAlign w:val="top"/>
          </w:tcPr>
          <w:p w14:paraId="67C926A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2" w:space="0"/>
              <w:left w:val="single" w:color="000000" w:sz="6" w:space="0"/>
              <w:bottom w:val="single" w:color="000000" w:sz="6" w:space="0"/>
              <w:right w:val="single" w:color="000000" w:sz="6" w:space="0"/>
            </w:tcBorders>
            <w:noWrap w:val="0"/>
            <w:vAlign w:val="top"/>
          </w:tcPr>
          <w:p w14:paraId="18A522C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2" w:space="0"/>
              <w:left w:val="single" w:color="000000" w:sz="6" w:space="0"/>
              <w:bottom w:val="single" w:color="000000" w:sz="6" w:space="0"/>
              <w:right w:val="single" w:color="000000" w:sz="6" w:space="0"/>
            </w:tcBorders>
            <w:noWrap w:val="0"/>
            <w:vAlign w:val="top"/>
          </w:tcPr>
          <w:p w14:paraId="1FFF8F0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2" w:space="0"/>
              <w:left w:val="single" w:color="000000" w:sz="6" w:space="0"/>
              <w:bottom w:val="single" w:color="000000" w:sz="6" w:space="0"/>
            </w:tcBorders>
            <w:noWrap w:val="0"/>
            <w:vAlign w:val="top"/>
          </w:tcPr>
          <w:p w14:paraId="20A043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809B8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3195" w:type="dxa"/>
            <w:tcBorders>
              <w:top w:val="single" w:color="000000" w:sz="6" w:space="0"/>
              <w:bottom w:val="single" w:color="000000" w:sz="6" w:space="0"/>
              <w:right w:val="single" w:color="000000" w:sz="6" w:space="0"/>
            </w:tcBorders>
            <w:noWrap w:val="0"/>
            <w:vAlign w:val="top"/>
          </w:tcPr>
          <w:p w14:paraId="2CFBF0B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bottom w:val="single" w:color="000000" w:sz="6" w:space="0"/>
              <w:right w:val="single" w:color="000000" w:sz="6" w:space="0"/>
            </w:tcBorders>
            <w:noWrap w:val="0"/>
            <w:vAlign w:val="top"/>
          </w:tcPr>
          <w:p w14:paraId="039C1A7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4B127C1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2D93D7B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6CDE48A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bottom w:val="single" w:color="000000" w:sz="6" w:space="0"/>
              <w:right w:val="single" w:color="000000" w:sz="6" w:space="0"/>
            </w:tcBorders>
            <w:noWrap w:val="0"/>
            <w:vAlign w:val="top"/>
          </w:tcPr>
          <w:p w14:paraId="5276753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bottom w:val="single" w:color="000000" w:sz="6" w:space="0"/>
              <w:right w:val="single" w:color="000000" w:sz="6" w:space="0"/>
            </w:tcBorders>
            <w:noWrap w:val="0"/>
            <w:vAlign w:val="top"/>
          </w:tcPr>
          <w:p w14:paraId="49979AB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11CAA3D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5BCD4CB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bottom w:val="single" w:color="000000" w:sz="6" w:space="0"/>
            </w:tcBorders>
            <w:noWrap w:val="0"/>
            <w:vAlign w:val="top"/>
          </w:tcPr>
          <w:p w14:paraId="3DBF19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42AB7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3195" w:type="dxa"/>
            <w:tcBorders>
              <w:top w:val="single" w:color="000000" w:sz="6" w:space="0"/>
              <w:bottom w:val="single" w:color="000000" w:sz="6" w:space="0"/>
              <w:right w:val="single" w:color="000000" w:sz="6" w:space="0"/>
            </w:tcBorders>
            <w:noWrap w:val="0"/>
            <w:vAlign w:val="top"/>
          </w:tcPr>
          <w:p w14:paraId="2B5E663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bottom w:val="single" w:color="000000" w:sz="6" w:space="0"/>
              <w:right w:val="single" w:color="000000" w:sz="6" w:space="0"/>
            </w:tcBorders>
            <w:noWrap w:val="0"/>
            <w:vAlign w:val="top"/>
          </w:tcPr>
          <w:p w14:paraId="5CAEF23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37D0EC3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2F86F0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586D104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bottom w:val="single" w:color="000000" w:sz="6" w:space="0"/>
              <w:right w:val="single" w:color="000000" w:sz="6" w:space="0"/>
            </w:tcBorders>
            <w:noWrap w:val="0"/>
            <w:vAlign w:val="top"/>
          </w:tcPr>
          <w:p w14:paraId="2BF53CD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bottom w:val="single" w:color="000000" w:sz="6" w:space="0"/>
              <w:right w:val="single" w:color="000000" w:sz="6" w:space="0"/>
            </w:tcBorders>
            <w:noWrap w:val="0"/>
            <w:vAlign w:val="top"/>
          </w:tcPr>
          <w:p w14:paraId="3D771E6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038FFA0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12D8E36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bottom w:val="single" w:color="000000" w:sz="6" w:space="0"/>
            </w:tcBorders>
            <w:noWrap w:val="0"/>
            <w:vAlign w:val="top"/>
          </w:tcPr>
          <w:p w14:paraId="395AACE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BCE5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3195" w:type="dxa"/>
            <w:tcBorders>
              <w:top w:val="single" w:color="000000" w:sz="6" w:space="0"/>
              <w:bottom w:val="single" w:color="000000" w:sz="6" w:space="0"/>
              <w:right w:val="single" w:color="000000" w:sz="6" w:space="0"/>
            </w:tcBorders>
            <w:noWrap w:val="0"/>
            <w:vAlign w:val="top"/>
          </w:tcPr>
          <w:p w14:paraId="2721C46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bottom w:val="single" w:color="000000" w:sz="6" w:space="0"/>
              <w:right w:val="single" w:color="000000" w:sz="6" w:space="0"/>
            </w:tcBorders>
            <w:noWrap w:val="0"/>
            <w:vAlign w:val="top"/>
          </w:tcPr>
          <w:p w14:paraId="2BA3889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060AFC2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33CD65A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100140F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bottom w:val="single" w:color="000000" w:sz="6" w:space="0"/>
              <w:right w:val="single" w:color="000000" w:sz="6" w:space="0"/>
            </w:tcBorders>
            <w:noWrap w:val="0"/>
            <w:vAlign w:val="top"/>
          </w:tcPr>
          <w:p w14:paraId="0EDA761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bottom w:val="single" w:color="000000" w:sz="6" w:space="0"/>
              <w:right w:val="single" w:color="000000" w:sz="6" w:space="0"/>
            </w:tcBorders>
            <w:noWrap w:val="0"/>
            <w:vAlign w:val="top"/>
          </w:tcPr>
          <w:p w14:paraId="0736CA6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7CABAAB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4A615FE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bottom w:val="single" w:color="000000" w:sz="6" w:space="0"/>
            </w:tcBorders>
            <w:noWrap w:val="0"/>
            <w:vAlign w:val="top"/>
          </w:tcPr>
          <w:p w14:paraId="109091B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22FFE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3195" w:type="dxa"/>
            <w:tcBorders>
              <w:top w:val="single" w:color="000000" w:sz="6" w:space="0"/>
              <w:bottom w:val="single" w:color="000000" w:sz="6" w:space="0"/>
              <w:right w:val="single" w:color="000000" w:sz="6" w:space="0"/>
            </w:tcBorders>
            <w:noWrap w:val="0"/>
            <w:vAlign w:val="top"/>
          </w:tcPr>
          <w:p w14:paraId="49C0A64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bottom w:val="single" w:color="000000" w:sz="6" w:space="0"/>
              <w:right w:val="single" w:color="000000" w:sz="6" w:space="0"/>
            </w:tcBorders>
            <w:noWrap w:val="0"/>
            <w:vAlign w:val="top"/>
          </w:tcPr>
          <w:p w14:paraId="036ADFB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640545F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51DB1D3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51531BC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bottom w:val="single" w:color="000000" w:sz="6" w:space="0"/>
              <w:right w:val="single" w:color="000000" w:sz="6" w:space="0"/>
            </w:tcBorders>
            <w:noWrap w:val="0"/>
            <w:vAlign w:val="top"/>
          </w:tcPr>
          <w:p w14:paraId="03E140F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bottom w:val="single" w:color="000000" w:sz="6" w:space="0"/>
              <w:right w:val="single" w:color="000000" w:sz="6" w:space="0"/>
            </w:tcBorders>
            <w:noWrap w:val="0"/>
            <w:vAlign w:val="top"/>
          </w:tcPr>
          <w:p w14:paraId="67C53A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24190D0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4C5A76F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bottom w:val="single" w:color="000000" w:sz="6" w:space="0"/>
            </w:tcBorders>
            <w:noWrap w:val="0"/>
            <w:vAlign w:val="top"/>
          </w:tcPr>
          <w:p w14:paraId="09DFA3E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9FC22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3195" w:type="dxa"/>
            <w:tcBorders>
              <w:top w:val="single" w:color="000000" w:sz="6" w:space="0"/>
              <w:bottom w:val="single" w:color="000000" w:sz="6" w:space="0"/>
              <w:right w:val="single" w:color="000000" w:sz="6" w:space="0"/>
            </w:tcBorders>
            <w:noWrap w:val="0"/>
            <w:vAlign w:val="top"/>
          </w:tcPr>
          <w:p w14:paraId="6E1B78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bottom w:val="single" w:color="000000" w:sz="6" w:space="0"/>
              <w:right w:val="single" w:color="000000" w:sz="6" w:space="0"/>
            </w:tcBorders>
            <w:noWrap w:val="0"/>
            <w:vAlign w:val="top"/>
          </w:tcPr>
          <w:p w14:paraId="27590DF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6F49EBA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24F2B56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5833334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bottom w:val="single" w:color="000000" w:sz="6" w:space="0"/>
              <w:right w:val="single" w:color="000000" w:sz="6" w:space="0"/>
            </w:tcBorders>
            <w:noWrap w:val="0"/>
            <w:vAlign w:val="top"/>
          </w:tcPr>
          <w:p w14:paraId="5611D3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bottom w:val="single" w:color="000000" w:sz="6" w:space="0"/>
              <w:right w:val="single" w:color="000000" w:sz="6" w:space="0"/>
            </w:tcBorders>
            <w:noWrap w:val="0"/>
            <w:vAlign w:val="top"/>
          </w:tcPr>
          <w:p w14:paraId="23B84B5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50B6237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78AEA15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bottom w:val="single" w:color="000000" w:sz="6" w:space="0"/>
            </w:tcBorders>
            <w:noWrap w:val="0"/>
            <w:vAlign w:val="top"/>
          </w:tcPr>
          <w:p w14:paraId="3C4627E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FDAE5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3195" w:type="dxa"/>
            <w:tcBorders>
              <w:top w:val="single" w:color="000000" w:sz="6" w:space="0"/>
              <w:bottom w:val="single" w:color="000000" w:sz="6" w:space="0"/>
              <w:right w:val="single" w:color="000000" w:sz="6" w:space="0"/>
            </w:tcBorders>
            <w:noWrap w:val="0"/>
            <w:vAlign w:val="top"/>
          </w:tcPr>
          <w:p w14:paraId="383DF3A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bottom w:val="single" w:color="000000" w:sz="6" w:space="0"/>
              <w:right w:val="single" w:color="000000" w:sz="6" w:space="0"/>
            </w:tcBorders>
            <w:noWrap w:val="0"/>
            <w:vAlign w:val="top"/>
          </w:tcPr>
          <w:p w14:paraId="1893D9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17FDD57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7D9DE8D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14:paraId="0016C79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bottom w:val="single" w:color="000000" w:sz="6" w:space="0"/>
              <w:right w:val="single" w:color="000000" w:sz="6" w:space="0"/>
            </w:tcBorders>
            <w:noWrap w:val="0"/>
            <w:vAlign w:val="top"/>
          </w:tcPr>
          <w:p w14:paraId="528F3A2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bottom w:val="single" w:color="000000" w:sz="6" w:space="0"/>
              <w:right w:val="single" w:color="000000" w:sz="6" w:space="0"/>
            </w:tcBorders>
            <w:noWrap w:val="0"/>
            <w:vAlign w:val="top"/>
          </w:tcPr>
          <w:p w14:paraId="3F1415D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1ADE3D9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bottom w:val="single" w:color="000000" w:sz="6" w:space="0"/>
              <w:right w:val="single" w:color="000000" w:sz="6" w:space="0"/>
            </w:tcBorders>
            <w:noWrap w:val="0"/>
            <w:vAlign w:val="top"/>
          </w:tcPr>
          <w:p w14:paraId="2E438D2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bottom w:val="single" w:color="000000" w:sz="6" w:space="0"/>
            </w:tcBorders>
            <w:noWrap w:val="0"/>
            <w:vAlign w:val="top"/>
          </w:tcPr>
          <w:p w14:paraId="62E8531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BA5FF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3195" w:type="dxa"/>
            <w:tcBorders>
              <w:top w:val="single" w:color="000000" w:sz="6" w:space="0"/>
              <w:right w:val="single" w:color="000000" w:sz="6" w:space="0"/>
            </w:tcBorders>
            <w:noWrap w:val="0"/>
            <w:vAlign w:val="top"/>
          </w:tcPr>
          <w:p w14:paraId="6692216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63" w:type="dxa"/>
            <w:tcBorders>
              <w:top w:val="single" w:color="000000" w:sz="6" w:space="0"/>
              <w:left w:val="single" w:color="000000" w:sz="6" w:space="0"/>
              <w:right w:val="single" w:color="000000" w:sz="6" w:space="0"/>
            </w:tcBorders>
            <w:noWrap w:val="0"/>
            <w:vAlign w:val="top"/>
          </w:tcPr>
          <w:p w14:paraId="136C364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right w:val="single" w:color="000000" w:sz="6" w:space="0"/>
            </w:tcBorders>
            <w:noWrap w:val="0"/>
            <w:vAlign w:val="top"/>
          </w:tcPr>
          <w:p w14:paraId="1078EF9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right w:val="single" w:color="000000" w:sz="6" w:space="0"/>
            </w:tcBorders>
            <w:noWrap w:val="0"/>
            <w:vAlign w:val="top"/>
          </w:tcPr>
          <w:p w14:paraId="5CD9085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00" w:type="dxa"/>
            <w:tcBorders>
              <w:top w:val="single" w:color="000000" w:sz="6" w:space="0"/>
              <w:left w:val="single" w:color="000000" w:sz="6" w:space="0"/>
              <w:right w:val="single" w:color="000000" w:sz="6" w:space="0"/>
            </w:tcBorders>
            <w:noWrap w:val="0"/>
            <w:vAlign w:val="top"/>
          </w:tcPr>
          <w:p w14:paraId="7FAE73B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09" w:type="dxa"/>
            <w:tcBorders>
              <w:top w:val="single" w:color="000000" w:sz="6" w:space="0"/>
              <w:left w:val="single" w:color="000000" w:sz="6" w:space="0"/>
              <w:right w:val="single" w:color="000000" w:sz="6" w:space="0"/>
            </w:tcBorders>
            <w:noWrap w:val="0"/>
            <w:vAlign w:val="top"/>
          </w:tcPr>
          <w:p w14:paraId="7314720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91" w:type="dxa"/>
            <w:tcBorders>
              <w:top w:val="single" w:color="000000" w:sz="6" w:space="0"/>
              <w:left w:val="single" w:color="000000" w:sz="6" w:space="0"/>
              <w:right w:val="single" w:color="000000" w:sz="6" w:space="0"/>
            </w:tcBorders>
            <w:noWrap w:val="0"/>
            <w:vAlign w:val="top"/>
          </w:tcPr>
          <w:p w14:paraId="600537D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right w:val="single" w:color="000000" w:sz="6" w:space="0"/>
            </w:tcBorders>
            <w:noWrap w:val="0"/>
            <w:vAlign w:val="top"/>
          </w:tcPr>
          <w:p w14:paraId="0A1F569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00" w:type="dxa"/>
            <w:tcBorders>
              <w:top w:val="single" w:color="000000" w:sz="6" w:space="0"/>
              <w:left w:val="single" w:color="000000" w:sz="6" w:space="0"/>
              <w:right w:val="single" w:color="000000" w:sz="6" w:space="0"/>
            </w:tcBorders>
            <w:noWrap w:val="0"/>
            <w:vAlign w:val="top"/>
          </w:tcPr>
          <w:p w14:paraId="0BF84A7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90" w:type="dxa"/>
            <w:tcBorders>
              <w:top w:val="single" w:color="000000" w:sz="6" w:space="0"/>
              <w:left w:val="single" w:color="000000" w:sz="6" w:space="0"/>
            </w:tcBorders>
            <w:noWrap w:val="0"/>
            <w:vAlign w:val="top"/>
          </w:tcPr>
          <w:p w14:paraId="011A42A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61564F8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153DDA0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39D11104">
      <w:pPr>
        <w:pageBreakBefore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highlight w:val="none"/>
        </w:rPr>
        <w:sectPr>
          <w:headerReference r:id="rId10" w:type="default"/>
          <w:footerReference r:id="rId11" w:type="default"/>
          <w:pgSz w:w="16840" w:h="11910" w:orient="landscape"/>
          <w:pgMar w:top="1100" w:right="500" w:bottom="280" w:left="1260" w:header="0" w:footer="0" w:gutter="0"/>
          <w:pgNumType w:fmt="decimal"/>
          <w:cols w:space="720" w:num="1"/>
          <w:docGrid w:linePitch="360" w:charSpace="0"/>
        </w:sectPr>
      </w:pPr>
    </w:p>
    <w:p w14:paraId="49643DE0">
      <w:pPr>
        <w:pageBreakBefore w:val="0"/>
        <w:shd w:val="clear"/>
        <w:kinsoku/>
        <w:wordWrap/>
        <w:overflowPunct/>
        <w:topLinePunct w:val="0"/>
        <w:autoSpaceDE/>
        <w:autoSpaceDN/>
        <w:bidi w:val="0"/>
        <w:adjustRightInd/>
        <w:snapToGrid/>
        <w:spacing w:before="64" w:line="480" w:lineRule="exact"/>
        <w:ind w:left="74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附件 2：</w:t>
      </w:r>
    </w:p>
    <w:p w14:paraId="09F1D3E0">
      <w:pPr>
        <w:pageBreakBefore w:val="0"/>
        <w:widowControl w:val="0"/>
        <w:shd w:val="clear"/>
        <w:kinsoku/>
        <w:wordWrap/>
        <w:overflowPunct/>
        <w:topLinePunct w:val="0"/>
        <w:autoSpaceDE/>
        <w:autoSpaceDN/>
        <w:bidi w:val="0"/>
        <w:adjustRightInd/>
        <w:snapToGrid/>
        <w:spacing w:before="6" w:line="480" w:lineRule="exact"/>
        <w:textAlignment w:val="auto"/>
        <w:rPr>
          <w:rFonts w:hint="eastAsia" w:ascii="宋体" w:hAnsi="宋体" w:eastAsia="宋体" w:cs="宋体"/>
          <w:kern w:val="2"/>
          <w:sz w:val="21"/>
          <w:szCs w:val="21"/>
          <w:highlight w:val="none"/>
          <w:lang w:val="zh-CN" w:eastAsia="zh-CN" w:bidi="zh-CN"/>
        </w:rPr>
      </w:pPr>
    </w:p>
    <w:p w14:paraId="0114B3F4">
      <w:pPr>
        <w:pageBreakBefore w:val="0"/>
        <w:shd w:val="clear"/>
        <w:kinsoku/>
        <w:wordWrap/>
        <w:overflowPunct/>
        <w:topLinePunct w:val="0"/>
        <w:autoSpaceDE/>
        <w:autoSpaceDN/>
        <w:bidi w:val="0"/>
        <w:adjustRightInd/>
        <w:snapToGrid/>
        <w:spacing w:before="67"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发包人供应材料设备一览表</w:t>
      </w:r>
    </w:p>
    <w:p w14:paraId="19CED28D">
      <w:pPr>
        <w:pageBreakBefore w:val="0"/>
        <w:widowControl w:val="0"/>
        <w:shd w:val="clear"/>
        <w:kinsoku/>
        <w:wordWrap/>
        <w:overflowPunct/>
        <w:topLinePunct w:val="0"/>
        <w:autoSpaceDE/>
        <w:autoSpaceDN/>
        <w:bidi w:val="0"/>
        <w:adjustRightInd/>
        <w:snapToGrid/>
        <w:spacing w:before="10" w:line="480" w:lineRule="exact"/>
        <w:textAlignment w:val="auto"/>
        <w:rPr>
          <w:rFonts w:hint="eastAsia" w:ascii="宋体" w:hAnsi="宋体" w:eastAsia="宋体" w:cs="宋体"/>
          <w:kern w:val="2"/>
          <w:sz w:val="21"/>
          <w:szCs w:val="21"/>
          <w:highlight w:val="none"/>
          <w:lang w:val="zh-CN" w:eastAsia="zh-CN" w:bidi="zh-CN"/>
        </w:rPr>
      </w:pPr>
    </w:p>
    <w:tbl>
      <w:tblPr>
        <w:tblStyle w:val="30"/>
        <w:tblW w:w="1070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3D423E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9" w:hRule="atLeast"/>
          <w:jc w:val="center"/>
        </w:trPr>
        <w:tc>
          <w:tcPr>
            <w:tcW w:w="851" w:type="dxa"/>
            <w:tcBorders>
              <w:bottom w:val="single" w:color="000000" w:sz="2" w:space="0"/>
              <w:right w:val="single" w:color="000000" w:sz="6" w:space="0"/>
            </w:tcBorders>
            <w:noWrap w:val="0"/>
            <w:vAlign w:val="center"/>
          </w:tcPr>
          <w:p w14:paraId="694DF52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zh-CN" w:eastAsia="zh-CN" w:bidi="zh-CN"/>
              </w:rPr>
            </w:pPr>
          </w:p>
          <w:p w14:paraId="2E988E5B">
            <w:pPr>
              <w:keepNext w:val="0"/>
              <w:keepLines w:val="0"/>
              <w:pageBreakBefore w:val="0"/>
              <w:widowControl w:val="0"/>
              <w:shd w:val="clear"/>
              <w:kinsoku/>
              <w:wordWrap/>
              <w:overflowPunct/>
              <w:topLinePunct w:val="0"/>
              <w:autoSpaceDE/>
              <w:autoSpaceDN/>
              <w:bidi w:val="0"/>
              <w:adjustRightInd/>
              <w:snapToGrid/>
              <w:spacing w:before="1" w:line="40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序号</w:t>
            </w:r>
          </w:p>
        </w:tc>
        <w:tc>
          <w:tcPr>
            <w:tcW w:w="1276" w:type="dxa"/>
            <w:tcBorders>
              <w:left w:val="single" w:color="000000" w:sz="6" w:space="0"/>
              <w:bottom w:val="single" w:color="000000" w:sz="2" w:space="0"/>
              <w:right w:val="single" w:color="000000" w:sz="6" w:space="0"/>
            </w:tcBorders>
            <w:noWrap w:val="0"/>
            <w:vAlign w:val="center"/>
          </w:tcPr>
          <w:p w14:paraId="54B577F9">
            <w:pPr>
              <w:keepNext w:val="0"/>
              <w:keepLines w:val="0"/>
              <w:pageBreakBefore w:val="0"/>
              <w:widowControl w:val="0"/>
              <w:shd w:val="clear"/>
              <w:kinsoku/>
              <w:wordWrap/>
              <w:overflowPunct/>
              <w:topLinePunct w:val="0"/>
              <w:autoSpaceDE/>
              <w:autoSpaceDN/>
              <w:bidi w:val="0"/>
              <w:adjustRightInd/>
              <w:snapToGrid/>
              <w:spacing w:line="400" w:lineRule="exact"/>
              <w:ind w:right="200"/>
              <w:jc w:val="righ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材料、</w:t>
            </w:r>
          </w:p>
          <w:p w14:paraId="1AC24B56">
            <w:pPr>
              <w:keepNext w:val="0"/>
              <w:keepLines w:val="0"/>
              <w:pageBreakBefore w:val="0"/>
              <w:widowControl w:val="0"/>
              <w:shd w:val="clear"/>
              <w:kinsoku/>
              <w:wordWrap/>
              <w:overflowPunct/>
              <w:topLinePunct w:val="0"/>
              <w:autoSpaceDE/>
              <w:autoSpaceDN/>
              <w:bidi w:val="0"/>
              <w:adjustRightInd/>
              <w:snapToGrid/>
              <w:spacing w:before="1" w:line="400" w:lineRule="exact"/>
              <w:ind w:right="265"/>
              <w:jc w:val="righ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设备品种</w:t>
            </w:r>
          </w:p>
        </w:tc>
        <w:tc>
          <w:tcPr>
            <w:tcW w:w="1418" w:type="dxa"/>
            <w:tcBorders>
              <w:left w:val="single" w:color="000000" w:sz="6" w:space="0"/>
              <w:bottom w:val="single" w:color="000000" w:sz="2" w:space="0"/>
              <w:right w:val="single" w:color="000000" w:sz="6" w:space="0"/>
            </w:tcBorders>
            <w:noWrap w:val="0"/>
            <w:vAlign w:val="center"/>
          </w:tcPr>
          <w:p w14:paraId="20AF544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zh-CN" w:eastAsia="zh-CN" w:bidi="zh-CN"/>
              </w:rPr>
            </w:pPr>
          </w:p>
          <w:p w14:paraId="262AFFAD">
            <w:pPr>
              <w:keepNext w:val="0"/>
              <w:keepLines w:val="0"/>
              <w:pageBreakBefore w:val="0"/>
              <w:widowControl w:val="0"/>
              <w:shd w:val="clear"/>
              <w:kinsoku/>
              <w:wordWrap/>
              <w:overflowPunct/>
              <w:topLinePunct w:val="0"/>
              <w:autoSpaceDE/>
              <w:autoSpaceDN/>
              <w:bidi w:val="0"/>
              <w:adjustRightInd/>
              <w:snapToGrid/>
              <w:spacing w:before="1" w:line="40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规格型号</w:t>
            </w:r>
          </w:p>
        </w:tc>
        <w:tc>
          <w:tcPr>
            <w:tcW w:w="940" w:type="dxa"/>
            <w:tcBorders>
              <w:left w:val="single" w:color="000000" w:sz="6" w:space="0"/>
              <w:bottom w:val="single" w:color="000000" w:sz="2" w:space="0"/>
              <w:right w:val="single" w:color="000000" w:sz="6" w:space="0"/>
            </w:tcBorders>
            <w:noWrap w:val="0"/>
            <w:vAlign w:val="center"/>
          </w:tcPr>
          <w:p w14:paraId="2BAC63D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zh-CN" w:eastAsia="zh-CN" w:bidi="zh-CN"/>
              </w:rPr>
            </w:pPr>
          </w:p>
          <w:p w14:paraId="1F30C2BA">
            <w:pPr>
              <w:keepNext w:val="0"/>
              <w:keepLines w:val="0"/>
              <w:pageBreakBefore w:val="0"/>
              <w:widowControl w:val="0"/>
              <w:shd w:val="clear"/>
              <w:kinsoku/>
              <w:wordWrap/>
              <w:overflowPunct/>
              <w:topLinePunct w:val="0"/>
              <w:autoSpaceDE/>
              <w:autoSpaceDN/>
              <w:bidi w:val="0"/>
              <w:adjustRightInd/>
              <w:snapToGrid/>
              <w:spacing w:before="1" w:line="40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单位</w:t>
            </w:r>
          </w:p>
        </w:tc>
        <w:tc>
          <w:tcPr>
            <w:tcW w:w="851" w:type="dxa"/>
            <w:tcBorders>
              <w:left w:val="single" w:color="000000" w:sz="6" w:space="0"/>
              <w:bottom w:val="single" w:color="000000" w:sz="2" w:space="0"/>
              <w:right w:val="single" w:color="000000" w:sz="6" w:space="0"/>
            </w:tcBorders>
            <w:noWrap w:val="0"/>
            <w:vAlign w:val="center"/>
          </w:tcPr>
          <w:p w14:paraId="396C21D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zh-CN" w:eastAsia="zh-CN" w:bidi="zh-CN"/>
              </w:rPr>
            </w:pPr>
          </w:p>
          <w:p w14:paraId="53A12A09">
            <w:pPr>
              <w:keepNext w:val="0"/>
              <w:keepLines w:val="0"/>
              <w:pageBreakBefore w:val="0"/>
              <w:widowControl w:val="0"/>
              <w:shd w:val="clear"/>
              <w:kinsoku/>
              <w:wordWrap/>
              <w:overflowPunct/>
              <w:topLinePunct w:val="0"/>
              <w:autoSpaceDE/>
              <w:autoSpaceDN/>
              <w:bidi w:val="0"/>
              <w:adjustRightInd/>
              <w:snapToGrid/>
              <w:spacing w:before="1" w:line="40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数量</w:t>
            </w:r>
          </w:p>
        </w:tc>
        <w:tc>
          <w:tcPr>
            <w:tcW w:w="1044" w:type="dxa"/>
            <w:tcBorders>
              <w:left w:val="single" w:color="000000" w:sz="6" w:space="0"/>
              <w:bottom w:val="single" w:color="000000" w:sz="2" w:space="0"/>
              <w:right w:val="single" w:color="000000" w:sz="6" w:space="0"/>
            </w:tcBorders>
            <w:noWrap w:val="0"/>
            <w:vAlign w:val="center"/>
          </w:tcPr>
          <w:p w14:paraId="5BA9FFFD">
            <w:pPr>
              <w:keepNext w:val="0"/>
              <w:keepLines w:val="0"/>
              <w:pageBreakBefore w:val="0"/>
              <w:widowControl w:val="0"/>
              <w:shd w:val="clear"/>
              <w:tabs>
                <w:tab w:val="left" w:pos="718"/>
              </w:tabs>
              <w:kinsoku/>
              <w:wordWrap/>
              <w:overflowPunct/>
              <w:topLinePunct w:val="0"/>
              <w:autoSpaceDE/>
              <w:autoSpaceDN/>
              <w:bidi w:val="0"/>
              <w:adjustRightInd/>
              <w:snapToGrid/>
              <w:spacing w:before="60" w:line="40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w:t>
            </w:r>
            <w:r>
              <w:rPr>
                <w:rFonts w:hint="eastAsia" w:ascii="宋体" w:hAnsi="宋体" w:eastAsia="宋体" w:cs="宋体"/>
                <w:kern w:val="2"/>
                <w:sz w:val="21"/>
                <w:szCs w:val="21"/>
                <w:highlight w:val="none"/>
                <w:lang w:val="zh-CN" w:eastAsia="zh-CN" w:bidi="zh-CN"/>
              </w:rPr>
              <w:tab/>
            </w:r>
            <w:r>
              <w:rPr>
                <w:rFonts w:hint="eastAsia" w:ascii="宋体" w:hAnsi="宋体" w:eastAsia="宋体" w:cs="宋体"/>
                <w:kern w:val="2"/>
                <w:sz w:val="21"/>
                <w:szCs w:val="21"/>
                <w:highlight w:val="none"/>
                <w:lang w:val="zh-CN" w:eastAsia="zh-CN" w:bidi="zh-CN"/>
              </w:rPr>
              <w:t>价（元）</w:t>
            </w:r>
          </w:p>
        </w:tc>
        <w:tc>
          <w:tcPr>
            <w:tcW w:w="992" w:type="dxa"/>
            <w:tcBorders>
              <w:left w:val="single" w:color="000000" w:sz="6" w:space="0"/>
              <w:bottom w:val="single" w:color="000000" w:sz="2" w:space="0"/>
              <w:right w:val="single" w:color="000000" w:sz="6" w:space="0"/>
            </w:tcBorders>
            <w:noWrap w:val="0"/>
            <w:vAlign w:val="center"/>
          </w:tcPr>
          <w:p w14:paraId="4D48E019">
            <w:pPr>
              <w:keepNext w:val="0"/>
              <w:keepLines w:val="0"/>
              <w:pageBreakBefore w:val="0"/>
              <w:widowControl w:val="0"/>
              <w:shd w:val="clear"/>
              <w:kinsoku/>
              <w:wordWrap/>
              <w:overflowPunct/>
              <w:topLinePunct w:val="0"/>
              <w:autoSpaceDE/>
              <w:autoSpaceDN/>
              <w:bidi w:val="0"/>
              <w:adjustRightInd/>
              <w:snapToGrid/>
              <w:spacing w:before="60" w:line="400" w:lineRule="exact"/>
              <w:ind w:left="96" w:right="6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质量等级</w:t>
            </w:r>
          </w:p>
        </w:tc>
        <w:tc>
          <w:tcPr>
            <w:tcW w:w="851" w:type="dxa"/>
            <w:tcBorders>
              <w:left w:val="single" w:color="000000" w:sz="6" w:space="0"/>
              <w:bottom w:val="single" w:color="000000" w:sz="2" w:space="0"/>
              <w:right w:val="single" w:color="000000" w:sz="6" w:space="0"/>
            </w:tcBorders>
            <w:noWrap w:val="0"/>
            <w:vAlign w:val="center"/>
          </w:tcPr>
          <w:p w14:paraId="5BA7B5F5">
            <w:pPr>
              <w:keepNext w:val="0"/>
              <w:keepLines w:val="0"/>
              <w:pageBreakBefore w:val="0"/>
              <w:widowControl w:val="0"/>
              <w:shd w:val="clear"/>
              <w:kinsoku/>
              <w:wordWrap/>
              <w:overflowPunct/>
              <w:topLinePunct w:val="0"/>
              <w:autoSpaceDE/>
              <w:autoSpaceDN/>
              <w:bidi w:val="0"/>
              <w:adjustRightInd/>
              <w:snapToGrid/>
              <w:spacing w:before="60" w:line="400" w:lineRule="exact"/>
              <w:ind w:left="98" w:right="6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供 应时间</w:t>
            </w:r>
          </w:p>
        </w:tc>
        <w:tc>
          <w:tcPr>
            <w:tcW w:w="1487" w:type="dxa"/>
            <w:tcBorders>
              <w:left w:val="single" w:color="000000" w:sz="6" w:space="0"/>
              <w:bottom w:val="single" w:color="000000" w:sz="2" w:space="0"/>
              <w:right w:val="single" w:color="000000" w:sz="6" w:space="0"/>
            </w:tcBorders>
            <w:noWrap w:val="0"/>
            <w:vAlign w:val="center"/>
          </w:tcPr>
          <w:p w14:paraId="5B2F836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zh-CN" w:eastAsia="zh-CN" w:bidi="zh-CN"/>
              </w:rPr>
            </w:pPr>
          </w:p>
          <w:p w14:paraId="29D28E8C">
            <w:pPr>
              <w:keepNext w:val="0"/>
              <w:keepLines w:val="0"/>
              <w:pageBreakBefore w:val="0"/>
              <w:widowControl w:val="0"/>
              <w:shd w:val="clear"/>
              <w:kinsoku/>
              <w:wordWrap/>
              <w:overflowPunct/>
              <w:topLinePunct w:val="0"/>
              <w:autoSpaceDE/>
              <w:autoSpaceDN/>
              <w:bidi w:val="0"/>
              <w:adjustRightInd/>
              <w:snapToGrid/>
              <w:spacing w:before="1" w:line="40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送达地点</w:t>
            </w:r>
          </w:p>
        </w:tc>
        <w:tc>
          <w:tcPr>
            <w:tcW w:w="992" w:type="dxa"/>
            <w:tcBorders>
              <w:left w:val="single" w:color="000000" w:sz="6" w:space="0"/>
              <w:bottom w:val="single" w:color="000000" w:sz="2" w:space="0"/>
            </w:tcBorders>
            <w:noWrap w:val="0"/>
            <w:vAlign w:val="center"/>
          </w:tcPr>
          <w:p w14:paraId="4A481B5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zh-CN" w:eastAsia="zh-CN" w:bidi="zh-CN"/>
              </w:rPr>
            </w:pPr>
          </w:p>
          <w:p w14:paraId="36D46BED">
            <w:pPr>
              <w:keepNext w:val="0"/>
              <w:keepLines w:val="0"/>
              <w:pageBreakBefore w:val="0"/>
              <w:widowControl w:val="0"/>
              <w:shd w:val="clear"/>
              <w:kinsoku/>
              <w:wordWrap/>
              <w:overflowPunct/>
              <w:topLinePunct w:val="0"/>
              <w:autoSpaceDE/>
              <w:autoSpaceDN/>
              <w:bidi w:val="0"/>
              <w:adjustRightInd/>
              <w:snapToGrid/>
              <w:spacing w:before="1" w:line="40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备注</w:t>
            </w:r>
          </w:p>
        </w:tc>
      </w:tr>
      <w:tr w14:paraId="2D9BF9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jc w:val="center"/>
        </w:trPr>
        <w:tc>
          <w:tcPr>
            <w:tcW w:w="851" w:type="dxa"/>
            <w:tcBorders>
              <w:top w:val="single" w:color="000000" w:sz="2" w:space="0"/>
              <w:bottom w:val="single" w:color="000000" w:sz="6" w:space="0"/>
              <w:right w:val="single" w:color="000000" w:sz="6" w:space="0"/>
            </w:tcBorders>
            <w:noWrap w:val="0"/>
            <w:vAlign w:val="top"/>
          </w:tcPr>
          <w:p w14:paraId="121F4E5F">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无</w:t>
            </w:r>
          </w:p>
        </w:tc>
        <w:tc>
          <w:tcPr>
            <w:tcW w:w="1276" w:type="dxa"/>
            <w:tcBorders>
              <w:top w:val="single" w:color="000000" w:sz="2" w:space="0"/>
              <w:left w:val="single" w:color="000000" w:sz="6" w:space="0"/>
              <w:bottom w:val="single" w:color="000000" w:sz="6" w:space="0"/>
              <w:right w:val="single" w:color="000000" w:sz="6" w:space="0"/>
            </w:tcBorders>
            <w:noWrap w:val="0"/>
            <w:vAlign w:val="top"/>
          </w:tcPr>
          <w:p w14:paraId="041939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2" w:space="0"/>
              <w:left w:val="single" w:color="000000" w:sz="6" w:space="0"/>
              <w:bottom w:val="single" w:color="000000" w:sz="6" w:space="0"/>
              <w:right w:val="single" w:color="000000" w:sz="6" w:space="0"/>
            </w:tcBorders>
            <w:noWrap w:val="0"/>
            <w:vAlign w:val="top"/>
          </w:tcPr>
          <w:p w14:paraId="701136C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2" w:space="0"/>
              <w:left w:val="single" w:color="000000" w:sz="6" w:space="0"/>
              <w:bottom w:val="single" w:color="000000" w:sz="6" w:space="0"/>
              <w:right w:val="single" w:color="000000" w:sz="6" w:space="0"/>
            </w:tcBorders>
            <w:noWrap w:val="0"/>
            <w:vAlign w:val="top"/>
          </w:tcPr>
          <w:p w14:paraId="72BC00F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2" w:space="0"/>
              <w:left w:val="single" w:color="000000" w:sz="6" w:space="0"/>
              <w:bottom w:val="single" w:color="000000" w:sz="6" w:space="0"/>
              <w:right w:val="single" w:color="000000" w:sz="6" w:space="0"/>
            </w:tcBorders>
            <w:noWrap w:val="0"/>
            <w:vAlign w:val="top"/>
          </w:tcPr>
          <w:p w14:paraId="6315078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2" w:space="0"/>
              <w:left w:val="single" w:color="000000" w:sz="6" w:space="0"/>
              <w:bottom w:val="single" w:color="000000" w:sz="6" w:space="0"/>
              <w:right w:val="single" w:color="000000" w:sz="6" w:space="0"/>
            </w:tcBorders>
            <w:noWrap w:val="0"/>
            <w:vAlign w:val="top"/>
          </w:tcPr>
          <w:p w14:paraId="03ED2B9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2" w:space="0"/>
              <w:left w:val="single" w:color="000000" w:sz="6" w:space="0"/>
              <w:bottom w:val="single" w:color="000000" w:sz="6" w:space="0"/>
              <w:right w:val="single" w:color="000000" w:sz="6" w:space="0"/>
            </w:tcBorders>
            <w:noWrap w:val="0"/>
            <w:vAlign w:val="top"/>
          </w:tcPr>
          <w:p w14:paraId="2FB6F30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2" w:space="0"/>
              <w:left w:val="single" w:color="000000" w:sz="6" w:space="0"/>
              <w:bottom w:val="single" w:color="000000" w:sz="6" w:space="0"/>
              <w:right w:val="single" w:color="000000" w:sz="6" w:space="0"/>
            </w:tcBorders>
            <w:noWrap w:val="0"/>
            <w:vAlign w:val="top"/>
          </w:tcPr>
          <w:p w14:paraId="0B398E0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2" w:space="0"/>
              <w:left w:val="single" w:color="000000" w:sz="6" w:space="0"/>
              <w:bottom w:val="single" w:color="000000" w:sz="6" w:space="0"/>
              <w:right w:val="single" w:color="000000" w:sz="6" w:space="0"/>
            </w:tcBorders>
            <w:noWrap w:val="0"/>
            <w:vAlign w:val="top"/>
          </w:tcPr>
          <w:p w14:paraId="4E9A10E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2" w:space="0"/>
              <w:left w:val="single" w:color="000000" w:sz="6" w:space="0"/>
              <w:bottom w:val="single" w:color="000000" w:sz="6" w:space="0"/>
            </w:tcBorders>
            <w:noWrap w:val="0"/>
            <w:vAlign w:val="top"/>
          </w:tcPr>
          <w:p w14:paraId="25DB212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6428D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3D011EE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19D5B07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61746C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1E5356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49CCA65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4A3AB96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4397A01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34FD5C0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1F9931B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40633F3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52715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851" w:type="dxa"/>
            <w:tcBorders>
              <w:top w:val="single" w:color="000000" w:sz="6" w:space="0"/>
              <w:bottom w:val="single" w:color="000000" w:sz="6" w:space="0"/>
              <w:right w:val="single" w:color="000000" w:sz="6" w:space="0"/>
            </w:tcBorders>
            <w:noWrap w:val="0"/>
            <w:vAlign w:val="top"/>
          </w:tcPr>
          <w:p w14:paraId="1F64DEA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85608A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978F5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60FFF86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7D1D4C9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55321E9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6DB0D69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3EE7B89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32CE4A4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3A31C0E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F371E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0954A86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77F7304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DE3329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2447271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03B8CF6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09488D4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7A50B03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0B67C05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00A478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47C6048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8574B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351214D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58592E9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0A2BD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2A0524F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2533840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11E6945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2817DAF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4DD0B36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160B62D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3E3AE7B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C5255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851" w:type="dxa"/>
            <w:tcBorders>
              <w:top w:val="single" w:color="000000" w:sz="6" w:space="0"/>
              <w:bottom w:val="single" w:color="000000" w:sz="6" w:space="0"/>
              <w:right w:val="single" w:color="000000" w:sz="6" w:space="0"/>
            </w:tcBorders>
            <w:noWrap w:val="0"/>
            <w:vAlign w:val="top"/>
          </w:tcPr>
          <w:p w14:paraId="287D8A1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1EA6E5B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3A374D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2511C78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76F8D1A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16A14F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59B4DC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43082D7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6DF48F1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1DF284B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3E779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5A0EDB0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5DF34A3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2FE0B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70244C9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6360B43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251E73F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68C7AFB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0F10E4B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4EBB560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2B76BE3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D2761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79BEDF6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2303B1C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864F68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2E596C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42D4ED0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3D064E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33A3293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6513A7F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5FC5199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0947B2C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77772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851" w:type="dxa"/>
            <w:tcBorders>
              <w:top w:val="single" w:color="000000" w:sz="6" w:space="0"/>
              <w:bottom w:val="single" w:color="000000" w:sz="6" w:space="0"/>
              <w:right w:val="single" w:color="000000" w:sz="6" w:space="0"/>
            </w:tcBorders>
            <w:noWrap w:val="0"/>
            <w:vAlign w:val="top"/>
          </w:tcPr>
          <w:p w14:paraId="39EE523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2F9451E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656E45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0D6C8CD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19BE3DF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3955718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1ABB84C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6677D81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735FB0D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22BCD21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82147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0DD2606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0AA671B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ADBEB0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00BA715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78D9473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3165172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2BFFE7C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1AD2DF4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1F2642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3B7AC02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AA718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66D6A0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2500F5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16974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6A12356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4405EBF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2FA75E3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15B1661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2BEEC49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0C8817F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208E08A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5ED8C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851" w:type="dxa"/>
            <w:tcBorders>
              <w:top w:val="single" w:color="000000" w:sz="6" w:space="0"/>
              <w:bottom w:val="single" w:color="000000" w:sz="6" w:space="0"/>
              <w:right w:val="single" w:color="000000" w:sz="6" w:space="0"/>
            </w:tcBorders>
            <w:noWrap w:val="0"/>
            <w:vAlign w:val="top"/>
          </w:tcPr>
          <w:p w14:paraId="1AA6081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6F69045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64652E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4510979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6916719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4134582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57C2A0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1B8CF4C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6AF27F7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631EEE5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C90AD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851" w:type="dxa"/>
            <w:tcBorders>
              <w:top w:val="single" w:color="000000" w:sz="6" w:space="0"/>
              <w:bottom w:val="single" w:color="000000" w:sz="6" w:space="0"/>
              <w:right w:val="single" w:color="000000" w:sz="6" w:space="0"/>
            </w:tcBorders>
            <w:noWrap w:val="0"/>
            <w:vAlign w:val="top"/>
          </w:tcPr>
          <w:p w14:paraId="6C86B05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7A8850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FD4435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bottom w:val="single" w:color="000000" w:sz="6" w:space="0"/>
              <w:right w:val="single" w:color="000000" w:sz="6" w:space="0"/>
            </w:tcBorders>
            <w:noWrap w:val="0"/>
            <w:vAlign w:val="top"/>
          </w:tcPr>
          <w:p w14:paraId="382644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5F19454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bottom w:val="single" w:color="000000" w:sz="6" w:space="0"/>
              <w:right w:val="single" w:color="000000" w:sz="6" w:space="0"/>
            </w:tcBorders>
            <w:noWrap w:val="0"/>
            <w:vAlign w:val="top"/>
          </w:tcPr>
          <w:p w14:paraId="21ACFE7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right w:val="single" w:color="000000" w:sz="6" w:space="0"/>
            </w:tcBorders>
            <w:noWrap w:val="0"/>
            <w:vAlign w:val="top"/>
          </w:tcPr>
          <w:p w14:paraId="39BC94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69AEDF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bottom w:val="single" w:color="000000" w:sz="6" w:space="0"/>
              <w:right w:val="single" w:color="000000" w:sz="6" w:space="0"/>
            </w:tcBorders>
            <w:noWrap w:val="0"/>
            <w:vAlign w:val="top"/>
          </w:tcPr>
          <w:p w14:paraId="4290F36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bottom w:val="single" w:color="000000" w:sz="6" w:space="0"/>
            </w:tcBorders>
            <w:noWrap w:val="0"/>
            <w:vAlign w:val="top"/>
          </w:tcPr>
          <w:p w14:paraId="129942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BC4E8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851" w:type="dxa"/>
            <w:tcBorders>
              <w:top w:val="single" w:color="000000" w:sz="6" w:space="0"/>
              <w:right w:val="single" w:color="000000" w:sz="6" w:space="0"/>
            </w:tcBorders>
            <w:noWrap w:val="0"/>
            <w:vAlign w:val="top"/>
          </w:tcPr>
          <w:p w14:paraId="5AFEA7A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right w:val="single" w:color="000000" w:sz="6" w:space="0"/>
            </w:tcBorders>
            <w:noWrap w:val="0"/>
            <w:vAlign w:val="top"/>
          </w:tcPr>
          <w:p w14:paraId="227CF7A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right w:val="single" w:color="000000" w:sz="6" w:space="0"/>
            </w:tcBorders>
            <w:noWrap w:val="0"/>
            <w:vAlign w:val="top"/>
          </w:tcPr>
          <w:p w14:paraId="6961B9C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40" w:type="dxa"/>
            <w:tcBorders>
              <w:top w:val="single" w:color="000000" w:sz="6" w:space="0"/>
              <w:left w:val="single" w:color="000000" w:sz="6" w:space="0"/>
              <w:right w:val="single" w:color="000000" w:sz="6" w:space="0"/>
            </w:tcBorders>
            <w:noWrap w:val="0"/>
            <w:vAlign w:val="top"/>
          </w:tcPr>
          <w:p w14:paraId="63BDB3D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right w:val="single" w:color="000000" w:sz="6" w:space="0"/>
            </w:tcBorders>
            <w:noWrap w:val="0"/>
            <w:vAlign w:val="top"/>
          </w:tcPr>
          <w:p w14:paraId="67F313E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44" w:type="dxa"/>
            <w:tcBorders>
              <w:top w:val="single" w:color="000000" w:sz="6" w:space="0"/>
              <w:left w:val="single" w:color="000000" w:sz="6" w:space="0"/>
              <w:right w:val="single" w:color="000000" w:sz="6" w:space="0"/>
            </w:tcBorders>
            <w:noWrap w:val="0"/>
            <w:vAlign w:val="top"/>
          </w:tcPr>
          <w:p w14:paraId="66557B4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right w:val="single" w:color="000000" w:sz="6" w:space="0"/>
            </w:tcBorders>
            <w:noWrap w:val="0"/>
            <w:vAlign w:val="top"/>
          </w:tcPr>
          <w:p w14:paraId="348A14C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right w:val="single" w:color="000000" w:sz="6" w:space="0"/>
            </w:tcBorders>
            <w:noWrap w:val="0"/>
            <w:vAlign w:val="top"/>
          </w:tcPr>
          <w:p w14:paraId="4F94504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7" w:type="dxa"/>
            <w:tcBorders>
              <w:top w:val="single" w:color="000000" w:sz="6" w:space="0"/>
              <w:left w:val="single" w:color="000000" w:sz="6" w:space="0"/>
              <w:right w:val="single" w:color="000000" w:sz="6" w:space="0"/>
            </w:tcBorders>
            <w:noWrap w:val="0"/>
            <w:vAlign w:val="top"/>
          </w:tcPr>
          <w:p w14:paraId="3745AC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92" w:type="dxa"/>
            <w:tcBorders>
              <w:top w:val="single" w:color="000000" w:sz="6" w:space="0"/>
              <w:left w:val="single" w:color="000000" w:sz="6" w:space="0"/>
            </w:tcBorders>
            <w:noWrap w:val="0"/>
            <w:vAlign w:val="top"/>
          </w:tcPr>
          <w:p w14:paraId="65688E9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22F4805C">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headerReference r:id="rId12" w:type="default"/>
          <w:footerReference r:id="rId13" w:type="default"/>
          <w:pgSz w:w="11910" w:h="16840"/>
          <w:pgMar w:top="1340" w:right="380" w:bottom="1380" w:left="560" w:header="878" w:footer="1196" w:gutter="0"/>
          <w:pgNumType w:fmt="decimal"/>
          <w:cols w:space="720" w:num="1"/>
          <w:docGrid w:linePitch="360" w:charSpace="0"/>
        </w:sectPr>
      </w:pPr>
    </w:p>
    <w:p w14:paraId="487F4376">
      <w:pPr>
        <w:pageBreakBefore w:val="0"/>
        <w:shd w:val="clear"/>
        <w:kinsoku/>
        <w:wordWrap/>
        <w:overflowPunct/>
        <w:topLinePunct w:val="0"/>
        <w:autoSpaceDE/>
        <w:autoSpaceDN/>
        <w:bidi w:val="0"/>
        <w:adjustRightInd/>
        <w:snapToGrid/>
        <w:spacing w:before="76" w:line="480" w:lineRule="exact"/>
        <w:ind w:left="743"/>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附件 3：</w:t>
      </w:r>
    </w:p>
    <w:p w14:paraId="3F739098">
      <w:pPr>
        <w:pageBreakBefore w:val="0"/>
        <w:shd w:val="clear"/>
        <w:kinsoku/>
        <w:wordWrap/>
        <w:overflowPunct/>
        <w:topLinePunct w:val="0"/>
        <w:autoSpaceDE/>
        <w:autoSpaceDN/>
        <w:bidi w:val="0"/>
        <w:adjustRightInd/>
        <w:snapToGrid/>
        <w:spacing w:before="66" w:line="480" w:lineRule="exact"/>
        <w:ind w:right="7"/>
        <w:jc w:val="center"/>
        <w:textAlignment w:val="auto"/>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工程质量保修书</w:t>
      </w:r>
    </w:p>
    <w:p w14:paraId="5C22E7B6">
      <w:pPr>
        <w:pageBreakBefore w:val="0"/>
        <w:shd w:val="clear"/>
        <w:kinsoku/>
        <w:wordWrap/>
        <w:overflowPunct/>
        <w:topLinePunct w:val="0"/>
        <w:autoSpaceDE/>
        <w:autoSpaceDN/>
        <w:bidi w:val="0"/>
        <w:adjustRightInd/>
        <w:snapToGrid/>
        <w:spacing w:line="480" w:lineRule="exact"/>
        <w:ind w:left="1226" w:leftChars="584" w:right="887" w:firstLine="0" w:firstLineChars="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发包人（全称）：</w:t>
      </w:r>
      <w:r>
        <w:rPr>
          <w:rFonts w:hint="eastAsia" w:ascii="宋体" w:hAnsi="宋体" w:cs="宋体"/>
          <w:kern w:val="0"/>
          <w:sz w:val="21"/>
          <w:szCs w:val="21"/>
          <w:highlight w:val="none"/>
          <w:lang w:val="en-US" w:bidi="zh-CN"/>
        </w:rPr>
        <w:t xml:space="preserve"> </w:t>
      </w:r>
      <w:r>
        <w:rPr>
          <w:rFonts w:hint="eastAsia" w:ascii="宋体" w:hAnsi="宋体" w:cs="宋体"/>
          <w:kern w:val="0"/>
          <w:sz w:val="21"/>
          <w:szCs w:val="21"/>
          <w:highlight w:val="none"/>
          <w:lang w:val="en-US" w:bidi="zh-CN"/>
        </w:rPr>
        <w:br w:type="textWrapping"/>
      </w:r>
      <w:r>
        <w:rPr>
          <w:rFonts w:hint="eastAsia" w:ascii="宋体" w:hAnsi="宋体" w:eastAsia="宋体" w:cs="宋体"/>
          <w:kern w:val="0"/>
          <w:sz w:val="21"/>
          <w:szCs w:val="21"/>
          <w:highlight w:val="none"/>
          <w:lang w:val="zh-CN" w:bidi="zh-CN"/>
        </w:rPr>
        <w:t>承包人（全称）：</w:t>
      </w:r>
    </w:p>
    <w:p w14:paraId="07F40EFE">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5B3DC443">
      <w:pPr>
        <w:pageBreakBefore w:val="0"/>
        <w:shd w:val="clear"/>
        <w:kinsoku/>
        <w:wordWrap/>
        <w:overflowPunct/>
        <w:topLinePunct w:val="0"/>
        <w:autoSpaceDE/>
        <w:autoSpaceDN/>
        <w:bidi w:val="0"/>
        <w:adjustRightInd/>
        <w:snapToGrid/>
        <w:spacing w:line="480" w:lineRule="exact"/>
        <w:ind w:left="808" w:right="887" w:firstLine="42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发包人和承包人根据《中华人民共和国建筑法》和《建设工程质量管理条例》，经协商一致就</w:t>
      </w:r>
      <w:r>
        <w:rPr>
          <w:rFonts w:hint="eastAsia" w:ascii="宋体" w:hAnsi="宋体" w:cs="宋体"/>
          <w:kern w:val="0"/>
          <w:sz w:val="21"/>
          <w:szCs w:val="21"/>
          <w:highlight w:val="none"/>
          <w:u w:val="single"/>
          <w:lang w:val="zh-CN" w:eastAsia="zh-CN" w:bidi="zh-CN"/>
        </w:rPr>
        <w:t>鼓楼人大实践中心装修改造项目</w:t>
      </w:r>
      <w:r>
        <w:rPr>
          <w:rFonts w:hint="eastAsia" w:ascii="宋体" w:hAnsi="宋体" w:eastAsia="宋体" w:cs="宋体"/>
          <w:kern w:val="0"/>
          <w:sz w:val="21"/>
          <w:szCs w:val="21"/>
          <w:highlight w:val="none"/>
          <w:u w:val="single"/>
          <w:lang w:val="zh-CN" w:eastAsia="zh-CN" w:bidi="zh-CN"/>
        </w:rPr>
        <w:t>（</w:t>
      </w:r>
      <w:r>
        <w:rPr>
          <w:rFonts w:hint="eastAsia" w:ascii="宋体" w:hAnsi="宋体" w:eastAsia="宋体" w:cs="宋体"/>
          <w:kern w:val="0"/>
          <w:sz w:val="21"/>
          <w:szCs w:val="21"/>
          <w:highlight w:val="none"/>
          <w:lang w:val="zh-CN" w:bidi="zh-CN"/>
        </w:rPr>
        <w:t>工程全称）签订工程质量保修书。</w:t>
      </w:r>
    </w:p>
    <w:p w14:paraId="67CC7862">
      <w:pPr>
        <w:pageBreakBefore w:val="0"/>
        <w:shd w:val="clear"/>
        <w:kinsoku/>
        <w:wordWrap/>
        <w:overflowPunct/>
        <w:topLinePunct w:val="0"/>
        <w:autoSpaceDE/>
        <w:autoSpaceDN/>
        <w:bidi w:val="0"/>
        <w:adjustRightInd/>
        <w:snapToGrid/>
        <w:spacing w:before="120"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一、工程质量保修范围和内容</w:t>
      </w:r>
    </w:p>
    <w:p w14:paraId="4F0AD2CE">
      <w:pPr>
        <w:pageBreakBefore w:val="0"/>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承包人在质量保修期内，按照有关法律规定和合同约定，承担工程质量保修责任。</w:t>
      </w:r>
    </w:p>
    <w:p w14:paraId="65A173EA">
      <w:pPr>
        <w:pageBreakBefore w:val="0"/>
        <w:shd w:val="clear"/>
        <w:kinsoku/>
        <w:wordWrap/>
        <w:overflowPunct/>
        <w:topLinePunct w:val="0"/>
        <w:autoSpaceDE/>
        <w:autoSpaceDN/>
        <w:bidi w:val="0"/>
        <w:adjustRightInd/>
        <w:snapToGrid/>
        <w:spacing w:before="1" w:line="480" w:lineRule="exact"/>
        <w:ind w:left="743" w:firstLine="420" w:firstLineChars="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kern w:val="0"/>
          <w:sz w:val="21"/>
          <w:szCs w:val="21"/>
          <w:highlight w:val="none"/>
          <w:u w:val="single"/>
          <w:lang w:val="zh-CN" w:eastAsia="zh-CN" w:bidi="zh-CN"/>
        </w:rPr>
        <w:t>鼓楼人大实践中心装修改造项目</w:t>
      </w:r>
      <w:r>
        <w:rPr>
          <w:rFonts w:hint="eastAsia" w:ascii="宋体" w:hAnsi="宋体" w:eastAsia="宋体" w:cs="宋体"/>
          <w:kern w:val="0"/>
          <w:sz w:val="21"/>
          <w:szCs w:val="21"/>
          <w:highlight w:val="none"/>
          <w:lang w:val="zh-CN" w:bidi="zh-CN"/>
        </w:rPr>
        <w:t>。</w:t>
      </w:r>
    </w:p>
    <w:p w14:paraId="611EEDEE">
      <w:pPr>
        <w:pageBreakBefore w:val="0"/>
        <w:shd w:val="clear"/>
        <w:kinsoku/>
        <w:wordWrap/>
        <w:overflowPunct/>
        <w:topLinePunct w:val="0"/>
        <w:autoSpaceDE/>
        <w:autoSpaceDN/>
        <w:bidi w:val="0"/>
        <w:adjustRightInd/>
        <w:snapToGrid/>
        <w:spacing w:before="21" w:line="480" w:lineRule="exact"/>
        <w:ind w:left="1225"/>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二、质量保修期</w:t>
      </w:r>
    </w:p>
    <w:p w14:paraId="139D9225">
      <w:pPr>
        <w:pageBreakBefore w:val="0"/>
        <w:shd w:val="clear"/>
        <w:kinsoku/>
        <w:wordWrap/>
        <w:overflowPunct/>
        <w:topLinePunct w:val="0"/>
        <w:autoSpaceDE/>
        <w:autoSpaceDN/>
        <w:bidi w:val="0"/>
        <w:adjustRightInd/>
        <w:snapToGrid/>
        <w:spacing w:before="158" w:line="480" w:lineRule="exact"/>
        <w:ind w:left="1223" w:firstLine="420" w:firstLineChars="20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质量保修期从工程实际竣工之日算起。分单项竣工验收的工程，按单项工程分别计算质量保修期。</w:t>
      </w:r>
    </w:p>
    <w:p w14:paraId="32001553">
      <w:pPr>
        <w:pageBreakBefore w:val="0"/>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双方根据国家有关规定，结合具体工程约定质量保修期如下：</w:t>
      </w:r>
    </w:p>
    <w:p w14:paraId="3463DE28">
      <w:pPr>
        <w:pageBreakBefore w:val="0"/>
        <w:numPr>
          <w:ilvl w:val="0"/>
          <w:numId w:val="0"/>
        </w:numPr>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1.土建工程为设计文件规定的该工程的合理期限年，屋面防水工程、</w:t>
      </w:r>
      <w:r>
        <w:rPr>
          <w:rFonts w:hint="eastAsia" w:ascii="宋体" w:hAnsi="宋体" w:eastAsia="宋体" w:cs="宋体"/>
          <w:kern w:val="0"/>
          <w:sz w:val="21"/>
          <w:szCs w:val="21"/>
          <w:highlight w:val="none"/>
          <w:lang w:val="en-US" w:eastAsia="zh-CN" w:bidi="zh-CN"/>
        </w:rPr>
        <w:t>有防水要求的卫生间、房间和外墙面的防渗</w:t>
      </w:r>
      <w:r>
        <w:rPr>
          <w:rFonts w:hint="eastAsia" w:ascii="宋体" w:hAnsi="宋体" w:eastAsia="宋体" w:cs="宋体"/>
          <w:kern w:val="0"/>
          <w:sz w:val="21"/>
          <w:szCs w:val="21"/>
          <w:highlight w:val="none"/>
          <w:lang w:val="zh-CN" w:eastAsia="zh-CN" w:bidi="zh-CN"/>
        </w:rPr>
        <w:t>为5年；</w:t>
      </w:r>
    </w:p>
    <w:p w14:paraId="26418E91">
      <w:pPr>
        <w:pageBreakBefore w:val="0"/>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en-US" w:eastAsia="zh-CN" w:bidi="zh-CN"/>
        </w:rPr>
        <w:t>2.</w:t>
      </w:r>
      <w:r>
        <w:rPr>
          <w:rFonts w:hint="eastAsia" w:ascii="宋体" w:hAnsi="宋体" w:eastAsia="宋体" w:cs="宋体"/>
          <w:kern w:val="0"/>
          <w:sz w:val="21"/>
          <w:szCs w:val="21"/>
          <w:highlight w:val="none"/>
          <w:lang w:val="zh-CN" w:eastAsia="zh-CN" w:bidi="zh-CN"/>
        </w:rPr>
        <w:t>电气管线、给排水管道、设备安装和装修工程，为2年；</w:t>
      </w:r>
    </w:p>
    <w:p w14:paraId="38A2CA82">
      <w:pPr>
        <w:pageBreakBefore w:val="0"/>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en-US" w:eastAsia="zh-CN" w:bidi="zh-CN"/>
        </w:rPr>
        <w:t>3.</w:t>
      </w:r>
      <w:r>
        <w:rPr>
          <w:rFonts w:hint="eastAsia" w:ascii="宋体" w:hAnsi="宋体" w:eastAsia="宋体" w:cs="宋体"/>
          <w:kern w:val="0"/>
          <w:sz w:val="21"/>
          <w:szCs w:val="21"/>
          <w:highlight w:val="none"/>
          <w:lang w:val="zh-CN" w:eastAsia="zh-CN" w:bidi="zh-CN"/>
        </w:rPr>
        <w:t>市政工程为2年；</w:t>
      </w:r>
    </w:p>
    <w:p w14:paraId="6377427D">
      <w:pPr>
        <w:pageBreakBefore w:val="0"/>
        <w:shd w:val="clear"/>
        <w:kinsoku/>
        <w:wordWrap/>
        <w:overflowPunct/>
        <w:topLinePunct w:val="0"/>
        <w:autoSpaceDE/>
        <w:autoSpaceDN/>
        <w:bidi w:val="0"/>
        <w:adjustRightInd/>
        <w:snapToGrid/>
        <w:spacing w:before="158" w:line="480" w:lineRule="exact"/>
        <w:ind w:left="1223"/>
        <w:jc w:val="left"/>
        <w:textAlignment w:val="auto"/>
        <w:rPr>
          <w:rFonts w:hint="default"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4.供热与供冷系统为2个采暖期、供冷期；</w:t>
      </w:r>
    </w:p>
    <w:p w14:paraId="1E2EFB1A">
      <w:pPr>
        <w:pageBreakBefore w:val="0"/>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en-US" w:eastAsia="zh-CN" w:bidi="zh-CN"/>
        </w:rPr>
        <w:t>5</w:t>
      </w:r>
      <w:r>
        <w:rPr>
          <w:rFonts w:hint="eastAsia" w:ascii="宋体" w:hAnsi="宋体" w:eastAsia="宋体" w:cs="宋体"/>
          <w:kern w:val="0"/>
          <w:sz w:val="21"/>
          <w:szCs w:val="21"/>
          <w:highlight w:val="none"/>
          <w:lang w:val="zh-CN" w:eastAsia="zh-CN" w:bidi="zh-CN"/>
        </w:rPr>
        <w:t>．其他约定；</w:t>
      </w:r>
    </w:p>
    <w:p w14:paraId="4D62E81B">
      <w:pPr>
        <w:pageBreakBefore w:val="0"/>
        <w:shd w:val="clear"/>
        <w:kinsoku/>
        <w:wordWrap/>
        <w:overflowPunct/>
        <w:topLinePunct w:val="0"/>
        <w:autoSpaceDE/>
        <w:autoSpaceDN/>
        <w:bidi w:val="0"/>
        <w:adjustRightInd/>
        <w:snapToGrid/>
        <w:spacing w:before="5"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三、缺陷责任期</w:t>
      </w:r>
    </w:p>
    <w:p w14:paraId="37416223">
      <w:pPr>
        <w:pageBreakBefore w:val="0"/>
        <w:shd w:val="clear"/>
        <w:tabs>
          <w:tab w:val="left" w:pos="3742"/>
        </w:tabs>
        <w:kinsoku/>
        <w:wordWrap/>
        <w:overflowPunct/>
        <w:topLinePunct w:val="0"/>
        <w:autoSpaceDE/>
        <w:autoSpaceDN/>
        <w:bidi w:val="0"/>
        <w:adjustRightInd/>
        <w:snapToGrid/>
        <w:spacing w:before="158" w:line="480" w:lineRule="exact"/>
        <w:ind w:left="743" w:right="752" w:firstLine="48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工程缺陷责任期为</w:t>
      </w:r>
      <w:r>
        <w:rPr>
          <w:rFonts w:hint="eastAsia" w:ascii="宋体" w:hAnsi="宋体" w:eastAsia="宋体" w:cs="宋体"/>
          <w:kern w:val="0"/>
          <w:sz w:val="21"/>
          <w:szCs w:val="21"/>
          <w:highlight w:val="none"/>
          <w:u w:val="single"/>
          <w:lang w:val="en-US" w:bidi="zh-CN"/>
        </w:rPr>
        <w:t>24</w:t>
      </w:r>
      <w:r>
        <w:rPr>
          <w:rFonts w:hint="eastAsia" w:ascii="宋体" w:hAnsi="宋体" w:eastAsia="宋体" w:cs="宋体"/>
          <w:kern w:val="0"/>
          <w:sz w:val="21"/>
          <w:szCs w:val="21"/>
          <w:highlight w:val="none"/>
          <w:lang w:val="zh-CN" w:bidi="zh-CN"/>
        </w:rPr>
        <w:t>个月</w:t>
      </w:r>
      <w:r>
        <w:rPr>
          <w:rFonts w:hint="eastAsia" w:ascii="宋体" w:hAnsi="宋体" w:eastAsia="宋体" w:cs="宋体"/>
          <w:spacing w:val="-5"/>
          <w:kern w:val="0"/>
          <w:sz w:val="21"/>
          <w:szCs w:val="21"/>
          <w:highlight w:val="none"/>
          <w:lang w:val="zh-CN" w:bidi="zh-CN"/>
        </w:rPr>
        <w:t>，</w:t>
      </w:r>
      <w:r>
        <w:rPr>
          <w:rFonts w:hint="eastAsia" w:ascii="宋体" w:hAnsi="宋体" w:eastAsia="宋体" w:cs="宋体"/>
          <w:kern w:val="0"/>
          <w:sz w:val="21"/>
          <w:szCs w:val="21"/>
          <w:highlight w:val="none"/>
          <w:lang w:val="zh-CN" w:bidi="zh-CN"/>
        </w:rPr>
        <w:t>缺陷责任期自工程竣工验收合格之日起计算</w:t>
      </w:r>
      <w:r>
        <w:rPr>
          <w:rFonts w:hint="eastAsia" w:ascii="宋体" w:hAnsi="宋体" w:eastAsia="宋体" w:cs="宋体"/>
          <w:spacing w:val="-8"/>
          <w:kern w:val="0"/>
          <w:sz w:val="21"/>
          <w:szCs w:val="21"/>
          <w:highlight w:val="none"/>
          <w:lang w:val="zh-CN" w:bidi="zh-CN"/>
        </w:rPr>
        <w:t>。</w:t>
      </w:r>
      <w:r>
        <w:rPr>
          <w:rFonts w:hint="eastAsia" w:ascii="宋体" w:hAnsi="宋体" w:eastAsia="宋体" w:cs="宋体"/>
          <w:kern w:val="0"/>
          <w:sz w:val="21"/>
          <w:szCs w:val="21"/>
          <w:highlight w:val="none"/>
          <w:lang w:val="zh-CN" w:bidi="zh-CN"/>
        </w:rPr>
        <w:t>单位工</w:t>
      </w:r>
      <w:r>
        <w:rPr>
          <w:rFonts w:hint="eastAsia" w:ascii="宋体" w:hAnsi="宋体" w:eastAsia="宋体" w:cs="宋体"/>
          <w:spacing w:val="-14"/>
          <w:kern w:val="0"/>
          <w:sz w:val="21"/>
          <w:szCs w:val="21"/>
          <w:highlight w:val="none"/>
          <w:lang w:val="zh-CN" w:bidi="zh-CN"/>
        </w:rPr>
        <w:t>程</w:t>
      </w:r>
      <w:r>
        <w:rPr>
          <w:rFonts w:hint="eastAsia" w:ascii="宋体" w:hAnsi="宋体" w:eastAsia="宋体" w:cs="宋体"/>
          <w:kern w:val="0"/>
          <w:sz w:val="21"/>
          <w:szCs w:val="21"/>
          <w:highlight w:val="none"/>
          <w:lang w:val="zh-CN" w:bidi="zh-CN"/>
        </w:rPr>
        <w:t>先于全部工程进行验收，单位工程缺陷责任期自单位工程验收合格之日起算。</w:t>
      </w:r>
    </w:p>
    <w:p w14:paraId="3EDD07A4">
      <w:pPr>
        <w:pageBreakBefore w:val="0"/>
        <w:shd w:val="clear"/>
        <w:kinsoku/>
        <w:wordWrap/>
        <w:overflowPunct/>
        <w:topLinePunct w:val="0"/>
        <w:autoSpaceDE/>
        <w:autoSpaceDN/>
        <w:bidi w:val="0"/>
        <w:adjustRightInd/>
        <w:snapToGrid/>
        <w:spacing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缺陷责任期终止后，发包人应退还剩余的质量保证金。</w:t>
      </w:r>
    </w:p>
    <w:p w14:paraId="7178A0DA">
      <w:pPr>
        <w:pageBreakBefore w:val="0"/>
        <w:shd w:val="clear"/>
        <w:kinsoku/>
        <w:wordWrap/>
        <w:overflowPunct/>
        <w:topLinePunct w:val="0"/>
        <w:autoSpaceDE/>
        <w:autoSpaceDN/>
        <w:bidi w:val="0"/>
        <w:adjustRightInd/>
        <w:snapToGrid/>
        <w:spacing w:before="161"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四、质量保修责任</w:t>
      </w:r>
    </w:p>
    <w:p w14:paraId="7DAB4F7C">
      <w:pPr>
        <w:pageBreakBefore w:val="0"/>
        <w:widowControl w:val="0"/>
        <w:numPr>
          <w:ilvl w:val="0"/>
          <w:numId w:val="0"/>
        </w:numPr>
        <w:shd w:val="clear"/>
        <w:tabs>
          <w:tab w:val="left" w:pos="1702"/>
        </w:tabs>
        <w:kinsoku/>
        <w:wordWrap/>
        <w:overflowPunct/>
        <w:topLinePunct w:val="0"/>
        <w:autoSpaceDE/>
        <w:autoSpaceDN/>
        <w:bidi w:val="0"/>
        <w:adjustRightInd/>
        <w:snapToGrid/>
        <w:spacing w:before="160" w:line="480" w:lineRule="exact"/>
        <w:ind w:left="815" w:leftChars="0" w:right="632" w:rightChars="0" w:firstLine="404" w:firstLineChars="200"/>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spacing w:val="-4"/>
          <w:kern w:val="2"/>
          <w:sz w:val="21"/>
          <w:szCs w:val="21"/>
          <w:highlight w:val="none"/>
          <w:lang w:val="en-US" w:eastAsia="zh-CN" w:bidi="zh-CN"/>
        </w:rPr>
        <w:t>1.</w:t>
      </w:r>
      <w:r>
        <w:rPr>
          <w:rFonts w:hint="eastAsia" w:ascii="宋体" w:hAnsi="宋体" w:eastAsia="宋体" w:cs="宋体"/>
          <w:spacing w:val="-4"/>
          <w:kern w:val="2"/>
          <w:sz w:val="21"/>
          <w:szCs w:val="21"/>
          <w:highlight w:val="none"/>
          <w:lang w:val="zh-CN" w:eastAsia="zh-CN" w:bidi="zh-CN"/>
        </w:rPr>
        <w:t xml:space="preserve">属于保修范围、内容的项目，承包人应当在接到保修通知之日起 </w:t>
      </w:r>
      <w:r>
        <w:rPr>
          <w:rFonts w:hint="eastAsia" w:ascii="宋体" w:hAnsi="宋体" w:eastAsia="宋体" w:cs="宋体"/>
          <w:kern w:val="2"/>
          <w:sz w:val="21"/>
          <w:szCs w:val="21"/>
          <w:highlight w:val="none"/>
          <w:lang w:val="zh-CN" w:eastAsia="zh-CN" w:bidi="zh-CN"/>
        </w:rPr>
        <w:t xml:space="preserve">7 </w:t>
      </w:r>
      <w:r>
        <w:rPr>
          <w:rFonts w:hint="eastAsia" w:ascii="宋体" w:hAnsi="宋体" w:eastAsia="宋体" w:cs="宋体"/>
          <w:spacing w:val="-3"/>
          <w:kern w:val="2"/>
          <w:sz w:val="21"/>
          <w:szCs w:val="21"/>
          <w:highlight w:val="none"/>
          <w:lang w:val="zh-CN" w:eastAsia="zh-CN" w:bidi="zh-CN"/>
        </w:rPr>
        <w:t>天内派人保修。</w:t>
      </w:r>
      <w:r>
        <w:rPr>
          <w:rFonts w:hint="eastAsia" w:ascii="宋体" w:hAnsi="宋体" w:eastAsia="宋体" w:cs="宋体"/>
          <w:kern w:val="2"/>
          <w:sz w:val="21"/>
          <w:szCs w:val="21"/>
          <w:highlight w:val="none"/>
          <w:lang w:val="zh-CN" w:eastAsia="zh-CN" w:bidi="zh-CN"/>
        </w:rPr>
        <w:t>承包人不在约定期限内派人保修的，发包人可以委托他人修理。</w:t>
      </w:r>
      <w:r>
        <w:rPr>
          <w:rFonts w:hint="eastAsia" w:ascii="宋体" w:hAnsi="宋体" w:eastAsia="宋体" w:cs="宋体"/>
          <w:kern w:val="2"/>
          <w:sz w:val="21"/>
          <w:szCs w:val="21"/>
          <w:highlight w:val="none"/>
          <w:lang w:val="en-US"/>
        </w:rPr>
        <w:br w:type="textWrapping"/>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spacing w:val="-2"/>
          <w:kern w:val="2"/>
          <w:sz w:val="21"/>
          <w:szCs w:val="21"/>
          <w:highlight w:val="none"/>
          <w:lang w:val="en-US" w:eastAsia="zh-CN" w:bidi="zh-CN"/>
        </w:rPr>
        <w:t>2.</w:t>
      </w:r>
      <w:r>
        <w:rPr>
          <w:rFonts w:hint="eastAsia" w:ascii="宋体" w:hAnsi="宋体" w:eastAsia="宋体" w:cs="宋体"/>
          <w:spacing w:val="-2"/>
          <w:kern w:val="2"/>
          <w:sz w:val="21"/>
          <w:szCs w:val="21"/>
          <w:highlight w:val="none"/>
          <w:lang w:val="zh-CN" w:eastAsia="zh-CN" w:bidi="zh-CN"/>
        </w:rPr>
        <w:t>发生紧急事故需抢修的，承包人在接到事故通知后，应当立即到达事故现场抢修。</w:t>
      </w:r>
    </w:p>
    <w:p w14:paraId="2F48306D">
      <w:pPr>
        <w:pageBreakBefore w:val="0"/>
        <w:widowControl w:val="0"/>
        <w:numPr>
          <w:ilvl w:val="0"/>
          <w:numId w:val="0"/>
        </w:numPr>
        <w:shd w:val="clear"/>
        <w:tabs>
          <w:tab w:val="left" w:pos="1708"/>
        </w:tabs>
        <w:kinsoku/>
        <w:wordWrap/>
        <w:overflowPunct/>
        <w:topLinePunct w:val="0"/>
        <w:autoSpaceDE/>
        <w:autoSpaceDN/>
        <w:bidi w:val="0"/>
        <w:adjustRightInd/>
        <w:snapToGrid/>
        <w:spacing w:before="158" w:line="480" w:lineRule="exact"/>
        <w:ind w:left="815" w:leftChars="0" w:right="750" w:rightChars="0" w:firstLine="420" w:firstLineChars="200"/>
        <w:jc w:val="both"/>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en-US" w:eastAsia="zh-CN" w:bidi="zh-CN"/>
        </w:rPr>
        <w:t>3.</w:t>
      </w:r>
      <w:r>
        <w:rPr>
          <w:rFonts w:hint="eastAsia" w:ascii="宋体" w:hAnsi="宋体" w:eastAsia="宋体" w:cs="宋体"/>
          <w:kern w:val="2"/>
          <w:sz w:val="21"/>
          <w:szCs w:val="21"/>
          <w:highlight w:val="none"/>
          <w:lang w:val="zh-CN" w:eastAsia="zh-CN" w:bidi="zh-CN"/>
        </w:rPr>
        <w:t>对于涉及结构安全的质量问题，应当按照《建设工程质量管理条例》的规定，立</w:t>
      </w:r>
      <w:r>
        <w:rPr>
          <w:rFonts w:hint="eastAsia" w:ascii="宋体" w:hAnsi="宋体" w:eastAsia="宋体" w:cs="宋体"/>
          <w:spacing w:val="-1"/>
          <w:kern w:val="2"/>
          <w:sz w:val="21"/>
          <w:szCs w:val="21"/>
          <w:highlight w:val="none"/>
          <w:lang w:val="zh-CN" w:eastAsia="zh-CN" w:bidi="zh-CN"/>
        </w:rPr>
        <w:t>即向当地建设行政主管部门和有关部门报告，采取安全防范措施，并由原设计人或者具有</w:t>
      </w:r>
      <w:r>
        <w:rPr>
          <w:rFonts w:hint="eastAsia" w:ascii="宋体" w:hAnsi="宋体" w:eastAsia="宋体" w:cs="宋体"/>
          <w:kern w:val="2"/>
          <w:sz w:val="21"/>
          <w:szCs w:val="21"/>
          <w:highlight w:val="none"/>
          <w:lang w:val="zh-CN" w:eastAsia="zh-CN" w:bidi="zh-CN"/>
        </w:rPr>
        <w:t>相应资质等级的设计人提出保修方案，承包人实施保修。</w:t>
      </w:r>
    </w:p>
    <w:p w14:paraId="6F5A5D80">
      <w:pPr>
        <w:pageBreakBefore w:val="0"/>
        <w:widowControl w:val="0"/>
        <w:numPr>
          <w:ilvl w:val="0"/>
          <w:numId w:val="0"/>
        </w:numPr>
        <w:shd w:val="clear"/>
        <w:tabs>
          <w:tab w:val="left" w:pos="1645"/>
        </w:tabs>
        <w:kinsoku/>
        <w:wordWrap/>
        <w:overflowPunct/>
        <w:topLinePunct w:val="0"/>
        <w:autoSpaceDE/>
        <w:autoSpaceDN/>
        <w:bidi w:val="0"/>
        <w:adjustRightInd/>
        <w:snapToGrid/>
        <w:spacing w:line="480" w:lineRule="exact"/>
        <w:ind w:left="1282" w:leftChars="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en-US" w:eastAsia="zh-CN" w:bidi="zh-CN"/>
        </w:rPr>
        <w:t>4.</w:t>
      </w:r>
      <w:r>
        <w:rPr>
          <w:rFonts w:hint="eastAsia" w:ascii="宋体" w:hAnsi="宋体" w:eastAsia="宋体" w:cs="宋体"/>
          <w:kern w:val="2"/>
          <w:sz w:val="21"/>
          <w:szCs w:val="21"/>
          <w:highlight w:val="none"/>
          <w:lang w:val="zh-CN" w:eastAsia="zh-CN" w:bidi="zh-CN"/>
        </w:rPr>
        <w:t>质量保修完成后，由发包人组织验收。</w:t>
      </w:r>
    </w:p>
    <w:p w14:paraId="24E36841">
      <w:pPr>
        <w:pageBreakBefore w:val="0"/>
        <w:shd w:val="clear"/>
        <w:kinsoku/>
        <w:wordWrap/>
        <w:overflowPunct/>
        <w:topLinePunct w:val="0"/>
        <w:autoSpaceDE/>
        <w:autoSpaceDN/>
        <w:bidi w:val="0"/>
        <w:adjustRightInd/>
        <w:snapToGrid/>
        <w:spacing w:before="160"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五、保修费用</w:t>
      </w:r>
    </w:p>
    <w:p w14:paraId="2C07F105">
      <w:pPr>
        <w:pageBreakBefore w:val="0"/>
        <w:shd w:val="clear"/>
        <w:kinsoku/>
        <w:wordWrap/>
        <w:overflowPunct/>
        <w:topLinePunct w:val="0"/>
        <w:autoSpaceDE/>
        <w:autoSpaceDN/>
        <w:bidi w:val="0"/>
        <w:adjustRightInd/>
        <w:snapToGrid/>
        <w:spacing w:before="158" w:line="480" w:lineRule="exact"/>
        <w:ind w:left="122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保修费用由造成质量缺陷的责任方承担。</w:t>
      </w:r>
    </w:p>
    <w:p w14:paraId="5BF4F145">
      <w:pPr>
        <w:pageBreakBefore w:val="0"/>
        <w:shd w:val="clear"/>
        <w:tabs>
          <w:tab w:val="left" w:pos="6023"/>
          <w:tab w:val="left" w:pos="6569"/>
        </w:tabs>
        <w:kinsoku/>
        <w:wordWrap/>
        <w:overflowPunct/>
        <w:topLinePunct w:val="0"/>
        <w:autoSpaceDE/>
        <w:autoSpaceDN/>
        <w:bidi w:val="0"/>
        <w:adjustRightInd/>
        <w:snapToGrid/>
        <w:spacing w:before="161" w:line="480" w:lineRule="exact"/>
        <w:ind w:left="134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b/>
          <w:kern w:val="0"/>
          <w:sz w:val="21"/>
          <w:szCs w:val="21"/>
          <w:highlight w:val="none"/>
          <w:lang w:val="zh-CN" w:bidi="zh-CN"/>
        </w:rPr>
        <w:t>六</w:t>
      </w:r>
      <w:r>
        <w:rPr>
          <w:rFonts w:hint="eastAsia" w:ascii="宋体" w:hAnsi="宋体" w:eastAsia="宋体" w:cs="宋体"/>
          <w:kern w:val="0"/>
          <w:sz w:val="21"/>
          <w:szCs w:val="21"/>
          <w:highlight w:val="none"/>
          <w:lang w:val="zh-CN" w:bidi="zh-CN"/>
        </w:rPr>
        <w:t>、双方约定的其他工程质量保修事项：</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w:t>
      </w:r>
    </w:p>
    <w:p w14:paraId="34349B72">
      <w:pPr>
        <w:pageBreakBefore w:val="0"/>
        <w:shd w:val="clear"/>
        <w:kinsoku/>
        <w:wordWrap/>
        <w:overflowPunct/>
        <w:topLinePunct w:val="0"/>
        <w:autoSpaceDE/>
        <w:autoSpaceDN/>
        <w:bidi w:val="0"/>
        <w:adjustRightInd/>
        <w:snapToGrid/>
        <w:spacing w:before="158" w:line="480" w:lineRule="exact"/>
        <w:ind w:left="743" w:right="752" w:firstLine="456"/>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spacing w:val="-8"/>
          <w:kern w:val="0"/>
          <w:sz w:val="21"/>
          <w:szCs w:val="21"/>
          <w:highlight w:val="none"/>
          <w:lang w:val="zh-CN" w:bidi="zh-CN"/>
        </w:rPr>
        <w:t>工程质量保修书由发包人、承包人在工程竣工验收前共同签署，作为施工合同附件，其</w:t>
      </w:r>
      <w:r>
        <w:rPr>
          <w:rFonts w:hint="eastAsia" w:ascii="宋体" w:hAnsi="宋体" w:eastAsia="宋体" w:cs="宋体"/>
          <w:kern w:val="0"/>
          <w:sz w:val="21"/>
          <w:szCs w:val="21"/>
          <w:highlight w:val="none"/>
          <w:lang w:val="zh-CN" w:bidi="zh-CN"/>
        </w:rPr>
        <w:t>有效期限至保修期满。</w:t>
      </w:r>
      <w:r>
        <w:rPr>
          <w:rFonts w:hint="eastAsia" w:ascii="宋体" w:hAnsi="宋体" w:eastAsia="宋体" w:cs="宋体"/>
          <w:kern w:val="0"/>
          <w:sz w:val="21"/>
          <w:szCs w:val="21"/>
          <w:highlight w:val="none"/>
          <w:lang w:val="zh-CN" w:bidi="zh-CN"/>
        </w:rPr>
        <w:br w:type="textWrapping"/>
      </w:r>
    </w:p>
    <w:p w14:paraId="62E753B0">
      <w:pPr>
        <w:pageBreakBefore w:val="0"/>
        <w:shd w:val="clear"/>
        <w:tabs>
          <w:tab w:val="left" w:pos="1223"/>
          <w:tab w:val="left" w:pos="4023"/>
          <w:tab w:val="left" w:pos="4583"/>
          <w:tab w:val="left" w:pos="6862"/>
          <w:tab w:val="left" w:pos="7421"/>
        </w:tabs>
        <w:kinsoku/>
        <w:wordWrap/>
        <w:overflowPunct/>
        <w:topLinePunct w:val="0"/>
        <w:autoSpaceDE/>
        <w:autoSpaceDN/>
        <w:bidi w:val="0"/>
        <w:adjustRightInd/>
        <w:snapToGrid/>
        <w:spacing w:line="480" w:lineRule="exact"/>
        <w:ind w:left="743" w:right="3542"/>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发包人(公章)：</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承包</w:t>
      </w:r>
      <w:r>
        <w:rPr>
          <w:rFonts w:hint="eastAsia" w:ascii="宋体" w:hAnsi="宋体" w:eastAsia="宋体" w:cs="宋体"/>
          <w:spacing w:val="-1"/>
          <w:kern w:val="0"/>
          <w:sz w:val="21"/>
          <w:szCs w:val="21"/>
          <w:highlight w:val="none"/>
          <w:lang w:val="zh-CN" w:bidi="zh-CN"/>
        </w:rPr>
        <w:t>人(公</w:t>
      </w:r>
      <w:r>
        <w:rPr>
          <w:rFonts w:hint="eastAsia" w:ascii="宋体" w:hAnsi="宋体" w:eastAsia="宋体" w:cs="宋体"/>
          <w:kern w:val="0"/>
          <w:sz w:val="21"/>
          <w:szCs w:val="21"/>
          <w:highlight w:val="none"/>
          <w:lang w:val="zh-CN" w:bidi="zh-CN"/>
        </w:rPr>
        <w:t>章)：</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br w:type="textWrapping"/>
      </w:r>
      <w:r>
        <w:rPr>
          <w:rFonts w:hint="eastAsia" w:ascii="宋体" w:hAnsi="宋体" w:eastAsia="宋体" w:cs="宋体"/>
          <w:kern w:val="0"/>
          <w:sz w:val="21"/>
          <w:szCs w:val="21"/>
          <w:highlight w:val="none"/>
          <w:lang w:val="zh-CN" w:bidi="zh-CN"/>
        </w:rPr>
        <w:t>地址：</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地</w:t>
      </w:r>
      <w:r>
        <w:rPr>
          <w:rFonts w:hint="eastAsia" w:ascii="宋体" w:hAnsi="宋体" w:eastAsia="宋体" w:cs="宋体"/>
          <w:kern w:val="0"/>
          <w:sz w:val="21"/>
          <w:szCs w:val="21"/>
          <w:highlight w:val="none"/>
          <w:lang w:val="zh-CN" w:bidi="zh-CN"/>
        </w:rPr>
        <w:tab/>
      </w:r>
      <w:r>
        <w:rPr>
          <w:rFonts w:hint="eastAsia" w:ascii="宋体" w:hAnsi="宋体" w:eastAsia="宋体" w:cs="宋体"/>
          <w:spacing w:val="-1"/>
          <w:kern w:val="0"/>
          <w:sz w:val="21"/>
          <w:szCs w:val="21"/>
          <w:highlight w:val="none"/>
          <w:lang w:val="zh-CN" w:bidi="zh-CN"/>
        </w:rPr>
        <w:t>址</w:t>
      </w:r>
      <w:r>
        <w:rPr>
          <w:rFonts w:hint="eastAsia" w:ascii="宋体" w:hAnsi="宋体" w:eastAsia="宋体" w:cs="宋体"/>
          <w:kern w:val="0"/>
          <w:sz w:val="21"/>
          <w:szCs w:val="21"/>
          <w:highlight w:val="none"/>
          <w:lang w:val="zh-CN" w:bidi="zh-CN"/>
        </w:rPr>
        <w:t>：</w:t>
      </w:r>
      <w:r>
        <w:rPr>
          <w:rFonts w:hint="eastAsia" w:ascii="宋体" w:hAnsi="宋体" w:eastAsia="宋体" w:cs="宋体"/>
          <w:kern w:val="0"/>
          <w:sz w:val="21"/>
          <w:szCs w:val="21"/>
          <w:highlight w:val="none"/>
          <w:u w:val="single"/>
          <w:lang w:val="zh-CN" w:bidi="zh-CN"/>
        </w:rPr>
        <w:tab/>
      </w:r>
    </w:p>
    <w:p w14:paraId="1CEE1A92">
      <w:pPr>
        <w:pageBreakBefore w:val="0"/>
        <w:shd w:val="clear"/>
        <w:tabs>
          <w:tab w:val="left" w:pos="1223"/>
          <w:tab w:val="left" w:pos="4042"/>
          <w:tab w:val="left" w:pos="4083"/>
          <w:tab w:val="left" w:pos="4583"/>
          <w:tab w:val="left" w:pos="6761"/>
          <w:tab w:val="left" w:pos="7042"/>
        </w:tabs>
        <w:kinsoku/>
        <w:wordWrap/>
        <w:overflowPunct/>
        <w:topLinePunct w:val="0"/>
        <w:autoSpaceDE/>
        <w:autoSpaceDN/>
        <w:bidi w:val="0"/>
        <w:adjustRightInd/>
        <w:snapToGrid/>
        <w:spacing w:before="5" w:line="480" w:lineRule="exact"/>
        <w:ind w:left="743" w:right="3921"/>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法定代表人(签字)：</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spacing w:val="-1"/>
          <w:kern w:val="0"/>
          <w:sz w:val="21"/>
          <w:szCs w:val="21"/>
          <w:highlight w:val="none"/>
          <w:lang w:val="zh-CN" w:bidi="zh-CN"/>
        </w:rPr>
        <w:t>法定代</w:t>
      </w:r>
      <w:r>
        <w:rPr>
          <w:rFonts w:hint="eastAsia" w:ascii="宋体" w:hAnsi="宋体" w:eastAsia="宋体" w:cs="宋体"/>
          <w:kern w:val="0"/>
          <w:sz w:val="21"/>
          <w:szCs w:val="21"/>
          <w:highlight w:val="none"/>
          <w:lang w:val="zh-CN" w:bidi="zh-CN"/>
        </w:rPr>
        <w:t>表人(签字)：</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 xml:space="preserve"> 委托代理人(签字)：</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spacing w:val="-1"/>
          <w:kern w:val="0"/>
          <w:sz w:val="21"/>
          <w:szCs w:val="21"/>
          <w:highlight w:val="none"/>
          <w:lang w:val="zh-CN" w:bidi="zh-CN"/>
        </w:rPr>
        <w:t>委托代</w:t>
      </w:r>
      <w:r>
        <w:rPr>
          <w:rFonts w:hint="eastAsia" w:ascii="宋体" w:hAnsi="宋体" w:eastAsia="宋体" w:cs="宋体"/>
          <w:kern w:val="0"/>
          <w:sz w:val="21"/>
          <w:szCs w:val="21"/>
          <w:highlight w:val="none"/>
          <w:lang w:val="zh-CN" w:bidi="zh-CN"/>
        </w:rPr>
        <w:t>理人(签字)：</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 xml:space="preserve"> 电</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话：</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电</w:t>
      </w:r>
      <w:r>
        <w:rPr>
          <w:rFonts w:hint="eastAsia" w:ascii="宋体" w:hAnsi="宋体" w:eastAsia="宋体" w:cs="宋体"/>
          <w:kern w:val="0"/>
          <w:sz w:val="21"/>
          <w:szCs w:val="21"/>
          <w:highlight w:val="none"/>
          <w:lang w:val="zh-CN" w:bidi="zh-CN"/>
        </w:rPr>
        <w:tab/>
      </w:r>
      <w:r>
        <w:rPr>
          <w:rFonts w:hint="eastAsia" w:ascii="宋体" w:hAnsi="宋体" w:eastAsia="宋体" w:cs="宋体"/>
          <w:spacing w:val="-1"/>
          <w:kern w:val="0"/>
          <w:sz w:val="21"/>
          <w:szCs w:val="21"/>
          <w:highlight w:val="none"/>
          <w:lang w:val="zh-CN" w:bidi="zh-CN"/>
        </w:rPr>
        <w:t>话</w:t>
      </w:r>
      <w:r>
        <w:rPr>
          <w:rFonts w:hint="eastAsia" w:ascii="宋体" w:hAnsi="宋体" w:eastAsia="宋体" w:cs="宋体"/>
          <w:kern w:val="0"/>
          <w:sz w:val="21"/>
          <w:szCs w:val="21"/>
          <w:highlight w:val="none"/>
          <w:lang w:val="zh-CN" w:bidi="zh-CN"/>
        </w:rPr>
        <w:t>：</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p>
    <w:p w14:paraId="27B3DD6A">
      <w:pPr>
        <w:pageBreakBefore w:val="0"/>
        <w:shd w:val="clear"/>
        <w:tabs>
          <w:tab w:val="left" w:pos="1223"/>
          <w:tab w:val="left" w:pos="4042"/>
          <w:tab w:val="left" w:pos="4083"/>
          <w:tab w:val="left" w:pos="4583"/>
          <w:tab w:val="left" w:pos="6761"/>
          <w:tab w:val="left" w:pos="7042"/>
        </w:tabs>
        <w:kinsoku/>
        <w:wordWrap/>
        <w:overflowPunct/>
        <w:topLinePunct w:val="0"/>
        <w:autoSpaceDE/>
        <w:autoSpaceDN/>
        <w:bidi w:val="0"/>
        <w:adjustRightInd/>
        <w:snapToGrid/>
        <w:spacing w:before="5" w:line="480" w:lineRule="exact"/>
        <w:ind w:left="743" w:right="3921"/>
        <w:jc w:val="left"/>
        <w:textAlignment w:val="auto"/>
        <w:rPr>
          <w:rFonts w:hint="eastAsia" w:ascii="宋体" w:hAnsi="宋体" w:eastAsia="宋体" w:cs="宋体"/>
          <w:sz w:val="21"/>
          <w:szCs w:val="21"/>
          <w:highlight w:val="none"/>
        </w:rPr>
        <w:sectPr>
          <w:pgSz w:w="11910" w:h="16840"/>
          <w:pgMar w:top="1340" w:right="380" w:bottom="1380" w:left="560" w:header="878" w:footer="1196" w:gutter="0"/>
          <w:pgNumType w:fmt="decimal"/>
          <w:cols w:space="720" w:num="1"/>
          <w:docGrid w:linePitch="360" w:charSpace="0"/>
        </w:sectPr>
      </w:pPr>
      <w:r>
        <w:rPr>
          <w:rFonts w:hint="eastAsia" w:ascii="宋体" w:hAnsi="宋体" w:eastAsia="宋体" w:cs="宋体"/>
          <w:kern w:val="0"/>
          <w:sz w:val="21"/>
          <w:szCs w:val="21"/>
          <w:highlight w:val="none"/>
          <w:lang w:val="zh-CN" w:bidi="zh-CN"/>
        </w:rPr>
        <w:t>传</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真：</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传</w:t>
      </w:r>
      <w:r>
        <w:rPr>
          <w:rFonts w:hint="eastAsia" w:ascii="宋体" w:hAnsi="宋体" w:eastAsia="宋体" w:cs="宋体"/>
          <w:kern w:val="0"/>
          <w:sz w:val="21"/>
          <w:szCs w:val="21"/>
          <w:highlight w:val="none"/>
          <w:lang w:val="zh-CN" w:bidi="zh-CN"/>
        </w:rPr>
        <w:tab/>
      </w:r>
      <w:r>
        <w:rPr>
          <w:rFonts w:hint="eastAsia" w:ascii="宋体" w:hAnsi="宋体" w:eastAsia="宋体" w:cs="宋体"/>
          <w:spacing w:val="-1"/>
          <w:kern w:val="0"/>
          <w:sz w:val="21"/>
          <w:szCs w:val="21"/>
          <w:highlight w:val="none"/>
          <w:lang w:val="zh-CN" w:bidi="zh-CN"/>
        </w:rPr>
        <w:t>真</w:t>
      </w:r>
      <w:r>
        <w:rPr>
          <w:rFonts w:hint="eastAsia" w:ascii="宋体" w:hAnsi="宋体" w:eastAsia="宋体" w:cs="宋体"/>
          <w:kern w:val="0"/>
          <w:sz w:val="21"/>
          <w:szCs w:val="21"/>
          <w:highlight w:val="none"/>
          <w:lang w:val="zh-CN" w:bidi="zh-CN"/>
        </w:rPr>
        <w:t>：</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br w:type="textWrapping"/>
      </w:r>
      <w:r>
        <w:rPr>
          <w:rFonts w:hint="eastAsia" w:ascii="宋体" w:hAnsi="宋体" w:eastAsia="宋体" w:cs="宋体"/>
          <w:kern w:val="0"/>
          <w:sz w:val="21"/>
          <w:szCs w:val="21"/>
          <w:highlight w:val="none"/>
          <w:lang w:val="zh-CN" w:bidi="zh-CN"/>
        </w:rPr>
        <w:t>开户银行：</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开户</w:t>
      </w:r>
      <w:r>
        <w:rPr>
          <w:rFonts w:hint="eastAsia" w:ascii="宋体" w:hAnsi="宋体" w:eastAsia="宋体" w:cs="宋体"/>
          <w:spacing w:val="-1"/>
          <w:kern w:val="0"/>
          <w:sz w:val="21"/>
          <w:szCs w:val="21"/>
          <w:highlight w:val="none"/>
          <w:lang w:val="zh-CN" w:bidi="zh-CN"/>
        </w:rPr>
        <w:t>银</w:t>
      </w:r>
      <w:r>
        <w:rPr>
          <w:rFonts w:hint="eastAsia" w:ascii="宋体" w:hAnsi="宋体" w:eastAsia="宋体" w:cs="宋体"/>
          <w:kern w:val="0"/>
          <w:sz w:val="21"/>
          <w:szCs w:val="21"/>
          <w:highlight w:val="none"/>
          <w:lang w:val="zh-CN" w:bidi="zh-CN"/>
        </w:rPr>
        <w:t>行：</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br w:type="textWrapping"/>
      </w:r>
      <w:r>
        <w:rPr>
          <w:rFonts w:hint="eastAsia" w:ascii="宋体" w:hAnsi="宋体" w:eastAsia="宋体" w:cs="宋体"/>
          <w:kern w:val="0"/>
          <w:sz w:val="21"/>
          <w:szCs w:val="21"/>
          <w:highlight w:val="none"/>
          <w:lang w:val="zh-CN" w:bidi="zh-CN"/>
        </w:rPr>
        <w:t>账号：</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账</w:t>
      </w:r>
      <w:r>
        <w:rPr>
          <w:rFonts w:hint="eastAsia" w:ascii="宋体" w:hAnsi="宋体" w:eastAsia="宋体" w:cs="宋体"/>
          <w:spacing w:val="-1"/>
          <w:kern w:val="0"/>
          <w:sz w:val="21"/>
          <w:szCs w:val="21"/>
          <w:highlight w:val="none"/>
          <w:lang w:val="zh-CN" w:bidi="zh-CN"/>
        </w:rPr>
        <w:t>号</w:t>
      </w:r>
      <w:r>
        <w:rPr>
          <w:rFonts w:hint="eastAsia" w:ascii="宋体" w:hAnsi="宋体" w:eastAsia="宋体" w:cs="宋体"/>
          <w:kern w:val="0"/>
          <w:sz w:val="21"/>
          <w:szCs w:val="21"/>
          <w:highlight w:val="none"/>
          <w:lang w:val="zh-CN" w:bidi="zh-CN"/>
        </w:rPr>
        <w:t>：</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br w:type="textWrapping"/>
      </w:r>
      <w:r>
        <w:rPr>
          <w:rFonts w:hint="eastAsia" w:ascii="宋体" w:hAnsi="宋体" w:eastAsia="宋体" w:cs="宋体"/>
          <w:kern w:val="0"/>
          <w:sz w:val="21"/>
          <w:szCs w:val="21"/>
          <w:highlight w:val="none"/>
          <w:lang w:val="zh-CN" w:bidi="zh-CN"/>
        </w:rPr>
        <w:t>邮政编码：</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邮政</w:t>
      </w:r>
      <w:r>
        <w:rPr>
          <w:rFonts w:hint="eastAsia" w:ascii="宋体" w:hAnsi="宋体" w:eastAsia="宋体" w:cs="宋体"/>
          <w:spacing w:val="-1"/>
          <w:kern w:val="0"/>
          <w:sz w:val="21"/>
          <w:szCs w:val="21"/>
          <w:highlight w:val="none"/>
          <w:lang w:val="zh-CN" w:bidi="zh-CN"/>
        </w:rPr>
        <w:t>编</w:t>
      </w:r>
      <w:r>
        <w:rPr>
          <w:rFonts w:hint="eastAsia" w:ascii="宋体" w:hAnsi="宋体" w:eastAsia="宋体" w:cs="宋体"/>
          <w:kern w:val="0"/>
          <w:sz w:val="21"/>
          <w:szCs w:val="21"/>
          <w:highlight w:val="none"/>
          <w:lang w:val="zh-CN" w:bidi="zh-CN"/>
        </w:rPr>
        <w:t>码：</w:t>
      </w:r>
      <w:r>
        <w:rPr>
          <w:rFonts w:hint="eastAsia" w:ascii="宋体" w:hAnsi="宋体" w:eastAsia="宋体" w:cs="宋体"/>
          <w:kern w:val="0"/>
          <w:sz w:val="21"/>
          <w:szCs w:val="21"/>
          <w:highlight w:val="none"/>
          <w:u w:val="single"/>
          <w:lang w:val="zh-CN" w:bidi="zh-CN"/>
        </w:rPr>
        <w:tab/>
      </w:r>
    </w:p>
    <w:p w14:paraId="05D5DC4A">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2AE9970C">
      <w:pPr>
        <w:pageBreakBefore w:val="0"/>
        <w:shd w:val="clear"/>
        <w:kinsoku/>
        <w:wordWrap/>
        <w:overflowPunct/>
        <w:topLinePunct w:val="0"/>
        <w:autoSpaceDE/>
        <w:autoSpaceDN/>
        <w:bidi w:val="0"/>
        <w:adjustRightInd/>
        <w:snapToGrid/>
        <w:spacing w:before="64" w:line="480" w:lineRule="exact"/>
        <w:ind w:left="743"/>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附件 4：</w:t>
      </w:r>
    </w:p>
    <w:p w14:paraId="3CCE18AD">
      <w:pPr>
        <w:pageBreakBefore w:val="0"/>
        <w:widowControl w:val="0"/>
        <w:shd w:val="clear"/>
        <w:kinsoku/>
        <w:wordWrap/>
        <w:overflowPunct/>
        <w:topLinePunct w:val="0"/>
        <w:autoSpaceDE/>
        <w:autoSpaceDN/>
        <w:bidi w:val="0"/>
        <w:adjustRightInd/>
        <w:snapToGrid/>
        <w:spacing w:before="6" w:line="480" w:lineRule="exact"/>
        <w:textAlignment w:val="auto"/>
        <w:rPr>
          <w:rFonts w:hint="eastAsia" w:ascii="宋体" w:hAnsi="宋体" w:eastAsia="宋体" w:cs="宋体"/>
          <w:kern w:val="2"/>
          <w:sz w:val="21"/>
          <w:szCs w:val="21"/>
          <w:highlight w:val="none"/>
          <w:lang w:val="zh-CN" w:eastAsia="zh-CN" w:bidi="zh-CN"/>
        </w:rPr>
      </w:pPr>
    </w:p>
    <w:p w14:paraId="45BA75F8">
      <w:pPr>
        <w:pageBreakBefore w:val="0"/>
        <w:shd w:val="clear"/>
        <w:kinsoku/>
        <w:wordWrap/>
        <w:overflowPunct/>
        <w:topLinePunct w:val="0"/>
        <w:autoSpaceDE/>
        <w:autoSpaceDN/>
        <w:bidi w:val="0"/>
        <w:adjustRightInd/>
        <w:snapToGrid/>
        <w:spacing w:before="67"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主要建设工程文件目录</w:t>
      </w:r>
    </w:p>
    <w:p w14:paraId="4D5A43EF">
      <w:pPr>
        <w:pageBreakBefore w:val="0"/>
        <w:widowControl w:val="0"/>
        <w:shd w:val="clear"/>
        <w:kinsoku/>
        <w:wordWrap/>
        <w:overflowPunct/>
        <w:topLinePunct w:val="0"/>
        <w:autoSpaceDE/>
        <w:autoSpaceDN/>
        <w:bidi w:val="0"/>
        <w:adjustRightInd/>
        <w:snapToGrid/>
        <w:spacing w:before="10" w:line="480" w:lineRule="exact"/>
        <w:textAlignment w:val="auto"/>
        <w:rPr>
          <w:rFonts w:hint="eastAsia" w:ascii="宋体" w:hAnsi="宋体" w:eastAsia="宋体" w:cs="宋体"/>
          <w:kern w:val="2"/>
          <w:sz w:val="21"/>
          <w:szCs w:val="21"/>
          <w:highlight w:val="none"/>
          <w:lang w:val="zh-CN" w:eastAsia="zh-CN" w:bidi="zh-CN"/>
        </w:rPr>
      </w:pPr>
    </w:p>
    <w:tbl>
      <w:tblPr>
        <w:tblStyle w:val="30"/>
        <w:tblW w:w="9039" w:type="dxa"/>
        <w:tblInd w:w="97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53"/>
        <w:gridCol w:w="1276"/>
        <w:gridCol w:w="1450"/>
        <w:gridCol w:w="1243"/>
        <w:gridCol w:w="1450"/>
        <w:gridCol w:w="1667"/>
      </w:tblGrid>
      <w:tr w14:paraId="101D61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1953" w:type="dxa"/>
            <w:tcBorders>
              <w:bottom w:val="single" w:color="000000" w:sz="2" w:space="0"/>
              <w:right w:val="single" w:color="000000" w:sz="6" w:space="0"/>
            </w:tcBorders>
            <w:noWrap w:val="0"/>
            <w:vAlign w:val="top"/>
          </w:tcPr>
          <w:p w14:paraId="2E9B3DCB">
            <w:pPr>
              <w:pageBreakBefore w:val="0"/>
              <w:widowControl w:val="0"/>
              <w:shd w:val="clear"/>
              <w:kinsoku/>
              <w:wordWrap/>
              <w:overflowPunct/>
              <w:topLinePunct w:val="0"/>
              <w:autoSpaceDE/>
              <w:autoSpaceDN/>
              <w:bidi w:val="0"/>
              <w:adjustRightInd/>
              <w:snapToGrid/>
              <w:spacing w:before="7" w:line="480" w:lineRule="exact"/>
              <w:ind w:left="8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文件名称</w:t>
            </w:r>
          </w:p>
        </w:tc>
        <w:tc>
          <w:tcPr>
            <w:tcW w:w="1276" w:type="dxa"/>
            <w:tcBorders>
              <w:left w:val="single" w:color="000000" w:sz="6" w:space="0"/>
              <w:bottom w:val="single" w:color="000000" w:sz="2" w:space="0"/>
              <w:right w:val="single" w:color="000000" w:sz="6" w:space="0"/>
            </w:tcBorders>
            <w:noWrap w:val="0"/>
            <w:vAlign w:val="top"/>
          </w:tcPr>
          <w:p w14:paraId="04ABF8A3">
            <w:pPr>
              <w:pageBreakBefore w:val="0"/>
              <w:widowControl w:val="0"/>
              <w:shd w:val="clear"/>
              <w:kinsoku/>
              <w:wordWrap/>
              <w:overflowPunct/>
              <w:topLinePunct w:val="0"/>
              <w:autoSpaceDE/>
              <w:autoSpaceDN/>
              <w:bidi w:val="0"/>
              <w:adjustRightInd/>
              <w:snapToGrid/>
              <w:spacing w:before="7"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套数</w:t>
            </w:r>
          </w:p>
        </w:tc>
        <w:tc>
          <w:tcPr>
            <w:tcW w:w="1450" w:type="dxa"/>
            <w:tcBorders>
              <w:left w:val="single" w:color="000000" w:sz="6" w:space="0"/>
              <w:bottom w:val="single" w:color="000000" w:sz="2" w:space="0"/>
              <w:right w:val="single" w:color="000000" w:sz="6" w:space="0"/>
            </w:tcBorders>
            <w:noWrap w:val="0"/>
            <w:vAlign w:val="top"/>
          </w:tcPr>
          <w:p w14:paraId="263E89C8">
            <w:pPr>
              <w:pageBreakBefore w:val="0"/>
              <w:widowControl w:val="0"/>
              <w:shd w:val="clear"/>
              <w:kinsoku/>
              <w:wordWrap/>
              <w:overflowPunct/>
              <w:topLinePunct w:val="0"/>
              <w:autoSpaceDE/>
              <w:autoSpaceDN/>
              <w:bidi w:val="0"/>
              <w:adjustRightInd/>
              <w:snapToGrid/>
              <w:spacing w:before="7"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费用（元）</w:t>
            </w:r>
          </w:p>
        </w:tc>
        <w:tc>
          <w:tcPr>
            <w:tcW w:w="1243" w:type="dxa"/>
            <w:tcBorders>
              <w:left w:val="single" w:color="000000" w:sz="6" w:space="0"/>
              <w:bottom w:val="single" w:color="000000" w:sz="2" w:space="0"/>
              <w:right w:val="single" w:color="000000" w:sz="6" w:space="0"/>
            </w:tcBorders>
            <w:noWrap w:val="0"/>
            <w:vAlign w:val="top"/>
          </w:tcPr>
          <w:p w14:paraId="7DBA5A95">
            <w:pPr>
              <w:pageBreakBefore w:val="0"/>
              <w:widowControl w:val="0"/>
              <w:shd w:val="clear"/>
              <w:kinsoku/>
              <w:wordWrap/>
              <w:overflowPunct/>
              <w:topLinePunct w:val="0"/>
              <w:autoSpaceDE/>
              <w:autoSpaceDN/>
              <w:bidi w:val="0"/>
              <w:adjustRightInd/>
              <w:snapToGrid/>
              <w:spacing w:before="7"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质量</w:t>
            </w:r>
          </w:p>
        </w:tc>
        <w:tc>
          <w:tcPr>
            <w:tcW w:w="1450" w:type="dxa"/>
            <w:tcBorders>
              <w:left w:val="single" w:color="000000" w:sz="6" w:space="0"/>
              <w:bottom w:val="single" w:color="000000" w:sz="2" w:space="0"/>
              <w:right w:val="single" w:color="000000" w:sz="6" w:space="0"/>
            </w:tcBorders>
            <w:noWrap w:val="0"/>
            <w:vAlign w:val="top"/>
          </w:tcPr>
          <w:p w14:paraId="638BA5F7">
            <w:pPr>
              <w:pageBreakBefore w:val="0"/>
              <w:widowControl w:val="0"/>
              <w:shd w:val="clear"/>
              <w:kinsoku/>
              <w:wordWrap/>
              <w:overflowPunct/>
              <w:topLinePunct w:val="0"/>
              <w:autoSpaceDE/>
              <w:autoSpaceDN/>
              <w:bidi w:val="0"/>
              <w:adjustRightInd/>
              <w:snapToGrid/>
              <w:spacing w:line="480" w:lineRule="exact"/>
              <w:ind w:left="251"/>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移交时间</w:t>
            </w:r>
          </w:p>
        </w:tc>
        <w:tc>
          <w:tcPr>
            <w:tcW w:w="1667" w:type="dxa"/>
            <w:tcBorders>
              <w:left w:val="single" w:color="000000" w:sz="6" w:space="0"/>
              <w:bottom w:val="single" w:color="000000" w:sz="2" w:space="0"/>
            </w:tcBorders>
            <w:noWrap w:val="0"/>
            <w:vAlign w:val="top"/>
          </w:tcPr>
          <w:p w14:paraId="39BEE4B4">
            <w:pPr>
              <w:pageBreakBefore w:val="0"/>
              <w:widowControl w:val="0"/>
              <w:shd w:val="clear"/>
              <w:kinsoku/>
              <w:wordWrap/>
              <w:overflowPunct/>
              <w:topLinePunct w:val="0"/>
              <w:autoSpaceDE/>
              <w:autoSpaceDN/>
              <w:bidi w:val="0"/>
              <w:adjustRightInd/>
              <w:snapToGrid/>
              <w:spacing w:line="480" w:lineRule="exact"/>
              <w:ind w:left="47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责任人</w:t>
            </w:r>
          </w:p>
        </w:tc>
      </w:tr>
      <w:tr w14:paraId="125847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2" w:space="0"/>
              <w:bottom w:val="single" w:color="000000" w:sz="6" w:space="0"/>
              <w:right w:val="single" w:color="000000" w:sz="6" w:space="0"/>
            </w:tcBorders>
            <w:noWrap w:val="0"/>
            <w:vAlign w:val="top"/>
          </w:tcPr>
          <w:p w14:paraId="42894E28">
            <w:pPr>
              <w:pageBreakBefore w:val="0"/>
              <w:widowControl w:val="0"/>
              <w:shd w:val="clear"/>
              <w:kinsoku/>
              <w:wordWrap/>
              <w:overflowPunct/>
              <w:topLinePunct w:val="0"/>
              <w:autoSpaceDE/>
              <w:autoSpaceDN/>
              <w:bidi w:val="0"/>
              <w:adjustRightInd/>
              <w:snapToGrid/>
              <w:spacing w:before="68" w:line="480" w:lineRule="exact"/>
              <w:ind w:left="8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项目批文</w:t>
            </w:r>
          </w:p>
        </w:tc>
        <w:tc>
          <w:tcPr>
            <w:tcW w:w="1276" w:type="dxa"/>
            <w:tcBorders>
              <w:top w:val="single" w:color="000000" w:sz="2" w:space="0"/>
              <w:left w:val="single" w:color="000000" w:sz="6" w:space="0"/>
              <w:bottom w:val="single" w:color="000000" w:sz="6" w:space="0"/>
              <w:right w:val="single" w:color="000000" w:sz="6" w:space="0"/>
            </w:tcBorders>
            <w:noWrap w:val="0"/>
            <w:vAlign w:val="top"/>
          </w:tcPr>
          <w:p w14:paraId="37E9AF96">
            <w:pPr>
              <w:pageBreakBefore w:val="0"/>
              <w:widowControl w:val="0"/>
              <w:shd w:val="clear"/>
              <w:kinsoku/>
              <w:wordWrap/>
              <w:overflowPunct/>
              <w:topLinePunct w:val="0"/>
              <w:autoSpaceDE/>
              <w:autoSpaceDN/>
              <w:bidi w:val="0"/>
              <w:adjustRightInd/>
              <w:snapToGrid/>
              <w:spacing w:before="77"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1</w:t>
            </w:r>
          </w:p>
        </w:tc>
        <w:tc>
          <w:tcPr>
            <w:tcW w:w="1450" w:type="dxa"/>
            <w:tcBorders>
              <w:top w:val="single" w:color="000000" w:sz="2" w:space="0"/>
              <w:left w:val="single" w:color="000000" w:sz="6" w:space="0"/>
              <w:bottom w:val="single" w:color="000000" w:sz="6" w:space="0"/>
              <w:right w:val="single" w:color="000000" w:sz="6" w:space="0"/>
            </w:tcBorders>
            <w:noWrap w:val="0"/>
            <w:vAlign w:val="top"/>
          </w:tcPr>
          <w:p w14:paraId="5F88406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2" w:space="0"/>
              <w:left w:val="single" w:color="000000" w:sz="6" w:space="0"/>
              <w:bottom w:val="single" w:color="000000" w:sz="6" w:space="0"/>
              <w:right w:val="single" w:color="000000" w:sz="6" w:space="0"/>
            </w:tcBorders>
            <w:noWrap w:val="0"/>
            <w:vAlign w:val="top"/>
          </w:tcPr>
          <w:p w14:paraId="15F5238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2" w:space="0"/>
              <w:left w:val="single" w:color="000000" w:sz="6" w:space="0"/>
              <w:bottom w:val="single" w:color="000000" w:sz="6" w:space="0"/>
              <w:right w:val="single" w:color="000000" w:sz="6" w:space="0"/>
            </w:tcBorders>
            <w:noWrap w:val="0"/>
            <w:vAlign w:val="top"/>
          </w:tcPr>
          <w:p w14:paraId="6225B169">
            <w:pPr>
              <w:pageBreakBefore w:val="0"/>
              <w:widowControl w:val="0"/>
              <w:shd w:val="clear"/>
              <w:kinsoku/>
              <w:wordWrap/>
              <w:overflowPunct/>
              <w:topLinePunct w:val="0"/>
              <w:autoSpaceDE/>
              <w:autoSpaceDN/>
              <w:bidi w:val="0"/>
              <w:adjustRightInd/>
              <w:snapToGrid/>
              <w:spacing w:before="68"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开工前</w:t>
            </w:r>
          </w:p>
        </w:tc>
        <w:tc>
          <w:tcPr>
            <w:tcW w:w="1667" w:type="dxa"/>
            <w:tcBorders>
              <w:top w:val="single" w:color="000000" w:sz="2" w:space="0"/>
              <w:left w:val="single" w:color="000000" w:sz="6" w:space="0"/>
              <w:bottom w:val="single" w:color="000000" w:sz="6" w:space="0"/>
            </w:tcBorders>
            <w:noWrap w:val="0"/>
            <w:vAlign w:val="top"/>
          </w:tcPr>
          <w:p w14:paraId="6880A00E">
            <w:pPr>
              <w:pageBreakBefore w:val="0"/>
              <w:widowControl w:val="0"/>
              <w:shd w:val="clear"/>
              <w:kinsoku/>
              <w:wordWrap/>
              <w:overflowPunct/>
              <w:topLinePunct w:val="0"/>
              <w:autoSpaceDE/>
              <w:autoSpaceDN/>
              <w:bidi w:val="0"/>
              <w:adjustRightInd/>
              <w:snapToGrid/>
              <w:spacing w:before="68"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发包人</w:t>
            </w:r>
          </w:p>
        </w:tc>
      </w:tr>
      <w:tr w14:paraId="1F3C9D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2" w:hRule="atLeast"/>
        </w:trPr>
        <w:tc>
          <w:tcPr>
            <w:tcW w:w="1953" w:type="dxa"/>
            <w:tcBorders>
              <w:top w:val="single" w:color="000000" w:sz="6" w:space="0"/>
              <w:bottom w:val="single" w:color="000000" w:sz="6" w:space="0"/>
              <w:right w:val="single" w:color="000000" w:sz="6" w:space="0"/>
            </w:tcBorders>
            <w:noWrap w:val="0"/>
            <w:vAlign w:val="top"/>
          </w:tcPr>
          <w:p w14:paraId="341105A2">
            <w:pPr>
              <w:pageBreakBefore w:val="0"/>
              <w:widowControl w:val="0"/>
              <w:shd w:val="clear"/>
              <w:kinsoku/>
              <w:wordWrap/>
              <w:overflowPunct/>
              <w:topLinePunct w:val="0"/>
              <w:autoSpaceDE/>
              <w:autoSpaceDN/>
              <w:bidi w:val="0"/>
              <w:adjustRightInd/>
              <w:snapToGrid/>
              <w:spacing w:before="155" w:line="480" w:lineRule="exact"/>
              <w:ind w:left="8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图纸</w:t>
            </w: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17E52BB2">
            <w:pPr>
              <w:pageBreakBefore w:val="0"/>
              <w:widowControl w:val="0"/>
              <w:shd w:val="clear"/>
              <w:kinsoku/>
              <w:wordWrap/>
              <w:overflowPunct/>
              <w:topLinePunct w:val="0"/>
              <w:autoSpaceDE/>
              <w:autoSpaceDN/>
              <w:bidi w:val="0"/>
              <w:adjustRightInd/>
              <w:snapToGrid/>
              <w:spacing w:before="164"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3</w:t>
            </w: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F36EDB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6B2630AF">
            <w:pPr>
              <w:pageBreakBefore w:val="0"/>
              <w:widowControl w:val="0"/>
              <w:shd w:val="clear"/>
              <w:kinsoku/>
              <w:wordWrap/>
              <w:overflowPunct/>
              <w:topLinePunct w:val="0"/>
              <w:autoSpaceDE/>
              <w:autoSpaceDN/>
              <w:bidi w:val="0"/>
              <w:adjustRightInd/>
              <w:snapToGrid/>
              <w:spacing w:before="2" w:line="480" w:lineRule="exact"/>
              <w:ind w:left="97" w:right="6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符合使用要求</w:t>
            </w: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55937066">
            <w:pPr>
              <w:pageBreakBefore w:val="0"/>
              <w:widowControl w:val="0"/>
              <w:shd w:val="clear"/>
              <w:kinsoku/>
              <w:wordWrap/>
              <w:overflowPunct/>
              <w:topLinePunct w:val="0"/>
              <w:autoSpaceDE/>
              <w:autoSpaceDN/>
              <w:bidi w:val="0"/>
              <w:adjustRightInd/>
              <w:snapToGrid/>
              <w:spacing w:before="155"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开工前</w:t>
            </w:r>
          </w:p>
        </w:tc>
        <w:tc>
          <w:tcPr>
            <w:tcW w:w="1667" w:type="dxa"/>
            <w:tcBorders>
              <w:top w:val="single" w:color="000000" w:sz="6" w:space="0"/>
              <w:left w:val="single" w:color="000000" w:sz="6" w:space="0"/>
              <w:bottom w:val="single" w:color="000000" w:sz="6" w:space="0"/>
            </w:tcBorders>
            <w:noWrap w:val="0"/>
            <w:vAlign w:val="top"/>
          </w:tcPr>
          <w:p w14:paraId="351C7C7C">
            <w:pPr>
              <w:pageBreakBefore w:val="0"/>
              <w:widowControl w:val="0"/>
              <w:shd w:val="clear"/>
              <w:kinsoku/>
              <w:wordWrap/>
              <w:overflowPunct/>
              <w:topLinePunct w:val="0"/>
              <w:autoSpaceDE/>
              <w:autoSpaceDN/>
              <w:bidi w:val="0"/>
              <w:adjustRightInd/>
              <w:snapToGrid/>
              <w:spacing w:before="155"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发包人</w:t>
            </w:r>
          </w:p>
        </w:tc>
      </w:tr>
      <w:tr w14:paraId="1AFA7F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60B061BE">
            <w:pPr>
              <w:pageBreakBefore w:val="0"/>
              <w:widowControl w:val="0"/>
              <w:shd w:val="clear"/>
              <w:kinsoku/>
              <w:wordWrap/>
              <w:overflowPunct/>
              <w:topLinePunct w:val="0"/>
              <w:autoSpaceDE/>
              <w:autoSpaceDN/>
              <w:bidi w:val="0"/>
              <w:adjustRightInd/>
              <w:snapToGrid/>
              <w:spacing w:before="68" w:line="480" w:lineRule="exact"/>
              <w:ind w:left="8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技术文件</w:t>
            </w: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66BABD1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39CFA7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45BF030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BD408F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1C2D5B0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A31F7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724DBFB1">
            <w:pPr>
              <w:pageBreakBefore w:val="0"/>
              <w:widowControl w:val="0"/>
              <w:shd w:val="clear"/>
              <w:kinsoku/>
              <w:wordWrap/>
              <w:overflowPunct/>
              <w:topLinePunct w:val="0"/>
              <w:autoSpaceDE/>
              <w:autoSpaceDN/>
              <w:bidi w:val="0"/>
              <w:adjustRightInd/>
              <w:snapToGrid/>
              <w:spacing w:before="69" w:line="480" w:lineRule="exact"/>
              <w:ind w:left="8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合同</w:t>
            </w: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72EA518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93B481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44A9BCA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1EEE9EB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31220C3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5C652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noWrap w:val="0"/>
            <w:vAlign w:val="top"/>
          </w:tcPr>
          <w:p w14:paraId="6DCE70CA">
            <w:pPr>
              <w:pageBreakBefore w:val="0"/>
              <w:widowControl w:val="0"/>
              <w:shd w:val="clear"/>
              <w:kinsoku/>
              <w:wordWrap/>
              <w:overflowPunct/>
              <w:topLinePunct w:val="0"/>
              <w:autoSpaceDE/>
              <w:autoSpaceDN/>
              <w:bidi w:val="0"/>
              <w:adjustRightInd/>
              <w:snapToGrid/>
              <w:spacing w:before="68" w:line="480" w:lineRule="exact"/>
              <w:ind w:left="8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w:t>
            </w: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66F8186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A5C413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2CEEA03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E222CD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1673F7C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14BF8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51740D5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67E4B74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34B90FA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05DD17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1138B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7E881F0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FD8C1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679576F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6EC6201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047CB3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41D20DF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38D240C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73CB31D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579FF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noWrap w:val="0"/>
            <w:vAlign w:val="top"/>
          </w:tcPr>
          <w:p w14:paraId="42AA2B8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0967B42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38677AD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7A3CAC3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3DB4F0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0E4075F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A3B56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2359906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36E11E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13654A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1CE45E5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A32B57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5F72636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A6E12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3D6F155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41D0BD1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C83001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2AB2E76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2E63E5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2AE9DF9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E5A31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noWrap w:val="0"/>
            <w:vAlign w:val="top"/>
          </w:tcPr>
          <w:p w14:paraId="4BD4320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531DEBD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41CFC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087BD1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EF1AAE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5B0CB75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A5E39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2E47175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54F63D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8A46C3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1A9F59C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E209F0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66ECCF5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BF75E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7918B1A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1504564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35F744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60619F4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5E56DA9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455F34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FD742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noWrap w:val="0"/>
            <w:vAlign w:val="top"/>
          </w:tcPr>
          <w:p w14:paraId="0BAA112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4EBDFA4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459A45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29BFE65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E3C97D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1BC08D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FF018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noWrap w:val="0"/>
            <w:vAlign w:val="top"/>
          </w:tcPr>
          <w:p w14:paraId="66A9E07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7A1AC36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5E14C7F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15247D4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5B4CEE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bottom w:val="single" w:color="000000" w:sz="6" w:space="0"/>
            </w:tcBorders>
            <w:noWrap w:val="0"/>
            <w:vAlign w:val="top"/>
          </w:tcPr>
          <w:p w14:paraId="2963EE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ACEF6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right w:val="single" w:color="000000" w:sz="6" w:space="0"/>
            </w:tcBorders>
            <w:noWrap w:val="0"/>
            <w:vAlign w:val="top"/>
          </w:tcPr>
          <w:p w14:paraId="72D04F5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76" w:type="dxa"/>
            <w:tcBorders>
              <w:top w:val="single" w:color="000000" w:sz="6" w:space="0"/>
              <w:left w:val="single" w:color="000000" w:sz="6" w:space="0"/>
              <w:right w:val="single" w:color="000000" w:sz="6" w:space="0"/>
            </w:tcBorders>
            <w:noWrap w:val="0"/>
            <w:vAlign w:val="top"/>
          </w:tcPr>
          <w:p w14:paraId="2CBD9B3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right w:val="single" w:color="000000" w:sz="6" w:space="0"/>
            </w:tcBorders>
            <w:noWrap w:val="0"/>
            <w:vAlign w:val="top"/>
          </w:tcPr>
          <w:p w14:paraId="158594B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43" w:type="dxa"/>
            <w:tcBorders>
              <w:top w:val="single" w:color="000000" w:sz="6" w:space="0"/>
              <w:left w:val="single" w:color="000000" w:sz="6" w:space="0"/>
              <w:right w:val="single" w:color="000000" w:sz="6" w:space="0"/>
            </w:tcBorders>
            <w:noWrap w:val="0"/>
            <w:vAlign w:val="top"/>
          </w:tcPr>
          <w:p w14:paraId="5137687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50" w:type="dxa"/>
            <w:tcBorders>
              <w:top w:val="single" w:color="000000" w:sz="6" w:space="0"/>
              <w:left w:val="single" w:color="000000" w:sz="6" w:space="0"/>
              <w:right w:val="single" w:color="000000" w:sz="6" w:space="0"/>
            </w:tcBorders>
            <w:noWrap w:val="0"/>
            <w:vAlign w:val="top"/>
          </w:tcPr>
          <w:p w14:paraId="656D0AB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67" w:type="dxa"/>
            <w:tcBorders>
              <w:top w:val="single" w:color="000000" w:sz="6" w:space="0"/>
              <w:left w:val="single" w:color="000000" w:sz="6" w:space="0"/>
            </w:tcBorders>
            <w:noWrap w:val="0"/>
            <w:vAlign w:val="top"/>
          </w:tcPr>
          <w:p w14:paraId="78F6706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00FE4DB0">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pgSz w:w="11910" w:h="16840"/>
          <w:pgMar w:top="1340" w:right="380" w:bottom="1380" w:left="560" w:header="878" w:footer="1196" w:gutter="0"/>
          <w:pgNumType w:fmt="decimal"/>
          <w:cols w:space="720" w:num="1"/>
          <w:docGrid w:linePitch="360" w:charSpace="0"/>
        </w:sectPr>
      </w:pPr>
    </w:p>
    <w:p w14:paraId="4660B02B">
      <w:pPr>
        <w:pageBreakBefore w:val="0"/>
        <w:shd w:val="clear"/>
        <w:kinsoku/>
        <w:wordWrap/>
        <w:overflowPunct/>
        <w:topLinePunct w:val="0"/>
        <w:autoSpaceDE/>
        <w:autoSpaceDN/>
        <w:bidi w:val="0"/>
        <w:adjustRightInd/>
        <w:snapToGrid/>
        <w:spacing w:before="64" w:line="480" w:lineRule="exact"/>
        <w:ind w:left="743"/>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附件 5：</w:t>
      </w:r>
    </w:p>
    <w:p w14:paraId="22357E67">
      <w:pPr>
        <w:pageBreakBefore w:val="0"/>
        <w:shd w:val="clear"/>
        <w:kinsoku/>
        <w:wordWrap/>
        <w:overflowPunct/>
        <w:topLinePunct w:val="0"/>
        <w:autoSpaceDE/>
        <w:autoSpaceDN/>
        <w:bidi w:val="0"/>
        <w:adjustRightInd/>
        <w:snapToGrid/>
        <w:spacing w:before="67"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承包人用于本工程施工的机械设备表</w:t>
      </w:r>
    </w:p>
    <w:p w14:paraId="319D000D">
      <w:pPr>
        <w:pageBreakBefore w:val="0"/>
        <w:widowControl w:val="0"/>
        <w:shd w:val="clear"/>
        <w:kinsoku/>
        <w:wordWrap/>
        <w:overflowPunct/>
        <w:topLinePunct w:val="0"/>
        <w:autoSpaceDE/>
        <w:autoSpaceDN/>
        <w:bidi w:val="0"/>
        <w:adjustRightInd/>
        <w:snapToGrid/>
        <w:spacing w:before="10" w:line="480" w:lineRule="exact"/>
        <w:textAlignment w:val="auto"/>
        <w:rPr>
          <w:rFonts w:hint="eastAsia" w:ascii="宋体" w:hAnsi="宋体" w:eastAsia="宋体" w:cs="宋体"/>
          <w:kern w:val="2"/>
          <w:sz w:val="21"/>
          <w:szCs w:val="21"/>
          <w:highlight w:val="none"/>
          <w:lang w:val="zh-CN" w:eastAsia="zh-CN" w:bidi="zh-CN"/>
        </w:rPr>
      </w:pPr>
    </w:p>
    <w:tbl>
      <w:tblPr>
        <w:tblStyle w:val="30"/>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E9195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trPr>
        <w:tc>
          <w:tcPr>
            <w:tcW w:w="1162" w:type="dxa"/>
            <w:tcBorders>
              <w:bottom w:val="single" w:color="000000" w:sz="2" w:space="0"/>
              <w:right w:val="single" w:color="000000" w:sz="6" w:space="0"/>
            </w:tcBorders>
            <w:noWrap w:val="0"/>
            <w:vAlign w:val="top"/>
          </w:tcPr>
          <w:p w14:paraId="39CF5803">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42259A86">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序号</w:t>
            </w:r>
          </w:p>
        </w:tc>
        <w:tc>
          <w:tcPr>
            <w:tcW w:w="1418" w:type="dxa"/>
            <w:tcBorders>
              <w:left w:val="single" w:color="000000" w:sz="6" w:space="0"/>
              <w:bottom w:val="single" w:color="000000" w:sz="2" w:space="0"/>
              <w:right w:val="single" w:color="000000" w:sz="6" w:space="0"/>
            </w:tcBorders>
            <w:noWrap w:val="0"/>
            <w:vAlign w:val="top"/>
          </w:tcPr>
          <w:p w14:paraId="64F117C8">
            <w:pPr>
              <w:pageBreakBefore w:val="0"/>
              <w:widowControl w:val="0"/>
              <w:shd w:val="clear"/>
              <w:kinsoku/>
              <w:wordWrap/>
              <w:overflowPunct/>
              <w:topLinePunct w:val="0"/>
              <w:autoSpaceDE/>
              <w:autoSpaceDN/>
              <w:bidi w:val="0"/>
              <w:adjustRightInd/>
              <w:snapToGrid/>
              <w:spacing w:line="480" w:lineRule="exact"/>
              <w:ind w:left="97" w:right="6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机械或设备名称</w:t>
            </w:r>
          </w:p>
        </w:tc>
        <w:tc>
          <w:tcPr>
            <w:tcW w:w="850" w:type="dxa"/>
            <w:tcBorders>
              <w:left w:val="single" w:color="000000" w:sz="6" w:space="0"/>
              <w:bottom w:val="single" w:color="000000" w:sz="2" w:space="0"/>
              <w:right w:val="single" w:color="000000" w:sz="6" w:space="0"/>
            </w:tcBorders>
            <w:noWrap w:val="0"/>
            <w:vAlign w:val="top"/>
          </w:tcPr>
          <w:p w14:paraId="17163124">
            <w:pPr>
              <w:pageBreakBefore w:val="0"/>
              <w:widowControl w:val="0"/>
              <w:shd w:val="clear"/>
              <w:kinsoku/>
              <w:wordWrap/>
              <w:overflowPunct/>
              <w:topLinePunct w:val="0"/>
              <w:autoSpaceDE/>
              <w:autoSpaceDN/>
              <w:bidi w:val="0"/>
              <w:adjustRightInd/>
              <w:snapToGrid/>
              <w:spacing w:line="480" w:lineRule="exact"/>
              <w:ind w:left="97" w:right="6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规 格型号</w:t>
            </w:r>
          </w:p>
        </w:tc>
        <w:tc>
          <w:tcPr>
            <w:tcW w:w="1058" w:type="dxa"/>
            <w:tcBorders>
              <w:left w:val="single" w:color="000000" w:sz="6" w:space="0"/>
              <w:bottom w:val="single" w:color="000000" w:sz="2" w:space="0"/>
              <w:right w:val="single" w:color="000000" w:sz="6" w:space="0"/>
            </w:tcBorders>
            <w:noWrap w:val="0"/>
            <w:vAlign w:val="top"/>
          </w:tcPr>
          <w:p w14:paraId="5A57A919">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3986CFB5">
            <w:pPr>
              <w:pageBreakBefore w:val="0"/>
              <w:widowControl w:val="0"/>
              <w:shd w:val="clear"/>
              <w:kinsoku/>
              <w:wordWrap/>
              <w:overflowPunct/>
              <w:topLinePunct w:val="0"/>
              <w:autoSpaceDE/>
              <w:autoSpaceDN/>
              <w:bidi w:val="0"/>
              <w:adjustRightInd/>
              <w:snapToGrid/>
              <w:spacing w:before="1"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数量</w:t>
            </w:r>
          </w:p>
        </w:tc>
        <w:tc>
          <w:tcPr>
            <w:tcW w:w="880" w:type="dxa"/>
            <w:tcBorders>
              <w:left w:val="single" w:color="000000" w:sz="6" w:space="0"/>
              <w:bottom w:val="single" w:color="000000" w:sz="2" w:space="0"/>
              <w:right w:val="single" w:color="000000" w:sz="6" w:space="0"/>
            </w:tcBorders>
            <w:noWrap w:val="0"/>
            <w:vAlign w:val="top"/>
          </w:tcPr>
          <w:p w14:paraId="7CB8C80E">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150E8E1A">
            <w:pPr>
              <w:pageBreakBefore w:val="0"/>
              <w:widowControl w:val="0"/>
              <w:shd w:val="clear"/>
              <w:kinsoku/>
              <w:wordWrap/>
              <w:overflowPunct/>
              <w:topLinePunct w:val="0"/>
              <w:autoSpaceDE/>
              <w:autoSpaceDN/>
              <w:bidi w:val="0"/>
              <w:adjustRightInd/>
              <w:snapToGrid/>
              <w:spacing w:before="1"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产地</w:t>
            </w:r>
          </w:p>
        </w:tc>
        <w:tc>
          <w:tcPr>
            <w:tcW w:w="1020" w:type="dxa"/>
            <w:tcBorders>
              <w:left w:val="single" w:color="000000" w:sz="6" w:space="0"/>
              <w:bottom w:val="single" w:color="000000" w:sz="2" w:space="0"/>
              <w:right w:val="single" w:color="000000" w:sz="6" w:space="0"/>
            </w:tcBorders>
            <w:noWrap w:val="0"/>
            <w:vAlign w:val="top"/>
          </w:tcPr>
          <w:p w14:paraId="3753900B">
            <w:pPr>
              <w:pageBreakBefore w:val="0"/>
              <w:widowControl w:val="0"/>
              <w:shd w:val="clear"/>
              <w:kinsoku/>
              <w:wordWrap/>
              <w:overflowPunct/>
              <w:topLinePunct w:val="0"/>
              <w:autoSpaceDE/>
              <w:autoSpaceDN/>
              <w:bidi w:val="0"/>
              <w:adjustRightInd/>
              <w:snapToGrid/>
              <w:spacing w:line="480" w:lineRule="exact"/>
              <w:ind w:left="98" w:right="6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制 造年份</w:t>
            </w:r>
          </w:p>
        </w:tc>
        <w:tc>
          <w:tcPr>
            <w:tcW w:w="1480" w:type="dxa"/>
            <w:tcBorders>
              <w:left w:val="single" w:color="000000" w:sz="6" w:space="0"/>
              <w:bottom w:val="single" w:color="000000" w:sz="2" w:space="0"/>
              <w:right w:val="single" w:color="000000" w:sz="6" w:space="0"/>
            </w:tcBorders>
            <w:noWrap w:val="0"/>
            <w:vAlign w:val="top"/>
          </w:tcPr>
          <w:p w14:paraId="7FDE607F">
            <w:pPr>
              <w:pageBreakBefore w:val="0"/>
              <w:widowControl w:val="0"/>
              <w:shd w:val="clear"/>
              <w:kinsoku/>
              <w:wordWrap/>
              <w:overflowPunct/>
              <w:topLinePunct w:val="0"/>
              <w:autoSpaceDE/>
              <w:autoSpaceDN/>
              <w:bidi w:val="0"/>
              <w:adjustRightInd/>
              <w:snapToGrid/>
              <w:spacing w:before="14"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额 定 功 率</w:t>
            </w:r>
          </w:p>
          <w:p w14:paraId="5988205E">
            <w:pPr>
              <w:pageBreakBefore w:val="0"/>
              <w:widowControl w:val="0"/>
              <w:shd w:val="clear"/>
              <w:kinsoku/>
              <w:wordWrap/>
              <w:overflowPunct/>
              <w:topLinePunct w:val="0"/>
              <w:autoSpaceDE/>
              <w:autoSpaceDN/>
              <w:bidi w:val="0"/>
              <w:adjustRightInd/>
              <w:snapToGrid/>
              <w:spacing w:before="158"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(kW)</w:t>
            </w:r>
          </w:p>
        </w:tc>
        <w:tc>
          <w:tcPr>
            <w:tcW w:w="1020" w:type="dxa"/>
            <w:tcBorders>
              <w:left w:val="single" w:color="000000" w:sz="6" w:space="0"/>
              <w:bottom w:val="single" w:color="000000" w:sz="2" w:space="0"/>
              <w:right w:val="single" w:color="000000" w:sz="6" w:space="0"/>
            </w:tcBorders>
            <w:noWrap w:val="0"/>
            <w:vAlign w:val="top"/>
          </w:tcPr>
          <w:p w14:paraId="1F4E36CB">
            <w:pPr>
              <w:pageBreakBefore w:val="0"/>
              <w:widowControl w:val="0"/>
              <w:shd w:val="clear"/>
              <w:kinsoku/>
              <w:wordWrap/>
              <w:overflowPunct/>
              <w:topLinePunct w:val="0"/>
              <w:autoSpaceDE/>
              <w:autoSpaceDN/>
              <w:bidi w:val="0"/>
              <w:adjustRightInd/>
              <w:snapToGrid/>
              <w:spacing w:line="480" w:lineRule="exact"/>
              <w:ind w:left="97" w:right="6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生 产能力</w:t>
            </w:r>
          </w:p>
        </w:tc>
        <w:tc>
          <w:tcPr>
            <w:tcW w:w="921" w:type="dxa"/>
            <w:tcBorders>
              <w:left w:val="single" w:color="000000" w:sz="6" w:space="0"/>
              <w:bottom w:val="single" w:color="000000" w:sz="2" w:space="0"/>
            </w:tcBorders>
            <w:noWrap w:val="0"/>
            <w:vAlign w:val="top"/>
          </w:tcPr>
          <w:p w14:paraId="4F7C0F1C">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74DF4AF2">
            <w:pPr>
              <w:pageBreakBefore w:val="0"/>
              <w:widowControl w:val="0"/>
              <w:shd w:val="clear"/>
              <w:kinsoku/>
              <w:wordWrap/>
              <w:overflowPunct/>
              <w:topLinePunct w:val="0"/>
              <w:autoSpaceDE/>
              <w:autoSpaceDN/>
              <w:bidi w:val="0"/>
              <w:adjustRightInd/>
              <w:snapToGrid/>
              <w:spacing w:before="1" w:line="480" w:lineRule="exact"/>
              <w:ind w:left="9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备注</w:t>
            </w:r>
          </w:p>
        </w:tc>
      </w:tr>
      <w:tr w14:paraId="02EB69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2" w:space="0"/>
              <w:bottom w:val="single" w:color="000000" w:sz="6" w:space="0"/>
              <w:right w:val="single" w:color="000000" w:sz="6" w:space="0"/>
            </w:tcBorders>
            <w:noWrap w:val="0"/>
            <w:vAlign w:val="top"/>
          </w:tcPr>
          <w:p w14:paraId="0E84A35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2" w:space="0"/>
              <w:left w:val="single" w:color="000000" w:sz="6" w:space="0"/>
              <w:bottom w:val="single" w:color="000000" w:sz="6" w:space="0"/>
              <w:right w:val="single" w:color="000000" w:sz="6" w:space="0"/>
            </w:tcBorders>
            <w:noWrap w:val="0"/>
            <w:vAlign w:val="top"/>
          </w:tcPr>
          <w:p w14:paraId="190F3B7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2" w:space="0"/>
              <w:left w:val="single" w:color="000000" w:sz="6" w:space="0"/>
              <w:bottom w:val="single" w:color="000000" w:sz="6" w:space="0"/>
              <w:right w:val="single" w:color="000000" w:sz="6" w:space="0"/>
            </w:tcBorders>
            <w:noWrap w:val="0"/>
            <w:vAlign w:val="top"/>
          </w:tcPr>
          <w:p w14:paraId="32F0BA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2" w:space="0"/>
              <w:left w:val="single" w:color="000000" w:sz="6" w:space="0"/>
              <w:bottom w:val="single" w:color="000000" w:sz="6" w:space="0"/>
              <w:right w:val="single" w:color="000000" w:sz="6" w:space="0"/>
            </w:tcBorders>
            <w:noWrap w:val="0"/>
            <w:vAlign w:val="top"/>
          </w:tcPr>
          <w:p w14:paraId="0FFC7D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2" w:space="0"/>
              <w:left w:val="single" w:color="000000" w:sz="6" w:space="0"/>
              <w:bottom w:val="single" w:color="000000" w:sz="6" w:space="0"/>
              <w:right w:val="single" w:color="000000" w:sz="6" w:space="0"/>
            </w:tcBorders>
            <w:noWrap w:val="0"/>
            <w:vAlign w:val="top"/>
          </w:tcPr>
          <w:p w14:paraId="3AC78A8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2" w:space="0"/>
              <w:left w:val="single" w:color="000000" w:sz="6" w:space="0"/>
              <w:bottom w:val="single" w:color="000000" w:sz="6" w:space="0"/>
              <w:right w:val="single" w:color="000000" w:sz="6" w:space="0"/>
            </w:tcBorders>
            <w:noWrap w:val="0"/>
            <w:vAlign w:val="top"/>
          </w:tcPr>
          <w:p w14:paraId="06F878D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2" w:space="0"/>
              <w:left w:val="single" w:color="000000" w:sz="6" w:space="0"/>
              <w:bottom w:val="single" w:color="000000" w:sz="6" w:space="0"/>
              <w:right w:val="single" w:color="000000" w:sz="6" w:space="0"/>
            </w:tcBorders>
            <w:noWrap w:val="0"/>
            <w:vAlign w:val="top"/>
          </w:tcPr>
          <w:p w14:paraId="4C4DDC8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2" w:space="0"/>
              <w:left w:val="single" w:color="000000" w:sz="6" w:space="0"/>
              <w:bottom w:val="single" w:color="000000" w:sz="6" w:space="0"/>
              <w:right w:val="single" w:color="000000" w:sz="6" w:space="0"/>
            </w:tcBorders>
            <w:noWrap w:val="0"/>
            <w:vAlign w:val="top"/>
          </w:tcPr>
          <w:p w14:paraId="1983B14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2" w:space="0"/>
              <w:left w:val="single" w:color="000000" w:sz="6" w:space="0"/>
              <w:bottom w:val="single" w:color="000000" w:sz="6" w:space="0"/>
            </w:tcBorders>
            <w:noWrap w:val="0"/>
            <w:vAlign w:val="top"/>
          </w:tcPr>
          <w:p w14:paraId="644AE84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B3DE1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2718945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448CA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032B00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884A03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25B1A32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12220C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20223C6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E2A719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073F059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62DA4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noWrap w:val="0"/>
            <w:vAlign w:val="top"/>
          </w:tcPr>
          <w:p w14:paraId="07B189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A85AFC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5B842E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2DB0D96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3A1E389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2266F4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2048DF2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8F3F7C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53291E0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DB90E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058CD29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89EB70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2136095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EA431E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605602F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D79233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0A0B14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FA7FD4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42B2B2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9D9C0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noWrap w:val="0"/>
            <w:vAlign w:val="top"/>
          </w:tcPr>
          <w:p w14:paraId="64E152C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EF5C6A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7939AAB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73178AB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66480B4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CAF36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EAA973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26B835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671F0DD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13355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noWrap w:val="0"/>
            <w:vAlign w:val="top"/>
          </w:tcPr>
          <w:p w14:paraId="45E7E75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A59282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44C4ACB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6308B9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7FB0610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4270D19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5F931C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340FCD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19DEAF5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0080F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1B02CEB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F6C5E4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165EDCD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0ED91AB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03DFE7A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33BF3E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E8D28F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261C62F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7A3BF8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B002F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noWrap w:val="0"/>
            <w:vAlign w:val="top"/>
          </w:tcPr>
          <w:p w14:paraId="3E0EB64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3BFE70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476724E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6E68772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03B9C7F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42DC90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048ED73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70EF226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2DE6A0A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359C1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67B63EB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C0DAF9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26CE3BC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6518608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4482B22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21E9040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562EC8E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22E3A1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27DA890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4ABFC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341EBF0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803E01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31D230A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9062F2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0CD5850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7193F09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39BFC85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9A5565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61D55FE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8C0DE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noWrap w:val="0"/>
            <w:vAlign w:val="top"/>
          </w:tcPr>
          <w:p w14:paraId="7B932C9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BDB207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38D263D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59E77A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10C2A99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121229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2FBF4BA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0A5B3C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447C55A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36E0C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7C2D69B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1E18BF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03E5BF8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0E130E2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397BD5A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FC93EF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66F542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E04DCB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504FF14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775B5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238B94D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9455F5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2817094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328D59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08B77A6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DB654B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3286F83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C38E2A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6489D88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941E6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noWrap w:val="0"/>
            <w:vAlign w:val="top"/>
          </w:tcPr>
          <w:p w14:paraId="1B902C9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F1A8A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76FCF1A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DF8BE8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617B6FE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8BD7A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21240B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7001EDF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64BA278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539FC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5E30CFC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574905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315662D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38F34B6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7FFDDC8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166C20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6824A6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E3499A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54480D5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7B135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6B185F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7754BC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3653885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0CCB871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12945DC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7CA95D1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5043A9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2B0BBB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512C89D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BA7D3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5A82CD3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93F62F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0541F1F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65E9C7F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7D5FEC1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C96DF4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223056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E5920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3168481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03265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noWrap w:val="0"/>
            <w:vAlign w:val="top"/>
          </w:tcPr>
          <w:p w14:paraId="7302866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B7D407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1209C68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092796A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0176189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2182823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31D93F4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761288F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bottom w:val="single" w:color="000000" w:sz="6" w:space="0"/>
            </w:tcBorders>
            <w:noWrap w:val="0"/>
            <w:vAlign w:val="top"/>
          </w:tcPr>
          <w:p w14:paraId="1E3C41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42F12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right w:val="single" w:color="000000" w:sz="6" w:space="0"/>
            </w:tcBorders>
            <w:noWrap w:val="0"/>
            <w:vAlign w:val="top"/>
          </w:tcPr>
          <w:p w14:paraId="758F9D1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right w:val="single" w:color="000000" w:sz="6" w:space="0"/>
            </w:tcBorders>
            <w:noWrap w:val="0"/>
            <w:vAlign w:val="top"/>
          </w:tcPr>
          <w:p w14:paraId="39B518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0" w:type="dxa"/>
            <w:tcBorders>
              <w:top w:val="single" w:color="000000" w:sz="6" w:space="0"/>
              <w:left w:val="single" w:color="000000" w:sz="6" w:space="0"/>
              <w:right w:val="single" w:color="000000" w:sz="6" w:space="0"/>
            </w:tcBorders>
            <w:noWrap w:val="0"/>
            <w:vAlign w:val="top"/>
          </w:tcPr>
          <w:p w14:paraId="09C891E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58" w:type="dxa"/>
            <w:tcBorders>
              <w:top w:val="single" w:color="000000" w:sz="6" w:space="0"/>
              <w:left w:val="single" w:color="000000" w:sz="6" w:space="0"/>
              <w:right w:val="single" w:color="000000" w:sz="6" w:space="0"/>
            </w:tcBorders>
            <w:noWrap w:val="0"/>
            <w:vAlign w:val="top"/>
          </w:tcPr>
          <w:p w14:paraId="119632C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80" w:type="dxa"/>
            <w:tcBorders>
              <w:top w:val="single" w:color="000000" w:sz="6" w:space="0"/>
              <w:left w:val="single" w:color="000000" w:sz="6" w:space="0"/>
              <w:right w:val="single" w:color="000000" w:sz="6" w:space="0"/>
            </w:tcBorders>
            <w:noWrap w:val="0"/>
            <w:vAlign w:val="top"/>
          </w:tcPr>
          <w:p w14:paraId="1DE2D29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right w:val="single" w:color="000000" w:sz="6" w:space="0"/>
            </w:tcBorders>
            <w:noWrap w:val="0"/>
            <w:vAlign w:val="top"/>
          </w:tcPr>
          <w:p w14:paraId="5C16E24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80" w:type="dxa"/>
            <w:tcBorders>
              <w:top w:val="single" w:color="000000" w:sz="6" w:space="0"/>
              <w:left w:val="single" w:color="000000" w:sz="6" w:space="0"/>
              <w:right w:val="single" w:color="000000" w:sz="6" w:space="0"/>
            </w:tcBorders>
            <w:noWrap w:val="0"/>
            <w:vAlign w:val="top"/>
          </w:tcPr>
          <w:p w14:paraId="48BDFA7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020" w:type="dxa"/>
            <w:tcBorders>
              <w:top w:val="single" w:color="000000" w:sz="6" w:space="0"/>
              <w:left w:val="single" w:color="000000" w:sz="6" w:space="0"/>
              <w:right w:val="single" w:color="000000" w:sz="6" w:space="0"/>
            </w:tcBorders>
            <w:noWrap w:val="0"/>
            <w:vAlign w:val="top"/>
          </w:tcPr>
          <w:p w14:paraId="4F8C5E7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21" w:type="dxa"/>
            <w:tcBorders>
              <w:top w:val="single" w:color="000000" w:sz="6" w:space="0"/>
              <w:left w:val="single" w:color="000000" w:sz="6" w:space="0"/>
            </w:tcBorders>
            <w:noWrap w:val="0"/>
            <w:vAlign w:val="top"/>
          </w:tcPr>
          <w:p w14:paraId="3FAE237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736A5DA3">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pgSz w:w="11910" w:h="16840"/>
          <w:pgMar w:top="1340" w:right="380" w:bottom="1380" w:left="560" w:header="878" w:footer="1196" w:gutter="0"/>
          <w:pgNumType w:fmt="decimal"/>
          <w:cols w:space="720" w:num="1"/>
          <w:docGrid w:linePitch="360" w:charSpace="0"/>
        </w:sectPr>
      </w:pPr>
    </w:p>
    <w:p w14:paraId="376BA4B9">
      <w:pPr>
        <w:pageBreakBefore w:val="0"/>
        <w:shd w:val="clear"/>
        <w:kinsoku/>
        <w:wordWrap/>
        <w:overflowPunct/>
        <w:topLinePunct w:val="0"/>
        <w:autoSpaceDE/>
        <w:autoSpaceDN/>
        <w:bidi w:val="0"/>
        <w:adjustRightInd/>
        <w:snapToGrid/>
        <w:spacing w:before="64" w:line="480" w:lineRule="exact"/>
        <w:ind w:left="743"/>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附件 6：</w:t>
      </w:r>
    </w:p>
    <w:p w14:paraId="74717D5F">
      <w:pPr>
        <w:pageBreakBefore w:val="0"/>
        <w:shd w:val="clear"/>
        <w:kinsoku/>
        <w:wordWrap/>
        <w:overflowPunct/>
        <w:topLinePunct w:val="0"/>
        <w:autoSpaceDE/>
        <w:autoSpaceDN/>
        <w:bidi w:val="0"/>
        <w:adjustRightInd/>
        <w:snapToGrid/>
        <w:spacing w:before="67"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承包人主要施工管理人员表</w:t>
      </w:r>
    </w:p>
    <w:p w14:paraId="2CB7D268">
      <w:pPr>
        <w:pageBreakBefore w:val="0"/>
        <w:widowControl w:val="0"/>
        <w:shd w:val="clear"/>
        <w:kinsoku/>
        <w:wordWrap/>
        <w:overflowPunct/>
        <w:topLinePunct w:val="0"/>
        <w:autoSpaceDE/>
        <w:autoSpaceDN/>
        <w:bidi w:val="0"/>
        <w:adjustRightInd/>
        <w:snapToGrid/>
        <w:spacing w:before="10" w:line="480" w:lineRule="exact"/>
        <w:textAlignment w:val="auto"/>
        <w:rPr>
          <w:rFonts w:hint="eastAsia" w:ascii="宋体" w:hAnsi="宋体" w:eastAsia="宋体" w:cs="宋体"/>
          <w:kern w:val="2"/>
          <w:sz w:val="21"/>
          <w:szCs w:val="21"/>
          <w:highlight w:val="none"/>
          <w:lang w:val="zh-CN" w:eastAsia="zh-CN" w:bidi="zh-CN"/>
        </w:rPr>
      </w:pPr>
    </w:p>
    <w:tbl>
      <w:tblPr>
        <w:tblStyle w:val="30"/>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4252"/>
      </w:tblGrid>
      <w:tr w14:paraId="0DDD23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bottom w:val="single" w:color="000000" w:sz="2" w:space="0"/>
              <w:right w:val="single" w:color="000000" w:sz="6" w:space="0"/>
            </w:tcBorders>
            <w:noWrap w:val="0"/>
            <w:vAlign w:val="top"/>
          </w:tcPr>
          <w:p w14:paraId="09E5392D">
            <w:pPr>
              <w:pageBreakBefore w:val="0"/>
              <w:widowControl w:val="0"/>
              <w:shd w:val="clear"/>
              <w:tabs>
                <w:tab w:val="left" w:pos="810"/>
              </w:tabs>
              <w:kinsoku/>
              <w:wordWrap/>
              <w:overflowPunct/>
              <w:topLinePunct w:val="0"/>
              <w:autoSpaceDE/>
              <w:autoSpaceDN/>
              <w:bidi w:val="0"/>
              <w:adjustRightInd/>
              <w:snapToGrid/>
              <w:spacing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名</w:t>
            </w:r>
            <w:r>
              <w:rPr>
                <w:rFonts w:hint="eastAsia" w:ascii="宋体" w:hAnsi="宋体" w:eastAsia="宋体" w:cs="宋体"/>
                <w:kern w:val="2"/>
                <w:sz w:val="21"/>
                <w:szCs w:val="21"/>
                <w:highlight w:val="none"/>
                <w:lang w:val="zh-CN" w:eastAsia="zh-CN" w:bidi="zh-CN"/>
              </w:rPr>
              <w:tab/>
            </w:r>
            <w:r>
              <w:rPr>
                <w:rFonts w:hint="eastAsia" w:ascii="宋体" w:hAnsi="宋体" w:eastAsia="宋体" w:cs="宋体"/>
                <w:kern w:val="2"/>
                <w:sz w:val="21"/>
                <w:szCs w:val="21"/>
                <w:highlight w:val="none"/>
                <w:lang w:val="zh-CN" w:eastAsia="zh-CN" w:bidi="zh-CN"/>
              </w:rPr>
              <w:t>称</w:t>
            </w:r>
          </w:p>
        </w:tc>
        <w:tc>
          <w:tcPr>
            <w:tcW w:w="1418" w:type="dxa"/>
            <w:tcBorders>
              <w:left w:val="single" w:color="000000" w:sz="6" w:space="0"/>
              <w:bottom w:val="single" w:color="000000" w:sz="2" w:space="0"/>
              <w:right w:val="single" w:color="000000" w:sz="6" w:space="0"/>
            </w:tcBorders>
            <w:noWrap w:val="0"/>
            <w:vAlign w:val="top"/>
          </w:tcPr>
          <w:p w14:paraId="2833554A">
            <w:pPr>
              <w:pageBreakBefore w:val="0"/>
              <w:widowControl w:val="0"/>
              <w:shd w:val="clear"/>
              <w:kinsoku/>
              <w:wordWrap/>
              <w:overflowPunct/>
              <w:topLinePunct w:val="0"/>
              <w:autoSpaceDE/>
              <w:autoSpaceDN/>
              <w:bidi w:val="0"/>
              <w:adjustRightInd/>
              <w:snapToGrid/>
              <w:spacing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姓名</w:t>
            </w:r>
          </w:p>
        </w:tc>
        <w:tc>
          <w:tcPr>
            <w:tcW w:w="1134" w:type="dxa"/>
            <w:tcBorders>
              <w:left w:val="single" w:color="000000" w:sz="6" w:space="0"/>
              <w:bottom w:val="single" w:color="000000" w:sz="2" w:space="0"/>
              <w:right w:val="single" w:color="000000" w:sz="6" w:space="0"/>
            </w:tcBorders>
            <w:noWrap w:val="0"/>
            <w:vAlign w:val="top"/>
          </w:tcPr>
          <w:p w14:paraId="17288FB4">
            <w:pPr>
              <w:pageBreakBefore w:val="0"/>
              <w:widowControl w:val="0"/>
              <w:shd w:val="clear"/>
              <w:kinsoku/>
              <w:wordWrap/>
              <w:overflowPunct/>
              <w:topLinePunct w:val="0"/>
              <w:autoSpaceDE/>
              <w:autoSpaceDN/>
              <w:bidi w:val="0"/>
              <w:adjustRightInd/>
              <w:snapToGrid/>
              <w:spacing w:line="48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职务</w:t>
            </w:r>
          </w:p>
        </w:tc>
        <w:tc>
          <w:tcPr>
            <w:tcW w:w="1134" w:type="dxa"/>
            <w:tcBorders>
              <w:left w:val="single" w:color="000000" w:sz="6" w:space="0"/>
              <w:bottom w:val="single" w:color="000000" w:sz="2" w:space="0"/>
              <w:right w:val="single" w:color="000000" w:sz="6" w:space="0"/>
            </w:tcBorders>
            <w:noWrap w:val="0"/>
            <w:vAlign w:val="top"/>
          </w:tcPr>
          <w:p w14:paraId="7AEE4535">
            <w:pPr>
              <w:pageBreakBefore w:val="0"/>
              <w:widowControl w:val="0"/>
              <w:shd w:val="clear"/>
              <w:kinsoku/>
              <w:wordWrap/>
              <w:overflowPunct/>
              <w:topLinePunct w:val="0"/>
              <w:autoSpaceDE/>
              <w:autoSpaceDN/>
              <w:bidi w:val="0"/>
              <w:adjustRightInd/>
              <w:snapToGrid/>
              <w:spacing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职称</w:t>
            </w:r>
          </w:p>
        </w:tc>
        <w:tc>
          <w:tcPr>
            <w:tcW w:w="4252" w:type="dxa"/>
            <w:tcBorders>
              <w:left w:val="single" w:color="000000" w:sz="6" w:space="0"/>
              <w:bottom w:val="single" w:color="000000" w:sz="2" w:space="0"/>
            </w:tcBorders>
            <w:noWrap w:val="0"/>
            <w:vAlign w:val="top"/>
          </w:tcPr>
          <w:p w14:paraId="7B7EDC08">
            <w:pPr>
              <w:pageBreakBefore w:val="0"/>
              <w:widowControl w:val="0"/>
              <w:shd w:val="clear"/>
              <w:kinsoku/>
              <w:wordWrap/>
              <w:overflowPunct/>
              <w:topLinePunct w:val="0"/>
              <w:autoSpaceDE/>
              <w:autoSpaceDN/>
              <w:bidi w:val="0"/>
              <w:adjustRightInd/>
              <w:snapToGrid/>
              <w:spacing w:line="48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主要资历、经验及承担过的项目</w:t>
            </w:r>
          </w:p>
        </w:tc>
      </w:tr>
      <w:tr w14:paraId="22D994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2" w:space="0"/>
              <w:bottom w:val="single" w:color="000000" w:sz="6" w:space="0"/>
            </w:tcBorders>
            <w:noWrap w:val="0"/>
            <w:vAlign w:val="top"/>
          </w:tcPr>
          <w:p w14:paraId="3A5E9FD7">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一、总部人员</w:t>
            </w:r>
          </w:p>
        </w:tc>
      </w:tr>
      <w:tr w14:paraId="59876C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1B4E65ED">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项目主管</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835254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D9EF93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FF3C2A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60970A9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8F535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871" w:type="dxa"/>
            <w:vMerge w:val="restart"/>
            <w:tcBorders>
              <w:top w:val="single" w:color="000000" w:sz="6" w:space="0"/>
              <w:bottom w:val="single" w:color="000000" w:sz="6" w:space="0"/>
              <w:right w:val="single" w:color="000000" w:sz="6" w:space="0"/>
            </w:tcBorders>
            <w:noWrap w:val="0"/>
            <w:vAlign w:val="top"/>
          </w:tcPr>
          <w:p w14:paraId="25C816D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12773C2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5C426083">
            <w:pPr>
              <w:pageBreakBefore w:val="0"/>
              <w:widowControl w:val="0"/>
              <w:shd w:val="clear"/>
              <w:kinsoku/>
              <w:wordWrap/>
              <w:overflowPunct/>
              <w:topLinePunct w:val="0"/>
              <w:autoSpaceDE/>
              <w:autoSpaceDN/>
              <w:bidi w:val="0"/>
              <w:adjustRightInd/>
              <w:snapToGrid/>
              <w:spacing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其他人员</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917888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4231B1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728C22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465FF0B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5B445B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vMerge w:val="continue"/>
            <w:tcBorders>
              <w:top w:val="nil"/>
              <w:bottom w:val="single" w:color="000000" w:sz="6" w:space="0"/>
              <w:right w:val="single" w:color="000000" w:sz="6" w:space="0"/>
            </w:tcBorders>
            <w:noWrap w:val="0"/>
            <w:vAlign w:val="top"/>
          </w:tcPr>
          <w:p w14:paraId="5B97A379">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B95AFC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C10F67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0FDBD5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1C3A118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ADA90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871" w:type="dxa"/>
            <w:vMerge w:val="continue"/>
            <w:tcBorders>
              <w:top w:val="nil"/>
              <w:bottom w:val="single" w:color="000000" w:sz="6" w:space="0"/>
              <w:right w:val="single" w:color="000000" w:sz="6" w:space="0"/>
            </w:tcBorders>
            <w:noWrap w:val="0"/>
            <w:vAlign w:val="top"/>
          </w:tcPr>
          <w:p w14:paraId="66B56FE8">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3DB815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3CF576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F66C0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7D321F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5308A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6" w:space="0"/>
              <w:bottom w:val="single" w:color="000000" w:sz="6" w:space="0"/>
            </w:tcBorders>
            <w:noWrap w:val="0"/>
            <w:vAlign w:val="top"/>
          </w:tcPr>
          <w:p w14:paraId="42A73D83">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二、现场人员</w:t>
            </w:r>
          </w:p>
        </w:tc>
      </w:tr>
      <w:tr w14:paraId="0189C7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34E08750">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项目经理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1ED8DA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3F4BBE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0C41487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5A16ABC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5EB29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7E8DC5B5">
            <w:pPr>
              <w:pageBreakBefore w:val="0"/>
              <w:widowControl w:val="0"/>
              <w:shd w:val="clear"/>
              <w:kinsoku/>
              <w:wordWrap/>
              <w:overflowPunct/>
              <w:topLinePunct w:val="0"/>
              <w:autoSpaceDE/>
              <w:autoSpaceDN/>
              <w:bidi w:val="0"/>
              <w:adjustRightInd/>
              <w:snapToGrid/>
              <w:spacing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项目副经理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7FC193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D8333D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71EC21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1269913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56992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1E125C4A">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技术负责人</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BCC8C1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555993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60F0BD8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423F05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32D8E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0D705E92">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造价管理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005D82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303BDA1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F2BFE1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2215A34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AAFE9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23D4DBB4">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质量管理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6F618D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DC57F8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56B390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5E56DB2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350C4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13E0008A">
            <w:pPr>
              <w:pageBreakBefore w:val="0"/>
              <w:widowControl w:val="0"/>
              <w:shd w:val="clear"/>
              <w:kinsoku/>
              <w:wordWrap/>
              <w:overflowPunct/>
              <w:topLinePunct w:val="0"/>
              <w:autoSpaceDE/>
              <w:autoSpaceDN/>
              <w:bidi w:val="0"/>
              <w:adjustRightInd/>
              <w:snapToGrid/>
              <w:spacing w:before="3"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材料管理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72F2EE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922FC2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0CF3409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282E5E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2FD79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260232C9">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计划管理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3C7DAE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3F2908E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C4BB20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5AD9430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559984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67B7CBE1">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安全管理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17D79B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76833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353F11C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2B083E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49E61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871" w:type="dxa"/>
            <w:vMerge w:val="restart"/>
            <w:tcBorders>
              <w:top w:val="single" w:color="000000" w:sz="6" w:space="0"/>
              <w:right w:val="single" w:color="000000" w:sz="6" w:space="0"/>
            </w:tcBorders>
            <w:noWrap w:val="0"/>
            <w:vAlign w:val="top"/>
          </w:tcPr>
          <w:p w14:paraId="35B810C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73F3E96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43032CA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3A1B4F0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260168A4">
            <w:pPr>
              <w:pageBreakBefore w:val="0"/>
              <w:widowControl w:val="0"/>
              <w:shd w:val="clear"/>
              <w:kinsoku/>
              <w:wordWrap/>
              <w:overflowPunct/>
              <w:topLinePunct w:val="0"/>
              <w:autoSpaceDE/>
              <w:autoSpaceDN/>
              <w:bidi w:val="0"/>
              <w:adjustRightInd/>
              <w:snapToGrid/>
              <w:spacing w:before="195"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其他人员</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096581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A398F6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7A6342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07D22E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B7513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noWrap w:val="0"/>
            <w:vAlign w:val="top"/>
          </w:tcPr>
          <w:p w14:paraId="2C2057EB">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2434B0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794076F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F5902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7CC0002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D1C1D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noWrap w:val="0"/>
            <w:vAlign w:val="top"/>
          </w:tcPr>
          <w:p w14:paraId="296AB26F">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240B7C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7E8140B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750EBB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6565E29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A7F7D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noWrap w:val="0"/>
            <w:vAlign w:val="top"/>
          </w:tcPr>
          <w:p w14:paraId="231766AE">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4395A3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72F619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76EA0B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5E10AE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72B34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noWrap w:val="0"/>
            <w:vAlign w:val="top"/>
          </w:tcPr>
          <w:p w14:paraId="081B2E3A">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89D629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1A5EE3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6AEAA9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536CD26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2353F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871" w:type="dxa"/>
            <w:vMerge w:val="continue"/>
            <w:tcBorders>
              <w:top w:val="nil"/>
              <w:right w:val="single" w:color="000000" w:sz="6" w:space="0"/>
            </w:tcBorders>
            <w:noWrap w:val="0"/>
            <w:vAlign w:val="top"/>
          </w:tcPr>
          <w:p w14:paraId="2D2C3EB1">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right w:val="single" w:color="000000" w:sz="6" w:space="0"/>
            </w:tcBorders>
            <w:noWrap w:val="0"/>
            <w:vAlign w:val="top"/>
          </w:tcPr>
          <w:p w14:paraId="4BF8A1A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right w:val="single" w:color="000000" w:sz="6" w:space="0"/>
            </w:tcBorders>
            <w:noWrap w:val="0"/>
            <w:vAlign w:val="top"/>
          </w:tcPr>
          <w:p w14:paraId="2CBB164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right w:val="single" w:color="000000" w:sz="6" w:space="0"/>
            </w:tcBorders>
            <w:noWrap w:val="0"/>
            <w:vAlign w:val="top"/>
          </w:tcPr>
          <w:p w14:paraId="6533FAD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tcBorders>
            <w:noWrap w:val="0"/>
            <w:vAlign w:val="top"/>
          </w:tcPr>
          <w:p w14:paraId="36A103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5FE53CC5">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pgSz w:w="11910" w:h="16840"/>
          <w:pgMar w:top="1340" w:right="380" w:bottom="1380" w:left="560" w:header="878" w:footer="1196" w:gutter="0"/>
          <w:pgNumType w:fmt="decimal"/>
          <w:cols w:space="720" w:num="1"/>
          <w:docGrid w:linePitch="360" w:charSpace="0"/>
        </w:sectPr>
      </w:pPr>
    </w:p>
    <w:p w14:paraId="7BC5A401">
      <w:pPr>
        <w:pageBreakBefore w:val="0"/>
        <w:shd w:val="clear"/>
        <w:kinsoku/>
        <w:wordWrap/>
        <w:overflowPunct/>
        <w:topLinePunct w:val="0"/>
        <w:autoSpaceDE/>
        <w:autoSpaceDN/>
        <w:bidi w:val="0"/>
        <w:adjustRightInd/>
        <w:snapToGrid/>
        <w:spacing w:before="64" w:line="480" w:lineRule="exact"/>
        <w:ind w:left="743"/>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附件 7：</w:t>
      </w:r>
    </w:p>
    <w:p w14:paraId="2D89BA0D">
      <w:pPr>
        <w:pageBreakBefore w:val="0"/>
        <w:shd w:val="clear"/>
        <w:kinsoku/>
        <w:wordWrap/>
        <w:overflowPunct/>
        <w:topLinePunct w:val="0"/>
        <w:autoSpaceDE/>
        <w:autoSpaceDN/>
        <w:bidi w:val="0"/>
        <w:adjustRightInd/>
        <w:snapToGrid/>
        <w:spacing w:before="67"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分包人主要施工管理人员表</w:t>
      </w:r>
    </w:p>
    <w:p w14:paraId="2399E7FD">
      <w:pPr>
        <w:pageBreakBefore w:val="0"/>
        <w:widowControl w:val="0"/>
        <w:shd w:val="clear"/>
        <w:kinsoku/>
        <w:wordWrap/>
        <w:overflowPunct/>
        <w:topLinePunct w:val="0"/>
        <w:autoSpaceDE/>
        <w:autoSpaceDN/>
        <w:bidi w:val="0"/>
        <w:adjustRightInd/>
        <w:snapToGrid/>
        <w:spacing w:before="10" w:line="480" w:lineRule="exact"/>
        <w:textAlignment w:val="auto"/>
        <w:rPr>
          <w:rFonts w:hint="eastAsia" w:ascii="宋体" w:hAnsi="宋体" w:eastAsia="宋体" w:cs="宋体"/>
          <w:kern w:val="2"/>
          <w:sz w:val="21"/>
          <w:szCs w:val="21"/>
          <w:highlight w:val="none"/>
          <w:lang w:val="zh-CN" w:eastAsia="zh-CN" w:bidi="zh-CN"/>
        </w:rPr>
      </w:pPr>
    </w:p>
    <w:tbl>
      <w:tblPr>
        <w:tblStyle w:val="30"/>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4252"/>
      </w:tblGrid>
      <w:tr w14:paraId="688CC5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bottom w:val="single" w:color="000000" w:sz="2" w:space="0"/>
              <w:right w:val="single" w:color="000000" w:sz="6" w:space="0"/>
            </w:tcBorders>
            <w:noWrap w:val="0"/>
            <w:vAlign w:val="top"/>
          </w:tcPr>
          <w:p w14:paraId="5E90DD40">
            <w:pPr>
              <w:pageBreakBefore w:val="0"/>
              <w:widowControl w:val="0"/>
              <w:shd w:val="clear"/>
              <w:tabs>
                <w:tab w:val="left" w:pos="810"/>
              </w:tabs>
              <w:kinsoku/>
              <w:wordWrap/>
              <w:overflowPunct/>
              <w:topLinePunct w:val="0"/>
              <w:autoSpaceDE/>
              <w:autoSpaceDN/>
              <w:bidi w:val="0"/>
              <w:adjustRightInd/>
              <w:snapToGrid/>
              <w:spacing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名</w:t>
            </w:r>
            <w:r>
              <w:rPr>
                <w:rFonts w:hint="eastAsia" w:ascii="宋体" w:hAnsi="宋体" w:eastAsia="宋体" w:cs="宋体"/>
                <w:kern w:val="2"/>
                <w:sz w:val="21"/>
                <w:szCs w:val="21"/>
                <w:highlight w:val="none"/>
                <w:lang w:val="zh-CN" w:eastAsia="zh-CN" w:bidi="zh-CN"/>
              </w:rPr>
              <w:tab/>
            </w:r>
            <w:r>
              <w:rPr>
                <w:rFonts w:hint="eastAsia" w:ascii="宋体" w:hAnsi="宋体" w:eastAsia="宋体" w:cs="宋体"/>
                <w:kern w:val="2"/>
                <w:sz w:val="21"/>
                <w:szCs w:val="21"/>
                <w:highlight w:val="none"/>
                <w:lang w:val="zh-CN" w:eastAsia="zh-CN" w:bidi="zh-CN"/>
              </w:rPr>
              <w:t>称</w:t>
            </w:r>
          </w:p>
        </w:tc>
        <w:tc>
          <w:tcPr>
            <w:tcW w:w="1418" w:type="dxa"/>
            <w:tcBorders>
              <w:left w:val="single" w:color="000000" w:sz="6" w:space="0"/>
              <w:bottom w:val="single" w:color="000000" w:sz="2" w:space="0"/>
              <w:right w:val="single" w:color="000000" w:sz="6" w:space="0"/>
            </w:tcBorders>
            <w:noWrap w:val="0"/>
            <w:vAlign w:val="top"/>
          </w:tcPr>
          <w:p w14:paraId="76E9649B">
            <w:pPr>
              <w:pageBreakBefore w:val="0"/>
              <w:widowControl w:val="0"/>
              <w:shd w:val="clear"/>
              <w:kinsoku/>
              <w:wordWrap/>
              <w:overflowPunct/>
              <w:topLinePunct w:val="0"/>
              <w:autoSpaceDE/>
              <w:autoSpaceDN/>
              <w:bidi w:val="0"/>
              <w:adjustRightInd/>
              <w:snapToGrid/>
              <w:spacing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姓名</w:t>
            </w:r>
          </w:p>
        </w:tc>
        <w:tc>
          <w:tcPr>
            <w:tcW w:w="1134" w:type="dxa"/>
            <w:tcBorders>
              <w:left w:val="single" w:color="000000" w:sz="6" w:space="0"/>
              <w:bottom w:val="single" w:color="000000" w:sz="2" w:space="0"/>
              <w:right w:val="single" w:color="000000" w:sz="6" w:space="0"/>
            </w:tcBorders>
            <w:noWrap w:val="0"/>
            <w:vAlign w:val="top"/>
          </w:tcPr>
          <w:p w14:paraId="6CA6D74C">
            <w:pPr>
              <w:pageBreakBefore w:val="0"/>
              <w:widowControl w:val="0"/>
              <w:shd w:val="clear"/>
              <w:kinsoku/>
              <w:wordWrap/>
              <w:overflowPunct/>
              <w:topLinePunct w:val="0"/>
              <w:autoSpaceDE/>
              <w:autoSpaceDN/>
              <w:bidi w:val="0"/>
              <w:adjustRightInd/>
              <w:snapToGrid/>
              <w:spacing w:line="48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职务</w:t>
            </w:r>
          </w:p>
        </w:tc>
        <w:tc>
          <w:tcPr>
            <w:tcW w:w="1134" w:type="dxa"/>
            <w:tcBorders>
              <w:left w:val="single" w:color="000000" w:sz="6" w:space="0"/>
              <w:bottom w:val="single" w:color="000000" w:sz="2" w:space="0"/>
              <w:right w:val="single" w:color="000000" w:sz="6" w:space="0"/>
            </w:tcBorders>
            <w:noWrap w:val="0"/>
            <w:vAlign w:val="top"/>
          </w:tcPr>
          <w:p w14:paraId="0829AB7F">
            <w:pPr>
              <w:pageBreakBefore w:val="0"/>
              <w:widowControl w:val="0"/>
              <w:shd w:val="clear"/>
              <w:kinsoku/>
              <w:wordWrap/>
              <w:overflowPunct/>
              <w:topLinePunct w:val="0"/>
              <w:autoSpaceDE/>
              <w:autoSpaceDN/>
              <w:bidi w:val="0"/>
              <w:adjustRightInd/>
              <w:snapToGrid/>
              <w:spacing w:line="480" w:lineRule="exact"/>
              <w:ind w:left="98"/>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职称</w:t>
            </w:r>
          </w:p>
        </w:tc>
        <w:tc>
          <w:tcPr>
            <w:tcW w:w="4252" w:type="dxa"/>
            <w:tcBorders>
              <w:left w:val="single" w:color="000000" w:sz="6" w:space="0"/>
              <w:bottom w:val="single" w:color="000000" w:sz="2" w:space="0"/>
            </w:tcBorders>
            <w:noWrap w:val="0"/>
            <w:vAlign w:val="top"/>
          </w:tcPr>
          <w:p w14:paraId="02DF2FC8">
            <w:pPr>
              <w:pageBreakBefore w:val="0"/>
              <w:widowControl w:val="0"/>
              <w:shd w:val="clear"/>
              <w:kinsoku/>
              <w:wordWrap/>
              <w:overflowPunct/>
              <w:topLinePunct w:val="0"/>
              <w:autoSpaceDE/>
              <w:autoSpaceDN/>
              <w:bidi w:val="0"/>
              <w:adjustRightInd/>
              <w:snapToGrid/>
              <w:spacing w:line="480" w:lineRule="exact"/>
              <w:ind w:left="9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主要资历、经验及承担过的项目</w:t>
            </w:r>
          </w:p>
        </w:tc>
      </w:tr>
      <w:tr w14:paraId="2C79B5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2" w:space="0"/>
              <w:bottom w:val="single" w:color="000000" w:sz="6" w:space="0"/>
            </w:tcBorders>
            <w:noWrap w:val="0"/>
            <w:vAlign w:val="top"/>
          </w:tcPr>
          <w:p w14:paraId="645485EF">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一、总部人员</w:t>
            </w:r>
          </w:p>
        </w:tc>
      </w:tr>
      <w:tr w14:paraId="119CEB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7D65C33C">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项目主管</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609049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002C08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396AF3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B5E80C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86023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871" w:type="dxa"/>
            <w:vMerge w:val="restart"/>
            <w:tcBorders>
              <w:top w:val="single" w:color="000000" w:sz="6" w:space="0"/>
              <w:bottom w:val="single" w:color="000000" w:sz="6" w:space="0"/>
              <w:right w:val="single" w:color="000000" w:sz="6" w:space="0"/>
            </w:tcBorders>
            <w:noWrap w:val="0"/>
            <w:vAlign w:val="top"/>
          </w:tcPr>
          <w:p w14:paraId="1BC5099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763F5DC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76933D54">
            <w:pPr>
              <w:pageBreakBefore w:val="0"/>
              <w:widowControl w:val="0"/>
              <w:shd w:val="clear"/>
              <w:kinsoku/>
              <w:wordWrap/>
              <w:overflowPunct/>
              <w:topLinePunct w:val="0"/>
              <w:autoSpaceDE/>
              <w:autoSpaceDN/>
              <w:bidi w:val="0"/>
              <w:adjustRightInd/>
              <w:snapToGrid/>
              <w:spacing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其他人员</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C7BBDD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8EBCA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CCF753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3E7FD8C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5BD170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vMerge w:val="continue"/>
            <w:tcBorders>
              <w:top w:val="nil"/>
              <w:bottom w:val="single" w:color="000000" w:sz="6" w:space="0"/>
              <w:right w:val="single" w:color="000000" w:sz="6" w:space="0"/>
            </w:tcBorders>
            <w:noWrap w:val="0"/>
            <w:vAlign w:val="top"/>
          </w:tcPr>
          <w:p w14:paraId="463AF212">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3E9E52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9F8042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66BDD2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5BB42B0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77BC5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871" w:type="dxa"/>
            <w:vMerge w:val="continue"/>
            <w:tcBorders>
              <w:top w:val="nil"/>
              <w:bottom w:val="single" w:color="000000" w:sz="6" w:space="0"/>
              <w:right w:val="single" w:color="000000" w:sz="6" w:space="0"/>
            </w:tcBorders>
            <w:noWrap w:val="0"/>
            <w:vAlign w:val="top"/>
          </w:tcPr>
          <w:p w14:paraId="26419CDB">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426FA6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567DC8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6D0339A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7261C1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FE798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6" w:space="0"/>
              <w:bottom w:val="single" w:color="000000" w:sz="6" w:space="0"/>
            </w:tcBorders>
            <w:noWrap w:val="0"/>
            <w:vAlign w:val="top"/>
          </w:tcPr>
          <w:p w14:paraId="2D3B7038">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二、现场人员</w:t>
            </w:r>
          </w:p>
        </w:tc>
      </w:tr>
      <w:tr w14:paraId="1C7078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473EBC9A">
            <w:pPr>
              <w:pageBreakBefore w:val="0"/>
              <w:widowControl w:val="0"/>
              <w:shd w:val="clear"/>
              <w:kinsoku/>
              <w:wordWrap/>
              <w:overflowPunct/>
              <w:topLinePunct w:val="0"/>
              <w:autoSpaceDE/>
              <w:autoSpaceDN/>
              <w:bidi w:val="0"/>
              <w:adjustRightInd/>
              <w:snapToGrid/>
              <w:spacing w:before="2"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项目经理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9D9B62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99E385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BA43FA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023A05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53698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56A46C4C">
            <w:pPr>
              <w:pageBreakBefore w:val="0"/>
              <w:widowControl w:val="0"/>
              <w:shd w:val="clear"/>
              <w:kinsoku/>
              <w:wordWrap/>
              <w:overflowPunct/>
              <w:topLinePunct w:val="0"/>
              <w:autoSpaceDE/>
              <w:autoSpaceDN/>
              <w:bidi w:val="0"/>
              <w:adjustRightInd/>
              <w:snapToGrid/>
              <w:spacing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项目副经理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B7FA01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24BA77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B31D1B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3D62686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7C14E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3F9855CE">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技术负责人</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A96CCC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2E6037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1C378D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4EFB34F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A4385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629482AD">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造价管理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CC3FDB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7976860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6D5ECAA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910968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B1A0F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38F6AE5F">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质量管理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DFF322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C58019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3A664F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65B6561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5F628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noWrap w:val="0"/>
            <w:vAlign w:val="top"/>
          </w:tcPr>
          <w:p w14:paraId="3ACD4320">
            <w:pPr>
              <w:pageBreakBefore w:val="0"/>
              <w:widowControl w:val="0"/>
              <w:shd w:val="clear"/>
              <w:kinsoku/>
              <w:wordWrap/>
              <w:overflowPunct/>
              <w:topLinePunct w:val="0"/>
              <w:autoSpaceDE/>
              <w:autoSpaceDN/>
              <w:bidi w:val="0"/>
              <w:adjustRightInd/>
              <w:snapToGrid/>
              <w:spacing w:before="3"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材料管理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EC43DA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1CE7CA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7A05A92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604D309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1581C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7C4E9603">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计划管理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0AC8A6D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1CF44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69E0F5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581CFA8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4F5AB2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noWrap w:val="0"/>
            <w:vAlign w:val="top"/>
          </w:tcPr>
          <w:p w14:paraId="41523F70">
            <w:pPr>
              <w:pageBreakBefore w:val="0"/>
              <w:widowControl w:val="0"/>
              <w:shd w:val="clear"/>
              <w:kinsoku/>
              <w:wordWrap/>
              <w:overflowPunct/>
              <w:topLinePunct w:val="0"/>
              <w:autoSpaceDE/>
              <w:autoSpaceDN/>
              <w:bidi w:val="0"/>
              <w:adjustRightInd/>
              <w:snapToGrid/>
              <w:spacing w:before="1"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安全管理</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01A84B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3F8183C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3ED6B6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68701ED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B633C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871" w:type="dxa"/>
            <w:vMerge w:val="restart"/>
            <w:tcBorders>
              <w:top w:val="single" w:color="000000" w:sz="6" w:space="0"/>
              <w:right w:val="single" w:color="000000" w:sz="6" w:space="0"/>
            </w:tcBorders>
            <w:noWrap w:val="0"/>
            <w:vAlign w:val="top"/>
          </w:tcPr>
          <w:p w14:paraId="319231B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3698EDC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18F9B88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5FEDB8E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057BB2C6">
            <w:pPr>
              <w:pageBreakBefore w:val="0"/>
              <w:widowControl w:val="0"/>
              <w:shd w:val="clear"/>
              <w:kinsoku/>
              <w:wordWrap/>
              <w:overflowPunct/>
              <w:topLinePunct w:val="0"/>
              <w:autoSpaceDE/>
              <w:autoSpaceDN/>
              <w:bidi w:val="0"/>
              <w:adjustRightInd/>
              <w:snapToGrid/>
              <w:spacing w:before="195" w:line="480" w:lineRule="exact"/>
              <w:ind w:left="9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其他人员</w:t>
            </w: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B11A74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BF12A9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0BC74C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01FA012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DB7B6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noWrap w:val="0"/>
            <w:vAlign w:val="top"/>
          </w:tcPr>
          <w:p w14:paraId="15EDDC6F">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BFD048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022070D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6EA4D9C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1C9ECEF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9A17A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noWrap w:val="0"/>
            <w:vAlign w:val="top"/>
          </w:tcPr>
          <w:p w14:paraId="5C767540">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5D20E9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30E44CF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1BD7477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2FA6D7D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18BAA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noWrap w:val="0"/>
            <w:vAlign w:val="top"/>
          </w:tcPr>
          <w:p w14:paraId="6D715B13">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6C4BFF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42221E0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A816C0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2264969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F1721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noWrap w:val="0"/>
            <w:vAlign w:val="top"/>
          </w:tcPr>
          <w:p w14:paraId="52655DC8">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D3D2A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540D84D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bottom w:val="single" w:color="000000" w:sz="6" w:space="0"/>
              <w:right w:val="single" w:color="000000" w:sz="6" w:space="0"/>
            </w:tcBorders>
            <w:noWrap w:val="0"/>
            <w:vAlign w:val="top"/>
          </w:tcPr>
          <w:p w14:paraId="22FD895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bottom w:val="single" w:color="000000" w:sz="6" w:space="0"/>
            </w:tcBorders>
            <w:noWrap w:val="0"/>
            <w:vAlign w:val="top"/>
          </w:tcPr>
          <w:p w14:paraId="426902C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01198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871" w:type="dxa"/>
            <w:vMerge w:val="continue"/>
            <w:tcBorders>
              <w:top w:val="nil"/>
              <w:right w:val="single" w:color="000000" w:sz="6" w:space="0"/>
            </w:tcBorders>
            <w:noWrap w:val="0"/>
            <w:vAlign w:val="top"/>
          </w:tcPr>
          <w:p w14:paraId="27651FDB">
            <w:pPr>
              <w:pageBreakBefore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1"/>
                <w:szCs w:val="21"/>
                <w:highlight w:val="none"/>
                <w:lang w:val="zh-CN" w:bidi="zh-CN"/>
              </w:rPr>
            </w:pPr>
          </w:p>
        </w:tc>
        <w:tc>
          <w:tcPr>
            <w:tcW w:w="1418" w:type="dxa"/>
            <w:tcBorders>
              <w:top w:val="single" w:color="000000" w:sz="6" w:space="0"/>
              <w:left w:val="single" w:color="000000" w:sz="6" w:space="0"/>
              <w:right w:val="single" w:color="000000" w:sz="6" w:space="0"/>
            </w:tcBorders>
            <w:noWrap w:val="0"/>
            <w:vAlign w:val="top"/>
          </w:tcPr>
          <w:p w14:paraId="54432CD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right w:val="single" w:color="000000" w:sz="6" w:space="0"/>
            </w:tcBorders>
            <w:noWrap w:val="0"/>
            <w:vAlign w:val="top"/>
          </w:tcPr>
          <w:p w14:paraId="73FB5FF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134" w:type="dxa"/>
            <w:tcBorders>
              <w:top w:val="single" w:color="000000" w:sz="6" w:space="0"/>
              <w:left w:val="single" w:color="000000" w:sz="6" w:space="0"/>
              <w:right w:val="single" w:color="000000" w:sz="6" w:space="0"/>
            </w:tcBorders>
            <w:noWrap w:val="0"/>
            <w:vAlign w:val="top"/>
          </w:tcPr>
          <w:p w14:paraId="3FF30F8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4252" w:type="dxa"/>
            <w:tcBorders>
              <w:top w:val="single" w:color="000000" w:sz="6" w:space="0"/>
              <w:left w:val="single" w:color="000000" w:sz="6" w:space="0"/>
            </w:tcBorders>
            <w:noWrap w:val="0"/>
            <w:vAlign w:val="top"/>
          </w:tcPr>
          <w:p w14:paraId="7011D4F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0723B952">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pgSz w:w="11910" w:h="16840"/>
          <w:pgMar w:top="1340" w:right="380" w:bottom="1380" w:left="560" w:header="878" w:footer="1196" w:gutter="0"/>
          <w:pgNumType w:fmt="decimal"/>
          <w:cols w:space="720" w:num="1"/>
          <w:docGrid w:linePitch="360" w:charSpace="0"/>
        </w:sectPr>
      </w:pPr>
    </w:p>
    <w:p w14:paraId="05326FBD">
      <w:pPr>
        <w:pageBreakBefore w:val="0"/>
        <w:shd w:val="clear"/>
        <w:kinsoku/>
        <w:wordWrap/>
        <w:overflowPunct/>
        <w:topLinePunct w:val="0"/>
        <w:autoSpaceDE/>
        <w:autoSpaceDN/>
        <w:bidi w:val="0"/>
        <w:adjustRightInd/>
        <w:snapToGrid/>
        <w:spacing w:before="64" w:line="480" w:lineRule="exact"/>
        <w:ind w:left="743"/>
        <w:jc w:val="left"/>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0"/>
          <w:sz w:val="21"/>
          <w:szCs w:val="21"/>
          <w:highlight w:val="none"/>
          <w:lang w:val="zh-CN" w:bidi="zh-CN"/>
        </w:rPr>
        <w:t xml:space="preserve">附件 </w:t>
      </w:r>
      <w:r>
        <w:rPr>
          <w:rFonts w:hint="eastAsia" w:ascii="宋体" w:hAnsi="宋体" w:eastAsia="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w:t>
      </w:r>
    </w:p>
    <w:p w14:paraId="4CED1DB2">
      <w:pPr>
        <w:pageBreakBefore w:val="0"/>
        <w:shd w:val="clear"/>
        <w:kinsoku/>
        <w:wordWrap/>
        <w:overflowPunct/>
        <w:topLinePunct w:val="0"/>
        <w:autoSpaceDE/>
        <w:autoSpaceDN/>
        <w:bidi w:val="0"/>
        <w:adjustRightInd/>
        <w:snapToGrid/>
        <w:spacing w:before="74"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-1：材料暂估价表</w:t>
      </w:r>
    </w:p>
    <w:p w14:paraId="7BF5D6B1">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tbl>
      <w:tblPr>
        <w:tblStyle w:val="30"/>
        <w:tblW w:w="9073" w:type="dxa"/>
        <w:tblInd w:w="95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3"/>
        <w:gridCol w:w="1984"/>
        <w:gridCol w:w="851"/>
        <w:gridCol w:w="774"/>
        <w:gridCol w:w="1352"/>
        <w:gridCol w:w="1418"/>
        <w:gridCol w:w="1701"/>
      </w:tblGrid>
      <w:tr w14:paraId="02F164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1" w:hRule="atLeast"/>
        </w:trPr>
        <w:tc>
          <w:tcPr>
            <w:tcW w:w="993" w:type="dxa"/>
            <w:tcBorders>
              <w:bottom w:val="single" w:color="000000" w:sz="2" w:space="0"/>
              <w:right w:val="single" w:color="000000" w:sz="6" w:space="0"/>
            </w:tcBorders>
            <w:noWrap w:val="0"/>
            <w:vAlign w:val="top"/>
          </w:tcPr>
          <w:p w14:paraId="583BF0DB">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p w14:paraId="661E09FD">
            <w:pPr>
              <w:pageBreakBefore w:val="0"/>
              <w:widowControl w:val="0"/>
              <w:shd w:val="clear"/>
              <w:kinsoku/>
              <w:wordWrap/>
              <w:overflowPunct/>
              <w:topLinePunct w:val="0"/>
              <w:autoSpaceDE/>
              <w:autoSpaceDN/>
              <w:bidi w:val="0"/>
              <w:adjustRightInd/>
              <w:snapToGrid/>
              <w:spacing w:line="480" w:lineRule="exact"/>
              <w:ind w:left="255"/>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序号</w:t>
            </w:r>
          </w:p>
        </w:tc>
        <w:tc>
          <w:tcPr>
            <w:tcW w:w="1984" w:type="dxa"/>
            <w:tcBorders>
              <w:left w:val="single" w:color="000000" w:sz="6" w:space="0"/>
              <w:bottom w:val="single" w:color="000000" w:sz="2" w:space="0"/>
              <w:right w:val="single" w:color="000000" w:sz="6" w:space="0"/>
            </w:tcBorders>
            <w:noWrap w:val="0"/>
            <w:vAlign w:val="top"/>
          </w:tcPr>
          <w:p w14:paraId="2344DFB5">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p w14:paraId="30ADF8FA">
            <w:pPr>
              <w:pageBreakBefore w:val="0"/>
              <w:widowControl w:val="0"/>
              <w:shd w:val="clear"/>
              <w:kinsoku/>
              <w:wordWrap/>
              <w:overflowPunct/>
              <w:topLinePunct w:val="0"/>
              <w:autoSpaceDE/>
              <w:autoSpaceDN/>
              <w:bidi w:val="0"/>
              <w:adjustRightInd/>
              <w:snapToGrid/>
              <w:spacing w:line="480" w:lineRule="exact"/>
              <w:ind w:left="737" w:right="711"/>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名称</w:t>
            </w:r>
          </w:p>
        </w:tc>
        <w:tc>
          <w:tcPr>
            <w:tcW w:w="851" w:type="dxa"/>
            <w:tcBorders>
              <w:left w:val="single" w:color="000000" w:sz="6" w:space="0"/>
              <w:bottom w:val="single" w:color="000000" w:sz="2" w:space="0"/>
              <w:right w:val="single" w:color="000000" w:sz="6" w:space="0"/>
            </w:tcBorders>
            <w:noWrap w:val="0"/>
            <w:vAlign w:val="top"/>
          </w:tcPr>
          <w:p w14:paraId="339C4E1E">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p w14:paraId="49E0498E">
            <w:pPr>
              <w:pageBreakBefore w:val="0"/>
              <w:widowControl w:val="0"/>
              <w:shd w:val="clear"/>
              <w:kinsoku/>
              <w:wordWrap/>
              <w:overflowPunct/>
              <w:topLinePunct w:val="0"/>
              <w:autoSpaceDE/>
              <w:autoSpaceDN/>
              <w:bidi w:val="0"/>
              <w:adjustRightInd/>
              <w:snapToGrid/>
              <w:spacing w:line="480" w:lineRule="exact"/>
              <w:ind w:left="192"/>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单位</w:t>
            </w:r>
          </w:p>
        </w:tc>
        <w:tc>
          <w:tcPr>
            <w:tcW w:w="774" w:type="dxa"/>
            <w:tcBorders>
              <w:left w:val="single" w:color="000000" w:sz="6" w:space="0"/>
              <w:bottom w:val="single" w:color="000000" w:sz="2" w:space="0"/>
              <w:right w:val="single" w:color="000000" w:sz="6" w:space="0"/>
            </w:tcBorders>
            <w:noWrap w:val="0"/>
            <w:vAlign w:val="top"/>
          </w:tcPr>
          <w:p w14:paraId="225FB95D">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p w14:paraId="0AACDD97">
            <w:pPr>
              <w:pageBreakBefore w:val="0"/>
              <w:widowControl w:val="0"/>
              <w:shd w:val="clear"/>
              <w:kinsoku/>
              <w:wordWrap/>
              <w:overflowPunct/>
              <w:topLinePunct w:val="0"/>
              <w:autoSpaceDE/>
              <w:autoSpaceDN/>
              <w:bidi w:val="0"/>
              <w:adjustRightInd/>
              <w:snapToGrid/>
              <w:spacing w:line="480" w:lineRule="exact"/>
              <w:ind w:left="154"/>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数量</w:t>
            </w:r>
          </w:p>
        </w:tc>
        <w:tc>
          <w:tcPr>
            <w:tcW w:w="1352" w:type="dxa"/>
            <w:tcBorders>
              <w:left w:val="single" w:color="000000" w:sz="6" w:space="0"/>
              <w:bottom w:val="single" w:color="000000" w:sz="2" w:space="0"/>
              <w:right w:val="single" w:color="000000" w:sz="6" w:space="0"/>
            </w:tcBorders>
            <w:noWrap w:val="0"/>
            <w:vAlign w:val="top"/>
          </w:tcPr>
          <w:p w14:paraId="0A612258">
            <w:pPr>
              <w:pageBreakBefore w:val="0"/>
              <w:widowControl w:val="0"/>
              <w:shd w:val="clear"/>
              <w:kinsoku/>
              <w:wordWrap/>
              <w:overflowPunct/>
              <w:topLinePunct w:val="0"/>
              <w:autoSpaceDE/>
              <w:autoSpaceDN/>
              <w:bidi w:val="0"/>
              <w:adjustRightInd/>
              <w:snapToGrid/>
              <w:spacing w:line="480" w:lineRule="exact"/>
              <w:ind w:left="443"/>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单价</w:t>
            </w:r>
          </w:p>
          <w:p w14:paraId="34F10063">
            <w:pPr>
              <w:pageBreakBefore w:val="0"/>
              <w:widowControl w:val="0"/>
              <w:shd w:val="clear"/>
              <w:kinsoku/>
              <w:wordWrap/>
              <w:overflowPunct/>
              <w:topLinePunct w:val="0"/>
              <w:autoSpaceDE/>
              <w:autoSpaceDN/>
              <w:bidi w:val="0"/>
              <w:adjustRightInd/>
              <w:snapToGrid/>
              <w:spacing w:before="125" w:line="480" w:lineRule="exact"/>
              <w:ind w:left="323"/>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（元）</w:t>
            </w:r>
          </w:p>
        </w:tc>
        <w:tc>
          <w:tcPr>
            <w:tcW w:w="1418" w:type="dxa"/>
            <w:tcBorders>
              <w:left w:val="single" w:color="000000" w:sz="6" w:space="0"/>
              <w:bottom w:val="single" w:color="000000" w:sz="2" w:space="0"/>
              <w:right w:val="single" w:color="000000" w:sz="6" w:space="0"/>
            </w:tcBorders>
            <w:noWrap w:val="0"/>
            <w:vAlign w:val="top"/>
          </w:tcPr>
          <w:p w14:paraId="238A97E9">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p w14:paraId="138D4E58">
            <w:pPr>
              <w:pageBreakBefore w:val="0"/>
              <w:widowControl w:val="0"/>
              <w:shd w:val="clear"/>
              <w:kinsoku/>
              <w:wordWrap/>
              <w:overflowPunct/>
              <w:topLinePunct w:val="0"/>
              <w:autoSpaceDE/>
              <w:autoSpaceDN/>
              <w:bidi w:val="0"/>
              <w:adjustRightInd/>
              <w:snapToGrid/>
              <w:spacing w:line="480" w:lineRule="exact"/>
              <w:ind w:left="11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合价（元）</w:t>
            </w:r>
          </w:p>
        </w:tc>
        <w:tc>
          <w:tcPr>
            <w:tcW w:w="1701" w:type="dxa"/>
            <w:tcBorders>
              <w:left w:val="single" w:color="000000" w:sz="6" w:space="0"/>
              <w:bottom w:val="single" w:color="000000" w:sz="2" w:space="0"/>
            </w:tcBorders>
            <w:noWrap w:val="0"/>
            <w:vAlign w:val="top"/>
          </w:tcPr>
          <w:p w14:paraId="1A37C178">
            <w:pPr>
              <w:pageBreakBefore w:val="0"/>
              <w:widowControl w:val="0"/>
              <w:shd w:val="clear"/>
              <w:kinsoku/>
              <w:wordWrap/>
              <w:overflowPunct/>
              <w:topLinePunct w:val="0"/>
              <w:autoSpaceDE/>
              <w:autoSpaceDN/>
              <w:bidi w:val="0"/>
              <w:adjustRightInd/>
              <w:snapToGrid/>
              <w:spacing w:before="11" w:line="480" w:lineRule="exact"/>
              <w:textAlignment w:val="auto"/>
              <w:rPr>
                <w:rFonts w:hint="eastAsia" w:ascii="宋体" w:hAnsi="宋体" w:eastAsia="宋体" w:cs="宋体"/>
                <w:kern w:val="2"/>
                <w:sz w:val="21"/>
                <w:szCs w:val="21"/>
                <w:highlight w:val="none"/>
                <w:lang w:val="zh-CN" w:eastAsia="zh-CN" w:bidi="zh-CN"/>
              </w:rPr>
            </w:pPr>
          </w:p>
          <w:p w14:paraId="47BC17AD">
            <w:pPr>
              <w:pageBreakBefore w:val="0"/>
              <w:widowControl w:val="0"/>
              <w:shd w:val="clear"/>
              <w:kinsoku/>
              <w:wordWrap/>
              <w:overflowPunct/>
              <w:topLinePunct w:val="0"/>
              <w:autoSpaceDE/>
              <w:autoSpaceDN/>
              <w:bidi w:val="0"/>
              <w:adjustRightInd/>
              <w:snapToGrid/>
              <w:spacing w:line="480" w:lineRule="exact"/>
              <w:ind w:left="596" w:right="562"/>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备注</w:t>
            </w:r>
          </w:p>
        </w:tc>
      </w:tr>
      <w:tr w14:paraId="3CE94E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993" w:type="dxa"/>
            <w:tcBorders>
              <w:top w:val="single" w:color="000000" w:sz="2" w:space="0"/>
              <w:bottom w:val="single" w:color="000000" w:sz="6" w:space="0"/>
              <w:right w:val="single" w:color="000000" w:sz="6" w:space="0"/>
            </w:tcBorders>
            <w:noWrap w:val="0"/>
            <w:vAlign w:val="top"/>
          </w:tcPr>
          <w:p w14:paraId="2D51EEB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984" w:type="dxa"/>
            <w:tcBorders>
              <w:top w:val="single" w:color="000000" w:sz="2" w:space="0"/>
              <w:left w:val="single" w:color="000000" w:sz="6" w:space="0"/>
              <w:bottom w:val="single" w:color="000000" w:sz="6" w:space="0"/>
              <w:right w:val="single" w:color="000000" w:sz="6" w:space="0"/>
            </w:tcBorders>
            <w:noWrap w:val="0"/>
            <w:vAlign w:val="top"/>
          </w:tcPr>
          <w:p w14:paraId="13580011">
            <w:pPr>
              <w:pageBreakBefore w:val="0"/>
              <w:widowControl w:val="0"/>
              <w:shd w:val="clear"/>
              <w:kinsoku/>
              <w:wordWrap/>
              <w:overflowPunct/>
              <w:topLinePunct w:val="0"/>
              <w:autoSpaceDE/>
              <w:autoSpaceDN/>
              <w:bidi w:val="0"/>
              <w:adjustRightInd/>
              <w:snapToGrid/>
              <w:spacing w:before="123" w:line="480" w:lineRule="exact"/>
              <w:ind w:left="26"/>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无</w:t>
            </w:r>
          </w:p>
        </w:tc>
        <w:tc>
          <w:tcPr>
            <w:tcW w:w="851" w:type="dxa"/>
            <w:tcBorders>
              <w:top w:val="single" w:color="000000" w:sz="2" w:space="0"/>
              <w:left w:val="single" w:color="000000" w:sz="6" w:space="0"/>
              <w:bottom w:val="single" w:color="000000" w:sz="6" w:space="0"/>
              <w:right w:val="single" w:color="000000" w:sz="6" w:space="0"/>
            </w:tcBorders>
            <w:noWrap w:val="0"/>
            <w:vAlign w:val="top"/>
          </w:tcPr>
          <w:p w14:paraId="5B8C758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74" w:type="dxa"/>
            <w:tcBorders>
              <w:top w:val="single" w:color="000000" w:sz="2" w:space="0"/>
              <w:left w:val="single" w:color="000000" w:sz="6" w:space="0"/>
              <w:bottom w:val="single" w:color="000000" w:sz="6" w:space="0"/>
              <w:right w:val="single" w:color="000000" w:sz="6" w:space="0"/>
            </w:tcBorders>
            <w:noWrap w:val="0"/>
            <w:vAlign w:val="top"/>
          </w:tcPr>
          <w:p w14:paraId="331F0E3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52" w:type="dxa"/>
            <w:tcBorders>
              <w:top w:val="single" w:color="000000" w:sz="2" w:space="0"/>
              <w:left w:val="single" w:color="000000" w:sz="6" w:space="0"/>
              <w:bottom w:val="single" w:color="000000" w:sz="6" w:space="0"/>
              <w:right w:val="single" w:color="000000" w:sz="6" w:space="0"/>
            </w:tcBorders>
            <w:noWrap w:val="0"/>
            <w:vAlign w:val="top"/>
          </w:tcPr>
          <w:p w14:paraId="7A7965D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2" w:space="0"/>
              <w:left w:val="single" w:color="000000" w:sz="6" w:space="0"/>
              <w:bottom w:val="single" w:color="000000" w:sz="6" w:space="0"/>
              <w:right w:val="single" w:color="000000" w:sz="6" w:space="0"/>
            </w:tcBorders>
            <w:noWrap w:val="0"/>
            <w:vAlign w:val="top"/>
          </w:tcPr>
          <w:p w14:paraId="764A6AF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01" w:type="dxa"/>
            <w:tcBorders>
              <w:top w:val="single" w:color="000000" w:sz="2" w:space="0"/>
              <w:left w:val="single" w:color="000000" w:sz="6" w:space="0"/>
              <w:bottom w:val="single" w:color="000000" w:sz="6" w:space="0"/>
            </w:tcBorders>
            <w:noWrap w:val="0"/>
            <w:vAlign w:val="top"/>
          </w:tcPr>
          <w:p w14:paraId="44BDA61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1D68A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bottom w:val="single" w:color="000000" w:sz="6" w:space="0"/>
              <w:right w:val="single" w:color="000000" w:sz="6" w:space="0"/>
            </w:tcBorders>
            <w:noWrap w:val="0"/>
            <w:vAlign w:val="top"/>
          </w:tcPr>
          <w:p w14:paraId="679D816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6A7D8EA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50BC9B4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74" w:type="dxa"/>
            <w:tcBorders>
              <w:top w:val="single" w:color="000000" w:sz="6" w:space="0"/>
              <w:left w:val="single" w:color="000000" w:sz="6" w:space="0"/>
              <w:bottom w:val="single" w:color="000000" w:sz="6" w:space="0"/>
              <w:right w:val="single" w:color="000000" w:sz="6" w:space="0"/>
            </w:tcBorders>
            <w:noWrap w:val="0"/>
            <w:vAlign w:val="top"/>
          </w:tcPr>
          <w:p w14:paraId="13280F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52" w:type="dxa"/>
            <w:tcBorders>
              <w:top w:val="single" w:color="000000" w:sz="6" w:space="0"/>
              <w:left w:val="single" w:color="000000" w:sz="6" w:space="0"/>
              <w:bottom w:val="single" w:color="000000" w:sz="6" w:space="0"/>
              <w:right w:val="single" w:color="000000" w:sz="6" w:space="0"/>
            </w:tcBorders>
            <w:noWrap w:val="0"/>
            <w:vAlign w:val="top"/>
          </w:tcPr>
          <w:p w14:paraId="1736920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92B57E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01" w:type="dxa"/>
            <w:tcBorders>
              <w:top w:val="single" w:color="000000" w:sz="6" w:space="0"/>
              <w:left w:val="single" w:color="000000" w:sz="6" w:space="0"/>
              <w:bottom w:val="single" w:color="000000" w:sz="6" w:space="0"/>
            </w:tcBorders>
            <w:noWrap w:val="0"/>
            <w:vAlign w:val="top"/>
          </w:tcPr>
          <w:p w14:paraId="3897FA3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029DAB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bottom w:val="single" w:color="000000" w:sz="6" w:space="0"/>
              <w:right w:val="single" w:color="000000" w:sz="6" w:space="0"/>
            </w:tcBorders>
            <w:noWrap w:val="0"/>
            <w:vAlign w:val="top"/>
          </w:tcPr>
          <w:p w14:paraId="415A50F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92FB22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5F75A5E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74" w:type="dxa"/>
            <w:tcBorders>
              <w:top w:val="single" w:color="000000" w:sz="6" w:space="0"/>
              <w:left w:val="single" w:color="000000" w:sz="6" w:space="0"/>
              <w:bottom w:val="single" w:color="000000" w:sz="6" w:space="0"/>
              <w:right w:val="single" w:color="000000" w:sz="6" w:space="0"/>
            </w:tcBorders>
            <w:noWrap w:val="0"/>
            <w:vAlign w:val="top"/>
          </w:tcPr>
          <w:p w14:paraId="69F7A5C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52" w:type="dxa"/>
            <w:tcBorders>
              <w:top w:val="single" w:color="000000" w:sz="6" w:space="0"/>
              <w:left w:val="single" w:color="000000" w:sz="6" w:space="0"/>
              <w:bottom w:val="single" w:color="000000" w:sz="6" w:space="0"/>
              <w:right w:val="single" w:color="000000" w:sz="6" w:space="0"/>
            </w:tcBorders>
            <w:noWrap w:val="0"/>
            <w:vAlign w:val="top"/>
          </w:tcPr>
          <w:p w14:paraId="2ADB7FD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61C07B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01" w:type="dxa"/>
            <w:tcBorders>
              <w:top w:val="single" w:color="000000" w:sz="6" w:space="0"/>
              <w:left w:val="single" w:color="000000" w:sz="6" w:space="0"/>
              <w:bottom w:val="single" w:color="000000" w:sz="6" w:space="0"/>
            </w:tcBorders>
            <w:noWrap w:val="0"/>
            <w:vAlign w:val="top"/>
          </w:tcPr>
          <w:p w14:paraId="2EFBBCC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2C7519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993" w:type="dxa"/>
            <w:tcBorders>
              <w:top w:val="single" w:color="000000" w:sz="6" w:space="0"/>
              <w:bottom w:val="single" w:color="000000" w:sz="6" w:space="0"/>
              <w:right w:val="single" w:color="000000" w:sz="6" w:space="0"/>
            </w:tcBorders>
            <w:noWrap w:val="0"/>
            <w:vAlign w:val="top"/>
          </w:tcPr>
          <w:p w14:paraId="07F57E2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F0D325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bottom w:val="single" w:color="000000" w:sz="6" w:space="0"/>
              <w:right w:val="single" w:color="000000" w:sz="6" w:space="0"/>
            </w:tcBorders>
            <w:noWrap w:val="0"/>
            <w:vAlign w:val="top"/>
          </w:tcPr>
          <w:p w14:paraId="51E202D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74" w:type="dxa"/>
            <w:tcBorders>
              <w:top w:val="single" w:color="000000" w:sz="6" w:space="0"/>
              <w:left w:val="single" w:color="000000" w:sz="6" w:space="0"/>
              <w:bottom w:val="single" w:color="000000" w:sz="6" w:space="0"/>
              <w:right w:val="single" w:color="000000" w:sz="6" w:space="0"/>
            </w:tcBorders>
            <w:noWrap w:val="0"/>
            <w:vAlign w:val="top"/>
          </w:tcPr>
          <w:p w14:paraId="32EBD1E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52" w:type="dxa"/>
            <w:tcBorders>
              <w:top w:val="single" w:color="000000" w:sz="6" w:space="0"/>
              <w:left w:val="single" w:color="000000" w:sz="6" w:space="0"/>
              <w:bottom w:val="single" w:color="000000" w:sz="6" w:space="0"/>
              <w:right w:val="single" w:color="000000" w:sz="6" w:space="0"/>
            </w:tcBorders>
            <w:noWrap w:val="0"/>
            <w:vAlign w:val="top"/>
          </w:tcPr>
          <w:p w14:paraId="543998A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6E2E1D8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01" w:type="dxa"/>
            <w:tcBorders>
              <w:top w:val="single" w:color="000000" w:sz="6" w:space="0"/>
              <w:left w:val="single" w:color="000000" w:sz="6" w:space="0"/>
              <w:bottom w:val="single" w:color="000000" w:sz="6" w:space="0"/>
            </w:tcBorders>
            <w:noWrap w:val="0"/>
            <w:vAlign w:val="top"/>
          </w:tcPr>
          <w:p w14:paraId="7DF764E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962AF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right w:val="single" w:color="000000" w:sz="6" w:space="0"/>
            </w:tcBorders>
            <w:noWrap w:val="0"/>
            <w:vAlign w:val="top"/>
          </w:tcPr>
          <w:p w14:paraId="3824074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984" w:type="dxa"/>
            <w:tcBorders>
              <w:top w:val="single" w:color="000000" w:sz="6" w:space="0"/>
              <w:left w:val="single" w:color="000000" w:sz="6" w:space="0"/>
              <w:right w:val="single" w:color="000000" w:sz="6" w:space="0"/>
            </w:tcBorders>
            <w:noWrap w:val="0"/>
            <w:vAlign w:val="top"/>
          </w:tcPr>
          <w:p w14:paraId="472785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51" w:type="dxa"/>
            <w:tcBorders>
              <w:top w:val="single" w:color="000000" w:sz="6" w:space="0"/>
              <w:left w:val="single" w:color="000000" w:sz="6" w:space="0"/>
              <w:right w:val="single" w:color="000000" w:sz="6" w:space="0"/>
            </w:tcBorders>
            <w:noWrap w:val="0"/>
            <w:vAlign w:val="top"/>
          </w:tcPr>
          <w:p w14:paraId="692DD71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774" w:type="dxa"/>
            <w:tcBorders>
              <w:top w:val="single" w:color="000000" w:sz="6" w:space="0"/>
              <w:left w:val="single" w:color="000000" w:sz="6" w:space="0"/>
              <w:right w:val="single" w:color="000000" w:sz="6" w:space="0"/>
            </w:tcBorders>
            <w:noWrap w:val="0"/>
            <w:vAlign w:val="top"/>
          </w:tcPr>
          <w:p w14:paraId="37806D6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352" w:type="dxa"/>
            <w:tcBorders>
              <w:top w:val="single" w:color="000000" w:sz="6" w:space="0"/>
              <w:left w:val="single" w:color="000000" w:sz="6" w:space="0"/>
              <w:right w:val="single" w:color="000000" w:sz="6" w:space="0"/>
            </w:tcBorders>
            <w:noWrap w:val="0"/>
            <w:vAlign w:val="top"/>
          </w:tcPr>
          <w:p w14:paraId="1B36CF1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418" w:type="dxa"/>
            <w:tcBorders>
              <w:top w:val="single" w:color="000000" w:sz="6" w:space="0"/>
              <w:left w:val="single" w:color="000000" w:sz="6" w:space="0"/>
              <w:right w:val="single" w:color="000000" w:sz="6" w:space="0"/>
            </w:tcBorders>
            <w:noWrap w:val="0"/>
            <w:vAlign w:val="top"/>
          </w:tcPr>
          <w:p w14:paraId="4585A24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01" w:type="dxa"/>
            <w:tcBorders>
              <w:top w:val="single" w:color="000000" w:sz="6" w:space="0"/>
              <w:left w:val="single" w:color="000000" w:sz="6" w:space="0"/>
            </w:tcBorders>
            <w:noWrap w:val="0"/>
            <w:vAlign w:val="top"/>
          </w:tcPr>
          <w:p w14:paraId="7F8FE15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207FD4E3">
      <w:pPr>
        <w:pageBreakBefore w:val="0"/>
        <w:widowControl w:val="0"/>
        <w:shd w:val="clear"/>
        <w:kinsoku/>
        <w:wordWrap/>
        <w:overflowPunct/>
        <w:topLinePunct w:val="0"/>
        <w:autoSpaceDE/>
        <w:autoSpaceDN/>
        <w:bidi w:val="0"/>
        <w:adjustRightInd/>
        <w:snapToGrid/>
        <w:spacing w:before="4" w:line="480" w:lineRule="exact"/>
        <w:textAlignment w:val="auto"/>
        <w:rPr>
          <w:rFonts w:hint="eastAsia" w:ascii="宋体" w:hAnsi="宋体" w:eastAsia="宋体" w:cs="宋体"/>
          <w:kern w:val="2"/>
          <w:sz w:val="21"/>
          <w:szCs w:val="21"/>
          <w:highlight w:val="none"/>
          <w:lang w:val="zh-CN" w:eastAsia="zh-CN" w:bidi="zh-CN"/>
        </w:rPr>
      </w:pPr>
    </w:p>
    <w:p w14:paraId="1231933B">
      <w:pPr>
        <w:pageBreakBefore w:val="0"/>
        <w:widowControl w:val="0"/>
        <w:numPr>
          <w:ilvl w:val="1"/>
          <w:numId w:val="6"/>
        </w:numPr>
        <w:shd w:val="clear"/>
        <w:tabs>
          <w:tab w:val="left" w:pos="4616"/>
        </w:tabs>
        <w:kinsoku/>
        <w:wordWrap/>
        <w:overflowPunct/>
        <w:topLinePunct w:val="0"/>
        <w:autoSpaceDE/>
        <w:autoSpaceDN/>
        <w:bidi w:val="0"/>
        <w:adjustRightInd/>
        <w:snapToGrid/>
        <w:spacing w:line="480" w:lineRule="exact"/>
        <w:ind w:left="323" w:right="7" w:hanging="461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en-US" w:eastAsia="zh-CN" w:bidi="zh-CN"/>
        </w:rPr>
        <w:t>8-2</w:t>
      </w:r>
      <w:r>
        <w:rPr>
          <w:rFonts w:hint="eastAsia" w:ascii="宋体" w:hAnsi="宋体" w:eastAsia="宋体" w:cs="宋体"/>
          <w:kern w:val="2"/>
          <w:sz w:val="21"/>
          <w:szCs w:val="21"/>
          <w:highlight w:val="none"/>
          <w:lang w:val="zh-CN" w:eastAsia="zh-CN" w:bidi="zh-CN"/>
        </w:rPr>
        <w:t>：工程设备暂估价表</w:t>
      </w:r>
    </w:p>
    <w:p w14:paraId="3D971AA0">
      <w:pPr>
        <w:pageBreakBefore w:val="0"/>
        <w:widowControl w:val="0"/>
        <w:shd w:val="clear"/>
        <w:kinsoku/>
        <w:wordWrap/>
        <w:overflowPunct/>
        <w:topLinePunct w:val="0"/>
        <w:autoSpaceDE/>
        <w:autoSpaceDN/>
        <w:bidi w:val="0"/>
        <w:adjustRightInd/>
        <w:snapToGrid/>
        <w:spacing w:before="8" w:line="480" w:lineRule="exact"/>
        <w:textAlignment w:val="auto"/>
        <w:rPr>
          <w:rFonts w:hint="eastAsia" w:ascii="宋体" w:hAnsi="宋体" w:eastAsia="宋体" w:cs="宋体"/>
          <w:kern w:val="2"/>
          <w:sz w:val="21"/>
          <w:szCs w:val="21"/>
          <w:highlight w:val="none"/>
          <w:lang w:val="zh-CN" w:eastAsia="zh-CN" w:bidi="zh-CN"/>
        </w:rPr>
      </w:pPr>
    </w:p>
    <w:tbl>
      <w:tblPr>
        <w:tblStyle w:val="30"/>
        <w:tblW w:w="9639" w:type="dxa"/>
        <w:tblInd w:w="6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08"/>
        <w:gridCol w:w="904"/>
        <w:gridCol w:w="822"/>
        <w:gridCol w:w="1552"/>
        <w:gridCol w:w="1651"/>
        <w:gridCol w:w="1547"/>
      </w:tblGrid>
      <w:tr w14:paraId="1F02F3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0" w:hRule="atLeast"/>
        </w:trPr>
        <w:tc>
          <w:tcPr>
            <w:tcW w:w="1055" w:type="dxa"/>
            <w:tcBorders>
              <w:bottom w:val="single" w:color="000000" w:sz="2" w:space="0"/>
              <w:right w:val="single" w:color="000000" w:sz="6" w:space="0"/>
            </w:tcBorders>
            <w:noWrap w:val="0"/>
            <w:vAlign w:val="top"/>
          </w:tcPr>
          <w:p w14:paraId="2C84A3F1">
            <w:pPr>
              <w:pageBreakBefore w:val="0"/>
              <w:widowControl w:val="0"/>
              <w:shd w:val="clear"/>
              <w:kinsoku/>
              <w:wordWrap/>
              <w:overflowPunct/>
              <w:topLinePunct w:val="0"/>
              <w:autoSpaceDE/>
              <w:autoSpaceDN/>
              <w:bidi w:val="0"/>
              <w:adjustRightInd/>
              <w:snapToGrid/>
              <w:spacing w:before="3" w:line="480" w:lineRule="exact"/>
              <w:ind w:left="28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序号</w:t>
            </w:r>
          </w:p>
        </w:tc>
        <w:tc>
          <w:tcPr>
            <w:tcW w:w="2108" w:type="dxa"/>
            <w:tcBorders>
              <w:left w:val="single" w:color="000000" w:sz="6" w:space="0"/>
              <w:bottom w:val="single" w:color="000000" w:sz="2" w:space="0"/>
              <w:right w:val="single" w:color="000000" w:sz="6" w:space="0"/>
            </w:tcBorders>
            <w:noWrap w:val="0"/>
            <w:vAlign w:val="top"/>
          </w:tcPr>
          <w:p w14:paraId="15BC2D4D">
            <w:pPr>
              <w:pageBreakBefore w:val="0"/>
              <w:widowControl w:val="0"/>
              <w:shd w:val="clear"/>
              <w:kinsoku/>
              <w:wordWrap/>
              <w:overflowPunct/>
              <w:topLinePunct w:val="0"/>
              <w:autoSpaceDE/>
              <w:autoSpaceDN/>
              <w:bidi w:val="0"/>
              <w:adjustRightInd/>
              <w:snapToGrid/>
              <w:spacing w:before="3" w:line="480" w:lineRule="exact"/>
              <w:ind w:left="801" w:right="772"/>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名称</w:t>
            </w:r>
          </w:p>
        </w:tc>
        <w:tc>
          <w:tcPr>
            <w:tcW w:w="904" w:type="dxa"/>
            <w:tcBorders>
              <w:left w:val="single" w:color="000000" w:sz="6" w:space="0"/>
              <w:bottom w:val="single" w:color="000000" w:sz="2" w:space="0"/>
              <w:right w:val="single" w:color="000000" w:sz="6" w:space="0"/>
            </w:tcBorders>
            <w:noWrap w:val="0"/>
            <w:vAlign w:val="top"/>
          </w:tcPr>
          <w:p w14:paraId="1308F9A0">
            <w:pPr>
              <w:pageBreakBefore w:val="0"/>
              <w:widowControl w:val="0"/>
              <w:shd w:val="clear"/>
              <w:kinsoku/>
              <w:wordWrap/>
              <w:overflowPunct/>
              <w:topLinePunct w:val="0"/>
              <w:autoSpaceDE/>
              <w:autoSpaceDN/>
              <w:bidi w:val="0"/>
              <w:adjustRightInd/>
              <w:snapToGrid/>
              <w:spacing w:before="3" w:line="480" w:lineRule="exact"/>
              <w:ind w:left="21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单位</w:t>
            </w:r>
          </w:p>
        </w:tc>
        <w:tc>
          <w:tcPr>
            <w:tcW w:w="822" w:type="dxa"/>
            <w:tcBorders>
              <w:left w:val="single" w:color="000000" w:sz="6" w:space="0"/>
              <w:bottom w:val="single" w:color="000000" w:sz="2" w:space="0"/>
              <w:right w:val="single" w:color="000000" w:sz="6" w:space="0"/>
            </w:tcBorders>
            <w:noWrap w:val="0"/>
            <w:vAlign w:val="top"/>
          </w:tcPr>
          <w:p w14:paraId="5F57F82F">
            <w:pPr>
              <w:pageBreakBefore w:val="0"/>
              <w:widowControl w:val="0"/>
              <w:shd w:val="clear"/>
              <w:kinsoku/>
              <w:wordWrap/>
              <w:overflowPunct/>
              <w:topLinePunct w:val="0"/>
              <w:autoSpaceDE/>
              <w:autoSpaceDN/>
              <w:bidi w:val="0"/>
              <w:adjustRightInd/>
              <w:snapToGrid/>
              <w:spacing w:before="3" w:line="480" w:lineRule="exact"/>
              <w:ind w:left="17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数量</w:t>
            </w:r>
          </w:p>
        </w:tc>
        <w:tc>
          <w:tcPr>
            <w:tcW w:w="1552" w:type="dxa"/>
            <w:tcBorders>
              <w:left w:val="single" w:color="000000" w:sz="6" w:space="0"/>
              <w:bottom w:val="single" w:color="000000" w:sz="2" w:space="0"/>
              <w:right w:val="single" w:color="000000" w:sz="6" w:space="0"/>
            </w:tcBorders>
            <w:noWrap w:val="0"/>
            <w:vAlign w:val="top"/>
          </w:tcPr>
          <w:p w14:paraId="334D50F0">
            <w:pPr>
              <w:pageBreakBefore w:val="0"/>
              <w:widowControl w:val="0"/>
              <w:shd w:val="clear"/>
              <w:kinsoku/>
              <w:wordWrap/>
              <w:overflowPunct/>
              <w:topLinePunct w:val="0"/>
              <w:autoSpaceDE/>
              <w:autoSpaceDN/>
              <w:bidi w:val="0"/>
              <w:adjustRightInd/>
              <w:snapToGrid/>
              <w:spacing w:before="3" w:line="480" w:lineRule="exact"/>
              <w:ind w:left="183"/>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单价（元）</w:t>
            </w:r>
          </w:p>
        </w:tc>
        <w:tc>
          <w:tcPr>
            <w:tcW w:w="1651" w:type="dxa"/>
            <w:tcBorders>
              <w:left w:val="single" w:color="000000" w:sz="6" w:space="0"/>
              <w:bottom w:val="single" w:color="000000" w:sz="2" w:space="0"/>
              <w:right w:val="single" w:color="000000" w:sz="6" w:space="0"/>
            </w:tcBorders>
            <w:noWrap w:val="0"/>
            <w:vAlign w:val="top"/>
          </w:tcPr>
          <w:p w14:paraId="719A8125">
            <w:pPr>
              <w:pageBreakBefore w:val="0"/>
              <w:widowControl w:val="0"/>
              <w:shd w:val="clear"/>
              <w:kinsoku/>
              <w:wordWrap/>
              <w:overflowPunct/>
              <w:topLinePunct w:val="0"/>
              <w:autoSpaceDE/>
              <w:autoSpaceDN/>
              <w:bidi w:val="0"/>
              <w:adjustRightInd/>
              <w:snapToGrid/>
              <w:spacing w:before="3" w:line="480" w:lineRule="exact"/>
              <w:ind w:left="232"/>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合价（元）</w:t>
            </w:r>
          </w:p>
        </w:tc>
        <w:tc>
          <w:tcPr>
            <w:tcW w:w="1547" w:type="dxa"/>
            <w:tcBorders>
              <w:left w:val="single" w:color="000000" w:sz="6" w:space="0"/>
              <w:bottom w:val="single" w:color="000000" w:sz="2" w:space="0"/>
            </w:tcBorders>
            <w:noWrap w:val="0"/>
            <w:vAlign w:val="top"/>
          </w:tcPr>
          <w:p w14:paraId="17AB9639">
            <w:pPr>
              <w:pageBreakBefore w:val="0"/>
              <w:widowControl w:val="0"/>
              <w:shd w:val="clear"/>
              <w:kinsoku/>
              <w:wordWrap/>
              <w:overflowPunct/>
              <w:topLinePunct w:val="0"/>
              <w:autoSpaceDE/>
              <w:autoSpaceDN/>
              <w:bidi w:val="0"/>
              <w:adjustRightInd/>
              <w:snapToGrid/>
              <w:spacing w:before="3" w:line="480" w:lineRule="exact"/>
              <w:ind w:left="540"/>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备注</w:t>
            </w:r>
          </w:p>
        </w:tc>
      </w:tr>
      <w:tr w14:paraId="2B02D2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1055" w:type="dxa"/>
            <w:tcBorders>
              <w:top w:val="single" w:color="000000" w:sz="2" w:space="0"/>
              <w:bottom w:val="single" w:color="000000" w:sz="6" w:space="0"/>
              <w:right w:val="single" w:color="000000" w:sz="6" w:space="0"/>
            </w:tcBorders>
            <w:noWrap w:val="0"/>
            <w:vAlign w:val="top"/>
          </w:tcPr>
          <w:p w14:paraId="4E96A0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2" w:space="0"/>
              <w:left w:val="single" w:color="000000" w:sz="6" w:space="0"/>
              <w:bottom w:val="single" w:color="000000" w:sz="6" w:space="0"/>
              <w:right w:val="single" w:color="000000" w:sz="6" w:space="0"/>
            </w:tcBorders>
            <w:noWrap w:val="0"/>
            <w:vAlign w:val="top"/>
          </w:tcPr>
          <w:p w14:paraId="2CA8223D">
            <w:pPr>
              <w:pageBreakBefore w:val="0"/>
              <w:widowControl w:val="0"/>
              <w:shd w:val="clear"/>
              <w:kinsoku/>
              <w:wordWrap/>
              <w:overflowPunct/>
              <w:topLinePunct w:val="0"/>
              <w:autoSpaceDE/>
              <w:autoSpaceDN/>
              <w:bidi w:val="0"/>
              <w:adjustRightInd/>
              <w:snapToGrid/>
              <w:spacing w:before="2" w:line="480" w:lineRule="exact"/>
              <w:ind w:left="29"/>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无</w:t>
            </w:r>
          </w:p>
        </w:tc>
        <w:tc>
          <w:tcPr>
            <w:tcW w:w="904" w:type="dxa"/>
            <w:tcBorders>
              <w:top w:val="single" w:color="000000" w:sz="2" w:space="0"/>
              <w:left w:val="single" w:color="000000" w:sz="6" w:space="0"/>
              <w:bottom w:val="single" w:color="000000" w:sz="6" w:space="0"/>
              <w:right w:val="single" w:color="000000" w:sz="6" w:space="0"/>
            </w:tcBorders>
            <w:noWrap w:val="0"/>
            <w:vAlign w:val="top"/>
          </w:tcPr>
          <w:p w14:paraId="463E1FF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2" w:space="0"/>
              <w:left w:val="single" w:color="000000" w:sz="6" w:space="0"/>
              <w:bottom w:val="single" w:color="000000" w:sz="6" w:space="0"/>
              <w:right w:val="single" w:color="000000" w:sz="6" w:space="0"/>
            </w:tcBorders>
            <w:noWrap w:val="0"/>
            <w:vAlign w:val="top"/>
          </w:tcPr>
          <w:p w14:paraId="16897B5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52" w:type="dxa"/>
            <w:tcBorders>
              <w:top w:val="single" w:color="000000" w:sz="2" w:space="0"/>
              <w:left w:val="single" w:color="000000" w:sz="6" w:space="0"/>
              <w:bottom w:val="single" w:color="000000" w:sz="6" w:space="0"/>
              <w:right w:val="single" w:color="000000" w:sz="6" w:space="0"/>
            </w:tcBorders>
            <w:noWrap w:val="0"/>
            <w:vAlign w:val="top"/>
          </w:tcPr>
          <w:p w14:paraId="3729298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51" w:type="dxa"/>
            <w:tcBorders>
              <w:top w:val="single" w:color="000000" w:sz="2" w:space="0"/>
              <w:left w:val="single" w:color="000000" w:sz="6" w:space="0"/>
              <w:bottom w:val="single" w:color="000000" w:sz="6" w:space="0"/>
              <w:right w:val="single" w:color="000000" w:sz="6" w:space="0"/>
            </w:tcBorders>
            <w:noWrap w:val="0"/>
            <w:vAlign w:val="top"/>
          </w:tcPr>
          <w:p w14:paraId="0026D70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47" w:type="dxa"/>
            <w:tcBorders>
              <w:top w:val="single" w:color="000000" w:sz="2" w:space="0"/>
              <w:left w:val="single" w:color="000000" w:sz="6" w:space="0"/>
              <w:bottom w:val="single" w:color="000000" w:sz="6" w:space="0"/>
            </w:tcBorders>
            <w:noWrap w:val="0"/>
            <w:vAlign w:val="top"/>
          </w:tcPr>
          <w:p w14:paraId="7745068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8AAD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noWrap w:val="0"/>
            <w:vAlign w:val="top"/>
          </w:tcPr>
          <w:p w14:paraId="1226D0C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bottom w:val="single" w:color="000000" w:sz="6" w:space="0"/>
              <w:right w:val="single" w:color="000000" w:sz="6" w:space="0"/>
            </w:tcBorders>
            <w:noWrap w:val="0"/>
            <w:vAlign w:val="top"/>
          </w:tcPr>
          <w:p w14:paraId="50F8207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bottom w:val="single" w:color="000000" w:sz="6" w:space="0"/>
              <w:right w:val="single" w:color="000000" w:sz="6" w:space="0"/>
            </w:tcBorders>
            <w:noWrap w:val="0"/>
            <w:vAlign w:val="top"/>
          </w:tcPr>
          <w:p w14:paraId="604DB76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bottom w:val="single" w:color="000000" w:sz="6" w:space="0"/>
              <w:right w:val="single" w:color="000000" w:sz="6" w:space="0"/>
            </w:tcBorders>
            <w:noWrap w:val="0"/>
            <w:vAlign w:val="top"/>
          </w:tcPr>
          <w:p w14:paraId="134B7B1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52" w:type="dxa"/>
            <w:tcBorders>
              <w:top w:val="single" w:color="000000" w:sz="6" w:space="0"/>
              <w:left w:val="single" w:color="000000" w:sz="6" w:space="0"/>
              <w:bottom w:val="single" w:color="000000" w:sz="6" w:space="0"/>
              <w:right w:val="single" w:color="000000" w:sz="6" w:space="0"/>
            </w:tcBorders>
            <w:noWrap w:val="0"/>
            <w:vAlign w:val="top"/>
          </w:tcPr>
          <w:p w14:paraId="11EA3F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51" w:type="dxa"/>
            <w:tcBorders>
              <w:top w:val="single" w:color="000000" w:sz="6" w:space="0"/>
              <w:left w:val="single" w:color="000000" w:sz="6" w:space="0"/>
              <w:bottom w:val="single" w:color="000000" w:sz="6" w:space="0"/>
              <w:right w:val="single" w:color="000000" w:sz="6" w:space="0"/>
            </w:tcBorders>
            <w:noWrap w:val="0"/>
            <w:vAlign w:val="top"/>
          </w:tcPr>
          <w:p w14:paraId="4AC3229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47" w:type="dxa"/>
            <w:tcBorders>
              <w:top w:val="single" w:color="000000" w:sz="6" w:space="0"/>
              <w:left w:val="single" w:color="000000" w:sz="6" w:space="0"/>
              <w:bottom w:val="single" w:color="000000" w:sz="6" w:space="0"/>
            </w:tcBorders>
            <w:noWrap w:val="0"/>
            <w:vAlign w:val="top"/>
          </w:tcPr>
          <w:p w14:paraId="19FD146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73037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noWrap w:val="0"/>
            <w:vAlign w:val="top"/>
          </w:tcPr>
          <w:p w14:paraId="60DFD1B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bottom w:val="single" w:color="000000" w:sz="6" w:space="0"/>
              <w:right w:val="single" w:color="000000" w:sz="6" w:space="0"/>
            </w:tcBorders>
            <w:noWrap w:val="0"/>
            <w:vAlign w:val="top"/>
          </w:tcPr>
          <w:p w14:paraId="0412081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bottom w:val="single" w:color="000000" w:sz="6" w:space="0"/>
              <w:right w:val="single" w:color="000000" w:sz="6" w:space="0"/>
            </w:tcBorders>
            <w:noWrap w:val="0"/>
            <w:vAlign w:val="top"/>
          </w:tcPr>
          <w:p w14:paraId="72EFB3E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bottom w:val="single" w:color="000000" w:sz="6" w:space="0"/>
              <w:right w:val="single" w:color="000000" w:sz="6" w:space="0"/>
            </w:tcBorders>
            <w:noWrap w:val="0"/>
            <w:vAlign w:val="top"/>
          </w:tcPr>
          <w:p w14:paraId="3643FD8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52" w:type="dxa"/>
            <w:tcBorders>
              <w:top w:val="single" w:color="000000" w:sz="6" w:space="0"/>
              <w:left w:val="single" w:color="000000" w:sz="6" w:space="0"/>
              <w:bottom w:val="single" w:color="000000" w:sz="6" w:space="0"/>
              <w:right w:val="single" w:color="000000" w:sz="6" w:space="0"/>
            </w:tcBorders>
            <w:noWrap w:val="0"/>
            <w:vAlign w:val="top"/>
          </w:tcPr>
          <w:p w14:paraId="5DABC6B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51" w:type="dxa"/>
            <w:tcBorders>
              <w:top w:val="single" w:color="000000" w:sz="6" w:space="0"/>
              <w:left w:val="single" w:color="000000" w:sz="6" w:space="0"/>
              <w:bottom w:val="single" w:color="000000" w:sz="6" w:space="0"/>
              <w:right w:val="single" w:color="000000" w:sz="6" w:space="0"/>
            </w:tcBorders>
            <w:noWrap w:val="0"/>
            <w:vAlign w:val="top"/>
          </w:tcPr>
          <w:p w14:paraId="576FF03C">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47" w:type="dxa"/>
            <w:tcBorders>
              <w:top w:val="single" w:color="000000" w:sz="6" w:space="0"/>
              <w:left w:val="single" w:color="000000" w:sz="6" w:space="0"/>
              <w:bottom w:val="single" w:color="000000" w:sz="6" w:space="0"/>
            </w:tcBorders>
            <w:noWrap w:val="0"/>
            <w:vAlign w:val="top"/>
          </w:tcPr>
          <w:p w14:paraId="3364E0A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18FB6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1055" w:type="dxa"/>
            <w:tcBorders>
              <w:top w:val="single" w:color="000000" w:sz="6" w:space="0"/>
              <w:bottom w:val="single" w:color="000000" w:sz="6" w:space="0"/>
              <w:right w:val="single" w:color="000000" w:sz="6" w:space="0"/>
            </w:tcBorders>
            <w:noWrap w:val="0"/>
            <w:vAlign w:val="top"/>
          </w:tcPr>
          <w:p w14:paraId="5F9F64B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bottom w:val="single" w:color="000000" w:sz="6" w:space="0"/>
              <w:right w:val="single" w:color="000000" w:sz="6" w:space="0"/>
            </w:tcBorders>
            <w:noWrap w:val="0"/>
            <w:vAlign w:val="top"/>
          </w:tcPr>
          <w:p w14:paraId="2C83630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bottom w:val="single" w:color="000000" w:sz="6" w:space="0"/>
              <w:right w:val="single" w:color="000000" w:sz="6" w:space="0"/>
            </w:tcBorders>
            <w:noWrap w:val="0"/>
            <w:vAlign w:val="top"/>
          </w:tcPr>
          <w:p w14:paraId="5379222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bottom w:val="single" w:color="000000" w:sz="6" w:space="0"/>
              <w:right w:val="single" w:color="000000" w:sz="6" w:space="0"/>
            </w:tcBorders>
            <w:noWrap w:val="0"/>
            <w:vAlign w:val="top"/>
          </w:tcPr>
          <w:p w14:paraId="5895EF9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52" w:type="dxa"/>
            <w:tcBorders>
              <w:top w:val="single" w:color="000000" w:sz="6" w:space="0"/>
              <w:left w:val="single" w:color="000000" w:sz="6" w:space="0"/>
              <w:bottom w:val="single" w:color="000000" w:sz="6" w:space="0"/>
              <w:right w:val="single" w:color="000000" w:sz="6" w:space="0"/>
            </w:tcBorders>
            <w:noWrap w:val="0"/>
            <w:vAlign w:val="top"/>
          </w:tcPr>
          <w:p w14:paraId="5DF33EF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51" w:type="dxa"/>
            <w:tcBorders>
              <w:top w:val="single" w:color="000000" w:sz="6" w:space="0"/>
              <w:left w:val="single" w:color="000000" w:sz="6" w:space="0"/>
              <w:bottom w:val="single" w:color="000000" w:sz="6" w:space="0"/>
              <w:right w:val="single" w:color="000000" w:sz="6" w:space="0"/>
            </w:tcBorders>
            <w:noWrap w:val="0"/>
            <w:vAlign w:val="top"/>
          </w:tcPr>
          <w:p w14:paraId="77FD050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47" w:type="dxa"/>
            <w:tcBorders>
              <w:top w:val="single" w:color="000000" w:sz="6" w:space="0"/>
              <w:left w:val="single" w:color="000000" w:sz="6" w:space="0"/>
              <w:bottom w:val="single" w:color="000000" w:sz="6" w:space="0"/>
            </w:tcBorders>
            <w:noWrap w:val="0"/>
            <w:vAlign w:val="top"/>
          </w:tcPr>
          <w:p w14:paraId="07BB2FC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7AD878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right w:val="single" w:color="000000" w:sz="6" w:space="0"/>
            </w:tcBorders>
            <w:noWrap w:val="0"/>
            <w:vAlign w:val="top"/>
          </w:tcPr>
          <w:p w14:paraId="7AA613A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right w:val="single" w:color="000000" w:sz="6" w:space="0"/>
            </w:tcBorders>
            <w:noWrap w:val="0"/>
            <w:vAlign w:val="top"/>
          </w:tcPr>
          <w:p w14:paraId="2F6718DB">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right w:val="single" w:color="000000" w:sz="6" w:space="0"/>
            </w:tcBorders>
            <w:noWrap w:val="0"/>
            <w:vAlign w:val="top"/>
          </w:tcPr>
          <w:p w14:paraId="62EBCAB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right w:val="single" w:color="000000" w:sz="6" w:space="0"/>
            </w:tcBorders>
            <w:noWrap w:val="0"/>
            <w:vAlign w:val="top"/>
          </w:tcPr>
          <w:p w14:paraId="52402061">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52" w:type="dxa"/>
            <w:tcBorders>
              <w:top w:val="single" w:color="000000" w:sz="6" w:space="0"/>
              <w:left w:val="single" w:color="000000" w:sz="6" w:space="0"/>
              <w:right w:val="single" w:color="000000" w:sz="6" w:space="0"/>
            </w:tcBorders>
            <w:noWrap w:val="0"/>
            <w:vAlign w:val="top"/>
          </w:tcPr>
          <w:p w14:paraId="38E9986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651" w:type="dxa"/>
            <w:tcBorders>
              <w:top w:val="single" w:color="000000" w:sz="6" w:space="0"/>
              <w:left w:val="single" w:color="000000" w:sz="6" w:space="0"/>
              <w:right w:val="single" w:color="000000" w:sz="6" w:space="0"/>
            </w:tcBorders>
            <w:noWrap w:val="0"/>
            <w:vAlign w:val="top"/>
          </w:tcPr>
          <w:p w14:paraId="7E2222A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547" w:type="dxa"/>
            <w:tcBorders>
              <w:top w:val="single" w:color="000000" w:sz="6" w:space="0"/>
              <w:left w:val="single" w:color="000000" w:sz="6" w:space="0"/>
            </w:tcBorders>
            <w:noWrap w:val="0"/>
            <w:vAlign w:val="top"/>
          </w:tcPr>
          <w:p w14:paraId="30EB2F19">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5B937191">
      <w:pPr>
        <w:pageBreakBefore w:val="0"/>
        <w:widowControl w:val="0"/>
        <w:numPr>
          <w:ilvl w:val="1"/>
          <w:numId w:val="6"/>
        </w:numPr>
        <w:shd w:val="clear"/>
        <w:tabs>
          <w:tab w:val="left" w:pos="4616"/>
        </w:tabs>
        <w:kinsoku/>
        <w:wordWrap/>
        <w:overflowPunct/>
        <w:topLinePunct w:val="0"/>
        <w:autoSpaceDE/>
        <w:autoSpaceDN/>
        <w:bidi w:val="0"/>
        <w:adjustRightInd/>
        <w:snapToGrid/>
        <w:spacing w:before="123" w:line="480" w:lineRule="exact"/>
        <w:ind w:left="323" w:right="7" w:hanging="4616"/>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en-US" w:eastAsia="zh-CN" w:bidi="zh-CN"/>
        </w:rPr>
        <w:t>8-3</w:t>
      </w:r>
      <w:r>
        <w:rPr>
          <w:rFonts w:hint="eastAsia" w:ascii="宋体" w:hAnsi="宋体" w:eastAsia="宋体" w:cs="宋体"/>
          <w:kern w:val="2"/>
          <w:sz w:val="21"/>
          <w:szCs w:val="21"/>
          <w:highlight w:val="none"/>
          <w:lang w:val="zh-CN" w:eastAsia="zh-CN" w:bidi="zh-CN"/>
        </w:rPr>
        <w:t>：专业工程暂估价表</w:t>
      </w:r>
    </w:p>
    <w:p w14:paraId="07E7BA3D">
      <w:pPr>
        <w:pageBreakBefore w:val="0"/>
        <w:widowControl w:val="0"/>
        <w:shd w:val="clear"/>
        <w:kinsoku/>
        <w:wordWrap/>
        <w:overflowPunct/>
        <w:topLinePunct w:val="0"/>
        <w:autoSpaceDE/>
        <w:autoSpaceDN/>
        <w:bidi w:val="0"/>
        <w:adjustRightInd/>
        <w:snapToGrid/>
        <w:spacing w:before="7" w:line="480" w:lineRule="exact"/>
        <w:textAlignment w:val="auto"/>
        <w:rPr>
          <w:rFonts w:hint="eastAsia" w:ascii="宋体" w:hAnsi="宋体" w:eastAsia="宋体" w:cs="宋体"/>
          <w:kern w:val="2"/>
          <w:sz w:val="21"/>
          <w:szCs w:val="21"/>
          <w:highlight w:val="none"/>
          <w:lang w:val="zh-CN" w:eastAsia="zh-CN" w:bidi="zh-CN"/>
        </w:rPr>
      </w:pPr>
    </w:p>
    <w:tbl>
      <w:tblPr>
        <w:tblStyle w:val="30"/>
        <w:tblW w:w="9640" w:type="dxa"/>
        <w:tblInd w:w="6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08"/>
        <w:gridCol w:w="904"/>
        <w:gridCol w:w="822"/>
        <w:gridCol w:w="1761"/>
        <w:gridCol w:w="1785"/>
        <w:gridCol w:w="1205"/>
      </w:tblGrid>
      <w:tr w14:paraId="79AB3F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055" w:type="dxa"/>
            <w:tcBorders>
              <w:bottom w:val="single" w:color="000000" w:sz="2" w:space="0"/>
              <w:right w:val="single" w:color="000000" w:sz="6" w:space="0"/>
            </w:tcBorders>
            <w:noWrap w:val="0"/>
            <w:vAlign w:val="top"/>
          </w:tcPr>
          <w:p w14:paraId="50399397">
            <w:pPr>
              <w:pageBreakBefore w:val="0"/>
              <w:widowControl w:val="0"/>
              <w:shd w:val="clear"/>
              <w:kinsoku/>
              <w:wordWrap/>
              <w:overflowPunct/>
              <w:topLinePunct w:val="0"/>
              <w:autoSpaceDE/>
              <w:autoSpaceDN/>
              <w:bidi w:val="0"/>
              <w:adjustRightInd/>
              <w:snapToGrid/>
              <w:spacing w:before="3" w:line="480" w:lineRule="exact"/>
              <w:ind w:left="28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序号</w:t>
            </w:r>
          </w:p>
        </w:tc>
        <w:tc>
          <w:tcPr>
            <w:tcW w:w="2108" w:type="dxa"/>
            <w:tcBorders>
              <w:left w:val="single" w:color="000000" w:sz="6" w:space="0"/>
              <w:bottom w:val="single" w:color="000000" w:sz="2" w:space="0"/>
              <w:right w:val="single" w:color="000000" w:sz="6" w:space="0"/>
            </w:tcBorders>
            <w:noWrap w:val="0"/>
            <w:vAlign w:val="top"/>
          </w:tcPr>
          <w:p w14:paraId="61D1279A">
            <w:pPr>
              <w:pageBreakBefore w:val="0"/>
              <w:widowControl w:val="0"/>
              <w:shd w:val="clear"/>
              <w:kinsoku/>
              <w:wordWrap/>
              <w:overflowPunct/>
              <w:topLinePunct w:val="0"/>
              <w:autoSpaceDE/>
              <w:autoSpaceDN/>
              <w:bidi w:val="0"/>
              <w:adjustRightInd/>
              <w:snapToGrid/>
              <w:spacing w:before="3" w:line="480" w:lineRule="exact"/>
              <w:ind w:left="801" w:right="772"/>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名称</w:t>
            </w:r>
          </w:p>
        </w:tc>
        <w:tc>
          <w:tcPr>
            <w:tcW w:w="904" w:type="dxa"/>
            <w:tcBorders>
              <w:left w:val="single" w:color="000000" w:sz="6" w:space="0"/>
              <w:bottom w:val="single" w:color="000000" w:sz="2" w:space="0"/>
              <w:right w:val="single" w:color="000000" w:sz="6" w:space="0"/>
            </w:tcBorders>
            <w:noWrap w:val="0"/>
            <w:vAlign w:val="top"/>
          </w:tcPr>
          <w:p w14:paraId="4D54D2F5">
            <w:pPr>
              <w:pageBreakBefore w:val="0"/>
              <w:widowControl w:val="0"/>
              <w:shd w:val="clear"/>
              <w:kinsoku/>
              <w:wordWrap/>
              <w:overflowPunct/>
              <w:topLinePunct w:val="0"/>
              <w:autoSpaceDE/>
              <w:autoSpaceDN/>
              <w:bidi w:val="0"/>
              <w:adjustRightInd/>
              <w:snapToGrid/>
              <w:spacing w:before="3" w:line="480" w:lineRule="exact"/>
              <w:ind w:left="21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单位</w:t>
            </w:r>
          </w:p>
        </w:tc>
        <w:tc>
          <w:tcPr>
            <w:tcW w:w="822" w:type="dxa"/>
            <w:tcBorders>
              <w:left w:val="single" w:color="000000" w:sz="6" w:space="0"/>
              <w:bottom w:val="single" w:color="000000" w:sz="2" w:space="0"/>
              <w:right w:val="single" w:color="000000" w:sz="6" w:space="0"/>
            </w:tcBorders>
            <w:noWrap w:val="0"/>
            <w:vAlign w:val="top"/>
          </w:tcPr>
          <w:p w14:paraId="607E93B3">
            <w:pPr>
              <w:pageBreakBefore w:val="0"/>
              <w:widowControl w:val="0"/>
              <w:shd w:val="clear"/>
              <w:kinsoku/>
              <w:wordWrap/>
              <w:overflowPunct/>
              <w:topLinePunct w:val="0"/>
              <w:autoSpaceDE/>
              <w:autoSpaceDN/>
              <w:bidi w:val="0"/>
              <w:adjustRightInd/>
              <w:snapToGrid/>
              <w:spacing w:before="3" w:line="480" w:lineRule="exact"/>
              <w:ind w:left="17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数量</w:t>
            </w:r>
          </w:p>
        </w:tc>
        <w:tc>
          <w:tcPr>
            <w:tcW w:w="1761" w:type="dxa"/>
            <w:tcBorders>
              <w:left w:val="single" w:color="000000" w:sz="6" w:space="0"/>
              <w:bottom w:val="single" w:color="000000" w:sz="2" w:space="0"/>
              <w:right w:val="single" w:color="000000" w:sz="6" w:space="0"/>
            </w:tcBorders>
            <w:noWrap w:val="0"/>
            <w:vAlign w:val="top"/>
          </w:tcPr>
          <w:p w14:paraId="73E2B148">
            <w:pPr>
              <w:pageBreakBefore w:val="0"/>
              <w:widowControl w:val="0"/>
              <w:shd w:val="clear"/>
              <w:kinsoku/>
              <w:wordWrap/>
              <w:overflowPunct/>
              <w:topLinePunct w:val="0"/>
              <w:autoSpaceDE/>
              <w:autoSpaceDN/>
              <w:bidi w:val="0"/>
              <w:adjustRightInd/>
              <w:snapToGrid/>
              <w:spacing w:before="3" w:line="480" w:lineRule="exact"/>
              <w:ind w:left="287"/>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单价（元）</w:t>
            </w:r>
          </w:p>
        </w:tc>
        <w:tc>
          <w:tcPr>
            <w:tcW w:w="1785" w:type="dxa"/>
            <w:tcBorders>
              <w:left w:val="single" w:color="000000" w:sz="6" w:space="0"/>
              <w:bottom w:val="single" w:color="000000" w:sz="2" w:space="0"/>
              <w:right w:val="single" w:color="000000" w:sz="6" w:space="0"/>
            </w:tcBorders>
            <w:noWrap w:val="0"/>
            <w:vAlign w:val="top"/>
          </w:tcPr>
          <w:p w14:paraId="0FB00731">
            <w:pPr>
              <w:pageBreakBefore w:val="0"/>
              <w:widowControl w:val="0"/>
              <w:shd w:val="clear"/>
              <w:kinsoku/>
              <w:wordWrap/>
              <w:overflowPunct/>
              <w:topLinePunct w:val="0"/>
              <w:autoSpaceDE/>
              <w:autoSpaceDN/>
              <w:bidi w:val="0"/>
              <w:adjustRightInd/>
              <w:snapToGrid/>
              <w:spacing w:before="3" w:line="480" w:lineRule="exact"/>
              <w:ind w:left="29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合价（元）</w:t>
            </w:r>
          </w:p>
        </w:tc>
        <w:tc>
          <w:tcPr>
            <w:tcW w:w="1205" w:type="dxa"/>
            <w:tcBorders>
              <w:left w:val="single" w:color="000000" w:sz="6" w:space="0"/>
              <w:bottom w:val="single" w:color="000000" w:sz="2" w:space="0"/>
            </w:tcBorders>
            <w:noWrap w:val="0"/>
            <w:vAlign w:val="top"/>
          </w:tcPr>
          <w:p w14:paraId="1B32D2D6">
            <w:pPr>
              <w:pageBreakBefore w:val="0"/>
              <w:widowControl w:val="0"/>
              <w:shd w:val="clear"/>
              <w:kinsoku/>
              <w:wordWrap/>
              <w:overflowPunct/>
              <w:topLinePunct w:val="0"/>
              <w:autoSpaceDE/>
              <w:autoSpaceDN/>
              <w:bidi w:val="0"/>
              <w:adjustRightInd/>
              <w:snapToGrid/>
              <w:spacing w:before="3" w:line="480" w:lineRule="exact"/>
              <w:ind w:left="369"/>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备注</w:t>
            </w:r>
          </w:p>
        </w:tc>
      </w:tr>
      <w:tr w14:paraId="0B03E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055" w:type="dxa"/>
            <w:tcBorders>
              <w:top w:val="single" w:color="000000" w:sz="2" w:space="0"/>
              <w:bottom w:val="single" w:color="000000" w:sz="6" w:space="0"/>
              <w:right w:val="single" w:color="000000" w:sz="6" w:space="0"/>
            </w:tcBorders>
            <w:noWrap w:val="0"/>
            <w:vAlign w:val="top"/>
          </w:tcPr>
          <w:p w14:paraId="54E67DB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2" w:space="0"/>
              <w:left w:val="single" w:color="000000" w:sz="6" w:space="0"/>
              <w:bottom w:val="single" w:color="000000" w:sz="6" w:space="0"/>
              <w:right w:val="single" w:color="000000" w:sz="6" w:space="0"/>
            </w:tcBorders>
            <w:noWrap w:val="0"/>
            <w:vAlign w:val="top"/>
          </w:tcPr>
          <w:p w14:paraId="422F8B68">
            <w:pPr>
              <w:pageBreakBefore w:val="0"/>
              <w:widowControl w:val="0"/>
              <w:shd w:val="clear"/>
              <w:kinsoku/>
              <w:wordWrap/>
              <w:overflowPunct/>
              <w:topLinePunct w:val="0"/>
              <w:autoSpaceDE/>
              <w:autoSpaceDN/>
              <w:bidi w:val="0"/>
              <w:adjustRightInd/>
              <w:snapToGrid/>
              <w:spacing w:before="2" w:line="480" w:lineRule="exact"/>
              <w:ind w:left="29"/>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无</w:t>
            </w:r>
          </w:p>
        </w:tc>
        <w:tc>
          <w:tcPr>
            <w:tcW w:w="904" w:type="dxa"/>
            <w:tcBorders>
              <w:top w:val="single" w:color="000000" w:sz="2" w:space="0"/>
              <w:left w:val="single" w:color="000000" w:sz="6" w:space="0"/>
              <w:bottom w:val="single" w:color="000000" w:sz="6" w:space="0"/>
              <w:right w:val="single" w:color="000000" w:sz="6" w:space="0"/>
            </w:tcBorders>
            <w:noWrap w:val="0"/>
            <w:vAlign w:val="top"/>
          </w:tcPr>
          <w:p w14:paraId="1284D2C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2" w:space="0"/>
              <w:left w:val="single" w:color="000000" w:sz="6" w:space="0"/>
              <w:bottom w:val="single" w:color="000000" w:sz="6" w:space="0"/>
              <w:right w:val="single" w:color="000000" w:sz="6" w:space="0"/>
            </w:tcBorders>
            <w:noWrap w:val="0"/>
            <w:vAlign w:val="top"/>
          </w:tcPr>
          <w:p w14:paraId="0E4D636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61" w:type="dxa"/>
            <w:tcBorders>
              <w:top w:val="single" w:color="000000" w:sz="2" w:space="0"/>
              <w:left w:val="single" w:color="000000" w:sz="6" w:space="0"/>
              <w:bottom w:val="single" w:color="000000" w:sz="6" w:space="0"/>
              <w:right w:val="single" w:color="000000" w:sz="6" w:space="0"/>
            </w:tcBorders>
            <w:noWrap w:val="0"/>
            <w:vAlign w:val="top"/>
          </w:tcPr>
          <w:p w14:paraId="7DC06233">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85" w:type="dxa"/>
            <w:tcBorders>
              <w:top w:val="single" w:color="000000" w:sz="2" w:space="0"/>
              <w:left w:val="single" w:color="000000" w:sz="6" w:space="0"/>
              <w:bottom w:val="single" w:color="000000" w:sz="6" w:space="0"/>
              <w:right w:val="single" w:color="000000" w:sz="6" w:space="0"/>
            </w:tcBorders>
            <w:noWrap w:val="0"/>
            <w:vAlign w:val="top"/>
          </w:tcPr>
          <w:p w14:paraId="0B31904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05" w:type="dxa"/>
            <w:tcBorders>
              <w:top w:val="single" w:color="000000" w:sz="2" w:space="0"/>
              <w:left w:val="single" w:color="000000" w:sz="6" w:space="0"/>
              <w:bottom w:val="single" w:color="000000" w:sz="6" w:space="0"/>
            </w:tcBorders>
            <w:noWrap w:val="0"/>
            <w:vAlign w:val="top"/>
          </w:tcPr>
          <w:p w14:paraId="47D5B52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36B7A8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noWrap w:val="0"/>
            <w:vAlign w:val="top"/>
          </w:tcPr>
          <w:p w14:paraId="1BE68EA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bottom w:val="single" w:color="000000" w:sz="6" w:space="0"/>
              <w:right w:val="single" w:color="000000" w:sz="6" w:space="0"/>
            </w:tcBorders>
            <w:noWrap w:val="0"/>
            <w:vAlign w:val="top"/>
          </w:tcPr>
          <w:p w14:paraId="7D1D154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bottom w:val="single" w:color="000000" w:sz="6" w:space="0"/>
              <w:right w:val="single" w:color="000000" w:sz="6" w:space="0"/>
            </w:tcBorders>
            <w:noWrap w:val="0"/>
            <w:vAlign w:val="top"/>
          </w:tcPr>
          <w:p w14:paraId="2B24697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bottom w:val="single" w:color="000000" w:sz="6" w:space="0"/>
              <w:right w:val="single" w:color="000000" w:sz="6" w:space="0"/>
            </w:tcBorders>
            <w:noWrap w:val="0"/>
            <w:vAlign w:val="top"/>
          </w:tcPr>
          <w:p w14:paraId="40D5E1E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61" w:type="dxa"/>
            <w:tcBorders>
              <w:top w:val="single" w:color="000000" w:sz="6" w:space="0"/>
              <w:left w:val="single" w:color="000000" w:sz="6" w:space="0"/>
              <w:bottom w:val="single" w:color="000000" w:sz="6" w:space="0"/>
              <w:right w:val="single" w:color="000000" w:sz="6" w:space="0"/>
            </w:tcBorders>
            <w:noWrap w:val="0"/>
            <w:vAlign w:val="top"/>
          </w:tcPr>
          <w:p w14:paraId="7D7522AA">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85" w:type="dxa"/>
            <w:tcBorders>
              <w:top w:val="single" w:color="000000" w:sz="6" w:space="0"/>
              <w:left w:val="single" w:color="000000" w:sz="6" w:space="0"/>
              <w:bottom w:val="single" w:color="000000" w:sz="6" w:space="0"/>
              <w:right w:val="single" w:color="000000" w:sz="6" w:space="0"/>
            </w:tcBorders>
            <w:noWrap w:val="0"/>
            <w:vAlign w:val="top"/>
          </w:tcPr>
          <w:p w14:paraId="4AAB4B1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05" w:type="dxa"/>
            <w:tcBorders>
              <w:top w:val="single" w:color="000000" w:sz="6" w:space="0"/>
              <w:left w:val="single" w:color="000000" w:sz="6" w:space="0"/>
              <w:bottom w:val="single" w:color="000000" w:sz="6" w:space="0"/>
            </w:tcBorders>
            <w:noWrap w:val="0"/>
            <w:vAlign w:val="top"/>
          </w:tcPr>
          <w:p w14:paraId="40A37A6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6F5491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noWrap w:val="0"/>
            <w:vAlign w:val="top"/>
          </w:tcPr>
          <w:p w14:paraId="1095A8D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bottom w:val="single" w:color="000000" w:sz="6" w:space="0"/>
              <w:right w:val="single" w:color="000000" w:sz="6" w:space="0"/>
            </w:tcBorders>
            <w:noWrap w:val="0"/>
            <w:vAlign w:val="top"/>
          </w:tcPr>
          <w:p w14:paraId="236E30ED">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bottom w:val="single" w:color="000000" w:sz="6" w:space="0"/>
              <w:right w:val="single" w:color="000000" w:sz="6" w:space="0"/>
            </w:tcBorders>
            <w:noWrap w:val="0"/>
            <w:vAlign w:val="top"/>
          </w:tcPr>
          <w:p w14:paraId="079DBFB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bottom w:val="single" w:color="000000" w:sz="6" w:space="0"/>
              <w:right w:val="single" w:color="000000" w:sz="6" w:space="0"/>
            </w:tcBorders>
            <w:noWrap w:val="0"/>
            <w:vAlign w:val="top"/>
          </w:tcPr>
          <w:p w14:paraId="2B399CE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61" w:type="dxa"/>
            <w:tcBorders>
              <w:top w:val="single" w:color="000000" w:sz="6" w:space="0"/>
              <w:left w:val="single" w:color="000000" w:sz="6" w:space="0"/>
              <w:bottom w:val="single" w:color="000000" w:sz="6" w:space="0"/>
              <w:right w:val="single" w:color="000000" w:sz="6" w:space="0"/>
            </w:tcBorders>
            <w:noWrap w:val="0"/>
            <w:vAlign w:val="top"/>
          </w:tcPr>
          <w:p w14:paraId="2DCD8C5F">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85" w:type="dxa"/>
            <w:tcBorders>
              <w:top w:val="single" w:color="000000" w:sz="6" w:space="0"/>
              <w:left w:val="single" w:color="000000" w:sz="6" w:space="0"/>
              <w:bottom w:val="single" w:color="000000" w:sz="6" w:space="0"/>
              <w:right w:val="single" w:color="000000" w:sz="6" w:space="0"/>
            </w:tcBorders>
            <w:noWrap w:val="0"/>
            <w:vAlign w:val="top"/>
          </w:tcPr>
          <w:p w14:paraId="22E60344">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05" w:type="dxa"/>
            <w:tcBorders>
              <w:top w:val="single" w:color="000000" w:sz="6" w:space="0"/>
              <w:left w:val="single" w:color="000000" w:sz="6" w:space="0"/>
              <w:bottom w:val="single" w:color="000000" w:sz="6" w:space="0"/>
            </w:tcBorders>
            <w:noWrap w:val="0"/>
            <w:vAlign w:val="top"/>
          </w:tcPr>
          <w:p w14:paraId="10A8E8F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r w14:paraId="115DD4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right w:val="single" w:color="000000" w:sz="6" w:space="0"/>
            </w:tcBorders>
            <w:noWrap w:val="0"/>
            <w:vAlign w:val="top"/>
          </w:tcPr>
          <w:p w14:paraId="5774E3E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2108" w:type="dxa"/>
            <w:tcBorders>
              <w:top w:val="single" w:color="000000" w:sz="6" w:space="0"/>
              <w:left w:val="single" w:color="000000" w:sz="6" w:space="0"/>
              <w:right w:val="single" w:color="000000" w:sz="6" w:space="0"/>
            </w:tcBorders>
            <w:noWrap w:val="0"/>
            <w:vAlign w:val="top"/>
          </w:tcPr>
          <w:p w14:paraId="5BE19757">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904" w:type="dxa"/>
            <w:tcBorders>
              <w:top w:val="single" w:color="000000" w:sz="6" w:space="0"/>
              <w:left w:val="single" w:color="000000" w:sz="6" w:space="0"/>
              <w:right w:val="single" w:color="000000" w:sz="6" w:space="0"/>
            </w:tcBorders>
            <w:noWrap w:val="0"/>
            <w:vAlign w:val="top"/>
          </w:tcPr>
          <w:p w14:paraId="16E5A73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822" w:type="dxa"/>
            <w:tcBorders>
              <w:top w:val="single" w:color="000000" w:sz="6" w:space="0"/>
              <w:left w:val="single" w:color="000000" w:sz="6" w:space="0"/>
              <w:right w:val="single" w:color="000000" w:sz="6" w:space="0"/>
            </w:tcBorders>
            <w:noWrap w:val="0"/>
            <w:vAlign w:val="top"/>
          </w:tcPr>
          <w:p w14:paraId="102BB320">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61" w:type="dxa"/>
            <w:tcBorders>
              <w:top w:val="single" w:color="000000" w:sz="6" w:space="0"/>
              <w:left w:val="single" w:color="000000" w:sz="6" w:space="0"/>
              <w:right w:val="single" w:color="000000" w:sz="6" w:space="0"/>
            </w:tcBorders>
            <w:noWrap w:val="0"/>
            <w:vAlign w:val="top"/>
          </w:tcPr>
          <w:p w14:paraId="769ECBA2">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785" w:type="dxa"/>
            <w:tcBorders>
              <w:top w:val="single" w:color="000000" w:sz="6" w:space="0"/>
              <w:left w:val="single" w:color="000000" w:sz="6" w:space="0"/>
              <w:right w:val="single" w:color="000000" w:sz="6" w:space="0"/>
            </w:tcBorders>
            <w:noWrap w:val="0"/>
            <w:vAlign w:val="top"/>
          </w:tcPr>
          <w:p w14:paraId="5285B1F5">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c>
          <w:tcPr>
            <w:tcW w:w="1205" w:type="dxa"/>
            <w:tcBorders>
              <w:top w:val="single" w:color="000000" w:sz="6" w:space="0"/>
              <w:left w:val="single" w:color="000000" w:sz="6" w:space="0"/>
            </w:tcBorders>
            <w:noWrap w:val="0"/>
            <w:vAlign w:val="top"/>
          </w:tcPr>
          <w:p w14:paraId="22324BCE">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tc>
      </w:tr>
    </w:tbl>
    <w:p w14:paraId="26924411">
      <w:pPr>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highlight w:val="none"/>
        </w:rPr>
        <w:sectPr>
          <w:footerReference r:id="rId14" w:type="default"/>
          <w:pgSz w:w="11910" w:h="16840"/>
          <w:pgMar w:top="1340" w:right="380" w:bottom="1380" w:left="560" w:header="878" w:footer="1196" w:gutter="0"/>
          <w:pgNumType w:fmt="decimal"/>
          <w:cols w:space="720" w:num="1"/>
          <w:docGrid w:linePitch="360" w:charSpace="0"/>
        </w:sectPr>
      </w:pPr>
    </w:p>
    <w:p w14:paraId="64D261E9">
      <w:pPr>
        <w:widowControl/>
        <w:shd w:val="clear"/>
        <w:spacing w:line="360" w:lineRule="auto"/>
        <w:ind w:left="218" w:leftChars="104" w:right="468" w:rightChars="223" w:firstLine="199" w:firstLineChars="95"/>
        <w:jc w:val="left"/>
        <w:rPr>
          <w:rFonts w:ascii="宋体" w:hAnsi="宋体" w:eastAsia="宋体" w:cs="宋体"/>
          <w:color w:val="000000"/>
          <w:kern w:val="0"/>
          <w:szCs w:val="24"/>
          <w:highlight w:val="none"/>
        </w:rPr>
      </w:pPr>
      <w:r>
        <w:rPr>
          <w:rFonts w:hint="eastAsia" w:ascii="宋体" w:hAnsi="宋体" w:eastAsia="宋体" w:cs="宋体"/>
          <w:color w:val="000000"/>
          <w:kern w:val="0"/>
          <w:szCs w:val="21"/>
          <w:highlight w:val="none"/>
        </w:rPr>
        <w:t>附件</w:t>
      </w:r>
      <w:r>
        <w:rPr>
          <w:rFonts w:hint="eastAsia" w:ascii="宋体" w:hAnsi="宋体" w:eastAsia="宋体" w:cs="宋体"/>
          <w:color w:val="000000"/>
          <w:kern w:val="0"/>
          <w:szCs w:val="21"/>
          <w:highlight w:val="none"/>
          <w:lang w:val="en-US" w:eastAsia="zh-CN"/>
        </w:rPr>
        <w:t>9</w:t>
      </w:r>
      <w:r>
        <w:rPr>
          <w:rFonts w:hint="eastAsia" w:ascii="宋体" w:hAnsi="宋体" w:eastAsia="宋体" w:cs="宋体"/>
          <w:color w:val="000000"/>
          <w:kern w:val="0"/>
          <w:szCs w:val="21"/>
          <w:highlight w:val="none"/>
        </w:rPr>
        <w:t>：</w:t>
      </w:r>
    </w:p>
    <w:p w14:paraId="0DD42B15">
      <w:pPr>
        <w:shd w:val="clear"/>
        <w:spacing w:before="156" w:beforeLines="50" w:after="156" w:afterLines="50" w:line="360" w:lineRule="auto"/>
        <w:ind w:left="218" w:leftChars="104" w:right="468" w:rightChars="223" w:firstLine="199" w:firstLineChars="95"/>
        <w:jc w:val="center"/>
        <w:rPr>
          <w:rFonts w:ascii="宋体" w:hAnsi="宋体" w:eastAsia="宋体" w:cs="宋体"/>
          <w:color w:val="000000"/>
          <w:szCs w:val="24"/>
          <w:highlight w:val="none"/>
        </w:rPr>
      </w:pPr>
      <w:r>
        <w:rPr>
          <w:rFonts w:hint="eastAsia" w:ascii="宋体" w:hAnsi="宋体" w:eastAsia="宋体" w:cs="宋体"/>
          <w:color w:val="000000"/>
          <w:szCs w:val="21"/>
          <w:highlight w:val="none"/>
        </w:rPr>
        <w:t>安 全 施 工 协 议</w:t>
      </w:r>
    </w:p>
    <w:p w14:paraId="6BA93302">
      <w:pPr>
        <w:shd w:val="clear"/>
        <w:spacing w:line="360" w:lineRule="auto"/>
        <w:ind w:left="218" w:leftChars="104" w:right="468" w:rightChars="223" w:firstLine="199" w:firstLineChars="95"/>
        <w:rPr>
          <w:rFonts w:hint="eastAsia" w:ascii="宋体" w:hAnsi="宋体" w:eastAsia="宋体" w:cs="Times New Roman"/>
          <w:color w:val="000000"/>
          <w:szCs w:val="24"/>
          <w:highlight w:val="none"/>
          <w:u w:val="single"/>
          <w:lang w:eastAsia="zh-CN"/>
        </w:rPr>
      </w:pPr>
      <w:r>
        <w:rPr>
          <w:rFonts w:hint="eastAsia" w:ascii="宋体" w:hAnsi="宋体" w:eastAsia="宋体" w:cs="Times New Roman"/>
          <w:color w:val="000000"/>
          <w:szCs w:val="21"/>
          <w:highlight w:val="none"/>
        </w:rPr>
        <w:t>发包单位：</w:t>
      </w:r>
      <w:r>
        <w:rPr>
          <w:rFonts w:hint="eastAsia" w:ascii="宋体" w:hAnsi="宋体" w:eastAsia="宋体" w:cs="Times New Roman"/>
          <w:color w:val="000000"/>
          <w:szCs w:val="21"/>
          <w:highlight w:val="none"/>
          <w:u w:val="single"/>
        </w:rPr>
        <w:t xml:space="preserve">                         </w:t>
      </w:r>
    </w:p>
    <w:p w14:paraId="2B2F2279">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 xml:space="preserve">承包单位： </w:t>
      </w:r>
      <w:r>
        <w:rPr>
          <w:rFonts w:hint="eastAsia" w:ascii="宋体" w:hAnsi="宋体" w:eastAsia="宋体" w:cs="Times New Roman"/>
          <w:color w:val="000000"/>
          <w:szCs w:val="21"/>
          <w:highlight w:val="none"/>
          <w:u w:val="single"/>
        </w:rPr>
        <w:t xml:space="preserve">                         </w:t>
      </w:r>
    </w:p>
    <w:p w14:paraId="27DB8504">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为贯彻“安全第一，预防为主”的安全生产方针，明确发、承包单位双方安全文明施工职责，做好安全管理工作，实现安全施工，现根据国家和上级的有关规定，结合公司《环境、职业健康安全管理规定》，双方在签订建筑安装工程合同的同时，特签订本协议。</w:t>
      </w:r>
    </w:p>
    <w:p w14:paraId="7DACA6D7">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一、承包工程项目</w:t>
      </w:r>
    </w:p>
    <w:p w14:paraId="78A61482">
      <w:pPr>
        <w:shd w:val="clear"/>
        <w:spacing w:line="360" w:lineRule="auto"/>
        <w:ind w:left="218" w:leftChars="104" w:right="468" w:rightChars="223" w:firstLine="199" w:firstLineChars="95"/>
        <w:rPr>
          <w:rFonts w:hint="eastAsia" w:ascii="宋体" w:hAnsi="宋体" w:eastAsia="宋体" w:cs="Times New Roman"/>
          <w:color w:val="000000"/>
          <w:szCs w:val="24"/>
          <w:highlight w:val="none"/>
          <w:u w:val="single"/>
          <w:lang w:eastAsia="zh-CN"/>
        </w:rPr>
      </w:pPr>
      <w:r>
        <w:rPr>
          <w:rFonts w:hint="eastAsia" w:ascii="宋体" w:hAnsi="宋体" w:eastAsia="宋体" w:cs="Times New Roman"/>
          <w:color w:val="000000"/>
          <w:szCs w:val="21"/>
          <w:highlight w:val="none"/>
        </w:rPr>
        <w:t>1、工程名称：</w:t>
      </w:r>
      <w:r>
        <w:rPr>
          <w:rFonts w:hint="eastAsia" w:ascii="宋体" w:hAnsi="宋体" w:eastAsia="宋体" w:cs="Times New Roman"/>
          <w:color w:val="000000"/>
          <w:szCs w:val="21"/>
          <w:highlight w:val="none"/>
          <w:u w:val="single"/>
        </w:rPr>
        <w:t xml:space="preserve">                         </w:t>
      </w:r>
    </w:p>
    <w:p w14:paraId="5C49169D">
      <w:pPr>
        <w:shd w:val="clear"/>
        <w:spacing w:line="360" w:lineRule="auto"/>
        <w:ind w:left="218" w:leftChars="104" w:right="468" w:rightChars="223" w:firstLine="199" w:firstLineChars="95"/>
        <w:rPr>
          <w:rFonts w:hint="default" w:ascii="宋体" w:hAnsi="宋体" w:eastAsia="宋体" w:cs="Times New Roman"/>
          <w:color w:val="000000"/>
          <w:szCs w:val="24"/>
          <w:highlight w:val="none"/>
          <w:u w:val="single"/>
          <w:lang w:val="en-US" w:eastAsia="zh-CN"/>
        </w:rPr>
      </w:pPr>
      <w:r>
        <w:rPr>
          <w:rFonts w:hint="eastAsia" w:ascii="宋体" w:hAnsi="宋体" w:eastAsia="宋体" w:cs="Times New Roman"/>
          <w:color w:val="000000"/>
          <w:szCs w:val="21"/>
          <w:highlight w:val="none"/>
        </w:rPr>
        <w:t>2、工程地点：</w:t>
      </w:r>
      <w:r>
        <w:rPr>
          <w:rFonts w:hint="eastAsia" w:ascii="宋体" w:hAnsi="宋体" w:eastAsia="宋体" w:cs="Times New Roman"/>
          <w:color w:val="000000"/>
          <w:szCs w:val="21"/>
          <w:highlight w:val="none"/>
          <w:u w:val="single"/>
        </w:rPr>
        <w:t xml:space="preserve">                         </w:t>
      </w:r>
    </w:p>
    <w:p w14:paraId="24A135F2">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3、承包范围：详见施工合同内内容。</w:t>
      </w:r>
    </w:p>
    <w:p w14:paraId="47B1BCD6">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工程分包方式：包工包料。乙方所承担的施工范围内容见上述。</w:t>
      </w:r>
    </w:p>
    <w:p w14:paraId="4C44EF00">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二、 工程项目期限：详见施工合同</w:t>
      </w:r>
    </w:p>
    <w:p w14:paraId="6F674EE9">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三、甲方安全职责</w:t>
      </w:r>
    </w:p>
    <w:p w14:paraId="34F744D6">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向乙方提供有关安全文明施工的规章和有关规定。</w:t>
      </w:r>
    </w:p>
    <w:p w14:paraId="48F2A359">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2.</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审查乙方的安全施工资质。</w:t>
      </w:r>
    </w:p>
    <w:p w14:paraId="4029E300">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3.</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协调乙方在交叉施工安全中存在的问题。</w:t>
      </w:r>
    </w:p>
    <w:p w14:paraId="0EE4FB0C">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4.</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负责审查乙方编制的安全技术措施。</w:t>
      </w:r>
    </w:p>
    <w:p w14:paraId="4DE4C1B0">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5.</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负责对乙方进行安全监督、检查和指导，对事故隐患提出限期整改意见，对乙方“三违（违章指挥、违章作业、违反劳动纪律）”等行为及不服从甲方安全管理的、管理混乱、事故不断的提出警告、违约金、停工、直至解除合同等处理。</w:t>
      </w:r>
    </w:p>
    <w:p w14:paraId="1A381325">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6.</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组织乙方参加甲方的安全活动。</w:t>
      </w:r>
    </w:p>
    <w:p w14:paraId="206809FA">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7.</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协调处理乙方与甲方的其他分包单位在交叉施工中发生的事故。</w:t>
      </w:r>
    </w:p>
    <w:p w14:paraId="41CFDB8C">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8.</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甲方有权拒绝超龄人员、童工及未成年工、素质低下等人员进入作业现场。甲方有权不定期对乙方人员进行抽查，对未经审查、培训进入的人员将处  100 元/人的违约金。</w:t>
      </w:r>
    </w:p>
    <w:p w14:paraId="7F745438">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9.</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甲方有权对乙方项目经理、专兼职安全人员的资格证书及履行安全生产职责情况进行检查，对不履行职责人员有权提出警告直至驱逐出现场。</w:t>
      </w:r>
    </w:p>
    <w:p w14:paraId="47E62658">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10.乙方发生重复性人员违章、拒绝安全文明施工设施投入以及乙方发生各类事故后，甲方有权扣除乙方的安全保证金、违约金直至将乙方清退出场。</w:t>
      </w:r>
    </w:p>
    <w:p w14:paraId="7D6D3831">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四、乙方安全职责</w:t>
      </w:r>
    </w:p>
    <w:p w14:paraId="5C00B963">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认真贯彻执行国家有关安全生产的方针、政策、规定等，遵守和执行甲方制定的有关安全文明施工规章制度。接受甲方的监督、检查、指导，但并不因此减轻乙方的责任。</w:t>
      </w:r>
    </w:p>
    <w:p w14:paraId="77CE7D1E">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2.</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在与甲方签订工程项目合同前，必须经甲方安全资格审查合格后，方可承包工程。</w:t>
      </w:r>
    </w:p>
    <w:p w14:paraId="5E73896F">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3.</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乙方签订合同后必须在施工前对所承包的施工项目编制安全施工技术措施，并经甲方审查合格后方可施工。</w:t>
      </w:r>
    </w:p>
    <w:p w14:paraId="31CC7F62">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4.</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30人以上的必须配有专职安全员，30人以下的可设兼职安全员并能满足现场管理要求。若乙方安全管理差，应增加安全管理人数，直至现场安全文明施工管理能够到位，现场管理必须实施全过程管理，无论何时只要有人，施工现场必须有安全管理人员在现场监督。</w:t>
      </w:r>
    </w:p>
    <w:p w14:paraId="30A2EB23">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5.</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乙方在开工前，必须对本单位参加工程建设的全体人员进行安全教育，内容包括本附件，并进行安全考试和体检，受教育人员名单和考试成绩、体检情况送甲方备案。（也可委托甲方进行安全教育，费用自理）经甲方抽考（查）合格后方可允许进入现场施工。补增人员或调换工种时，及时到甲方办理手续。</w:t>
      </w:r>
    </w:p>
    <w:p w14:paraId="777130BD">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6.</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乙方应每周组织本单位人员进行安全活动，每月组织安全检查，及时纠正和处理“三违”。在每个项目施工前，乙方必须对施工人员进行安全施工技术措施交底，确保安全施工。</w:t>
      </w:r>
    </w:p>
    <w:p w14:paraId="0306535C">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7.</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乙方队伍中的特种作业人员，必须持证上岗，名单报甲方，并出示原始证件，复印件留存，严禁无证操作。</w:t>
      </w:r>
    </w:p>
    <w:p w14:paraId="3B377ACA">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8.</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乙方必须为所属施工人员配备符合国家标准的劳动防护用品（安全帽、工作服由甲方统一配置，费用由乙方承担）、用具、工器具，并符合安全使用要求，接受甲方的抽查。管理人员不按规定佩戴安全防护用品每次违约金50元，工人不按规定佩戴安全防护用品每次违约金50元，以现金形式处罚。</w:t>
      </w:r>
    </w:p>
    <w:p w14:paraId="47DCEA12">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9.</w:t>
      </w:r>
      <w:r>
        <w:rPr>
          <w:rFonts w:hint="eastAsia" w:ascii="宋体" w:hAnsi="宋体" w:eastAsia="宋体" w:cs="Times New Roman"/>
          <w:color w:val="000000"/>
          <w:szCs w:val="21"/>
          <w:highlight w:val="none"/>
        </w:rPr>
        <w:tab/>
      </w:r>
      <w:r>
        <w:rPr>
          <w:rFonts w:hint="eastAsia" w:ascii="宋体" w:hAnsi="宋体" w:eastAsia="宋体" w:cs="Times New Roman"/>
          <w:color w:val="000000"/>
          <w:szCs w:val="21"/>
          <w:highlight w:val="none"/>
        </w:rPr>
        <w:t>乙方携带的施工机械必须做到安全防护装置完好，符合安全使用要求，对其中的起重机械、压力容器等特种设备必须出示有关产品合格证、国家有关部门的检测资料等。起重机械在安装前，自行向当地有关部门办理申报手续和申请检测，合格后方可投入使用。</w:t>
      </w:r>
    </w:p>
    <w:p w14:paraId="0A30B97F">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10.乙方在施工前必须对作业场所认真检查，做好安全防护工作。在施工过程中，形成的“四口、五临边”时必须及时设置牢固可靠的防护设施，并负责管理和维护。危险场所标志明显，有专人管理，施工机械、用电设施的安全装置必须齐全、有效。并做到按序施工、物料堆放整齐，工完料尽场地清、文明施工。</w:t>
      </w:r>
    </w:p>
    <w:p w14:paraId="4977BDDE">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11.乙方在施工中，未经甲方代表许可，不得擅自使用甲方的施工器材、设施、机械等，否则，由此而发生的事故，由乙方负责，交叉作业，有碍施工安全时，乙方有权提出协调，但应服从甲方的统一调度。</w:t>
      </w:r>
    </w:p>
    <w:p w14:paraId="309BAAF8">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12.乙方在施工中发生工伤事故，除立即报告隶属上级和劳动部门外，应及时通报甲方，并由乙方按“四不放过”原则进行调查、分析、统计、上报，送甲方备案，凡因乙方责任造成的人身、火灾、设备等事故，其经济损失，由乙方全部承担，并负责处理上报。如因多方责任，按责任分析承担相应的经济损失。</w:t>
      </w:r>
    </w:p>
    <w:p w14:paraId="752DC7A7">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13.乙方必须及时将进入现场的各类人员名单报甲方审核，负责组织新进场人员参加甲方的一、二级安全教育；乙方负责本单位人员的三级安全教育，并保留培训记录备查。</w:t>
      </w:r>
    </w:p>
    <w:p w14:paraId="0F785F1A">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14.乙方有权拒绝甲方安排的危及员工生命安全与健康的各项工作；对需甲方协调而甲方未及时协调解决危及员工安全健康的问题，可越级上告直至清除隐患。</w:t>
      </w:r>
    </w:p>
    <w:p w14:paraId="36C874D8">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15.乙方有义务执行甲方的各类安全管理规章制度，并组织本单位员工进行培训、学习。</w:t>
      </w:r>
    </w:p>
    <w:p w14:paraId="4F0BDE3E">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16.乙方有义务将施工生产过程中的各类危险以书面形式告知本单位员工；有义务投入安全经费、改善作业环境、并消除或控制各类危险；督促本单位员工作好事故防范工作。</w:t>
      </w:r>
      <w:r>
        <w:rPr>
          <w:rFonts w:hint="eastAsia" w:ascii="宋体" w:hAnsi="宋体" w:eastAsia="宋体" w:cs="Times New Roman"/>
          <w:color w:val="000000"/>
          <w:szCs w:val="21"/>
          <w:highlight w:val="none"/>
        </w:rPr>
        <w:br w:type="textWrapping"/>
      </w:r>
      <w:r>
        <w:rPr>
          <w:rFonts w:hint="eastAsia" w:ascii="宋体" w:hAnsi="宋体" w:eastAsia="宋体" w:cs="Times New Roman"/>
          <w:color w:val="000000"/>
          <w:szCs w:val="21"/>
          <w:highlight w:val="none"/>
          <w:lang w:val="en-US" w:eastAsia="zh-CN"/>
        </w:rPr>
        <w:t xml:space="preserve">    17.施工产生的安全生产责任和费用由乙方承担，采购人不负任何任何连带责任。</w:t>
      </w:r>
    </w:p>
    <w:p w14:paraId="68829BAD">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甲方（盖章）                              乙方（盖章）</w:t>
      </w:r>
    </w:p>
    <w:p w14:paraId="35D576F7">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代表（签字）                              代表（签字）</w:t>
      </w:r>
    </w:p>
    <w:p w14:paraId="3179392A">
      <w:pPr>
        <w:shd w:val="clear"/>
        <w:spacing w:line="360" w:lineRule="auto"/>
        <w:ind w:left="218" w:leftChars="104" w:right="468" w:rightChars="223" w:firstLine="199" w:firstLineChars="95"/>
        <w:rPr>
          <w:rFonts w:ascii="宋体" w:hAnsi="宋体" w:eastAsia="宋体" w:cs="Times New Roman"/>
          <w:color w:val="000000"/>
          <w:szCs w:val="24"/>
          <w:highlight w:val="none"/>
        </w:rPr>
      </w:pPr>
      <w:r>
        <w:rPr>
          <w:rFonts w:hint="eastAsia" w:ascii="宋体" w:hAnsi="宋体" w:eastAsia="宋体" w:cs="Times New Roman"/>
          <w:color w:val="000000"/>
          <w:szCs w:val="21"/>
          <w:highlight w:val="none"/>
        </w:rPr>
        <w:t>年   月   日                             年   月   日</w:t>
      </w:r>
    </w:p>
    <w:p w14:paraId="0B582B6C">
      <w:pPr>
        <w:pageBreakBefore w:val="0"/>
        <w:shd w:val="clear"/>
        <w:tabs>
          <w:tab w:val="left" w:pos="719"/>
          <w:tab w:val="left" w:pos="1439"/>
        </w:tabs>
        <w:kinsoku/>
        <w:wordWrap/>
        <w:overflowPunct/>
        <w:topLinePunct w:val="0"/>
        <w:autoSpaceDE/>
        <w:autoSpaceDN/>
        <w:bidi w:val="0"/>
        <w:adjustRightInd/>
        <w:snapToGrid/>
        <w:spacing w:before="64" w:line="480" w:lineRule="exact"/>
        <w:ind w:right="7"/>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诺</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书</w:t>
      </w:r>
    </w:p>
    <w:p w14:paraId="07170E9B">
      <w:pPr>
        <w:pageBreakBefore w:val="0"/>
        <w:widowControl w:val="0"/>
        <w:shd w:val="clear"/>
        <w:kinsoku/>
        <w:wordWrap/>
        <w:overflowPunct/>
        <w:topLinePunct w:val="0"/>
        <w:autoSpaceDE/>
        <w:autoSpaceDN/>
        <w:bidi w:val="0"/>
        <w:adjustRightInd/>
        <w:snapToGrid/>
        <w:spacing w:before="9" w:line="480" w:lineRule="exact"/>
        <w:textAlignment w:val="auto"/>
        <w:rPr>
          <w:rFonts w:hint="eastAsia" w:ascii="宋体" w:hAnsi="宋体" w:eastAsia="宋体" w:cs="宋体"/>
          <w:kern w:val="2"/>
          <w:sz w:val="21"/>
          <w:szCs w:val="21"/>
          <w:highlight w:val="none"/>
          <w:lang w:val="zh-CN" w:eastAsia="zh-CN" w:bidi="zh-CN"/>
        </w:rPr>
      </w:pPr>
    </w:p>
    <w:p w14:paraId="5778D40C">
      <w:pPr>
        <w:pageBreakBefore w:val="0"/>
        <w:shd w:val="clear"/>
        <w:tabs>
          <w:tab w:val="left" w:pos="6181"/>
        </w:tabs>
        <w:kinsoku/>
        <w:wordWrap/>
        <w:overflowPunct/>
        <w:topLinePunct w:val="0"/>
        <w:autoSpaceDE/>
        <w:autoSpaceDN/>
        <w:bidi w:val="0"/>
        <w:adjustRightInd/>
        <w:snapToGrid/>
        <w:spacing w:line="480" w:lineRule="exact"/>
        <w:ind w:left="743" w:right="630" w:firstLine="516"/>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我单位建设的</w:t>
      </w:r>
      <w:r>
        <w:rPr>
          <w:rFonts w:hint="eastAsia" w:ascii="宋体" w:hAnsi="宋体" w:eastAsia="宋体" w:cs="宋体"/>
          <w:kern w:val="0"/>
          <w:sz w:val="21"/>
          <w:szCs w:val="21"/>
          <w:highlight w:val="none"/>
          <w:u w:val="single"/>
          <w:lang w:val="zh-CN" w:bidi="zh-CN"/>
        </w:rPr>
        <w:tab/>
      </w:r>
      <w:r>
        <w:rPr>
          <w:rFonts w:hint="eastAsia" w:ascii="宋体" w:hAnsi="宋体" w:eastAsia="宋体" w:cs="宋体"/>
          <w:kern w:val="0"/>
          <w:sz w:val="21"/>
          <w:szCs w:val="21"/>
          <w:highlight w:val="none"/>
          <w:lang w:val="zh-CN" w:bidi="zh-CN"/>
        </w:rPr>
        <w:t>项目</w:t>
      </w:r>
      <w:r>
        <w:rPr>
          <w:rFonts w:hint="eastAsia" w:ascii="宋体" w:hAnsi="宋体" w:eastAsia="宋体" w:cs="宋体"/>
          <w:spacing w:val="-58"/>
          <w:kern w:val="0"/>
          <w:sz w:val="21"/>
          <w:szCs w:val="21"/>
          <w:highlight w:val="none"/>
          <w:lang w:val="zh-CN" w:bidi="zh-CN"/>
        </w:rPr>
        <w:t>，</w:t>
      </w:r>
      <w:r>
        <w:rPr>
          <w:rFonts w:hint="eastAsia" w:ascii="宋体" w:hAnsi="宋体" w:eastAsia="宋体" w:cs="宋体"/>
          <w:kern w:val="0"/>
          <w:sz w:val="21"/>
          <w:szCs w:val="21"/>
          <w:highlight w:val="none"/>
          <w:lang w:val="zh-CN" w:bidi="zh-CN"/>
        </w:rPr>
        <w:t>根</w:t>
      </w:r>
      <w:r>
        <w:rPr>
          <w:rFonts w:hint="eastAsia" w:ascii="宋体" w:hAnsi="宋体" w:eastAsia="宋体" w:cs="宋体"/>
          <w:spacing w:val="-56"/>
          <w:kern w:val="0"/>
          <w:sz w:val="21"/>
          <w:szCs w:val="21"/>
          <w:highlight w:val="none"/>
          <w:lang w:val="zh-CN" w:bidi="zh-CN"/>
        </w:rPr>
        <w:t>据</w:t>
      </w:r>
      <w:r>
        <w:rPr>
          <w:rFonts w:hint="eastAsia" w:ascii="宋体" w:hAnsi="宋体" w:eastAsia="宋体" w:cs="宋体"/>
          <w:spacing w:val="-3"/>
          <w:kern w:val="0"/>
          <w:sz w:val="21"/>
          <w:szCs w:val="21"/>
          <w:highlight w:val="none"/>
          <w:lang w:val="zh-CN" w:bidi="zh-CN"/>
        </w:rPr>
        <w:t>《</w:t>
      </w:r>
      <w:r>
        <w:rPr>
          <w:rFonts w:hint="eastAsia" w:ascii="宋体" w:hAnsi="宋体" w:eastAsia="宋体" w:cs="宋体"/>
          <w:kern w:val="0"/>
          <w:sz w:val="21"/>
          <w:szCs w:val="21"/>
          <w:highlight w:val="none"/>
          <w:lang w:val="zh-CN" w:bidi="zh-CN"/>
        </w:rPr>
        <w:t>建筑法</w:t>
      </w:r>
      <w:r>
        <w:rPr>
          <w:rFonts w:hint="eastAsia" w:ascii="宋体" w:hAnsi="宋体" w:eastAsia="宋体" w:cs="宋体"/>
          <w:spacing w:val="-58"/>
          <w:kern w:val="0"/>
          <w:sz w:val="21"/>
          <w:szCs w:val="21"/>
          <w:highlight w:val="none"/>
          <w:lang w:val="zh-CN" w:bidi="zh-CN"/>
        </w:rPr>
        <w:t>》</w:t>
      </w:r>
      <w:r>
        <w:rPr>
          <w:rFonts w:hint="eastAsia" w:ascii="宋体" w:hAnsi="宋体" w:eastAsia="宋体" w:cs="宋体"/>
          <w:spacing w:val="-113"/>
          <w:kern w:val="0"/>
          <w:sz w:val="21"/>
          <w:szCs w:val="21"/>
          <w:highlight w:val="none"/>
          <w:lang w:val="zh-CN" w:bidi="zh-CN"/>
        </w:rPr>
        <w:t>、</w:t>
      </w:r>
      <w:r>
        <w:rPr>
          <w:rFonts w:hint="eastAsia" w:ascii="宋体" w:hAnsi="宋体" w:eastAsia="宋体" w:cs="宋体"/>
          <w:spacing w:val="-3"/>
          <w:kern w:val="0"/>
          <w:sz w:val="21"/>
          <w:szCs w:val="21"/>
          <w:highlight w:val="none"/>
          <w:lang w:val="zh-CN" w:bidi="zh-CN"/>
        </w:rPr>
        <w:t>《</w:t>
      </w:r>
      <w:r>
        <w:rPr>
          <w:rFonts w:hint="eastAsia" w:ascii="宋体" w:hAnsi="宋体" w:eastAsia="宋体" w:cs="宋体"/>
          <w:kern w:val="0"/>
          <w:sz w:val="21"/>
          <w:szCs w:val="21"/>
          <w:highlight w:val="none"/>
          <w:lang w:val="zh-CN" w:bidi="zh-CN"/>
        </w:rPr>
        <w:t>招标投标法</w:t>
      </w:r>
      <w:r>
        <w:rPr>
          <w:rFonts w:hint="eastAsia" w:ascii="宋体" w:hAnsi="宋体" w:eastAsia="宋体" w:cs="宋体"/>
          <w:spacing w:val="-120"/>
          <w:kern w:val="0"/>
          <w:sz w:val="21"/>
          <w:szCs w:val="21"/>
          <w:highlight w:val="none"/>
          <w:lang w:val="zh-CN" w:bidi="zh-CN"/>
        </w:rPr>
        <w:t>》</w:t>
      </w:r>
      <w:r>
        <w:rPr>
          <w:rFonts w:hint="eastAsia" w:ascii="宋体" w:hAnsi="宋体" w:eastAsia="宋体" w:cs="宋体"/>
          <w:spacing w:val="-14"/>
          <w:kern w:val="0"/>
          <w:sz w:val="21"/>
          <w:szCs w:val="21"/>
          <w:highlight w:val="none"/>
          <w:lang w:val="zh-CN" w:bidi="zh-CN"/>
        </w:rPr>
        <w:t>、</w:t>
      </w:r>
      <w:r>
        <w:rPr>
          <w:rFonts w:hint="eastAsia" w:ascii="宋体" w:hAnsi="宋体" w:eastAsia="宋体" w:cs="宋体"/>
          <w:kern w:val="0"/>
          <w:sz w:val="21"/>
          <w:szCs w:val="21"/>
          <w:highlight w:val="none"/>
          <w:lang w:val="zh-CN" w:bidi="zh-CN"/>
        </w:rPr>
        <w:t>相关税法及国务院关于“双清”工作的有关规定</w:t>
      </w:r>
      <w:r>
        <w:rPr>
          <w:rFonts w:hint="eastAsia" w:ascii="宋体" w:hAnsi="宋体" w:eastAsia="宋体" w:cs="宋体"/>
          <w:spacing w:val="-53"/>
          <w:kern w:val="0"/>
          <w:sz w:val="21"/>
          <w:szCs w:val="21"/>
          <w:highlight w:val="none"/>
          <w:lang w:val="zh-CN" w:bidi="zh-CN"/>
        </w:rPr>
        <w:t>，</w:t>
      </w:r>
      <w:r>
        <w:rPr>
          <w:rFonts w:hint="eastAsia" w:ascii="宋体" w:hAnsi="宋体" w:eastAsia="宋体" w:cs="宋体"/>
          <w:kern w:val="0"/>
          <w:sz w:val="21"/>
          <w:szCs w:val="21"/>
          <w:highlight w:val="none"/>
          <w:lang w:val="zh-CN" w:bidi="zh-CN"/>
        </w:rPr>
        <w:t>该项目工程建设资金已落实</w:t>
      </w:r>
      <w:r>
        <w:rPr>
          <w:rFonts w:hint="eastAsia" w:ascii="宋体" w:hAnsi="宋体" w:eastAsia="宋体" w:cs="宋体"/>
          <w:spacing w:val="-53"/>
          <w:kern w:val="0"/>
          <w:sz w:val="21"/>
          <w:szCs w:val="21"/>
          <w:highlight w:val="none"/>
          <w:lang w:val="zh-CN" w:bidi="zh-CN"/>
        </w:rPr>
        <w:t>，</w:t>
      </w:r>
      <w:r>
        <w:rPr>
          <w:rFonts w:hint="eastAsia" w:ascii="宋体" w:hAnsi="宋体" w:eastAsia="宋体" w:cs="宋体"/>
          <w:kern w:val="0"/>
          <w:sz w:val="21"/>
          <w:szCs w:val="21"/>
          <w:highlight w:val="none"/>
          <w:lang w:val="zh-CN" w:bidi="zh-CN"/>
        </w:rPr>
        <w:t>我单位将对照合同条款约定按时向施工单位支付工程款</w:t>
      </w:r>
      <w:r>
        <w:rPr>
          <w:rFonts w:hint="eastAsia" w:ascii="宋体" w:hAnsi="宋体" w:eastAsia="宋体" w:cs="宋体"/>
          <w:spacing w:val="-51"/>
          <w:kern w:val="0"/>
          <w:sz w:val="21"/>
          <w:szCs w:val="21"/>
          <w:highlight w:val="none"/>
          <w:lang w:val="zh-CN" w:bidi="zh-CN"/>
        </w:rPr>
        <w:t>，</w:t>
      </w:r>
      <w:r>
        <w:rPr>
          <w:rFonts w:hint="eastAsia" w:ascii="宋体" w:hAnsi="宋体" w:eastAsia="宋体" w:cs="宋体"/>
          <w:kern w:val="0"/>
          <w:sz w:val="21"/>
          <w:szCs w:val="21"/>
          <w:highlight w:val="none"/>
          <w:lang w:val="zh-CN" w:bidi="zh-CN"/>
        </w:rPr>
        <w:t>不另签订“黑白合同</w:t>
      </w:r>
      <w:r>
        <w:rPr>
          <w:rFonts w:hint="eastAsia" w:ascii="宋体" w:hAnsi="宋体" w:eastAsia="宋体" w:cs="宋体"/>
          <w:spacing w:val="-26"/>
          <w:kern w:val="0"/>
          <w:sz w:val="21"/>
          <w:szCs w:val="21"/>
          <w:highlight w:val="none"/>
          <w:lang w:val="zh-CN" w:bidi="zh-CN"/>
        </w:rPr>
        <w:t>”，</w:t>
      </w:r>
      <w:r>
        <w:rPr>
          <w:rFonts w:hint="eastAsia" w:ascii="宋体" w:hAnsi="宋体" w:eastAsia="宋体" w:cs="宋体"/>
          <w:kern w:val="0"/>
          <w:sz w:val="21"/>
          <w:szCs w:val="21"/>
          <w:highlight w:val="none"/>
          <w:lang w:val="zh-CN" w:bidi="zh-CN"/>
        </w:rPr>
        <w:t>并督促施工单位按照国家有关</w:t>
      </w:r>
      <w:r>
        <w:rPr>
          <w:rFonts w:hint="eastAsia" w:ascii="宋体" w:hAnsi="宋体" w:eastAsia="宋体" w:cs="宋体"/>
          <w:spacing w:val="4"/>
          <w:kern w:val="0"/>
          <w:sz w:val="21"/>
          <w:szCs w:val="21"/>
          <w:highlight w:val="none"/>
          <w:lang w:val="zh-CN" w:bidi="zh-CN"/>
        </w:rPr>
        <w:t>规</w:t>
      </w:r>
      <w:r>
        <w:rPr>
          <w:rFonts w:hint="eastAsia" w:ascii="宋体" w:hAnsi="宋体" w:eastAsia="宋体" w:cs="宋体"/>
          <w:kern w:val="0"/>
          <w:sz w:val="21"/>
          <w:szCs w:val="21"/>
          <w:highlight w:val="none"/>
          <w:lang w:val="zh-CN" w:bidi="zh-CN"/>
        </w:rPr>
        <w:t>定支付民工</w:t>
      </w:r>
      <w:r>
        <w:rPr>
          <w:rFonts w:hint="eastAsia" w:ascii="宋体" w:hAnsi="宋体" w:eastAsia="宋体" w:cs="宋体"/>
          <w:spacing w:val="4"/>
          <w:kern w:val="0"/>
          <w:sz w:val="21"/>
          <w:szCs w:val="21"/>
          <w:highlight w:val="none"/>
          <w:lang w:val="zh-CN" w:bidi="zh-CN"/>
        </w:rPr>
        <w:t>工</w:t>
      </w:r>
      <w:r>
        <w:rPr>
          <w:rFonts w:hint="eastAsia" w:ascii="宋体" w:hAnsi="宋体" w:eastAsia="宋体" w:cs="宋体"/>
          <w:kern w:val="0"/>
          <w:sz w:val="21"/>
          <w:szCs w:val="21"/>
          <w:highlight w:val="none"/>
          <w:lang w:val="zh-CN" w:bidi="zh-CN"/>
        </w:rPr>
        <w:t>资，若该</w:t>
      </w:r>
      <w:r>
        <w:rPr>
          <w:rFonts w:hint="eastAsia" w:ascii="宋体" w:hAnsi="宋体" w:eastAsia="宋体" w:cs="宋体"/>
          <w:spacing w:val="4"/>
          <w:kern w:val="0"/>
          <w:sz w:val="21"/>
          <w:szCs w:val="21"/>
          <w:highlight w:val="none"/>
          <w:lang w:val="zh-CN" w:bidi="zh-CN"/>
        </w:rPr>
        <w:t>工</w:t>
      </w:r>
      <w:r>
        <w:rPr>
          <w:rFonts w:hint="eastAsia" w:ascii="宋体" w:hAnsi="宋体" w:eastAsia="宋体" w:cs="宋体"/>
          <w:kern w:val="0"/>
          <w:sz w:val="21"/>
          <w:szCs w:val="21"/>
          <w:highlight w:val="none"/>
          <w:lang w:val="zh-CN" w:bidi="zh-CN"/>
        </w:rPr>
        <w:t>程项目出现</w:t>
      </w:r>
      <w:r>
        <w:rPr>
          <w:rFonts w:hint="eastAsia" w:ascii="宋体" w:hAnsi="宋体" w:eastAsia="宋体" w:cs="宋体"/>
          <w:spacing w:val="4"/>
          <w:kern w:val="0"/>
          <w:sz w:val="21"/>
          <w:szCs w:val="21"/>
          <w:highlight w:val="none"/>
          <w:lang w:val="zh-CN" w:bidi="zh-CN"/>
        </w:rPr>
        <w:t>拖</w:t>
      </w:r>
      <w:r>
        <w:rPr>
          <w:rFonts w:hint="eastAsia" w:ascii="宋体" w:hAnsi="宋体" w:eastAsia="宋体" w:cs="宋体"/>
          <w:kern w:val="0"/>
          <w:sz w:val="21"/>
          <w:szCs w:val="21"/>
          <w:highlight w:val="none"/>
          <w:lang w:val="zh-CN" w:bidi="zh-CN"/>
        </w:rPr>
        <w:t>欠工程款</w:t>
      </w:r>
      <w:r>
        <w:rPr>
          <w:rFonts w:hint="eastAsia" w:ascii="宋体" w:hAnsi="宋体" w:eastAsia="宋体" w:cs="宋体"/>
          <w:spacing w:val="4"/>
          <w:kern w:val="0"/>
          <w:sz w:val="21"/>
          <w:szCs w:val="21"/>
          <w:highlight w:val="none"/>
          <w:lang w:val="zh-CN" w:bidi="zh-CN"/>
        </w:rPr>
        <w:t>或</w:t>
      </w:r>
      <w:r>
        <w:rPr>
          <w:rFonts w:hint="eastAsia" w:ascii="宋体" w:hAnsi="宋体" w:eastAsia="宋体" w:cs="宋体"/>
          <w:kern w:val="0"/>
          <w:sz w:val="21"/>
          <w:szCs w:val="21"/>
          <w:highlight w:val="none"/>
          <w:lang w:val="zh-CN" w:bidi="zh-CN"/>
        </w:rPr>
        <w:t>拖欠民工</w:t>
      </w:r>
      <w:r>
        <w:rPr>
          <w:rFonts w:hint="eastAsia" w:ascii="宋体" w:hAnsi="宋体" w:eastAsia="宋体" w:cs="宋体"/>
          <w:spacing w:val="4"/>
          <w:kern w:val="0"/>
          <w:sz w:val="21"/>
          <w:szCs w:val="21"/>
          <w:highlight w:val="none"/>
          <w:lang w:val="zh-CN" w:bidi="zh-CN"/>
        </w:rPr>
        <w:t>工</w:t>
      </w:r>
      <w:r>
        <w:rPr>
          <w:rFonts w:hint="eastAsia" w:ascii="宋体" w:hAnsi="宋体" w:eastAsia="宋体" w:cs="宋体"/>
          <w:kern w:val="0"/>
          <w:sz w:val="21"/>
          <w:szCs w:val="21"/>
          <w:highlight w:val="none"/>
          <w:lang w:val="zh-CN" w:bidi="zh-CN"/>
        </w:rPr>
        <w:t>资由我单位</w:t>
      </w:r>
      <w:r>
        <w:rPr>
          <w:rFonts w:hint="eastAsia" w:ascii="宋体" w:hAnsi="宋体" w:eastAsia="宋体" w:cs="宋体"/>
          <w:spacing w:val="4"/>
          <w:kern w:val="0"/>
          <w:sz w:val="21"/>
          <w:szCs w:val="21"/>
          <w:highlight w:val="none"/>
          <w:lang w:val="zh-CN" w:bidi="zh-CN"/>
        </w:rPr>
        <w:t>负</w:t>
      </w:r>
      <w:r>
        <w:rPr>
          <w:rFonts w:hint="eastAsia" w:ascii="宋体" w:hAnsi="宋体" w:eastAsia="宋体" w:cs="宋体"/>
          <w:kern w:val="0"/>
          <w:sz w:val="21"/>
          <w:szCs w:val="21"/>
          <w:highlight w:val="none"/>
          <w:lang w:val="zh-CN" w:bidi="zh-CN"/>
        </w:rPr>
        <w:t>责协调解决</w:t>
      </w:r>
      <w:r>
        <w:rPr>
          <w:rFonts w:hint="eastAsia" w:ascii="宋体" w:hAnsi="宋体" w:eastAsia="宋体" w:cs="宋体"/>
          <w:spacing w:val="4"/>
          <w:kern w:val="0"/>
          <w:sz w:val="21"/>
          <w:szCs w:val="21"/>
          <w:highlight w:val="none"/>
          <w:lang w:val="zh-CN" w:bidi="zh-CN"/>
        </w:rPr>
        <w:t>。</w:t>
      </w:r>
      <w:r>
        <w:rPr>
          <w:rFonts w:hint="eastAsia" w:ascii="宋体" w:hAnsi="宋体" w:eastAsia="宋体" w:cs="宋体"/>
          <w:kern w:val="0"/>
          <w:sz w:val="21"/>
          <w:szCs w:val="21"/>
          <w:highlight w:val="none"/>
          <w:lang w:val="zh-CN" w:bidi="zh-CN"/>
        </w:rPr>
        <w:t>同时我单位</w:t>
      </w:r>
      <w:r>
        <w:rPr>
          <w:rFonts w:hint="eastAsia" w:ascii="宋体" w:hAnsi="宋体" w:eastAsia="宋体" w:cs="宋体"/>
          <w:spacing w:val="4"/>
          <w:kern w:val="0"/>
          <w:sz w:val="21"/>
          <w:szCs w:val="21"/>
          <w:highlight w:val="none"/>
          <w:lang w:val="zh-CN" w:bidi="zh-CN"/>
        </w:rPr>
        <w:t>承</w:t>
      </w:r>
      <w:r>
        <w:rPr>
          <w:rFonts w:hint="eastAsia" w:ascii="宋体" w:hAnsi="宋体" w:eastAsia="宋体" w:cs="宋体"/>
          <w:kern w:val="0"/>
          <w:sz w:val="21"/>
          <w:szCs w:val="21"/>
          <w:highlight w:val="none"/>
          <w:lang w:val="zh-CN" w:bidi="zh-CN"/>
        </w:rPr>
        <w:t>诺将该工</w:t>
      </w:r>
      <w:r>
        <w:rPr>
          <w:rFonts w:hint="eastAsia" w:ascii="宋体" w:hAnsi="宋体" w:eastAsia="宋体" w:cs="宋体"/>
          <w:spacing w:val="4"/>
          <w:kern w:val="0"/>
          <w:sz w:val="21"/>
          <w:szCs w:val="21"/>
          <w:highlight w:val="none"/>
          <w:lang w:val="zh-CN" w:bidi="zh-CN"/>
        </w:rPr>
        <w:t>程</w:t>
      </w:r>
      <w:r>
        <w:rPr>
          <w:rFonts w:hint="eastAsia" w:ascii="宋体" w:hAnsi="宋体" w:eastAsia="宋体" w:cs="宋体"/>
          <w:kern w:val="0"/>
          <w:sz w:val="21"/>
          <w:szCs w:val="21"/>
          <w:highlight w:val="none"/>
          <w:lang w:val="zh-CN" w:bidi="zh-CN"/>
        </w:rPr>
        <w:t>的所有项目</w:t>
      </w:r>
      <w:r>
        <w:rPr>
          <w:rFonts w:hint="eastAsia" w:ascii="宋体" w:hAnsi="宋体" w:eastAsia="宋体" w:cs="宋体"/>
          <w:spacing w:val="4"/>
          <w:kern w:val="0"/>
          <w:sz w:val="21"/>
          <w:szCs w:val="21"/>
          <w:highlight w:val="none"/>
          <w:lang w:val="zh-CN" w:bidi="zh-CN"/>
        </w:rPr>
        <w:t>（</w:t>
      </w:r>
      <w:r>
        <w:rPr>
          <w:rFonts w:hint="eastAsia" w:ascii="宋体" w:hAnsi="宋体" w:eastAsia="宋体" w:cs="宋体"/>
          <w:kern w:val="0"/>
          <w:sz w:val="21"/>
          <w:szCs w:val="21"/>
          <w:highlight w:val="none"/>
          <w:lang w:val="zh-CN" w:bidi="zh-CN"/>
        </w:rPr>
        <w:t>包括市政</w:t>
      </w:r>
      <w:r>
        <w:rPr>
          <w:rFonts w:hint="eastAsia" w:ascii="宋体" w:hAnsi="宋体" w:eastAsia="宋体" w:cs="宋体"/>
          <w:spacing w:val="4"/>
          <w:kern w:val="0"/>
          <w:sz w:val="21"/>
          <w:szCs w:val="21"/>
          <w:highlight w:val="none"/>
          <w:lang w:val="zh-CN" w:bidi="zh-CN"/>
        </w:rPr>
        <w:t>、</w:t>
      </w:r>
      <w:r>
        <w:rPr>
          <w:rFonts w:hint="eastAsia" w:ascii="宋体" w:hAnsi="宋体" w:eastAsia="宋体" w:cs="宋体"/>
          <w:kern w:val="0"/>
          <w:sz w:val="21"/>
          <w:szCs w:val="21"/>
          <w:highlight w:val="none"/>
          <w:lang w:val="zh-CN" w:bidi="zh-CN"/>
        </w:rPr>
        <w:t>土建、装</w:t>
      </w:r>
      <w:r>
        <w:rPr>
          <w:rFonts w:hint="eastAsia" w:ascii="宋体" w:hAnsi="宋体" w:eastAsia="宋体" w:cs="宋体"/>
          <w:spacing w:val="4"/>
          <w:kern w:val="0"/>
          <w:sz w:val="21"/>
          <w:szCs w:val="21"/>
          <w:highlight w:val="none"/>
          <w:lang w:val="zh-CN" w:bidi="zh-CN"/>
        </w:rPr>
        <w:t>饰</w:t>
      </w:r>
      <w:r>
        <w:rPr>
          <w:rFonts w:hint="eastAsia" w:ascii="宋体" w:hAnsi="宋体" w:eastAsia="宋体" w:cs="宋体"/>
          <w:kern w:val="0"/>
          <w:sz w:val="21"/>
          <w:szCs w:val="21"/>
          <w:highlight w:val="none"/>
          <w:lang w:val="zh-CN" w:bidi="zh-CN"/>
        </w:rPr>
        <w:t>装潢、机电</w:t>
      </w:r>
      <w:r>
        <w:rPr>
          <w:rFonts w:hint="eastAsia" w:ascii="宋体" w:hAnsi="宋体" w:eastAsia="宋体" w:cs="宋体"/>
          <w:spacing w:val="4"/>
          <w:kern w:val="0"/>
          <w:sz w:val="21"/>
          <w:szCs w:val="21"/>
          <w:highlight w:val="none"/>
          <w:lang w:val="zh-CN" w:bidi="zh-CN"/>
        </w:rPr>
        <w:t>设</w:t>
      </w:r>
      <w:r>
        <w:rPr>
          <w:rFonts w:hint="eastAsia" w:ascii="宋体" w:hAnsi="宋体" w:eastAsia="宋体" w:cs="宋体"/>
          <w:kern w:val="0"/>
          <w:sz w:val="21"/>
          <w:szCs w:val="21"/>
          <w:highlight w:val="none"/>
          <w:lang w:val="zh-CN" w:bidi="zh-CN"/>
        </w:rPr>
        <w:t>备、场地道</w:t>
      </w:r>
      <w:r>
        <w:rPr>
          <w:rFonts w:hint="eastAsia" w:ascii="宋体" w:hAnsi="宋体" w:eastAsia="宋体" w:cs="宋体"/>
          <w:spacing w:val="4"/>
          <w:kern w:val="0"/>
          <w:sz w:val="21"/>
          <w:szCs w:val="21"/>
          <w:highlight w:val="none"/>
          <w:lang w:val="zh-CN" w:bidi="zh-CN"/>
        </w:rPr>
        <w:t>路</w:t>
      </w:r>
      <w:r>
        <w:rPr>
          <w:rFonts w:hint="eastAsia" w:ascii="宋体" w:hAnsi="宋体" w:eastAsia="宋体" w:cs="宋体"/>
          <w:kern w:val="0"/>
          <w:sz w:val="21"/>
          <w:szCs w:val="21"/>
          <w:highlight w:val="none"/>
          <w:lang w:val="zh-CN" w:bidi="zh-CN"/>
        </w:rPr>
        <w:t>、土石方、</w:t>
      </w:r>
      <w:r>
        <w:rPr>
          <w:rFonts w:hint="eastAsia" w:ascii="宋体" w:hAnsi="宋体" w:eastAsia="宋体" w:cs="宋体"/>
          <w:spacing w:val="4"/>
          <w:kern w:val="0"/>
          <w:sz w:val="21"/>
          <w:szCs w:val="21"/>
          <w:highlight w:val="none"/>
          <w:lang w:val="zh-CN" w:bidi="zh-CN"/>
        </w:rPr>
        <w:t>园</w:t>
      </w:r>
      <w:r>
        <w:rPr>
          <w:rFonts w:hint="eastAsia" w:ascii="宋体" w:hAnsi="宋体" w:eastAsia="宋体" w:cs="宋体"/>
          <w:kern w:val="0"/>
          <w:sz w:val="21"/>
          <w:szCs w:val="21"/>
          <w:highlight w:val="none"/>
          <w:lang w:val="zh-CN" w:bidi="zh-CN"/>
        </w:rPr>
        <w:t>林绿化等</w:t>
      </w:r>
      <w:r>
        <w:rPr>
          <w:rFonts w:hint="eastAsia" w:ascii="宋体" w:hAnsi="宋体" w:eastAsia="宋体" w:cs="宋体"/>
          <w:spacing w:val="4"/>
          <w:kern w:val="0"/>
          <w:sz w:val="21"/>
          <w:szCs w:val="21"/>
          <w:highlight w:val="none"/>
          <w:lang w:val="zh-CN" w:bidi="zh-CN"/>
        </w:rPr>
        <w:t>）</w:t>
      </w:r>
      <w:r>
        <w:rPr>
          <w:rFonts w:hint="eastAsia" w:ascii="宋体" w:hAnsi="宋体" w:eastAsia="宋体" w:cs="宋体"/>
          <w:kern w:val="0"/>
          <w:sz w:val="21"/>
          <w:szCs w:val="21"/>
          <w:highlight w:val="none"/>
          <w:lang w:val="zh-CN" w:bidi="zh-CN"/>
        </w:rPr>
        <w:t>统一纳入招</w:t>
      </w:r>
      <w:r>
        <w:rPr>
          <w:rFonts w:hint="eastAsia" w:ascii="宋体" w:hAnsi="宋体" w:eastAsia="宋体" w:cs="宋体"/>
          <w:spacing w:val="4"/>
          <w:kern w:val="0"/>
          <w:sz w:val="21"/>
          <w:szCs w:val="21"/>
          <w:highlight w:val="none"/>
          <w:lang w:val="zh-CN" w:bidi="zh-CN"/>
        </w:rPr>
        <w:t>投</w:t>
      </w:r>
      <w:r>
        <w:rPr>
          <w:rFonts w:hint="eastAsia" w:ascii="宋体" w:hAnsi="宋体" w:eastAsia="宋体" w:cs="宋体"/>
          <w:kern w:val="0"/>
          <w:sz w:val="21"/>
          <w:szCs w:val="21"/>
          <w:highlight w:val="none"/>
          <w:lang w:val="zh-CN" w:bidi="zh-CN"/>
        </w:rPr>
        <w:t>标管理，</w:t>
      </w:r>
      <w:r>
        <w:rPr>
          <w:rFonts w:hint="eastAsia" w:ascii="宋体" w:hAnsi="宋体" w:eastAsia="宋体" w:cs="宋体"/>
          <w:spacing w:val="4"/>
          <w:kern w:val="0"/>
          <w:sz w:val="21"/>
          <w:szCs w:val="21"/>
          <w:highlight w:val="none"/>
          <w:lang w:val="zh-CN" w:bidi="zh-CN"/>
        </w:rPr>
        <w:t>在</w:t>
      </w:r>
      <w:r>
        <w:rPr>
          <w:rFonts w:hint="eastAsia" w:ascii="宋体" w:hAnsi="宋体" w:eastAsia="宋体" w:cs="宋体"/>
          <w:kern w:val="0"/>
          <w:sz w:val="21"/>
          <w:szCs w:val="21"/>
          <w:highlight w:val="none"/>
          <w:lang w:val="zh-CN" w:bidi="zh-CN"/>
        </w:rPr>
        <w:t>建设过程</w:t>
      </w:r>
      <w:r>
        <w:rPr>
          <w:rFonts w:hint="eastAsia" w:ascii="宋体" w:hAnsi="宋体" w:eastAsia="宋体" w:cs="宋体"/>
          <w:spacing w:val="4"/>
          <w:kern w:val="0"/>
          <w:sz w:val="21"/>
          <w:szCs w:val="21"/>
          <w:highlight w:val="none"/>
          <w:lang w:val="zh-CN" w:bidi="zh-CN"/>
        </w:rPr>
        <w:t>中</w:t>
      </w:r>
      <w:r>
        <w:rPr>
          <w:rFonts w:hint="eastAsia" w:ascii="宋体" w:hAnsi="宋体" w:eastAsia="宋体" w:cs="宋体"/>
          <w:kern w:val="0"/>
          <w:sz w:val="21"/>
          <w:szCs w:val="21"/>
          <w:highlight w:val="none"/>
          <w:lang w:val="zh-CN" w:bidi="zh-CN"/>
        </w:rPr>
        <w:t>不出现商业</w:t>
      </w:r>
      <w:r>
        <w:rPr>
          <w:rFonts w:hint="eastAsia" w:ascii="宋体" w:hAnsi="宋体" w:eastAsia="宋体" w:cs="宋体"/>
          <w:spacing w:val="4"/>
          <w:kern w:val="0"/>
          <w:sz w:val="21"/>
          <w:szCs w:val="21"/>
          <w:highlight w:val="none"/>
          <w:lang w:val="zh-CN" w:bidi="zh-CN"/>
        </w:rPr>
        <w:t>贿</w:t>
      </w:r>
      <w:r>
        <w:rPr>
          <w:rFonts w:hint="eastAsia" w:ascii="宋体" w:hAnsi="宋体" w:eastAsia="宋体" w:cs="宋体"/>
          <w:kern w:val="0"/>
          <w:sz w:val="21"/>
          <w:szCs w:val="21"/>
          <w:highlight w:val="none"/>
          <w:lang w:val="zh-CN" w:bidi="zh-CN"/>
        </w:rPr>
        <w:t>赂的行为，</w:t>
      </w:r>
      <w:r>
        <w:rPr>
          <w:rFonts w:hint="eastAsia" w:ascii="宋体" w:hAnsi="宋体" w:eastAsia="宋体" w:cs="宋体"/>
          <w:spacing w:val="4"/>
          <w:kern w:val="0"/>
          <w:sz w:val="21"/>
          <w:szCs w:val="21"/>
          <w:highlight w:val="none"/>
          <w:lang w:val="zh-CN" w:bidi="zh-CN"/>
        </w:rPr>
        <w:t>强</w:t>
      </w:r>
      <w:r>
        <w:rPr>
          <w:rFonts w:hint="eastAsia" w:ascii="宋体" w:hAnsi="宋体" w:eastAsia="宋体" w:cs="宋体"/>
          <w:kern w:val="0"/>
          <w:sz w:val="21"/>
          <w:szCs w:val="21"/>
          <w:highlight w:val="none"/>
          <w:lang w:val="zh-CN" w:bidi="zh-CN"/>
        </w:rPr>
        <w:t>化对</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单</w:t>
      </w:r>
      <w:r>
        <w:rPr>
          <w:rFonts w:hint="eastAsia" w:ascii="宋体" w:hAnsi="宋体" w:eastAsia="宋体" w:cs="宋体"/>
          <w:spacing w:val="4"/>
          <w:kern w:val="0"/>
          <w:sz w:val="21"/>
          <w:szCs w:val="21"/>
          <w:highlight w:val="none"/>
          <w:lang w:val="zh-CN" w:bidi="zh-CN"/>
        </w:rPr>
        <w:t>位</w:t>
      </w:r>
      <w:r>
        <w:rPr>
          <w:rFonts w:hint="eastAsia" w:ascii="宋体" w:hAnsi="宋体" w:eastAsia="宋体" w:cs="宋体"/>
          <w:kern w:val="0"/>
          <w:sz w:val="21"/>
          <w:szCs w:val="21"/>
          <w:highlight w:val="none"/>
          <w:lang w:val="zh-CN" w:bidi="zh-CN"/>
        </w:rPr>
        <w:t>的监督管</w:t>
      </w:r>
      <w:r>
        <w:rPr>
          <w:rFonts w:hint="eastAsia" w:ascii="宋体" w:hAnsi="宋体" w:eastAsia="宋体" w:cs="宋体"/>
          <w:spacing w:val="4"/>
          <w:kern w:val="0"/>
          <w:sz w:val="21"/>
          <w:szCs w:val="21"/>
          <w:highlight w:val="none"/>
          <w:lang w:val="zh-CN" w:bidi="zh-CN"/>
        </w:rPr>
        <w:t>理</w:t>
      </w:r>
      <w:r>
        <w:rPr>
          <w:rFonts w:hint="eastAsia" w:ascii="宋体" w:hAnsi="宋体" w:eastAsia="宋体" w:cs="宋体"/>
          <w:kern w:val="0"/>
          <w:sz w:val="21"/>
          <w:szCs w:val="21"/>
          <w:highlight w:val="none"/>
          <w:lang w:val="zh-CN" w:bidi="zh-CN"/>
        </w:rPr>
        <w:t>，督促施工</w:t>
      </w:r>
      <w:r>
        <w:rPr>
          <w:rFonts w:hint="eastAsia" w:ascii="宋体" w:hAnsi="宋体" w:eastAsia="宋体" w:cs="宋体"/>
          <w:spacing w:val="4"/>
          <w:kern w:val="0"/>
          <w:sz w:val="21"/>
          <w:szCs w:val="21"/>
          <w:highlight w:val="none"/>
          <w:lang w:val="zh-CN" w:bidi="zh-CN"/>
        </w:rPr>
        <w:t>、</w:t>
      </w:r>
      <w:r>
        <w:rPr>
          <w:rFonts w:hint="eastAsia" w:ascii="宋体" w:hAnsi="宋体" w:cs="宋体"/>
          <w:kern w:val="0"/>
          <w:sz w:val="21"/>
          <w:szCs w:val="21"/>
          <w:highlight w:val="none"/>
          <w:lang w:val="zh-CN" w:bidi="zh-CN"/>
        </w:rPr>
        <w:t>监理（如有）</w:t>
      </w:r>
      <w:r>
        <w:rPr>
          <w:rFonts w:hint="eastAsia" w:ascii="宋体" w:hAnsi="宋体" w:eastAsia="宋体" w:cs="宋体"/>
          <w:kern w:val="0"/>
          <w:sz w:val="21"/>
          <w:szCs w:val="21"/>
          <w:highlight w:val="none"/>
          <w:lang w:val="zh-CN" w:bidi="zh-CN"/>
        </w:rPr>
        <w:t>单位</w:t>
      </w:r>
      <w:r>
        <w:rPr>
          <w:rFonts w:hint="eastAsia" w:ascii="宋体" w:hAnsi="宋体" w:eastAsia="宋体" w:cs="宋体"/>
          <w:spacing w:val="4"/>
          <w:kern w:val="0"/>
          <w:sz w:val="21"/>
          <w:szCs w:val="21"/>
          <w:highlight w:val="none"/>
          <w:lang w:val="zh-CN" w:bidi="zh-CN"/>
        </w:rPr>
        <w:t>抓</w:t>
      </w:r>
      <w:r>
        <w:rPr>
          <w:rFonts w:hint="eastAsia" w:ascii="宋体" w:hAnsi="宋体" w:eastAsia="宋体" w:cs="宋体"/>
          <w:kern w:val="0"/>
          <w:sz w:val="21"/>
          <w:szCs w:val="21"/>
          <w:highlight w:val="none"/>
          <w:lang w:val="zh-CN" w:bidi="zh-CN"/>
        </w:rPr>
        <w:t>好工程质</w:t>
      </w:r>
      <w:r>
        <w:rPr>
          <w:rFonts w:hint="eastAsia" w:ascii="宋体" w:hAnsi="宋体" w:eastAsia="宋体" w:cs="宋体"/>
          <w:spacing w:val="4"/>
          <w:kern w:val="0"/>
          <w:sz w:val="21"/>
          <w:szCs w:val="21"/>
          <w:highlight w:val="none"/>
          <w:lang w:val="zh-CN" w:bidi="zh-CN"/>
        </w:rPr>
        <w:t>量</w:t>
      </w:r>
      <w:r>
        <w:rPr>
          <w:rFonts w:hint="eastAsia" w:ascii="宋体" w:hAnsi="宋体" w:eastAsia="宋体" w:cs="宋体"/>
          <w:kern w:val="0"/>
          <w:sz w:val="21"/>
          <w:szCs w:val="21"/>
          <w:highlight w:val="none"/>
          <w:lang w:val="zh-CN" w:bidi="zh-CN"/>
        </w:rPr>
        <w:t>和安全生产</w:t>
      </w:r>
      <w:r>
        <w:rPr>
          <w:rFonts w:hint="eastAsia" w:ascii="宋体" w:hAnsi="宋体" w:eastAsia="宋体" w:cs="宋体"/>
          <w:spacing w:val="4"/>
          <w:kern w:val="0"/>
          <w:sz w:val="21"/>
          <w:szCs w:val="21"/>
          <w:highlight w:val="none"/>
          <w:lang w:val="zh-CN" w:bidi="zh-CN"/>
        </w:rPr>
        <w:t>管</w:t>
      </w:r>
      <w:r>
        <w:rPr>
          <w:rFonts w:hint="eastAsia" w:ascii="宋体" w:hAnsi="宋体" w:eastAsia="宋体" w:cs="宋体"/>
          <w:kern w:val="0"/>
          <w:sz w:val="21"/>
          <w:szCs w:val="21"/>
          <w:highlight w:val="none"/>
          <w:lang w:val="zh-CN" w:bidi="zh-CN"/>
        </w:rPr>
        <w:t>理，自觉接受监督管理。</w:t>
      </w:r>
    </w:p>
    <w:p w14:paraId="5BAE28B2">
      <w:pPr>
        <w:pageBreakBefore w:val="0"/>
        <w:shd w:val="clear"/>
        <w:kinsoku/>
        <w:wordWrap/>
        <w:overflowPunct/>
        <w:topLinePunct w:val="0"/>
        <w:autoSpaceDE/>
        <w:autoSpaceDN/>
        <w:bidi w:val="0"/>
        <w:adjustRightInd/>
        <w:snapToGrid/>
        <w:spacing w:line="480" w:lineRule="exact"/>
        <w:ind w:left="743" w:right="641" w:firstLine="460"/>
        <w:jc w:val="lef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如不能履行上述承诺，在该工程竣工时，可不给予办理竣工验收备案，对续建（新建） 项目可暂缓办理发包手续。</w:t>
      </w:r>
    </w:p>
    <w:p w14:paraId="747012D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604B6018">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76E694C6">
      <w:pPr>
        <w:pageBreakBefore w:val="0"/>
        <w:widowControl w:val="0"/>
        <w:shd w:val="clear"/>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highlight w:val="none"/>
          <w:lang w:val="zh-CN" w:eastAsia="zh-CN" w:bidi="zh-CN"/>
        </w:rPr>
      </w:pPr>
    </w:p>
    <w:p w14:paraId="0463F953">
      <w:pPr>
        <w:pageBreakBefore w:val="0"/>
        <w:widowControl w:val="0"/>
        <w:shd w:val="clear"/>
        <w:kinsoku/>
        <w:wordWrap/>
        <w:overflowPunct/>
        <w:topLinePunct w:val="0"/>
        <w:autoSpaceDE/>
        <w:autoSpaceDN/>
        <w:bidi w:val="0"/>
        <w:adjustRightInd/>
        <w:snapToGrid/>
        <w:spacing w:before="7" w:line="480" w:lineRule="exact"/>
        <w:textAlignment w:val="auto"/>
        <w:rPr>
          <w:rFonts w:hint="eastAsia" w:ascii="宋体" w:hAnsi="宋体" w:eastAsia="宋体" w:cs="宋体"/>
          <w:kern w:val="2"/>
          <w:sz w:val="21"/>
          <w:szCs w:val="21"/>
          <w:highlight w:val="none"/>
          <w:lang w:val="zh-CN" w:eastAsia="zh-CN" w:bidi="zh-CN"/>
        </w:rPr>
      </w:pPr>
    </w:p>
    <w:p w14:paraId="04122FB2">
      <w:pPr>
        <w:pageBreakBefore w:val="0"/>
        <w:shd w:val="clear"/>
        <w:kinsoku/>
        <w:wordWrap/>
        <w:overflowPunct/>
        <w:topLinePunct w:val="0"/>
        <w:autoSpaceDE/>
        <w:autoSpaceDN/>
        <w:bidi w:val="0"/>
        <w:adjustRightInd/>
        <w:snapToGrid/>
        <w:spacing w:line="480" w:lineRule="exact"/>
        <w:ind w:left="5411" w:right="1712" w:firstLine="1200"/>
        <w:jc w:val="left"/>
        <w:textAlignment w:val="auto"/>
        <w:rPr>
          <w:rFonts w:hint="eastAsia" w:ascii="宋体" w:hAnsi="宋体" w:eastAsia="宋体" w:cs="宋体"/>
          <w:spacing w:val="-17"/>
          <w:kern w:val="0"/>
          <w:sz w:val="21"/>
          <w:szCs w:val="21"/>
          <w:highlight w:val="none"/>
          <w:lang w:val="zh-CN" w:bidi="zh-CN"/>
        </w:rPr>
      </w:pPr>
      <w:r>
        <w:rPr>
          <w:rFonts w:hint="eastAsia" w:ascii="宋体" w:hAnsi="宋体" w:eastAsia="宋体" w:cs="宋体"/>
          <w:kern w:val="0"/>
          <w:sz w:val="21"/>
          <w:szCs w:val="21"/>
          <w:highlight w:val="none"/>
          <w:lang w:val="zh-CN" w:bidi="zh-CN"/>
        </w:rPr>
        <w:t>承诺单位（建设单位章</w:t>
      </w:r>
      <w:r>
        <w:rPr>
          <w:rFonts w:hint="eastAsia" w:ascii="宋体" w:hAnsi="宋体" w:eastAsia="宋体" w:cs="宋体"/>
          <w:spacing w:val="-17"/>
          <w:kern w:val="0"/>
          <w:sz w:val="21"/>
          <w:szCs w:val="21"/>
          <w:highlight w:val="none"/>
          <w:lang w:val="zh-CN" w:bidi="zh-CN"/>
        </w:rPr>
        <w:t xml:space="preserve">） </w:t>
      </w:r>
    </w:p>
    <w:p w14:paraId="294FB395">
      <w:pPr>
        <w:pageBreakBefore w:val="0"/>
        <w:shd w:val="clear"/>
        <w:kinsoku/>
        <w:wordWrap/>
        <w:overflowPunct/>
        <w:topLinePunct w:val="0"/>
        <w:autoSpaceDE/>
        <w:autoSpaceDN/>
        <w:bidi w:val="0"/>
        <w:adjustRightInd/>
        <w:snapToGrid/>
        <w:spacing w:line="480" w:lineRule="exact"/>
        <w:ind w:right="1712"/>
        <w:jc w:val="right"/>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承诺单位法定代表人（签字或盖章</w:t>
      </w:r>
      <w:r>
        <w:rPr>
          <w:rFonts w:hint="eastAsia" w:ascii="宋体" w:hAnsi="宋体" w:eastAsia="宋体" w:cs="宋体"/>
          <w:spacing w:val="-17"/>
          <w:kern w:val="0"/>
          <w:sz w:val="21"/>
          <w:szCs w:val="21"/>
          <w:highlight w:val="none"/>
          <w:lang w:val="zh-CN" w:bidi="zh-CN"/>
        </w:rPr>
        <w:t>）</w:t>
      </w:r>
    </w:p>
    <w:p w14:paraId="12A3F359">
      <w:pPr>
        <w:pageBreakBefore w:val="0"/>
        <w:shd w:val="clear"/>
        <w:tabs>
          <w:tab w:val="left" w:pos="839"/>
          <w:tab w:val="left" w:pos="1679"/>
        </w:tabs>
        <w:kinsoku/>
        <w:wordWrap/>
        <w:overflowPunct/>
        <w:topLinePunct w:val="0"/>
        <w:autoSpaceDE/>
        <w:autoSpaceDN/>
        <w:bidi w:val="0"/>
        <w:adjustRightInd/>
        <w:snapToGrid/>
        <w:spacing w:before="3" w:line="480" w:lineRule="exact"/>
        <w:ind w:right="1712"/>
        <w:jc w:val="right"/>
        <w:textAlignment w:val="auto"/>
        <w:rPr>
          <w:rFonts w:hint="eastAsia" w:ascii="宋体" w:hAnsi="宋体" w:eastAsia="宋体" w:cs="宋体"/>
          <w:sz w:val="21"/>
          <w:szCs w:val="21"/>
          <w:highlight w:val="none"/>
        </w:rPr>
        <w:sectPr>
          <w:pgSz w:w="11910" w:h="16840"/>
          <w:pgMar w:top="1340" w:right="380" w:bottom="1380" w:left="560" w:header="878" w:footer="1196" w:gutter="0"/>
          <w:pgNumType w:fmt="decimal"/>
          <w:cols w:space="720" w:num="1"/>
          <w:docGrid w:linePitch="360" w:charSpace="0"/>
        </w:sectPr>
      </w:pP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zh-CN" w:bidi="zh-CN"/>
        </w:rPr>
        <w:tab/>
      </w:r>
      <w:r>
        <w:rPr>
          <w:rFonts w:hint="eastAsia" w:ascii="宋体" w:hAnsi="宋体" w:eastAsia="宋体" w:cs="宋体"/>
          <w:kern w:val="0"/>
          <w:sz w:val="21"/>
          <w:szCs w:val="21"/>
          <w:highlight w:val="none"/>
          <w:lang w:val="zh-CN" w:bidi="zh-CN"/>
        </w:rPr>
        <w:t>日</w:t>
      </w:r>
    </w:p>
    <w:p w14:paraId="53E6EC81">
      <w:pPr>
        <w:pStyle w:val="2"/>
        <w:shd w:val="clear"/>
        <w:ind w:firstLine="48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第六章 竞争性磋商文件响应格式及附件</w:t>
      </w:r>
      <w:bookmarkEnd w:id="114"/>
      <w:bookmarkEnd w:id="115"/>
      <w:bookmarkEnd w:id="116"/>
      <w:bookmarkEnd w:id="117"/>
      <w:bookmarkEnd w:id="133"/>
    </w:p>
    <w:p w14:paraId="5D0BEF1F">
      <w:pPr>
        <w:shd w:val="clear"/>
        <w:spacing w:line="400" w:lineRule="exact"/>
        <w:ind w:left="315" w:leftChars="150" w:right="210" w:rightChars="100" w:firstLine="120" w:firstLineChars="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DE1656F">
      <w:pPr>
        <w:pStyle w:val="13"/>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AFD1FC0">
      <w:pPr>
        <w:pStyle w:val="13"/>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BB7ED15">
      <w:pPr>
        <w:shd w:val="clear"/>
        <w:spacing w:line="400" w:lineRule="exact"/>
        <w:ind w:left="315" w:leftChars="150" w:right="210" w:rightChars="100" w:firstLine="120" w:firstLineChars="5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A0EFA6B">
      <w:pPr>
        <w:shd w:val="clear"/>
        <w:spacing w:line="360" w:lineRule="auto"/>
        <w:ind w:firstLine="1446"/>
        <w:jc w:val="center"/>
        <w:rPr>
          <w:rFonts w:hint="eastAsia" w:ascii="宋体" w:hAnsi="宋体" w:cs="宋体"/>
          <w:b/>
          <w:color w:val="000000" w:themeColor="text1"/>
          <w:sz w:val="72"/>
          <w:highlight w:val="none"/>
          <w14:textFill>
            <w14:solidFill>
              <w14:schemeClr w14:val="tx1"/>
            </w14:solidFill>
          </w14:textFill>
        </w:rPr>
      </w:pPr>
      <w:bookmarkStart w:id="669" w:name="_Toc24790_WPSOffice_Level2"/>
      <w:bookmarkStart w:id="670" w:name="_Toc18964_WPSOffice_Level2"/>
    </w:p>
    <w:p w14:paraId="2BA9D920">
      <w:pPr>
        <w:shd w:val="clear"/>
        <w:spacing w:line="360" w:lineRule="auto"/>
        <w:ind w:firstLine="1446"/>
        <w:jc w:val="center"/>
        <w:rPr>
          <w:rFonts w:hint="eastAsia" w:ascii="宋体" w:hAnsi="宋体" w:cs="宋体"/>
          <w:b/>
          <w:color w:val="000000" w:themeColor="text1"/>
          <w:sz w:val="72"/>
          <w:highlight w:val="none"/>
          <w14:textFill>
            <w14:solidFill>
              <w14:schemeClr w14:val="tx1"/>
            </w14:solidFill>
          </w14:textFill>
        </w:rPr>
      </w:pPr>
      <w:r>
        <w:rPr>
          <w:rFonts w:hint="eastAsia" w:ascii="宋体" w:hAnsi="宋体" w:cs="宋体"/>
          <w:b/>
          <w:color w:val="000000" w:themeColor="text1"/>
          <w:sz w:val="72"/>
          <w:highlight w:val="none"/>
          <w14:textFill>
            <w14:solidFill>
              <w14:schemeClr w14:val="tx1"/>
            </w14:solidFill>
          </w14:textFill>
        </w:rPr>
        <w:t>竞争性磋商文件</w:t>
      </w:r>
    </w:p>
    <w:p w14:paraId="2DFB7D03">
      <w:pPr>
        <w:shd w:val="clear"/>
        <w:spacing w:line="360" w:lineRule="auto"/>
        <w:ind w:firstLine="3708" w:firstLineChars="1026"/>
        <w:rPr>
          <w:rFonts w:hint="eastAsia" w:ascii="宋体" w:hAnsi="宋体" w:cs="宋体"/>
          <w:b/>
          <w:color w:val="000000" w:themeColor="text1"/>
          <w:sz w:val="36"/>
          <w:highlight w:val="none"/>
          <w14:textFill>
            <w14:solidFill>
              <w14:schemeClr w14:val="tx1"/>
            </w14:solidFill>
          </w14:textFill>
        </w:rPr>
      </w:pPr>
    </w:p>
    <w:p w14:paraId="23F7B482">
      <w:pPr>
        <w:shd w:val="clear"/>
        <w:spacing w:line="360" w:lineRule="auto"/>
        <w:ind w:firstLine="723"/>
        <w:jc w:val="center"/>
        <w:rPr>
          <w:rFonts w:hint="eastAsia" w:ascii="宋体" w:hAnsi="宋体" w:cs="宋体"/>
          <w:b/>
          <w:color w:val="000000" w:themeColor="text1"/>
          <w:sz w:val="36"/>
          <w:highlight w:val="none"/>
          <w14:textFill>
            <w14:solidFill>
              <w14:schemeClr w14:val="tx1"/>
            </w14:solidFill>
          </w14:textFill>
        </w:rPr>
      </w:pPr>
    </w:p>
    <w:p w14:paraId="70D49F96">
      <w:pPr>
        <w:shd w:val="clear"/>
        <w:spacing w:line="360" w:lineRule="auto"/>
        <w:ind w:firstLine="723"/>
        <w:jc w:val="center"/>
        <w:rPr>
          <w:rFonts w:hint="eastAsia" w:ascii="宋体" w:hAnsi="宋体" w:cs="宋体"/>
          <w:b/>
          <w:color w:val="000000" w:themeColor="text1"/>
          <w:sz w:val="36"/>
          <w:highlight w:val="none"/>
          <w14:textFill>
            <w14:solidFill>
              <w14:schemeClr w14:val="tx1"/>
            </w14:solidFill>
          </w14:textFill>
        </w:rPr>
      </w:pPr>
    </w:p>
    <w:p w14:paraId="27FB3ED2">
      <w:pPr>
        <w:shd w:val="clear"/>
        <w:spacing w:line="360" w:lineRule="auto"/>
        <w:ind w:firstLine="723"/>
        <w:jc w:val="center"/>
        <w:rPr>
          <w:rFonts w:hint="eastAsia" w:ascii="宋体" w:hAnsi="宋体" w:cs="宋体"/>
          <w:b/>
          <w:color w:val="000000" w:themeColor="text1"/>
          <w:sz w:val="36"/>
          <w:highlight w:val="none"/>
          <w14:textFill>
            <w14:solidFill>
              <w14:schemeClr w14:val="tx1"/>
            </w14:solidFill>
          </w14:textFill>
        </w:rPr>
      </w:pPr>
    </w:p>
    <w:p w14:paraId="6CA5C58B">
      <w:pPr>
        <w:shd w:val="clear"/>
        <w:spacing w:line="360" w:lineRule="auto"/>
        <w:ind w:firstLine="1950" w:firstLineChars="65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项目编号：</w:t>
      </w:r>
    </w:p>
    <w:p w14:paraId="2E985BBC">
      <w:pPr>
        <w:shd w:val="clear"/>
        <w:spacing w:line="360" w:lineRule="auto"/>
        <w:ind w:firstLine="1950" w:firstLineChars="65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项目名称：</w:t>
      </w:r>
    </w:p>
    <w:p w14:paraId="2604070D">
      <w:pPr>
        <w:shd w:val="clear"/>
        <w:autoSpaceDE w:val="0"/>
        <w:autoSpaceDN w:val="0"/>
        <w:adjustRightInd w:val="0"/>
        <w:spacing w:line="360" w:lineRule="auto"/>
        <w:ind w:firstLine="1950" w:firstLineChars="650"/>
        <w:rPr>
          <w:rFonts w:hint="eastAsia" w:ascii="宋体" w:hAnsi="宋体" w:cs="宋体"/>
          <w:color w:val="000000" w:themeColor="text1"/>
          <w:sz w:val="30"/>
          <w:szCs w:val="30"/>
          <w:highlight w:val="none"/>
          <w:lang w:val="zh-CN"/>
          <w14:textFill>
            <w14:solidFill>
              <w14:schemeClr w14:val="tx1"/>
            </w14:solidFill>
          </w14:textFill>
        </w:rPr>
      </w:pPr>
      <w:r>
        <w:rPr>
          <w:rFonts w:hint="eastAsia" w:ascii="宋体" w:hAnsi="宋体" w:cs="宋体"/>
          <w:bCs/>
          <w:color w:val="000000" w:themeColor="text1"/>
          <w:sz w:val="30"/>
          <w:szCs w:val="30"/>
          <w:highlight w:val="none"/>
          <w:lang w:val="zh-CN"/>
          <w14:textFill>
            <w14:solidFill>
              <w14:schemeClr w14:val="tx1"/>
            </w14:solidFill>
          </w14:textFill>
        </w:rPr>
        <w:t>投 标 人：</w:t>
      </w:r>
    </w:p>
    <w:p w14:paraId="038F49B4">
      <w:pPr>
        <w:shd w:val="clear"/>
        <w:tabs>
          <w:tab w:val="left" w:pos="1325"/>
        </w:tabs>
        <w:autoSpaceDE w:val="0"/>
        <w:autoSpaceDN w:val="0"/>
        <w:adjustRightInd w:val="0"/>
        <w:spacing w:line="360" w:lineRule="auto"/>
        <w:ind w:firstLine="1950" w:firstLineChars="650"/>
        <w:rPr>
          <w:rFonts w:hint="eastAsia" w:ascii="宋体" w:hAnsi="宋体" w:cs="宋体"/>
          <w:bCs/>
          <w:color w:val="000000" w:themeColor="text1"/>
          <w:sz w:val="30"/>
          <w:szCs w:val="30"/>
          <w:highlight w:val="none"/>
          <w:lang w:val="zh-CN"/>
          <w14:textFill>
            <w14:solidFill>
              <w14:schemeClr w14:val="tx1"/>
            </w14:solidFill>
          </w14:textFill>
        </w:rPr>
      </w:pPr>
      <w:r>
        <w:rPr>
          <w:rFonts w:hint="eastAsia" w:ascii="宋体" w:hAnsi="宋体" w:cs="宋体"/>
          <w:bCs/>
          <w:color w:val="000000" w:themeColor="text1"/>
          <w:sz w:val="30"/>
          <w:szCs w:val="30"/>
          <w:highlight w:val="none"/>
          <w:lang w:val="zh-CN"/>
          <w14:textFill>
            <w14:solidFill>
              <w14:schemeClr w14:val="tx1"/>
            </w14:solidFill>
          </w14:textFill>
        </w:rPr>
        <w:t>投标人地址：</w:t>
      </w:r>
    </w:p>
    <w:p w14:paraId="2B0B38E9">
      <w:pPr>
        <w:shd w:val="clear"/>
        <w:autoSpaceDE w:val="0"/>
        <w:autoSpaceDN w:val="0"/>
        <w:adjustRightInd w:val="0"/>
        <w:spacing w:line="360" w:lineRule="auto"/>
        <w:ind w:firstLine="720"/>
        <w:jc w:val="center"/>
        <w:rPr>
          <w:rFonts w:hint="eastAsia" w:ascii="宋体" w:hAnsi="宋体" w:cs="宋体"/>
          <w:color w:val="000000" w:themeColor="text1"/>
          <w:sz w:val="36"/>
          <w:szCs w:val="36"/>
          <w:highlight w:val="none"/>
          <w:lang w:val="zh-CN"/>
          <w14:textFill>
            <w14:solidFill>
              <w14:schemeClr w14:val="tx1"/>
            </w14:solidFill>
          </w14:textFill>
        </w:rPr>
      </w:pPr>
    </w:p>
    <w:p w14:paraId="68931729">
      <w:pPr>
        <w:shd w:val="clear"/>
        <w:ind w:firstLine="643"/>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年</w:t>
      </w:r>
      <w:r>
        <w:rPr>
          <w:rFonts w:hint="eastAsia" w:ascii="宋体" w:hAnsi="宋体" w:cs="宋体"/>
          <w:b/>
          <w:bCs/>
          <w:color w:val="000000" w:themeColor="text1"/>
          <w:sz w:val="32"/>
          <w:szCs w:val="32"/>
          <w:highlight w:val="none"/>
          <w14:textFill>
            <w14:solidFill>
              <w14:schemeClr w14:val="tx1"/>
            </w14:solidFill>
          </w14:textFill>
        </w:rPr>
        <w:t xml:space="preserve">    </w:t>
      </w:r>
      <w:r>
        <w:rPr>
          <w:rFonts w:hint="eastAsia" w:ascii="宋体" w:hAnsi="宋体" w:cs="宋体"/>
          <w:b/>
          <w:bCs/>
          <w:color w:val="000000" w:themeColor="text1"/>
          <w:sz w:val="32"/>
          <w:szCs w:val="32"/>
          <w:highlight w:val="none"/>
          <w:lang w:val="zh-CN"/>
          <w14:textFill>
            <w14:solidFill>
              <w14:schemeClr w14:val="tx1"/>
            </w14:solidFill>
          </w14:textFill>
        </w:rPr>
        <w:t>月</w:t>
      </w:r>
      <w:r>
        <w:rPr>
          <w:rFonts w:hint="eastAsia" w:ascii="宋体" w:hAnsi="宋体" w:cs="宋体"/>
          <w:b/>
          <w:bCs/>
          <w:color w:val="000000" w:themeColor="text1"/>
          <w:sz w:val="32"/>
          <w:szCs w:val="32"/>
          <w:highlight w:val="none"/>
          <w14:textFill>
            <w14:solidFill>
              <w14:schemeClr w14:val="tx1"/>
            </w14:solidFill>
          </w14:textFill>
        </w:rPr>
        <w:t xml:space="preserve">   </w:t>
      </w:r>
      <w:r>
        <w:rPr>
          <w:rFonts w:hint="eastAsia" w:ascii="宋体" w:hAnsi="宋体" w:cs="宋体"/>
          <w:b/>
          <w:bCs/>
          <w:color w:val="000000" w:themeColor="text1"/>
          <w:sz w:val="32"/>
          <w:szCs w:val="32"/>
          <w:highlight w:val="none"/>
          <w:lang w:val="zh-CN"/>
          <w14:textFill>
            <w14:solidFill>
              <w14:schemeClr w14:val="tx1"/>
            </w14:solidFill>
          </w14:textFill>
        </w:rPr>
        <w:t>日</w:t>
      </w:r>
    </w:p>
    <w:p w14:paraId="6DEC7BE6">
      <w:pPr>
        <w:shd w:val="clear"/>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page"/>
      </w:r>
    </w:p>
    <w:p w14:paraId="245A1800">
      <w:pPr>
        <w:shd w:val="clea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目录</w:t>
      </w:r>
      <w:bookmarkEnd w:id="669"/>
      <w:bookmarkEnd w:id="670"/>
    </w:p>
    <w:p w14:paraId="2F576BC7">
      <w:pPr>
        <w:shd w:val="clea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671" w:name="_Toc7609_WPSOffice_Level2"/>
      <w:bookmarkStart w:id="672" w:name="_Toc18592_WPSOffice_Level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（注：供应商根据附件顺序编制响应文件并制作目录（须生成页码））</w:t>
      </w:r>
      <w:bookmarkEnd w:id="671"/>
      <w:bookmarkEnd w:id="672"/>
    </w:p>
    <w:p w14:paraId="47CE787A">
      <w:pPr>
        <w:shd w:val="clea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56F0A939">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73" w:name="_Toc1262_WPSOffice_Level2"/>
      <w:bookmarkStart w:id="674" w:name="_Toc6271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附件一、磋商申请及声明格式</w:t>
      </w:r>
      <w:bookmarkEnd w:id="673"/>
      <w:bookmarkEnd w:id="674"/>
    </w:p>
    <w:p w14:paraId="6998E5CB">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75" w:name="_Toc10846_WPSOffice_Level2"/>
      <w:bookmarkStart w:id="676" w:name="_Toc1872_WPSOffice_Level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磋商申请及声明</w:t>
      </w:r>
      <w:bookmarkEnd w:id="675"/>
      <w:bookmarkEnd w:id="676"/>
    </w:p>
    <w:p w14:paraId="29B480C7">
      <w:pPr>
        <w:widowControl/>
        <w:shd w:val="clear"/>
        <w:spacing w:line="440" w:lineRule="exac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致：（招标人）</w:t>
      </w:r>
    </w:p>
    <w:p w14:paraId="0CBD1894">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根据贵方</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b/>
          <w:bCs/>
          <w:color w:val="000000" w:themeColor="text1"/>
          <w:kern w:val="0"/>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 </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（项目编号）投标邀请，正式授权下述签字人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(姓名和职务)代表供应商</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（供应商名称），提交响应文件。</w:t>
      </w:r>
    </w:p>
    <w:p w14:paraId="4D64A7C7">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据此函，签字人兹宣布声明和承诺如下：</w:t>
      </w:r>
    </w:p>
    <w:p w14:paraId="2985581C">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我们的资格条件完全符合政府采购法和本次磋商要求</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，我们同意并向贵方提供了与投标有关的所有证据和资料。</w:t>
      </w:r>
    </w:p>
    <w:p w14:paraId="7B91E357">
      <w:pPr>
        <w:shd w:val="clear"/>
        <w:spacing w:line="360" w:lineRule="exact"/>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2、按磋商要求，我们的投标总报价为（大写）</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元人民币。</w:t>
      </w:r>
    </w:p>
    <w:p w14:paraId="26CB7126">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3、本项目交付时间为：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xml:space="preserve">  满足磋商文件要求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65C0920C">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4、我们已详细审核全部磋商文件及其有效补充文件，我们放弃对磋商文件任何误解的权利，提交响应文件后，</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不对磋商文件本身提出质疑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27AFCEFF">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5、我们同意从规定的开标日期起遵循本响应文件，并在规定的投标有效期期满之前均具有约束力。</w:t>
      </w:r>
    </w:p>
    <w:p w14:paraId="1EA4D10C">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6、一旦我方成交，我方将根据磋商文件的规定，严格履行合同，保证于承诺的时间内完成本项目规定的服务内容。</w:t>
      </w:r>
    </w:p>
    <w:p w14:paraId="33F48CFB">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7、我方决不提供虚假材料谋取中标、决不采取不正当手段诋毁、排挤其他供应商、决不与采购人、其它供应商或者代理机构恶意串通、决不向采购人、代理机构工作人员和评委进行商业贿赂、决不在采购过程中与采购人进行协商磋商、决不拒绝有关部门监督检查或提供虚假情况，如有违反，无条件接受贵方及相关管理部门的处罚。</w:t>
      </w:r>
    </w:p>
    <w:p w14:paraId="47D147EF">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8、与本投标有关的正式联系方式为：</w:t>
      </w:r>
    </w:p>
    <w:p w14:paraId="42C171FE">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123EF2C5">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13F42CB6">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1963FDFD">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开户银行：</w:t>
      </w:r>
    </w:p>
    <w:p w14:paraId="2C138B68">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银行账号：</w:t>
      </w:r>
    </w:p>
    <w:p w14:paraId="04D7ECFA">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供应商授权代表姓名（签字）：</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p>
    <w:p w14:paraId="6AAADE47">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（盖章）</w:t>
      </w:r>
    </w:p>
    <w:p w14:paraId="381E311F">
      <w:pPr>
        <w:widowControl/>
        <w:shd w:val="clear"/>
        <w:spacing w:line="360" w:lineRule="exac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w:t>
      </w:r>
    </w:p>
    <w:p w14:paraId="794F383E">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677" w:name="_Toc11540_WPSOffice_Level1"/>
      <w:bookmarkStart w:id="678" w:name="_Toc20010_WPSOffice_Level1"/>
      <w:bookmarkStart w:id="679" w:name="_Toc3792"/>
      <w:bookmarkStart w:id="680" w:name="_Toc606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附件二、法定代表人授权委托书格式</w:t>
      </w:r>
      <w:bookmarkEnd w:id="677"/>
      <w:bookmarkEnd w:id="678"/>
      <w:bookmarkEnd w:id="679"/>
      <w:bookmarkEnd w:id="680"/>
    </w:p>
    <w:p w14:paraId="6F2D9563">
      <w:pPr>
        <w:widowControl/>
        <w:shd w:val="clear"/>
        <w:spacing w:line="360" w:lineRule="auto"/>
        <w:ind w:firstLine="42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42C8E256">
      <w:pPr>
        <w:widowControl/>
        <w:shd w:val="clear"/>
        <w:spacing w:line="360" w:lineRule="auto"/>
        <w:jc w:val="center"/>
        <w:outlineLvl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81" w:name="_Toc20334"/>
      <w:bookmarkStart w:id="682" w:name="_Toc23947"/>
      <w:bookmarkStart w:id="683" w:name="_Toc27326_WPSOffice_Level2"/>
      <w:bookmarkStart w:id="684" w:name="_Toc31959_WPSOffice_Level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法定代表人授权委托书</w:t>
      </w:r>
      <w:bookmarkEnd w:id="681"/>
      <w:bookmarkEnd w:id="682"/>
      <w:bookmarkEnd w:id="683"/>
      <w:bookmarkEnd w:id="684"/>
    </w:p>
    <w:p w14:paraId="2F9FE252">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23BA3EE7">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致：采购人</w:t>
      </w:r>
    </w:p>
    <w:p w14:paraId="3B0BF8F6">
      <w:pPr>
        <w:widowControl/>
        <w:shd w:val="clear"/>
        <w:spacing w:line="360" w:lineRule="auto"/>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（供应商住址）的</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（供应商名称）法定代表人</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（法定代表人姓名、职务）代表本公司授权在下面签字的</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（供应商代表姓名、职务）为本公司的合法代理人，就贵方组织的</w:t>
      </w:r>
      <w:r>
        <w:rPr>
          <w:rFonts w:hint="eastAsia" w:asciiTheme="minorEastAsia" w:hAnsiTheme="minorEastAsia" w:eastAsiaTheme="minorEastAsia" w:cstheme="minorEastAsia"/>
          <w:b/>
          <w:bCs/>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（项目编号）投标，以本公司名义处理一切与之有关的事务。</w:t>
      </w:r>
    </w:p>
    <w:p w14:paraId="555AD56D">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本授权书于    年  月  日签字生效，特此声明。</w:t>
      </w:r>
    </w:p>
    <w:p w14:paraId="18BA8B32">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法定代表人签字：</w:t>
      </w:r>
    </w:p>
    <w:p w14:paraId="477AB369">
      <w:pPr>
        <w:widowControl/>
        <w:shd w:val="clear"/>
        <w:spacing w:line="360" w:lineRule="auto"/>
        <w:ind w:firstLine="840" w:firstLineChars="4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授权委托人签字：                   </w:t>
      </w:r>
    </w:p>
    <w:p w14:paraId="4941B077">
      <w:pPr>
        <w:widowControl/>
        <w:shd w:val="clear"/>
        <w:spacing w:line="360" w:lineRule="auto"/>
        <w:ind w:firstLine="840" w:firstLineChars="4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日     期：        年    月    日</w:t>
      </w:r>
    </w:p>
    <w:p w14:paraId="781B9F97">
      <w:pPr>
        <w:widowControl/>
        <w:shd w:val="clear"/>
        <w:spacing w:line="360" w:lineRule="auto"/>
        <w:ind w:firstLine="840" w:firstLineChars="4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56C6664E">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法定代表人及委托代理人的身份证明文件的复印件:</w:t>
      </w:r>
    </w:p>
    <w:p w14:paraId="144FA152">
      <w:pPr>
        <w:widowControl/>
        <w:shd w:val="clear"/>
        <w:spacing w:line="360" w:lineRule="auto"/>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4DEC783E">
      <w:pPr>
        <w:widowControl/>
        <w:shd w:val="clear"/>
        <w:spacing w:line="360" w:lineRule="auto"/>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03CDB7DF">
      <w:pPr>
        <w:widowControl/>
        <w:shd w:val="clear"/>
        <w:spacing w:line="360" w:lineRule="auto"/>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06139538">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685" w:name="_Toc7176"/>
      <w:bookmarkStart w:id="686" w:name="_Toc27191"/>
      <w:bookmarkStart w:id="687" w:name="_Toc5416_WPSOffice_Level1"/>
      <w:bookmarkStart w:id="688" w:name="_Toc21213_WPSOffice_Level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附件三、</w:t>
      </w:r>
      <w:bookmarkEnd w:id="685"/>
      <w:bookmarkEnd w:id="686"/>
      <w:bookmarkEnd w:id="687"/>
      <w:bookmarkEnd w:id="68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竞争性磋商报价表</w:t>
      </w:r>
    </w:p>
    <w:p w14:paraId="38504974">
      <w:pPr>
        <w:widowControl/>
        <w:shd w:val="clear"/>
        <w:spacing w:line="360" w:lineRule="auto"/>
        <w:ind w:firstLine="422"/>
        <w:jc w:val="left"/>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竞争性磋商报价表</w:t>
      </w:r>
    </w:p>
    <w:tbl>
      <w:tblPr>
        <w:tblStyle w:val="31"/>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4000"/>
        <w:gridCol w:w="2162"/>
        <w:gridCol w:w="2446"/>
      </w:tblGrid>
      <w:tr w14:paraId="6682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980" w:type="dxa"/>
            <w:gridSpan w:val="4"/>
            <w:vAlign w:val="center"/>
          </w:tcPr>
          <w:p w14:paraId="7B1EC53F">
            <w:pPr>
              <w:widowControl/>
              <w:shd w:val="clear"/>
              <w:tabs>
                <w:tab w:val="left" w:pos="1638"/>
              </w:tabs>
              <w:adjustRightInd w:val="0"/>
              <w:spacing w:line="360" w:lineRule="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                                               项目编号：</w:t>
            </w:r>
          </w:p>
        </w:tc>
      </w:tr>
      <w:tr w14:paraId="6346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72" w:type="dxa"/>
            <w:vAlign w:val="center"/>
          </w:tcPr>
          <w:p w14:paraId="2565F4CB">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序号</w:t>
            </w:r>
          </w:p>
        </w:tc>
        <w:tc>
          <w:tcPr>
            <w:tcW w:w="4000" w:type="dxa"/>
            <w:vAlign w:val="center"/>
          </w:tcPr>
          <w:p w14:paraId="536CD3EE">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内容</w:t>
            </w:r>
          </w:p>
        </w:tc>
        <w:tc>
          <w:tcPr>
            <w:tcW w:w="2162" w:type="dxa"/>
            <w:vAlign w:val="center"/>
          </w:tcPr>
          <w:p w14:paraId="110B368B">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价格（万元）</w:t>
            </w:r>
          </w:p>
        </w:tc>
        <w:tc>
          <w:tcPr>
            <w:tcW w:w="2446" w:type="dxa"/>
            <w:vAlign w:val="center"/>
          </w:tcPr>
          <w:p w14:paraId="7638273E">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r>
      <w:tr w14:paraId="2F8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72" w:type="dxa"/>
            <w:vAlign w:val="center"/>
          </w:tcPr>
          <w:p w14:paraId="20673A99">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w:t>
            </w:r>
          </w:p>
        </w:tc>
        <w:tc>
          <w:tcPr>
            <w:tcW w:w="4000" w:type="dxa"/>
            <w:vAlign w:val="center"/>
          </w:tcPr>
          <w:p w14:paraId="333FB4C8">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162" w:type="dxa"/>
            <w:vAlign w:val="center"/>
          </w:tcPr>
          <w:p w14:paraId="2E073526">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46" w:type="dxa"/>
            <w:vAlign w:val="center"/>
          </w:tcPr>
          <w:p w14:paraId="658EBA22">
            <w:pPr>
              <w:widowControl/>
              <w:shd w:val="clear"/>
              <w:adjustRightInd w:val="0"/>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2D31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72" w:type="dxa"/>
            <w:vAlign w:val="center"/>
          </w:tcPr>
          <w:p w14:paraId="0233E06F">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w:t>
            </w:r>
          </w:p>
        </w:tc>
        <w:tc>
          <w:tcPr>
            <w:tcW w:w="4000" w:type="dxa"/>
            <w:vAlign w:val="center"/>
          </w:tcPr>
          <w:p w14:paraId="1B35C0BE">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162" w:type="dxa"/>
            <w:vAlign w:val="center"/>
          </w:tcPr>
          <w:p w14:paraId="782FF843">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46" w:type="dxa"/>
            <w:vAlign w:val="center"/>
          </w:tcPr>
          <w:p w14:paraId="63541EDE">
            <w:pPr>
              <w:widowControl/>
              <w:shd w:val="clear"/>
              <w:adjustRightInd w:val="0"/>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326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72" w:type="dxa"/>
            <w:vAlign w:val="center"/>
          </w:tcPr>
          <w:p w14:paraId="51A4C61C">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w:t>
            </w:r>
          </w:p>
        </w:tc>
        <w:tc>
          <w:tcPr>
            <w:tcW w:w="4000" w:type="dxa"/>
            <w:vAlign w:val="center"/>
          </w:tcPr>
          <w:p w14:paraId="3950FA29">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总计</w:t>
            </w:r>
          </w:p>
        </w:tc>
        <w:tc>
          <w:tcPr>
            <w:tcW w:w="2162" w:type="dxa"/>
            <w:vAlign w:val="center"/>
          </w:tcPr>
          <w:p w14:paraId="7299D680">
            <w:pPr>
              <w:widowControl/>
              <w:shd w:val="clear"/>
              <w:adjustRightInd w:val="0"/>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46" w:type="dxa"/>
            <w:vAlign w:val="center"/>
          </w:tcPr>
          <w:p w14:paraId="12C6E404">
            <w:pPr>
              <w:widowControl/>
              <w:shd w:val="clear"/>
              <w:adjustRightInd w:val="0"/>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50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980" w:type="dxa"/>
            <w:gridSpan w:val="4"/>
            <w:vAlign w:val="center"/>
          </w:tcPr>
          <w:p w14:paraId="172C2EC2">
            <w:pPr>
              <w:widowControl/>
              <w:shd w:val="clear"/>
              <w:adjustRightInd w:val="0"/>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响应总价（人民币大写）：</w:t>
            </w:r>
          </w:p>
        </w:tc>
      </w:tr>
      <w:tr w14:paraId="0088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980" w:type="dxa"/>
            <w:gridSpan w:val="4"/>
            <w:vAlign w:val="center"/>
          </w:tcPr>
          <w:p w14:paraId="50E872CA">
            <w:pPr>
              <w:widowControl/>
              <w:shd w:val="clear"/>
              <w:adjustRightInd w:val="0"/>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工期：</w:t>
            </w:r>
          </w:p>
        </w:tc>
      </w:tr>
      <w:tr w14:paraId="7A89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80" w:type="dxa"/>
            <w:gridSpan w:val="4"/>
            <w:vAlign w:val="center"/>
          </w:tcPr>
          <w:p w14:paraId="14AE3739">
            <w:pPr>
              <w:widowControl/>
              <w:shd w:val="clear"/>
              <w:adjustRightInd w:val="0"/>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项目经理及联系方式：</w:t>
            </w:r>
          </w:p>
        </w:tc>
      </w:tr>
    </w:tbl>
    <w:p w14:paraId="7D359F50">
      <w:pPr>
        <w:widowControl/>
        <w:shd w:val="clear"/>
        <w:adjustRightIn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p>
    <w:p w14:paraId="0D2DC3B7">
      <w:pPr>
        <w:widowControl/>
        <w:shd w:val="clear"/>
        <w:adjustRightInd w:val="0"/>
        <w:spacing w:line="360" w:lineRule="auto"/>
        <w:jc w:val="left"/>
        <w:rPr>
          <w:rFonts w:hint="eastAsia" w:asci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供应商名称：</w:t>
      </w:r>
      <w:r>
        <w:rPr>
          <w:rFonts w:hint="eastAsia" w:ascii="宋体" w:hAnsi="宋体"/>
          <w:color w:val="000000" w:themeColor="text1"/>
          <w:kern w:val="0"/>
          <w:szCs w:val="21"/>
          <w:highlight w:val="none"/>
          <w:u w:val="single"/>
          <w:lang w:val="zh-CN"/>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（盖章）</w:t>
      </w:r>
    </w:p>
    <w:p w14:paraId="2FB9FC81">
      <w:pPr>
        <w:widowControl/>
        <w:shd w:val="clear"/>
        <w:adjustRightInd w:val="0"/>
        <w:spacing w:line="360" w:lineRule="auto"/>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cs="宋体"/>
          <w:color w:val="000000" w:themeColor="text1"/>
          <w:kern w:val="0"/>
          <w:szCs w:val="21"/>
          <w:highlight w:val="none"/>
          <w:lang w:val="zh-CN"/>
          <w14:textFill>
            <w14:solidFill>
              <w14:schemeClr w14:val="tx1"/>
            </w14:solidFill>
          </w14:textFill>
        </w:rPr>
        <w:t>说明：1、</w:t>
      </w:r>
      <w:r>
        <w:rPr>
          <w:rFonts w:hint="eastAsia" w:ascii="宋体" w:hAnsi="宋体" w:cs="宋体"/>
          <w:color w:val="000000" w:themeColor="text1"/>
          <w:kern w:val="0"/>
          <w:szCs w:val="21"/>
          <w:highlight w:val="none"/>
          <w:lang w:val="zh-CN"/>
          <w14:textFill>
            <w14:solidFill>
              <w14:schemeClr w14:val="tx1"/>
            </w14:solidFill>
          </w14:textFill>
        </w:rPr>
        <w:t>如果行数不够，请自行增加。</w:t>
      </w:r>
    </w:p>
    <w:p w14:paraId="0D189D1C">
      <w:pPr>
        <w:widowControl/>
        <w:shd w:val="clear"/>
        <w:adjustRightIn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p>
    <w:p w14:paraId="044FF026">
      <w:pPr>
        <w:widowControl/>
        <w:shd w:val="clear"/>
        <w:adjustRightInd w:val="0"/>
        <w:spacing w:line="360" w:lineRule="auto"/>
        <w:jc w:val="left"/>
        <w:rPr>
          <w:rFonts w:hint="eastAsia"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说明：如果行数不够，请自行增加。</w:t>
      </w:r>
    </w:p>
    <w:p w14:paraId="4B8D39CD">
      <w:pPr>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br w:type="page"/>
      </w:r>
      <w:bookmarkStart w:id="689" w:name="_Toc15558"/>
      <w:bookmarkStart w:id="690" w:name="_Toc24662_WPSOffice_Level1"/>
      <w:bookmarkStart w:id="691" w:name="_Toc18877"/>
      <w:bookmarkStart w:id="692" w:name="_Toc21408_WPSOffice_Level1"/>
    </w:p>
    <w:p w14:paraId="7064CFE5">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sectPr>
          <w:footerReference r:id="rId15" w:type="default"/>
          <w:pgSz w:w="11906" w:h="16838"/>
          <w:pgMar w:top="1440" w:right="1080" w:bottom="1440" w:left="1080" w:header="851" w:footer="992" w:gutter="0"/>
          <w:pgNumType w:fmt="decimal"/>
          <w:cols w:space="425" w:num="1"/>
          <w:docGrid w:type="lines" w:linePitch="312" w:charSpace="0"/>
        </w:sectPr>
      </w:pPr>
    </w:p>
    <w:p w14:paraId="0AEBC19B">
      <w:pPr>
        <w:pStyle w:val="4"/>
        <w:shd w:val="clear"/>
        <w:ind w:left="10961" w:leftChars="200" w:hanging="10541" w:hangingChars="50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附件四、分项报价表格式</w:t>
      </w:r>
      <w:bookmarkEnd w:id="689"/>
      <w:bookmarkEnd w:id="690"/>
      <w:bookmarkEnd w:id="691"/>
      <w:bookmarkEnd w:id="69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单位：元</w:t>
      </w:r>
    </w:p>
    <w:tbl>
      <w:tblPr>
        <w:tblStyle w:val="30"/>
        <w:tblW w:w="155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2636"/>
        <w:gridCol w:w="3371"/>
        <w:gridCol w:w="919"/>
        <w:gridCol w:w="1048"/>
        <w:gridCol w:w="1352"/>
        <w:gridCol w:w="1470"/>
        <w:gridCol w:w="1150"/>
        <w:gridCol w:w="1379"/>
        <w:gridCol w:w="1373"/>
      </w:tblGrid>
      <w:tr w14:paraId="58E2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4AFA">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序号</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1F30">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名称</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37BA8">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工作内容</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03D40">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计量单位</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FE0B">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工作量</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8D8B">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单价分析</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AFCF">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单价合计</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B1B4">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合计价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F749">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备注</w:t>
            </w:r>
          </w:p>
        </w:tc>
      </w:tr>
      <w:tr w14:paraId="69C7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8752">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8F4E">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56D5">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0F20">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2027">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9D09">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人工费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981">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材料费</w:t>
            </w: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主材+辅材</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637">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FF2B">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3547">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r>
      <w:tr w14:paraId="1CD3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5583" w:type="dxa"/>
            <w:gridSpan w:val="10"/>
            <w:tcBorders>
              <w:top w:val="single" w:color="000000" w:sz="4" w:space="0"/>
              <w:left w:val="single" w:color="000000" w:sz="4" w:space="0"/>
              <w:bottom w:val="nil"/>
              <w:right w:val="single" w:color="000000" w:sz="4" w:space="0"/>
            </w:tcBorders>
            <w:shd w:val="clear" w:color="auto" w:fill="BFBFBF"/>
            <w:vAlign w:val="center"/>
          </w:tcPr>
          <w:p w14:paraId="7E7F5370">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硬装部分</w:t>
            </w:r>
          </w:p>
        </w:tc>
      </w:tr>
      <w:tr w14:paraId="7128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4210" w:type="dxa"/>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040FE93">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新建墙体项目（登高作业）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2C45">
            <w:pPr>
              <w:shd w:val="clear"/>
              <w:rPr>
                <w:rFonts w:hint="eastAsia" w:asciiTheme="minorEastAsia" w:hAnsiTheme="minorEastAsia" w:eastAsiaTheme="minorEastAsia" w:cstheme="minorEastAsia"/>
                <w:i w:val="0"/>
                <w:iCs w:val="0"/>
                <w:color w:val="000000"/>
                <w:sz w:val="18"/>
                <w:szCs w:val="18"/>
                <w:highlight w:val="none"/>
                <w:u w:val="none"/>
              </w:rPr>
            </w:pPr>
          </w:p>
        </w:tc>
      </w:tr>
      <w:tr w14:paraId="0967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885" w:type="dxa"/>
            <w:tcBorders>
              <w:top w:val="nil"/>
              <w:left w:val="single" w:color="000000" w:sz="4" w:space="0"/>
              <w:bottom w:val="single" w:color="000000" w:sz="4" w:space="0"/>
              <w:right w:val="single" w:color="000000" w:sz="4" w:space="0"/>
            </w:tcBorders>
            <w:shd w:val="clear" w:color="auto" w:fill="auto"/>
            <w:noWrap/>
            <w:vAlign w:val="center"/>
          </w:tcPr>
          <w:p w14:paraId="5125FF1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636" w:type="dxa"/>
            <w:tcBorders>
              <w:top w:val="nil"/>
              <w:left w:val="single" w:color="000000" w:sz="4" w:space="0"/>
              <w:bottom w:val="single" w:color="000000" w:sz="4" w:space="0"/>
              <w:right w:val="single" w:color="000000" w:sz="4" w:space="0"/>
            </w:tcBorders>
            <w:shd w:val="clear" w:color="auto" w:fill="auto"/>
            <w:vAlign w:val="center"/>
          </w:tcPr>
          <w:p w14:paraId="4704EF6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原始顶面废除管线拆除</w:t>
            </w:r>
          </w:p>
        </w:tc>
        <w:tc>
          <w:tcPr>
            <w:tcW w:w="3371" w:type="dxa"/>
            <w:tcBorders>
              <w:top w:val="nil"/>
              <w:left w:val="single" w:color="000000" w:sz="4" w:space="0"/>
              <w:bottom w:val="single" w:color="000000" w:sz="4" w:space="0"/>
              <w:right w:val="single" w:color="000000" w:sz="4" w:space="0"/>
            </w:tcBorders>
            <w:shd w:val="clear" w:color="auto" w:fill="auto"/>
            <w:vAlign w:val="center"/>
          </w:tcPr>
          <w:p w14:paraId="2F686CC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包含顶面废除管线及灯具人工拆除（打包装袋）</w:t>
            </w:r>
          </w:p>
        </w:tc>
        <w:tc>
          <w:tcPr>
            <w:tcW w:w="919" w:type="dxa"/>
            <w:tcBorders>
              <w:top w:val="nil"/>
              <w:left w:val="single" w:color="000000" w:sz="4" w:space="0"/>
              <w:bottom w:val="single" w:color="000000" w:sz="4" w:space="0"/>
              <w:right w:val="single" w:color="000000" w:sz="4" w:space="0"/>
            </w:tcBorders>
            <w:shd w:val="clear" w:color="auto" w:fill="auto"/>
            <w:noWrap/>
            <w:vAlign w:val="center"/>
          </w:tcPr>
          <w:p w14:paraId="1318F65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w:t>
            </w:r>
          </w:p>
        </w:tc>
        <w:tc>
          <w:tcPr>
            <w:tcW w:w="1048" w:type="dxa"/>
            <w:tcBorders>
              <w:top w:val="nil"/>
              <w:left w:val="single" w:color="000000" w:sz="4" w:space="0"/>
              <w:bottom w:val="single" w:color="000000" w:sz="4" w:space="0"/>
              <w:right w:val="single" w:color="000000" w:sz="4" w:space="0"/>
            </w:tcBorders>
            <w:shd w:val="clear" w:color="auto" w:fill="auto"/>
            <w:noWrap/>
            <w:vAlign w:val="center"/>
          </w:tcPr>
          <w:p w14:paraId="78521FB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nil"/>
              <w:left w:val="single" w:color="000000" w:sz="4" w:space="0"/>
              <w:bottom w:val="single" w:color="000000" w:sz="4" w:space="0"/>
              <w:right w:val="single" w:color="000000" w:sz="4" w:space="0"/>
            </w:tcBorders>
            <w:shd w:val="clear" w:color="auto" w:fill="auto"/>
            <w:noWrap/>
            <w:vAlign w:val="center"/>
          </w:tcPr>
          <w:p w14:paraId="6806D1C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nil"/>
              <w:left w:val="single" w:color="000000" w:sz="4" w:space="0"/>
              <w:bottom w:val="single" w:color="000000" w:sz="4" w:space="0"/>
              <w:right w:val="single" w:color="000000" w:sz="4" w:space="0"/>
            </w:tcBorders>
            <w:shd w:val="clear" w:color="auto" w:fill="auto"/>
            <w:noWrap/>
            <w:vAlign w:val="center"/>
          </w:tcPr>
          <w:p w14:paraId="14FA0B3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A44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363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nil"/>
              <w:left w:val="single" w:color="000000" w:sz="4" w:space="0"/>
              <w:bottom w:val="single" w:color="000000" w:sz="4" w:space="0"/>
              <w:right w:val="single" w:color="000000" w:sz="4" w:space="0"/>
            </w:tcBorders>
            <w:shd w:val="clear" w:color="auto" w:fill="auto"/>
            <w:noWrap/>
            <w:vAlign w:val="center"/>
          </w:tcPr>
          <w:p w14:paraId="71561E91">
            <w:pPr>
              <w:shd w:val="clear"/>
              <w:rPr>
                <w:rFonts w:hint="default"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拆除灯具需二次利用</w:t>
            </w:r>
          </w:p>
        </w:tc>
      </w:tr>
      <w:tr w14:paraId="5EB4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39B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68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原始地面地胶拆除</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8F0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人工拆除（打包装袋）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3B3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12B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306.00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CC3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E67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857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6F6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BC9B">
            <w:pPr>
              <w:shd w:val="clear"/>
              <w:rPr>
                <w:rFonts w:hint="eastAsia" w:asciiTheme="minorEastAsia" w:hAnsiTheme="minorEastAsia" w:eastAsiaTheme="minorEastAsia" w:cstheme="minorEastAsia"/>
                <w:i w:val="0"/>
                <w:iCs w:val="0"/>
                <w:color w:val="000000"/>
                <w:sz w:val="18"/>
                <w:szCs w:val="18"/>
                <w:highlight w:val="none"/>
                <w:u w:val="none"/>
              </w:rPr>
            </w:pPr>
          </w:p>
        </w:tc>
      </w:tr>
      <w:tr w14:paraId="0BD7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3"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386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62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新建单面隔墙</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53A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1、U75天地轻钢龙骨隔墙定位、U75竖向轻钢龙骨立架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2、12mm阻燃版基层</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3、12mm石膏板</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4、2、基层类型：批腻子三遍（前两遍满批，第三遍以找平批均匀准），干燥后带灯打磨，白色乳胶漆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B5B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213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55.00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549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37F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C6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F36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5EFD">
            <w:pPr>
              <w:shd w:val="clear"/>
              <w:rPr>
                <w:rFonts w:hint="eastAsia" w:asciiTheme="minorEastAsia" w:hAnsiTheme="minorEastAsia" w:eastAsiaTheme="minorEastAsia" w:cstheme="minorEastAsia"/>
                <w:i w:val="0"/>
                <w:iCs w:val="0"/>
                <w:color w:val="000000"/>
                <w:sz w:val="18"/>
                <w:szCs w:val="18"/>
                <w:highlight w:val="none"/>
                <w:u w:val="none"/>
              </w:rPr>
            </w:pPr>
          </w:p>
        </w:tc>
      </w:tr>
      <w:tr w14:paraId="1FF9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2DB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82E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新建双面隔墙</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9A2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1、U75天地轻钢龙骨隔墙定位、U75竖向轻钢龙骨立架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2、12mm阻燃版基层</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3、12mm石膏板</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4、2、基层类型：批腻子三遍（前两遍满批，第三遍以找平批均匀准），干燥后带灯打磨，白色乳胶漆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749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007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3F1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51D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215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18E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7448">
            <w:pPr>
              <w:shd w:val="clear"/>
              <w:rPr>
                <w:rFonts w:hint="eastAsia" w:asciiTheme="minorEastAsia" w:hAnsiTheme="minorEastAsia" w:eastAsiaTheme="minorEastAsia" w:cstheme="minorEastAsia"/>
                <w:i w:val="0"/>
                <w:iCs w:val="0"/>
                <w:color w:val="000000"/>
                <w:sz w:val="18"/>
                <w:szCs w:val="18"/>
                <w:highlight w:val="none"/>
                <w:u w:val="none"/>
              </w:rPr>
            </w:pPr>
          </w:p>
        </w:tc>
      </w:tr>
      <w:tr w14:paraId="6FDB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4210" w:type="dxa"/>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15E2C9B">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地面项目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B57E">
            <w:pPr>
              <w:shd w:val="clear"/>
              <w:rPr>
                <w:rFonts w:hint="eastAsia" w:asciiTheme="minorEastAsia" w:hAnsiTheme="minorEastAsia" w:eastAsiaTheme="minorEastAsia" w:cstheme="minorEastAsia"/>
                <w:i w:val="0"/>
                <w:iCs w:val="0"/>
                <w:color w:val="000000"/>
                <w:sz w:val="18"/>
                <w:szCs w:val="18"/>
                <w:highlight w:val="none"/>
                <w:u w:val="none"/>
              </w:rPr>
            </w:pPr>
          </w:p>
        </w:tc>
      </w:tr>
      <w:tr w14:paraId="56A5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022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D9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水泥自流平</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5EE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5mm以内自流平水泥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50D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94B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306.00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F16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9D6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0D2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AC8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42D">
            <w:pPr>
              <w:shd w:val="clear"/>
              <w:rPr>
                <w:rFonts w:hint="eastAsia" w:asciiTheme="minorEastAsia" w:hAnsiTheme="minorEastAsia" w:eastAsiaTheme="minorEastAsia" w:cstheme="minorEastAsia"/>
                <w:i w:val="0"/>
                <w:iCs w:val="0"/>
                <w:color w:val="000000"/>
                <w:sz w:val="18"/>
                <w:szCs w:val="18"/>
                <w:highlight w:val="none"/>
                <w:u w:val="none"/>
              </w:rPr>
            </w:pPr>
          </w:p>
        </w:tc>
      </w:tr>
      <w:tr w14:paraId="5519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4E4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66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石材门槛石400mm宽（玻璃门下方）</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68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Style w:val="120"/>
                <w:rFonts w:hint="eastAsia" w:asciiTheme="minorEastAsia" w:hAnsiTheme="minorEastAsia" w:eastAsiaTheme="minorEastAsia" w:cstheme="minorEastAsia"/>
                <w:sz w:val="18"/>
                <w:szCs w:val="18"/>
                <w:highlight w:val="none"/>
                <w:lang w:val="en-US" w:eastAsia="zh-CN" w:bidi="ar"/>
              </w:rPr>
              <w:t>1、灰色石门槛石</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2、30厚1:3干硬性水泥砂浆结合层</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3、包括石材切割、磨边、倒角等加工费，六面防护处理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CCB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F0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1.60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629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DAD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AA1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D15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E373">
            <w:pPr>
              <w:shd w:val="clear"/>
              <w:rPr>
                <w:rFonts w:hint="eastAsia" w:asciiTheme="minorEastAsia" w:hAnsiTheme="minorEastAsia" w:eastAsiaTheme="minorEastAsia" w:cstheme="minorEastAsia"/>
                <w:i w:val="0"/>
                <w:iCs w:val="0"/>
                <w:color w:val="000000"/>
                <w:sz w:val="18"/>
                <w:szCs w:val="18"/>
                <w:highlight w:val="none"/>
                <w:u w:val="none"/>
              </w:rPr>
            </w:pPr>
          </w:p>
        </w:tc>
      </w:tr>
      <w:tr w14:paraId="589C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610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8F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地面PVC地胶铺设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7BD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1、2mm复合PVC地胶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2、宽幅2m卷材</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3、接缝焊线拼接</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4、水性地板胶粘贴</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A24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0C5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306.00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78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12D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CF9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FD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9044">
            <w:pPr>
              <w:shd w:val="clear"/>
              <w:rPr>
                <w:rFonts w:hint="eastAsia" w:asciiTheme="minorEastAsia" w:hAnsiTheme="minorEastAsia" w:eastAsiaTheme="minorEastAsia" w:cstheme="minorEastAsia"/>
                <w:i w:val="0"/>
                <w:iCs w:val="0"/>
                <w:color w:val="000000"/>
                <w:sz w:val="18"/>
                <w:szCs w:val="18"/>
                <w:highlight w:val="none"/>
                <w:u w:val="none"/>
              </w:rPr>
            </w:pPr>
          </w:p>
        </w:tc>
      </w:tr>
      <w:tr w14:paraId="06A5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4210" w:type="dxa"/>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E4B7991">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顶面项目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DE45">
            <w:pPr>
              <w:shd w:val="clear"/>
              <w:rPr>
                <w:rFonts w:hint="eastAsia" w:asciiTheme="minorEastAsia" w:hAnsiTheme="minorEastAsia" w:eastAsiaTheme="minorEastAsia" w:cstheme="minorEastAsia"/>
                <w:i w:val="0"/>
                <w:iCs w:val="0"/>
                <w:color w:val="000000"/>
                <w:sz w:val="18"/>
                <w:szCs w:val="18"/>
                <w:highlight w:val="none"/>
                <w:u w:val="none"/>
              </w:rPr>
            </w:pPr>
          </w:p>
        </w:tc>
      </w:tr>
      <w:tr w14:paraId="0BF1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81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BB3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原始顶面拆除后修复</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588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顶部拆除后腻子修复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C3E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A61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306.00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7745">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683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04D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53F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1FA6">
            <w:pPr>
              <w:shd w:val="clear"/>
              <w:rPr>
                <w:rFonts w:hint="eastAsia" w:asciiTheme="minorEastAsia" w:hAnsiTheme="minorEastAsia" w:eastAsiaTheme="minorEastAsia" w:cstheme="minorEastAsia"/>
                <w:i w:val="0"/>
                <w:iCs w:val="0"/>
                <w:color w:val="000000"/>
                <w:sz w:val="18"/>
                <w:szCs w:val="18"/>
                <w:highlight w:val="none"/>
                <w:u w:val="none"/>
              </w:rPr>
            </w:pPr>
          </w:p>
        </w:tc>
      </w:tr>
      <w:tr w14:paraId="022E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9C8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BC8F">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顶面修复后喷涂深灰色乳胶漆</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7BD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1、基层类型：装饰抹灰面</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2、涂料品种、喷刷遍数：深灰色乳胶漆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2E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F85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497.00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4B8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ADF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CAC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6BC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FD20">
            <w:pPr>
              <w:shd w:val="clear"/>
              <w:rPr>
                <w:rFonts w:hint="eastAsia" w:asciiTheme="minorEastAsia" w:hAnsiTheme="minorEastAsia" w:eastAsiaTheme="minorEastAsia" w:cstheme="minorEastAsia"/>
                <w:i w:val="0"/>
                <w:iCs w:val="0"/>
                <w:color w:val="000000"/>
                <w:sz w:val="18"/>
                <w:szCs w:val="18"/>
                <w:highlight w:val="none"/>
                <w:u w:val="none"/>
              </w:rPr>
            </w:pPr>
          </w:p>
        </w:tc>
      </w:tr>
      <w:tr w14:paraId="5A4B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B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A2E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局部管线刷红色油漆</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106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喷涂铁锈红</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F5D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7B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BEC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9EC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585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1B8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CDC">
            <w:pPr>
              <w:shd w:val="clear"/>
              <w:rPr>
                <w:rFonts w:hint="eastAsia" w:asciiTheme="minorEastAsia" w:hAnsiTheme="minorEastAsia" w:eastAsiaTheme="minorEastAsia" w:cstheme="minorEastAsia"/>
                <w:i w:val="0"/>
                <w:iCs w:val="0"/>
                <w:color w:val="000000"/>
                <w:sz w:val="18"/>
                <w:szCs w:val="18"/>
                <w:highlight w:val="none"/>
                <w:u w:val="none"/>
              </w:rPr>
            </w:pPr>
          </w:p>
        </w:tc>
      </w:tr>
      <w:tr w14:paraId="3EE0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2D1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34E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双层石膏板屏吊顶+白色乳胶漆</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C85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1、轻钢龙骨+多层板异型开模+双层石膏板吊顶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2、基层类型：批腻子三遍（前两遍满批，第三遍以找平批均匀准），干燥后带灯打磨</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3、涂料品种、喷刷遍数：白色乳胶漆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48B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99B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11.90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A69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1C35">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F9F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54F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DBE6">
            <w:pPr>
              <w:shd w:val="clear"/>
              <w:rPr>
                <w:rFonts w:hint="eastAsia" w:asciiTheme="minorEastAsia" w:hAnsiTheme="minorEastAsia" w:eastAsiaTheme="minorEastAsia" w:cstheme="minorEastAsia"/>
                <w:i w:val="0"/>
                <w:iCs w:val="0"/>
                <w:color w:val="000000"/>
                <w:sz w:val="18"/>
                <w:szCs w:val="18"/>
                <w:highlight w:val="none"/>
                <w:u w:val="none"/>
              </w:rPr>
            </w:pPr>
          </w:p>
        </w:tc>
      </w:tr>
      <w:tr w14:paraId="0AAC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F32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5BF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双层石膏板圆拱造型吊顶+白色乳胶漆</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A1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1、轻钢龙骨+多层板异型开模+双层石膏板吊顶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2、基层类型：批腻子三遍（前两遍满批，第三遍以找平批均匀准），干燥后带灯打磨</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3、涂料品种、喷刷遍数：白色乳胶漆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C9E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987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14.70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BD8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686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E3D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953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144B">
            <w:pPr>
              <w:shd w:val="clear"/>
              <w:rPr>
                <w:rFonts w:hint="eastAsia" w:asciiTheme="minorEastAsia" w:hAnsiTheme="minorEastAsia" w:eastAsiaTheme="minorEastAsia" w:cstheme="minorEastAsia"/>
                <w:i w:val="0"/>
                <w:iCs w:val="0"/>
                <w:color w:val="000000"/>
                <w:sz w:val="18"/>
                <w:szCs w:val="18"/>
                <w:highlight w:val="none"/>
                <w:u w:val="none"/>
              </w:rPr>
            </w:pPr>
          </w:p>
        </w:tc>
      </w:tr>
      <w:tr w14:paraId="6D32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4210" w:type="dxa"/>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255382D">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墙面项目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D64E">
            <w:pPr>
              <w:shd w:val="clear"/>
              <w:rPr>
                <w:rFonts w:hint="eastAsia" w:asciiTheme="minorEastAsia" w:hAnsiTheme="minorEastAsia" w:eastAsiaTheme="minorEastAsia" w:cstheme="minorEastAsia"/>
                <w:i w:val="0"/>
                <w:iCs w:val="0"/>
                <w:color w:val="000000"/>
                <w:sz w:val="18"/>
                <w:szCs w:val="18"/>
                <w:highlight w:val="none"/>
                <w:u w:val="none"/>
              </w:rPr>
            </w:pPr>
          </w:p>
        </w:tc>
      </w:tr>
      <w:tr w14:paraId="0086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ACC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4CF">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墙面原基层铲除</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420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原墙面艺术涂料及涂料铲除</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41C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5AB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445.50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36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DE2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959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AA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0723">
            <w:pPr>
              <w:shd w:val="clear"/>
              <w:rPr>
                <w:rFonts w:hint="eastAsia" w:asciiTheme="minorEastAsia" w:hAnsiTheme="minorEastAsia" w:eastAsiaTheme="minorEastAsia" w:cstheme="minorEastAsia"/>
                <w:i w:val="0"/>
                <w:iCs w:val="0"/>
                <w:color w:val="000000"/>
                <w:sz w:val="18"/>
                <w:szCs w:val="18"/>
                <w:highlight w:val="none"/>
                <w:u w:val="none"/>
              </w:rPr>
            </w:pPr>
          </w:p>
        </w:tc>
      </w:tr>
      <w:tr w14:paraId="75EB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562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A1B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墙面乳胶漆（白色）</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C6A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1、基层类型：装饰抹灰面</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2、腻子种类：批腻子三遍</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3、涂料品种、喷刷遍数：白色乳胶漆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1E8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266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200.00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91E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A35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339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B92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EADB">
            <w:pPr>
              <w:shd w:val="clear"/>
              <w:rPr>
                <w:rFonts w:hint="eastAsia" w:asciiTheme="minorEastAsia" w:hAnsiTheme="minorEastAsia" w:eastAsiaTheme="minorEastAsia" w:cstheme="minorEastAsia"/>
                <w:i w:val="0"/>
                <w:iCs w:val="0"/>
                <w:color w:val="000000"/>
                <w:sz w:val="18"/>
                <w:szCs w:val="18"/>
                <w:highlight w:val="none"/>
                <w:u w:val="none"/>
              </w:rPr>
            </w:pPr>
          </w:p>
        </w:tc>
      </w:tr>
      <w:tr w14:paraId="066C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AA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8B9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墙面乳胶漆（彩色）</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2D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1、基层类型：装饰抹灰面</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2、腻子种类：批腻子三遍</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3、涂料品种、喷刷遍数：彩色乳胶漆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9E5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E74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295.00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6D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7EE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ED9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7CA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BC2E">
            <w:pPr>
              <w:shd w:val="clear"/>
              <w:rPr>
                <w:rFonts w:hint="eastAsia" w:asciiTheme="minorEastAsia" w:hAnsiTheme="minorEastAsia" w:eastAsiaTheme="minorEastAsia" w:cstheme="minorEastAsia"/>
                <w:i w:val="0"/>
                <w:iCs w:val="0"/>
                <w:color w:val="000000"/>
                <w:sz w:val="18"/>
                <w:szCs w:val="18"/>
                <w:highlight w:val="none"/>
                <w:u w:val="none"/>
              </w:rPr>
            </w:pPr>
          </w:p>
        </w:tc>
      </w:tr>
      <w:tr w14:paraId="6D44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9AE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25E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主背景墙白色艺术涂料基层</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914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1、基层类型：装饰抹灰面</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2、腻子种类：批腻子三遍</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3、封闭底漆一遍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8B9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D08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24.00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63F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E89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6F05">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C3B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8B6">
            <w:pPr>
              <w:shd w:val="clear"/>
              <w:rPr>
                <w:rFonts w:hint="eastAsia" w:asciiTheme="minorEastAsia" w:hAnsiTheme="minorEastAsia" w:eastAsiaTheme="minorEastAsia" w:cstheme="minorEastAsia"/>
                <w:i w:val="0"/>
                <w:iCs w:val="0"/>
                <w:color w:val="000000"/>
                <w:sz w:val="18"/>
                <w:szCs w:val="18"/>
                <w:highlight w:val="none"/>
                <w:u w:val="none"/>
              </w:rPr>
            </w:pPr>
          </w:p>
        </w:tc>
      </w:tr>
      <w:tr w14:paraId="7E38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A23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41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多功能室三面背景墙</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97B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1、基层类型：装饰抹灰面</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2、腻子种类：批腻子三遍</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3、涂料品种、喷刷遍数：彩色乳胶漆 二遍</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A6D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549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41.00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520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8E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C0B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84C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318B">
            <w:pPr>
              <w:shd w:val="clear"/>
              <w:rPr>
                <w:rFonts w:hint="eastAsia" w:asciiTheme="minorEastAsia" w:hAnsiTheme="minorEastAsia" w:eastAsiaTheme="minorEastAsia" w:cstheme="minorEastAsia"/>
                <w:i w:val="0"/>
                <w:iCs w:val="0"/>
                <w:color w:val="000000"/>
                <w:sz w:val="18"/>
                <w:szCs w:val="18"/>
                <w:highlight w:val="none"/>
                <w:u w:val="none"/>
              </w:rPr>
            </w:pPr>
          </w:p>
        </w:tc>
      </w:tr>
      <w:tr w14:paraId="3889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092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82C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人民民主中部凹凸造型</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23D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1、木龙骨、木工板框架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2、12mm阻燃版基层开模</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3、12mm石膏板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931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2A3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9.20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456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6E0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F64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96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3460">
            <w:pPr>
              <w:shd w:val="clear"/>
              <w:rPr>
                <w:rFonts w:hint="eastAsia" w:asciiTheme="minorEastAsia" w:hAnsiTheme="minorEastAsia" w:eastAsiaTheme="minorEastAsia" w:cstheme="minorEastAsia"/>
                <w:i w:val="0"/>
                <w:iCs w:val="0"/>
                <w:color w:val="000000"/>
                <w:sz w:val="18"/>
                <w:szCs w:val="18"/>
                <w:highlight w:val="none"/>
                <w:u w:val="none"/>
              </w:rPr>
            </w:pPr>
          </w:p>
        </w:tc>
      </w:tr>
      <w:tr w14:paraId="119B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9E4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5CD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笑脸墙书本造型</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79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1、木龙骨、木工板框架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2、12mm阻燃版基层开模</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3、12mm石膏板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90A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0A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443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C24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01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10F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DD2F">
            <w:pPr>
              <w:shd w:val="clear"/>
              <w:rPr>
                <w:rFonts w:hint="eastAsia" w:asciiTheme="minorEastAsia" w:hAnsiTheme="minorEastAsia" w:eastAsiaTheme="minorEastAsia" w:cstheme="minorEastAsia"/>
                <w:i w:val="0"/>
                <w:iCs w:val="0"/>
                <w:color w:val="000000"/>
                <w:sz w:val="18"/>
                <w:szCs w:val="18"/>
                <w:highlight w:val="none"/>
                <w:u w:val="none"/>
              </w:rPr>
            </w:pPr>
          </w:p>
        </w:tc>
      </w:tr>
      <w:tr w14:paraId="7446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9F3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9B3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消防栓隐形门</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EE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定制合金隐形门五金，多层板基层，石膏板面层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950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6DE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A3F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360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DA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C3E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68F1">
            <w:pPr>
              <w:shd w:val="clear"/>
              <w:rPr>
                <w:rFonts w:hint="eastAsia" w:asciiTheme="minorEastAsia" w:hAnsiTheme="minorEastAsia" w:eastAsiaTheme="minorEastAsia" w:cstheme="minorEastAsia"/>
                <w:i w:val="0"/>
                <w:iCs w:val="0"/>
                <w:color w:val="000000"/>
                <w:sz w:val="18"/>
                <w:szCs w:val="18"/>
                <w:highlight w:val="none"/>
                <w:u w:val="none"/>
              </w:rPr>
            </w:pPr>
          </w:p>
        </w:tc>
      </w:tr>
      <w:tr w14:paraId="7A77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2E1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254D">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长墙面安全门隐形门</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534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定制隐形门五金及安装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0E4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8D9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D66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485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5D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67F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5558">
            <w:pPr>
              <w:shd w:val="clear"/>
              <w:rPr>
                <w:rFonts w:hint="eastAsia" w:asciiTheme="minorEastAsia" w:hAnsiTheme="minorEastAsia" w:eastAsiaTheme="minorEastAsia" w:cstheme="minorEastAsia"/>
                <w:i w:val="0"/>
                <w:iCs w:val="0"/>
                <w:color w:val="000000"/>
                <w:sz w:val="18"/>
                <w:szCs w:val="18"/>
                <w:highlight w:val="none"/>
                <w:u w:val="none"/>
              </w:rPr>
            </w:pPr>
          </w:p>
        </w:tc>
      </w:tr>
      <w:tr w14:paraId="5623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50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379B">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长墙面内嵌电视造型墙</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61E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1、木龙骨、木工板框架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2、12mm阻燃版基层开模</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3、12mm石膏板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067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707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4DD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317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4F7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8FB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D54">
            <w:pPr>
              <w:shd w:val="clear"/>
              <w:rPr>
                <w:rFonts w:hint="eastAsia" w:asciiTheme="minorEastAsia" w:hAnsiTheme="minorEastAsia" w:eastAsiaTheme="minorEastAsia" w:cstheme="minorEastAsia"/>
                <w:i w:val="0"/>
                <w:iCs w:val="0"/>
                <w:color w:val="000000"/>
                <w:sz w:val="18"/>
                <w:szCs w:val="18"/>
                <w:highlight w:val="none"/>
                <w:u w:val="none"/>
              </w:rPr>
            </w:pPr>
          </w:p>
        </w:tc>
      </w:tr>
      <w:tr w14:paraId="5127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D02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DD3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铝合金踢脚线</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332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黑色拉丝铝合金踢脚线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F97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5D7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165.00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3FA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583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6A3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E75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2384">
            <w:pPr>
              <w:shd w:val="clear"/>
              <w:rPr>
                <w:rFonts w:hint="eastAsia" w:asciiTheme="minorEastAsia" w:hAnsiTheme="minorEastAsia" w:eastAsiaTheme="minorEastAsia" w:cstheme="minorEastAsia"/>
                <w:i w:val="0"/>
                <w:iCs w:val="0"/>
                <w:color w:val="000000"/>
                <w:sz w:val="18"/>
                <w:szCs w:val="18"/>
                <w:highlight w:val="none"/>
                <w:u w:val="none"/>
              </w:rPr>
            </w:pPr>
          </w:p>
        </w:tc>
      </w:tr>
      <w:tr w14:paraId="16B1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4210" w:type="dxa"/>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83882CC">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门窗项目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F006">
            <w:pPr>
              <w:shd w:val="clear"/>
              <w:rPr>
                <w:rFonts w:hint="eastAsia" w:asciiTheme="minorEastAsia" w:hAnsiTheme="minorEastAsia" w:eastAsiaTheme="minorEastAsia" w:cstheme="minorEastAsia"/>
                <w:i w:val="0"/>
                <w:iCs w:val="0"/>
                <w:color w:val="000000"/>
                <w:sz w:val="18"/>
                <w:szCs w:val="18"/>
                <w:highlight w:val="none"/>
                <w:u w:val="none"/>
              </w:rPr>
            </w:pPr>
          </w:p>
        </w:tc>
      </w:tr>
      <w:tr w14:paraId="0DE1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5E0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F34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主入口砸粉门头</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DE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人工加辅材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C5E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700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410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B4D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75A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FB2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DF15">
            <w:pPr>
              <w:shd w:val="clear"/>
              <w:rPr>
                <w:rFonts w:hint="eastAsia" w:asciiTheme="minorEastAsia" w:hAnsiTheme="minorEastAsia" w:eastAsiaTheme="minorEastAsia" w:cstheme="minorEastAsia"/>
                <w:i w:val="0"/>
                <w:iCs w:val="0"/>
                <w:color w:val="000000"/>
                <w:sz w:val="18"/>
                <w:szCs w:val="18"/>
                <w:highlight w:val="none"/>
                <w:u w:val="none"/>
              </w:rPr>
            </w:pPr>
          </w:p>
        </w:tc>
      </w:tr>
      <w:tr w14:paraId="6453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EAC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E9D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主入口玻璃门不锈钢套线</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8A8">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木工板基层+黑色不锈钢配套门套线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DE1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6B2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8.20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2AB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0E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472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D28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1598">
            <w:pPr>
              <w:shd w:val="clear"/>
              <w:rPr>
                <w:rFonts w:hint="eastAsia" w:asciiTheme="minorEastAsia" w:hAnsiTheme="minorEastAsia" w:eastAsiaTheme="minorEastAsia" w:cstheme="minorEastAsia"/>
                <w:i w:val="0"/>
                <w:iCs w:val="0"/>
                <w:color w:val="000000"/>
                <w:sz w:val="18"/>
                <w:szCs w:val="18"/>
                <w:highlight w:val="none"/>
                <w:u w:val="none"/>
              </w:rPr>
            </w:pPr>
          </w:p>
        </w:tc>
      </w:tr>
      <w:tr w14:paraId="57F7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BAA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148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玻璃门基层</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2B9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钢架基层+木工板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B8F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E86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7.80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75B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AB7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6E2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FAA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C424">
            <w:pPr>
              <w:shd w:val="clear"/>
              <w:rPr>
                <w:rFonts w:hint="eastAsia" w:asciiTheme="minorEastAsia" w:hAnsiTheme="minorEastAsia" w:eastAsiaTheme="minorEastAsia" w:cstheme="minorEastAsia"/>
                <w:i w:val="0"/>
                <w:iCs w:val="0"/>
                <w:color w:val="000000"/>
                <w:sz w:val="18"/>
                <w:szCs w:val="18"/>
                <w:highlight w:val="none"/>
                <w:u w:val="none"/>
              </w:rPr>
            </w:pPr>
          </w:p>
        </w:tc>
      </w:tr>
      <w:tr w14:paraId="75C8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7E0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C1F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主入口玻璃门</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F1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成品电动移门：</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钢化玻璃</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含电机，含玻璃扛楼</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（优势：自动平移，开启后宽度大，无边框和拉手，透视度较好；</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缺点：造价相较贵。）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141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樘</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FE9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2EA3">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5C2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851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9AE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052F">
            <w:pPr>
              <w:shd w:val="clear"/>
              <w:rPr>
                <w:rFonts w:hint="eastAsia" w:asciiTheme="minorEastAsia" w:hAnsiTheme="minorEastAsia" w:eastAsiaTheme="minorEastAsia" w:cstheme="minorEastAsia"/>
                <w:i w:val="0"/>
                <w:iCs w:val="0"/>
                <w:color w:val="000000"/>
                <w:sz w:val="18"/>
                <w:szCs w:val="18"/>
                <w:highlight w:val="none"/>
                <w:u w:val="none"/>
              </w:rPr>
            </w:pPr>
          </w:p>
        </w:tc>
      </w:tr>
      <w:tr w14:paraId="7879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788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EDC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下挂窗帘盒</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A1DF">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阻燃板基础，外封石膏板，刷乳胶漆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AE8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BD0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5E5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467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A01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BC2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CF6A">
            <w:pPr>
              <w:shd w:val="clear"/>
              <w:rPr>
                <w:rFonts w:hint="eastAsia" w:asciiTheme="minorEastAsia" w:hAnsiTheme="minorEastAsia" w:eastAsiaTheme="minorEastAsia" w:cstheme="minorEastAsia"/>
                <w:i w:val="0"/>
                <w:iCs w:val="0"/>
                <w:color w:val="000000"/>
                <w:sz w:val="18"/>
                <w:szCs w:val="18"/>
                <w:highlight w:val="none"/>
                <w:u w:val="none"/>
              </w:rPr>
            </w:pPr>
          </w:p>
        </w:tc>
      </w:tr>
      <w:tr w14:paraId="3E68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0D3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AB3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窗台</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29D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白色人造石L型带下挂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E79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F24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7BB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EAD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8505">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773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74AE">
            <w:pPr>
              <w:shd w:val="clear"/>
              <w:rPr>
                <w:rFonts w:hint="eastAsia" w:asciiTheme="minorEastAsia" w:hAnsiTheme="minorEastAsia" w:eastAsiaTheme="minorEastAsia" w:cstheme="minorEastAsia"/>
                <w:i w:val="0"/>
                <w:iCs w:val="0"/>
                <w:color w:val="000000"/>
                <w:sz w:val="18"/>
                <w:szCs w:val="18"/>
                <w:highlight w:val="none"/>
                <w:u w:val="none"/>
              </w:rPr>
            </w:pPr>
          </w:p>
        </w:tc>
      </w:tr>
      <w:tr w14:paraId="1496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483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9919">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卫生间门头隔墙拆除修补</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92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人工加辅材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331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05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DA3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2A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161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58F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139E">
            <w:pPr>
              <w:shd w:val="clear"/>
              <w:rPr>
                <w:rFonts w:hint="eastAsia" w:asciiTheme="minorEastAsia" w:hAnsiTheme="minorEastAsia" w:eastAsiaTheme="minorEastAsia" w:cstheme="minorEastAsia"/>
                <w:i w:val="0"/>
                <w:iCs w:val="0"/>
                <w:color w:val="000000"/>
                <w:sz w:val="18"/>
                <w:szCs w:val="18"/>
                <w:highlight w:val="none"/>
                <w:u w:val="none"/>
              </w:rPr>
            </w:pPr>
          </w:p>
        </w:tc>
      </w:tr>
      <w:tr w14:paraId="3C65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4210" w:type="dxa"/>
            <w:gridSpan w:val="9"/>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A2791B">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水电项目项目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E01C">
            <w:pPr>
              <w:shd w:val="clear"/>
              <w:rPr>
                <w:rFonts w:hint="default"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弱电柜留用</w:t>
            </w:r>
          </w:p>
        </w:tc>
      </w:tr>
      <w:tr w14:paraId="7858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44A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060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强电（电路插座、灯具开关线、设备供电）改造</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C9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1、配线形式：管内穿线</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2、JDG配管或者桥架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3、电线型号：BVR2.5/4.0mm2</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4、材质：铜芯绝缘导线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8FA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57E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306.00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3AD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5FA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DA5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349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35A6">
            <w:pPr>
              <w:shd w:val="clear"/>
              <w:rPr>
                <w:rFonts w:hint="eastAsia" w:asciiTheme="minorEastAsia" w:hAnsiTheme="minorEastAsia" w:eastAsiaTheme="minorEastAsia" w:cstheme="minorEastAsia"/>
                <w:i w:val="0"/>
                <w:iCs w:val="0"/>
                <w:color w:val="000000"/>
                <w:sz w:val="18"/>
                <w:szCs w:val="18"/>
                <w:highlight w:val="none"/>
                <w:u w:val="none"/>
              </w:rPr>
            </w:pPr>
          </w:p>
        </w:tc>
      </w:tr>
      <w:tr w14:paraId="5D32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F1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C84D">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进水改造</w:t>
            </w:r>
          </w:p>
        </w:tc>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269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PPR塑料给水管安装，DN25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E63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EA0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25.00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4C85">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1E0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3A0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D36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CD67">
            <w:pPr>
              <w:shd w:val="clear"/>
              <w:rPr>
                <w:rFonts w:hint="eastAsia" w:asciiTheme="minorEastAsia" w:hAnsiTheme="minorEastAsia" w:eastAsiaTheme="minorEastAsia" w:cstheme="minorEastAsia"/>
                <w:i w:val="0"/>
                <w:iCs w:val="0"/>
                <w:color w:val="000000"/>
                <w:sz w:val="18"/>
                <w:szCs w:val="18"/>
                <w:highlight w:val="none"/>
                <w:u w:val="none"/>
              </w:rPr>
            </w:pPr>
          </w:p>
        </w:tc>
      </w:tr>
      <w:tr w14:paraId="58B2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1A2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9634">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下水改造</w:t>
            </w:r>
          </w:p>
        </w:tc>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8D13">
            <w:pPr>
              <w:keepNext w:val="0"/>
              <w:keepLines w:val="0"/>
              <w:widowControl/>
              <w:suppressLineNumbers w:val="0"/>
              <w:shd w:val="clear"/>
              <w:jc w:val="left"/>
              <w:textAlignment w:val="center"/>
              <w:rPr>
                <w:rFonts w:hint="default"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PVC排水管（以现场实际情况为准）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01B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955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12.00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723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0CA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A64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438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AC9F">
            <w:pPr>
              <w:shd w:val="clear"/>
              <w:rPr>
                <w:rFonts w:hint="eastAsia" w:asciiTheme="minorEastAsia" w:hAnsiTheme="minorEastAsia" w:eastAsiaTheme="minorEastAsia" w:cstheme="minorEastAsia"/>
                <w:i w:val="0"/>
                <w:iCs w:val="0"/>
                <w:color w:val="000000"/>
                <w:sz w:val="18"/>
                <w:szCs w:val="18"/>
                <w:highlight w:val="none"/>
                <w:u w:val="none"/>
              </w:rPr>
            </w:pPr>
          </w:p>
        </w:tc>
      </w:tr>
      <w:tr w14:paraId="0702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932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DC6E">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弱电线路改造</w:t>
            </w:r>
          </w:p>
        </w:tc>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7B7A">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RVS-六类八芯网线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CE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点位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168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CCC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EE8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26D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A0E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C7AA">
            <w:pPr>
              <w:shd w:val="clear"/>
              <w:rPr>
                <w:rFonts w:hint="eastAsia" w:asciiTheme="minorEastAsia" w:hAnsiTheme="minorEastAsia" w:eastAsiaTheme="minorEastAsia" w:cstheme="minorEastAsia"/>
                <w:i w:val="0"/>
                <w:iCs w:val="0"/>
                <w:color w:val="000000"/>
                <w:sz w:val="18"/>
                <w:szCs w:val="18"/>
                <w:highlight w:val="none"/>
                <w:u w:val="none"/>
              </w:rPr>
            </w:pPr>
          </w:p>
        </w:tc>
      </w:tr>
      <w:tr w14:paraId="195F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E11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5993">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灯具</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ED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磁吸轨道灯（一米轨道配一个灯，12V暖白光，4000K格栅灯）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6BF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987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60.00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D86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E46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092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376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E260">
            <w:pPr>
              <w:shd w:val="clear"/>
              <w:rPr>
                <w:rFonts w:hint="eastAsia" w:asciiTheme="minorEastAsia" w:hAnsiTheme="minorEastAsia" w:eastAsiaTheme="minorEastAsia" w:cstheme="minorEastAsia"/>
                <w:i w:val="0"/>
                <w:iCs w:val="0"/>
                <w:color w:val="000000"/>
                <w:sz w:val="18"/>
                <w:szCs w:val="18"/>
                <w:highlight w:val="none"/>
                <w:u w:val="none"/>
              </w:rPr>
            </w:pPr>
          </w:p>
        </w:tc>
      </w:tr>
      <w:tr w14:paraId="565F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63E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0CB9">
            <w:pPr>
              <w:shd w:val="clear"/>
              <w:jc w:val="left"/>
              <w:rPr>
                <w:rFonts w:hint="eastAsia" w:asciiTheme="minorEastAsia" w:hAnsiTheme="minorEastAsia" w:eastAsiaTheme="minorEastAsia" w:cstheme="minorEastAsia"/>
                <w:i w:val="0"/>
                <w:iCs w:val="0"/>
                <w:color w:val="000000"/>
                <w:sz w:val="18"/>
                <w:szCs w:val="18"/>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93C">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暗装筒灯（9W  4000K  嵌入式深杯，全光谱）</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108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E36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AD4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CDE5">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F32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51D4">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946A">
            <w:pPr>
              <w:shd w:val="clear"/>
              <w:rPr>
                <w:rFonts w:hint="eastAsia" w:asciiTheme="minorEastAsia" w:hAnsiTheme="minorEastAsia" w:eastAsiaTheme="minorEastAsia" w:cstheme="minorEastAsia"/>
                <w:i w:val="0"/>
                <w:iCs w:val="0"/>
                <w:color w:val="000000"/>
                <w:sz w:val="18"/>
                <w:szCs w:val="18"/>
                <w:highlight w:val="none"/>
                <w:u w:val="none"/>
              </w:rPr>
            </w:pPr>
          </w:p>
        </w:tc>
      </w:tr>
      <w:tr w14:paraId="08E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3AC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C78E">
            <w:pPr>
              <w:shd w:val="clear"/>
              <w:jc w:val="left"/>
              <w:rPr>
                <w:rFonts w:hint="eastAsia" w:asciiTheme="minorEastAsia" w:hAnsiTheme="minorEastAsia" w:eastAsiaTheme="minorEastAsia" w:cstheme="minorEastAsia"/>
                <w:i w:val="0"/>
                <w:iCs w:val="0"/>
                <w:color w:val="000000"/>
                <w:sz w:val="18"/>
                <w:szCs w:val="18"/>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6E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工业灯（直径35CM，30WLED）</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D10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E3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17.00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CC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2AC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726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4AB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2542">
            <w:pPr>
              <w:shd w:val="clear"/>
              <w:rPr>
                <w:rFonts w:hint="eastAsia" w:asciiTheme="minorEastAsia" w:hAnsiTheme="minorEastAsia" w:eastAsiaTheme="minorEastAsia" w:cstheme="minorEastAsia"/>
                <w:i w:val="0"/>
                <w:iCs w:val="0"/>
                <w:color w:val="000000"/>
                <w:sz w:val="18"/>
                <w:szCs w:val="18"/>
                <w:highlight w:val="none"/>
                <w:u w:val="none"/>
              </w:rPr>
            </w:pPr>
          </w:p>
        </w:tc>
      </w:tr>
      <w:tr w14:paraId="7CB0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1301">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B667">
            <w:pPr>
              <w:shd w:val="clear"/>
              <w:jc w:val="left"/>
              <w:rPr>
                <w:rFonts w:hint="eastAsia" w:asciiTheme="minorEastAsia" w:hAnsiTheme="minorEastAsia" w:eastAsiaTheme="minorEastAsia" w:cstheme="minorEastAsia"/>
                <w:i w:val="0"/>
                <w:iCs w:val="0"/>
                <w:color w:val="000000"/>
                <w:sz w:val="18"/>
                <w:szCs w:val="18"/>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7411">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线性灯带（低压带变压器）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2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6F4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2.40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78CE">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5DA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32F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C53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C1CD">
            <w:pPr>
              <w:shd w:val="clear"/>
              <w:rPr>
                <w:rFonts w:hint="eastAsia" w:asciiTheme="minorEastAsia" w:hAnsiTheme="minorEastAsia" w:eastAsiaTheme="minorEastAsia" w:cstheme="minorEastAsia"/>
                <w:i w:val="0"/>
                <w:iCs w:val="0"/>
                <w:color w:val="000000"/>
                <w:sz w:val="18"/>
                <w:szCs w:val="18"/>
                <w:highlight w:val="none"/>
                <w:u w:val="none"/>
              </w:rPr>
            </w:pPr>
          </w:p>
        </w:tc>
      </w:tr>
      <w:tr w14:paraId="5898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FB2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3D10">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地插</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87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金属暗盒+铜地插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B91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F64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6.00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2F9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6B7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C04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B60A">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09B5">
            <w:pPr>
              <w:shd w:val="clear"/>
              <w:rPr>
                <w:rFonts w:hint="eastAsia" w:asciiTheme="minorEastAsia" w:hAnsiTheme="minorEastAsia" w:eastAsiaTheme="minorEastAsia" w:cstheme="minorEastAsia"/>
                <w:i w:val="0"/>
                <w:iCs w:val="0"/>
                <w:color w:val="000000"/>
                <w:sz w:val="18"/>
                <w:szCs w:val="18"/>
                <w:highlight w:val="none"/>
                <w:u w:val="none"/>
              </w:rPr>
            </w:pPr>
          </w:p>
        </w:tc>
      </w:tr>
      <w:tr w14:paraId="210A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846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311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开关面板</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9DFD">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插座及开关面板</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478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A0E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40.00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4ED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585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C39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FAF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D0B4">
            <w:pPr>
              <w:shd w:val="clear"/>
              <w:rPr>
                <w:rFonts w:hint="eastAsia" w:asciiTheme="minorEastAsia" w:hAnsiTheme="minorEastAsia" w:eastAsiaTheme="minorEastAsia" w:cstheme="minorEastAsia"/>
                <w:i w:val="0"/>
                <w:iCs w:val="0"/>
                <w:color w:val="000000"/>
                <w:sz w:val="18"/>
                <w:szCs w:val="18"/>
                <w:highlight w:val="none"/>
                <w:u w:val="none"/>
              </w:rPr>
            </w:pPr>
          </w:p>
        </w:tc>
      </w:tr>
      <w:tr w14:paraId="0C3C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D76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7AD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强电控制安装</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E32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人工加空开加辅材</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4A1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410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F8C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9A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E1CD">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9C40">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BB8F">
            <w:pPr>
              <w:shd w:val="clear"/>
              <w:rPr>
                <w:rFonts w:hint="eastAsia" w:asciiTheme="minorEastAsia" w:hAnsiTheme="minorEastAsia" w:eastAsiaTheme="minorEastAsia" w:cstheme="minorEastAsia"/>
                <w:i w:val="0"/>
                <w:iCs w:val="0"/>
                <w:color w:val="000000"/>
                <w:sz w:val="18"/>
                <w:szCs w:val="18"/>
                <w:highlight w:val="none"/>
                <w:u w:val="none"/>
              </w:rPr>
            </w:pPr>
          </w:p>
        </w:tc>
      </w:tr>
      <w:tr w14:paraId="2FEA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E3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8FAF">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弱电安装+POE路由器+POE交换机+POE录像机+硬盘</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6C0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全面支持POE供电，录像机带存储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9F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3F5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1.00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230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43D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D318">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1F36">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0033">
            <w:pPr>
              <w:shd w:val="clear"/>
              <w:rPr>
                <w:rFonts w:hint="eastAsia" w:asciiTheme="minorEastAsia" w:hAnsiTheme="minorEastAsia" w:eastAsiaTheme="minorEastAsia" w:cstheme="minorEastAsia"/>
                <w:i w:val="0"/>
                <w:iCs w:val="0"/>
                <w:color w:val="000000"/>
                <w:sz w:val="18"/>
                <w:szCs w:val="18"/>
                <w:highlight w:val="none"/>
                <w:u w:val="none"/>
              </w:rPr>
            </w:pPr>
          </w:p>
        </w:tc>
      </w:tr>
      <w:tr w14:paraId="036D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6F2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C4F5">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POE摄像头</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5F7">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POE供电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442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321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5.00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412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6107">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7D6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9F3F">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98A">
            <w:pPr>
              <w:shd w:val="clear"/>
              <w:rPr>
                <w:rFonts w:hint="eastAsia" w:asciiTheme="minorEastAsia" w:hAnsiTheme="minorEastAsia" w:eastAsiaTheme="minorEastAsia" w:cstheme="minorEastAsia"/>
                <w:i w:val="0"/>
                <w:iCs w:val="0"/>
                <w:color w:val="000000"/>
                <w:sz w:val="18"/>
                <w:szCs w:val="18"/>
                <w:highlight w:val="none"/>
                <w:u w:val="none"/>
              </w:rPr>
            </w:pPr>
          </w:p>
        </w:tc>
      </w:tr>
      <w:tr w14:paraId="2B09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92B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20E2">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POE无线AP</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E746">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POE供电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69C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056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4.00 </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6219">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A59B">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DDB2">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096C">
            <w:pPr>
              <w:shd w:val="clear"/>
              <w:jc w:val="center"/>
              <w:rPr>
                <w:rFonts w:hint="eastAsia" w:asciiTheme="minorEastAsia" w:hAnsiTheme="minorEastAsia" w:eastAsiaTheme="minorEastAsia" w:cstheme="minorEastAsia"/>
                <w:i w:val="0"/>
                <w:iCs w:val="0"/>
                <w:color w:val="00000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B54F">
            <w:pPr>
              <w:shd w:val="clear"/>
              <w:rPr>
                <w:rFonts w:hint="eastAsia" w:asciiTheme="minorEastAsia" w:hAnsiTheme="minorEastAsia" w:eastAsiaTheme="minorEastAsia" w:cstheme="minorEastAsia"/>
                <w:i w:val="0"/>
                <w:iCs w:val="0"/>
                <w:color w:val="000000"/>
                <w:sz w:val="18"/>
                <w:szCs w:val="18"/>
                <w:highlight w:val="none"/>
                <w:u w:val="none"/>
              </w:rPr>
            </w:pPr>
          </w:p>
        </w:tc>
      </w:tr>
      <w:tr w14:paraId="6A4D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D766">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60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3B9F">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以上项目合计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107F">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1ADA">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5CA">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6089">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209F">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B5C1">
            <w:pPr>
              <w:shd w:val="clear"/>
              <w:jc w:val="center"/>
              <w:rPr>
                <w:rFonts w:hint="eastAsia" w:asciiTheme="minorEastAsia" w:hAnsiTheme="minorEastAsia" w:eastAsiaTheme="minorEastAsia" w:cstheme="minorEastAsia"/>
                <w:b/>
                <w:bCs/>
                <w:i w:val="0"/>
                <w:iCs w:val="0"/>
                <w:color w:val="0070C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0093">
            <w:pPr>
              <w:shd w:val="clear"/>
              <w:rPr>
                <w:rFonts w:hint="eastAsia" w:asciiTheme="minorEastAsia" w:hAnsiTheme="minorEastAsia" w:eastAsiaTheme="minorEastAsia" w:cstheme="minorEastAsia"/>
                <w:b/>
                <w:bCs/>
                <w:i w:val="0"/>
                <w:iCs w:val="0"/>
                <w:color w:val="000000"/>
                <w:sz w:val="18"/>
                <w:szCs w:val="18"/>
                <w:highlight w:val="none"/>
                <w:u w:val="none"/>
              </w:rPr>
            </w:pPr>
          </w:p>
        </w:tc>
      </w:tr>
      <w:tr w14:paraId="4E69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C924">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6BD2">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税金</w:t>
            </w:r>
          </w:p>
        </w:tc>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3ECF">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6A3E">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0.09</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BF0F">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AA71">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89E2">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1F4E">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2734">
            <w:pPr>
              <w:shd w:val="clear"/>
              <w:jc w:val="center"/>
              <w:rPr>
                <w:rFonts w:hint="eastAsia" w:asciiTheme="minorEastAsia" w:hAnsiTheme="minorEastAsia" w:eastAsiaTheme="minorEastAsia" w:cstheme="minorEastAsia"/>
                <w:b/>
                <w:bCs/>
                <w:i w:val="0"/>
                <w:iCs w:val="0"/>
                <w:color w:val="0070C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80B1">
            <w:pPr>
              <w:shd w:val="clear"/>
              <w:rPr>
                <w:rFonts w:hint="eastAsia" w:asciiTheme="minorEastAsia" w:hAnsiTheme="minorEastAsia" w:eastAsiaTheme="minorEastAsia" w:cstheme="minorEastAsia"/>
                <w:b/>
                <w:bCs/>
                <w:i w:val="0"/>
                <w:iCs w:val="0"/>
                <w:color w:val="000000"/>
                <w:sz w:val="18"/>
                <w:szCs w:val="18"/>
                <w:highlight w:val="none"/>
                <w:u w:val="none"/>
              </w:rPr>
            </w:pPr>
          </w:p>
        </w:tc>
      </w:tr>
      <w:tr w14:paraId="43B8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48D1">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DB1D">
            <w:pPr>
              <w:keepNext w:val="0"/>
              <w:keepLines w:val="0"/>
              <w:widowControl/>
              <w:suppressLineNumbers w:val="0"/>
              <w:shd w:val="clear"/>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总合计</w:t>
            </w:r>
          </w:p>
        </w:tc>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CC9A">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586E">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475E">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F291">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8662">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32C9">
            <w:pPr>
              <w:shd w:val="clear"/>
              <w:jc w:val="center"/>
              <w:rPr>
                <w:rFonts w:hint="eastAsia" w:asciiTheme="minorEastAsia" w:hAnsiTheme="minorEastAsia" w:eastAsiaTheme="minorEastAsia" w:cstheme="minorEastAsia"/>
                <w:b/>
                <w:bCs/>
                <w:i w:val="0"/>
                <w:iCs w:val="0"/>
                <w:color w:val="000000"/>
                <w:sz w:val="18"/>
                <w:szCs w:val="18"/>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B041">
            <w:pPr>
              <w:shd w:val="clear"/>
              <w:jc w:val="center"/>
              <w:rPr>
                <w:rFonts w:hint="eastAsia" w:asciiTheme="minorEastAsia" w:hAnsiTheme="minorEastAsia" w:eastAsiaTheme="minorEastAsia" w:cstheme="minorEastAsia"/>
                <w:b/>
                <w:bCs/>
                <w:i w:val="0"/>
                <w:iCs w:val="0"/>
                <w:color w:val="0070C0"/>
                <w:sz w:val="18"/>
                <w:szCs w:val="18"/>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A99">
            <w:pPr>
              <w:shd w:val="clear"/>
              <w:rPr>
                <w:rFonts w:hint="eastAsia" w:asciiTheme="minorEastAsia" w:hAnsiTheme="minorEastAsia" w:eastAsiaTheme="minorEastAsia" w:cstheme="minorEastAsia"/>
                <w:b/>
                <w:bCs/>
                <w:i w:val="0"/>
                <w:iCs w:val="0"/>
                <w:color w:val="000000"/>
                <w:sz w:val="18"/>
                <w:szCs w:val="18"/>
                <w:highlight w:val="none"/>
                <w:u w:val="none"/>
              </w:rPr>
            </w:pPr>
          </w:p>
        </w:tc>
      </w:tr>
    </w:tbl>
    <w:p w14:paraId="4A096FC0">
      <w:pPr>
        <w:keepNext w:val="0"/>
        <w:keepLines w:val="0"/>
        <w:pageBreakBefore w:val="0"/>
        <w:shd w:val="clear"/>
        <w:wordWrap/>
        <w:topLinePunct w:val="0"/>
        <w:bidi w:val="0"/>
        <w:spacing w:line="480" w:lineRule="exact"/>
        <w:jc w:val="left"/>
        <w:rPr>
          <w:rFonts w:hint="eastAsia" w:ascii="宋体" w:hAnsi="宋体" w:eastAsia="Calibri"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注：</w:t>
      </w:r>
      <w:r>
        <w:rPr>
          <w:rFonts w:hint="eastAsia" w:ascii="宋体" w:hAnsi="宋体" w:eastAsia="Calibri" w:cs="宋体"/>
          <w:color w:val="auto"/>
          <w:kern w:val="0"/>
          <w:sz w:val="22"/>
          <w:szCs w:val="22"/>
          <w:highlight w:val="none"/>
          <w:lang w:eastAsia="zh-CN"/>
        </w:rPr>
        <w:t>1</w:t>
      </w:r>
      <w:r>
        <w:rPr>
          <w:rFonts w:hint="eastAsia" w:ascii="宋体" w:hAnsi="宋体" w:eastAsia="宋体" w:cs="宋体"/>
          <w:color w:val="auto"/>
          <w:kern w:val="0"/>
          <w:sz w:val="22"/>
          <w:szCs w:val="22"/>
          <w:highlight w:val="none"/>
          <w:lang w:eastAsia="zh-CN"/>
        </w:rPr>
        <w:t>、响应报价应包括但不限于完成该项目所有的费用</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包含垃圾清运）</w:t>
      </w:r>
      <w:r>
        <w:rPr>
          <w:rFonts w:hint="eastAsia" w:ascii="宋体" w:hAnsi="宋体" w:eastAsia="宋体" w:cs="宋体"/>
          <w:color w:val="auto"/>
          <w:kern w:val="0"/>
          <w:sz w:val="22"/>
          <w:szCs w:val="22"/>
          <w:highlight w:val="none"/>
          <w:lang w:eastAsia="zh-CN"/>
        </w:rPr>
        <w:t>及投标人认为需要的其他相关费用等；每一单项均应计算并填写分项的单价和合价及总价。投标单位未填单价、合价的项目，在实施后，招标人将不予支付，并视为该项费用已包括在其它有价款的单价或总价内。</w:t>
      </w:r>
    </w:p>
    <w:p w14:paraId="0DCA8204">
      <w:pPr>
        <w:keepNext w:val="0"/>
        <w:keepLines w:val="0"/>
        <w:pageBreakBefore w:val="0"/>
        <w:shd w:val="clear"/>
        <w:wordWrap/>
        <w:topLinePunct w:val="0"/>
        <w:bidi w:val="0"/>
        <w:spacing w:line="480" w:lineRule="exact"/>
        <w:jc w:val="left"/>
        <w:rPr>
          <w:rFonts w:hint="eastAsia" w:ascii="宋体" w:hAnsi="宋体" w:eastAsia="Calibri" w:cs="宋体"/>
          <w:color w:val="auto"/>
          <w:kern w:val="0"/>
          <w:sz w:val="22"/>
          <w:szCs w:val="22"/>
          <w:highlight w:val="none"/>
          <w:lang w:eastAsia="zh-CN"/>
        </w:rPr>
      </w:pPr>
      <w:r>
        <w:rPr>
          <w:rFonts w:hint="eastAsia" w:ascii="宋体" w:hAnsi="宋体" w:eastAsia="Calibri" w:cs="宋体"/>
          <w:color w:val="auto"/>
          <w:kern w:val="0"/>
          <w:sz w:val="22"/>
          <w:szCs w:val="22"/>
          <w:highlight w:val="none"/>
          <w:lang w:eastAsia="zh-CN"/>
        </w:rPr>
        <w:t>2</w:t>
      </w:r>
      <w:r>
        <w:rPr>
          <w:rFonts w:hint="eastAsia" w:ascii="宋体" w:hAnsi="宋体" w:eastAsia="宋体" w:cs="宋体"/>
          <w:color w:val="auto"/>
          <w:kern w:val="0"/>
          <w:sz w:val="22"/>
          <w:szCs w:val="22"/>
          <w:highlight w:val="none"/>
          <w:lang w:eastAsia="zh-CN"/>
        </w:rPr>
        <w:t>、投标供应商的任何错漏、优惠、竞争性报价不得作为减轻责任、减少服务、增加收费、降低质量的理由</w:t>
      </w:r>
      <w:r>
        <w:rPr>
          <w:rFonts w:hint="eastAsia" w:ascii="宋体" w:hAnsi="宋体" w:cs="宋体"/>
          <w:color w:val="auto"/>
          <w:kern w:val="0"/>
          <w:sz w:val="22"/>
          <w:szCs w:val="22"/>
          <w:highlight w:val="none"/>
          <w:lang w:eastAsia="zh-CN"/>
        </w:rPr>
        <w:t>。</w:t>
      </w:r>
    </w:p>
    <w:p w14:paraId="09D4CDA8">
      <w:pPr>
        <w:keepNext w:val="0"/>
        <w:keepLines w:val="0"/>
        <w:pageBreakBefore w:val="0"/>
        <w:shd w:val="clear"/>
        <w:wordWrap/>
        <w:topLinePunct w:val="0"/>
        <w:bidi w:val="0"/>
        <w:spacing w:line="480" w:lineRule="exact"/>
        <w:jc w:val="left"/>
        <w:rPr>
          <w:rFonts w:hint="eastAsia" w:ascii="宋体" w:hAnsi="宋体" w:eastAsia="Calibri" w:cs="宋体"/>
          <w:color w:val="auto"/>
          <w:kern w:val="0"/>
          <w:sz w:val="22"/>
          <w:szCs w:val="22"/>
          <w:highlight w:val="none"/>
          <w:lang w:eastAsia="zh-CN"/>
        </w:rPr>
      </w:pPr>
      <w:r>
        <w:rPr>
          <w:rFonts w:hint="eastAsia" w:ascii="宋体" w:hAnsi="宋体" w:eastAsia="Calibri" w:cs="宋体"/>
          <w:color w:val="auto"/>
          <w:kern w:val="0"/>
          <w:sz w:val="22"/>
          <w:szCs w:val="22"/>
          <w:highlight w:val="none"/>
          <w:lang w:eastAsia="zh-CN"/>
        </w:rPr>
        <w:t>3</w:t>
      </w:r>
      <w:r>
        <w:rPr>
          <w:rFonts w:hint="eastAsia" w:ascii="宋体" w:hAnsi="宋体" w:eastAsia="宋体" w:cs="宋体"/>
          <w:color w:val="auto"/>
          <w:kern w:val="0"/>
          <w:sz w:val="22"/>
          <w:szCs w:val="22"/>
          <w:highlight w:val="none"/>
          <w:lang w:eastAsia="zh-CN"/>
        </w:rPr>
        <w:t>、投标人在报价时应充分考虑政策性调整、市场风险等因素，相关费用计入投标报价。中标后发生的政策变化或市场风险所引起的费用变化一律不再调整。</w:t>
      </w:r>
    </w:p>
    <w:p w14:paraId="257689AC">
      <w:pPr>
        <w:keepNext w:val="0"/>
        <w:keepLines w:val="0"/>
        <w:pageBreakBefore w:val="0"/>
        <w:shd w:val="clear"/>
        <w:wordWrap/>
        <w:topLinePunct w:val="0"/>
        <w:bidi w:val="0"/>
        <w:spacing w:line="480" w:lineRule="exact"/>
        <w:jc w:val="left"/>
        <w:rPr>
          <w:rFonts w:hint="eastAsia" w:ascii="宋体" w:hAnsi="宋体" w:eastAsia="Calibri" w:cs="宋体"/>
          <w:b/>
          <w:bCs/>
          <w:color w:val="auto"/>
          <w:kern w:val="0"/>
          <w:sz w:val="22"/>
          <w:szCs w:val="22"/>
          <w:highlight w:val="none"/>
          <w:lang w:eastAsia="zh-CN"/>
        </w:rPr>
      </w:pPr>
      <w:r>
        <w:rPr>
          <w:rFonts w:hint="eastAsia" w:ascii="宋体" w:hAnsi="宋体" w:eastAsia="Calibri" w:cs="宋体"/>
          <w:b/>
          <w:bCs/>
          <w:color w:val="auto"/>
          <w:kern w:val="0"/>
          <w:sz w:val="22"/>
          <w:szCs w:val="22"/>
          <w:highlight w:val="none"/>
          <w:lang w:eastAsia="zh-CN"/>
        </w:rPr>
        <w:t>4</w:t>
      </w:r>
      <w:r>
        <w:rPr>
          <w:rFonts w:hint="eastAsia" w:ascii="宋体" w:hAnsi="宋体" w:eastAsia="宋体" w:cs="宋体"/>
          <w:b/>
          <w:bCs/>
          <w:color w:val="auto"/>
          <w:kern w:val="0"/>
          <w:sz w:val="22"/>
          <w:szCs w:val="22"/>
          <w:highlight w:val="none"/>
          <w:lang w:eastAsia="zh-CN"/>
        </w:rPr>
        <w:t>、经磋商后，最终</w:t>
      </w:r>
      <w:r>
        <w:rPr>
          <w:rFonts w:hint="eastAsia" w:ascii="宋体" w:hAnsi="宋体" w:eastAsia="宋体" w:cs="宋体"/>
          <w:b/>
          <w:bCs/>
          <w:color w:val="auto"/>
          <w:kern w:val="0"/>
          <w:sz w:val="22"/>
          <w:szCs w:val="22"/>
          <w:highlight w:val="none"/>
          <w:lang w:val="en-US" w:eastAsia="zh-CN"/>
        </w:rPr>
        <w:t xml:space="preserve">分项报价同比例调整（比例=（最终成交报价 - </w:t>
      </w:r>
      <w:r>
        <w:rPr>
          <w:rFonts w:hint="eastAsia" w:ascii="宋体" w:hAnsi="宋体" w:eastAsia="宋体" w:cs="宋体"/>
          <w:b/>
          <w:bCs/>
          <w:color w:val="auto"/>
          <w:kern w:val="0"/>
          <w:sz w:val="22"/>
          <w:szCs w:val="22"/>
          <w:highlight w:val="none"/>
          <w:lang w:eastAsia="zh-CN"/>
        </w:rPr>
        <w:t>首次报价）</w:t>
      </w:r>
      <w:r>
        <w:rPr>
          <w:rFonts w:hint="eastAsia" w:ascii="宋体" w:hAnsi="宋体" w:eastAsia="宋体" w:cs="宋体"/>
          <w:b/>
          <w:bCs/>
          <w:color w:val="auto"/>
          <w:kern w:val="0"/>
          <w:sz w:val="22"/>
          <w:szCs w:val="22"/>
          <w:highlight w:val="none"/>
          <w:lang w:val="en-US" w:eastAsia="zh-CN"/>
        </w:rPr>
        <w:t>/</w:t>
      </w:r>
      <w:r>
        <w:rPr>
          <w:rFonts w:hint="eastAsia" w:ascii="宋体" w:hAnsi="宋体" w:eastAsia="宋体" w:cs="宋体"/>
          <w:b/>
          <w:bCs/>
          <w:color w:val="auto"/>
          <w:kern w:val="0"/>
          <w:sz w:val="22"/>
          <w:szCs w:val="22"/>
          <w:highlight w:val="none"/>
          <w:lang w:eastAsia="zh-CN"/>
        </w:rPr>
        <w:t>首次报价</w:t>
      </w:r>
      <w:r>
        <w:rPr>
          <w:rFonts w:hint="eastAsia" w:ascii="宋体" w:hAnsi="宋体" w:eastAsia="宋体" w:cs="宋体"/>
          <w:b/>
          <w:bCs/>
          <w:color w:val="auto"/>
          <w:kern w:val="0"/>
          <w:sz w:val="22"/>
          <w:szCs w:val="22"/>
          <w:highlight w:val="none"/>
          <w:lang w:val="en-US" w:eastAsia="zh-CN"/>
        </w:rPr>
        <w:t>）</w:t>
      </w:r>
      <w:r>
        <w:rPr>
          <w:rFonts w:hint="eastAsia" w:ascii="宋体" w:hAnsi="宋体" w:eastAsia="宋体" w:cs="宋体"/>
          <w:b/>
          <w:bCs/>
          <w:color w:val="auto"/>
          <w:kern w:val="0"/>
          <w:sz w:val="22"/>
          <w:szCs w:val="22"/>
          <w:highlight w:val="none"/>
          <w:lang w:eastAsia="zh-CN"/>
        </w:rPr>
        <w:t>。</w:t>
      </w:r>
    </w:p>
    <w:p w14:paraId="09157226">
      <w:pPr>
        <w:shd w:val="clear"/>
        <w:spacing w:line="360" w:lineRule="auto"/>
        <w:jc w:val="center"/>
        <w:outlineLvl w:val="0"/>
        <w:rPr>
          <w:rFonts w:hint="eastAsia" w:ascii="宋体" w:hAnsi="宋体" w:eastAsia="宋体" w:cs="Times New Roman"/>
          <w:b/>
          <w:color w:val="000000"/>
          <w:kern w:val="0"/>
          <w:sz w:val="32"/>
          <w:szCs w:val="32"/>
          <w:highlight w:val="none"/>
        </w:rPr>
      </w:pPr>
    </w:p>
    <w:p w14:paraId="28DBDB3D">
      <w:pPr>
        <w:shd w:val="clear"/>
        <w:spacing w:line="360" w:lineRule="auto"/>
        <w:jc w:val="center"/>
        <w:outlineLvl w:val="0"/>
        <w:rPr>
          <w:rFonts w:hint="eastAsia" w:ascii="宋体" w:hAnsi="宋体" w:eastAsia="宋体" w:cs="Times New Roman"/>
          <w:b/>
          <w:color w:val="000000"/>
          <w:kern w:val="0"/>
          <w:sz w:val="32"/>
          <w:szCs w:val="32"/>
          <w:highlight w:val="none"/>
        </w:rPr>
      </w:pPr>
    </w:p>
    <w:p w14:paraId="3F24C48C">
      <w:pPr>
        <w:widowControl/>
        <w:shd w:val="clear"/>
        <w:spacing w:line="360" w:lineRule="auto"/>
        <w:jc w:val="right"/>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供应商名称:</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kern w:val="0"/>
          <w:szCs w:val="21"/>
          <w:highlight w:val="none"/>
        </w:rPr>
        <w:t>加盖</w:t>
      </w:r>
      <w:r>
        <w:rPr>
          <w:rFonts w:hint="eastAsia" w:ascii="宋体" w:hAnsi="宋体" w:eastAsia="宋体" w:cs="宋体"/>
          <w:color w:val="000000"/>
          <w:kern w:val="0"/>
          <w:szCs w:val="21"/>
          <w:highlight w:val="none"/>
          <w:lang w:val="en-US" w:eastAsia="zh-CN"/>
        </w:rPr>
        <w:t>单位</w:t>
      </w:r>
      <w:r>
        <w:rPr>
          <w:rFonts w:hint="eastAsia" w:ascii="宋体" w:hAnsi="宋体" w:eastAsia="宋体" w:cs="宋体"/>
          <w:color w:val="000000"/>
          <w:kern w:val="0"/>
          <w:szCs w:val="21"/>
          <w:highlight w:val="none"/>
        </w:rPr>
        <w:t>公</w:t>
      </w:r>
      <w:r>
        <w:rPr>
          <w:rFonts w:hint="eastAsia" w:ascii="宋体" w:hAnsi="宋体" w:eastAsia="宋体" w:cs="宋体"/>
          <w:color w:val="000000"/>
          <w:kern w:val="0"/>
          <w:szCs w:val="21"/>
          <w:highlight w:val="none"/>
          <w:lang w:val="zh-CN"/>
        </w:rPr>
        <w:t>章）</w:t>
      </w:r>
    </w:p>
    <w:p w14:paraId="0902B5AA">
      <w:pPr>
        <w:widowControl/>
        <w:shd w:val="clear"/>
        <w:spacing w:line="360" w:lineRule="auto"/>
        <w:ind w:firstLine="9450" w:firstLineChars="4500"/>
        <w:jc w:val="left"/>
        <w:rPr>
          <w:rFonts w:ascii="宋体" w:hAnsi="宋体" w:eastAsia="宋体" w:cs="宋体"/>
          <w:color w:val="000000"/>
          <w:kern w:val="0"/>
          <w:szCs w:val="21"/>
          <w:highlight w:val="none"/>
          <w:lang w:val="zh-CN"/>
        </w:rPr>
      </w:pPr>
      <w:r>
        <w:rPr>
          <w:rFonts w:ascii="宋体" w:hAnsi="宋体" w:eastAsia="宋体" w:cs="宋体"/>
          <w:color w:val="000000"/>
          <w:kern w:val="0"/>
          <w:szCs w:val="21"/>
          <w:highlight w:val="none"/>
          <w:lang w:val="zh-CN"/>
        </w:rPr>
        <w:t>日</w:t>
      </w:r>
      <w:r>
        <w:rPr>
          <w:rFonts w:hint="eastAsia" w:ascii="宋体" w:hAnsi="宋体" w:eastAsia="宋体" w:cs="宋体"/>
          <w:color w:val="000000"/>
          <w:kern w:val="0"/>
          <w:szCs w:val="21"/>
          <w:highlight w:val="none"/>
          <w:lang w:val="en-US" w:eastAsia="zh-CN"/>
        </w:rPr>
        <w:t xml:space="preserve">     </w:t>
      </w:r>
      <w:r>
        <w:rPr>
          <w:rFonts w:ascii="宋体" w:hAnsi="宋体" w:eastAsia="宋体" w:cs="宋体"/>
          <w:color w:val="000000"/>
          <w:kern w:val="0"/>
          <w:szCs w:val="21"/>
          <w:highlight w:val="none"/>
          <w:lang w:val="zh-CN"/>
        </w:rPr>
        <w:t>期：</w:t>
      </w:r>
    </w:p>
    <w:p w14:paraId="34CC84CA">
      <w:pPr>
        <w:widowControl/>
        <w:shd w:val="clear"/>
        <w:adjustRightInd w:val="0"/>
        <w:spacing w:line="360" w:lineRule="auto"/>
        <w:jc w:val="left"/>
        <w:rPr>
          <w:rFonts w:hint="eastAsia" w:ascii="宋体" w:cs="宋体"/>
          <w:color w:val="000000" w:themeColor="text1"/>
          <w:kern w:val="0"/>
          <w:szCs w:val="21"/>
          <w:highlight w:val="none"/>
          <w:lang w:val="zh-CN"/>
          <w14:textFill>
            <w14:solidFill>
              <w14:schemeClr w14:val="tx1"/>
            </w14:solidFill>
          </w14:textFill>
        </w:rPr>
      </w:pPr>
    </w:p>
    <w:p w14:paraId="4AB10603">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04409010">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3BE369AA">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1E596CE9">
      <w:pPr>
        <w:widowControl/>
        <w:shd w:val="clear"/>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sectPr>
          <w:pgSz w:w="16838" w:h="11906" w:orient="landscape"/>
          <w:pgMar w:top="1080" w:right="1440" w:bottom="1080" w:left="1440" w:header="851" w:footer="992" w:gutter="0"/>
          <w:pgNumType w:fmt="decimal"/>
          <w:cols w:space="425" w:num="1"/>
          <w:docGrid w:type="lines" w:linePitch="312" w:charSpace="0"/>
        </w:sect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br w:type="page"/>
      </w:r>
      <w:bookmarkStart w:id="693" w:name="_Toc31045"/>
      <w:bookmarkStart w:id="694" w:name="_Toc17633_WPSOffice_Level1"/>
      <w:bookmarkStart w:id="695" w:name="_Toc31761_WPSOffice_Level1"/>
      <w:bookmarkStart w:id="696" w:name="_Toc29137"/>
    </w:p>
    <w:p w14:paraId="67B3EB6D">
      <w:pPr>
        <w:widowControl/>
        <w:shd w:val="clear"/>
        <w:spacing w:line="360" w:lineRule="auto"/>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附件五、商务条款偏离表格式</w:t>
      </w:r>
      <w:bookmarkEnd w:id="693"/>
      <w:bookmarkEnd w:id="694"/>
      <w:bookmarkEnd w:id="695"/>
      <w:bookmarkEnd w:id="696"/>
    </w:p>
    <w:p w14:paraId="7C5BAB0E">
      <w:pPr>
        <w:widowControl/>
        <w:shd w:val="clear"/>
        <w:spacing w:line="360" w:lineRule="auto"/>
        <w:ind w:firstLine="42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63BE3EF4">
      <w:pPr>
        <w:widowControl/>
        <w:shd w:val="clear"/>
        <w:spacing w:line="360" w:lineRule="auto"/>
        <w:ind w:left="42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697" w:name="_Toc6231_WPSOffice_Level2"/>
      <w:bookmarkStart w:id="698" w:name="_Toc30765_WPSOffice_Level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商务及技术条款偏离表</w:t>
      </w:r>
      <w:bookmarkEnd w:id="697"/>
      <w:bookmarkEnd w:id="698"/>
    </w:p>
    <w:p w14:paraId="1482150C">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bl>
      <w:tblPr>
        <w:tblStyle w:val="30"/>
        <w:tblW w:w="8632" w:type="dxa"/>
        <w:jc w:val="center"/>
        <w:tblLayout w:type="fixed"/>
        <w:tblCellMar>
          <w:top w:w="0" w:type="dxa"/>
          <w:left w:w="0" w:type="dxa"/>
          <w:bottom w:w="0" w:type="dxa"/>
          <w:right w:w="0" w:type="dxa"/>
        </w:tblCellMar>
      </w:tblPr>
      <w:tblGrid>
        <w:gridCol w:w="560"/>
        <w:gridCol w:w="1567"/>
        <w:gridCol w:w="2409"/>
        <w:gridCol w:w="830"/>
        <w:gridCol w:w="1759"/>
        <w:gridCol w:w="1507"/>
      </w:tblGrid>
      <w:tr w14:paraId="0370E8F5">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5D6E313E">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p>
        </w:tc>
        <w:tc>
          <w:tcPr>
            <w:tcW w:w="3266" w:type="dxa"/>
            <w:gridSpan w:val="2"/>
            <w:tcBorders>
              <w:top w:val="nil"/>
              <w:left w:val="nil"/>
              <w:bottom w:val="single" w:color="auto" w:sz="8" w:space="0"/>
              <w:right w:val="nil"/>
            </w:tcBorders>
            <w:tcMar>
              <w:top w:w="0" w:type="dxa"/>
              <w:left w:w="10" w:type="dxa"/>
              <w:bottom w:w="0" w:type="dxa"/>
              <w:right w:w="10" w:type="dxa"/>
            </w:tcMar>
            <w:vAlign w:val="center"/>
          </w:tcPr>
          <w:p w14:paraId="67640717">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项目编号：         </w:t>
            </w:r>
          </w:p>
        </w:tc>
      </w:tr>
      <w:tr w14:paraId="3626FAA0">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A5AC30">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序号</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7CB7537">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磋商文件条目号</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35CBFA2">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磋商文件要求的商务、技术条款</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8307F0C">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投标响应</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786B6FD">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偏离</w:t>
            </w:r>
          </w:p>
        </w:tc>
      </w:tr>
      <w:tr w14:paraId="74B44746">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069A97D">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097E053">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85A7AC">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B7E2AF5">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242B8B2">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782042D4">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31F34A0">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F32C30E">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71BD42">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B7690A1">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E972983">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70A50121">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B0C0B8">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FDE1680">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6122D88">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26965CB">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072D6BE">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0AB3B10B">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529321F">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8748EBB">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A9449A4">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5D9EAC7">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41091BD">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37D5F257">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A9B9B02">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E96756B">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D234D9B">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E6514F1">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6E12F06">
            <w:pPr>
              <w:widowControl/>
              <w:shd w:val="clear"/>
              <w:spacing w:line="360" w:lineRule="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390F7705">
        <w:tblPrEx>
          <w:tblCellMar>
            <w:top w:w="0" w:type="dxa"/>
            <w:left w:w="0" w:type="dxa"/>
            <w:bottom w:w="0" w:type="dxa"/>
            <w:right w:w="0" w:type="dxa"/>
          </w:tblCellMar>
        </w:tblPrEx>
        <w:trPr>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5BEC282">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6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238B2F8">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409"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436A158">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2589"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D89138">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c>
          <w:tcPr>
            <w:tcW w:w="1507"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548130C">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tc>
      </w:tr>
      <w:tr w14:paraId="4F298E5A">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2155D57B">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67" w:type="dxa"/>
            <w:tcBorders>
              <w:top w:val="nil"/>
              <w:left w:val="nil"/>
              <w:bottom w:val="nil"/>
              <w:right w:val="nil"/>
            </w:tcBorders>
            <w:vAlign w:val="center"/>
          </w:tcPr>
          <w:p w14:paraId="74EBA147">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2409" w:type="dxa"/>
            <w:tcBorders>
              <w:top w:val="nil"/>
              <w:left w:val="nil"/>
              <w:bottom w:val="nil"/>
              <w:right w:val="nil"/>
            </w:tcBorders>
            <w:vAlign w:val="center"/>
          </w:tcPr>
          <w:p w14:paraId="0E971995">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30" w:type="dxa"/>
            <w:tcBorders>
              <w:top w:val="nil"/>
              <w:left w:val="nil"/>
              <w:bottom w:val="nil"/>
              <w:right w:val="nil"/>
            </w:tcBorders>
            <w:vAlign w:val="center"/>
          </w:tcPr>
          <w:p w14:paraId="55BD151C">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759" w:type="dxa"/>
            <w:tcBorders>
              <w:top w:val="nil"/>
              <w:left w:val="nil"/>
              <w:bottom w:val="nil"/>
              <w:right w:val="nil"/>
            </w:tcBorders>
            <w:vAlign w:val="center"/>
          </w:tcPr>
          <w:p w14:paraId="51DFC4EA">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07" w:type="dxa"/>
            <w:tcBorders>
              <w:top w:val="nil"/>
              <w:left w:val="nil"/>
              <w:bottom w:val="nil"/>
              <w:right w:val="nil"/>
            </w:tcBorders>
            <w:vAlign w:val="center"/>
          </w:tcPr>
          <w:p w14:paraId="10921483">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0846E558">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说明：如果行数不够，请自行增加。</w:t>
      </w:r>
    </w:p>
    <w:p w14:paraId="22D921DC">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（盖章）</w:t>
      </w:r>
    </w:p>
    <w:p w14:paraId="7EF4B3EF">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0CA7CED0">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w:t>
      </w:r>
    </w:p>
    <w:p w14:paraId="1CB5C620">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047E74D3">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14:paraId="025462CD">
      <w:pPr>
        <w:widowControl/>
        <w:shd w:val="clear"/>
        <w:spacing w:line="360" w:lineRule="auto"/>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7A5F0306">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99" w:name="_Toc23813_WPSOffice_Level1"/>
      <w:bookmarkStart w:id="700" w:name="_Toc10573"/>
      <w:bookmarkStart w:id="701" w:name="_Toc29885"/>
      <w:bookmarkStart w:id="702" w:name="_Toc1285_WPSOffice_Level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附件六、拟参与本项目服务人员一览表</w:t>
      </w:r>
      <w:bookmarkEnd w:id="699"/>
      <w:bookmarkEnd w:id="700"/>
      <w:bookmarkEnd w:id="701"/>
      <w:bookmarkEnd w:id="702"/>
    </w:p>
    <w:p w14:paraId="2A03F1FF">
      <w:pPr>
        <w:widowControl/>
        <w:shd w:val="clear"/>
        <w:adjustRightInd w:val="0"/>
        <w:spacing w:line="460" w:lineRule="atLeast"/>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746794EE">
      <w:pPr>
        <w:widowControl/>
        <w:shd w:val="clear"/>
        <w:adjustRightInd w:val="0"/>
        <w:ind w:firstLine="422"/>
        <w:jc w:val="center"/>
        <w:outlineLvl w:val="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703" w:name="_Toc8244"/>
      <w:bookmarkStart w:id="704" w:name="_Toc26261_WPSOffice_Level1"/>
      <w:bookmarkStart w:id="705" w:name="_Toc22488_WPSOffice_Level1"/>
      <w:bookmarkStart w:id="706" w:name="_Toc14415"/>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拟参与本项目服务人员一览表</w:t>
      </w:r>
      <w:bookmarkEnd w:id="703"/>
      <w:bookmarkEnd w:id="704"/>
      <w:bookmarkEnd w:id="705"/>
      <w:bookmarkEnd w:id="706"/>
    </w:p>
    <w:p w14:paraId="44C971BC">
      <w:pPr>
        <w:widowControl/>
        <w:shd w:val="clear"/>
        <w:adjustRightInd w:val="0"/>
        <w:ind w:firstLine="422"/>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7F1D1C20">
      <w:pPr>
        <w:widowControl/>
        <w:shd w:val="clear"/>
        <w:adjustRightIn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                                 项目编号：</w:t>
      </w:r>
    </w:p>
    <w:tbl>
      <w:tblPr>
        <w:tblStyle w:val="30"/>
        <w:tblW w:w="9781" w:type="dxa"/>
        <w:tblInd w:w="108" w:type="dxa"/>
        <w:tblLayout w:type="fixed"/>
        <w:tblCellMar>
          <w:top w:w="0" w:type="dxa"/>
          <w:left w:w="108" w:type="dxa"/>
          <w:bottom w:w="0" w:type="dxa"/>
          <w:right w:w="108" w:type="dxa"/>
        </w:tblCellMar>
      </w:tblPr>
      <w:tblGrid>
        <w:gridCol w:w="709"/>
        <w:gridCol w:w="896"/>
        <w:gridCol w:w="663"/>
        <w:gridCol w:w="709"/>
        <w:gridCol w:w="1134"/>
        <w:gridCol w:w="1026"/>
        <w:gridCol w:w="925"/>
        <w:gridCol w:w="994"/>
        <w:gridCol w:w="1166"/>
        <w:gridCol w:w="850"/>
        <w:gridCol w:w="709"/>
      </w:tblGrid>
      <w:tr w14:paraId="1A6913B7">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1ACCE7DF">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序号</w:t>
            </w:r>
          </w:p>
        </w:tc>
        <w:tc>
          <w:tcPr>
            <w:tcW w:w="896" w:type="dxa"/>
            <w:tcBorders>
              <w:top w:val="single" w:color="000000" w:sz="4" w:space="0"/>
              <w:left w:val="nil"/>
              <w:bottom w:val="single" w:color="000000" w:sz="4" w:space="0"/>
              <w:right w:val="single" w:color="000000" w:sz="4" w:space="0"/>
            </w:tcBorders>
            <w:vAlign w:val="center"/>
          </w:tcPr>
          <w:p w14:paraId="41E80D62">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姓名</w:t>
            </w:r>
          </w:p>
        </w:tc>
        <w:tc>
          <w:tcPr>
            <w:tcW w:w="663" w:type="dxa"/>
            <w:tcBorders>
              <w:top w:val="single" w:color="000000" w:sz="4" w:space="0"/>
              <w:left w:val="nil"/>
              <w:bottom w:val="single" w:color="000000" w:sz="4" w:space="0"/>
              <w:right w:val="single" w:color="000000" w:sz="4" w:space="0"/>
            </w:tcBorders>
            <w:vAlign w:val="center"/>
          </w:tcPr>
          <w:p w14:paraId="7E564B5B">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性别</w:t>
            </w:r>
          </w:p>
        </w:tc>
        <w:tc>
          <w:tcPr>
            <w:tcW w:w="709" w:type="dxa"/>
            <w:tcBorders>
              <w:top w:val="single" w:color="000000" w:sz="4" w:space="0"/>
              <w:left w:val="nil"/>
              <w:bottom w:val="single" w:color="000000" w:sz="4" w:space="0"/>
              <w:right w:val="single" w:color="000000" w:sz="4" w:space="0"/>
            </w:tcBorders>
            <w:vAlign w:val="center"/>
          </w:tcPr>
          <w:p w14:paraId="4F95CB55">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年龄</w:t>
            </w:r>
          </w:p>
        </w:tc>
        <w:tc>
          <w:tcPr>
            <w:tcW w:w="1134" w:type="dxa"/>
            <w:tcBorders>
              <w:top w:val="single" w:color="000000" w:sz="4" w:space="0"/>
              <w:left w:val="nil"/>
              <w:bottom w:val="single" w:color="000000" w:sz="4" w:space="0"/>
              <w:right w:val="single" w:color="000000" w:sz="4" w:space="0"/>
            </w:tcBorders>
            <w:vAlign w:val="center"/>
          </w:tcPr>
          <w:p w14:paraId="40A65DA9">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专业</w:t>
            </w:r>
          </w:p>
        </w:tc>
        <w:tc>
          <w:tcPr>
            <w:tcW w:w="1026" w:type="dxa"/>
            <w:tcBorders>
              <w:top w:val="single" w:color="000000" w:sz="4" w:space="0"/>
              <w:left w:val="nil"/>
              <w:bottom w:val="single" w:color="000000" w:sz="4" w:space="0"/>
              <w:right w:val="single" w:color="000000" w:sz="4" w:space="0"/>
            </w:tcBorders>
            <w:vAlign w:val="center"/>
          </w:tcPr>
          <w:p w14:paraId="4963F7CF">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学历</w:t>
            </w:r>
          </w:p>
        </w:tc>
        <w:tc>
          <w:tcPr>
            <w:tcW w:w="925" w:type="dxa"/>
            <w:tcBorders>
              <w:top w:val="single" w:color="000000" w:sz="4" w:space="0"/>
              <w:left w:val="nil"/>
              <w:bottom w:val="single" w:color="000000" w:sz="4" w:space="0"/>
              <w:right w:val="single" w:color="000000" w:sz="4" w:space="0"/>
            </w:tcBorders>
            <w:vAlign w:val="center"/>
          </w:tcPr>
          <w:p w14:paraId="1B268AC1">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执业</w:t>
            </w:r>
          </w:p>
          <w:p w14:paraId="30A5DDB0">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资格</w:t>
            </w:r>
          </w:p>
        </w:tc>
        <w:tc>
          <w:tcPr>
            <w:tcW w:w="994" w:type="dxa"/>
            <w:tcBorders>
              <w:top w:val="single" w:color="000000" w:sz="4" w:space="0"/>
              <w:left w:val="nil"/>
              <w:bottom w:val="single" w:color="000000" w:sz="4" w:space="0"/>
              <w:right w:val="single" w:color="000000" w:sz="4" w:space="0"/>
            </w:tcBorders>
            <w:vAlign w:val="center"/>
          </w:tcPr>
          <w:p w14:paraId="66367F07">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证书号</w:t>
            </w:r>
          </w:p>
        </w:tc>
        <w:tc>
          <w:tcPr>
            <w:tcW w:w="1166" w:type="dxa"/>
            <w:tcBorders>
              <w:top w:val="single" w:color="000000" w:sz="4" w:space="0"/>
              <w:left w:val="nil"/>
              <w:bottom w:val="single" w:color="000000" w:sz="4" w:space="0"/>
              <w:right w:val="single" w:color="000000" w:sz="4" w:space="0"/>
            </w:tcBorders>
            <w:vAlign w:val="center"/>
          </w:tcPr>
          <w:p w14:paraId="53B4246E">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技术职称</w:t>
            </w:r>
          </w:p>
        </w:tc>
        <w:tc>
          <w:tcPr>
            <w:tcW w:w="850" w:type="dxa"/>
            <w:tcBorders>
              <w:top w:val="single" w:color="000000" w:sz="4" w:space="0"/>
              <w:left w:val="nil"/>
              <w:bottom w:val="single" w:color="000000" w:sz="4" w:space="0"/>
              <w:right w:val="single" w:color="000000" w:sz="4" w:space="0"/>
            </w:tcBorders>
            <w:vAlign w:val="center"/>
          </w:tcPr>
          <w:p w14:paraId="40E67796">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相关工作年限</w:t>
            </w:r>
          </w:p>
        </w:tc>
        <w:tc>
          <w:tcPr>
            <w:tcW w:w="709" w:type="dxa"/>
            <w:tcBorders>
              <w:top w:val="single" w:color="000000" w:sz="4" w:space="0"/>
              <w:left w:val="nil"/>
              <w:bottom w:val="single" w:color="000000" w:sz="4" w:space="0"/>
              <w:right w:val="single" w:color="000000" w:sz="4" w:space="0"/>
            </w:tcBorders>
            <w:vAlign w:val="center"/>
          </w:tcPr>
          <w:p w14:paraId="64869759">
            <w:pPr>
              <w:widowControl/>
              <w:shd w:val="clear"/>
              <w:adjustRightInd w:val="0"/>
              <w:jc w:val="cente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备注</w:t>
            </w:r>
          </w:p>
        </w:tc>
      </w:tr>
      <w:tr w14:paraId="31BD58E7">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4C2619EA">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6CBCF5F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28348A9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02B509D7">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764727D0">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22CF44F0">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049464A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4BE66715">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610D799A">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5CFEF52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3C0F4B0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957345B">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4808733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0738713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1B5B8D2B">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224363B8">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0E554D0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7979E94D">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54F8194C">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4CEF48DB">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12CAE80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0D333E2A">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01E495E5">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A5D37A8">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6180497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118E88B6">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241F6FFB">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6517BD0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5ABCD03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188D0A81">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75D8AAA3">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14171CC3">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55B72DE5">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6F6887D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183091FC">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E6E1E64">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052CE9F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2718A2F1">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772FB4D7">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7C398C45">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46C7301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628DF53E">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7B063F8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39BF6553">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7E9EE7CE">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312FD50E">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130D407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CA1A0E3">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6190DF6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0DD69297">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7BC2521D">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68D529A1">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54AAF28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3D264A15">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00F4CDD7">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4A896C26">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1506CCBE">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40E9594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53130B3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C582AF0">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7FA5D38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17B071DB">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670C9E9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6A2E1F36">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06705893">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1F02BFD8">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47867D0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0D77AB9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42FFB513">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66D26A3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3142021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4DF7CAE">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6D74248F">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1BAB66F5">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199972CA">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2ED56230">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4B2484C2">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5305DE97">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23393813">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6528F5FC">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6F71B084">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778DAE56">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11661926">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1F9C9B31">
        <w:tblPrEx>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vAlign w:val="center"/>
          </w:tcPr>
          <w:p w14:paraId="5CBEE9B0">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96" w:type="dxa"/>
            <w:tcBorders>
              <w:top w:val="single" w:color="000000" w:sz="4" w:space="0"/>
              <w:left w:val="nil"/>
              <w:bottom w:val="single" w:color="000000" w:sz="4" w:space="0"/>
              <w:right w:val="single" w:color="000000" w:sz="4" w:space="0"/>
            </w:tcBorders>
            <w:vAlign w:val="center"/>
          </w:tcPr>
          <w:p w14:paraId="2317F3E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63" w:type="dxa"/>
            <w:tcBorders>
              <w:top w:val="single" w:color="000000" w:sz="4" w:space="0"/>
              <w:left w:val="nil"/>
              <w:bottom w:val="single" w:color="000000" w:sz="4" w:space="0"/>
              <w:right w:val="single" w:color="000000" w:sz="4" w:space="0"/>
            </w:tcBorders>
            <w:vAlign w:val="center"/>
          </w:tcPr>
          <w:p w14:paraId="68F4E57E">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1615074A">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vAlign w:val="center"/>
          </w:tcPr>
          <w:p w14:paraId="3FC566AB">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26" w:type="dxa"/>
            <w:tcBorders>
              <w:top w:val="single" w:color="000000" w:sz="4" w:space="0"/>
              <w:left w:val="nil"/>
              <w:bottom w:val="single" w:color="000000" w:sz="4" w:space="0"/>
              <w:right w:val="single" w:color="000000" w:sz="4" w:space="0"/>
            </w:tcBorders>
            <w:vAlign w:val="center"/>
          </w:tcPr>
          <w:p w14:paraId="13007E39">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25" w:type="dxa"/>
            <w:tcBorders>
              <w:top w:val="single" w:color="000000" w:sz="4" w:space="0"/>
              <w:left w:val="nil"/>
              <w:bottom w:val="single" w:color="000000" w:sz="4" w:space="0"/>
              <w:right w:val="single" w:color="000000" w:sz="4" w:space="0"/>
            </w:tcBorders>
            <w:vAlign w:val="center"/>
          </w:tcPr>
          <w:p w14:paraId="14F70ADB">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4" w:type="dxa"/>
            <w:tcBorders>
              <w:top w:val="single" w:color="000000" w:sz="4" w:space="0"/>
              <w:left w:val="nil"/>
              <w:bottom w:val="single" w:color="000000" w:sz="4" w:space="0"/>
              <w:right w:val="single" w:color="000000" w:sz="4" w:space="0"/>
            </w:tcBorders>
            <w:vAlign w:val="center"/>
          </w:tcPr>
          <w:p w14:paraId="6468253C">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66" w:type="dxa"/>
            <w:tcBorders>
              <w:top w:val="single" w:color="000000" w:sz="4" w:space="0"/>
              <w:left w:val="nil"/>
              <w:bottom w:val="single" w:color="000000" w:sz="4" w:space="0"/>
              <w:right w:val="single" w:color="000000" w:sz="4" w:space="0"/>
            </w:tcBorders>
            <w:vAlign w:val="center"/>
          </w:tcPr>
          <w:p w14:paraId="0A69590C">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50" w:type="dxa"/>
            <w:tcBorders>
              <w:top w:val="single" w:color="000000" w:sz="4" w:space="0"/>
              <w:left w:val="nil"/>
              <w:bottom w:val="single" w:color="000000" w:sz="4" w:space="0"/>
              <w:right w:val="single" w:color="000000" w:sz="4" w:space="0"/>
            </w:tcBorders>
            <w:vAlign w:val="center"/>
          </w:tcPr>
          <w:p w14:paraId="0689EA91">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14:paraId="73F881E8">
            <w:pPr>
              <w:widowControl/>
              <w:shd w:val="clear"/>
              <w:adjustRightIn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55FA6EA8">
      <w:pPr>
        <w:widowControl/>
        <w:shd w:val="clear"/>
        <w:adjustRightIn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0374044B">
      <w:pPr>
        <w:widowControl/>
        <w:shd w:val="clear"/>
        <w:adjustRightIn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供应商名称：（章）</w:t>
      </w:r>
    </w:p>
    <w:p w14:paraId="14D55BE2">
      <w:pPr>
        <w:widowControl/>
        <w:shd w:val="clear"/>
        <w:adjustRightIn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p w14:paraId="5832AE23">
      <w:pPr>
        <w:widowControl/>
        <w:shd w:val="clear"/>
        <w:adjustRightInd w:val="0"/>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说明：</w:t>
      </w:r>
    </w:p>
    <w:p w14:paraId="2B4F6808">
      <w:pPr>
        <w:widowControl/>
        <w:shd w:val="clear"/>
        <w:adjustRightInd w:val="0"/>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1、“备注”栏，可填写该人员擅长的工程（或工作）种类；</w:t>
      </w:r>
    </w:p>
    <w:p w14:paraId="2056C34A">
      <w:pPr>
        <w:widowControl/>
        <w:shd w:val="clear"/>
        <w:adjustRightInd w:val="0"/>
        <w:ind w:firstLine="42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2、请同时提供以上人员的相关专业、职称或执业资格等证明材料。</w:t>
      </w:r>
    </w:p>
    <w:p w14:paraId="3B8EB331">
      <w:pPr>
        <w:shd w:val="clea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6C7D3950">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07" w:name="_Toc21338"/>
      <w:bookmarkStart w:id="708" w:name="_Toc5906"/>
      <w:bookmarkStart w:id="709" w:name="_Toc4428_WPSOffice_Level2"/>
      <w:bookmarkStart w:id="710" w:name="_Toc15509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附件七、 供应商类似业绩情况表</w:t>
      </w:r>
      <w:bookmarkEnd w:id="707"/>
      <w:bookmarkEnd w:id="708"/>
      <w:bookmarkEnd w:id="709"/>
      <w:bookmarkEnd w:id="710"/>
    </w:p>
    <w:p w14:paraId="1B0C9C17">
      <w:pPr>
        <w:widowControl/>
        <w:shd w:val="clear"/>
        <w:adjustRightInd w:val="0"/>
        <w:spacing w:line="360" w:lineRule="auto"/>
        <w:ind w:firstLine="422"/>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4DCCD2BB">
      <w:pPr>
        <w:widowControl/>
        <w:shd w:val="clear"/>
        <w:adjustRightInd w:val="0"/>
        <w:spacing w:line="360" w:lineRule="auto"/>
        <w:ind w:firstLine="422"/>
        <w:jc w:val="center"/>
        <w:outlineLvl w:val="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711" w:name="_Toc19231"/>
      <w:bookmarkStart w:id="712" w:name="_Toc694"/>
      <w:bookmarkStart w:id="713" w:name="_Toc27313_WPSOffice_Level1"/>
      <w:bookmarkStart w:id="714" w:name="_Toc5840_WPSOffice_Level1"/>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供应商近年类似业绩情况表</w:t>
      </w:r>
      <w:bookmarkEnd w:id="711"/>
      <w:bookmarkEnd w:id="712"/>
      <w:bookmarkEnd w:id="713"/>
      <w:bookmarkEnd w:id="714"/>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 xml:space="preserve"> </w:t>
      </w:r>
    </w:p>
    <w:tbl>
      <w:tblPr>
        <w:tblStyle w:val="30"/>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5B6D121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5BD288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vAlign w:val="center"/>
          </w:tcPr>
          <w:p w14:paraId="04C784C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vAlign w:val="center"/>
          </w:tcPr>
          <w:p w14:paraId="753E7F31">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vAlign w:val="center"/>
          </w:tcPr>
          <w:p w14:paraId="79A26904">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w:t>
            </w:r>
          </w:p>
          <w:p w14:paraId="66A3C625">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规模</w:t>
            </w:r>
          </w:p>
        </w:tc>
        <w:tc>
          <w:tcPr>
            <w:tcW w:w="1034" w:type="dxa"/>
            <w:tcBorders>
              <w:top w:val="single" w:color="000000" w:sz="4" w:space="0"/>
              <w:left w:val="nil"/>
              <w:bottom w:val="single" w:color="000000" w:sz="4" w:space="0"/>
              <w:right w:val="single" w:color="000000" w:sz="4" w:space="0"/>
            </w:tcBorders>
            <w:vAlign w:val="center"/>
          </w:tcPr>
          <w:p w14:paraId="33F577D9">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获奖</w:t>
            </w:r>
          </w:p>
          <w:p w14:paraId="6B0383B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情况</w:t>
            </w:r>
          </w:p>
        </w:tc>
        <w:tc>
          <w:tcPr>
            <w:tcW w:w="1517" w:type="dxa"/>
            <w:tcBorders>
              <w:top w:val="single" w:color="000000" w:sz="4" w:space="0"/>
              <w:left w:val="nil"/>
              <w:bottom w:val="single" w:color="000000" w:sz="4" w:space="0"/>
              <w:right w:val="single" w:color="000000" w:sz="4" w:space="0"/>
            </w:tcBorders>
          </w:tcPr>
          <w:p w14:paraId="00E0F30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签约及服务</w:t>
            </w:r>
          </w:p>
          <w:p w14:paraId="50D8FF08">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tcPr>
          <w:p w14:paraId="2FBCB06C">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tcPr>
          <w:p w14:paraId="74C8EE5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备注</w:t>
            </w:r>
          </w:p>
        </w:tc>
      </w:tr>
      <w:tr w14:paraId="799B151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25AFD82">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77BC03D8">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02EC6857">
            <w:pPr>
              <w:widowControl/>
              <w:shd w:val="clear"/>
              <w:spacing w:line="400" w:lineRule="atLeast"/>
              <w:ind w:firstLine="42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426B872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322DC4AF">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20DF374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2E597AFC">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39CFF29C">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7331E0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D8461E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6AACB94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7F4BC063">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182084A3">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328D1FA2">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6B03491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817DCE1">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4681A8BC">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79B7C2C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F138AF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2BC72E54">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1349051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7354FC26">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1E5A31DF">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0537F96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4F68940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A03AAA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33A60FA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9B75589">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29592025">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5B32E7D5">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4AF4BFA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2A694B6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247D7652">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C30F676">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D6C026D">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530539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4B33D7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6B4A59E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1E687C1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296D519A">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61E0533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75E54FC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93172B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90B650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0A16BF8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A04177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3A05B009">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073F27C2">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1CE4F2D4">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16446F15">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5A6637B8">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1E74657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72643A2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4B9B9AC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BF9403">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419E005F">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658108B6">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223823E8">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5EC64370">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7715F674">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209CA705">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34C02D6E">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14:paraId="643D23D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8E42AD">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tcPr>
          <w:p w14:paraId="0BA0B40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tcPr>
          <w:p w14:paraId="2F272777">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tcPr>
          <w:p w14:paraId="0C21DF8B">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034" w:type="dxa"/>
            <w:tcBorders>
              <w:top w:val="single" w:color="000000" w:sz="4" w:space="0"/>
              <w:left w:val="nil"/>
              <w:bottom w:val="single" w:color="000000" w:sz="4" w:space="0"/>
              <w:right w:val="single" w:color="000000" w:sz="4" w:space="0"/>
            </w:tcBorders>
          </w:tcPr>
          <w:p w14:paraId="0A898CC6">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tcPr>
          <w:p w14:paraId="59EA4106">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0ACD6CC2">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tcPr>
          <w:p w14:paraId="05D1FF55">
            <w:pPr>
              <w:widowControl/>
              <w:shd w:val="clear"/>
              <w:spacing w:line="400" w:lineRule="atLeast"/>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bl>
    <w:p w14:paraId="1894BF48">
      <w:pPr>
        <w:widowControl/>
        <w:shd w:val="clear"/>
        <w:adjustRightInd w:val="0"/>
        <w:spacing w:line="360" w:lineRule="auto"/>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p>
    <w:p w14:paraId="1D7AEE45">
      <w:pPr>
        <w:widowControl/>
        <w:shd w:val="clear"/>
        <w:adjustRightInd w:val="0"/>
        <w:spacing w:line="360" w:lineRule="auto"/>
        <w:ind w:firstLine="422"/>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说明：请供应商根据本格式要求如实填写业绩情况表，并附业绩合同复印件与获奖证明。</w:t>
      </w:r>
    </w:p>
    <w:p w14:paraId="1013A0FD">
      <w:pPr>
        <w:shd w:val="clear"/>
        <w:spacing w:line="360" w:lineRule="auto"/>
        <w:ind w:firstLine="422"/>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14:paraId="5C13CE2B">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D933AA">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D9FFE1C">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E47408">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441420">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C4D276">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CAD39C">
      <w:pPr>
        <w:pStyle w:val="13"/>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24B9E0">
      <w:pPr>
        <w:shd w:val="clea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72FB94AC">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15" w:name="_Toc8940"/>
      <w:bookmarkStart w:id="716" w:name="_Toc30558_WPSOffice_Level2"/>
      <w:bookmarkStart w:id="717" w:name="_Toc7658"/>
      <w:bookmarkStart w:id="718" w:name="_Toc11665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附件八：</w:t>
      </w:r>
      <w:bookmarkEnd w:id="715"/>
      <w:bookmarkEnd w:id="716"/>
      <w:bookmarkEnd w:id="717"/>
      <w:bookmarkEnd w:id="718"/>
    </w:p>
    <w:p w14:paraId="38838392">
      <w:pPr>
        <w:shd w:val="clear"/>
        <w:spacing w:line="480" w:lineRule="exact"/>
        <w:ind w:firstLine="422"/>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bookmarkStart w:id="719" w:name="_Toc23259_WPSOffice_Level1"/>
      <w:bookmarkStart w:id="720" w:name="_Toc14285_WPSOffice_Level1"/>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中小企业声明函</w:t>
      </w:r>
      <w:bookmarkEnd w:id="719"/>
      <w:bookmarkEnd w:id="720"/>
    </w:p>
    <w:p w14:paraId="285B3FE6">
      <w:pPr>
        <w:shd w:val="clear"/>
        <w:autoSpaceDE w:val="0"/>
        <w:autoSpaceDN w:val="0"/>
        <w:adjustRightInd w:val="0"/>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721" w:name="OLE_LINK14"/>
      <w:bookmarkStart w:id="722" w:name="OLE_LINK13"/>
      <w:bookmarkStart w:id="723" w:name="_Toc13947_WPSOffice_Level1"/>
      <w:bookmarkStart w:id="724" w:name="_Toc28713_WPSOffice_Level1"/>
      <w:r>
        <w:rPr>
          <w:rFonts w:hint="eastAsia" w:ascii="宋体" w:hAnsi="宋体" w:cs="宋体"/>
          <w:color w:val="000000" w:themeColor="text1"/>
          <w:szCs w:val="21"/>
          <w:highlight w:val="none"/>
          <w14:textFill>
            <w14:solidFill>
              <w14:schemeClr w14:val="tx1"/>
            </w14:solidFill>
          </w14:textFill>
        </w:rPr>
        <w:t>本公司（联合体）郑重声明，根据《政府采购促进中小企业发展管理办法》（财库﹝</w:t>
      </w:r>
      <w:r>
        <w:rPr>
          <w:rFonts w:hint="eastAsia" w:ascii="宋体" w:hAnsi="宋体" w:cs="Calibri"/>
          <w:color w:val="000000" w:themeColor="text1"/>
          <w:szCs w:val="21"/>
          <w:highlight w:val="none"/>
          <w14:textFill>
            <w14:solidFill>
              <w14:schemeClr w14:val="tx1"/>
            </w14:solidFill>
          </w14:textFill>
        </w:rPr>
        <w:t>2020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Calibri"/>
          <w:color w:val="000000" w:themeColor="text1"/>
          <w:szCs w:val="21"/>
          <w:highlight w:val="none"/>
          <w14:textFill>
            <w14:solidFill>
              <w14:schemeClr w14:val="tx1"/>
            </w14:solidFill>
          </w14:textFill>
        </w:rPr>
        <w:t xml:space="preserve">46 </w:t>
      </w:r>
      <w:r>
        <w:rPr>
          <w:rFonts w:hint="eastAsia" w:ascii="宋体" w:hAnsi="宋体" w:cs="宋体"/>
          <w:color w:val="000000" w:themeColor="text1"/>
          <w:szCs w:val="21"/>
          <w:highlight w:val="none"/>
          <w14:textFill>
            <w14:solidFill>
              <w14:schemeClr w14:val="tx1"/>
            </w14:solidFill>
          </w14:textFill>
        </w:rPr>
        <w:t>号）的规定，本公司（联合体）参加</w:t>
      </w:r>
      <w:r>
        <w:rPr>
          <w:rFonts w:hint="eastAsia" w:ascii="宋体" w:hAnsi="宋体" w:cs="宋体"/>
          <w:color w:val="000000" w:themeColor="text1"/>
          <w:szCs w:val="21"/>
          <w:highlight w:val="none"/>
          <w:u w:val="single"/>
          <w14:textFill>
            <w14:solidFill>
              <w14:schemeClr w14:val="tx1"/>
            </w14:solidFill>
          </w14:textFill>
        </w:rPr>
        <w:t>（单位名称）</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采购活动，工程的施工单位全部为符合政策要求的中小企业（或者：服务 全部由符合政策要求的中小企业承接）。相关企业（含联合体中的中小企业、签订分包意向协议的中小企业）的具体情况如下：</w:t>
      </w:r>
    </w:p>
    <w:p w14:paraId="4FAF1573">
      <w:pPr>
        <w:shd w:val="clear"/>
        <w:autoSpaceDE w:val="0"/>
        <w:autoSpaceDN w:val="0"/>
        <w:adjustRightInd w:val="0"/>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Calibri"/>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（采购文件中明确的所属行业）</w:t>
      </w:r>
      <w:r>
        <w:rPr>
          <w:rFonts w:hint="eastAsia" w:ascii="宋体" w:hAnsi="宋体" w:cs="宋体"/>
          <w:color w:val="000000" w:themeColor="text1"/>
          <w:szCs w:val="21"/>
          <w:highlight w:val="none"/>
          <w14:textFill>
            <w14:solidFill>
              <w14:schemeClr w14:val="tx1"/>
            </w14:solidFill>
          </w14:textFill>
        </w:rPr>
        <w:t>； 承建（承接）企业为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w:t>
      </w:r>
    </w:p>
    <w:p w14:paraId="0AD6ADC7">
      <w:pPr>
        <w:shd w:val="clear"/>
        <w:autoSpaceDE w:val="0"/>
        <w:autoSpaceDN w:val="0"/>
        <w:adjustRightInd w:val="0"/>
        <w:spacing w:line="4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业人员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Calibri"/>
          <w:color w:val="000000" w:themeColor="text1"/>
          <w:szCs w:val="21"/>
          <w:highlight w:val="none"/>
          <w:vertAlign w:val="superscript"/>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（中型企业、 小型企业、微型企业）</w:t>
      </w:r>
      <w:r>
        <w:rPr>
          <w:rFonts w:hint="eastAsia" w:ascii="宋体" w:hAnsi="宋体" w:cs="宋体"/>
          <w:color w:val="000000" w:themeColor="text1"/>
          <w:szCs w:val="21"/>
          <w:highlight w:val="none"/>
          <w14:textFill>
            <w14:solidFill>
              <w14:schemeClr w14:val="tx1"/>
            </w14:solidFill>
          </w14:textFill>
        </w:rPr>
        <w:t>；</w:t>
      </w:r>
    </w:p>
    <w:p w14:paraId="68D56C54">
      <w:pPr>
        <w:shd w:val="clear"/>
        <w:autoSpaceDE w:val="0"/>
        <w:autoSpaceDN w:val="0"/>
        <w:adjustRightInd w:val="0"/>
        <w:spacing w:line="480" w:lineRule="exact"/>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5EA9C5D4">
      <w:pPr>
        <w:shd w:val="clear"/>
        <w:autoSpaceDE w:val="0"/>
        <w:autoSpaceDN w:val="0"/>
        <w:adjustRightInd w:val="0"/>
        <w:spacing w:line="480" w:lineRule="exact"/>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 形。</w:t>
      </w:r>
    </w:p>
    <w:p w14:paraId="321744C3">
      <w:pPr>
        <w:shd w:val="clear"/>
        <w:autoSpaceDE w:val="0"/>
        <w:autoSpaceDN w:val="0"/>
        <w:adjustRightInd w:val="0"/>
        <w:spacing w:line="4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本企业对上述声明内容的真实性负责。如有虚假，将依法承担相应责任。</w:t>
      </w:r>
    </w:p>
    <w:p w14:paraId="41B5B226">
      <w:pPr>
        <w:shd w:val="clear"/>
        <w:autoSpaceDE w:val="0"/>
        <w:autoSpaceDN w:val="0"/>
        <w:adjustRightInd w:val="0"/>
        <w:spacing w:line="480" w:lineRule="exact"/>
        <w:ind w:right="42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企业名称（盖章）：</w:t>
      </w:r>
    </w:p>
    <w:p w14:paraId="72803651">
      <w:pPr>
        <w:shd w:val="clear"/>
        <w:autoSpaceDE w:val="0"/>
        <w:autoSpaceDN w:val="0"/>
        <w:adjustRightInd w:val="0"/>
        <w:spacing w:line="480" w:lineRule="exact"/>
        <w:ind w:right="840" w:firstLine="7560" w:firstLineChars="36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p>
    <w:p w14:paraId="3BB0AB73">
      <w:pPr>
        <w:pStyle w:val="113"/>
        <w:shd w:val="clear"/>
        <w:spacing w:line="480" w:lineRule="exact"/>
        <w:ind w:firstLine="42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hint="eastAsia" w:cs="Calibri"/>
          <w:color w:val="000000" w:themeColor="text1"/>
          <w:sz w:val="21"/>
          <w:szCs w:val="21"/>
          <w:highlight w:val="none"/>
          <w14:textFill>
            <w14:solidFill>
              <w14:schemeClr w14:val="tx1"/>
            </w14:solidFill>
          </w14:textFill>
        </w:rPr>
        <w:t xml:space="preserve">【1】 </w:t>
      </w:r>
      <w:r>
        <w:rPr>
          <w:rFonts w:hint="eastAsia"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03AE3585">
      <w:pPr>
        <w:pStyle w:val="113"/>
        <w:shd w:val="clear"/>
        <w:spacing w:line="480" w:lineRule="exact"/>
        <w:ind w:firstLine="840" w:firstLineChars="400"/>
        <w:rPr>
          <w:rFonts w:hint="eastAsia" w:cs="宋体"/>
          <w:b/>
          <w:bCs/>
          <w:color w:val="000000" w:themeColor="text1"/>
          <w:sz w:val="21"/>
          <w:szCs w:val="21"/>
          <w:highlight w:val="none"/>
          <w14:textFill>
            <w14:solidFill>
              <w14:schemeClr w14:val="tx1"/>
            </w14:solidFill>
          </w14:textFill>
        </w:rPr>
      </w:pPr>
      <w:r>
        <w:rPr>
          <w:rFonts w:hint="eastAsia" w:cs="Calibri"/>
          <w:color w:val="000000" w:themeColor="text1"/>
          <w:sz w:val="21"/>
          <w:szCs w:val="21"/>
          <w:highlight w:val="none"/>
          <w14:textFill>
            <w14:solidFill>
              <w14:schemeClr w14:val="tx1"/>
            </w14:solidFill>
          </w14:textFill>
        </w:rPr>
        <w:t>【2】</w:t>
      </w:r>
      <w:r>
        <w:rPr>
          <w:rFonts w:hint="eastAsia" w:cs="宋体"/>
          <w:bCs/>
          <w:color w:val="000000" w:themeColor="text1"/>
          <w:sz w:val="21"/>
          <w:szCs w:val="21"/>
          <w:highlight w:val="none"/>
          <w14:textFill>
            <w14:solidFill>
              <w14:schemeClr w14:val="tx1"/>
            </w14:solidFill>
          </w14:textFill>
        </w:rPr>
        <w:t>采购标的对应的中小企业划分标准所属行业：</w:t>
      </w:r>
      <w:r>
        <w:rPr>
          <w:rFonts w:hint="eastAsia" w:cs="宋体"/>
          <w:bCs/>
          <w:color w:val="000000" w:themeColor="text1"/>
          <w:sz w:val="21"/>
          <w:szCs w:val="21"/>
          <w:highlight w:val="none"/>
          <w:lang w:val="en-US" w:eastAsia="zh-CN"/>
          <w14:textFill>
            <w14:solidFill>
              <w14:schemeClr w14:val="tx1"/>
            </w14:solidFill>
          </w14:textFill>
        </w:rPr>
        <w:t>工程</w:t>
      </w:r>
      <w:r>
        <w:rPr>
          <w:rFonts w:hint="eastAsia" w:cs="宋体"/>
          <w:bCs/>
          <w:color w:val="000000" w:themeColor="text1"/>
          <w:sz w:val="21"/>
          <w:szCs w:val="21"/>
          <w:highlight w:val="none"/>
          <w14:textFill>
            <w14:solidFill>
              <w14:schemeClr w14:val="tx1"/>
            </w14:solidFill>
          </w14:textFill>
        </w:rPr>
        <w:t>。</w:t>
      </w:r>
    </w:p>
    <w:p w14:paraId="4D47E185">
      <w:pPr>
        <w:shd w:val="clear"/>
        <w:snapToGrid w:val="0"/>
        <w:spacing w:line="480" w:lineRule="exact"/>
        <w:ind w:firstLine="422"/>
        <w:jc w:val="center"/>
        <w:rPr>
          <w:rFonts w:hint="eastAsia" w:ascii="宋体" w:hAnsi="宋体" w:cs="宋体"/>
          <w:b/>
          <w:bCs/>
          <w:color w:val="000000" w:themeColor="text1"/>
          <w:szCs w:val="21"/>
          <w:highlight w:val="none"/>
          <w14:textFill>
            <w14:solidFill>
              <w14:schemeClr w14:val="tx1"/>
            </w14:solidFill>
          </w14:textFill>
        </w:rPr>
      </w:pPr>
    </w:p>
    <w:bookmarkEnd w:id="721"/>
    <w:bookmarkEnd w:id="722"/>
    <w:bookmarkEnd w:id="723"/>
    <w:bookmarkEnd w:id="724"/>
    <w:p w14:paraId="59A3799D">
      <w:pPr>
        <w:shd w:val="clea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14:paraId="3B02EE1E">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25" w:name="_Toc15284_WPSOffice_Level2"/>
      <w:bookmarkStart w:id="726" w:name="_Toc4039_WPSOffice_Level2"/>
      <w:bookmarkStart w:id="727" w:name="_Toc20700"/>
      <w:bookmarkStart w:id="728" w:name="_Toc138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附件九、无重大违法记录声明格式</w:t>
      </w:r>
      <w:bookmarkEnd w:id="725"/>
      <w:bookmarkEnd w:id="726"/>
      <w:bookmarkEnd w:id="727"/>
      <w:bookmarkEnd w:id="728"/>
    </w:p>
    <w:p w14:paraId="7A75D63A">
      <w:pPr>
        <w:shd w:val="clear"/>
        <w:spacing w:line="240" w:lineRule="atLeas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15A86D67">
      <w:pPr>
        <w:shd w:val="clear"/>
        <w:spacing w:line="240" w:lineRule="atLeas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729" w:name="_Toc23289_WPSOffice_Level2"/>
      <w:bookmarkStart w:id="730" w:name="_Toc28258_WPSOffice_Level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无重大违法记录声明</w:t>
      </w:r>
      <w:bookmarkEnd w:id="729"/>
      <w:bookmarkEnd w:id="730"/>
    </w:p>
    <w:p w14:paraId="7979C57B">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4F9A014F">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（采购人）：</w:t>
      </w:r>
    </w:p>
    <w:p w14:paraId="623116D4">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1045A8C5">
      <w:pPr>
        <w:shd w:val="clea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我单位（供应商名称）郑重声明：</w:t>
      </w:r>
    </w:p>
    <w:p w14:paraId="5B685AAB">
      <w:pPr>
        <w:shd w:val="clea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参加政府采购活动前3年内在经营活动中（在下划线上如实填写：有或没有）重大违法记录。</w:t>
      </w:r>
    </w:p>
    <w:p w14:paraId="4D6B2870">
      <w:pPr>
        <w:shd w:val="clear"/>
        <w:spacing w:line="360" w:lineRule="auto"/>
        <w:ind w:firstLine="315" w:firstLineChars="1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22FB341F">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1A0B3E2A">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3C5C8DE0">
      <w:pPr>
        <w:shd w:val="clear"/>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声明人：（公章）</w:t>
      </w:r>
    </w:p>
    <w:p w14:paraId="45BBA231">
      <w:pPr>
        <w:shd w:val="clear"/>
        <w:autoSpaceDE w:val="0"/>
        <w:autoSpaceDN w:val="0"/>
        <w:adjustRightInd w:val="0"/>
        <w:spacing w:line="360" w:lineRule="auto"/>
        <w:jc w:val="right"/>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w:t>
      </w:r>
    </w:p>
    <w:p w14:paraId="4A4A0725">
      <w:pPr>
        <w:pStyle w:val="13"/>
        <w:shd w:val="clear"/>
        <w:jc w:val="right"/>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1500EC03">
      <w:pPr>
        <w:pStyle w:val="13"/>
        <w:shd w:val="clea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5F6AF333">
      <w:pPr>
        <w:pStyle w:val="13"/>
        <w:shd w:val="clea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2500C9A4">
      <w:pPr>
        <w:shd w:val="clea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br w:type="page"/>
      </w:r>
    </w:p>
    <w:p w14:paraId="2A445173">
      <w:pPr>
        <w:pStyle w:val="13"/>
        <w:shd w:val="clea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19F57D73">
      <w:pPr>
        <w:pStyle w:val="13"/>
        <w:shd w:val="clea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p>
    <w:p w14:paraId="79DA61FE">
      <w:pPr>
        <w:widowControl/>
        <w:shd w:val="clear"/>
        <w:spacing w:line="360" w:lineRule="auto"/>
        <w:ind w:firstLine="422"/>
        <w:jc w:val="left"/>
        <w:outlineLvl w:val="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bookmarkStart w:id="731" w:name="_Toc17629"/>
      <w:bookmarkStart w:id="732" w:name="_Toc13170"/>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附件十、具备履行合同所必需的设备和专业技术能力的声明格式</w:t>
      </w:r>
      <w:bookmarkEnd w:id="731"/>
      <w:bookmarkEnd w:id="732"/>
    </w:p>
    <w:p w14:paraId="49EE3679">
      <w:pPr>
        <w:shd w:val="clear"/>
        <w:spacing w:line="460" w:lineRule="exact"/>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52AC9AB2">
      <w:pPr>
        <w:shd w:val="clear"/>
        <w:spacing w:line="460" w:lineRule="exact"/>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我单位</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（供应商名称）郑重声明：</w:t>
      </w:r>
    </w:p>
    <w:p w14:paraId="42B7773B">
      <w:pPr>
        <w:shd w:val="clear"/>
        <w:spacing w:line="460" w:lineRule="exact"/>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我公司具备履行本项采购合同所必需的设备和专业技术能力，为履行本项采购合同我单位具备如下主要设备和主要专业技术能力：</w:t>
      </w:r>
    </w:p>
    <w:p w14:paraId="1365E0BD">
      <w:pPr>
        <w:shd w:val="clear"/>
        <w:spacing w:line="460" w:lineRule="exact"/>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主要设备有：</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如有 )</w:t>
      </w:r>
    </w:p>
    <w:p w14:paraId="466B5F05">
      <w:pPr>
        <w:shd w:val="clear"/>
        <w:spacing w:line="460" w:lineRule="exact"/>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主要专业技术能力有：</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如有 )</w:t>
      </w:r>
    </w:p>
    <w:p w14:paraId="20290AAD">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618B49BD">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3798CF06">
      <w:pPr>
        <w:shd w:val="clear"/>
        <w:spacing w:line="360" w:lineRule="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声明人（盖章）： </w:t>
      </w:r>
    </w:p>
    <w:p w14:paraId="7C4ADA37">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日  期：______年___月___日</w:t>
      </w:r>
    </w:p>
    <w:p w14:paraId="5EA2634B">
      <w:pPr>
        <w:shd w:val="clea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16C82311">
      <w:pPr>
        <w:shd w:val="clear"/>
        <w:autoSpaceDE w:val="0"/>
        <w:autoSpaceDN w:val="0"/>
        <w:adjustRightInd w:val="0"/>
        <w:spacing w:line="360" w:lineRule="auto"/>
        <w:ind w:firstLine="422"/>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14:paraId="16F60F75">
      <w:pPr>
        <w:shd w:val="clear"/>
        <w:autoSpaceDE w:val="0"/>
        <w:autoSpaceDN w:val="0"/>
        <w:adjustRightInd w:val="0"/>
        <w:spacing w:line="360" w:lineRule="auto"/>
        <w:ind w:firstLine="422"/>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14:paraId="78BBAB88">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33" w:name="_Toc24875"/>
      <w:bookmarkStart w:id="734" w:name="_Toc291"/>
      <w:bookmarkStart w:id="735" w:name="_Toc6484_WPSOffice_Level2"/>
      <w:bookmarkStart w:id="736" w:name="_Toc1023_WPSOffice_Level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附件十一、资格证明文件</w:t>
      </w:r>
      <w:bookmarkEnd w:id="733"/>
      <w:bookmarkEnd w:id="734"/>
      <w:bookmarkEnd w:id="735"/>
      <w:bookmarkEnd w:id="736"/>
    </w:p>
    <w:p w14:paraId="52B06ACE">
      <w:pPr>
        <w:shd w:val="clear"/>
        <w:outlineLvl w:val="0"/>
        <w:rPr>
          <w:rFonts w:hint="eastAsia" w:eastAsiaTheme="minorEastAsia"/>
          <w:color w:val="000000" w:themeColor="text1"/>
          <w:szCs w:val="21"/>
          <w:highlight w:val="none"/>
          <w14:textFill>
            <w14:solidFill>
              <w14:schemeClr w14:val="tx1"/>
            </w14:solidFill>
          </w14:textFill>
        </w:rPr>
      </w:pPr>
      <w:bookmarkStart w:id="737" w:name="_Toc18304"/>
      <w:bookmarkStart w:id="738" w:name="_Toc179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满足招标文件资格要求</w:t>
      </w:r>
      <w:bookmarkEnd w:id="737"/>
      <w:bookmarkEnd w:id="738"/>
    </w:p>
    <w:p w14:paraId="54FE37FA">
      <w:pPr>
        <w:shd w:val="clear"/>
        <w:autoSpaceDE w:val="0"/>
        <w:autoSpaceDN w:val="0"/>
        <w:adjustRightInd w:val="0"/>
        <w:spacing w:line="360" w:lineRule="auto"/>
        <w:ind w:firstLine="422"/>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pPr>
    </w:p>
    <w:p w14:paraId="37B6552D">
      <w:pPr>
        <w:shd w:val="clear"/>
        <w:autoSpaceDE w:val="0"/>
        <w:autoSpaceDN w:val="0"/>
        <w:adjustRightInd w:val="0"/>
        <w:spacing w:line="360" w:lineRule="auto"/>
        <w:ind w:firstLine="422"/>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pPr>
    </w:p>
    <w:p w14:paraId="473FE65C">
      <w:pPr>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39" w:name="_Toc29706_WPSOffice_Level2"/>
      <w:bookmarkStart w:id="740" w:name="_Toc1355"/>
      <w:bookmarkStart w:id="741" w:name="_Toc24114_WPSOffice_Level2"/>
      <w:bookmarkStart w:id="742" w:name="_Toc1387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14:paraId="0B05FA3C">
      <w:pPr>
        <w:pStyle w:val="4"/>
        <w:shd w:val="clear"/>
        <w:ind w:firstLine="422"/>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2"/>
          <w:sz w:val="21"/>
          <w:szCs w:val="21"/>
          <w:highlight w:val="none"/>
          <w:lang w:val="en-US" w:eastAsia="zh-CN" w:bidi="ar-SA"/>
          <w14:textFill>
            <w14:solidFill>
              <w14:schemeClr w14:val="tx1"/>
            </w14:solidFill>
          </w14:textFill>
        </w:rPr>
        <w:t>附件十二、承诺书</w:t>
      </w:r>
    </w:p>
    <w:p w14:paraId="3FFC9CCE">
      <w:pPr>
        <w:shd w:val="clear"/>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承诺书</w:t>
      </w:r>
    </w:p>
    <w:p w14:paraId="7E8B6A8F">
      <w:pPr>
        <w:shd w:val="clear"/>
        <w:spacing w:line="480" w:lineRule="exact"/>
        <w:ind w:left="210" w:hanging="210" w:hangingChars="1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致：（招标人）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为了确保工程项目的顺利进行，保证工程质量达到国家及行业标准，同时确保工程按时完成，我公司郑重承诺如下：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一、工程质量承诺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1.我方将严格按照国家及地方相关法律法规、行业标准和规范进行施工，确保工程质量符合项目及行业要求；</w:t>
      </w:r>
    </w:p>
    <w:p w14:paraId="73EF3016">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我方将选用符合国家标准的优质材料，确保材料质量合格，不使用假冒伪劣产品；</w:t>
      </w:r>
    </w:p>
    <w:p w14:paraId="54EF42F1">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3.我方将建立健全质量管理体系，对施工过程中的每个环节进行严格把控，确保工程质量达到预期目标；</w:t>
      </w:r>
    </w:p>
    <w:p w14:paraId="7DABFFF3">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4.我方将对施工人员进行专业技能培训，提高施工人员的综合素质，确保施工质量；</w:t>
      </w:r>
    </w:p>
    <w:p w14:paraId="02344D61">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5.我方将积极配合采购方进行质量验收，对验收不合格的工程部位进行整改，直至合格。</w:t>
      </w:r>
    </w:p>
    <w:p w14:paraId="40583FC0">
      <w:pPr>
        <w:numPr>
          <w:ilvl w:val="0"/>
          <w:numId w:val="0"/>
        </w:numPr>
        <w:shd w:val="clear"/>
        <w:spacing w:line="480" w:lineRule="exact"/>
        <w:ind w:left="210" w:hanging="211" w:hangingChars="100"/>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二、工期承诺</w:t>
      </w:r>
    </w:p>
    <w:p w14:paraId="531A0888">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1.我方将严格按照合同约定的工期进行施工，确保工程按时完成；</w:t>
      </w:r>
    </w:p>
    <w:p w14:paraId="17EB6F91">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2.我方将合理安排施工进度，确保工程按期交付使用；</w:t>
      </w:r>
    </w:p>
    <w:p w14:paraId="6BAEBD80">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3.我方将加强施工现场管理，提高施工效率，避免因施工原因导致的工期延误；</w:t>
      </w:r>
    </w:p>
    <w:p w14:paraId="767E5870">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4.我方将密切关注天气变化，合理安排施工计划，确保在恶劣天气条件下不影响工程进度；</w:t>
      </w:r>
    </w:p>
    <w:p w14:paraId="0C61003A">
      <w:pPr>
        <w:numPr>
          <w:ilvl w:val="0"/>
          <w:numId w:val="0"/>
        </w:numPr>
        <w:shd w:val="clear"/>
        <w:spacing w:line="480" w:lineRule="exact"/>
        <w:ind w:left="210" w:leftChars="10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5.我方将严格按照合同约定，在工程竣工验收合格后，及时办理移交手续，确保工程按时交付使用。</w:t>
      </w:r>
    </w:p>
    <w:p w14:paraId="7E4C62EE">
      <w:pPr>
        <w:pageBreakBefore w:val="0"/>
        <w:widowControl/>
        <w:numPr>
          <w:ilvl w:val="0"/>
          <w:numId w:val="0"/>
        </w:numPr>
        <w:shd w:val="clear"/>
        <w:kinsoku/>
        <w:wordWrap/>
        <w:overflowPunct/>
        <w:topLinePunct w:val="0"/>
        <w:autoSpaceDE/>
        <w:autoSpaceDN/>
        <w:bidi w:val="0"/>
        <w:adjustRightInd/>
        <w:snapToGrid/>
        <w:spacing w:before="0" w:line="480" w:lineRule="exact"/>
        <w:ind w:left="211" w:leftChars="0" w:right="0" w:rightChars="0" w:hanging="211" w:hangingChars="100"/>
        <w:jc w:val="left"/>
        <w:textAlignment w:val="auto"/>
        <w:rPr>
          <w:rFonts w:hint="eastAsia" w:asciiTheme="minorEastAsia" w:hAnsiTheme="minorEastAsia" w:eastAsiaTheme="minorEastAsia" w:cstheme="minorEastAsia"/>
          <w:color w:val="000000" w:themeColor="text1"/>
          <w:spacing w:val="0"/>
          <w:kern w:val="2"/>
          <w:sz w:val="21"/>
          <w:szCs w:val="21"/>
          <w:highlight w:val="none"/>
          <w:lang w:val="en-US"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三、</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质量保修责任</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spacing w:val="0"/>
          <w:kern w:val="2"/>
          <w:sz w:val="21"/>
          <w:szCs w:val="21"/>
          <w:highlight w:val="none"/>
          <w:lang w:val="en-US" w:eastAsia="zh-CN" w:bidi="zh-CN"/>
          <w14:textFill>
            <w14:solidFill>
              <w14:schemeClr w14:val="tx1"/>
            </w14:solidFill>
          </w14:textFill>
        </w:rPr>
        <w:t xml:space="preserve">1.属于保修范围、内容的项目，我司在接到保修通知之日起 </w:t>
      </w:r>
      <w:r>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t xml:space="preserve">7 </w:t>
      </w:r>
      <w:r>
        <w:rPr>
          <w:rFonts w:hint="eastAsia" w:asciiTheme="minorEastAsia" w:hAnsiTheme="minorEastAsia" w:eastAsiaTheme="minorEastAsia" w:cstheme="minorEastAsia"/>
          <w:color w:val="000000" w:themeColor="text1"/>
          <w:spacing w:val="0"/>
          <w:kern w:val="2"/>
          <w:sz w:val="21"/>
          <w:szCs w:val="21"/>
          <w:highlight w:val="none"/>
          <w:lang w:val="en-US" w:eastAsia="zh-CN" w:bidi="zh-CN"/>
          <w14:textFill>
            <w14:solidFill>
              <w14:schemeClr w14:val="tx1"/>
            </w14:solidFill>
          </w14:textFill>
        </w:rPr>
        <w:t>天内派人保修。</w:t>
      </w:r>
    </w:p>
    <w:p w14:paraId="7C071FDD">
      <w:pPr>
        <w:pageBreakBefore w:val="0"/>
        <w:widowControl/>
        <w:numPr>
          <w:ilvl w:val="0"/>
          <w:numId w:val="0"/>
        </w:numPr>
        <w:shd w:val="clear"/>
        <w:kinsoku/>
        <w:wordWrap/>
        <w:overflowPunct/>
        <w:topLinePunct w:val="0"/>
        <w:autoSpaceDE/>
        <w:autoSpaceDN/>
        <w:bidi w:val="0"/>
        <w:adjustRightInd/>
        <w:snapToGrid/>
        <w:spacing w:before="0" w:line="480" w:lineRule="exact"/>
        <w:ind w:left="210" w:leftChars="0" w:right="0" w:rightChars="0" w:hanging="210" w:hangingChars="10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2"/>
          <w:sz w:val="21"/>
          <w:szCs w:val="21"/>
          <w:highlight w:val="none"/>
          <w:lang w:val="en-US" w:eastAsia="zh-CN" w:bidi="zh-CN"/>
          <w14:textFill>
            <w14:solidFill>
              <w14:schemeClr w14:val="tx1"/>
            </w14:solidFill>
          </w14:textFill>
        </w:rPr>
        <w:t>2.发生紧急事故需抢修的，我司在接到事故通知后，当立即到达事故现场抢修。</w:t>
      </w:r>
    </w:p>
    <w:p w14:paraId="2DACF4B7">
      <w:pPr>
        <w:pageBreakBefore w:val="0"/>
        <w:widowControl/>
        <w:numPr>
          <w:ilvl w:val="0"/>
          <w:numId w:val="0"/>
        </w:numPr>
        <w:shd w:val="clear"/>
        <w:kinsoku/>
        <w:wordWrap/>
        <w:overflowPunct/>
        <w:topLinePunct w:val="0"/>
        <w:autoSpaceDE/>
        <w:autoSpaceDN/>
        <w:bidi w:val="0"/>
        <w:adjustRightInd/>
        <w:snapToGrid/>
        <w:spacing w:before="0" w:line="480" w:lineRule="exact"/>
        <w:ind w:left="210" w:leftChars="100" w:right="0" w:rightChars="0" w:firstLine="0" w:firstLineChars="0"/>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t>3.对于涉及结构安全的质量问题，按照《建设工程质量管理条例》的规定，立</w:t>
      </w:r>
      <w:r>
        <w:rPr>
          <w:rFonts w:hint="eastAsia" w:asciiTheme="minorEastAsia" w:hAnsiTheme="minorEastAsia" w:eastAsiaTheme="minorEastAsia" w:cstheme="minorEastAsia"/>
          <w:color w:val="000000" w:themeColor="text1"/>
          <w:spacing w:val="0"/>
          <w:kern w:val="2"/>
          <w:sz w:val="21"/>
          <w:szCs w:val="21"/>
          <w:highlight w:val="none"/>
          <w:lang w:val="en-US" w:eastAsia="zh-CN" w:bidi="zh-CN"/>
          <w14:textFill>
            <w14:solidFill>
              <w14:schemeClr w14:val="tx1"/>
            </w14:solidFill>
          </w14:textFill>
        </w:rPr>
        <w:t>即向当地建设行政主管部门和有关部门报告，采取安全防范措施，并由原设计人或者具有</w:t>
      </w:r>
      <w:r>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t>相应资质等级的设计人提出保修方案，我司实施保修。</w:t>
      </w:r>
    </w:p>
    <w:p w14:paraId="7701889F">
      <w:pPr>
        <w:pageBreakBefore w:val="0"/>
        <w:widowControl/>
        <w:numPr>
          <w:ilvl w:val="0"/>
          <w:numId w:val="0"/>
        </w:numPr>
        <w:shd w:val="clear"/>
        <w:kinsoku/>
        <w:wordWrap/>
        <w:overflowPunct/>
        <w:topLinePunct w:val="0"/>
        <w:autoSpaceDE/>
        <w:autoSpaceDN/>
        <w:bidi w:val="0"/>
        <w:adjustRightInd/>
        <w:snapToGrid/>
        <w:spacing w:line="480" w:lineRule="exact"/>
        <w:ind w:left="210" w:leftChars="100" w:firstLine="0" w:firstLineChars="0"/>
        <w:textAlignment w:val="auto"/>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zh-CN"/>
          <w14:textFill>
            <w14:solidFill>
              <w14:schemeClr w14:val="tx1"/>
            </w14:solidFill>
          </w14:textFill>
        </w:rPr>
        <w:t>4.质量保修完成后，由发包人组织验收。</w:t>
      </w:r>
    </w:p>
    <w:p w14:paraId="2E793CDE">
      <w:pPr>
        <w:shd w:val="clea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31AD41DE">
      <w:pPr>
        <w:widowControl/>
        <w:shd w:val="clear"/>
        <w:adjustRightInd w:val="0"/>
        <w:snapToGrid w:val="0"/>
        <w:spacing w:line="440" w:lineRule="exact"/>
        <w:ind w:left="4830" w:hanging="4830" w:hangingChars="2300"/>
        <w:jc w:val="left"/>
        <w:textAlignment w:val="top"/>
        <w:rPr>
          <w:rFonts w:ascii="宋体" w:hAnsi="宋体" w:eastAsia="黑体" w:cs="宋体"/>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承诺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人（盖章）：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法定代表人(签字):</w:t>
      </w:r>
    </w:p>
    <w:p w14:paraId="0E56C9DD">
      <w:pPr>
        <w:shd w:val="clear"/>
        <w:spacing w:line="360" w:lineRule="auto"/>
        <w:ind w:firstLine="4830" w:firstLineChars="23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  期：______年___月___日</w:t>
      </w:r>
    </w:p>
    <w:p w14:paraId="5C362E03">
      <w:pPr>
        <w:shd w:val="clea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EE73A4">
      <w:pPr>
        <w:pStyle w:val="4"/>
        <w:shd w:val="clear"/>
        <w:ind w:firstLine="42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附件十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w:t>
      </w:r>
      <w:bookmarkEnd w:id="739"/>
      <w:bookmarkEnd w:id="740"/>
      <w:bookmarkEnd w:id="741"/>
      <w:bookmarkEnd w:id="742"/>
    </w:p>
    <w:p w14:paraId="1ED741AF">
      <w:pPr>
        <w:shd w:val="clear"/>
        <w:rPr>
          <w:rFonts w:hint="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供应商认为需要提供的其它资料</w:t>
      </w:r>
    </w:p>
    <w:p w14:paraId="42FF87A7">
      <w:pPr>
        <w:shd w:val="clear"/>
        <w:ind w:firstLine="422"/>
        <w:rPr>
          <w:rFonts w:hint="eastAsia" w:ascii="宋体" w:hAnsi="宋体" w:cs="宋体"/>
          <w:b/>
          <w:color w:val="000000" w:themeColor="text1"/>
          <w:kern w:val="0"/>
          <w:szCs w:val="21"/>
          <w:highlight w:val="none"/>
          <w14:textFill>
            <w14:solidFill>
              <w14:schemeClr w14:val="tx1"/>
            </w14:solidFill>
          </w14:textFill>
        </w:rPr>
      </w:pPr>
      <w:bookmarkStart w:id="743" w:name="_Toc6649"/>
      <w:bookmarkStart w:id="744" w:name="_Toc22295"/>
      <w:r>
        <w:rPr>
          <w:rFonts w:hint="eastAsia" w:ascii="宋体" w:hAnsi="宋体" w:cs="宋体"/>
          <w:b/>
          <w:color w:val="000000" w:themeColor="text1"/>
          <w:kern w:val="0"/>
          <w:szCs w:val="21"/>
          <w:highlight w:val="none"/>
          <w14:textFill>
            <w14:solidFill>
              <w14:schemeClr w14:val="tx1"/>
            </w14:solidFill>
          </w14:textFill>
        </w:rPr>
        <w:br w:type="page"/>
      </w:r>
    </w:p>
    <w:p w14:paraId="6003EA88">
      <w:pPr>
        <w:pStyle w:val="3"/>
        <w:shd w:val="clear"/>
        <w:spacing w:before="0" w:after="0"/>
        <w:ind w:firstLine="422"/>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附件十四、</w:t>
      </w:r>
      <w:r>
        <w:rPr>
          <w:rFonts w:hint="eastAsia" w:ascii="宋体" w:hAnsi="宋体" w:eastAsia="宋体" w:cs="宋体"/>
          <w:color w:val="000000" w:themeColor="text1"/>
          <w:sz w:val="21"/>
          <w:szCs w:val="21"/>
          <w:highlight w:val="none"/>
          <w:lang w:val="zh-CN"/>
          <w14:textFill>
            <w14:solidFill>
              <w14:schemeClr w14:val="tx1"/>
            </w14:solidFill>
          </w14:textFill>
        </w:rPr>
        <w:t>南京市政府采购供应商信用记录表暨信用承诺书</w:t>
      </w:r>
      <w:bookmarkEnd w:id="743"/>
    </w:p>
    <w:p w14:paraId="11494D95">
      <w:pPr>
        <w:shd w:val="clear" w:color="auto"/>
        <w:spacing w:line="360" w:lineRule="auto"/>
        <w:ind w:firstLine="4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南京市政府采购供应商信用记录表暨信用承诺书</w:t>
      </w:r>
    </w:p>
    <w:p w14:paraId="44320F5E">
      <w:pPr>
        <w:widowControl/>
        <w:shd w:val="clear"/>
        <w:ind w:firstLine="422"/>
        <w:jc w:val="center"/>
        <w:textAlignment w:val="center"/>
        <w:outlineLvl w:val="0"/>
        <w:rPr>
          <w:rFonts w:hint="eastAsia" w:ascii="宋体" w:hAnsi="宋体" w:cs="宋体"/>
          <w:b/>
          <w:color w:val="000000" w:themeColor="text1"/>
          <w:kern w:val="0"/>
          <w:szCs w:val="21"/>
          <w:highlight w:val="none"/>
          <w:lang w:bidi="ar"/>
          <w14:textFill>
            <w14:solidFill>
              <w14:schemeClr w14:val="tx1"/>
            </w14:solidFill>
          </w14:textFill>
        </w:rPr>
      </w:pPr>
    </w:p>
    <w:bookmarkEnd w:id="744"/>
    <w:tbl>
      <w:tblPr>
        <w:tblStyle w:val="30"/>
        <w:tblpPr w:leftFromText="180" w:rightFromText="180" w:vertAnchor="page" w:horzAnchor="page" w:tblpX="1028" w:tblpY="3017"/>
        <w:tblOverlap w:val="never"/>
        <w:tblW w:w="9518" w:type="dxa"/>
        <w:tblInd w:w="0" w:type="dxa"/>
        <w:tblLayout w:type="fixed"/>
        <w:tblCellMar>
          <w:top w:w="0" w:type="dxa"/>
          <w:left w:w="108" w:type="dxa"/>
          <w:bottom w:w="0" w:type="dxa"/>
          <w:right w:w="108" w:type="dxa"/>
        </w:tblCellMar>
      </w:tblPr>
      <w:tblGrid>
        <w:gridCol w:w="2030"/>
        <w:gridCol w:w="2656"/>
        <w:gridCol w:w="2004"/>
        <w:gridCol w:w="2828"/>
      </w:tblGrid>
      <w:tr w14:paraId="3323D512">
        <w:tblPrEx>
          <w:tblCellMar>
            <w:top w:w="0" w:type="dxa"/>
            <w:left w:w="108" w:type="dxa"/>
            <w:bottom w:w="0" w:type="dxa"/>
            <w:right w:w="108" w:type="dxa"/>
          </w:tblCellMar>
        </w:tblPrEx>
        <w:trPr>
          <w:trHeight w:val="558" w:hRule="atLeast"/>
        </w:trPr>
        <w:tc>
          <w:tcPr>
            <w:tcW w:w="2030" w:type="dxa"/>
            <w:tcBorders>
              <w:top w:val="single" w:color="000000" w:sz="4" w:space="0"/>
              <w:left w:val="single" w:color="000000" w:sz="4" w:space="0"/>
              <w:bottom w:val="single" w:color="000000" w:sz="4" w:space="0"/>
              <w:right w:val="single" w:color="000000" w:sz="4" w:space="0"/>
            </w:tcBorders>
            <w:noWrap/>
            <w:vAlign w:val="center"/>
          </w:tcPr>
          <w:p w14:paraId="4F845281">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bookmarkStart w:id="745" w:name="_Toc18212"/>
            <w:r>
              <w:rPr>
                <w:rFonts w:hint="eastAsia" w:ascii="宋体" w:hAnsi="宋体" w:cs="宋体"/>
                <w:color w:val="000000" w:themeColor="text1"/>
                <w:kern w:val="0"/>
                <w:szCs w:val="21"/>
                <w:highlight w:val="none"/>
                <w:lang w:bidi="ar"/>
                <w14:textFill>
                  <w14:solidFill>
                    <w14:schemeClr w14:val="tx1"/>
                  </w14:solidFill>
                </w14:textFill>
              </w:rPr>
              <w:t>单位名称</w:t>
            </w:r>
          </w:p>
        </w:tc>
        <w:tc>
          <w:tcPr>
            <w:tcW w:w="2656" w:type="dxa"/>
            <w:tcBorders>
              <w:top w:val="single" w:color="000000" w:sz="4" w:space="0"/>
              <w:left w:val="single" w:color="000000" w:sz="4" w:space="0"/>
              <w:bottom w:val="single" w:color="000000" w:sz="4" w:space="0"/>
              <w:right w:val="single" w:color="000000" w:sz="4" w:space="0"/>
            </w:tcBorders>
            <w:noWrap/>
            <w:vAlign w:val="center"/>
          </w:tcPr>
          <w:p w14:paraId="225DF209">
            <w:pPr>
              <w:widowControl/>
              <w:shd w:val="clear"/>
              <w:rPr>
                <w:rFonts w:hint="eastAsia" w:ascii="宋体" w:hAnsi="宋体" w:cs="宋体"/>
                <w:color w:val="000000" w:themeColor="text1"/>
                <w:szCs w:val="21"/>
                <w:highlight w:val="none"/>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91B0E93">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统一社会信用代码</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6E0AE5EE">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279CCD34">
        <w:tblPrEx>
          <w:tblCellMar>
            <w:top w:w="0" w:type="dxa"/>
            <w:left w:w="108" w:type="dxa"/>
            <w:bottom w:w="0" w:type="dxa"/>
            <w:right w:w="108" w:type="dxa"/>
          </w:tblCellMar>
        </w:tblPrEx>
        <w:trPr>
          <w:trHeight w:val="558" w:hRule="atLeast"/>
        </w:trPr>
        <w:tc>
          <w:tcPr>
            <w:tcW w:w="2030" w:type="dxa"/>
            <w:tcBorders>
              <w:top w:val="single" w:color="000000" w:sz="4" w:space="0"/>
              <w:left w:val="single" w:color="000000" w:sz="4" w:space="0"/>
              <w:bottom w:val="single" w:color="000000" w:sz="4" w:space="0"/>
              <w:right w:val="single" w:color="000000" w:sz="4" w:space="0"/>
            </w:tcBorders>
            <w:noWrap/>
            <w:vAlign w:val="center"/>
          </w:tcPr>
          <w:p w14:paraId="00B1E5E4">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法定代表人</w:t>
            </w:r>
          </w:p>
        </w:tc>
        <w:tc>
          <w:tcPr>
            <w:tcW w:w="2656" w:type="dxa"/>
            <w:tcBorders>
              <w:top w:val="single" w:color="000000" w:sz="4" w:space="0"/>
              <w:left w:val="single" w:color="000000" w:sz="4" w:space="0"/>
              <w:bottom w:val="single" w:color="000000" w:sz="4" w:space="0"/>
              <w:right w:val="single" w:color="000000" w:sz="4" w:space="0"/>
            </w:tcBorders>
            <w:noWrap/>
            <w:vAlign w:val="center"/>
          </w:tcPr>
          <w:p w14:paraId="43CD00D8">
            <w:pPr>
              <w:widowControl/>
              <w:shd w:val="clear"/>
              <w:rPr>
                <w:rFonts w:hint="eastAsia" w:ascii="宋体" w:hAnsi="宋体" w:cs="宋体"/>
                <w:color w:val="000000" w:themeColor="text1"/>
                <w:szCs w:val="21"/>
                <w:highlight w:val="none"/>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AA62DF8">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联系人</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443E5DAF">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0C66CD22">
        <w:tblPrEx>
          <w:tblCellMar>
            <w:top w:w="0" w:type="dxa"/>
            <w:left w:w="108" w:type="dxa"/>
            <w:bottom w:w="0" w:type="dxa"/>
            <w:right w:w="108" w:type="dxa"/>
          </w:tblCellMar>
        </w:tblPrEx>
        <w:trPr>
          <w:trHeight w:val="602" w:hRule="atLeast"/>
        </w:trPr>
        <w:tc>
          <w:tcPr>
            <w:tcW w:w="2030" w:type="dxa"/>
            <w:tcBorders>
              <w:top w:val="single" w:color="000000" w:sz="4" w:space="0"/>
              <w:left w:val="single" w:color="000000" w:sz="4" w:space="0"/>
              <w:bottom w:val="single" w:color="000000" w:sz="4" w:space="0"/>
              <w:right w:val="single" w:color="000000" w:sz="4" w:space="0"/>
            </w:tcBorders>
            <w:noWrap/>
            <w:vAlign w:val="center"/>
          </w:tcPr>
          <w:p w14:paraId="45791A6F">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联系地址</w:t>
            </w:r>
          </w:p>
        </w:tc>
        <w:tc>
          <w:tcPr>
            <w:tcW w:w="2656" w:type="dxa"/>
            <w:tcBorders>
              <w:top w:val="single" w:color="000000" w:sz="4" w:space="0"/>
              <w:left w:val="single" w:color="000000" w:sz="4" w:space="0"/>
              <w:bottom w:val="single" w:color="000000" w:sz="4" w:space="0"/>
              <w:right w:val="single" w:color="000000" w:sz="4" w:space="0"/>
            </w:tcBorders>
            <w:noWrap/>
            <w:vAlign w:val="center"/>
          </w:tcPr>
          <w:p w14:paraId="51F7E64C">
            <w:pPr>
              <w:widowControl/>
              <w:shd w:val="clear"/>
              <w:rPr>
                <w:rFonts w:hint="eastAsia" w:ascii="宋体" w:hAnsi="宋体" w:cs="宋体"/>
                <w:color w:val="000000" w:themeColor="text1"/>
                <w:szCs w:val="21"/>
                <w:highlight w:val="none"/>
                <w14:textFill>
                  <w14:solidFill>
                    <w14:schemeClr w14:val="tx1"/>
                  </w14:solidFill>
                </w14:textFill>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E4AC083">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联系电话</w:t>
            </w:r>
          </w:p>
        </w:tc>
        <w:tc>
          <w:tcPr>
            <w:tcW w:w="2828" w:type="dxa"/>
            <w:tcBorders>
              <w:top w:val="single" w:color="000000" w:sz="4" w:space="0"/>
              <w:left w:val="single" w:color="000000" w:sz="4" w:space="0"/>
              <w:bottom w:val="single" w:color="000000" w:sz="4" w:space="0"/>
              <w:right w:val="single" w:color="000000" w:sz="4" w:space="0"/>
            </w:tcBorders>
            <w:noWrap/>
            <w:vAlign w:val="center"/>
          </w:tcPr>
          <w:p w14:paraId="04C81F56">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56DA9A21">
        <w:tblPrEx>
          <w:tblCellMar>
            <w:top w:w="0" w:type="dxa"/>
            <w:left w:w="108" w:type="dxa"/>
            <w:bottom w:w="0" w:type="dxa"/>
            <w:right w:w="108" w:type="dxa"/>
          </w:tblCellMar>
        </w:tblPrEx>
        <w:trPr>
          <w:trHeight w:val="363" w:hRule="atLeast"/>
        </w:trPr>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14:paraId="5ED84F3E">
            <w:pPr>
              <w:widowControl/>
              <w:shd w:val="clear"/>
              <w:adjustRightInd w:val="0"/>
              <w:snapToGrid w:val="0"/>
              <w:spacing w:line="3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诚信档案记录情况</w:t>
            </w:r>
          </w:p>
        </w:tc>
        <w:tc>
          <w:tcPr>
            <w:tcW w:w="748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B64D8B6">
            <w:pPr>
              <w:widowControl/>
              <w:shd w:val="clear"/>
              <w:adjustRightInd w:val="0"/>
              <w:snapToGrid w:val="0"/>
              <w:spacing w:line="300" w:lineRule="exact"/>
              <w:rPr>
                <w:rFonts w:hint="eastAsia" w:ascii="宋体" w:hAnsi="宋体" w:cs="宋体"/>
                <w:color w:val="000000" w:themeColor="text1"/>
                <w:szCs w:val="21"/>
                <w:highlight w:val="none"/>
                <w14:textFill>
                  <w14:solidFill>
                    <w14:schemeClr w14:val="tx1"/>
                  </w14:solidFill>
                </w14:textFill>
              </w:rPr>
            </w:pPr>
          </w:p>
        </w:tc>
      </w:tr>
      <w:tr w14:paraId="69BDB143">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B57BFEE">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06ABC12">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6245B3A6">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2D46566B">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E6E231B">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59CDFCDF">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2709D66D">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F73D563">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28D329B1">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E6AE2E8">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58FCDB2">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3A9D370F">
        <w:tblPrEx>
          <w:tblCellMar>
            <w:top w:w="0" w:type="dxa"/>
            <w:left w:w="108" w:type="dxa"/>
            <w:bottom w:w="0" w:type="dxa"/>
            <w:right w:w="108" w:type="dxa"/>
          </w:tblCellMar>
        </w:tblPrEx>
        <w:trPr>
          <w:trHeight w:val="33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7F320E0">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5410658">
            <w:pPr>
              <w:widowControl/>
              <w:shd w:val="clear"/>
              <w:jc w:val="center"/>
              <w:rPr>
                <w:rFonts w:hint="eastAsia" w:ascii="宋体" w:hAnsi="宋体" w:cs="宋体"/>
                <w:color w:val="000000" w:themeColor="text1"/>
                <w:szCs w:val="21"/>
                <w:highlight w:val="none"/>
                <w14:textFill>
                  <w14:solidFill>
                    <w14:schemeClr w14:val="tx1"/>
                  </w14:solidFill>
                </w14:textFill>
              </w:rPr>
            </w:pPr>
          </w:p>
        </w:tc>
      </w:tr>
      <w:tr w14:paraId="464129EA">
        <w:tblPrEx>
          <w:tblCellMar>
            <w:top w:w="0" w:type="dxa"/>
            <w:left w:w="108" w:type="dxa"/>
            <w:bottom w:w="0" w:type="dxa"/>
            <w:right w:w="108" w:type="dxa"/>
          </w:tblCellMar>
        </w:tblPrEx>
        <w:trPr>
          <w:trHeight w:val="363" w:hRule="atLeast"/>
        </w:trPr>
        <w:tc>
          <w:tcPr>
            <w:tcW w:w="2030" w:type="dxa"/>
            <w:vMerge w:val="restart"/>
            <w:tcBorders>
              <w:top w:val="single" w:color="000000" w:sz="4" w:space="0"/>
              <w:left w:val="single" w:color="000000" w:sz="4" w:space="0"/>
              <w:bottom w:val="single" w:color="000000" w:sz="4" w:space="0"/>
              <w:right w:val="single" w:color="000000" w:sz="4" w:space="0"/>
            </w:tcBorders>
            <w:noWrap/>
            <w:vAlign w:val="center"/>
          </w:tcPr>
          <w:p w14:paraId="3C56132A">
            <w:pPr>
              <w:widowControl/>
              <w:shd w:val="clear"/>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信用承诺</w:t>
            </w:r>
          </w:p>
        </w:tc>
        <w:tc>
          <w:tcPr>
            <w:tcW w:w="7488" w:type="dxa"/>
            <w:gridSpan w:val="3"/>
            <w:vMerge w:val="restart"/>
            <w:tcBorders>
              <w:top w:val="single" w:color="000000" w:sz="4" w:space="0"/>
              <w:left w:val="single" w:color="000000" w:sz="4" w:space="0"/>
              <w:bottom w:val="single" w:color="000000" w:sz="4" w:space="0"/>
              <w:right w:val="single" w:color="000000" w:sz="4" w:space="0"/>
            </w:tcBorders>
          </w:tcPr>
          <w:p w14:paraId="4D2A0E7E">
            <w:pPr>
              <w:widowControl/>
              <w:shd w:val="clear"/>
              <w:adjustRightInd w:val="0"/>
              <w:snapToGrid w:val="0"/>
              <w:spacing w:line="440" w:lineRule="exact"/>
              <w:jc w:val="left"/>
              <w:textAlignment w:val="top"/>
              <w:rPr>
                <w:rFonts w:hint="eastAsia" w:ascii="宋体" w:hAnsi="宋体" w:eastAsia="黑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我公司自愿参加贵中心(公司)组织的本次采购活动，严格遵守《中华人民政府采购法》及相关法律法规，坚守公开、公平公正和诚实信用的原则，依法诚信经营，无条件遵守本次政府米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617AE89D">
            <w:pPr>
              <w:widowControl/>
              <w:shd w:val="clear"/>
              <w:adjustRightInd w:val="0"/>
              <w:snapToGrid w:val="0"/>
              <w:spacing w:line="440" w:lineRule="exact"/>
              <w:jc w:val="left"/>
              <w:textAlignment w:val="top"/>
              <w:rPr>
                <w:rFonts w:hint="eastAsia" w:ascii="宋体" w:hAnsi="宋体" w:eastAsia="黑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供应商名称(盖章):</w:t>
            </w:r>
          </w:p>
          <w:p w14:paraId="433ABE01">
            <w:pPr>
              <w:widowControl/>
              <w:shd w:val="clear"/>
              <w:adjustRightInd w:val="0"/>
              <w:snapToGrid w:val="0"/>
              <w:spacing w:line="440" w:lineRule="exact"/>
              <w:jc w:val="left"/>
              <w:textAlignment w:val="top"/>
              <w:rPr>
                <w:rFonts w:hint="eastAsia" w:ascii="宋体" w:hAnsi="宋体" w:eastAsia="黑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法定代表人(签字):</w:t>
            </w:r>
          </w:p>
          <w:p w14:paraId="3F980694">
            <w:pPr>
              <w:widowControl/>
              <w:shd w:val="clear"/>
              <w:adjustRightInd w:val="0"/>
              <w:snapToGrid w:val="0"/>
              <w:spacing w:line="440" w:lineRule="exact"/>
              <w:jc w:val="left"/>
              <w:textAlignment w:val="top"/>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年  月   日</w:t>
            </w:r>
          </w:p>
        </w:tc>
      </w:tr>
      <w:tr w14:paraId="17948000">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CF1E128">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76578BA0">
            <w:pPr>
              <w:widowControl/>
              <w:shd w:val="clear"/>
              <w:rPr>
                <w:rFonts w:hint="eastAsia" w:ascii="宋体" w:hAnsi="宋体" w:cs="宋体"/>
                <w:color w:val="000000" w:themeColor="text1"/>
                <w:szCs w:val="21"/>
                <w:highlight w:val="none"/>
                <w14:textFill>
                  <w14:solidFill>
                    <w14:schemeClr w14:val="tx1"/>
                  </w14:solidFill>
                </w14:textFill>
              </w:rPr>
            </w:pPr>
          </w:p>
        </w:tc>
      </w:tr>
      <w:tr w14:paraId="60A11C49">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36FF31AE">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7721A418">
            <w:pPr>
              <w:widowControl/>
              <w:shd w:val="clear"/>
              <w:rPr>
                <w:rFonts w:hint="eastAsia" w:ascii="宋体" w:hAnsi="宋体" w:cs="宋体"/>
                <w:color w:val="000000" w:themeColor="text1"/>
                <w:szCs w:val="21"/>
                <w:highlight w:val="none"/>
                <w14:textFill>
                  <w14:solidFill>
                    <w14:schemeClr w14:val="tx1"/>
                  </w14:solidFill>
                </w14:textFill>
              </w:rPr>
            </w:pPr>
          </w:p>
        </w:tc>
      </w:tr>
      <w:tr w14:paraId="4D085916">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FC70832">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31921A51">
            <w:pPr>
              <w:widowControl/>
              <w:shd w:val="clear"/>
              <w:rPr>
                <w:rFonts w:hint="eastAsia" w:ascii="宋体" w:hAnsi="宋体" w:cs="宋体"/>
                <w:color w:val="000000" w:themeColor="text1"/>
                <w:szCs w:val="21"/>
                <w:highlight w:val="none"/>
                <w14:textFill>
                  <w14:solidFill>
                    <w14:schemeClr w14:val="tx1"/>
                  </w14:solidFill>
                </w14:textFill>
              </w:rPr>
            </w:pPr>
          </w:p>
        </w:tc>
      </w:tr>
      <w:tr w14:paraId="0313CBEA">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544E7BA8">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61EAADA0">
            <w:pPr>
              <w:widowControl/>
              <w:shd w:val="clear"/>
              <w:rPr>
                <w:rFonts w:hint="eastAsia" w:ascii="宋体" w:hAnsi="宋体" w:cs="宋体"/>
                <w:color w:val="000000" w:themeColor="text1"/>
                <w:szCs w:val="21"/>
                <w:highlight w:val="none"/>
                <w14:textFill>
                  <w14:solidFill>
                    <w14:schemeClr w14:val="tx1"/>
                  </w14:solidFill>
                </w14:textFill>
              </w:rPr>
            </w:pPr>
          </w:p>
        </w:tc>
      </w:tr>
      <w:tr w14:paraId="3A630F2C">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29827BFE">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0DDB8AA8">
            <w:pPr>
              <w:widowControl/>
              <w:shd w:val="clear"/>
              <w:rPr>
                <w:rFonts w:hint="eastAsia" w:ascii="宋体" w:hAnsi="宋体" w:cs="宋体"/>
                <w:color w:val="000000" w:themeColor="text1"/>
                <w:szCs w:val="21"/>
                <w:highlight w:val="none"/>
                <w14:textFill>
                  <w14:solidFill>
                    <w14:schemeClr w14:val="tx1"/>
                  </w14:solidFill>
                </w14:textFill>
              </w:rPr>
            </w:pPr>
          </w:p>
        </w:tc>
      </w:tr>
      <w:tr w14:paraId="2A98CA69">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0549D10C">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7BE56676">
            <w:pPr>
              <w:widowControl/>
              <w:shd w:val="clear"/>
              <w:rPr>
                <w:rFonts w:hint="eastAsia" w:ascii="宋体" w:hAnsi="宋体" w:cs="宋体"/>
                <w:color w:val="000000" w:themeColor="text1"/>
                <w:szCs w:val="21"/>
                <w:highlight w:val="none"/>
                <w14:textFill>
                  <w14:solidFill>
                    <w14:schemeClr w14:val="tx1"/>
                  </w14:solidFill>
                </w14:textFill>
              </w:rPr>
            </w:pPr>
          </w:p>
        </w:tc>
      </w:tr>
      <w:tr w14:paraId="660B2AEF">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4299D644">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22BDCA6B">
            <w:pPr>
              <w:widowControl/>
              <w:shd w:val="clear"/>
              <w:rPr>
                <w:rFonts w:hint="eastAsia" w:ascii="宋体" w:hAnsi="宋体" w:cs="宋体"/>
                <w:color w:val="000000" w:themeColor="text1"/>
                <w:szCs w:val="21"/>
                <w:highlight w:val="none"/>
                <w14:textFill>
                  <w14:solidFill>
                    <w14:schemeClr w14:val="tx1"/>
                  </w14:solidFill>
                </w14:textFill>
              </w:rPr>
            </w:pPr>
          </w:p>
        </w:tc>
      </w:tr>
      <w:tr w14:paraId="5D89FD67">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557AF847">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69939362">
            <w:pPr>
              <w:widowControl/>
              <w:shd w:val="clear"/>
              <w:rPr>
                <w:rFonts w:hint="eastAsia" w:ascii="宋体" w:hAnsi="宋体" w:cs="宋体"/>
                <w:color w:val="000000" w:themeColor="text1"/>
                <w:szCs w:val="21"/>
                <w:highlight w:val="none"/>
                <w14:textFill>
                  <w14:solidFill>
                    <w14:schemeClr w14:val="tx1"/>
                  </w14:solidFill>
                </w14:textFill>
              </w:rPr>
            </w:pPr>
          </w:p>
        </w:tc>
      </w:tr>
      <w:tr w14:paraId="216C68E3">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1CB3A5A">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3C8A51AF">
            <w:pPr>
              <w:widowControl/>
              <w:shd w:val="clear"/>
              <w:rPr>
                <w:rFonts w:hint="eastAsia" w:ascii="宋体" w:hAnsi="宋体" w:cs="宋体"/>
                <w:color w:val="000000" w:themeColor="text1"/>
                <w:szCs w:val="21"/>
                <w:highlight w:val="none"/>
                <w14:textFill>
                  <w14:solidFill>
                    <w14:schemeClr w14:val="tx1"/>
                  </w14:solidFill>
                </w14:textFill>
              </w:rPr>
            </w:pPr>
          </w:p>
        </w:tc>
      </w:tr>
      <w:tr w14:paraId="05622E01">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57009CC9">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4D8BC06F">
            <w:pPr>
              <w:widowControl/>
              <w:shd w:val="clear"/>
              <w:rPr>
                <w:rFonts w:hint="eastAsia" w:ascii="宋体" w:hAnsi="宋体" w:cs="宋体"/>
                <w:color w:val="000000" w:themeColor="text1"/>
                <w:szCs w:val="21"/>
                <w:highlight w:val="none"/>
                <w14:textFill>
                  <w14:solidFill>
                    <w14:schemeClr w14:val="tx1"/>
                  </w14:solidFill>
                </w14:textFill>
              </w:rPr>
            </w:pPr>
          </w:p>
        </w:tc>
      </w:tr>
      <w:tr w14:paraId="4F600219">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228BA160">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61BA9E83">
            <w:pPr>
              <w:widowControl/>
              <w:shd w:val="clear"/>
              <w:rPr>
                <w:rFonts w:hint="eastAsia" w:ascii="宋体" w:hAnsi="宋体" w:cs="宋体"/>
                <w:color w:val="000000" w:themeColor="text1"/>
                <w:szCs w:val="21"/>
                <w:highlight w:val="none"/>
                <w14:textFill>
                  <w14:solidFill>
                    <w14:schemeClr w14:val="tx1"/>
                  </w14:solidFill>
                </w14:textFill>
              </w:rPr>
            </w:pPr>
          </w:p>
        </w:tc>
      </w:tr>
      <w:tr w14:paraId="5ECD2B27">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313D523F">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18891A93">
            <w:pPr>
              <w:widowControl/>
              <w:shd w:val="clear"/>
              <w:rPr>
                <w:rFonts w:hint="eastAsia" w:ascii="宋体" w:hAnsi="宋体" w:cs="宋体"/>
                <w:color w:val="000000" w:themeColor="text1"/>
                <w:szCs w:val="21"/>
                <w:highlight w:val="none"/>
                <w14:textFill>
                  <w14:solidFill>
                    <w14:schemeClr w14:val="tx1"/>
                  </w14:solidFill>
                </w14:textFill>
              </w:rPr>
            </w:pPr>
          </w:p>
        </w:tc>
      </w:tr>
      <w:tr w14:paraId="38D6AF7B">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7FFD6862">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379A630D">
            <w:pPr>
              <w:widowControl/>
              <w:shd w:val="clear"/>
              <w:rPr>
                <w:rFonts w:hint="eastAsia" w:ascii="宋体" w:hAnsi="宋体" w:cs="宋体"/>
                <w:color w:val="000000" w:themeColor="text1"/>
                <w:szCs w:val="21"/>
                <w:highlight w:val="none"/>
                <w14:textFill>
                  <w14:solidFill>
                    <w14:schemeClr w14:val="tx1"/>
                  </w14:solidFill>
                </w14:textFill>
              </w:rPr>
            </w:pPr>
          </w:p>
        </w:tc>
      </w:tr>
      <w:tr w14:paraId="36F39712">
        <w:tblPrEx>
          <w:tblCellMar>
            <w:top w:w="0" w:type="dxa"/>
            <w:left w:w="108" w:type="dxa"/>
            <w:bottom w:w="0" w:type="dxa"/>
            <w:right w:w="108" w:type="dxa"/>
          </w:tblCellMar>
        </w:tblPrEx>
        <w:trPr>
          <w:trHeight w:val="363"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1F16DFA5">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4B8E8E3D">
            <w:pPr>
              <w:widowControl/>
              <w:shd w:val="clear"/>
              <w:rPr>
                <w:rFonts w:hint="eastAsia" w:ascii="宋体" w:hAnsi="宋体" w:cs="宋体"/>
                <w:color w:val="000000" w:themeColor="text1"/>
                <w:szCs w:val="21"/>
                <w:highlight w:val="none"/>
                <w14:textFill>
                  <w14:solidFill>
                    <w14:schemeClr w14:val="tx1"/>
                  </w14:solidFill>
                </w14:textFill>
              </w:rPr>
            </w:pPr>
          </w:p>
        </w:tc>
      </w:tr>
      <w:tr w14:paraId="37C7F7EA">
        <w:tblPrEx>
          <w:tblCellMar>
            <w:top w:w="0" w:type="dxa"/>
            <w:left w:w="108" w:type="dxa"/>
            <w:bottom w:w="0" w:type="dxa"/>
            <w:right w:w="108" w:type="dxa"/>
          </w:tblCellMar>
        </w:tblPrEx>
        <w:trPr>
          <w:trHeight w:val="706" w:hRule="atLeast"/>
        </w:trPr>
        <w:tc>
          <w:tcPr>
            <w:tcW w:w="2030" w:type="dxa"/>
            <w:vMerge w:val="continue"/>
            <w:tcBorders>
              <w:top w:val="single" w:color="000000" w:sz="4" w:space="0"/>
              <w:left w:val="single" w:color="000000" w:sz="4" w:space="0"/>
              <w:bottom w:val="single" w:color="000000" w:sz="4" w:space="0"/>
              <w:right w:val="single" w:color="000000" w:sz="4" w:space="0"/>
            </w:tcBorders>
            <w:noWrap/>
            <w:vAlign w:val="center"/>
          </w:tcPr>
          <w:p w14:paraId="39F7705F">
            <w:pPr>
              <w:widowControl/>
              <w:shd w:val="clear"/>
              <w:jc w:val="center"/>
              <w:rPr>
                <w:rFonts w:hint="eastAsia" w:ascii="宋体" w:hAnsi="宋体" w:cs="宋体"/>
                <w:color w:val="000000" w:themeColor="text1"/>
                <w:szCs w:val="21"/>
                <w:highlight w:val="none"/>
                <w14:textFill>
                  <w14:solidFill>
                    <w14:schemeClr w14:val="tx1"/>
                  </w14:solidFill>
                </w14:textFill>
              </w:rPr>
            </w:pPr>
          </w:p>
        </w:tc>
        <w:tc>
          <w:tcPr>
            <w:tcW w:w="7488" w:type="dxa"/>
            <w:gridSpan w:val="3"/>
            <w:vMerge w:val="continue"/>
            <w:tcBorders>
              <w:top w:val="single" w:color="000000" w:sz="4" w:space="0"/>
              <w:left w:val="single" w:color="000000" w:sz="4" w:space="0"/>
              <w:bottom w:val="single" w:color="000000" w:sz="4" w:space="0"/>
              <w:right w:val="single" w:color="000000" w:sz="4" w:space="0"/>
            </w:tcBorders>
          </w:tcPr>
          <w:p w14:paraId="649EB664">
            <w:pPr>
              <w:widowControl/>
              <w:shd w:val="clear"/>
              <w:rPr>
                <w:rFonts w:hint="eastAsia" w:ascii="宋体" w:hAnsi="宋体" w:cs="宋体"/>
                <w:color w:val="000000" w:themeColor="text1"/>
                <w:szCs w:val="21"/>
                <w:highlight w:val="none"/>
                <w14:textFill>
                  <w14:solidFill>
                    <w14:schemeClr w14:val="tx1"/>
                  </w14:solidFill>
                </w14:textFill>
              </w:rPr>
            </w:pPr>
          </w:p>
        </w:tc>
      </w:tr>
      <w:bookmarkEnd w:id="745"/>
    </w:tbl>
    <w:p w14:paraId="0D7EA0D4">
      <w:pPr>
        <w:shd w:val="clear"/>
        <w:snapToGrid w:val="0"/>
        <w:spacing w:before="50" w:after="50"/>
        <w:ind w:firstLine="205" w:firstLineChars="98"/>
        <w:rPr>
          <w:rFonts w:hint="eastAsia" w:ascii="宋体" w:hAnsi="宋体" w:eastAsia="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注：供应商登录“信用南京”或“南京公共采购信息网”在线打印本表</w:t>
      </w:r>
    </w:p>
    <w:p w14:paraId="4DECB02B">
      <w:pPr>
        <w:pStyle w:val="109"/>
        <w:shd w:val="clear"/>
        <w:rPr>
          <w:rFonts w:hint="eastAsia" w:ascii="宋体" w:hAnsi="宋体" w:cs="宋体"/>
          <w:color w:val="000000" w:themeColor="text1"/>
          <w:szCs w:val="21"/>
          <w:highlight w:val="none"/>
          <w14:textFill>
            <w14:solidFill>
              <w14:schemeClr w14:val="tx1"/>
            </w14:solidFill>
          </w14:textFill>
        </w:rPr>
      </w:pPr>
    </w:p>
    <w:p w14:paraId="0C2F4295">
      <w:pPr>
        <w:pStyle w:val="101"/>
        <w:shd w:val="clear"/>
        <w:spacing w:line="40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im Su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328F">
    <w:pPr>
      <w:pStyle w:val="20"/>
      <w:framePr w:wrap="around" w:vAnchor="text" w:hAnchor="margin" w:xAlign="center" w:y="1"/>
      <w:rPr>
        <w:rStyle w:val="34"/>
        <w:rFonts w:hint="eastAsia"/>
      </w:rPr>
    </w:pPr>
    <w:r>
      <w:fldChar w:fldCharType="begin"/>
    </w:r>
    <w:r>
      <w:rPr>
        <w:rStyle w:val="34"/>
      </w:rPr>
      <w:instrText xml:space="preserve">PAGE  </w:instrText>
    </w:r>
    <w:r>
      <w:fldChar w:fldCharType="separate"/>
    </w:r>
    <w:r>
      <w:rPr>
        <w:rStyle w:val="34"/>
      </w:rPr>
      <w:t>12</w:t>
    </w:r>
    <w:r>
      <w:fldChar w:fldCharType="end"/>
    </w:r>
  </w:p>
  <w:p w14:paraId="60CB5C5B">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B9BF">
    <w:pPr>
      <w:pStyle w:val="20"/>
      <w:jc w:val="center"/>
      <w:rPr>
        <w:rFonts w:hint="eastAsia"/>
      </w:rPr>
    </w:pPr>
    <w:r>
      <w:rPr>
        <w:rFonts w:hint="eastAsia"/>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BEF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11B9D">
    <w:pPr>
      <w:pStyle w:val="2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1A0A1">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11A0A1">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CE518">
    <w:pPr>
      <w:widowControl w:val="0"/>
      <w:spacing w:line="14" w:lineRule="auto"/>
      <w:rPr>
        <w:rFonts w:hint="default" w:ascii="宋体" w:hAnsi="宋体" w:eastAsia="宋体" w:cs="宋体"/>
        <w:kern w:val="2"/>
        <w:sz w:val="20"/>
        <w:szCs w:val="21"/>
        <w:lang w:val="zh-CN" w:eastAsia="zh-CN" w:bidi="zh-CN"/>
      </w:rPr>
    </w:pPr>
    <w:r>
      <w:rPr>
        <w:rFonts w:hint="default" w:ascii="Times New Roman" w:hAnsi="Times New Roman" w:eastAsia="Calibri" w:cs="宋体"/>
        <w:kern w:val="0"/>
        <w:sz w:val="20"/>
        <w:lang w:val="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7CF11">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23</w:t>
                          </w:r>
                          <w:r>
                            <w:rPr>
                              <w:rFonts w:hint="default" w:ascii="Times New Roman" w:hAnsi="Times New Roman" w:eastAsia="Calibri" w:cs="宋体"/>
                              <w:lang w:val="zh-CN" w:eastAsia="zh-CN" w:bidi="ar-SA"/>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3A37CF11">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23</w:t>
                    </w:r>
                    <w:r>
                      <w:rPr>
                        <w:rFonts w:hint="default" w:ascii="Times New Roman" w:hAnsi="Times New Roman" w:eastAsia="Calibri" w:cs="宋体"/>
                        <w:lang w:val="zh-CN"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C319">
    <w:pPr>
      <w:widowControl w:val="0"/>
      <w:spacing w:line="14" w:lineRule="auto"/>
      <w:rPr>
        <w:rFonts w:hint="default" w:ascii="宋体" w:hAnsi="宋体" w:eastAsia="宋体" w:cs="宋体"/>
        <w:kern w:val="2"/>
        <w:sz w:val="2"/>
        <w:szCs w:val="21"/>
        <w:lang w:val="zh-CN" w:eastAsia="zh-CN" w:bidi="zh-CN"/>
      </w:rPr>
    </w:pPr>
    <w:r>
      <w:rPr>
        <w:rFonts w:hint="default" w:ascii="Times New Roman" w:hAnsi="Times New Roman" w:eastAsia="Calibri" w:cs="宋体"/>
        <w:kern w:val="0"/>
        <w:sz w:val="2"/>
        <w:lang w:val="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9FF84D">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45</w:t>
                          </w:r>
                          <w:r>
                            <w:rPr>
                              <w:rFonts w:hint="default" w:ascii="Times New Roman" w:hAnsi="Times New Roman" w:eastAsia="Calibri" w:cs="宋体"/>
                              <w:lang w:val="zh-CN" w:eastAsia="zh-CN" w:bidi="ar-S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2C9FF84D">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45</w:t>
                    </w:r>
                    <w:r>
                      <w:rPr>
                        <w:rFonts w:hint="default" w:ascii="Times New Roman" w:hAnsi="Times New Roman" w:eastAsia="Calibri" w:cs="宋体"/>
                        <w:lang w:val="zh-CN"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B8F6">
    <w:pPr>
      <w:widowControl w:val="0"/>
      <w:spacing w:line="14" w:lineRule="auto"/>
      <w:rPr>
        <w:rFonts w:hint="default" w:ascii="宋体" w:hAnsi="宋体" w:eastAsia="宋体" w:cs="宋体"/>
        <w:kern w:val="2"/>
        <w:sz w:val="20"/>
        <w:szCs w:val="21"/>
        <w:lang w:val="zh-CN" w:eastAsia="zh-CN" w:bidi="zh-CN"/>
      </w:rPr>
    </w:pPr>
    <w:r>
      <w:rPr>
        <w:rFonts w:hint="default" w:ascii="Times New Roman" w:hAnsi="Times New Roman" w:eastAsia="Calibri" w:cs="宋体"/>
        <w:kern w:val="0"/>
        <w:sz w:val="20"/>
        <w:lang w:val="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36866">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46</w:t>
                          </w:r>
                          <w:r>
                            <w:rPr>
                              <w:rFonts w:hint="default" w:ascii="Times New Roman" w:hAnsi="Times New Roman" w:eastAsia="Calibri" w:cs="宋体"/>
                              <w:lang w:val="zh-CN" w:eastAsia="zh-CN" w:bidi="ar-SA"/>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25B36866">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46</w:t>
                    </w:r>
                    <w:r>
                      <w:rPr>
                        <w:rFonts w:hint="default" w:ascii="Times New Roman" w:hAnsi="Times New Roman" w:eastAsia="Calibri" w:cs="宋体"/>
                        <w:lang w:val="zh-CN"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2754">
    <w:pPr>
      <w:widowControl w:val="0"/>
      <w:spacing w:line="14" w:lineRule="auto"/>
      <w:rPr>
        <w:rFonts w:hint="default" w:ascii="宋体" w:hAnsi="宋体" w:eastAsia="宋体" w:cs="宋体"/>
        <w:kern w:val="2"/>
        <w:sz w:val="20"/>
        <w:szCs w:val="21"/>
        <w:lang w:val="zh-CN" w:eastAsia="zh-CN" w:bidi="zh-CN"/>
      </w:rPr>
    </w:pPr>
    <w:r>
      <w:rPr>
        <w:rFonts w:hint="default" w:ascii="Times New Roman" w:hAnsi="Times New Roman" w:eastAsia="Calibri" w:cs="宋体"/>
        <w:kern w:val="0"/>
        <w:sz w:val="20"/>
        <w:lang w:val="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23707">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53</w:t>
                          </w:r>
                          <w:r>
                            <w:rPr>
                              <w:rFonts w:hint="default" w:ascii="Times New Roman" w:hAnsi="Times New Roman" w:eastAsia="Calibri" w:cs="宋体"/>
                              <w:lang w:val="zh-CN" w:eastAsia="zh-CN" w:bidi="ar-SA"/>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62523707">
                    <w:pPr>
                      <w:widowControl w:val="0"/>
                      <w:tabs>
                        <w:tab w:val="center" w:pos="7143"/>
                        <w:tab w:val="right" w:pos="14287"/>
                      </w:tabs>
                      <w:spacing w:after="0" w:line="240" w:lineRule="auto"/>
                      <w:jc w:val="both"/>
                      <w:rPr>
                        <w:rFonts w:hint="default" w:ascii="Times New Roman" w:hAnsi="Times New Roman" w:eastAsia="Calibri" w:cs="宋体"/>
                        <w:lang w:val="zh-CN" w:eastAsia="zh-CN" w:bidi="ar-SA"/>
                      </w:rPr>
                    </w:pPr>
                    <w:r>
                      <w:rPr>
                        <w:rFonts w:hint="default" w:ascii="Times New Roman" w:hAnsi="Times New Roman" w:eastAsia="Calibri" w:cs="宋体"/>
                        <w:lang w:val="zh-CN" w:eastAsia="zh-CN" w:bidi="ar-SA"/>
                      </w:rPr>
                      <w:fldChar w:fldCharType="begin"/>
                    </w:r>
                    <w:r>
                      <w:rPr>
                        <w:rFonts w:hint="default" w:ascii="Times New Roman" w:hAnsi="Times New Roman" w:eastAsia="Calibri" w:cs="宋体"/>
                        <w:lang w:val="zh-CN" w:eastAsia="zh-CN" w:bidi="ar-SA"/>
                      </w:rPr>
                      <w:instrText xml:space="preserve"> PAGE  \* MERGEFORMAT </w:instrText>
                    </w:r>
                    <w:r>
                      <w:rPr>
                        <w:rFonts w:hint="default" w:ascii="Times New Roman" w:hAnsi="Times New Roman" w:eastAsia="Calibri" w:cs="宋体"/>
                        <w:lang w:val="zh-CN" w:eastAsia="zh-CN" w:bidi="ar-SA"/>
                      </w:rPr>
                      <w:fldChar w:fldCharType="separate"/>
                    </w:r>
                    <w:r>
                      <w:rPr>
                        <w:rFonts w:hint="default" w:ascii="Times New Roman" w:hAnsi="Times New Roman" w:eastAsia="Calibri" w:cs="宋体"/>
                        <w:lang w:val="zh-CN" w:eastAsia="zh-CN" w:bidi="ar-SA"/>
                      </w:rPr>
                      <w:t>53</w:t>
                    </w:r>
                    <w:r>
                      <w:rPr>
                        <w:rFonts w:hint="default" w:ascii="Times New Roman" w:hAnsi="Times New Roman" w:eastAsia="Calibri" w:cs="宋体"/>
                        <w:lang w:val="zh-CN"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4D32">
    <w:pPr>
      <w:pStyle w:val="20"/>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25BD">
                          <w:pPr>
                            <w:pStyle w:val="20"/>
                            <w:rPr>
                              <w:rFonts w:hint="eastAsia"/>
                            </w:rPr>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7525BD">
                    <w:pPr>
                      <w:pStyle w:val="20"/>
                      <w:rPr>
                        <w:rFonts w:hint="eastAsia"/>
                      </w:rP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F9B6C">
    <w:pPr>
      <w:pStyle w:val="21"/>
      <w:pBdr>
        <w:bottom w:val="none" w:color="auto" w:sz="0" w:space="1"/>
      </w:pBdr>
      <w:jc w:val="both"/>
      <w:rPr>
        <w:rFonts w:hint="eastAsia" w:ascii="方正舒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7346">
    <w:pPr>
      <w:spacing w:line="480" w:lineRule="auto"/>
      <w:rPr>
        <w:rFonts w:hint="default" w:ascii="Times New Roman" w:hAnsi="Times New Roman" w:eastAsia="宋体" w:cs="Times New Roman"/>
        <w:kern w:val="2"/>
        <w:sz w:val="21"/>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A872">
    <w:pPr>
      <w:widowControl w:val="0"/>
      <w:spacing w:line="14" w:lineRule="auto"/>
      <w:rPr>
        <w:rFonts w:hint="default" w:ascii="宋体" w:hAnsi="宋体" w:eastAsia="宋体" w:cs="宋体"/>
        <w:kern w:val="2"/>
        <w:sz w:val="2"/>
        <w:szCs w:val="21"/>
        <w:lang w:val="zh-CN" w:eastAsia="zh-CN" w:bidi="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32CE">
    <w:pPr>
      <w:widowControl w:val="0"/>
      <w:spacing w:line="14" w:lineRule="auto"/>
      <w:rPr>
        <w:rFonts w:hint="default" w:ascii="宋体" w:hAnsi="宋体" w:eastAsia="宋体" w:cs="宋体"/>
        <w:kern w:val="2"/>
        <w:sz w:val="20"/>
        <w:szCs w:val="21"/>
        <w:lang w:val="zh-CN" w:eastAsia="zh-CN" w:bidi="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AD10C"/>
    <w:multiLevelType w:val="singleLevel"/>
    <w:tmpl w:val="A23AD10C"/>
    <w:lvl w:ilvl="0" w:tentative="0">
      <w:start w:val="2"/>
      <w:numFmt w:val="decimal"/>
      <w:suff w:val="nothing"/>
      <w:lvlText w:val="%1、"/>
      <w:lvlJc w:val="left"/>
    </w:lvl>
  </w:abstractNum>
  <w:abstractNum w:abstractNumId="1">
    <w:nsid w:val="AD075080"/>
    <w:multiLevelType w:val="singleLevel"/>
    <w:tmpl w:val="AD075080"/>
    <w:lvl w:ilvl="0" w:tentative="0">
      <w:start w:val="4"/>
      <w:numFmt w:val="chineseCounting"/>
      <w:suff w:val="space"/>
      <w:lvlText w:val="第%1章"/>
      <w:lvlJc w:val="left"/>
      <w:rPr>
        <w:rFonts w:hint="eastAsia"/>
      </w:rPr>
    </w:lvl>
  </w:abstractNum>
  <w:abstractNum w:abstractNumId="2">
    <w:nsid w:val="0000000C"/>
    <w:multiLevelType w:val="multilevel"/>
    <w:tmpl w:val="0000000C"/>
    <w:lvl w:ilvl="0" w:tentative="0">
      <w:start w:val="1"/>
      <w:numFmt w:val="bullet"/>
      <w:pStyle w:val="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1170C43"/>
    <w:multiLevelType w:val="singleLevel"/>
    <w:tmpl w:val="01170C43"/>
    <w:lvl w:ilvl="0" w:tentative="0">
      <w:start w:val="1"/>
      <w:numFmt w:val="decimal"/>
      <w:suff w:val="nothing"/>
      <w:lvlText w:val="（%1）"/>
      <w:lvlJc w:val="left"/>
    </w:lvl>
  </w:abstractNum>
  <w:abstractNum w:abstractNumId="4">
    <w:nsid w:val="036F85CE"/>
    <w:multiLevelType w:val="multilevel"/>
    <w:tmpl w:val="036F85CE"/>
    <w:lvl w:ilvl="0" w:tentative="0">
      <w:start w:val="11"/>
      <w:numFmt w:val="decimal"/>
      <w:lvlText w:val="%1"/>
      <w:lvlJc w:val="left"/>
      <w:pPr>
        <w:ind w:left="4615" w:hanging="433"/>
      </w:pPr>
      <w:rPr>
        <w:rFonts w:hint="default"/>
        <w:lang w:val="zh-CN" w:eastAsia="zh-CN" w:bidi="zh-CN"/>
      </w:rPr>
    </w:lvl>
    <w:lvl w:ilvl="1" w:tentative="0">
      <w:start w:val="2"/>
      <w:numFmt w:val="decimal"/>
      <w:lvlText w:val="%1-%2"/>
      <w:lvlJc w:val="left"/>
      <w:pPr>
        <w:ind w:left="4615" w:hanging="433"/>
      </w:pPr>
      <w:rPr>
        <w:rFonts w:hint="default" w:ascii="Times New Roman" w:hAnsi="Times New Roman" w:eastAsia="Times New Roman" w:cs="Times New Roman"/>
        <w:spacing w:val="-5"/>
        <w:sz w:val="22"/>
        <w:szCs w:val="22"/>
        <w:lang w:val="zh-CN" w:eastAsia="zh-CN" w:bidi="zh-CN"/>
      </w:rPr>
    </w:lvl>
    <w:lvl w:ilvl="2" w:tentative="0">
      <w:start w:val="0"/>
      <w:numFmt w:val="bullet"/>
      <w:lvlText w:val="•"/>
      <w:lvlJc w:val="left"/>
      <w:pPr>
        <w:ind w:left="5889" w:hanging="433"/>
      </w:pPr>
      <w:rPr>
        <w:rFonts w:hint="default"/>
        <w:lang w:val="zh-CN" w:eastAsia="zh-CN" w:bidi="zh-CN"/>
      </w:rPr>
    </w:lvl>
    <w:lvl w:ilvl="3" w:tentative="0">
      <w:start w:val="0"/>
      <w:numFmt w:val="bullet"/>
      <w:lvlText w:val="•"/>
      <w:lvlJc w:val="left"/>
      <w:pPr>
        <w:ind w:left="6523" w:hanging="433"/>
      </w:pPr>
      <w:rPr>
        <w:rFonts w:hint="default"/>
        <w:lang w:val="zh-CN" w:eastAsia="zh-CN" w:bidi="zh-CN"/>
      </w:rPr>
    </w:lvl>
    <w:lvl w:ilvl="4" w:tentative="0">
      <w:start w:val="0"/>
      <w:numFmt w:val="bullet"/>
      <w:lvlText w:val="•"/>
      <w:lvlJc w:val="left"/>
      <w:pPr>
        <w:ind w:left="7158" w:hanging="433"/>
      </w:pPr>
      <w:rPr>
        <w:rFonts w:hint="default"/>
        <w:lang w:val="zh-CN" w:eastAsia="zh-CN" w:bidi="zh-CN"/>
      </w:rPr>
    </w:lvl>
    <w:lvl w:ilvl="5" w:tentative="0">
      <w:start w:val="0"/>
      <w:numFmt w:val="bullet"/>
      <w:lvlText w:val="•"/>
      <w:lvlJc w:val="left"/>
      <w:pPr>
        <w:ind w:left="7793" w:hanging="433"/>
      </w:pPr>
      <w:rPr>
        <w:rFonts w:hint="default"/>
        <w:lang w:val="zh-CN" w:eastAsia="zh-CN" w:bidi="zh-CN"/>
      </w:rPr>
    </w:lvl>
    <w:lvl w:ilvl="6" w:tentative="0">
      <w:start w:val="0"/>
      <w:numFmt w:val="bullet"/>
      <w:lvlText w:val="•"/>
      <w:lvlJc w:val="left"/>
      <w:pPr>
        <w:ind w:left="8427" w:hanging="433"/>
      </w:pPr>
      <w:rPr>
        <w:rFonts w:hint="default"/>
        <w:lang w:val="zh-CN" w:eastAsia="zh-CN" w:bidi="zh-CN"/>
      </w:rPr>
    </w:lvl>
    <w:lvl w:ilvl="7" w:tentative="0">
      <w:start w:val="0"/>
      <w:numFmt w:val="bullet"/>
      <w:lvlText w:val="•"/>
      <w:lvlJc w:val="left"/>
      <w:pPr>
        <w:ind w:left="9062" w:hanging="433"/>
      </w:pPr>
      <w:rPr>
        <w:rFonts w:hint="default"/>
        <w:lang w:val="zh-CN" w:eastAsia="zh-CN" w:bidi="zh-CN"/>
      </w:rPr>
    </w:lvl>
    <w:lvl w:ilvl="8" w:tentative="0">
      <w:start w:val="0"/>
      <w:numFmt w:val="bullet"/>
      <w:lvlText w:val="•"/>
      <w:lvlJc w:val="left"/>
      <w:pPr>
        <w:ind w:left="9696" w:hanging="433"/>
      </w:pPr>
      <w:rPr>
        <w:rFonts w:hint="default"/>
        <w:lang w:val="zh-CN" w:eastAsia="zh-CN" w:bidi="zh-CN"/>
      </w:rPr>
    </w:lvl>
  </w:abstractNum>
  <w:abstractNum w:abstractNumId="5">
    <w:nsid w:val="389A3BB8"/>
    <w:multiLevelType w:val="multilevel"/>
    <w:tmpl w:val="389A3BB8"/>
    <w:lvl w:ilvl="0" w:tentative="0">
      <w:start w:val="1"/>
      <w:numFmt w:val="japaneseCounting"/>
      <w:lvlText w:val="第%1章"/>
      <w:lvlJc w:val="left"/>
      <w:pPr>
        <w:ind w:left="4845" w:hanging="1065"/>
      </w:pPr>
      <w:rPr>
        <w:rFonts w:hint="default"/>
      </w:rPr>
    </w:lvl>
    <w:lvl w:ilvl="1" w:tentative="0">
      <w:start w:val="1"/>
      <w:numFmt w:val="lowerLetter"/>
      <w:lvlText w:val="%2)"/>
      <w:lvlJc w:val="left"/>
      <w:pPr>
        <w:ind w:left="4620" w:hanging="420"/>
      </w:pPr>
    </w:lvl>
    <w:lvl w:ilvl="2" w:tentative="0">
      <w:start w:val="1"/>
      <w:numFmt w:val="lowerRoman"/>
      <w:lvlText w:val="%3."/>
      <w:lvlJc w:val="right"/>
      <w:pPr>
        <w:ind w:left="5040" w:hanging="420"/>
      </w:pPr>
    </w:lvl>
    <w:lvl w:ilvl="3" w:tentative="0">
      <w:start w:val="1"/>
      <w:numFmt w:val="decimal"/>
      <w:lvlText w:val="%4."/>
      <w:lvlJc w:val="left"/>
      <w:pPr>
        <w:ind w:left="5460" w:hanging="420"/>
      </w:pPr>
    </w:lvl>
    <w:lvl w:ilvl="4" w:tentative="0">
      <w:start w:val="1"/>
      <w:numFmt w:val="lowerLetter"/>
      <w:lvlText w:val="%5)"/>
      <w:lvlJc w:val="left"/>
      <w:pPr>
        <w:ind w:left="5880" w:hanging="420"/>
      </w:pPr>
    </w:lvl>
    <w:lvl w:ilvl="5" w:tentative="0">
      <w:start w:val="1"/>
      <w:numFmt w:val="lowerRoman"/>
      <w:lvlText w:val="%6."/>
      <w:lvlJc w:val="right"/>
      <w:pPr>
        <w:ind w:left="6300" w:hanging="420"/>
      </w:pPr>
    </w:lvl>
    <w:lvl w:ilvl="6" w:tentative="0">
      <w:start w:val="1"/>
      <w:numFmt w:val="decimal"/>
      <w:lvlText w:val="%7."/>
      <w:lvlJc w:val="left"/>
      <w:pPr>
        <w:ind w:left="6720" w:hanging="420"/>
      </w:pPr>
    </w:lvl>
    <w:lvl w:ilvl="7" w:tentative="0">
      <w:start w:val="1"/>
      <w:numFmt w:val="lowerLetter"/>
      <w:lvlText w:val="%8)"/>
      <w:lvlJc w:val="left"/>
      <w:pPr>
        <w:ind w:left="7140" w:hanging="420"/>
      </w:pPr>
    </w:lvl>
    <w:lvl w:ilvl="8" w:tentative="0">
      <w:start w:val="1"/>
      <w:numFmt w:val="lowerRoman"/>
      <w:lvlText w:val="%9."/>
      <w:lvlJc w:val="right"/>
      <w:pPr>
        <w:ind w:left="7560" w:hanging="42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TA1NjE3M2Y1NGI3OWUyOTQzZjM4NTAzNWUyNDcifQ=="/>
  </w:docVars>
  <w:rsids>
    <w:rsidRoot w:val="00626CCC"/>
    <w:rsid w:val="0001379C"/>
    <w:rsid w:val="00017F09"/>
    <w:rsid w:val="000248CC"/>
    <w:rsid w:val="00035A3B"/>
    <w:rsid w:val="0006253E"/>
    <w:rsid w:val="0007207B"/>
    <w:rsid w:val="0007599C"/>
    <w:rsid w:val="00077EDF"/>
    <w:rsid w:val="0009530C"/>
    <w:rsid w:val="0009763C"/>
    <w:rsid w:val="000A011C"/>
    <w:rsid w:val="000A16FE"/>
    <w:rsid w:val="000A4020"/>
    <w:rsid w:val="000B1C8C"/>
    <w:rsid w:val="000B2892"/>
    <w:rsid w:val="000B57D9"/>
    <w:rsid w:val="000C0318"/>
    <w:rsid w:val="000C59B1"/>
    <w:rsid w:val="000D0F13"/>
    <w:rsid w:val="000D2E1C"/>
    <w:rsid w:val="000E03E2"/>
    <w:rsid w:val="00102C9E"/>
    <w:rsid w:val="001066F2"/>
    <w:rsid w:val="00120D58"/>
    <w:rsid w:val="00121256"/>
    <w:rsid w:val="001240A7"/>
    <w:rsid w:val="001265ED"/>
    <w:rsid w:val="00126AB2"/>
    <w:rsid w:val="001410C5"/>
    <w:rsid w:val="00143C3C"/>
    <w:rsid w:val="001544BC"/>
    <w:rsid w:val="00176D37"/>
    <w:rsid w:val="001901D5"/>
    <w:rsid w:val="00190B25"/>
    <w:rsid w:val="001948F7"/>
    <w:rsid w:val="001956B8"/>
    <w:rsid w:val="001A529C"/>
    <w:rsid w:val="001C452E"/>
    <w:rsid w:val="001C5C03"/>
    <w:rsid w:val="001E44F1"/>
    <w:rsid w:val="001E5041"/>
    <w:rsid w:val="001E643D"/>
    <w:rsid w:val="001F367C"/>
    <w:rsid w:val="00205128"/>
    <w:rsid w:val="00205F39"/>
    <w:rsid w:val="002169AD"/>
    <w:rsid w:val="00217E32"/>
    <w:rsid w:val="00220D9A"/>
    <w:rsid w:val="0022110D"/>
    <w:rsid w:val="00235770"/>
    <w:rsid w:val="0024025A"/>
    <w:rsid w:val="00241D81"/>
    <w:rsid w:val="002630C7"/>
    <w:rsid w:val="00264178"/>
    <w:rsid w:val="0027543E"/>
    <w:rsid w:val="00283897"/>
    <w:rsid w:val="002856B8"/>
    <w:rsid w:val="00292B17"/>
    <w:rsid w:val="002A7076"/>
    <w:rsid w:val="002C0364"/>
    <w:rsid w:val="002C7DFB"/>
    <w:rsid w:val="002D591A"/>
    <w:rsid w:val="002D7ABD"/>
    <w:rsid w:val="002D7D3B"/>
    <w:rsid w:val="002E0D42"/>
    <w:rsid w:val="002E3AD9"/>
    <w:rsid w:val="0030188C"/>
    <w:rsid w:val="003029FA"/>
    <w:rsid w:val="003055A1"/>
    <w:rsid w:val="00307FDC"/>
    <w:rsid w:val="00314711"/>
    <w:rsid w:val="00323E5D"/>
    <w:rsid w:val="00324187"/>
    <w:rsid w:val="00325775"/>
    <w:rsid w:val="0033194B"/>
    <w:rsid w:val="00332AAB"/>
    <w:rsid w:val="00361DDA"/>
    <w:rsid w:val="0037435C"/>
    <w:rsid w:val="003A108C"/>
    <w:rsid w:val="003A118D"/>
    <w:rsid w:val="003A216E"/>
    <w:rsid w:val="003A7C73"/>
    <w:rsid w:val="003B33B1"/>
    <w:rsid w:val="003B75A9"/>
    <w:rsid w:val="003C0AEA"/>
    <w:rsid w:val="003C79F1"/>
    <w:rsid w:val="003D4229"/>
    <w:rsid w:val="003D4BA9"/>
    <w:rsid w:val="003D5E1F"/>
    <w:rsid w:val="003D6024"/>
    <w:rsid w:val="003E1FB9"/>
    <w:rsid w:val="003E4820"/>
    <w:rsid w:val="003F05BD"/>
    <w:rsid w:val="003F2338"/>
    <w:rsid w:val="0041307C"/>
    <w:rsid w:val="004132E8"/>
    <w:rsid w:val="00416765"/>
    <w:rsid w:val="004253C0"/>
    <w:rsid w:val="00427961"/>
    <w:rsid w:val="00431DA9"/>
    <w:rsid w:val="00452643"/>
    <w:rsid w:val="0045563F"/>
    <w:rsid w:val="00456079"/>
    <w:rsid w:val="00462162"/>
    <w:rsid w:val="004775B5"/>
    <w:rsid w:val="004825A0"/>
    <w:rsid w:val="004827FA"/>
    <w:rsid w:val="00483212"/>
    <w:rsid w:val="00491FBB"/>
    <w:rsid w:val="004926E3"/>
    <w:rsid w:val="004A5E5E"/>
    <w:rsid w:val="004B4E89"/>
    <w:rsid w:val="004B7EE6"/>
    <w:rsid w:val="004C0106"/>
    <w:rsid w:val="004C7521"/>
    <w:rsid w:val="004D0EBC"/>
    <w:rsid w:val="004D1D06"/>
    <w:rsid w:val="004D6067"/>
    <w:rsid w:val="004E1615"/>
    <w:rsid w:val="004E3B9A"/>
    <w:rsid w:val="004E3EB7"/>
    <w:rsid w:val="004E46A3"/>
    <w:rsid w:val="004F00DD"/>
    <w:rsid w:val="004F01E5"/>
    <w:rsid w:val="004F1D69"/>
    <w:rsid w:val="004F207B"/>
    <w:rsid w:val="00501274"/>
    <w:rsid w:val="005061B9"/>
    <w:rsid w:val="0051609D"/>
    <w:rsid w:val="005234BB"/>
    <w:rsid w:val="005245DD"/>
    <w:rsid w:val="005322D9"/>
    <w:rsid w:val="005330AF"/>
    <w:rsid w:val="005419E7"/>
    <w:rsid w:val="005541F6"/>
    <w:rsid w:val="0055704E"/>
    <w:rsid w:val="005644F3"/>
    <w:rsid w:val="00567723"/>
    <w:rsid w:val="00570858"/>
    <w:rsid w:val="00572FD1"/>
    <w:rsid w:val="00583D5C"/>
    <w:rsid w:val="00590BCC"/>
    <w:rsid w:val="005917FB"/>
    <w:rsid w:val="00595C09"/>
    <w:rsid w:val="00596D07"/>
    <w:rsid w:val="00597A12"/>
    <w:rsid w:val="005B0527"/>
    <w:rsid w:val="005B3063"/>
    <w:rsid w:val="005C33EB"/>
    <w:rsid w:val="005D1324"/>
    <w:rsid w:val="005D47FE"/>
    <w:rsid w:val="005E1E1C"/>
    <w:rsid w:val="005F298D"/>
    <w:rsid w:val="00602B23"/>
    <w:rsid w:val="00604699"/>
    <w:rsid w:val="00606664"/>
    <w:rsid w:val="0061604E"/>
    <w:rsid w:val="00617192"/>
    <w:rsid w:val="00617901"/>
    <w:rsid w:val="00622203"/>
    <w:rsid w:val="00626CCC"/>
    <w:rsid w:val="00635657"/>
    <w:rsid w:val="0066026B"/>
    <w:rsid w:val="00666BC6"/>
    <w:rsid w:val="006805C1"/>
    <w:rsid w:val="00692E6C"/>
    <w:rsid w:val="006A25E5"/>
    <w:rsid w:val="006B1970"/>
    <w:rsid w:val="006B2DAB"/>
    <w:rsid w:val="006B34B7"/>
    <w:rsid w:val="006C5018"/>
    <w:rsid w:val="006D13A9"/>
    <w:rsid w:val="006F4737"/>
    <w:rsid w:val="00706C68"/>
    <w:rsid w:val="007071AD"/>
    <w:rsid w:val="00720535"/>
    <w:rsid w:val="0072278D"/>
    <w:rsid w:val="007270DE"/>
    <w:rsid w:val="00727DDC"/>
    <w:rsid w:val="00730E91"/>
    <w:rsid w:val="0074771E"/>
    <w:rsid w:val="007575F3"/>
    <w:rsid w:val="007651B9"/>
    <w:rsid w:val="00765C51"/>
    <w:rsid w:val="00770E27"/>
    <w:rsid w:val="0078747C"/>
    <w:rsid w:val="007A6455"/>
    <w:rsid w:val="007B0FC0"/>
    <w:rsid w:val="007B2322"/>
    <w:rsid w:val="007C258A"/>
    <w:rsid w:val="007C2B53"/>
    <w:rsid w:val="007C3EB8"/>
    <w:rsid w:val="007C662B"/>
    <w:rsid w:val="007D2094"/>
    <w:rsid w:val="007F6B4B"/>
    <w:rsid w:val="00812285"/>
    <w:rsid w:val="00821FAA"/>
    <w:rsid w:val="00835CA9"/>
    <w:rsid w:val="008652EF"/>
    <w:rsid w:val="00870F71"/>
    <w:rsid w:val="00873879"/>
    <w:rsid w:val="008745B3"/>
    <w:rsid w:val="00877DC5"/>
    <w:rsid w:val="0088784C"/>
    <w:rsid w:val="00887E6A"/>
    <w:rsid w:val="008956D6"/>
    <w:rsid w:val="008A1586"/>
    <w:rsid w:val="008A603C"/>
    <w:rsid w:val="008B44BC"/>
    <w:rsid w:val="008B5F7A"/>
    <w:rsid w:val="008B7FC3"/>
    <w:rsid w:val="008D2E02"/>
    <w:rsid w:val="008D699D"/>
    <w:rsid w:val="008E61EF"/>
    <w:rsid w:val="00914506"/>
    <w:rsid w:val="009152E8"/>
    <w:rsid w:val="00920345"/>
    <w:rsid w:val="009320DF"/>
    <w:rsid w:val="009415AB"/>
    <w:rsid w:val="00942EC6"/>
    <w:rsid w:val="0094407E"/>
    <w:rsid w:val="0094654E"/>
    <w:rsid w:val="00954F55"/>
    <w:rsid w:val="00963440"/>
    <w:rsid w:val="00967A52"/>
    <w:rsid w:val="009702CC"/>
    <w:rsid w:val="00975881"/>
    <w:rsid w:val="00996EF0"/>
    <w:rsid w:val="009B020D"/>
    <w:rsid w:val="009B79FF"/>
    <w:rsid w:val="009C511D"/>
    <w:rsid w:val="009D3110"/>
    <w:rsid w:val="009D3467"/>
    <w:rsid w:val="009E53A3"/>
    <w:rsid w:val="009F3F7D"/>
    <w:rsid w:val="009F7EE1"/>
    <w:rsid w:val="00A01099"/>
    <w:rsid w:val="00A07357"/>
    <w:rsid w:val="00A231FA"/>
    <w:rsid w:val="00A25157"/>
    <w:rsid w:val="00A278B8"/>
    <w:rsid w:val="00A348B2"/>
    <w:rsid w:val="00A56061"/>
    <w:rsid w:val="00A644DD"/>
    <w:rsid w:val="00A72EAD"/>
    <w:rsid w:val="00A802BC"/>
    <w:rsid w:val="00A853BD"/>
    <w:rsid w:val="00A87E9D"/>
    <w:rsid w:val="00AA0CA1"/>
    <w:rsid w:val="00AA5FC5"/>
    <w:rsid w:val="00AB78D8"/>
    <w:rsid w:val="00AC0362"/>
    <w:rsid w:val="00AC10A5"/>
    <w:rsid w:val="00AC4F5E"/>
    <w:rsid w:val="00AD02F1"/>
    <w:rsid w:val="00AD0D40"/>
    <w:rsid w:val="00AE03FE"/>
    <w:rsid w:val="00AE2AB6"/>
    <w:rsid w:val="00AE527B"/>
    <w:rsid w:val="00AF4EFC"/>
    <w:rsid w:val="00B035D4"/>
    <w:rsid w:val="00B07D4B"/>
    <w:rsid w:val="00B12538"/>
    <w:rsid w:val="00B14B9F"/>
    <w:rsid w:val="00B16FBB"/>
    <w:rsid w:val="00B470F6"/>
    <w:rsid w:val="00B540DD"/>
    <w:rsid w:val="00B5566B"/>
    <w:rsid w:val="00B66C7E"/>
    <w:rsid w:val="00B76147"/>
    <w:rsid w:val="00BA187A"/>
    <w:rsid w:val="00BB3EB8"/>
    <w:rsid w:val="00BC19C1"/>
    <w:rsid w:val="00BC638F"/>
    <w:rsid w:val="00BD0218"/>
    <w:rsid w:val="00BD5932"/>
    <w:rsid w:val="00BD7513"/>
    <w:rsid w:val="00BE0214"/>
    <w:rsid w:val="00BF2B04"/>
    <w:rsid w:val="00BF4415"/>
    <w:rsid w:val="00BF6AC4"/>
    <w:rsid w:val="00C0272A"/>
    <w:rsid w:val="00C200DA"/>
    <w:rsid w:val="00C2225C"/>
    <w:rsid w:val="00C23B27"/>
    <w:rsid w:val="00C278DB"/>
    <w:rsid w:val="00C30C6D"/>
    <w:rsid w:val="00C35609"/>
    <w:rsid w:val="00C36E8E"/>
    <w:rsid w:val="00C42A0E"/>
    <w:rsid w:val="00C43062"/>
    <w:rsid w:val="00C502E2"/>
    <w:rsid w:val="00C604AE"/>
    <w:rsid w:val="00C74A7B"/>
    <w:rsid w:val="00C8118B"/>
    <w:rsid w:val="00C8417F"/>
    <w:rsid w:val="00C97691"/>
    <w:rsid w:val="00C97E69"/>
    <w:rsid w:val="00CA0A32"/>
    <w:rsid w:val="00CB1290"/>
    <w:rsid w:val="00CB39A4"/>
    <w:rsid w:val="00CC6580"/>
    <w:rsid w:val="00CD726A"/>
    <w:rsid w:val="00CE716B"/>
    <w:rsid w:val="00D12084"/>
    <w:rsid w:val="00D16C63"/>
    <w:rsid w:val="00D21AA1"/>
    <w:rsid w:val="00D3525F"/>
    <w:rsid w:val="00D4636F"/>
    <w:rsid w:val="00D64BFE"/>
    <w:rsid w:val="00D94759"/>
    <w:rsid w:val="00D96341"/>
    <w:rsid w:val="00DB341E"/>
    <w:rsid w:val="00DC03D5"/>
    <w:rsid w:val="00DC22A5"/>
    <w:rsid w:val="00DC3C4D"/>
    <w:rsid w:val="00DD28C4"/>
    <w:rsid w:val="00DE55EB"/>
    <w:rsid w:val="00DE603B"/>
    <w:rsid w:val="00DE7821"/>
    <w:rsid w:val="00DF65E8"/>
    <w:rsid w:val="00DF69EC"/>
    <w:rsid w:val="00DF7D5C"/>
    <w:rsid w:val="00E07F6C"/>
    <w:rsid w:val="00E12E87"/>
    <w:rsid w:val="00E20AA5"/>
    <w:rsid w:val="00E303BF"/>
    <w:rsid w:val="00E36DF6"/>
    <w:rsid w:val="00E43C92"/>
    <w:rsid w:val="00E5637C"/>
    <w:rsid w:val="00E63094"/>
    <w:rsid w:val="00E76A2A"/>
    <w:rsid w:val="00E810B8"/>
    <w:rsid w:val="00E90766"/>
    <w:rsid w:val="00E90DCA"/>
    <w:rsid w:val="00EA3F15"/>
    <w:rsid w:val="00EB0AA4"/>
    <w:rsid w:val="00EB13F4"/>
    <w:rsid w:val="00ED4615"/>
    <w:rsid w:val="00EE563F"/>
    <w:rsid w:val="00EE771F"/>
    <w:rsid w:val="00EE7E10"/>
    <w:rsid w:val="00EF6F83"/>
    <w:rsid w:val="00F03307"/>
    <w:rsid w:val="00F06A8F"/>
    <w:rsid w:val="00F06A9C"/>
    <w:rsid w:val="00F11557"/>
    <w:rsid w:val="00F21547"/>
    <w:rsid w:val="00F4214A"/>
    <w:rsid w:val="00F43606"/>
    <w:rsid w:val="00F45137"/>
    <w:rsid w:val="00F53E07"/>
    <w:rsid w:val="00F62DAB"/>
    <w:rsid w:val="00F65D59"/>
    <w:rsid w:val="00F71483"/>
    <w:rsid w:val="00F82418"/>
    <w:rsid w:val="00F8279A"/>
    <w:rsid w:val="00F85E68"/>
    <w:rsid w:val="00FA601D"/>
    <w:rsid w:val="00FB1235"/>
    <w:rsid w:val="00FB72BD"/>
    <w:rsid w:val="00FC2975"/>
    <w:rsid w:val="00FC594A"/>
    <w:rsid w:val="00FC7086"/>
    <w:rsid w:val="00FE6C12"/>
    <w:rsid w:val="00FF23D8"/>
    <w:rsid w:val="00FF44C2"/>
    <w:rsid w:val="01184B9C"/>
    <w:rsid w:val="01733261"/>
    <w:rsid w:val="02095E35"/>
    <w:rsid w:val="021C26D5"/>
    <w:rsid w:val="02EE012D"/>
    <w:rsid w:val="031B2683"/>
    <w:rsid w:val="031F0810"/>
    <w:rsid w:val="042E0790"/>
    <w:rsid w:val="04697A1A"/>
    <w:rsid w:val="049F4DBC"/>
    <w:rsid w:val="05276E04"/>
    <w:rsid w:val="05677B5F"/>
    <w:rsid w:val="05925D73"/>
    <w:rsid w:val="05BC001D"/>
    <w:rsid w:val="061B2EF8"/>
    <w:rsid w:val="063C3A01"/>
    <w:rsid w:val="06DD1333"/>
    <w:rsid w:val="073E1647"/>
    <w:rsid w:val="07787303"/>
    <w:rsid w:val="07A23BA4"/>
    <w:rsid w:val="07AD5B1C"/>
    <w:rsid w:val="07E03659"/>
    <w:rsid w:val="08000695"/>
    <w:rsid w:val="08970B82"/>
    <w:rsid w:val="090F378A"/>
    <w:rsid w:val="09CE6AD4"/>
    <w:rsid w:val="09D136E8"/>
    <w:rsid w:val="0A5B6432"/>
    <w:rsid w:val="0A68578B"/>
    <w:rsid w:val="0A83030F"/>
    <w:rsid w:val="0A8643F5"/>
    <w:rsid w:val="0ACC485F"/>
    <w:rsid w:val="0B361355"/>
    <w:rsid w:val="0B385746"/>
    <w:rsid w:val="0B8921B1"/>
    <w:rsid w:val="0B896BF3"/>
    <w:rsid w:val="0C124782"/>
    <w:rsid w:val="0C26122C"/>
    <w:rsid w:val="0C343363"/>
    <w:rsid w:val="0C424515"/>
    <w:rsid w:val="0C5D6B00"/>
    <w:rsid w:val="0C5F47B6"/>
    <w:rsid w:val="0CB9190B"/>
    <w:rsid w:val="0CF02330"/>
    <w:rsid w:val="0CFC235B"/>
    <w:rsid w:val="0CFD4210"/>
    <w:rsid w:val="0D5D5A62"/>
    <w:rsid w:val="0D8C576F"/>
    <w:rsid w:val="0DAE2941"/>
    <w:rsid w:val="0E11071B"/>
    <w:rsid w:val="0E283961"/>
    <w:rsid w:val="0E9B2AA4"/>
    <w:rsid w:val="0F1C65C3"/>
    <w:rsid w:val="0F3954BB"/>
    <w:rsid w:val="0F4075C9"/>
    <w:rsid w:val="10466924"/>
    <w:rsid w:val="105C6964"/>
    <w:rsid w:val="10D51B45"/>
    <w:rsid w:val="110034B4"/>
    <w:rsid w:val="1129529D"/>
    <w:rsid w:val="112B7A32"/>
    <w:rsid w:val="116B1D07"/>
    <w:rsid w:val="116F44A8"/>
    <w:rsid w:val="11A4079A"/>
    <w:rsid w:val="11BA1581"/>
    <w:rsid w:val="11DD7522"/>
    <w:rsid w:val="122F5A80"/>
    <w:rsid w:val="1256697F"/>
    <w:rsid w:val="126D1B09"/>
    <w:rsid w:val="12A37A7A"/>
    <w:rsid w:val="12AB0546"/>
    <w:rsid w:val="135A44E0"/>
    <w:rsid w:val="13B412BF"/>
    <w:rsid w:val="13D35C6C"/>
    <w:rsid w:val="13D87B37"/>
    <w:rsid w:val="14791E5D"/>
    <w:rsid w:val="14A95B8B"/>
    <w:rsid w:val="14C60E0E"/>
    <w:rsid w:val="14C64207"/>
    <w:rsid w:val="14CD32B0"/>
    <w:rsid w:val="15E37ACC"/>
    <w:rsid w:val="15EA1F1B"/>
    <w:rsid w:val="16343767"/>
    <w:rsid w:val="164941D9"/>
    <w:rsid w:val="16A311D8"/>
    <w:rsid w:val="170E46B1"/>
    <w:rsid w:val="17105BFE"/>
    <w:rsid w:val="1776681B"/>
    <w:rsid w:val="17880BA3"/>
    <w:rsid w:val="17CE60BA"/>
    <w:rsid w:val="18F45480"/>
    <w:rsid w:val="19053D5D"/>
    <w:rsid w:val="190B300D"/>
    <w:rsid w:val="19640DAF"/>
    <w:rsid w:val="199364A5"/>
    <w:rsid w:val="19B61EF0"/>
    <w:rsid w:val="19C64E20"/>
    <w:rsid w:val="19F85670"/>
    <w:rsid w:val="1A7222BA"/>
    <w:rsid w:val="1A815666"/>
    <w:rsid w:val="1A852880"/>
    <w:rsid w:val="1AC83AAC"/>
    <w:rsid w:val="1AC85271"/>
    <w:rsid w:val="1AEF625F"/>
    <w:rsid w:val="1B2A7AAB"/>
    <w:rsid w:val="1B6139B0"/>
    <w:rsid w:val="1BF92873"/>
    <w:rsid w:val="1C3F7228"/>
    <w:rsid w:val="1C574F78"/>
    <w:rsid w:val="1C9F3004"/>
    <w:rsid w:val="1CE5361F"/>
    <w:rsid w:val="1CEC768F"/>
    <w:rsid w:val="1D253346"/>
    <w:rsid w:val="1D7019C1"/>
    <w:rsid w:val="1D855E12"/>
    <w:rsid w:val="1DF91493"/>
    <w:rsid w:val="1E1968B2"/>
    <w:rsid w:val="1E2A28EC"/>
    <w:rsid w:val="1E471DA7"/>
    <w:rsid w:val="1EAE3611"/>
    <w:rsid w:val="1EBC342E"/>
    <w:rsid w:val="1ECA60B9"/>
    <w:rsid w:val="1ECE2638"/>
    <w:rsid w:val="1F106349"/>
    <w:rsid w:val="1F2667DB"/>
    <w:rsid w:val="1F5903DF"/>
    <w:rsid w:val="1F635CD3"/>
    <w:rsid w:val="1F975B95"/>
    <w:rsid w:val="1FA71399"/>
    <w:rsid w:val="1FE17D63"/>
    <w:rsid w:val="200C2075"/>
    <w:rsid w:val="203C5B8B"/>
    <w:rsid w:val="206C6329"/>
    <w:rsid w:val="20794208"/>
    <w:rsid w:val="213C3607"/>
    <w:rsid w:val="21433923"/>
    <w:rsid w:val="2176590C"/>
    <w:rsid w:val="218767FE"/>
    <w:rsid w:val="22160DCC"/>
    <w:rsid w:val="22682C6D"/>
    <w:rsid w:val="22F25F19"/>
    <w:rsid w:val="22FD7A6D"/>
    <w:rsid w:val="2313186D"/>
    <w:rsid w:val="23294AEC"/>
    <w:rsid w:val="23725DCD"/>
    <w:rsid w:val="237B088B"/>
    <w:rsid w:val="23BB4BC3"/>
    <w:rsid w:val="23BD11CF"/>
    <w:rsid w:val="23CA4A77"/>
    <w:rsid w:val="23E82E80"/>
    <w:rsid w:val="240E435B"/>
    <w:rsid w:val="25643BBA"/>
    <w:rsid w:val="2596009E"/>
    <w:rsid w:val="25EC3AE4"/>
    <w:rsid w:val="25FA2BDA"/>
    <w:rsid w:val="263C0704"/>
    <w:rsid w:val="26603F1B"/>
    <w:rsid w:val="26851D97"/>
    <w:rsid w:val="26D96651"/>
    <w:rsid w:val="26FB21C1"/>
    <w:rsid w:val="270A6B41"/>
    <w:rsid w:val="27192ECA"/>
    <w:rsid w:val="27C671F8"/>
    <w:rsid w:val="27ED4B7F"/>
    <w:rsid w:val="282A5B04"/>
    <w:rsid w:val="28435545"/>
    <w:rsid w:val="285B5ECB"/>
    <w:rsid w:val="289A3E5A"/>
    <w:rsid w:val="291657BC"/>
    <w:rsid w:val="29336A2A"/>
    <w:rsid w:val="294E5EF1"/>
    <w:rsid w:val="29E56339"/>
    <w:rsid w:val="29E90B31"/>
    <w:rsid w:val="29F4507E"/>
    <w:rsid w:val="29F70C64"/>
    <w:rsid w:val="2A6E1DFB"/>
    <w:rsid w:val="2A965858"/>
    <w:rsid w:val="2A985EEF"/>
    <w:rsid w:val="2B526BC0"/>
    <w:rsid w:val="2B7E0577"/>
    <w:rsid w:val="2C1C6592"/>
    <w:rsid w:val="2C2B713C"/>
    <w:rsid w:val="2C822E29"/>
    <w:rsid w:val="2C9231BA"/>
    <w:rsid w:val="2C964E63"/>
    <w:rsid w:val="2CBF3DCB"/>
    <w:rsid w:val="2CE70803"/>
    <w:rsid w:val="2CF15F06"/>
    <w:rsid w:val="2D741F95"/>
    <w:rsid w:val="2D911D8B"/>
    <w:rsid w:val="2E0720B8"/>
    <w:rsid w:val="2E5B46E8"/>
    <w:rsid w:val="2E773EC8"/>
    <w:rsid w:val="2EB24CE0"/>
    <w:rsid w:val="2EB74DCD"/>
    <w:rsid w:val="2EE47A30"/>
    <w:rsid w:val="2F1C7DA5"/>
    <w:rsid w:val="2F9677B2"/>
    <w:rsid w:val="2F9C0BFE"/>
    <w:rsid w:val="2FF54290"/>
    <w:rsid w:val="303D3985"/>
    <w:rsid w:val="305739FB"/>
    <w:rsid w:val="30594211"/>
    <w:rsid w:val="30687B44"/>
    <w:rsid w:val="306E7FE2"/>
    <w:rsid w:val="31763E95"/>
    <w:rsid w:val="31B4358E"/>
    <w:rsid w:val="31C806CE"/>
    <w:rsid w:val="31EE7FAA"/>
    <w:rsid w:val="32111C56"/>
    <w:rsid w:val="32943604"/>
    <w:rsid w:val="32947966"/>
    <w:rsid w:val="32B53F33"/>
    <w:rsid w:val="335E7F35"/>
    <w:rsid w:val="33B7054E"/>
    <w:rsid w:val="34194D02"/>
    <w:rsid w:val="343A08AC"/>
    <w:rsid w:val="344F7BA0"/>
    <w:rsid w:val="3478606E"/>
    <w:rsid w:val="349A6B46"/>
    <w:rsid w:val="34B129D3"/>
    <w:rsid w:val="34DB551B"/>
    <w:rsid w:val="34E31682"/>
    <w:rsid w:val="36524D4F"/>
    <w:rsid w:val="367819CB"/>
    <w:rsid w:val="36963B34"/>
    <w:rsid w:val="36EE3C2B"/>
    <w:rsid w:val="371C4D61"/>
    <w:rsid w:val="373C71E3"/>
    <w:rsid w:val="378453FB"/>
    <w:rsid w:val="37C52DFF"/>
    <w:rsid w:val="37E21B44"/>
    <w:rsid w:val="37FC4B23"/>
    <w:rsid w:val="392653DB"/>
    <w:rsid w:val="398F2219"/>
    <w:rsid w:val="39C66799"/>
    <w:rsid w:val="39C67251"/>
    <w:rsid w:val="39E802F1"/>
    <w:rsid w:val="3AB900AC"/>
    <w:rsid w:val="3B385475"/>
    <w:rsid w:val="3B483F91"/>
    <w:rsid w:val="3B4F136D"/>
    <w:rsid w:val="3B8E09D0"/>
    <w:rsid w:val="3BCA2FD7"/>
    <w:rsid w:val="3C3178A8"/>
    <w:rsid w:val="3C3C60E0"/>
    <w:rsid w:val="3CA13AE9"/>
    <w:rsid w:val="3CCA47F2"/>
    <w:rsid w:val="3CFF29B8"/>
    <w:rsid w:val="3D0B3D52"/>
    <w:rsid w:val="3D740E81"/>
    <w:rsid w:val="3E540E9B"/>
    <w:rsid w:val="3E7179A6"/>
    <w:rsid w:val="3EFD3F00"/>
    <w:rsid w:val="3F336422"/>
    <w:rsid w:val="3F5C5CB4"/>
    <w:rsid w:val="3F76019E"/>
    <w:rsid w:val="3FAC5755"/>
    <w:rsid w:val="3FB306C6"/>
    <w:rsid w:val="3FBF0CFA"/>
    <w:rsid w:val="3FD11C44"/>
    <w:rsid w:val="40776926"/>
    <w:rsid w:val="40B1201B"/>
    <w:rsid w:val="40BE01CA"/>
    <w:rsid w:val="40FE23DF"/>
    <w:rsid w:val="426147B9"/>
    <w:rsid w:val="427D5AA2"/>
    <w:rsid w:val="427F6252"/>
    <w:rsid w:val="43050594"/>
    <w:rsid w:val="435D38BE"/>
    <w:rsid w:val="436A4A82"/>
    <w:rsid w:val="439C0D62"/>
    <w:rsid w:val="43B478F6"/>
    <w:rsid w:val="43BB22D4"/>
    <w:rsid w:val="43D4697F"/>
    <w:rsid w:val="43F55E19"/>
    <w:rsid w:val="43F70C53"/>
    <w:rsid w:val="441B2172"/>
    <w:rsid w:val="448E617C"/>
    <w:rsid w:val="449C4627"/>
    <w:rsid w:val="44D07D48"/>
    <w:rsid w:val="450D1016"/>
    <w:rsid w:val="45847B69"/>
    <w:rsid w:val="45C5450D"/>
    <w:rsid w:val="4607702B"/>
    <w:rsid w:val="46696403"/>
    <w:rsid w:val="467A2DE5"/>
    <w:rsid w:val="46B324F7"/>
    <w:rsid w:val="46C766F4"/>
    <w:rsid w:val="46C946CB"/>
    <w:rsid w:val="47194238"/>
    <w:rsid w:val="472E18B7"/>
    <w:rsid w:val="47C22C96"/>
    <w:rsid w:val="47DF20EA"/>
    <w:rsid w:val="48360F8E"/>
    <w:rsid w:val="486E1926"/>
    <w:rsid w:val="48CC58BB"/>
    <w:rsid w:val="49AC5E90"/>
    <w:rsid w:val="4A256FAD"/>
    <w:rsid w:val="4ADC5C2E"/>
    <w:rsid w:val="4B0435C5"/>
    <w:rsid w:val="4B174456"/>
    <w:rsid w:val="4B4C25BE"/>
    <w:rsid w:val="4B5B56B3"/>
    <w:rsid w:val="4B736055"/>
    <w:rsid w:val="4B944EDE"/>
    <w:rsid w:val="4BCC3544"/>
    <w:rsid w:val="4BCD7E01"/>
    <w:rsid w:val="4C285A08"/>
    <w:rsid w:val="4C7D63C3"/>
    <w:rsid w:val="4D197E4F"/>
    <w:rsid w:val="4D4049B2"/>
    <w:rsid w:val="4DAE510C"/>
    <w:rsid w:val="4E034654"/>
    <w:rsid w:val="4E2875CB"/>
    <w:rsid w:val="4E5271AC"/>
    <w:rsid w:val="4E704E1D"/>
    <w:rsid w:val="4EC51D42"/>
    <w:rsid w:val="4ED321C2"/>
    <w:rsid w:val="4F0C7551"/>
    <w:rsid w:val="4F294193"/>
    <w:rsid w:val="4F3342D7"/>
    <w:rsid w:val="4FDB2A73"/>
    <w:rsid w:val="500C275E"/>
    <w:rsid w:val="501C5CEC"/>
    <w:rsid w:val="501F0C46"/>
    <w:rsid w:val="503516B9"/>
    <w:rsid w:val="506917F9"/>
    <w:rsid w:val="508D1967"/>
    <w:rsid w:val="50BB15E2"/>
    <w:rsid w:val="50E61DC7"/>
    <w:rsid w:val="50FF6349"/>
    <w:rsid w:val="51027092"/>
    <w:rsid w:val="511132DD"/>
    <w:rsid w:val="514370EF"/>
    <w:rsid w:val="51C70EA9"/>
    <w:rsid w:val="521078DD"/>
    <w:rsid w:val="52626F30"/>
    <w:rsid w:val="52816C33"/>
    <w:rsid w:val="528B57E4"/>
    <w:rsid w:val="528C7555"/>
    <w:rsid w:val="52B01E26"/>
    <w:rsid w:val="53150507"/>
    <w:rsid w:val="53172DFE"/>
    <w:rsid w:val="5386724B"/>
    <w:rsid w:val="53A96EA6"/>
    <w:rsid w:val="53DC3982"/>
    <w:rsid w:val="53F36F74"/>
    <w:rsid w:val="540C500F"/>
    <w:rsid w:val="541C6A49"/>
    <w:rsid w:val="54832ED5"/>
    <w:rsid w:val="5483311E"/>
    <w:rsid w:val="5558304E"/>
    <w:rsid w:val="55A82D9F"/>
    <w:rsid w:val="55E72D6A"/>
    <w:rsid w:val="55FA2FD9"/>
    <w:rsid w:val="563043DF"/>
    <w:rsid w:val="56691CBB"/>
    <w:rsid w:val="56A13017"/>
    <w:rsid w:val="56B6514E"/>
    <w:rsid w:val="56FE5AB5"/>
    <w:rsid w:val="570024D7"/>
    <w:rsid w:val="57511940"/>
    <w:rsid w:val="57627613"/>
    <w:rsid w:val="57E91D2F"/>
    <w:rsid w:val="58816255"/>
    <w:rsid w:val="58CF216C"/>
    <w:rsid w:val="592B452D"/>
    <w:rsid w:val="592F3F03"/>
    <w:rsid w:val="59323780"/>
    <w:rsid w:val="59B25A78"/>
    <w:rsid w:val="59F91B3E"/>
    <w:rsid w:val="5A344C50"/>
    <w:rsid w:val="5A5D6945"/>
    <w:rsid w:val="5AB0033C"/>
    <w:rsid w:val="5AB101B1"/>
    <w:rsid w:val="5ABD001D"/>
    <w:rsid w:val="5AD37245"/>
    <w:rsid w:val="5B327492"/>
    <w:rsid w:val="5B49173D"/>
    <w:rsid w:val="5B6F14AD"/>
    <w:rsid w:val="5BB95435"/>
    <w:rsid w:val="5C00783C"/>
    <w:rsid w:val="5C1B391B"/>
    <w:rsid w:val="5C3A2B00"/>
    <w:rsid w:val="5C600717"/>
    <w:rsid w:val="5C92017B"/>
    <w:rsid w:val="5CFB02E7"/>
    <w:rsid w:val="5D526D37"/>
    <w:rsid w:val="5D535CE6"/>
    <w:rsid w:val="5D8750FF"/>
    <w:rsid w:val="5D8A0084"/>
    <w:rsid w:val="5DE05449"/>
    <w:rsid w:val="5E470D32"/>
    <w:rsid w:val="5E672CF4"/>
    <w:rsid w:val="5EE22E25"/>
    <w:rsid w:val="5EE550A8"/>
    <w:rsid w:val="5EF51014"/>
    <w:rsid w:val="5F335DCF"/>
    <w:rsid w:val="5F42504F"/>
    <w:rsid w:val="5F9C46D4"/>
    <w:rsid w:val="5FB14851"/>
    <w:rsid w:val="5FC27FE5"/>
    <w:rsid w:val="5FD773AC"/>
    <w:rsid w:val="5FEB0462"/>
    <w:rsid w:val="60031C46"/>
    <w:rsid w:val="60231FF5"/>
    <w:rsid w:val="603B33EE"/>
    <w:rsid w:val="607547CB"/>
    <w:rsid w:val="60801507"/>
    <w:rsid w:val="60E67B16"/>
    <w:rsid w:val="60F63558"/>
    <w:rsid w:val="6107281E"/>
    <w:rsid w:val="610B1CED"/>
    <w:rsid w:val="616322B2"/>
    <w:rsid w:val="6170190B"/>
    <w:rsid w:val="618D1CCB"/>
    <w:rsid w:val="61AC5CFD"/>
    <w:rsid w:val="61D06C23"/>
    <w:rsid w:val="61E80363"/>
    <w:rsid w:val="6214616A"/>
    <w:rsid w:val="621E6A55"/>
    <w:rsid w:val="624D7776"/>
    <w:rsid w:val="62E552C5"/>
    <w:rsid w:val="63443A46"/>
    <w:rsid w:val="63552876"/>
    <w:rsid w:val="6370196B"/>
    <w:rsid w:val="638C2F87"/>
    <w:rsid w:val="63927DD1"/>
    <w:rsid w:val="63960702"/>
    <w:rsid w:val="639D4A65"/>
    <w:rsid w:val="640F38E9"/>
    <w:rsid w:val="64601276"/>
    <w:rsid w:val="6497295D"/>
    <w:rsid w:val="649B4782"/>
    <w:rsid w:val="64A5252F"/>
    <w:rsid w:val="64FD4EB5"/>
    <w:rsid w:val="65756F71"/>
    <w:rsid w:val="66991675"/>
    <w:rsid w:val="67055737"/>
    <w:rsid w:val="67247730"/>
    <w:rsid w:val="6764278C"/>
    <w:rsid w:val="676E03EA"/>
    <w:rsid w:val="688E175E"/>
    <w:rsid w:val="68D13043"/>
    <w:rsid w:val="68D20407"/>
    <w:rsid w:val="68F16685"/>
    <w:rsid w:val="68FD33DA"/>
    <w:rsid w:val="69195CCF"/>
    <w:rsid w:val="69703E98"/>
    <w:rsid w:val="69794D27"/>
    <w:rsid w:val="6A33705F"/>
    <w:rsid w:val="6A5A4B86"/>
    <w:rsid w:val="6A5D438A"/>
    <w:rsid w:val="6A637CB5"/>
    <w:rsid w:val="6BC404DB"/>
    <w:rsid w:val="6BF55FD8"/>
    <w:rsid w:val="6C594EFB"/>
    <w:rsid w:val="6CD7729B"/>
    <w:rsid w:val="6D6E084A"/>
    <w:rsid w:val="6D8048D6"/>
    <w:rsid w:val="6D887350"/>
    <w:rsid w:val="6DEB56D1"/>
    <w:rsid w:val="6E125A9E"/>
    <w:rsid w:val="6E1F1145"/>
    <w:rsid w:val="6E384EFD"/>
    <w:rsid w:val="6ECB3095"/>
    <w:rsid w:val="6EDD39AD"/>
    <w:rsid w:val="6F763F03"/>
    <w:rsid w:val="6FF869DA"/>
    <w:rsid w:val="707A6E8B"/>
    <w:rsid w:val="70F85EB3"/>
    <w:rsid w:val="7103668C"/>
    <w:rsid w:val="710F5519"/>
    <w:rsid w:val="713D5AF2"/>
    <w:rsid w:val="71744751"/>
    <w:rsid w:val="71A74F02"/>
    <w:rsid w:val="72233A82"/>
    <w:rsid w:val="72676837"/>
    <w:rsid w:val="732559FF"/>
    <w:rsid w:val="73596196"/>
    <w:rsid w:val="736005A7"/>
    <w:rsid w:val="73687226"/>
    <w:rsid w:val="739D72F7"/>
    <w:rsid w:val="73B60CFF"/>
    <w:rsid w:val="73FD6EFD"/>
    <w:rsid w:val="75084197"/>
    <w:rsid w:val="75353180"/>
    <w:rsid w:val="753610C9"/>
    <w:rsid w:val="755607AD"/>
    <w:rsid w:val="75863152"/>
    <w:rsid w:val="7599214B"/>
    <w:rsid w:val="75CB5014"/>
    <w:rsid w:val="762E61BD"/>
    <w:rsid w:val="76361582"/>
    <w:rsid w:val="76662460"/>
    <w:rsid w:val="76C5258F"/>
    <w:rsid w:val="76F23E7B"/>
    <w:rsid w:val="771B34E1"/>
    <w:rsid w:val="778E73DC"/>
    <w:rsid w:val="77FA7636"/>
    <w:rsid w:val="783732F5"/>
    <w:rsid w:val="78E54391"/>
    <w:rsid w:val="78F76518"/>
    <w:rsid w:val="798C015E"/>
    <w:rsid w:val="7A1665E7"/>
    <w:rsid w:val="7A2D2E1A"/>
    <w:rsid w:val="7A537BE0"/>
    <w:rsid w:val="7A5D1F16"/>
    <w:rsid w:val="7AAD2B83"/>
    <w:rsid w:val="7ABB778E"/>
    <w:rsid w:val="7B084DEE"/>
    <w:rsid w:val="7B607AF4"/>
    <w:rsid w:val="7B742A76"/>
    <w:rsid w:val="7BB816DF"/>
    <w:rsid w:val="7BBB418C"/>
    <w:rsid w:val="7BC1532A"/>
    <w:rsid w:val="7BE01B01"/>
    <w:rsid w:val="7BF546E1"/>
    <w:rsid w:val="7C375752"/>
    <w:rsid w:val="7CA661FD"/>
    <w:rsid w:val="7CAC053C"/>
    <w:rsid w:val="7CB61002"/>
    <w:rsid w:val="7D2505CC"/>
    <w:rsid w:val="7E6E42D6"/>
    <w:rsid w:val="7EA400B6"/>
    <w:rsid w:val="7EC97960"/>
    <w:rsid w:val="7EE822DB"/>
    <w:rsid w:val="7FD52606"/>
    <w:rsid w:val="7FDA6362"/>
    <w:rsid w:val="7FF3C193"/>
    <w:rsid w:val="F78FB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永中宋体" w:hAnsi="永中宋体" w:eastAsia="宋体" w:cs="永中宋体"/>
      <w:kern w:val="2"/>
      <w:sz w:val="21"/>
      <w:lang w:val="en-US" w:eastAsia="zh-CN" w:bidi="ar-SA"/>
    </w:rPr>
  </w:style>
  <w:style w:type="paragraph" w:styleId="2">
    <w:name w:val="heading 1"/>
    <w:basedOn w:val="1"/>
    <w:next w:val="1"/>
    <w:link w:val="49"/>
    <w:qFormat/>
    <w:uiPriority w:val="0"/>
    <w:pPr>
      <w:keepNext/>
      <w:keepLines/>
      <w:spacing w:before="340" w:after="330" w:line="576" w:lineRule="auto"/>
      <w:jc w:val="center"/>
      <w:outlineLvl w:val="0"/>
    </w:pPr>
    <w:rPr>
      <w:rFonts w:cs="Times New Roman"/>
      <w:b/>
      <w:kern w:val="44"/>
      <w:sz w:val="32"/>
    </w:rPr>
  </w:style>
  <w:style w:type="paragraph" w:styleId="3">
    <w:name w:val="heading 2"/>
    <w:basedOn w:val="1"/>
    <w:next w:val="1"/>
    <w:link w:val="50"/>
    <w:qFormat/>
    <w:uiPriority w:val="0"/>
    <w:pPr>
      <w:keepNext/>
      <w:keepLines/>
      <w:spacing w:before="260" w:after="260" w:line="413" w:lineRule="auto"/>
      <w:jc w:val="left"/>
      <w:outlineLvl w:val="1"/>
    </w:pPr>
    <w:rPr>
      <w:rFonts w:ascii="Arial" w:hAnsi="Arial" w:eastAsia="黑体" w:cs="Times New Roman"/>
      <w:b/>
      <w:kern w:val="0"/>
      <w:sz w:val="32"/>
    </w:rPr>
  </w:style>
  <w:style w:type="paragraph" w:styleId="4">
    <w:name w:val="heading 3"/>
    <w:basedOn w:val="1"/>
    <w:next w:val="1"/>
    <w:link w:val="51"/>
    <w:qFormat/>
    <w:uiPriority w:val="0"/>
    <w:pPr>
      <w:keepNext/>
      <w:keepLines/>
      <w:spacing w:before="260" w:after="260" w:line="413" w:lineRule="auto"/>
      <w:jc w:val="left"/>
      <w:outlineLvl w:val="2"/>
    </w:pPr>
    <w:rPr>
      <w:b/>
      <w:sz w:val="24"/>
    </w:rPr>
  </w:style>
  <w:style w:type="paragraph" w:styleId="5">
    <w:name w:val="heading 4"/>
    <w:basedOn w:val="1"/>
    <w:next w:val="1"/>
    <w:link w:val="52"/>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53"/>
    <w:qFormat/>
    <w:uiPriority w:val="0"/>
    <w:pPr>
      <w:keepNext/>
      <w:keepLines/>
      <w:spacing w:before="280" w:after="290" w:line="372" w:lineRule="auto"/>
      <w:outlineLvl w:val="4"/>
    </w:pPr>
    <w:rPr>
      <w:rFonts w:eastAsia="黑体"/>
      <w:b/>
      <w:sz w:val="28"/>
    </w:rPr>
  </w:style>
  <w:style w:type="paragraph" w:styleId="7">
    <w:name w:val="heading 6"/>
    <w:basedOn w:val="1"/>
    <w:next w:val="1"/>
    <w:link w:val="54"/>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55"/>
    <w:qFormat/>
    <w:uiPriority w:val="0"/>
    <w:pPr>
      <w:keepNext/>
      <w:keepLines/>
      <w:spacing w:before="240" w:after="64" w:line="317" w:lineRule="auto"/>
      <w:outlineLvl w:val="6"/>
    </w:pPr>
    <w:rPr>
      <w:b/>
      <w:sz w:val="24"/>
    </w:rPr>
  </w:style>
  <w:style w:type="paragraph" w:styleId="9">
    <w:name w:val="heading 8"/>
    <w:basedOn w:val="1"/>
    <w:next w:val="1"/>
    <w:link w:val="56"/>
    <w:qFormat/>
    <w:uiPriority w:val="0"/>
    <w:pPr>
      <w:keepNext/>
      <w:keepLines/>
      <w:spacing w:before="240" w:after="64" w:line="317" w:lineRule="auto"/>
      <w:outlineLvl w:val="7"/>
    </w:pPr>
    <w:rPr>
      <w:rFonts w:ascii="Arial" w:hAnsi="Arial" w:eastAsia="黑体"/>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spacing w:after="120"/>
      <w:ind w:firstLine="420"/>
    </w:pPr>
  </w:style>
  <w:style w:type="paragraph" w:styleId="11">
    <w:name w:val="Document Map"/>
    <w:basedOn w:val="1"/>
    <w:link w:val="97"/>
    <w:qFormat/>
    <w:uiPriority w:val="0"/>
    <w:pPr>
      <w:shd w:val="clear" w:color="auto" w:fill="000080"/>
    </w:pPr>
  </w:style>
  <w:style w:type="paragraph" w:styleId="12">
    <w:name w:val="annotation text"/>
    <w:basedOn w:val="1"/>
    <w:link w:val="77"/>
    <w:unhideWhenUsed/>
    <w:qFormat/>
    <w:uiPriority w:val="0"/>
    <w:pPr>
      <w:jc w:val="left"/>
    </w:pPr>
  </w:style>
  <w:style w:type="paragraph" w:styleId="13">
    <w:name w:val="Body Text"/>
    <w:basedOn w:val="1"/>
    <w:link w:val="79"/>
    <w:qFormat/>
    <w:uiPriority w:val="0"/>
    <w:pPr>
      <w:spacing w:line="60" w:lineRule="auto"/>
    </w:pPr>
    <w:rPr>
      <w:rFonts w:ascii="仿宋_GB2312" w:eastAsia="仿宋_GB2312"/>
      <w:sz w:val="32"/>
    </w:rPr>
  </w:style>
  <w:style w:type="paragraph" w:styleId="14">
    <w:name w:val="Body Text Indent"/>
    <w:basedOn w:val="1"/>
    <w:link w:val="96"/>
    <w:qFormat/>
    <w:uiPriority w:val="0"/>
    <w:pPr>
      <w:ind w:firstLine="720" w:firstLineChars="225"/>
    </w:pPr>
    <w:rPr>
      <w:rFonts w:ascii="仿宋_GB2312" w:eastAsia="仿宋_GB2312"/>
      <w:sz w:val="32"/>
    </w:rPr>
  </w:style>
  <w:style w:type="paragraph" w:styleId="15">
    <w:name w:val="toc 3"/>
    <w:basedOn w:val="1"/>
    <w:next w:val="1"/>
    <w:unhideWhenUsed/>
    <w:qFormat/>
    <w:uiPriority w:val="39"/>
    <w:pPr>
      <w:spacing w:line="440" w:lineRule="exact"/>
      <w:ind w:left="400" w:leftChars="400"/>
    </w:pPr>
    <w:rPr>
      <w:sz w:val="22"/>
    </w:rPr>
  </w:style>
  <w:style w:type="paragraph" w:styleId="16">
    <w:name w:val="Plain Text"/>
    <w:basedOn w:val="1"/>
    <w:link w:val="58"/>
    <w:qFormat/>
    <w:uiPriority w:val="0"/>
    <w:rPr>
      <w:rFonts w:ascii="宋体" w:hAnsi="Courier New" w:cstheme="minorBidi"/>
      <w:szCs w:val="22"/>
    </w:rPr>
  </w:style>
  <w:style w:type="paragraph" w:styleId="17">
    <w:name w:val="Date"/>
    <w:basedOn w:val="1"/>
    <w:next w:val="1"/>
    <w:link w:val="83"/>
    <w:qFormat/>
    <w:uiPriority w:val="0"/>
    <w:pPr>
      <w:ind w:left="100" w:leftChars="2500"/>
    </w:pPr>
  </w:style>
  <w:style w:type="paragraph" w:styleId="18">
    <w:name w:val="Body Text Indent 2"/>
    <w:basedOn w:val="1"/>
    <w:link w:val="87"/>
    <w:qFormat/>
    <w:uiPriority w:val="0"/>
    <w:pPr>
      <w:spacing w:line="540" w:lineRule="exact"/>
      <w:ind w:firstLine="720" w:firstLineChars="225"/>
      <w:jc w:val="left"/>
    </w:pPr>
    <w:rPr>
      <w:rFonts w:ascii="仿宋_GB2312" w:eastAsia="仿宋_GB2312"/>
      <w:sz w:val="32"/>
    </w:rPr>
  </w:style>
  <w:style w:type="paragraph" w:styleId="19">
    <w:name w:val="Balloon Text"/>
    <w:basedOn w:val="1"/>
    <w:link w:val="91"/>
    <w:qFormat/>
    <w:uiPriority w:val="0"/>
    <w:rPr>
      <w:sz w:val="18"/>
    </w:rPr>
  </w:style>
  <w:style w:type="paragraph" w:styleId="20">
    <w:name w:val="footer"/>
    <w:basedOn w:val="1"/>
    <w:link w:val="48"/>
    <w:unhideWhenUsed/>
    <w:qFormat/>
    <w:uiPriority w:val="99"/>
    <w:pPr>
      <w:tabs>
        <w:tab w:val="center" w:pos="4153"/>
        <w:tab w:val="right" w:pos="8306"/>
      </w:tabs>
      <w:snapToGrid w:val="0"/>
      <w:jc w:val="left"/>
    </w:pPr>
    <w:rPr>
      <w:sz w:val="18"/>
      <w:szCs w:val="18"/>
    </w:rPr>
  </w:style>
  <w:style w:type="paragraph" w:styleId="21">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9062"/>
      </w:tabs>
      <w:spacing w:line="440" w:lineRule="exact"/>
    </w:pPr>
    <w:rPr>
      <w:sz w:val="22"/>
    </w:rPr>
  </w:style>
  <w:style w:type="paragraph" w:styleId="23">
    <w:name w:val="toc 4"/>
    <w:basedOn w:val="1"/>
    <w:next w:val="1"/>
    <w:unhideWhenUsed/>
    <w:qFormat/>
    <w:uiPriority w:val="39"/>
    <w:pPr>
      <w:spacing w:line="440" w:lineRule="exact"/>
      <w:ind w:left="600" w:leftChars="600"/>
    </w:pPr>
  </w:style>
  <w:style w:type="paragraph" w:styleId="24">
    <w:name w:val="Body Text Indent 3"/>
    <w:basedOn w:val="1"/>
    <w:link w:val="90"/>
    <w:qFormat/>
    <w:uiPriority w:val="0"/>
    <w:pPr>
      <w:ind w:firstLine="639" w:firstLineChars="213"/>
    </w:pPr>
    <w:rPr>
      <w:rFonts w:ascii="仿宋_GB2312" w:eastAsia="仿宋_GB2312"/>
      <w:sz w:val="30"/>
    </w:rPr>
  </w:style>
  <w:style w:type="paragraph" w:styleId="25">
    <w:name w:val="toc 2"/>
    <w:basedOn w:val="1"/>
    <w:next w:val="1"/>
    <w:unhideWhenUsed/>
    <w:qFormat/>
    <w:uiPriority w:val="39"/>
    <w:pPr>
      <w:tabs>
        <w:tab w:val="right" w:leader="dot" w:pos="9062"/>
      </w:tabs>
      <w:spacing w:line="440" w:lineRule="exact"/>
      <w:ind w:left="420" w:leftChars="200"/>
    </w:pPr>
    <w:rPr>
      <w:sz w:val="22"/>
    </w:rPr>
  </w:style>
  <w:style w:type="paragraph" w:styleId="26">
    <w:name w:val="Body Text 2"/>
    <w:basedOn w:val="1"/>
    <w:link w:val="80"/>
    <w:qFormat/>
    <w:uiPriority w:val="0"/>
    <w:pPr>
      <w:spacing w:line="560" w:lineRule="exact"/>
    </w:pPr>
    <w:rPr>
      <w:rFonts w:ascii="仿宋_GB2312" w:eastAsia="仿宋_GB2312"/>
      <w:sz w:val="30"/>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Title"/>
    <w:basedOn w:val="1"/>
    <w:next w:val="1"/>
    <w:link w:val="84"/>
    <w:qFormat/>
    <w:uiPriority w:val="10"/>
    <w:pPr>
      <w:spacing w:before="240" w:after="60"/>
      <w:jc w:val="center"/>
      <w:outlineLvl w:val="0"/>
    </w:pPr>
    <w:rPr>
      <w:rFonts w:ascii="Arial" w:hAnsi="Arial" w:cs="Arial"/>
      <w:b/>
      <w:bCs/>
      <w:sz w:val="32"/>
      <w:szCs w:val="32"/>
    </w:rPr>
  </w:style>
  <w:style w:type="paragraph" w:styleId="29">
    <w:name w:val="annotation subject"/>
    <w:basedOn w:val="12"/>
    <w:next w:val="12"/>
    <w:link w:val="78"/>
    <w:qFormat/>
    <w:uiPriority w:val="0"/>
    <w:rPr>
      <w:b/>
    </w:rPr>
  </w:style>
  <w:style w:type="table" w:styleId="31">
    <w:name w:val="Table Grid"/>
    <w:basedOn w:val="30"/>
    <w:unhideWhenUsed/>
    <w:qFormat/>
    <w:uiPriority w:val="39"/>
    <w:rPr>
      <w:rFonts w:ascii="永中宋体" w:hAnsi="永中宋体" w:eastAsia="等线" w:cs="永中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3F3F3F"/>
      <w:u w:val="none"/>
    </w:rPr>
  </w:style>
  <w:style w:type="character" w:styleId="36">
    <w:name w:val="Emphasis"/>
    <w:qFormat/>
    <w:uiPriority w:val="20"/>
  </w:style>
  <w:style w:type="character" w:styleId="37">
    <w:name w:val="HTML Definition"/>
    <w:unhideWhenUsed/>
    <w:qFormat/>
    <w:uiPriority w:val="99"/>
  </w:style>
  <w:style w:type="character" w:styleId="38">
    <w:name w:val="HTML Acronym"/>
    <w:basedOn w:val="32"/>
    <w:unhideWhenUsed/>
    <w:qFormat/>
    <w:uiPriority w:val="99"/>
  </w:style>
  <w:style w:type="character" w:styleId="39">
    <w:name w:val="HTML Variable"/>
    <w:unhideWhenUsed/>
    <w:qFormat/>
    <w:uiPriority w:val="99"/>
  </w:style>
  <w:style w:type="character" w:styleId="40">
    <w:name w:val="Hyperlink"/>
    <w:qFormat/>
    <w:uiPriority w:val="99"/>
    <w:rPr>
      <w:color w:val="3F3F3F"/>
      <w:u w:val="none"/>
    </w:rPr>
  </w:style>
  <w:style w:type="character" w:styleId="41">
    <w:name w:val="HTML Code"/>
    <w:unhideWhenUsed/>
    <w:qFormat/>
    <w:uiPriority w:val="99"/>
    <w:rPr>
      <w:rFonts w:ascii="Courier New" w:hAnsi="Courier New"/>
      <w:sz w:val="20"/>
    </w:rPr>
  </w:style>
  <w:style w:type="character" w:styleId="42">
    <w:name w:val="annotation reference"/>
    <w:qFormat/>
    <w:uiPriority w:val="0"/>
    <w:rPr>
      <w:sz w:val="21"/>
    </w:rPr>
  </w:style>
  <w:style w:type="character" w:styleId="43">
    <w:name w:val="HTML Cite"/>
    <w:unhideWhenUsed/>
    <w:qFormat/>
    <w:uiPriority w:val="99"/>
  </w:style>
  <w:style w:type="paragraph" w:customStyle="1" w:styleId="44">
    <w:name w:val="标题 111"/>
    <w:next w:val="1"/>
    <w:qFormat/>
    <w:uiPriority w:val="9"/>
    <w:pPr>
      <w:keepNext/>
      <w:keepLines/>
      <w:widowControl w:val="0"/>
      <w:spacing w:before="480" w:after="200"/>
      <w:jc w:val="both"/>
      <w:outlineLvl w:val="0"/>
    </w:pPr>
    <w:rPr>
      <w:rFonts w:ascii="Arial" w:hAnsi="Arial" w:eastAsia="Arial" w:cs="Arial"/>
      <w:kern w:val="2"/>
      <w:sz w:val="40"/>
      <w:szCs w:val="40"/>
      <w:lang w:val="en-US" w:eastAsia="zh-CN" w:bidi="ar-SA"/>
    </w:rPr>
  </w:style>
  <w:style w:type="paragraph" w:customStyle="1" w:styleId="45">
    <w:name w:val="Default"/>
    <w:qFormat/>
    <w:uiPriority w:val="0"/>
    <w:pPr>
      <w:widowControl w:val="0"/>
      <w:autoSpaceDE w:val="0"/>
      <w:autoSpaceDN w:val="0"/>
      <w:adjustRightInd w:val="0"/>
    </w:pPr>
    <w:rPr>
      <w:rFonts w:ascii="Sim Sun" w:eastAsia="Sim Sun" w:cs="Sim Sun" w:hAnsiTheme="minorHAnsi"/>
      <w:color w:val="000000"/>
      <w:sz w:val="24"/>
      <w:szCs w:val="24"/>
      <w:lang w:val="en-US" w:eastAsia="zh-CN" w:bidi="ar-SA"/>
    </w:rPr>
  </w:style>
  <w:style w:type="paragraph" w:customStyle="1" w:styleId="46">
    <w:name w:val="列出段落1"/>
    <w:basedOn w:val="1"/>
    <w:qFormat/>
    <w:uiPriority w:val="0"/>
    <w:pPr>
      <w:autoSpaceDE w:val="0"/>
      <w:autoSpaceDN w:val="0"/>
      <w:adjustRightInd w:val="0"/>
      <w:ind w:firstLine="420" w:firstLineChars="200"/>
      <w:jc w:val="left"/>
    </w:pPr>
    <w:rPr>
      <w:kern w:val="0"/>
      <w:sz w:val="20"/>
    </w:rPr>
  </w:style>
  <w:style w:type="character" w:customStyle="1" w:styleId="47">
    <w:name w:val="页眉 字符"/>
    <w:basedOn w:val="32"/>
    <w:link w:val="21"/>
    <w:qFormat/>
    <w:uiPriority w:val="99"/>
    <w:rPr>
      <w:sz w:val="18"/>
      <w:szCs w:val="18"/>
    </w:rPr>
  </w:style>
  <w:style w:type="character" w:customStyle="1" w:styleId="48">
    <w:name w:val="页脚 字符"/>
    <w:basedOn w:val="32"/>
    <w:link w:val="20"/>
    <w:qFormat/>
    <w:uiPriority w:val="99"/>
    <w:rPr>
      <w:sz w:val="18"/>
      <w:szCs w:val="18"/>
    </w:rPr>
  </w:style>
  <w:style w:type="character" w:customStyle="1" w:styleId="49">
    <w:name w:val="标题 1 字符"/>
    <w:basedOn w:val="32"/>
    <w:link w:val="2"/>
    <w:qFormat/>
    <w:uiPriority w:val="0"/>
    <w:rPr>
      <w:rFonts w:ascii="永中宋体" w:hAnsi="永中宋体" w:eastAsia="宋体" w:cs="Times New Roman"/>
      <w:b/>
      <w:kern w:val="44"/>
      <w:sz w:val="32"/>
      <w:szCs w:val="20"/>
    </w:rPr>
  </w:style>
  <w:style w:type="character" w:customStyle="1" w:styleId="50">
    <w:name w:val="标题 2 字符"/>
    <w:basedOn w:val="32"/>
    <w:link w:val="3"/>
    <w:qFormat/>
    <w:uiPriority w:val="0"/>
    <w:rPr>
      <w:rFonts w:ascii="Arial" w:hAnsi="Arial" w:eastAsia="黑体" w:cs="Times New Roman"/>
      <w:b/>
      <w:kern w:val="0"/>
      <w:sz w:val="32"/>
      <w:szCs w:val="20"/>
    </w:rPr>
  </w:style>
  <w:style w:type="character" w:customStyle="1" w:styleId="51">
    <w:name w:val="标题 3 字符"/>
    <w:basedOn w:val="32"/>
    <w:link w:val="4"/>
    <w:qFormat/>
    <w:uiPriority w:val="0"/>
    <w:rPr>
      <w:rFonts w:ascii="永中宋体" w:hAnsi="永中宋体" w:eastAsia="宋体" w:cs="永中宋体"/>
      <w:b/>
      <w:sz w:val="24"/>
      <w:szCs w:val="20"/>
    </w:rPr>
  </w:style>
  <w:style w:type="character" w:customStyle="1" w:styleId="52">
    <w:name w:val="标题 4 字符"/>
    <w:basedOn w:val="32"/>
    <w:link w:val="5"/>
    <w:qFormat/>
    <w:uiPriority w:val="0"/>
    <w:rPr>
      <w:rFonts w:ascii="Arial" w:hAnsi="Arial" w:eastAsia="黑体" w:cs="永中宋体"/>
      <w:b/>
      <w:sz w:val="28"/>
      <w:szCs w:val="20"/>
    </w:rPr>
  </w:style>
  <w:style w:type="character" w:customStyle="1" w:styleId="53">
    <w:name w:val="标题 5 字符"/>
    <w:basedOn w:val="32"/>
    <w:link w:val="6"/>
    <w:qFormat/>
    <w:uiPriority w:val="0"/>
    <w:rPr>
      <w:rFonts w:ascii="永中宋体" w:hAnsi="永中宋体" w:eastAsia="黑体" w:cs="永中宋体"/>
      <w:b/>
      <w:sz w:val="28"/>
      <w:szCs w:val="20"/>
    </w:rPr>
  </w:style>
  <w:style w:type="character" w:customStyle="1" w:styleId="54">
    <w:name w:val="标题 6 字符"/>
    <w:basedOn w:val="32"/>
    <w:link w:val="7"/>
    <w:qFormat/>
    <w:uiPriority w:val="0"/>
    <w:rPr>
      <w:rFonts w:ascii="Arial" w:hAnsi="Arial" w:eastAsia="黑体" w:cs="永中宋体"/>
      <w:b/>
      <w:sz w:val="24"/>
      <w:szCs w:val="20"/>
    </w:rPr>
  </w:style>
  <w:style w:type="character" w:customStyle="1" w:styleId="55">
    <w:name w:val="标题 7 字符"/>
    <w:basedOn w:val="32"/>
    <w:link w:val="8"/>
    <w:qFormat/>
    <w:uiPriority w:val="0"/>
    <w:rPr>
      <w:rFonts w:ascii="永中宋体" w:hAnsi="永中宋体" w:eastAsia="宋体" w:cs="永中宋体"/>
      <w:b/>
      <w:sz w:val="24"/>
      <w:szCs w:val="20"/>
    </w:rPr>
  </w:style>
  <w:style w:type="character" w:customStyle="1" w:styleId="56">
    <w:name w:val="标题 8 字符"/>
    <w:basedOn w:val="32"/>
    <w:link w:val="9"/>
    <w:qFormat/>
    <w:uiPriority w:val="0"/>
    <w:rPr>
      <w:rFonts w:ascii="Arial" w:hAnsi="Arial" w:eastAsia="黑体" w:cs="永中宋体"/>
      <w:sz w:val="24"/>
      <w:szCs w:val="20"/>
    </w:rPr>
  </w:style>
  <w:style w:type="character" w:customStyle="1" w:styleId="57">
    <w:name w:val="current"/>
    <w:qFormat/>
    <w:uiPriority w:val="0"/>
    <w:rPr>
      <w:b/>
      <w:color w:val="FFFFFF"/>
      <w:bdr w:val="single" w:color="000099" w:sz="6" w:space="0"/>
      <w:shd w:val="clear" w:color="auto" w:fill="000099"/>
    </w:rPr>
  </w:style>
  <w:style w:type="character" w:customStyle="1" w:styleId="58">
    <w:name w:val="纯文本 字符"/>
    <w:link w:val="16"/>
    <w:qFormat/>
    <w:uiPriority w:val="0"/>
    <w:rPr>
      <w:rFonts w:ascii="宋体" w:hAnsi="Courier New" w:eastAsia="宋体"/>
    </w:rPr>
  </w:style>
  <w:style w:type="character" w:customStyle="1" w:styleId="59">
    <w:name w:val="text"/>
    <w:qFormat/>
    <w:uiPriority w:val="0"/>
    <w:rPr>
      <w:color w:val="FFFFFF"/>
    </w:rPr>
  </w:style>
  <w:style w:type="character" w:customStyle="1" w:styleId="60">
    <w:name w:val="disabled1"/>
    <w:qFormat/>
    <w:uiPriority w:val="0"/>
    <w:rPr>
      <w:color w:val="DDDDDD"/>
      <w:bdr w:val="single" w:color="EEEEEE" w:sz="6" w:space="0"/>
    </w:rPr>
  </w:style>
  <w:style w:type="character" w:customStyle="1" w:styleId="61">
    <w:name w:val="font21"/>
    <w:qFormat/>
    <w:uiPriority w:val="0"/>
    <w:rPr>
      <w:rFonts w:hint="eastAsia" w:ascii="微软雅黑" w:hAnsi="微软雅黑" w:eastAsia="微软雅黑" w:cs="微软雅黑"/>
      <w:color w:val="000000"/>
      <w:sz w:val="21"/>
      <w:szCs w:val="21"/>
      <w:u w:val="none"/>
    </w:rPr>
  </w:style>
  <w:style w:type="character" w:customStyle="1" w:styleId="62">
    <w:name w:val="first-child"/>
    <w:basedOn w:val="32"/>
    <w:qFormat/>
    <w:uiPriority w:val="0"/>
  </w:style>
  <w:style w:type="character" w:customStyle="1" w:styleId="63">
    <w:name w:val="font01"/>
    <w:qFormat/>
    <w:uiPriority w:val="0"/>
    <w:rPr>
      <w:rFonts w:hint="eastAsia" w:ascii="宋体" w:hAnsi="宋体" w:eastAsia="宋体" w:cs="宋体"/>
      <w:color w:val="FF0000"/>
      <w:sz w:val="16"/>
      <w:szCs w:val="16"/>
      <w:u w:val="none"/>
    </w:rPr>
  </w:style>
  <w:style w:type="character" w:customStyle="1" w:styleId="64">
    <w:name w:val="current1"/>
    <w:qFormat/>
    <w:uiPriority w:val="0"/>
    <w:rPr>
      <w:b/>
      <w:color w:val="000000"/>
      <w:bdr w:val="single" w:color="FFFFFF" w:sz="6" w:space="0"/>
      <w:shd w:val="clear" w:color="auto" w:fill="FFFFFF"/>
    </w:rPr>
  </w:style>
  <w:style w:type="character" w:customStyle="1" w:styleId="65">
    <w:name w:val="text1"/>
    <w:qFormat/>
    <w:uiPriority w:val="0"/>
    <w:rPr>
      <w:color w:val="FFFFFF"/>
      <w:shd w:val="clear" w:color="auto" w:fill="111111"/>
    </w:rPr>
  </w:style>
  <w:style w:type="character" w:customStyle="1" w:styleId="66">
    <w:name w:val="font31"/>
    <w:qFormat/>
    <w:uiPriority w:val="0"/>
    <w:rPr>
      <w:rFonts w:hint="default" w:ascii="Times New Roman" w:hAnsi="Times New Roman" w:cs="Times New Roman"/>
      <w:color w:val="000000"/>
      <w:sz w:val="22"/>
      <w:szCs w:val="22"/>
      <w:u w:val="none"/>
    </w:rPr>
  </w:style>
  <w:style w:type="character" w:customStyle="1" w:styleId="67">
    <w:name w:val="fontstyle01"/>
    <w:qFormat/>
    <w:uiPriority w:val="0"/>
    <w:rPr>
      <w:rFonts w:hint="eastAsia" w:ascii="宋体" w:hAnsi="宋体" w:eastAsia="宋体"/>
      <w:color w:val="000000"/>
      <w:sz w:val="22"/>
      <w:szCs w:val="22"/>
    </w:rPr>
  </w:style>
  <w:style w:type="character" w:customStyle="1" w:styleId="68">
    <w:name w:val="first-child1"/>
    <w:basedOn w:val="32"/>
    <w:qFormat/>
    <w:uiPriority w:val="0"/>
  </w:style>
  <w:style w:type="character" w:customStyle="1" w:styleId="69">
    <w:name w:val="back"/>
    <w:qFormat/>
    <w:uiPriority w:val="0"/>
    <w:rPr>
      <w:shd w:val="clear" w:color="auto" w:fill="111111"/>
    </w:rPr>
  </w:style>
  <w:style w:type="character" w:customStyle="1" w:styleId="70">
    <w:name w:val="disabled"/>
    <w:qFormat/>
    <w:uiPriority w:val="0"/>
    <w:rPr>
      <w:color w:val="DDDDDD"/>
      <w:bdr w:val="single" w:color="EEEEEE" w:sz="6" w:space="0"/>
    </w:rPr>
  </w:style>
  <w:style w:type="character" w:customStyle="1" w:styleId="71">
    <w:name w:val="first-child2"/>
    <w:qFormat/>
    <w:uiPriority w:val="0"/>
    <w:rPr>
      <w:color w:val="FFA800"/>
    </w:rPr>
  </w:style>
  <w:style w:type="character" w:customStyle="1" w:styleId="72">
    <w:name w:val="hover1"/>
    <w:qFormat/>
    <w:uiPriority w:val="0"/>
    <w:rPr>
      <w:shd w:val="clear" w:color="auto" w:fill="F6F6F6"/>
    </w:rPr>
  </w:style>
  <w:style w:type="character" w:customStyle="1" w:styleId="73">
    <w:name w:val="hover"/>
    <w:qFormat/>
    <w:uiPriority w:val="0"/>
    <w:rPr>
      <w:color w:val="3C88FF"/>
    </w:rPr>
  </w:style>
  <w:style w:type="character" w:customStyle="1" w:styleId="74">
    <w:name w:val="apple-converted-space"/>
    <w:basedOn w:val="32"/>
    <w:qFormat/>
    <w:uiPriority w:val="0"/>
  </w:style>
  <w:style w:type="character" w:customStyle="1" w:styleId="75">
    <w:name w:val="index-name-935ff"/>
    <w:qFormat/>
    <w:uiPriority w:val="0"/>
    <w:rPr>
      <w:sz w:val="24"/>
      <w:szCs w:val="24"/>
    </w:rPr>
  </w:style>
  <w:style w:type="paragraph" w:customStyle="1" w:styleId="76">
    <w:name w:val="Table Paragraph"/>
    <w:basedOn w:val="1"/>
    <w:qFormat/>
    <w:uiPriority w:val="1"/>
  </w:style>
  <w:style w:type="character" w:customStyle="1" w:styleId="77">
    <w:name w:val="批注文字 字符"/>
    <w:basedOn w:val="32"/>
    <w:link w:val="12"/>
    <w:qFormat/>
    <w:uiPriority w:val="0"/>
    <w:rPr>
      <w:rFonts w:ascii="永中宋体" w:hAnsi="永中宋体" w:eastAsia="宋体" w:cs="永中宋体"/>
      <w:szCs w:val="20"/>
    </w:rPr>
  </w:style>
  <w:style w:type="character" w:customStyle="1" w:styleId="78">
    <w:name w:val="批注主题 字符"/>
    <w:basedOn w:val="77"/>
    <w:link w:val="29"/>
    <w:qFormat/>
    <w:uiPriority w:val="0"/>
    <w:rPr>
      <w:rFonts w:ascii="永中宋体" w:hAnsi="永中宋体" w:eastAsia="宋体" w:cs="永中宋体"/>
      <w:b/>
      <w:szCs w:val="20"/>
    </w:rPr>
  </w:style>
  <w:style w:type="character" w:customStyle="1" w:styleId="79">
    <w:name w:val="正文文本 字符"/>
    <w:basedOn w:val="32"/>
    <w:link w:val="13"/>
    <w:qFormat/>
    <w:uiPriority w:val="0"/>
    <w:rPr>
      <w:rFonts w:ascii="仿宋_GB2312" w:hAnsi="永中宋体" w:eastAsia="仿宋_GB2312" w:cs="永中宋体"/>
      <w:sz w:val="32"/>
      <w:szCs w:val="20"/>
    </w:rPr>
  </w:style>
  <w:style w:type="character" w:customStyle="1" w:styleId="80">
    <w:name w:val="正文文本 2 字符"/>
    <w:basedOn w:val="32"/>
    <w:link w:val="26"/>
    <w:qFormat/>
    <w:uiPriority w:val="0"/>
    <w:rPr>
      <w:rFonts w:ascii="仿宋_GB2312" w:hAnsi="永中宋体" w:eastAsia="仿宋_GB2312" w:cs="永中宋体"/>
      <w:sz w:val="30"/>
      <w:szCs w:val="20"/>
    </w:rPr>
  </w:style>
  <w:style w:type="character" w:customStyle="1" w:styleId="81">
    <w:name w:val="纯文本 Char1"/>
    <w:basedOn w:val="32"/>
    <w:semiHidden/>
    <w:qFormat/>
    <w:uiPriority w:val="99"/>
    <w:rPr>
      <w:rFonts w:ascii="宋体" w:hAnsi="Courier New" w:eastAsia="宋体" w:cs="Courier New"/>
      <w:szCs w:val="21"/>
    </w:rPr>
  </w:style>
  <w:style w:type="paragraph" w:customStyle="1" w:styleId="82">
    <w:name w:val="p0"/>
    <w:qFormat/>
    <w:uiPriority w:val="0"/>
    <w:rPr>
      <w:rFonts w:ascii="永中宋体" w:hAnsi="永中宋体" w:eastAsia="等线" w:cs="永中宋体"/>
      <w:szCs w:val="21"/>
      <w:lang w:val="en-US" w:eastAsia="zh-CN" w:bidi="ar-SA"/>
    </w:rPr>
  </w:style>
  <w:style w:type="character" w:customStyle="1" w:styleId="83">
    <w:name w:val="日期 字符"/>
    <w:basedOn w:val="32"/>
    <w:link w:val="17"/>
    <w:qFormat/>
    <w:uiPriority w:val="0"/>
    <w:rPr>
      <w:rFonts w:ascii="永中宋体" w:hAnsi="永中宋体" w:eastAsia="宋体" w:cs="永中宋体"/>
      <w:szCs w:val="20"/>
    </w:rPr>
  </w:style>
  <w:style w:type="character" w:customStyle="1" w:styleId="84">
    <w:name w:val="标题 字符"/>
    <w:basedOn w:val="32"/>
    <w:link w:val="28"/>
    <w:qFormat/>
    <w:uiPriority w:val="10"/>
    <w:rPr>
      <w:rFonts w:ascii="Arial" w:hAnsi="Arial" w:eastAsia="宋体" w:cs="Arial"/>
      <w:b/>
      <w:bCs/>
      <w:sz w:val="32"/>
      <w:szCs w:val="32"/>
    </w:rPr>
  </w:style>
  <w:style w:type="paragraph" w:customStyle="1" w:styleId="85">
    <w:name w:val="WPSOffice手动目录 2"/>
    <w:qFormat/>
    <w:uiPriority w:val="0"/>
    <w:pPr>
      <w:ind w:left="200" w:leftChars="200"/>
    </w:pPr>
    <w:rPr>
      <w:rFonts w:ascii="永中宋体" w:hAnsi="永中宋体" w:eastAsia="等线" w:cs="永中宋体"/>
      <w:lang w:val="en-US" w:eastAsia="zh-CN" w:bidi="ar-SA"/>
    </w:rPr>
  </w:style>
  <w:style w:type="paragraph" w:customStyle="1" w:styleId="86">
    <w:name w:val="Char"/>
    <w:basedOn w:val="1"/>
    <w:qFormat/>
    <w:uiPriority w:val="0"/>
    <w:rPr>
      <w:rFonts w:ascii="Tahoma" w:hAnsi="Tahoma"/>
      <w:sz w:val="24"/>
    </w:rPr>
  </w:style>
  <w:style w:type="character" w:customStyle="1" w:styleId="87">
    <w:name w:val="正文文本缩进 2 字符"/>
    <w:basedOn w:val="32"/>
    <w:link w:val="18"/>
    <w:qFormat/>
    <w:uiPriority w:val="0"/>
    <w:rPr>
      <w:rFonts w:ascii="仿宋_GB2312" w:hAnsi="永中宋体" w:eastAsia="仿宋_GB2312" w:cs="永中宋体"/>
      <w:sz w:val="32"/>
      <w:szCs w:val="20"/>
    </w:rPr>
  </w:style>
  <w:style w:type="paragraph" w:customStyle="1" w:styleId="88">
    <w:name w:val="二级目录"/>
    <w:next w:val="1"/>
    <w:qFormat/>
    <w:uiPriority w:val="0"/>
    <w:pPr>
      <w:tabs>
        <w:tab w:val="left" w:pos="720"/>
      </w:tabs>
      <w:ind w:left="567" w:hanging="567"/>
      <w:outlineLvl w:val="1"/>
    </w:pPr>
    <w:rPr>
      <w:rFonts w:ascii="Times New Roman" w:hAnsi="Times New Roman" w:eastAsia="Times New Roman" w:cs="Times New Roman"/>
      <w:b/>
      <w:kern w:val="2"/>
      <w:sz w:val="30"/>
      <w:szCs w:val="28"/>
      <w:lang w:val="en-US" w:eastAsia="zh-CN" w:bidi="ar-SA"/>
    </w:rPr>
  </w:style>
  <w:style w:type="paragraph" w:customStyle="1" w:styleId="89">
    <w:name w:val="文本"/>
    <w:basedOn w:val="16"/>
    <w:qFormat/>
    <w:uiPriority w:val="0"/>
    <w:pPr>
      <w:keepNext/>
      <w:keepLines/>
      <w:tabs>
        <w:tab w:val="left" w:pos="394"/>
      </w:tabs>
      <w:spacing w:line="360" w:lineRule="atLeast"/>
    </w:pPr>
    <w:rPr>
      <w:rFonts w:hAnsi="宋体"/>
      <w:color w:val="000000"/>
      <w:sz w:val="24"/>
      <w:szCs w:val="24"/>
    </w:rPr>
  </w:style>
  <w:style w:type="character" w:customStyle="1" w:styleId="90">
    <w:name w:val="正文文本缩进 3 字符"/>
    <w:basedOn w:val="32"/>
    <w:link w:val="24"/>
    <w:qFormat/>
    <w:uiPriority w:val="0"/>
    <w:rPr>
      <w:rFonts w:ascii="仿宋_GB2312" w:hAnsi="永中宋体" w:eastAsia="仿宋_GB2312" w:cs="永中宋体"/>
      <w:sz w:val="30"/>
      <w:szCs w:val="20"/>
    </w:rPr>
  </w:style>
  <w:style w:type="character" w:customStyle="1" w:styleId="91">
    <w:name w:val="批注框文本 字符"/>
    <w:basedOn w:val="32"/>
    <w:link w:val="19"/>
    <w:qFormat/>
    <w:uiPriority w:val="0"/>
    <w:rPr>
      <w:rFonts w:ascii="永中宋体" w:hAnsi="永中宋体" w:eastAsia="宋体" w:cs="永中宋体"/>
      <w:sz w:val="18"/>
      <w:szCs w:val="20"/>
    </w:rPr>
  </w:style>
  <w:style w:type="paragraph" w:customStyle="1" w:styleId="92">
    <w:name w:val="WPSOffice手动目录 1"/>
    <w:qFormat/>
    <w:uiPriority w:val="0"/>
    <w:rPr>
      <w:rFonts w:ascii="永中宋体" w:hAnsi="永中宋体" w:eastAsia="等线" w:cs="永中宋体"/>
      <w:lang w:val="en-US" w:eastAsia="zh-CN" w:bidi="ar-SA"/>
    </w:rPr>
  </w:style>
  <w:style w:type="paragraph" w:customStyle="1" w:styleId="93">
    <w:name w:val="特点"/>
    <w:basedOn w:val="1"/>
    <w:next w:val="1"/>
    <w:qFormat/>
    <w:uiPriority w:val="0"/>
    <w:pPr>
      <w:spacing w:line="360" w:lineRule="auto"/>
      <w:jc w:val="center"/>
    </w:pPr>
    <w:rPr>
      <w:rFonts w:ascii="Arial" w:hAnsi="Arial"/>
      <w:sz w:val="24"/>
    </w:rPr>
  </w:style>
  <w:style w:type="paragraph" w:customStyle="1" w:styleId="94">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95">
    <w:name w:val="普通正文"/>
    <w:basedOn w:val="1"/>
    <w:link w:val="111"/>
    <w:qFormat/>
    <w:uiPriority w:val="0"/>
    <w:pPr>
      <w:adjustRightInd w:val="0"/>
      <w:ind w:firstLine="425"/>
      <w:jc w:val="left"/>
      <w:textAlignment w:val="baseline"/>
    </w:pPr>
    <w:rPr>
      <w:rFonts w:ascii="宋体"/>
      <w:kern w:val="0"/>
      <w:sz w:val="20"/>
    </w:rPr>
  </w:style>
  <w:style w:type="character" w:customStyle="1" w:styleId="96">
    <w:name w:val="正文文本缩进 字符"/>
    <w:basedOn w:val="32"/>
    <w:link w:val="14"/>
    <w:qFormat/>
    <w:uiPriority w:val="0"/>
    <w:rPr>
      <w:rFonts w:ascii="仿宋_GB2312" w:hAnsi="永中宋体" w:eastAsia="仿宋_GB2312" w:cs="永中宋体"/>
      <w:sz w:val="32"/>
      <w:szCs w:val="20"/>
    </w:rPr>
  </w:style>
  <w:style w:type="character" w:customStyle="1" w:styleId="97">
    <w:name w:val="文档结构图 字符"/>
    <w:basedOn w:val="32"/>
    <w:link w:val="11"/>
    <w:qFormat/>
    <w:uiPriority w:val="0"/>
    <w:rPr>
      <w:rFonts w:ascii="永中宋体" w:hAnsi="永中宋体" w:eastAsia="宋体" w:cs="永中宋体"/>
      <w:szCs w:val="20"/>
      <w:shd w:val="clear" w:color="auto" w:fill="000080"/>
    </w:rPr>
  </w:style>
  <w:style w:type="paragraph" w:customStyle="1" w:styleId="98">
    <w:name w:val="一级目录"/>
    <w:next w:val="1"/>
    <w:qFormat/>
    <w:uiPriority w:val="0"/>
    <w:pPr>
      <w:spacing w:after="100" w:afterLines="100"/>
      <w:jc w:val="center"/>
      <w:outlineLvl w:val="0"/>
    </w:pPr>
    <w:rPr>
      <w:rFonts w:ascii="黑体" w:hAnsi="永中宋体" w:eastAsia="黑体" w:cs="Times New Roman"/>
      <w:b/>
      <w:kern w:val="2"/>
      <w:sz w:val="44"/>
      <w:szCs w:val="44"/>
      <w:lang w:val="en-US" w:eastAsia="zh-CN" w:bidi="ar-SA"/>
    </w:rPr>
  </w:style>
  <w:style w:type="paragraph" w:customStyle="1" w:styleId="99">
    <w:name w:val="ewb-con-p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列出段落11"/>
    <w:basedOn w:val="1"/>
    <w:qFormat/>
    <w:uiPriority w:val="34"/>
    <w:pPr>
      <w:ind w:firstLine="200" w:firstLineChars="200"/>
    </w:pPr>
    <w:rPr>
      <w:rFonts w:ascii="Calibri" w:hAnsi="Calibri" w:cs="Arial"/>
      <w:szCs w:val="22"/>
    </w:rPr>
  </w:style>
  <w:style w:type="paragraph" w:customStyle="1" w:styleId="101">
    <w:name w:val="正文文本缩进1"/>
    <w:basedOn w:val="1"/>
    <w:qFormat/>
    <w:uiPriority w:val="0"/>
    <w:pPr>
      <w:spacing w:after="120"/>
      <w:ind w:left="420" w:leftChars="200"/>
    </w:pPr>
    <w:rPr>
      <w:rFonts w:ascii="Times New Roman" w:hAnsi="Times New Roman" w:cs="Times New Roman"/>
    </w:rPr>
  </w:style>
  <w:style w:type="paragraph" w:customStyle="1" w:styleId="102">
    <w:name w:val="ewb-con-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3">
    <w:name w:val="正文文本缩进2"/>
    <w:basedOn w:val="1"/>
    <w:qFormat/>
    <w:uiPriority w:val="0"/>
    <w:pPr>
      <w:spacing w:after="120"/>
      <w:ind w:left="420" w:leftChars="200"/>
    </w:pPr>
  </w:style>
  <w:style w:type="paragraph" w:customStyle="1" w:styleId="10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105">
    <w:name w:val="p16"/>
    <w:basedOn w:val="1"/>
    <w:qFormat/>
    <w:uiPriority w:val="0"/>
    <w:pPr>
      <w:widowControl/>
      <w:spacing w:line="360" w:lineRule="auto"/>
    </w:pPr>
    <w:rPr>
      <w:kern w:val="0"/>
      <w:sz w:val="30"/>
      <w:szCs w:val="30"/>
    </w:rPr>
  </w:style>
  <w:style w:type="paragraph" w:customStyle="1" w:styleId="106">
    <w:name w:val="Char Char Char"/>
    <w:basedOn w:val="1"/>
    <w:qFormat/>
    <w:uiPriority w:val="0"/>
  </w:style>
  <w:style w:type="paragraph" w:customStyle="1" w:styleId="107">
    <w:name w:val="Char1"/>
    <w:basedOn w:val="1"/>
    <w:qFormat/>
    <w:uiPriority w:val="0"/>
    <w:pPr>
      <w:tabs>
        <w:tab w:val="left" w:pos="360"/>
      </w:tabs>
    </w:pPr>
    <w:rPr>
      <w:sz w:val="24"/>
    </w:rPr>
  </w:style>
  <w:style w:type="paragraph" w:customStyle="1" w:styleId="108">
    <w:name w:val="Char Char Char Char Char Char Char Char Char Char"/>
    <w:basedOn w:val="1"/>
    <w:qFormat/>
    <w:uiPriority w:val="0"/>
    <w:rPr>
      <w:rFonts w:ascii="Tahoma" w:hAnsi="Tahoma"/>
      <w:sz w:val="24"/>
    </w:rPr>
  </w:style>
  <w:style w:type="paragraph" w:styleId="109">
    <w:name w:val="List Paragraph"/>
    <w:basedOn w:val="1"/>
    <w:qFormat/>
    <w:uiPriority w:val="34"/>
    <w:pPr>
      <w:ind w:firstLine="420" w:firstLineChars="200"/>
    </w:pPr>
    <w:rPr>
      <w:rFonts w:ascii="Calibri" w:hAnsi="Calibri" w:cs="Times New Roman"/>
      <w:szCs w:val="22"/>
    </w:rPr>
  </w:style>
  <w:style w:type="paragraph" w:customStyle="1" w:styleId="110">
    <w:name w:val="中等深浅网格 21"/>
    <w:qFormat/>
    <w:uiPriority w:val="0"/>
    <w:pPr>
      <w:widowControl w:val="0"/>
      <w:jc w:val="both"/>
    </w:pPr>
    <w:rPr>
      <w:rFonts w:ascii="方正小标宋_GBK" w:hAnsi="方正小标宋_GBK" w:eastAsia="仿宋" w:cs="Times New Roman"/>
      <w:kern w:val="2"/>
      <w:sz w:val="21"/>
      <w:szCs w:val="21"/>
      <w:lang w:val="en-US" w:eastAsia="zh-CN" w:bidi="ar-SA"/>
    </w:rPr>
  </w:style>
  <w:style w:type="character" w:customStyle="1" w:styleId="111">
    <w:name w:val="普通正文 Char"/>
    <w:link w:val="95"/>
    <w:qFormat/>
    <w:uiPriority w:val="0"/>
    <w:rPr>
      <w:rFonts w:ascii="宋体" w:hAnsi="永中宋体" w:eastAsia="宋体" w:cs="永中宋体"/>
      <w:kern w:val="0"/>
      <w:sz w:val="20"/>
      <w:szCs w:val="20"/>
    </w:rPr>
  </w:style>
  <w:style w:type="paragraph" w:customStyle="1" w:styleId="1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3">
    <w:name w:val="首行缩进"/>
    <w:basedOn w:val="1"/>
    <w:qFormat/>
    <w:uiPriority w:val="0"/>
    <w:pPr>
      <w:spacing w:line="360" w:lineRule="auto"/>
      <w:ind w:firstLine="480" w:firstLineChars="200"/>
      <w:jc w:val="left"/>
    </w:pPr>
    <w:rPr>
      <w:rFonts w:ascii="宋体" w:hAnsi="宋体"/>
      <w:sz w:val="24"/>
    </w:rPr>
  </w:style>
  <w:style w:type="paragraph" w:customStyle="1" w:styleId="114">
    <w:name w:val="Body text|1"/>
    <w:basedOn w:val="1"/>
    <w:qFormat/>
    <w:uiPriority w:val="0"/>
    <w:pPr>
      <w:spacing w:after="270" w:line="590" w:lineRule="exact"/>
      <w:ind w:left="190" w:firstLine="650"/>
    </w:pPr>
    <w:rPr>
      <w:rFonts w:ascii="宋体" w:hAnsi="宋体" w:cs="宋体"/>
      <w:lang w:val="zh-TW" w:eastAsia="zh-TW" w:bidi="zh-TW"/>
    </w:rPr>
  </w:style>
  <w:style w:type="paragraph" w:customStyle="1" w:styleId="115">
    <w:name w:val="索引 41"/>
    <w:basedOn w:val="1"/>
    <w:next w:val="1"/>
    <w:semiHidden/>
    <w:qFormat/>
    <w:uiPriority w:val="0"/>
    <w:pPr>
      <w:ind w:left="1260"/>
    </w:pPr>
  </w:style>
  <w:style w:type="paragraph" w:customStyle="1" w:styleId="116">
    <w:name w:val="样式 首行缩进:  2 字符3"/>
    <w:qFormat/>
    <w:uiPriority w:val="0"/>
    <w:pPr>
      <w:widowControl w:val="0"/>
      <w:spacing w:line="360" w:lineRule="auto"/>
      <w:ind w:firstLine="480" w:firstLineChars="200"/>
      <w:jc w:val="both"/>
    </w:pPr>
    <w:rPr>
      <w:rFonts w:ascii="宋体" w:hAnsi="Times New Roman" w:eastAsia="宋体" w:cs="宋体"/>
      <w:kern w:val="2"/>
      <w:sz w:val="24"/>
      <w:szCs w:val="24"/>
      <w:lang w:val="en-US" w:eastAsia="zh-CN" w:bidi="ar-SA"/>
    </w:rPr>
  </w:style>
  <w:style w:type="character" w:customStyle="1" w:styleId="117">
    <w:name w:val="font41"/>
    <w:basedOn w:val="32"/>
    <w:qFormat/>
    <w:uiPriority w:val="0"/>
    <w:rPr>
      <w:rFonts w:hint="eastAsia" w:ascii="宋体" w:hAnsi="宋体" w:eastAsia="宋体" w:cs="宋体"/>
      <w:color w:val="000000"/>
      <w:sz w:val="20"/>
      <w:szCs w:val="20"/>
      <w:u w:val="none"/>
    </w:rPr>
  </w:style>
  <w:style w:type="character" w:customStyle="1" w:styleId="118">
    <w:name w:val="font51"/>
    <w:basedOn w:val="32"/>
    <w:qFormat/>
    <w:uiPriority w:val="0"/>
    <w:rPr>
      <w:rFonts w:hint="eastAsia" w:ascii="宋体" w:hAnsi="宋体" w:eastAsia="宋体" w:cs="宋体"/>
      <w:color w:val="000000"/>
      <w:sz w:val="20"/>
      <w:szCs w:val="20"/>
      <w:u w:val="none"/>
    </w:rPr>
  </w:style>
  <w:style w:type="paragraph" w:customStyle="1" w:styleId="119">
    <w:name w:val="Revision"/>
    <w:hidden/>
    <w:unhideWhenUsed/>
    <w:qFormat/>
    <w:uiPriority w:val="99"/>
    <w:rPr>
      <w:rFonts w:ascii="永中宋体" w:hAnsi="永中宋体" w:eastAsia="宋体" w:cs="永中宋体"/>
      <w:kern w:val="2"/>
      <w:sz w:val="21"/>
      <w:lang w:val="en-US" w:eastAsia="zh-CN" w:bidi="ar-SA"/>
    </w:rPr>
  </w:style>
  <w:style w:type="character" w:customStyle="1" w:styleId="120">
    <w:name w:val="font81"/>
    <w:basedOn w:val="3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89</Pages>
  <Words>11701</Words>
  <Characters>12312</Characters>
  <Lines>1463</Lines>
  <Paragraphs>1640</Paragraphs>
  <TotalTime>47</TotalTime>
  <ScaleCrop>false</ScaleCrop>
  <LinksUpToDate>false</LinksUpToDate>
  <CharactersWithSpaces>12647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2024-12-06T18:20:00Z</dcterms:created>
  <dc:creator>苞米碴儿</dc:creator>
  <cp:lastModifiedBy>Administrator</cp:lastModifiedBy>
  <cp:lastPrinted>2020-11-19T22:11:00Z</cp:lastPrinted>
  <dcterms:modified xsi:type="dcterms:W3CDTF">2025-10-11T11:01:18Z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0BEDC3571B59410FBECDFACF6407F195_13</vt:lpwstr>
  </property>
  <property fmtid="{D5CDD505-2E9C-101B-9397-08002B2CF9AE}" pid="4" name="KSOTemplateDocerSaveRecord">
    <vt:lpwstr>eyJoZGlkIjoiNDQ2OWFkODNmMjY2OTAwYzU2OTRlNzRmZjM4NWY4YjYiLCJ1c2VySWQiOiI2NDMyNzM1NDgifQ==</vt:lpwstr>
  </property>
</Properties>
</file>