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29713">
      <w:pPr>
        <w:tabs>
          <w:tab w:val="left" w:pos="390"/>
          <w:tab w:val="center" w:pos="4404"/>
        </w:tabs>
        <w:jc w:val="center"/>
        <w:rPr>
          <w:rFonts w:ascii="宋体" w:hAnsi="宋体"/>
          <w:b/>
          <w:bCs/>
          <w:sz w:val="76"/>
          <w:szCs w:val="76"/>
          <w:highlight w:val="none"/>
        </w:rPr>
      </w:pPr>
    </w:p>
    <w:p w14:paraId="599372B0">
      <w:pPr>
        <w:tabs>
          <w:tab w:val="left" w:pos="390"/>
          <w:tab w:val="center" w:pos="4404"/>
        </w:tabs>
        <w:jc w:val="center"/>
        <w:rPr>
          <w:rFonts w:ascii="宋体" w:hAnsi="宋体"/>
          <w:b/>
          <w:bCs/>
          <w:sz w:val="76"/>
          <w:szCs w:val="76"/>
          <w:highlight w:val="none"/>
        </w:rPr>
      </w:pPr>
      <w:r>
        <w:rPr>
          <w:rFonts w:ascii="宋体" w:hAnsi="宋体"/>
          <w:b/>
          <w:bCs/>
          <w:sz w:val="76"/>
          <w:szCs w:val="76"/>
          <w:highlight w:val="none"/>
        </w:rPr>
        <w:t>竞争性磋商文件</w:t>
      </w:r>
    </w:p>
    <w:p w14:paraId="4E72509A">
      <w:pPr>
        <w:pStyle w:val="16"/>
        <w:rPr>
          <w:rFonts w:ascii="宋体" w:hAnsi="宋体"/>
          <w:sz w:val="76"/>
          <w:szCs w:val="76"/>
          <w:highlight w:val="none"/>
        </w:rPr>
      </w:pPr>
      <w:r>
        <w:rPr>
          <w:rFonts w:cs="宋体" w:asciiTheme="minorEastAsia" w:hAnsiTheme="minorEastAsia"/>
          <w:b/>
          <w:bCs/>
          <w:sz w:val="36"/>
          <w:szCs w:val="32"/>
          <w:highlight w:val="none"/>
        </w:rPr>
        <w:drawing>
          <wp:anchor distT="0" distB="0" distL="114300" distR="114300" simplePos="0" relativeHeight="251659264" behindDoc="1" locked="0" layoutInCell="1" allowOverlap="1">
            <wp:simplePos x="0" y="0"/>
            <wp:positionH relativeFrom="column">
              <wp:posOffset>1604645</wp:posOffset>
            </wp:positionH>
            <wp:positionV relativeFrom="paragraph">
              <wp:posOffset>20955</wp:posOffset>
            </wp:positionV>
            <wp:extent cx="2435225" cy="2372995"/>
            <wp:effectExtent l="0" t="0" r="0" b="0"/>
            <wp:wrapTight wrapText="bothSides">
              <wp:wrapPolygon>
                <wp:start x="0" y="0"/>
                <wp:lineTo x="0" y="21502"/>
                <wp:lineTo x="21493" y="21502"/>
                <wp:lineTo x="21493" y="0"/>
                <wp:lineTo x="0" y="0"/>
              </wp:wrapPolygon>
            </wp:wrapTight>
            <wp:docPr id="1" name="图片 1" descr="C:\Users\ADMINI~1\AppData\Local\Temp\WeChat Files\a150758a8af74e9dd24c37fee1d59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a150758a8af74e9dd24c37fee1d59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5225" cy="2372995"/>
                    </a:xfrm>
                    <a:prstGeom prst="rect">
                      <a:avLst/>
                    </a:prstGeom>
                    <a:noFill/>
                    <a:ln>
                      <a:noFill/>
                    </a:ln>
                  </pic:spPr>
                </pic:pic>
              </a:graphicData>
            </a:graphic>
          </wp:anchor>
        </w:drawing>
      </w:r>
    </w:p>
    <w:p w14:paraId="018AE619">
      <w:pPr>
        <w:pStyle w:val="16"/>
        <w:rPr>
          <w:rFonts w:ascii="宋体" w:hAnsi="宋体"/>
          <w:sz w:val="76"/>
          <w:szCs w:val="76"/>
          <w:highlight w:val="none"/>
        </w:rPr>
      </w:pPr>
    </w:p>
    <w:p w14:paraId="14C654EE">
      <w:pPr>
        <w:ind w:left="708" w:leftChars="337"/>
        <w:rPr>
          <w:rFonts w:ascii="宋体" w:hAnsi="宋体"/>
          <w:sz w:val="36"/>
          <w:szCs w:val="36"/>
          <w:highlight w:val="none"/>
        </w:rPr>
      </w:pPr>
    </w:p>
    <w:tbl>
      <w:tblPr>
        <w:tblStyle w:val="54"/>
        <w:tblpPr w:leftFromText="180" w:rightFromText="180" w:vertAnchor="text" w:horzAnchor="page" w:tblpX="1667" w:tblpY="417"/>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0891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400" w:type="dxa"/>
            <w:tcBorders>
              <w:top w:val="nil"/>
              <w:left w:val="nil"/>
              <w:bottom w:val="nil"/>
              <w:right w:val="nil"/>
            </w:tcBorders>
            <w:vAlign w:val="center"/>
          </w:tcPr>
          <w:p w14:paraId="66D01EB0">
            <w:pPr>
              <w:wordWrap w:val="0"/>
              <w:ind w:firstLine="964" w:firstLineChars="300"/>
              <w:rPr>
                <w:rFonts w:ascii="宋体" w:hAnsi="宋体"/>
                <w:b/>
                <w:bCs/>
                <w:sz w:val="32"/>
                <w:szCs w:val="32"/>
                <w:highlight w:val="none"/>
              </w:rPr>
            </w:pPr>
            <w:r>
              <w:rPr>
                <w:rFonts w:hint="eastAsia" w:ascii="宋体" w:hAnsi="宋体"/>
                <w:b/>
                <w:bCs/>
                <w:sz w:val="32"/>
                <w:szCs w:val="32"/>
                <w:highlight w:val="none"/>
              </w:rPr>
              <w:t>项目编号：</w:t>
            </w:r>
            <w:r>
              <w:rPr>
                <w:rFonts w:hint="eastAsia" w:ascii="宋体" w:hAnsi="宋体"/>
                <w:b/>
                <w:bCs/>
                <w:sz w:val="32"/>
                <w:szCs w:val="32"/>
                <w:highlight w:val="none"/>
                <w:lang w:val="zh-CN"/>
              </w:rPr>
              <w:t>ZZGJ—2025111</w:t>
            </w:r>
          </w:p>
          <w:p w14:paraId="677BE8B0">
            <w:pPr>
              <w:wordWrap w:val="0"/>
              <w:ind w:left="2564" w:leftChars="456" w:hanging="1606" w:hangingChars="500"/>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南京市浦口区2025年度重点泵站更新改造工程监理</w:t>
            </w:r>
          </w:p>
          <w:p w14:paraId="63344FCC">
            <w:pPr>
              <w:wordWrap w:val="0"/>
              <w:ind w:firstLine="964" w:firstLineChars="300"/>
              <w:rPr>
                <w:rFonts w:ascii="宋体" w:hAnsi="宋体"/>
                <w:b/>
                <w:bCs/>
                <w:sz w:val="44"/>
                <w:szCs w:val="44"/>
                <w:highlight w:val="none"/>
              </w:rPr>
            </w:pPr>
            <w:r>
              <w:rPr>
                <w:rFonts w:hint="eastAsia" w:ascii="宋体" w:hAnsi="宋体"/>
                <w:b/>
                <w:bCs/>
                <w:sz w:val="32"/>
                <w:szCs w:val="32"/>
                <w:highlight w:val="none"/>
              </w:rPr>
              <w:t>项目类别：服务类</w:t>
            </w:r>
          </w:p>
        </w:tc>
      </w:tr>
    </w:tbl>
    <w:p w14:paraId="78733180">
      <w:pPr>
        <w:pStyle w:val="16"/>
        <w:rPr>
          <w:rFonts w:ascii="宋体" w:hAnsi="宋体"/>
          <w:sz w:val="32"/>
          <w:highlight w:val="none"/>
        </w:rPr>
      </w:pPr>
    </w:p>
    <w:p w14:paraId="199F8458">
      <w:pPr>
        <w:pStyle w:val="16"/>
        <w:ind w:left="0" w:leftChars="0" w:firstLine="0" w:firstLineChars="0"/>
        <w:rPr>
          <w:rFonts w:ascii="宋体" w:hAnsi="宋体"/>
          <w:sz w:val="32"/>
          <w:highlight w:val="none"/>
        </w:rPr>
      </w:pPr>
    </w:p>
    <w:p w14:paraId="3CFEC1B8">
      <w:pPr>
        <w:widowControl/>
        <w:ind w:firstLine="643" w:firstLineChars="200"/>
        <w:rPr>
          <w:rFonts w:hint="eastAsia" w:ascii="Arial" w:hAnsi="Arial" w:eastAsia="宋体" w:cs="Arial"/>
          <w:b/>
          <w:bCs/>
          <w:color w:val="000000"/>
          <w:kern w:val="0"/>
          <w:sz w:val="32"/>
          <w:szCs w:val="32"/>
          <w:highlight w:val="none"/>
          <w:lang w:eastAsia="zh-CN"/>
        </w:rPr>
      </w:pPr>
      <w:r>
        <w:rPr>
          <w:rFonts w:hint="eastAsia" w:ascii="Arial" w:hAnsi="Arial" w:cs="Arial"/>
          <w:b/>
          <w:color w:val="000000"/>
          <w:kern w:val="0"/>
          <w:sz w:val="32"/>
          <w:szCs w:val="32"/>
          <w:highlight w:val="none"/>
        </w:rPr>
        <w:t>采 购 人：</w:t>
      </w:r>
      <w:r>
        <w:rPr>
          <w:rFonts w:hint="eastAsia" w:ascii="Arial" w:hAnsi="Arial" w:cs="Arial"/>
          <w:b/>
          <w:bCs/>
          <w:color w:val="000000"/>
          <w:kern w:val="0"/>
          <w:sz w:val="32"/>
          <w:szCs w:val="32"/>
          <w:highlight w:val="none"/>
          <w:lang w:eastAsia="zh-CN"/>
        </w:rPr>
        <w:t>南京市浦口区水务工程建设处</w:t>
      </w:r>
    </w:p>
    <w:p w14:paraId="4D0979CA">
      <w:pPr>
        <w:widowControl/>
        <w:ind w:firstLine="643" w:firstLineChars="200"/>
        <w:rPr>
          <w:rFonts w:ascii="Arial" w:hAnsi="Arial" w:cs="Arial"/>
          <w:b/>
          <w:color w:val="000000"/>
          <w:kern w:val="0"/>
          <w:sz w:val="32"/>
          <w:szCs w:val="32"/>
          <w:highlight w:val="none"/>
        </w:rPr>
      </w:pPr>
      <w:r>
        <w:rPr>
          <w:rFonts w:hint="eastAsia" w:ascii="Arial" w:hAnsi="宋体" w:cs="Arial"/>
          <w:b/>
          <w:color w:val="000000"/>
          <w:kern w:val="0"/>
          <w:sz w:val="32"/>
          <w:szCs w:val="32"/>
          <w:highlight w:val="none"/>
        </w:rPr>
        <w:t>采购代理机构：正中国际项目管理集团有限公司</w:t>
      </w:r>
    </w:p>
    <w:p w14:paraId="0451E590">
      <w:pPr>
        <w:ind w:firstLine="643" w:firstLineChars="200"/>
        <w:rPr>
          <w:rFonts w:hint="eastAsia" w:ascii="宋体" w:hAnsi="宋体" w:eastAsia="宋体" w:cs="宋体"/>
          <w:b/>
          <w:bCs w:val="0"/>
          <w:color w:val="000000"/>
          <w:kern w:val="0"/>
          <w:sz w:val="32"/>
          <w:szCs w:val="32"/>
          <w:highlight w:val="none"/>
        </w:rPr>
      </w:pPr>
      <w:r>
        <w:rPr>
          <w:rFonts w:hint="eastAsia" w:ascii="Arial" w:hAnsi="宋体" w:cs="Arial"/>
          <w:b/>
          <w:color w:val="000000"/>
          <w:kern w:val="0"/>
          <w:sz w:val="32"/>
          <w:szCs w:val="32"/>
          <w:highlight w:val="none"/>
        </w:rPr>
        <w:t>发放日期：</w:t>
      </w:r>
      <w:r>
        <w:rPr>
          <w:rFonts w:hint="eastAsia" w:ascii="宋体" w:hAnsi="宋体" w:eastAsia="宋体" w:cs="宋体"/>
          <w:b/>
          <w:bCs w:val="0"/>
          <w:color w:val="000000"/>
          <w:kern w:val="0"/>
          <w:sz w:val="32"/>
          <w:szCs w:val="32"/>
          <w:highlight w:val="none"/>
        </w:rPr>
        <w:t>202</w:t>
      </w:r>
      <w:r>
        <w:rPr>
          <w:rFonts w:hint="eastAsia" w:ascii="宋体" w:hAnsi="宋体" w:eastAsia="宋体" w:cs="宋体"/>
          <w:b/>
          <w:bCs w:val="0"/>
          <w:color w:val="000000"/>
          <w:kern w:val="0"/>
          <w:sz w:val="32"/>
          <w:szCs w:val="32"/>
          <w:highlight w:val="none"/>
          <w:lang w:val="en-US" w:eastAsia="zh-CN"/>
        </w:rPr>
        <w:t>5</w:t>
      </w:r>
      <w:r>
        <w:rPr>
          <w:rFonts w:hint="eastAsia" w:ascii="宋体" w:hAnsi="宋体" w:eastAsia="宋体" w:cs="宋体"/>
          <w:b/>
          <w:bCs w:val="0"/>
          <w:color w:val="000000"/>
          <w:kern w:val="0"/>
          <w:sz w:val="32"/>
          <w:szCs w:val="32"/>
          <w:highlight w:val="none"/>
        </w:rPr>
        <w:t>年</w:t>
      </w:r>
      <w:r>
        <w:rPr>
          <w:rFonts w:hint="eastAsia" w:ascii="宋体" w:hAnsi="宋体" w:cs="宋体"/>
          <w:b/>
          <w:bCs w:val="0"/>
          <w:color w:val="000000"/>
          <w:kern w:val="0"/>
          <w:sz w:val="32"/>
          <w:szCs w:val="32"/>
          <w:highlight w:val="none"/>
          <w:lang w:val="en-US" w:eastAsia="zh-CN"/>
        </w:rPr>
        <w:t>9</w:t>
      </w:r>
      <w:r>
        <w:rPr>
          <w:rFonts w:hint="eastAsia" w:ascii="宋体" w:hAnsi="宋体" w:eastAsia="宋体" w:cs="宋体"/>
          <w:b/>
          <w:bCs w:val="0"/>
          <w:color w:val="000000"/>
          <w:kern w:val="0"/>
          <w:sz w:val="32"/>
          <w:szCs w:val="32"/>
          <w:highlight w:val="none"/>
        </w:rPr>
        <w:t>月</w:t>
      </w:r>
    </w:p>
    <w:p w14:paraId="5FA71129">
      <w:pPr>
        <w:pStyle w:val="3"/>
        <w:spacing w:before="240" w:after="240"/>
        <w:ind w:firstLine="2898"/>
        <w:rPr>
          <w:highlight w:val="none"/>
          <w:lang w:val="zh-CN"/>
        </w:rPr>
      </w:pPr>
      <w:bookmarkStart w:id="0" w:name="_Toc118445245"/>
      <w:r>
        <w:rPr>
          <w:highlight w:val="none"/>
        </w:rPr>
        <w:t>第一章 竞争性磋商</w:t>
      </w:r>
      <w:r>
        <w:rPr>
          <w:rFonts w:hint="eastAsia"/>
          <w:highlight w:val="none"/>
        </w:rPr>
        <w:t>邀请</w:t>
      </w:r>
      <w:bookmarkEnd w:id="0"/>
    </w:p>
    <w:p w14:paraId="5510CF07">
      <w:pPr>
        <w:pBdr>
          <w:top w:val="single" w:color="auto" w:sz="4" w:space="0"/>
          <w:left w:val="single" w:color="auto" w:sz="4" w:space="0"/>
          <w:bottom w:val="single" w:color="auto" w:sz="4" w:space="0"/>
          <w:right w:val="single" w:color="auto" w:sz="4" w:space="0"/>
        </w:pBdr>
        <w:rPr>
          <w:sz w:val="24"/>
          <w:szCs w:val="22"/>
          <w:highlight w:val="none"/>
        </w:rPr>
      </w:pPr>
      <w:r>
        <w:rPr>
          <w:rFonts w:hint="eastAsia"/>
          <w:b/>
          <w:bCs/>
          <w:sz w:val="24"/>
          <w:szCs w:val="22"/>
          <w:highlight w:val="none"/>
        </w:rPr>
        <w:t>项目概况</w:t>
      </w:r>
    </w:p>
    <w:p w14:paraId="2D11076C">
      <w:pPr>
        <w:pBdr>
          <w:top w:val="single" w:color="auto" w:sz="4" w:space="0"/>
          <w:left w:val="single" w:color="auto" w:sz="4" w:space="0"/>
          <w:bottom w:val="single" w:color="auto" w:sz="4" w:space="0"/>
          <w:right w:val="single" w:color="auto" w:sz="4" w:space="0"/>
        </w:pBdr>
        <w:ind w:firstLine="480" w:firstLineChars="200"/>
        <w:rPr>
          <w:b/>
          <w:bCs/>
          <w:sz w:val="24"/>
          <w:szCs w:val="22"/>
          <w:highlight w:val="none"/>
        </w:rPr>
      </w:pPr>
      <w:r>
        <w:rPr>
          <w:rFonts w:hint="eastAsia"/>
          <w:bCs/>
          <w:sz w:val="24"/>
          <w:szCs w:val="22"/>
          <w:highlight w:val="none"/>
          <w:u w:val="single"/>
          <w:lang w:eastAsia="zh-CN"/>
        </w:rPr>
        <w:t>南京市浦口区2025年度重点泵站更新改造工程监理</w:t>
      </w:r>
      <w:r>
        <w:rPr>
          <w:rFonts w:hint="eastAsia"/>
          <w:sz w:val="24"/>
          <w:szCs w:val="22"/>
          <w:highlight w:val="none"/>
        </w:rPr>
        <w:t>的潜在供应商应在</w:t>
      </w:r>
      <w:r>
        <w:rPr>
          <w:rFonts w:hint="eastAsia"/>
          <w:sz w:val="24"/>
          <w:szCs w:val="22"/>
          <w:highlight w:val="none"/>
          <w:u w:val="single"/>
        </w:rPr>
        <w:t>正中国际项目管理集团有限公司</w:t>
      </w:r>
      <w:r>
        <w:rPr>
          <w:rFonts w:hint="eastAsia"/>
          <w:sz w:val="24"/>
          <w:szCs w:val="22"/>
          <w:highlight w:val="none"/>
        </w:rPr>
        <w:t>获取采购文件，并于</w:t>
      </w:r>
      <w:r>
        <w:rPr>
          <w:rFonts w:hint="eastAsia"/>
          <w:sz w:val="24"/>
          <w:szCs w:val="22"/>
          <w:highlight w:val="none"/>
          <w:lang w:eastAsia="zh-CN"/>
        </w:rPr>
        <w:t>2025年</w:t>
      </w:r>
      <w:r>
        <w:rPr>
          <w:rFonts w:hint="eastAsia"/>
          <w:sz w:val="24"/>
          <w:szCs w:val="22"/>
          <w:highlight w:val="none"/>
          <w:lang w:val="en-US" w:eastAsia="zh-CN"/>
        </w:rPr>
        <w:t>9</w:t>
      </w:r>
      <w:r>
        <w:rPr>
          <w:rFonts w:hint="eastAsia"/>
          <w:sz w:val="24"/>
          <w:szCs w:val="22"/>
          <w:highlight w:val="none"/>
          <w:lang w:eastAsia="zh-CN"/>
        </w:rPr>
        <w:t>月</w:t>
      </w:r>
      <w:r>
        <w:rPr>
          <w:rFonts w:hint="eastAsia"/>
          <w:sz w:val="24"/>
          <w:szCs w:val="22"/>
          <w:highlight w:val="none"/>
          <w:lang w:val="en-US" w:eastAsia="zh-CN"/>
        </w:rPr>
        <w:t>16</w:t>
      </w:r>
      <w:r>
        <w:rPr>
          <w:rFonts w:hint="eastAsia"/>
          <w:sz w:val="24"/>
          <w:szCs w:val="22"/>
          <w:highlight w:val="none"/>
          <w:lang w:eastAsia="zh-CN"/>
        </w:rPr>
        <w:t>日</w:t>
      </w:r>
      <w:r>
        <w:rPr>
          <w:rFonts w:hint="eastAsia"/>
          <w:sz w:val="24"/>
          <w:szCs w:val="22"/>
          <w:highlight w:val="none"/>
          <w:lang w:val="en-US" w:eastAsia="zh-CN"/>
        </w:rPr>
        <w:t>14</w:t>
      </w:r>
      <w:r>
        <w:rPr>
          <w:rFonts w:hint="eastAsia"/>
          <w:sz w:val="24"/>
          <w:szCs w:val="22"/>
          <w:highlight w:val="none"/>
        </w:rPr>
        <w:t>点</w:t>
      </w:r>
      <w:r>
        <w:rPr>
          <w:rFonts w:hint="eastAsia"/>
          <w:sz w:val="24"/>
          <w:szCs w:val="22"/>
          <w:highlight w:val="none"/>
          <w:lang w:val="en-US" w:eastAsia="zh-CN"/>
        </w:rPr>
        <w:t>30</w:t>
      </w:r>
      <w:r>
        <w:rPr>
          <w:rFonts w:hint="eastAsia"/>
          <w:sz w:val="24"/>
          <w:szCs w:val="22"/>
          <w:highlight w:val="none"/>
        </w:rPr>
        <w:t>分（北京时间）前提交响应文件。</w:t>
      </w:r>
    </w:p>
    <w:p w14:paraId="1F252377">
      <w:pPr>
        <w:pStyle w:val="4"/>
        <w:rPr>
          <w:highlight w:val="none"/>
        </w:rPr>
      </w:pPr>
      <w:bookmarkStart w:id="1" w:name="_Toc10945"/>
      <w:bookmarkStart w:id="2" w:name="_Toc15123"/>
      <w:bookmarkStart w:id="3" w:name="_Toc118445246"/>
      <w:r>
        <w:rPr>
          <w:rFonts w:hint="eastAsia"/>
          <w:highlight w:val="none"/>
        </w:rPr>
        <w:t>一、</w:t>
      </w:r>
      <w:bookmarkEnd w:id="1"/>
      <w:bookmarkEnd w:id="2"/>
      <w:r>
        <w:rPr>
          <w:rFonts w:hint="eastAsia"/>
          <w:highlight w:val="none"/>
        </w:rPr>
        <w:t>项目基本情况</w:t>
      </w:r>
      <w:bookmarkEnd w:id="3"/>
      <w:r>
        <w:rPr>
          <w:rFonts w:hint="eastAsia"/>
          <w:highlight w:val="none"/>
        </w:rPr>
        <w:t xml:space="preserve"> </w:t>
      </w:r>
    </w:p>
    <w:p w14:paraId="7FC80B97">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项目编号：ZZGJ—2025111</w:t>
      </w:r>
    </w:p>
    <w:p w14:paraId="05015A16">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项目名称：南京市浦口区2025年度重点泵站更新改造工程监理</w:t>
      </w:r>
    </w:p>
    <w:p w14:paraId="1EA0EEC9">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采购方式：竞争性磋商</w:t>
      </w:r>
    </w:p>
    <w:p w14:paraId="38FEC153">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4.</w:t>
      </w:r>
      <w:r>
        <w:rPr>
          <w:rFonts w:hint="eastAsia" w:ascii="宋体" w:hAnsi="宋体" w:cs="宋体"/>
          <w:sz w:val="24"/>
          <w:szCs w:val="24"/>
          <w:highlight w:val="none"/>
          <w:lang w:val="zh-CN"/>
        </w:rPr>
        <w:t>预算金额：</w:t>
      </w:r>
      <w:r>
        <w:rPr>
          <w:rFonts w:hint="eastAsia" w:ascii="宋体" w:hAnsi="宋体" w:cs="宋体"/>
          <w:sz w:val="24"/>
          <w:szCs w:val="24"/>
          <w:highlight w:val="none"/>
          <w:lang w:val="en-US" w:eastAsia="zh-CN"/>
        </w:rPr>
        <w:t>39.71</w:t>
      </w:r>
      <w:r>
        <w:rPr>
          <w:rFonts w:hint="eastAsia" w:ascii="宋体" w:hAnsi="宋体" w:cs="宋体"/>
          <w:sz w:val="24"/>
          <w:szCs w:val="24"/>
          <w:highlight w:val="none"/>
          <w:lang w:val="zh-CN"/>
        </w:rPr>
        <w:t>万元</w:t>
      </w:r>
    </w:p>
    <w:p w14:paraId="1D56F729">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5.</w:t>
      </w:r>
      <w:r>
        <w:rPr>
          <w:rFonts w:hint="eastAsia" w:ascii="宋体" w:hAnsi="宋体" w:cs="宋体"/>
          <w:sz w:val="24"/>
          <w:szCs w:val="24"/>
          <w:highlight w:val="none"/>
          <w:lang w:val="zh-CN"/>
        </w:rPr>
        <w:t>最高限价：</w:t>
      </w:r>
      <w:r>
        <w:rPr>
          <w:rFonts w:hint="eastAsia" w:ascii="宋体" w:hAnsi="宋体" w:cs="宋体"/>
          <w:sz w:val="24"/>
          <w:szCs w:val="24"/>
          <w:highlight w:val="none"/>
          <w:lang w:val="en-US" w:eastAsia="zh-CN"/>
        </w:rPr>
        <w:t>39.71</w:t>
      </w:r>
      <w:r>
        <w:rPr>
          <w:rFonts w:hint="eastAsia" w:ascii="宋体" w:hAnsi="宋体" w:cs="宋体"/>
          <w:sz w:val="24"/>
          <w:szCs w:val="24"/>
          <w:highlight w:val="none"/>
          <w:lang w:val="zh-CN"/>
        </w:rPr>
        <w:t>万元，超过此价格的报价作无效标处理</w:t>
      </w:r>
      <w:r>
        <w:rPr>
          <w:rFonts w:hint="eastAsia" w:ascii="宋体" w:hAnsi="宋体" w:cs="宋体"/>
          <w:sz w:val="24"/>
          <w:szCs w:val="24"/>
          <w:highlight w:val="none"/>
          <w:lang w:val="en-US" w:eastAsia="zh-CN"/>
        </w:rPr>
        <w:t>.</w:t>
      </w:r>
    </w:p>
    <w:p w14:paraId="61604F8B">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采购需求：西江泵站更新改造工程，位于江浦街道西江口社区，位于高旺河左岸与西江中心河交汇口处。拆除原病险泵站，原址新建泵站。新建泵站规模为小(1)型，工程等别IV等，穿堤建筑物级别2级，其余主要建筑物级别4级，次要建筑物、临时建筑物级别5级。全部建设内容（含变更）施工期及缺陷责任期（12个月）建设监理工作，以及决算资料的预审工作。</w:t>
      </w:r>
    </w:p>
    <w:p w14:paraId="7C5AE8FB">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服务期限：监理服务期</w:t>
      </w:r>
      <w:r>
        <w:rPr>
          <w:rFonts w:hint="eastAsia" w:ascii="宋体" w:hAnsi="宋体" w:cs="宋体"/>
          <w:sz w:val="24"/>
          <w:szCs w:val="24"/>
          <w:highlight w:val="none"/>
          <w:lang w:val="en-US" w:eastAsia="zh-CN"/>
        </w:rPr>
        <w:t>270个日历天</w:t>
      </w:r>
      <w:r>
        <w:rPr>
          <w:rFonts w:hint="eastAsia" w:ascii="宋体" w:hAnsi="宋体" w:cs="宋体"/>
          <w:sz w:val="24"/>
          <w:szCs w:val="24"/>
          <w:highlight w:val="none"/>
          <w:lang w:val="zh-CN"/>
        </w:rPr>
        <w:t>，缺陷责任期</w:t>
      </w:r>
      <w:r>
        <w:rPr>
          <w:rFonts w:hint="eastAsia" w:ascii="宋体" w:hAnsi="宋体" w:cs="宋体"/>
          <w:sz w:val="24"/>
          <w:szCs w:val="24"/>
          <w:highlight w:val="none"/>
          <w:lang w:val="en-US" w:eastAsia="zh-CN"/>
        </w:rPr>
        <w:t>12个</w:t>
      </w:r>
      <w:r>
        <w:rPr>
          <w:rFonts w:hint="eastAsia" w:ascii="宋体" w:hAnsi="宋体" w:cs="宋体"/>
          <w:sz w:val="24"/>
          <w:szCs w:val="24"/>
          <w:highlight w:val="none"/>
          <w:lang w:val="zh-CN"/>
        </w:rPr>
        <w:t>月。具体开工日期以开工通知为准。</w:t>
      </w:r>
    </w:p>
    <w:p w14:paraId="499A7432">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hint="eastAsia"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本项目不接受联合体。</w:t>
      </w:r>
    </w:p>
    <w:p w14:paraId="0EAEBC82">
      <w:pPr>
        <w:keepNext w:val="0"/>
        <w:keepLines w:val="0"/>
        <w:pageBreakBefore w:val="0"/>
        <w:widowControl/>
        <w:shd w:val="clear" w:color="auto" w:fill="FFFFFF"/>
        <w:kinsoku/>
        <w:wordWrap/>
        <w:overflowPunct/>
        <w:topLinePunct w:val="0"/>
        <w:autoSpaceDE/>
        <w:autoSpaceDN/>
        <w:bidi w:val="0"/>
        <w:adjustRightInd w:val="0"/>
        <w:snapToGrid w:val="0"/>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9.本项目所属行业：</w:t>
      </w:r>
      <w:r>
        <w:rPr>
          <w:rFonts w:hint="eastAsia" w:ascii="宋体" w:hAnsi="宋体" w:cs="宋体"/>
          <w:sz w:val="24"/>
          <w:szCs w:val="24"/>
          <w:highlight w:val="none"/>
          <w:lang w:val="en-US" w:eastAsia="zh-CN"/>
        </w:rPr>
        <w:t>建筑业。</w:t>
      </w:r>
    </w:p>
    <w:p w14:paraId="25817F41">
      <w:pPr>
        <w:pStyle w:val="4"/>
        <w:rPr>
          <w:highlight w:val="none"/>
        </w:rPr>
      </w:pPr>
      <w:bookmarkStart w:id="4" w:name="_Toc28878"/>
      <w:bookmarkStart w:id="5" w:name="_Toc118445247"/>
      <w:bookmarkStart w:id="6" w:name="_Toc6870"/>
      <w:r>
        <w:rPr>
          <w:rFonts w:hint="eastAsia"/>
          <w:highlight w:val="none"/>
        </w:rPr>
        <w:t>二、申请人的资格要求</w:t>
      </w:r>
      <w:bookmarkEnd w:id="4"/>
      <w:bookmarkEnd w:id="5"/>
      <w:bookmarkEnd w:id="6"/>
      <w:r>
        <w:rPr>
          <w:rFonts w:hint="eastAsia"/>
          <w:highlight w:val="none"/>
        </w:rPr>
        <w:t xml:space="preserve"> </w:t>
      </w:r>
    </w:p>
    <w:p w14:paraId="3A5238B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1. 满足《中华人民共和国政府采购法》第二十二条规定：</w:t>
      </w:r>
    </w:p>
    <w:p w14:paraId="0D068F4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（1）具有独立承担民事责任的能力（法人或者其他组织提供营业执照或法人证书或组织机构代码证，自然人提供身份证，提供证明材料复印件加盖公章）；</w:t>
      </w:r>
    </w:p>
    <w:p w14:paraId="2D88522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（2）具有良好的商业信誉和健全的财务会计制度（提供参加本次政府采购活动前六个月（任意一个月）的会计报表，成立不满一年的无需提供，提供证明材料复印件加盖公章）；</w:t>
      </w:r>
    </w:p>
    <w:p w14:paraId="04A0F3A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（3）具有履行合同所必需的设备和专业技术能力（根据项目需求提供履行合同所必需的设备和专业技术能力的声明或证明材料复印件加盖公章）；</w:t>
      </w:r>
    </w:p>
    <w:p w14:paraId="79668580">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（4）有依法缴纳税收和社会保障资金的良好记录（提供参加本次政府采购活动前六个月内（任意一个月）依法缴纳税收和社会保障资金，提供</w:t>
      </w:r>
      <w:r>
        <w:rPr>
          <w:rFonts w:hint="eastAsia"/>
          <w:sz w:val="24"/>
          <w:szCs w:val="22"/>
          <w:highlight w:val="none"/>
          <w:lang w:val="en-US" w:eastAsia="zh-CN"/>
        </w:rPr>
        <w:t>承诺书并</w:t>
      </w:r>
      <w:r>
        <w:rPr>
          <w:rFonts w:hint="eastAsia"/>
          <w:sz w:val="24"/>
          <w:szCs w:val="22"/>
          <w:highlight w:val="none"/>
        </w:rPr>
        <w:t>加盖公章）；</w:t>
      </w:r>
    </w:p>
    <w:p w14:paraId="7D4F9D1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（5）参加本项目政府采购活动前三年内，在经营活动中没有重大违法记录（提供参加本次政府采购活动前3年内在经营活动中没有重大违法记录的书面声明）；</w:t>
      </w:r>
    </w:p>
    <w:p w14:paraId="613967F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eastAsia="宋体"/>
          <w:sz w:val="24"/>
          <w:szCs w:val="22"/>
          <w:highlight w:val="none"/>
          <w:lang w:val="en-US" w:eastAsia="zh-CN"/>
        </w:rPr>
      </w:pPr>
      <w:r>
        <w:rPr>
          <w:rFonts w:hint="eastAsia" w:eastAsia="宋体"/>
          <w:sz w:val="24"/>
          <w:szCs w:val="22"/>
          <w:highlight w:val="none"/>
        </w:rPr>
        <w:t>（6）法律、行政法规规定的其他条件：</w:t>
      </w:r>
    </w:p>
    <w:p w14:paraId="1C5BDF7A">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eastAsia="宋体"/>
          <w:sz w:val="24"/>
          <w:szCs w:val="22"/>
          <w:highlight w:val="none"/>
        </w:rPr>
        <w:t>注：1）第（5）条所称重大违法记录，是指供</w:t>
      </w:r>
      <w:r>
        <w:rPr>
          <w:rFonts w:hint="eastAsia"/>
          <w:sz w:val="24"/>
          <w:szCs w:val="22"/>
          <w:highlight w:val="none"/>
        </w:rPr>
        <w:t>应商因违法经营受到刑事处罚或者责令停产停业、吊销许可证或者执照、较大数额罚款等行政处罚。</w:t>
      </w:r>
    </w:p>
    <w:p w14:paraId="7E968EF0">
      <w:pPr>
        <w:keepNext w:val="0"/>
        <w:keepLines w:val="0"/>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eastAsia" w:ascii="Times New Roman" w:hAnsi="Times New Roman" w:cs="Times New Roman"/>
          <w:sz w:val="24"/>
          <w:szCs w:val="22"/>
          <w:highlight w:val="none"/>
        </w:rPr>
      </w:pPr>
      <w:r>
        <w:rPr>
          <w:rFonts w:hint="eastAsia" w:ascii="Times New Roman" w:hAnsi="Times New Roman" w:eastAsia="宋体" w:cs="Times New Roman"/>
          <w:kern w:val="2"/>
          <w:sz w:val="21"/>
          <w:highlight w:val="none"/>
          <w:lang w:val="en-US" w:eastAsia="zh-CN" w:bidi="ar-SA"/>
        </w:rPr>
        <w:t>2）</w:t>
      </w:r>
      <w:r>
        <w:rPr>
          <w:rFonts w:hint="eastAsia" w:ascii="Times New Roman" w:hAnsi="Times New Roman" w:cs="Times New Roman"/>
          <w:sz w:val="24"/>
          <w:szCs w:val="22"/>
          <w:highlight w:val="none"/>
        </w:rPr>
        <w:t>供应商在参加政府采购活动前3年内因违法经营被禁止在一定期限内参加政府采购活动，期限届满的，可以参加政府采购活动。</w:t>
      </w:r>
    </w:p>
    <w:p w14:paraId="17688415">
      <w:pPr>
        <w:pStyle w:val="2"/>
        <w:ind w:firstLine="420"/>
        <w:rPr>
          <w:rFonts w:hint="eastAsia" w:eastAsia="宋体"/>
          <w:b/>
          <w:bCs/>
          <w:sz w:val="24"/>
          <w:szCs w:val="22"/>
          <w:highlight w:val="none"/>
          <w:lang w:val="en-US" w:eastAsia="zh-CN"/>
        </w:rPr>
      </w:pPr>
      <w:r>
        <w:rPr>
          <w:rFonts w:hint="eastAsia" w:eastAsia="宋体"/>
          <w:b/>
          <w:bCs/>
          <w:sz w:val="24"/>
          <w:szCs w:val="22"/>
          <w:highlight w:val="none"/>
          <w:lang w:val="en-US" w:eastAsia="zh-CN"/>
        </w:rPr>
        <w:t>2.本项目的特定资格要求：</w:t>
      </w:r>
    </w:p>
    <w:p w14:paraId="70308834">
      <w:pPr>
        <w:pStyle w:val="2"/>
        <w:ind w:firstLine="420"/>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①供应商资质条件:监理综合资质或者具备水利部颁发的[水利工程施工监理乙级](含)以上资质（提供资质证书复印件加盖供应商公章编入响应文件中）；</w:t>
      </w:r>
    </w:p>
    <w:p w14:paraId="61235089">
      <w:pPr>
        <w:pStyle w:val="2"/>
        <w:ind w:firstLine="420"/>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②项目总监需具有水利部监理工程师（水利工程施工监理）资格证书（专业以注册监理工程师证书注明的注册专业为准，提供证书复印件加盖供应商公章并编入响应文件中）；</w:t>
      </w:r>
    </w:p>
    <w:p w14:paraId="4DFEED74">
      <w:pPr>
        <w:pStyle w:val="2"/>
        <w:ind w:firstLine="420"/>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③项目总监无在监工程，须满足以下条件之一</w:t>
      </w:r>
      <w:r>
        <w:rPr>
          <w:rFonts w:hint="eastAsia" w:ascii="Times New Roman" w:hAnsi="Times New Roman" w:cs="Times New Roman"/>
          <w:kern w:val="2"/>
          <w:sz w:val="24"/>
          <w:szCs w:val="22"/>
          <w:highlight w:val="none"/>
          <w:lang w:val="en-US" w:eastAsia="zh-CN" w:bidi="ar-SA"/>
        </w:rPr>
        <w:t>（提供承诺书加盖供应商公章，格式自拟）</w:t>
      </w:r>
      <w:r>
        <w:rPr>
          <w:rFonts w:hint="eastAsia" w:ascii="Times New Roman" w:hAnsi="Times New Roman" w:eastAsia="宋体" w:cs="Times New Roman"/>
          <w:kern w:val="2"/>
          <w:sz w:val="24"/>
          <w:szCs w:val="22"/>
          <w:highlight w:val="none"/>
          <w:lang w:val="en-US" w:eastAsia="zh-CN" w:bidi="ar-SA"/>
        </w:rPr>
        <w:t>：</w:t>
      </w:r>
    </w:p>
    <w:p w14:paraId="3EF43298">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ascii="Times New Roman" w:hAnsi="Times New Roman" w:eastAsia="宋体" w:cs="Times New Roman"/>
          <w:kern w:val="2"/>
          <w:sz w:val="24"/>
          <w:szCs w:val="22"/>
          <w:highlight w:val="none"/>
          <w:lang w:val="en-US" w:eastAsia="zh-CN" w:bidi="ar-SA"/>
        </w:rPr>
      </w:pPr>
      <w:bookmarkStart w:id="7" w:name="OLE_LINK3"/>
      <w:r>
        <w:rPr>
          <w:rFonts w:hint="eastAsia" w:ascii="Times New Roman" w:hAnsi="Times New Roman" w:eastAsia="宋体" w:cs="Times New Roman"/>
          <w:kern w:val="2"/>
          <w:sz w:val="24"/>
          <w:szCs w:val="22"/>
          <w:highlight w:val="none"/>
          <w:lang w:val="en-US" w:eastAsia="zh-CN" w:bidi="ar-SA"/>
        </w:rPr>
        <w:t>a.项目总监未变更的，以合同工程通过完工验收或竣工验收为准。</w:t>
      </w:r>
    </w:p>
    <w:p w14:paraId="4D772B88">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b.项目总监是变更后无在监工程的，须原合同工期已满且自项目主管部门同意变更备案之日已满6个月；或者，因非承包方原因致使工程项目停工或未开工超过120天，且经建设单位同意、相应主管部门核准并已经办理变更手续。</w:t>
      </w:r>
    </w:p>
    <w:p w14:paraId="29C75997">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④项目总监需提供近</w:t>
      </w:r>
      <w:r>
        <w:rPr>
          <w:rFonts w:hint="eastAsia" w:cs="Times New Roman"/>
          <w:kern w:val="2"/>
          <w:sz w:val="24"/>
          <w:szCs w:val="22"/>
          <w:highlight w:val="none"/>
          <w:lang w:val="en-US" w:eastAsia="zh-CN" w:bidi="ar-SA"/>
        </w:rPr>
        <w:t>半年</w:t>
      </w:r>
      <w:r>
        <w:rPr>
          <w:rFonts w:hint="eastAsia" w:ascii="Times New Roman" w:hAnsi="Times New Roman" w:eastAsia="宋体" w:cs="Times New Roman"/>
          <w:kern w:val="2"/>
          <w:sz w:val="24"/>
          <w:szCs w:val="22"/>
          <w:highlight w:val="none"/>
          <w:lang w:val="en-US" w:eastAsia="zh-CN" w:bidi="ar-SA"/>
        </w:rPr>
        <w:t>(202</w:t>
      </w:r>
      <w:r>
        <w:rPr>
          <w:rFonts w:hint="eastAsia" w:cs="Times New Roman"/>
          <w:kern w:val="2"/>
          <w:sz w:val="24"/>
          <w:szCs w:val="22"/>
          <w:highlight w:val="none"/>
          <w:lang w:val="en-US" w:eastAsia="zh-CN" w:bidi="ar-SA"/>
        </w:rPr>
        <w:t>5</w:t>
      </w:r>
      <w:r>
        <w:rPr>
          <w:rFonts w:hint="eastAsia" w:ascii="Times New Roman" w:hAnsi="Times New Roman" w:eastAsia="宋体" w:cs="Times New Roman"/>
          <w:kern w:val="2"/>
          <w:sz w:val="24"/>
          <w:szCs w:val="22"/>
          <w:highlight w:val="none"/>
          <w:lang w:val="en-US" w:eastAsia="zh-CN" w:bidi="ar-SA"/>
        </w:rPr>
        <w:t>年</w:t>
      </w:r>
      <w:r>
        <w:rPr>
          <w:rFonts w:hint="eastAsia" w:cs="Times New Roman"/>
          <w:kern w:val="2"/>
          <w:sz w:val="24"/>
          <w:szCs w:val="22"/>
          <w:highlight w:val="none"/>
          <w:lang w:val="en-US" w:eastAsia="zh-CN" w:bidi="ar-SA"/>
        </w:rPr>
        <w:t>2</w:t>
      </w:r>
      <w:r>
        <w:rPr>
          <w:rFonts w:hint="eastAsia" w:ascii="Times New Roman" w:hAnsi="Times New Roman" w:eastAsia="宋体" w:cs="Times New Roman"/>
          <w:kern w:val="2"/>
          <w:sz w:val="24"/>
          <w:szCs w:val="22"/>
          <w:highlight w:val="none"/>
          <w:lang w:val="en-US" w:eastAsia="zh-CN" w:bidi="ar-SA"/>
        </w:rPr>
        <w:t>月至2025年7月)</w:t>
      </w:r>
      <w:r>
        <w:rPr>
          <w:rFonts w:hint="eastAsia" w:cs="Times New Roman"/>
          <w:kern w:val="2"/>
          <w:sz w:val="24"/>
          <w:szCs w:val="22"/>
          <w:highlight w:val="none"/>
          <w:lang w:val="en-US" w:eastAsia="zh-CN" w:bidi="ar-SA"/>
        </w:rPr>
        <w:t>任意一个月</w:t>
      </w:r>
      <w:r>
        <w:rPr>
          <w:rFonts w:hint="eastAsia" w:ascii="Times New Roman" w:hAnsi="Times New Roman" w:eastAsia="宋体" w:cs="Times New Roman"/>
          <w:kern w:val="2"/>
          <w:sz w:val="24"/>
          <w:szCs w:val="22"/>
          <w:highlight w:val="none"/>
          <w:lang w:val="en-US" w:eastAsia="zh-CN" w:bidi="ar-SA"/>
        </w:rPr>
        <w:t>为其缴纳的由劳动和社会保障部门出具的养老保险缴纳凭证。（须明确缴费月份、个人姓名、缴费单位，且加盖社 保中心章或社保中心参保缴费证明电子专用章；高校或军队的事业编制人员无法提供社保证明，须提供所在单位上级人事组织或编制主管部门出具的人员编制核准证明材料；若省市相关部门有政策允许社保缴费中缴费金额为零或者非到账状态等情况，在提供政策文件的情况下，视同有效）</w:t>
      </w:r>
      <w:bookmarkEnd w:id="7"/>
    </w:p>
    <w:p w14:paraId="6F7A3060">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eastAsia="宋体"/>
          <w:sz w:val="24"/>
          <w:szCs w:val="22"/>
          <w:highlight w:val="none"/>
        </w:rPr>
      </w:pPr>
      <w:r>
        <w:rPr>
          <w:rFonts w:hint="eastAsia" w:eastAsia="宋体"/>
          <w:sz w:val="24"/>
          <w:szCs w:val="22"/>
          <w:highlight w:val="none"/>
          <w:lang w:val="en-US" w:eastAsia="zh-CN"/>
        </w:rPr>
        <w:t>3</w:t>
      </w:r>
      <w:r>
        <w:rPr>
          <w:rFonts w:hint="eastAsia" w:eastAsia="宋体"/>
          <w:sz w:val="24"/>
          <w:szCs w:val="22"/>
          <w:highlight w:val="none"/>
        </w:rPr>
        <w:t>.落实政府采购政策需满足的资格要求：本项目按照以下第（</w:t>
      </w:r>
      <w:r>
        <w:rPr>
          <w:rFonts w:hint="eastAsia"/>
          <w:sz w:val="24"/>
          <w:szCs w:val="22"/>
          <w:highlight w:val="none"/>
          <w:lang w:val="en-US" w:eastAsia="zh-CN"/>
        </w:rPr>
        <w:t>4</w:t>
      </w:r>
      <w:r>
        <w:rPr>
          <w:rFonts w:hint="eastAsia" w:eastAsia="宋体"/>
          <w:sz w:val="24"/>
          <w:szCs w:val="22"/>
          <w:highlight w:val="none"/>
        </w:rPr>
        <w:t>）种方式落实政府采购促进中小企业发展的要求：</w:t>
      </w:r>
    </w:p>
    <w:p w14:paraId="09128A14">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4"/>
          <w:szCs w:val="22"/>
          <w:highlight w:val="none"/>
        </w:rPr>
      </w:pPr>
      <w:r>
        <w:rPr>
          <w:rFonts w:hint="eastAsia" w:eastAsia="宋体"/>
          <w:sz w:val="24"/>
          <w:szCs w:val="22"/>
          <w:highlight w:val="none"/>
        </w:rPr>
        <w:t>（1）本项目整体专门面向中小企业采购服务。</w:t>
      </w:r>
    </w:p>
    <w:p w14:paraId="2EC681C2">
      <w:pPr>
        <w:keepNext w:val="0"/>
        <w:keepLines w:val="0"/>
        <w:pageBreakBefore w:val="0"/>
        <w:widowControl w:val="0"/>
        <w:kinsoku/>
        <w:wordWrap/>
        <w:overflowPunct/>
        <w:topLinePunct w:val="0"/>
        <w:autoSpaceDE/>
        <w:autoSpaceDN/>
        <w:bidi w:val="0"/>
        <w:adjustRightInd w:val="0"/>
        <w:snapToGrid w:val="0"/>
        <w:textAlignment w:val="auto"/>
        <w:rPr>
          <w:rFonts w:hint="eastAsia"/>
          <w:sz w:val="24"/>
          <w:szCs w:val="22"/>
          <w:highlight w:val="none"/>
        </w:rPr>
      </w:pPr>
      <w:r>
        <w:rPr>
          <w:rFonts w:hint="eastAsia" w:eastAsia="宋体"/>
          <w:sz w:val="24"/>
          <w:szCs w:val="22"/>
          <w:highlight w:val="none"/>
        </w:rPr>
        <w:t>（2）本项目整体专门面向小微企业采购服务</w:t>
      </w:r>
      <w:r>
        <w:rPr>
          <w:rFonts w:hint="eastAsia"/>
          <w:sz w:val="24"/>
          <w:szCs w:val="22"/>
          <w:highlight w:val="none"/>
        </w:rPr>
        <w:t>。</w:t>
      </w:r>
    </w:p>
    <w:p w14:paraId="785114B9">
      <w:pPr>
        <w:keepNext w:val="0"/>
        <w:keepLines w:val="0"/>
        <w:pageBreakBefore w:val="0"/>
        <w:widowControl w:val="0"/>
        <w:kinsoku/>
        <w:wordWrap/>
        <w:overflowPunct/>
        <w:topLinePunct w:val="0"/>
        <w:autoSpaceDE/>
        <w:autoSpaceDN/>
        <w:bidi w:val="0"/>
        <w:adjustRightInd w:val="0"/>
        <w:snapToGrid w:val="0"/>
        <w:textAlignment w:val="auto"/>
        <w:rPr>
          <w:rFonts w:hint="eastAsia"/>
          <w:sz w:val="24"/>
          <w:szCs w:val="22"/>
          <w:highlight w:val="none"/>
        </w:rPr>
      </w:pPr>
      <w:r>
        <w:rPr>
          <w:rFonts w:hint="eastAsia"/>
          <w:sz w:val="24"/>
          <w:szCs w:val="22"/>
          <w:highlight w:val="none"/>
        </w:rPr>
        <w:t>（3）本项目通过以下第（）种方式预留部分采购份额采购中小企业服务：</w:t>
      </w:r>
    </w:p>
    <w:p w14:paraId="5BA27EC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①本项目要求供应商以联合体形式参加，中小企业合同金额应当达到的比例为_%。</w:t>
      </w:r>
    </w:p>
    <w:p w14:paraId="630F10E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②本项目要求供应商进行合同分包，中小企业合同金额应当达到的比例为_%。</w:t>
      </w:r>
    </w:p>
    <w:p w14:paraId="328EA6C2">
      <w:pPr>
        <w:keepNext w:val="0"/>
        <w:keepLines w:val="0"/>
        <w:pageBreakBefore w:val="0"/>
        <w:widowControl w:val="0"/>
        <w:kinsoku/>
        <w:wordWrap/>
        <w:overflowPunct/>
        <w:topLinePunct w:val="0"/>
        <w:autoSpaceDE/>
        <w:autoSpaceDN/>
        <w:bidi w:val="0"/>
        <w:adjustRightInd w:val="0"/>
        <w:snapToGrid w:val="0"/>
        <w:textAlignment w:val="auto"/>
        <w:rPr>
          <w:rFonts w:hint="eastAsia"/>
          <w:sz w:val="24"/>
          <w:szCs w:val="22"/>
          <w:highlight w:val="none"/>
        </w:rPr>
      </w:pPr>
      <w:r>
        <w:rPr>
          <w:rFonts w:hint="eastAsia"/>
          <w:sz w:val="24"/>
          <w:szCs w:val="22"/>
          <w:highlight w:val="none"/>
        </w:rPr>
        <w:t>（4）本项目为非预留份额的采购项目或采购包，执行价格扣除优惠政策，具体详见第三章。</w:t>
      </w:r>
    </w:p>
    <w:p w14:paraId="499C22D5">
      <w:pPr>
        <w:pStyle w:val="4"/>
        <w:rPr>
          <w:highlight w:val="none"/>
        </w:rPr>
      </w:pPr>
      <w:bookmarkStart w:id="8" w:name="_Toc5465"/>
      <w:bookmarkStart w:id="9" w:name="_Toc118445248"/>
      <w:bookmarkStart w:id="10" w:name="_Toc14617"/>
      <w:r>
        <w:rPr>
          <w:rFonts w:hint="eastAsia"/>
          <w:highlight w:val="none"/>
        </w:rPr>
        <w:t>三、获取采购文件</w:t>
      </w:r>
      <w:bookmarkEnd w:id="8"/>
      <w:bookmarkEnd w:id="9"/>
      <w:bookmarkEnd w:id="10"/>
    </w:p>
    <w:p w14:paraId="2A6FF63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sz w:val="24"/>
          <w:szCs w:val="22"/>
          <w:highlight w:val="none"/>
        </w:rPr>
        <w:t>时间：</w:t>
      </w:r>
      <w:r>
        <w:rPr>
          <w:rFonts w:hint="eastAsia" w:ascii="宋体" w:hAnsi="宋体" w:eastAsia="宋体" w:cs="宋体"/>
          <w:sz w:val="24"/>
          <w:szCs w:val="22"/>
          <w:highlight w:val="none"/>
        </w:rPr>
        <w:t>202</w:t>
      </w: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5</w:t>
      </w:r>
      <w:r>
        <w:rPr>
          <w:rFonts w:hint="eastAsia" w:ascii="宋体" w:hAnsi="宋体" w:eastAsia="宋体" w:cs="宋体"/>
          <w:sz w:val="24"/>
          <w:szCs w:val="22"/>
          <w:highlight w:val="none"/>
        </w:rPr>
        <w:t>日至202</w:t>
      </w: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9</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11</w:t>
      </w:r>
      <w:r>
        <w:rPr>
          <w:rFonts w:hint="eastAsia" w:ascii="宋体" w:hAnsi="宋体" w:eastAsia="宋体" w:cs="宋体"/>
          <w:sz w:val="24"/>
          <w:szCs w:val="22"/>
          <w:highlight w:val="none"/>
        </w:rPr>
        <w:t>日，每天上午09:00至11：00，下午14:00至17:00（北京时间，法定节假日除外）</w:t>
      </w:r>
    </w:p>
    <w:p w14:paraId="68AC3A6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宋体" w:hAnsi="宋体"/>
          <w:sz w:val="24"/>
          <w:szCs w:val="22"/>
          <w:highlight w:val="none"/>
          <w:lang w:val="en"/>
        </w:rPr>
      </w:pPr>
      <w:r>
        <w:rPr>
          <w:rFonts w:hint="eastAsia" w:ascii="宋体" w:hAnsi="宋体"/>
          <w:sz w:val="24"/>
          <w:szCs w:val="22"/>
          <w:highlight w:val="none"/>
        </w:rPr>
        <w:t>地点：</w:t>
      </w:r>
      <w:r>
        <w:rPr>
          <w:rFonts w:hint="eastAsia"/>
          <w:sz w:val="24"/>
          <w:szCs w:val="22"/>
          <w:highlight w:val="none"/>
          <w:lang w:val="en"/>
        </w:rPr>
        <w:t>线上或现场</w:t>
      </w:r>
    </w:p>
    <w:p w14:paraId="4538565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en"/>
        </w:rPr>
      </w:pPr>
      <w:r>
        <w:rPr>
          <w:rFonts w:hint="eastAsia"/>
          <w:sz w:val="24"/>
          <w:szCs w:val="22"/>
          <w:highlight w:val="none"/>
          <w:lang w:val="en"/>
        </w:rPr>
        <w:t>方式：本项目采用线上</w:t>
      </w:r>
      <w:r>
        <w:rPr>
          <w:rFonts w:hint="eastAsia"/>
          <w:sz w:val="24"/>
          <w:szCs w:val="22"/>
          <w:highlight w:val="none"/>
        </w:rPr>
        <w:t>或现场</w:t>
      </w:r>
      <w:r>
        <w:rPr>
          <w:rFonts w:hint="eastAsia"/>
          <w:sz w:val="24"/>
          <w:szCs w:val="22"/>
          <w:highlight w:val="none"/>
          <w:lang w:val="en"/>
        </w:rPr>
        <w:t>获取文件，欢迎符合条件的供应商获取文件。请供应商提供以下要求的证明文件的扫描件发送至</w:t>
      </w:r>
      <w:r>
        <w:rPr>
          <w:rFonts w:hint="eastAsia" w:ascii="宋体" w:hAnsi="宋体"/>
          <w:sz w:val="24"/>
          <w:szCs w:val="22"/>
          <w:highlight w:val="none"/>
          <w:lang w:val="en-US" w:eastAsia="zh-CN"/>
        </w:rPr>
        <w:t>15366062810</w:t>
      </w:r>
      <w:r>
        <w:rPr>
          <w:rFonts w:hint="eastAsia" w:ascii="宋体" w:hAnsi="宋体"/>
          <w:sz w:val="24"/>
          <w:szCs w:val="22"/>
          <w:highlight w:val="none"/>
        </w:rPr>
        <w:t>@</w:t>
      </w:r>
      <w:r>
        <w:rPr>
          <w:rFonts w:hint="eastAsia" w:ascii="宋体" w:hAnsi="宋体"/>
          <w:sz w:val="24"/>
          <w:szCs w:val="22"/>
          <w:highlight w:val="none"/>
          <w:lang w:val="en-US" w:eastAsia="zh-CN"/>
        </w:rPr>
        <w:t>163</w:t>
      </w:r>
      <w:r>
        <w:rPr>
          <w:rFonts w:hint="eastAsia" w:ascii="宋体" w:hAnsi="宋体"/>
          <w:sz w:val="24"/>
          <w:szCs w:val="22"/>
          <w:highlight w:val="none"/>
        </w:rPr>
        <w:t>.com邮箱</w:t>
      </w:r>
      <w:r>
        <w:rPr>
          <w:rFonts w:hint="eastAsia"/>
          <w:sz w:val="24"/>
          <w:szCs w:val="22"/>
          <w:highlight w:val="none"/>
          <w:lang w:val="en"/>
        </w:rPr>
        <w:t>（邮件须命名为：公司全称</w:t>
      </w:r>
      <w:r>
        <w:rPr>
          <w:rFonts w:ascii="宋体" w:hAnsi="宋体"/>
          <w:sz w:val="24"/>
          <w:szCs w:val="22"/>
          <w:highlight w:val="none"/>
        </w:rPr>
        <w:t>+</w:t>
      </w:r>
      <w:r>
        <w:rPr>
          <w:rFonts w:hint="eastAsia"/>
          <w:sz w:val="24"/>
          <w:szCs w:val="22"/>
          <w:highlight w:val="none"/>
          <w:lang w:val="en"/>
        </w:rPr>
        <w:t>项目简称</w:t>
      </w:r>
      <w:r>
        <w:rPr>
          <w:rFonts w:ascii="宋体" w:hAnsi="宋体"/>
          <w:sz w:val="24"/>
          <w:szCs w:val="22"/>
          <w:highlight w:val="none"/>
        </w:rPr>
        <w:t>+</w:t>
      </w:r>
      <w:r>
        <w:rPr>
          <w:rFonts w:hint="eastAsia"/>
          <w:sz w:val="24"/>
          <w:szCs w:val="22"/>
          <w:highlight w:val="none"/>
          <w:lang w:val="en"/>
        </w:rPr>
        <w:t>授权代</w:t>
      </w:r>
      <w:r>
        <w:rPr>
          <w:rFonts w:hint="eastAsia" w:ascii="宋体" w:hAnsi="宋体" w:eastAsia="宋体" w:cs="宋体"/>
          <w:sz w:val="24"/>
          <w:szCs w:val="22"/>
          <w:highlight w:val="none"/>
          <w:lang w:val="en"/>
        </w:rPr>
        <w:t>表姓名</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
        </w:rPr>
        <w:t>联系方式，须为一个pdf文件上传），且须加盖供应商公章后方为有效，审核通过后获取文件：</w:t>
      </w:r>
    </w:p>
    <w:p w14:paraId="4F44580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en"/>
        </w:rPr>
      </w:pPr>
      <w:r>
        <w:rPr>
          <w:rFonts w:hint="eastAsia" w:ascii="宋体" w:hAnsi="宋体" w:eastAsia="宋体" w:cs="宋体"/>
          <w:sz w:val="24"/>
          <w:szCs w:val="22"/>
          <w:highlight w:val="none"/>
          <w:lang w:val="en"/>
        </w:rPr>
        <w:t>（</w:t>
      </w:r>
      <w:r>
        <w:rPr>
          <w:rFonts w:hint="eastAsia" w:ascii="宋体" w:hAnsi="宋体" w:eastAsia="宋体" w:cs="宋体"/>
          <w:sz w:val="24"/>
          <w:szCs w:val="22"/>
          <w:highlight w:val="none"/>
        </w:rPr>
        <w:t>1</w:t>
      </w:r>
      <w:r>
        <w:rPr>
          <w:rFonts w:hint="eastAsia" w:ascii="宋体" w:hAnsi="宋体" w:eastAsia="宋体" w:cs="宋体"/>
          <w:sz w:val="24"/>
          <w:szCs w:val="22"/>
          <w:highlight w:val="none"/>
          <w:lang w:val="en"/>
        </w:rPr>
        <w:t>）投标供应商的营业执照副本扫描件；</w:t>
      </w:r>
    </w:p>
    <w:p w14:paraId="72F57EF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en"/>
        </w:rPr>
      </w:pPr>
      <w:r>
        <w:rPr>
          <w:rFonts w:hint="eastAsia" w:ascii="宋体" w:hAnsi="宋体" w:eastAsia="宋体" w:cs="宋体"/>
          <w:sz w:val="24"/>
          <w:szCs w:val="22"/>
          <w:highlight w:val="none"/>
          <w:lang w:val="en"/>
        </w:rPr>
        <w:t>（</w:t>
      </w:r>
      <w:r>
        <w:rPr>
          <w:rFonts w:hint="eastAsia" w:ascii="宋体" w:hAnsi="宋体" w:eastAsia="宋体" w:cs="宋体"/>
          <w:sz w:val="24"/>
          <w:szCs w:val="22"/>
          <w:highlight w:val="none"/>
        </w:rPr>
        <w:t>2</w:t>
      </w:r>
      <w:r>
        <w:rPr>
          <w:rFonts w:hint="eastAsia" w:ascii="宋体" w:hAnsi="宋体" w:eastAsia="宋体" w:cs="宋体"/>
          <w:sz w:val="24"/>
          <w:szCs w:val="22"/>
          <w:highlight w:val="none"/>
          <w:lang w:val="en"/>
        </w:rPr>
        <w:t>）投标供应商法定代表人身份证扫描件，法定代表人授权委托书原件的扫描件和委托代理人的身份证扫描件；</w:t>
      </w:r>
    </w:p>
    <w:p w14:paraId="443DFB0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en"/>
        </w:rPr>
      </w:pPr>
      <w:r>
        <w:rPr>
          <w:rFonts w:hint="eastAsia" w:ascii="宋体" w:hAnsi="宋体" w:eastAsia="宋体" w:cs="宋体"/>
          <w:sz w:val="24"/>
          <w:szCs w:val="22"/>
          <w:highlight w:val="none"/>
          <w:lang w:val="en"/>
        </w:rPr>
        <w:t>（</w:t>
      </w:r>
      <w:r>
        <w:rPr>
          <w:rFonts w:hint="eastAsia" w:ascii="宋体" w:hAnsi="宋体" w:eastAsia="宋体" w:cs="宋体"/>
          <w:sz w:val="24"/>
          <w:szCs w:val="22"/>
          <w:highlight w:val="none"/>
        </w:rPr>
        <w:t>3</w:t>
      </w:r>
      <w:r>
        <w:rPr>
          <w:rFonts w:hint="eastAsia" w:ascii="宋体" w:hAnsi="宋体" w:eastAsia="宋体" w:cs="宋体"/>
          <w:sz w:val="24"/>
          <w:szCs w:val="22"/>
          <w:highlight w:val="none"/>
          <w:lang w:val="en"/>
        </w:rPr>
        <w:t>）文件费缴纳付款凭证（需备注公司名称</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
        </w:rPr>
        <w:t>项目名称，以便代理工作人员查询）。</w:t>
      </w:r>
    </w:p>
    <w:p w14:paraId="5D94C42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ascii="宋体" w:hAnsi="宋体" w:eastAsia="宋体" w:cs="宋体"/>
          <w:sz w:val="24"/>
          <w:szCs w:val="22"/>
          <w:highlight w:val="none"/>
          <w:lang w:val="en"/>
        </w:rPr>
        <w:t>文件费支付宝收款账户：18094225530</w:t>
      </w:r>
      <w:r>
        <w:rPr>
          <w:rFonts w:hint="eastAsia" w:ascii="宋体" w:hAnsi="宋体" w:eastAsia="宋体" w:cs="宋体"/>
          <w:sz w:val="24"/>
          <w:szCs w:val="22"/>
          <w:highlight w:val="none"/>
        </w:rPr>
        <w:t>，文件费</w:t>
      </w:r>
      <w:r>
        <w:rPr>
          <w:rFonts w:hint="eastAsia" w:ascii="宋体" w:hAnsi="宋体" w:cs="宋体"/>
          <w:sz w:val="24"/>
          <w:szCs w:val="22"/>
          <w:highlight w:val="none"/>
          <w:lang w:val="en-US" w:eastAsia="zh-CN"/>
        </w:rPr>
        <w:t>100</w:t>
      </w:r>
      <w:r>
        <w:rPr>
          <w:rFonts w:hint="eastAsia" w:ascii="宋体" w:hAnsi="宋体" w:eastAsia="宋体" w:cs="宋体"/>
          <w:sz w:val="24"/>
          <w:szCs w:val="22"/>
          <w:highlight w:val="none"/>
        </w:rPr>
        <w:t>元</w:t>
      </w:r>
      <w:r>
        <w:rPr>
          <w:rFonts w:hint="eastAsia" w:ascii="宋体" w:hAnsi="宋体" w:cs="宋体"/>
          <w:sz w:val="24"/>
          <w:szCs w:val="22"/>
          <w:highlight w:val="none"/>
          <w:lang w:val="en-US" w:eastAsia="zh-CN"/>
        </w:rPr>
        <w:t>/套</w:t>
      </w:r>
      <w:r>
        <w:rPr>
          <w:rFonts w:hint="eastAsia" w:ascii="宋体" w:hAnsi="宋体" w:eastAsia="宋体" w:cs="宋体"/>
          <w:sz w:val="24"/>
          <w:szCs w:val="22"/>
          <w:highlight w:val="none"/>
        </w:rPr>
        <w:t>，售不后退。</w:t>
      </w:r>
    </w:p>
    <w:p w14:paraId="3315679D">
      <w:pPr>
        <w:pStyle w:val="4"/>
        <w:rPr>
          <w:highlight w:val="none"/>
        </w:rPr>
      </w:pPr>
      <w:bookmarkStart w:id="11" w:name="_Toc6068"/>
      <w:bookmarkStart w:id="12" w:name="_Toc16005"/>
      <w:bookmarkStart w:id="13" w:name="_Toc118445249"/>
      <w:r>
        <w:rPr>
          <w:rFonts w:hint="eastAsia"/>
          <w:highlight w:val="none"/>
        </w:rPr>
        <w:t>四、响应文件提交</w:t>
      </w:r>
      <w:bookmarkEnd w:id="11"/>
      <w:bookmarkEnd w:id="12"/>
      <w:bookmarkEnd w:id="13"/>
      <w:r>
        <w:rPr>
          <w:rFonts w:hint="eastAsia"/>
          <w:highlight w:val="none"/>
        </w:rPr>
        <w:t xml:space="preserve"> </w:t>
      </w:r>
    </w:p>
    <w:p w14:paraId="5CB6204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eastAsia="宋体"/>
          <w:sz w:val="24"/>
          <w:szCs w:val="22"/>
          <w:highlight w:val="none"/>
          <w:lang w:val="en-US" w:eastAsia="zh-CN"/>
        </w:rPr>
      </w:pPr>
      <w:r>
        <w:rPr>
          <w:rFonts w:hint="eastAsia"/>
          <w:sz w:val="24"/>
          <w:szCs w:val="22"/>
          <w:highlight w:val="none"/>
          <w:lang w:val="en"/>
        </w:rPr>
        <w:t>截止时间：</w:t>
      </w:r>
      <w:r>
        <w:rPr>
          <w:rFonts w:hint="eastAsia"/>
          <w:sz w:val="24"/>
          <w:szCs w:val="22"/>
          <w:highlight w:val="none"/>
          <w:lang w:val="en" w:eastAsia="zh-CN"/>
        </w:rPr>
        <w:t>2025年</w:t>
      </w:r>
      <w:r>
        <w:rPr>
          <w:rFonts w:hint="eastAsia"/>
          <w:sz w:val="24"/>
          <w:szCs w:val="22"/>
          <w:highlight w:val="none"/>
          <w:lang w:val="en-US" w:eastAsia="zh-CN"/>
        </w:rPr>
        <w:t>9</w:t>
      </w:r>
      <w:r>
        <w:rPr>
          <w:rFonts w:hint="eastAsia"/>
          <w:sz w:val="24"/>
          <w:szCs w:val="22"/>
          <w:highlight w:val="none"/>
          <w:lang w:val="en" w:eastAsia="zh-CN"/>
        </w:rPr>
        <w:t>月</w:t>
      </w:r>
      <w:r>
        <w:rPr>
          <w:rFonts w:hint="eastAsia"/>
          <w:sz w:val="24"/>
          <w:szCs w:val="22"/>
          <w:highlight w:val="none"/>
          <w:lang w:val="en-US" w:eastAsia="zh-CN"/>
        </w:rPr>
        <w:t>16</w:t>
      </w:r>
      <w:r>
        <w:rPr>
          <w:rFonts w:hint="eastAsia"/>
          <w:sz w:val="24"/>
          <w:szCs w:val="22"/>
          <w:highlight w:val="none"/>
          <w:lang w:val="en" w:eastAsia="zh-CN"/>
        </w:rPr>
        <w:t>日</w:t>
      </w:r>
      <w:r>
        <w:rPr>
          <w:rFonts w:hint="eastAsia"/>
          <w:sz w:val="24"/>
          <w:szCs w:val="22"/>
          <w:highlight w:val="none"/>
          <w:lang w:val="en-US" w:eastAsia="zh-CN"/>
        </w:rPr>
        <w:t>14</w:t>
      </w:r>
      <w:r>
        <w:rPr>
          <w:rFonts w:hint="eastAsia"/>
          <w:sz w:val="24"/>
          <w:szCs w:val="22"/>
          <w:highlight w:val="none"/>
          <w:lang w:val="en"/>
        </w:rPr>
        <w:t>:</w:t>
      </w:r>
      <w:r>
        <w:rPr>
          <w:rFonts w:hint="eastAsia"/>
          <w:sz w:val="24"/>
          <w:szCs w:val="22"/>
          <w:highlight w:val="none"/>
          <w:lang w:val="en-US" w:eastAsia="zh-CN"/>
        </w:rPr>
        <w:t>3</w:t>
      </w:r>
      <w:r>
        <w:rPr>
          <w:rFonts w:hint="eastAsia"/>
          <w:sz w:val="24"/>
          <w:szCs w:val="22"/>
          <w:highlight w:val="none"/>
          <w:lang w:val="en"/>
        </w:rPr>
        <w:t>0</w:t>
      </w:r>
    </w:p>
    <w:p w14:paraId="089152C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sz w:val="24"/>
          <w:szCs w:val="22"/>
          <w:highlight w:val="none"/>
          <w:lang w:val="en"/>
        </w:rPr>
        <w:t>地点：南京市建邺区嘉陵江东街18号1栋17层一号会议室</w:t>
      </w:r>
    </w:p>
    <w:p w14:paraId="5C556E5E">
      <w:pPr>
        <w:pStyle w:val="4"/>
        <w:rPr>
          <w:highlight w:val="none"/>
        </w:rPr>
      </w:pPr>
      <w:bookmarkStart w:id="14" w:name="_Toc118445250"/>
      <w:r>
        <w:rPr>
          <w:rFonts w:hint="eastAsia"/>
          <w:highlight w:val="none"/>
        </w:rPr>
        <w:t>五、开启</w:t>
      </w:r>
      <w:bookmarkEnd w:id="14"/>
    </w:p>
    <w:p w14:paraId="6C858E1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lang w:val="en"/>
        </w:rPr>
      </w:pPr>
      <w:r>
        <w:rPr>
          <w:rFonts w:hint="eastAsia"/>
          <w:sz w:val="24"/>
          <w:szCs w:val="22"/>
          <w:highlight w:val="none"/>
          <w:lang w:val="en"/>
        </w:rPr>
        <w:t>时间：</w:t>
      </w:r>
      <w:r>
        <w:rPr>
          <w:rFonts w:hint="eastAsia"/>
          <w:sz w:val="24"/>
          <w:szCs w:val="22"/>
          <w:highlight w:val="none"/>
          <w:lang w:val="en" w:eastAsia="zh-CN"/>
        </w:rPr>
        <w:t>2025年</w:t>
      </w:r>
      <w:r>
        <w:rPr>
          <w:rFonts w:hint="eastAsia"/>
          <w:sz w:val="24"/>
          <w:szCs w:val="22"/>
          <w:highlight w:val="none"/>
          <w:lang w:val="en-US" w:eastAsia="zh-CN"/>
        </w:rPr>
        <w:t>9</w:t>
      </w:r>
      <w:r>
        <w:rPr>
          <w:rFonts w:hint="eastAsia"/>
          <w:sz w:val="24"/>
          <w:szCs w:val="22"/>
          <w:highlight w:val="none"/>
          <w:lang w:val="en" w:eastAsia="zh-CN"/>
        </w:rPr>
        <w:t>月</w:t>
      </w:r>
      <w:r>
        <w:rPr>
          <w:rFonts w:hint="eastAsia"/>
          <w:sz w:val="24"/>
          <w:szCs w:val="22"/>
          <w:highlight w:val="none"/>
          <w:lang w:val="en-US" w:eastAsia="zh-CN"/>
        </w:rPr>
        <w:t>16</w:t>
      </w:r>
      <w:r>
        <w:rPr>
          <w:rFonts w:hint="eastAsia"/>
          <w:sz w:val="24"/>
          <w:szCs w:val="22"/>
          <w:highlight w:val="none"/>
          <w:lang w:val="en" w:eastAsia="zh-CN"/>
        </w:rPr>
        <w:t>日</w:t>
      </w:r>
      <w:r>
        <w:rPr>
          <w:rFonts w:hint="eastAsia"/>
          <w:sz w:val="24"/>
          <w:szCs w:val="22"/>
          <w:highlight w:val="none"/>
          <w:lang w:val="en-US" w:eastAsia="zh-CN"/>
        </w:rPr>
        <w:t>14</w:t>
      </w:r>
      <w:r>
        <w:rPr>
          <w:rFonts w:hint="eastAsia"/>
          <w:sz w:val="24"/>
          <w:szCs w:val="22"/>
          <w:highlight w:val="none"/>
          <w:lang w:val="en"/>
        </w:rPr>
        <w:t>:</w:t>
      </w:r>
      <w:r>
        <w:rPr>
          <w:rFonts w:hint="eastAsia"/>
          <w:sz w:val="24"/>
          <w:szCs w:val="22"/>
          <w:highlight w:val="none"/>
          <w:lang w:val="en-US" w:eastAsia="zh-CN"/>
        </w:rPr>
        <w:t>3</w:t>
      </w:r>
      <w:r>
        <w:rPr>
          <w:rFonts w:hint="eastAsia"/>
          <w:sz w:val="24"/>
          <w:szCs w:val="22"/>
          <w:highlight w:val="none"/>
          <w:lang w:val="en"/>
        </w:rPr>
        <w:t>0</w:t>
      </w:r>
    </w:p>
    <w:p w14:paraId="15D8519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lang w:val="en"/>
        </w:rPr>
      </w:pPr>
      <w:r>
        <w:rPr>
          <w:rFonts w:hint="eastAsia"/>
          <w:sz w:val="24"/>
          <w:szCs w:val="22"/>
          <w:highlight w:val="none"/>
          <w:lang w:val="en"/>
        </w:rPr>
        <w:t>地点：南京市建邺区嘉陵江东街18号1栋17层一号会议室</w:t>
      </w:r>
    </w:p>
    <w:p w14:paraId="3AA1CB22">
      <w:pPr>
        <w:pStyle w:val="4"/>
        <w:rPr>
          <w:highlight w:val="none"/>
        </w:rPr>
      </w:pPr>
      <w:bookmarkStart w:id="15" w:name="_Toc118445251"/>
      <w:bookmarkStart w:id="16" w:name="_Toc6400"/>
      <w:bookmarkStart w:id="17" w:name="_Toc13665"/>
      <w:r>
        <w:rPr>
          <w:rFonts w:hint="eastAsia"/>
          <w:highlight w:val="none"/>
        </w:rPr>
        <w:t>六、公告期限</w:t>
      </w:r>
      <w:bookmarkEnd w:id="15"/>
    </w:p>
    <w:p w14:paraId="375E02C0">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rPr>
      </w:pPr>
      <w:r>
        <w:rPr>
          <w:rFonts w:hint="eastAsia"/>
          <w:sz w:val="24"/>
          <w:szCs w:val="22"/>
          <w:highlight w:val="none"/>
        </w:rPr>
        <w:t>自本公告发布之日起5个工作日</w:t>
      </w:r>
    </w:p>
    <w:p w14:paraId="4F0C54CB">
      <w:pPr>
        <w:pStyle w:val="4"/>
        <w:rPr>
          <w:highlight w:val="none"/>
        </w:rPr>
      </w:pPr>
      <w:bookmarkStart w:id="18" w:name="_Toc118445252"/>
      <w:r>
        <w:rPr>
          <w:rFonts w:hint="eastAsia"/>
          <w:highlight w:val="none"/>
        </w:rPr>
        <w:t>七、其他补充事宜</w:t>
      </w:r>
      <w:bookmarkEnd w:id="18"/>
    </w:p>
    <w:p w14:paraId="43CF3BC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7.1勘察现场或答疑：采购人不组织，如有需要供应商可自行联系采购人。未考察现场或考察工作不详细的供 应商成交后，不得以不完全了解现场情况为理由而向采购人提出任何索赔或其他要求，对此采购人不承担任 何责任并将不作任何答复。</w:t>
      </w:r>
    </w:p>
    <w:p w14:paraId="592B430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lang w:val="zh-CN"/>
        </w:rPr>
      </w:pPr>
      <w:r>
        <w:rPr>
          <w:rFonts w:hint="eastAsia"/>
          <w:sz w:val="24"/>
          <w:szCs w:val="22"/>
          <w:highlight w:val="none"/>
          <w:lang w:val="zh-CN"/>
        </w:rPr>
        <w:t>7.2 拒绝下述供应商参加本次采购活动</w:t>
      </w:r>
    </w:p>
    <w:p w14:paraId="3519E8C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（1）供应商单位负责人为同一人或者存在直接控股、管理关系的不同供应商，不得参加同一合同项下的政府采购活动；</w:t>
      </w:r>
    </w:p>
    <w:p w14:paraId="23C40A4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（2）为采购项目提供整体设计、规范编制或者项目管理、监理、检测等服务的供应商，不得参加本项目的采购活动；</w:t>
      </w:r>
    </w:p>
    <w:p w14:paraId="6031AED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（3）供应商被“信用中国”网站（www.creditchina.gov.cn）、“中国政府采购网”(www.ccgp.gov.cn)列入失信被执行人、重大税收违法案件当事人名单、政府采购严重违法失信行为记录名单；</w:t>
      </w:r>
    </w:p>
    <w:p w14:paraId="16BC2D2A">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 xml:space="preserve">（4）供应商未提供《南京市政府采购供应商信用记录表暨信用承诺书》； </w:t>
      </w:r>
    </w:p>
    <w:p w14:paraId="4FD7C0F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7.3供应商诚信档案</w:t>
      </w:r>
    </w:p>
    <w:p w14:paraId="0B38006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根据《南京市政府采购供应商信用管理工作暂行办法》（宁财规〔2018〕10号）有关规定，凡在南京地区参加政府采购活动的供应商，应当事先登陆“南京市政府采购供应商诚信档案管理系统”（http://222.190.243.84:8280/hodeframe2018_cxda/index.action）或“南京公共采购信息网”（https://njgc.jfh.com/）主页“南京市政府采购供应商诚信档案”栏目进行注册登记。由于特殊原因未及时注册的供应商可先行获取</w:t>
      </w:r>
      <w:r>
        <w:rPr>
          <w:rFonts w:hint="eastAsia"/>
          <w:sz w:val="24"/>
          <w:szCs w:val="22"/>
          <w:highlight w:val="none"/>
          <w:lang w:val="zh-CN"/>
        </w:rPr>
        <w:t>磋商文件</w:t>
      </w:r>
      <w:r>
        <w:rPr>
          <w:rFonts w:hint="eastAsia"/>
          <w:sz w:val="24"/>
          <w:szCs w:val="22"/>
          <w:highlight w:val="none"/>
        </w:rPr>
        <w:t>，但必须在提交响应文件截止日两天前办理。</w:t>
      </w:r>
    </w:p>
    <w:p w14:paraId="5FEF404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供应商参加本次政府采购活动时，在</w:t>
      </w:r>
      <w:r>
        <w:rPr>
          <w:rFonts w:hint="eastAsia"/>
          <w:sz w:val="24"/>
          <w:szCs w:val="22"/>
          <w:highlight w:val="none"/>
          <w:lang w:val="zh-CN"/>
        </w:rPr>
        <w:t>磋商文件</w:t>
      </w:r>
      <w:r>
        <w:rPr>
          <w:rFonts w:hint="eastAsia"/>
          <w:sz w:val="24"/>
          <w:szCs w:val="22"/>
          <w:highlight w:val="none"/>
        </w:rPr>
        <w:t>发布之日起至递交响应文件截止日前，应先登录“南京市政府采购供应商诚信档案管理系统”在线打印其“南京市政府采购供应商信用记录表暨信用承诺书”，经法定代表人签字、加盖单位公章后作为响应文件的组成部分。</w:t>
      </w:r>
    </w:p>
    <w:p w14:paraId="79E09AE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7.4 根据《关于在政府采购活动中推行信用承诺制的通知》（宁财购通[2021]5号）的规定，本项目招标公告“二、供应商的资格要求 2.1条”和“七、其他补充事宜7.2（3）条”中涉及的证明材料，供应商可以在响应文件中一次性提交，也可以仅在响应文件中提供“南京市政府采购供应商信用记录表</w:t>
      </w:r>
      <w:bookmarkStart w:id="19" w:name="_Hlk81487034"/>
      <w:r>
        <w:rPr>
          <w:rFonts w:hint="eastAsia"/>
          <w:sz w:val="24"/>
          <w:szCs w:val="22"/>
          <w:highlight w:val="none"/>
        </w:rPr>
        <w:t>暨信用承诺书</w:t>
      </w:r>
      <w:bookmarkEnd w:id="19"/>
      <w:r>
        <w:rPr>
          <w:rFonts w:hint="eastAsia"/>
          <w:sz w:val="24"/>
          <w:szCs w:val="22"/>
          <w:highlight w:val="none"/>
        </w:rPr>
        <w:t>” （</w:t>
      </w:r>
      <w:bookmarkStart w:id="20" w:name="_Hlk81314320"/>
      <w:r>
        <w:rPr>
          <w:rFonts w:hint="eastAsia"/>
          <w:sz w:val="24"/>
          <w:szCs w:val="22"/>
          <w:highlight w:val="none"/>
        </w:rPr>
        <w:t>信用承诺书下载方式详见</w:t>
      </w:r>
      <w:bookmarkEnd w:id="20"/>
      <w:r>
        <w:rPr>
          <w:rFonts w:hint="eastAsia"/>
          <w:sz w:val="24"/>
          <w:szCs w:val="22"/>
          <w:highlight w:val="none"/>
        </w:rPr>
        <w:t>磋商文件第二章3.7供应商诚信档案管理）。</w:t>
      </w:r>
    </w:p>
    <w:p w14:paraId="5C137D2C">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供应商仅提供信用承诺书而未提供“二、申请人的资格要求 2.1条”和“七、其他补充事宜7.2（3）条”中涉及的证明材料的，须在成交后另行提供上述由信用承诺书替代的证明材料（一式三份），材料须加盖公章并按</w:t>
      </w:r>
      <w:r>
        <w:rPr>
          <w:rFonts w:hint="eastAsia"/>
          <w:sz w:val="24"/>
          <w:szCs w:val="22"/>
          <w:highlight w:val="none"/>
          <w:lang w:val="zh-CN"/>
        </w:rPr>
        <w:t>磋商文件</w:t>
      </w:r>
      <w:r>
        <w:rPr>
          <w:rFonts w:hint="eastAsia"/>
          <w:sz w:val="24"/>
          <w:szCs w:val="22"/>
          <w:highlight w:val="none"/>
        </w:rPr>
        <w:t>要求胶装提交采购人或招标代理机构核验。经核验无误后，由采购人或招标代理机构发出成交通知书。</w:t>
      </w:r>
    </w:p>
    <w:p w14:paraId="0F97E324">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供应商涉及以下情形的，不适用信用承诺，仍须提供上述证明材料：</w:t>
      </w:r>
    </w:p>
    <w:p w14:paraId="459D0BB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（1）供应商被列入严重失信主体名单；</w:t>
      </w:r>
    </w:p>
    <w:p w14:paraId="6A8BE86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（2）被相关监管部门作出行政处罚且尚在处罚有效期内；</w:t>
      </w:r>
    </w:p>
    <w:p w14:paraId="38D0C5D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（3）其他法律、行政法规规定的不适用信用承诺的情形。</w:t>
      </w:r>
    </w:p>
    <w:p w14:paraId="0914757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供应商对信用承诺内容的真实性、合法性、有效性负责。如作出虚假信用承诺，视同为“提供虚假材料谋取成交”的违法行为。</w:t>
      </w:r>
    </w:p>
    <w:p w14:paraId="72273EE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7.5供应商应提供纸质版一式叁份（壹份正本、贰份副本）电子版响应文件（盖章版本）壹份（一般应为PDF格式、U盘形式（单独封装）、随纸质正本文件一并密封提交）。当电子版文件和纸质正本文件不一致时，以纸质正本文件为准。电子版文件用于辅助评标和平台存档，供应商需承担前述不一致造成的不利后果。</w:t>
      </w:r>
    </w:p>
    <w:p w14:paraId="2D9901B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7.6公告媒体</w:t>
      </w:r>
    </w:p>
    <w:p w14:paraId="078E7AE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（1）本公告在南京公共采购信息网（https：//njgc.jfh.com/）网发布，敬请各供应商关注；</w:t>
      </w:r>
    </w:p>
    <w:p w14:paraId="1D3F003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22"/>
          <w:highlight w:val="none"/>
        </w:rPr>
      </w:pPr>
      <w:r>
        <w:rPr>
          <w:rFonts w:hint="eastAsia"/>
          <w:sz w:val="24"/>
          <w:szCs w:val="22"/>
          <w:highlight w:val="none"/>
        </w:rPr>
        <w:t>（2）若有关本次采购存在变动或修改，敬请各供应商及时关注南京公共采购信息网（https：//njgc.jfh.com/）发布的关于本项目的信息更正公告。</w:t>
      </w:r>
    </w:p>
    <w:bookmarkEnd w:id="16"/>
    <w:bookmarkEnd w:id="17"/>
    <w:p w14:paraId="5E696770">
      <w:pPr>
        <w:pStyle w:val="4"/>
        <w:rPr>
          <w:highlight w:val="none"/>
        </w:rPr>
      </w:pPr>
      <w:bookmarkStart w:id="21" w:name="_Toc118445253"/>
      <w:r>
        <w:rPr>
          <w:rFonts w:hint="eastAsia"/>
          <w:highlight w:val="none"/>
        </w:rPr>
        <w:t>八、凡对本次采购提出询问，请按以下方式联系</w:t>
      </w:r>
      <w:bookmarkEnd w:id="21"/>
    </w:p>
    <w:p w14:paraId="70289DE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1.采购人信息</w:t>
      </w:r>
    </w:p>
    <w:p w14:paraId="30CC5A6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lang w:eastAsia="zh-CN"/>
        </w:rPr>
      </w:pPr>
      <w:r>
        <w:rPr>
          <w:rFonts w:hint="eastAsia" w:ascii="Times New Roman" w:hAnsi="Times New Roman" w:cs="Times New Roman"/>
          <w:sz w:val="24"/>
          <w:szCs w:val="22"/>
          <w:highlight w:val="none"/>
        </w:rPr>
        <w:t>名    称：</w:t>
      </w:r>
      <w:r>
        <w:rPr>
          <w:rFonts w:hint="eastAsia" w:ascii="Times New Roman" w:hAnsi="Times New Roman" w:cs="Times New Roman"/>
          <w:sz w:val="24"/>
          <w:szCs w:val="22"/>
          <w:highlight w:val="none"/>
          <w:lang w:eastAsia="zh-CN"/>
        </w:rPr>
        <w:t>南京市浦口区水务工程建设处</w:t>
      </w:r>
    </w:p>
    <w:p w14:paraId="06D6119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rPr>
        <w:t>地    址：南京市浦口区雨合路20号</w:t>
      </w:r>
    </w:p>
    <w:p w14:paraId="038BA2F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rPr>
        <w:t>联系人：</w:t>
      </w:r>
      <w:r>
        <w:rPr>
          <w:rFonts w:hint="eastAsia" w:eastAsia="宋体"/>
          <w:sz w:val="22"/>
          <w:szCs w:val="22"/>
          <w:highlight w:val="none"/>
          <w:lang w:val="en-US" w:eastAsia="zh-CN"/>
        </w:rPr>
        <w:t>陈科</w:t>
      </w:r>
    </w:p>
    <w:p w14:paraId="641D5C0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rPr>
        <w:t>电话：025-58886350</w:t>
      </w:r>
    </w:p>
    <w:p w14:paraId="3C89F6A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2.采购代理机构信息</w:t>
      </w:r>
    </w:p>
    <w:p w14:paraId="750DEBAE">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名    称：正中国际项目管理集团有限公司</w:t>
      </w:r>
    </w:p>
    <w:p w14:paraId="05FEE08F">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地    址：南京市建邺区嘉陵江东街18号1栋17层</w:t>
      </w:r>
    </w:p>
    <w:p w14:paraId="29F0A915">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rPr>
        <w:t>联系方式：15366062810、18901</w:t>
      </w:r>
      <w:bookmarkStart w:id="394" w:name="_GoBack"/>
      <w:bookmarkEnd w:id="394"/>
      <w:r>
        <w:rPr>
          <w:rFonts w:hint="eastAsia" w:ascii="Times New Roman" w:hAnsi="Times New Roman" w:cs="Times New Roman"/>
          <w:sz w:val="24"/>
          <w:szCs w:val="22"/>
          <w:highlight w:val="none"/>
        </w:rPr>
        <w:t>456182</w:t>
      </w:r>
    </w:p>
    <w:p w14:paraId="0C06231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3.项目联系方式</w:t>
      </w:r>
    </w:p>
    <w:p w14:paraId="68269CE8">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imes New Roman" w:hAnsi="Times New Roman" w:cs="Times New Roman"/>
          <w:sz w:val="24"/>
          <w:szCs w:val="22"/>
          <w:highlight w:val="none"/>
        </w:rPr>
      </w:pPr>
      <w:r>
        <w:rPr>
          <w:rFonts w:hint="eastAsia" w:ascii="Times New Roman" w:hAnsi="Times New Roman" w:cs="Times New Roman"/>
          <w:sz w:val="24"/>
          <w:szCs w:val="22"/>
          <w:highlight w:val="none"/>
        </w:rPr>
        <w:t>项目联系人</w:t>
      </w:r>
      <w:r>
        <w:rPr>
          <w:rFonts w:hint="eastAsia" w:ascii="Times New Roman" w:hAnsi="Times New Roman" w:cs="Times New Roman"/>
          <w:sz w:val="24"/>
          <w:szCs w:val="22"/>
          <w:highlight w:val="none"/>
          <w:lang w:eastAsia="zh-CN"/>
        </w:rPr>
        <w:t>：</w:t>
      </w:r>
      <w:r>
        <w:rPr>
          <w:rFonts w:hint="eastAsia" w:cs="Times New Roman"/>
          <w:sz w:val="24"/>
          <w:szCs w:val="22"/>
          <w:highlight w:val="none"/>
          <w:lang w:val="en-US" w:eastAsia="zh-CN"/>
        </w:rPr>
        <w:t>骆工</w:t>
      </w:r>
    </w:p>
    <w:p w14:paraId="68DA5DE1">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cs="Times New Roman"/>
          <w:sz w:val="24"/>
          <w:szCs w:val="22"/>
          <w:highlight w:val="none"/>
          <w:lang w:val="en-US" w:eastAsia="zh-CN"/>
        </w:rPr>
      </w:pPr>
      <w:r>
        <w:rPr>
          <w:rFonts w:hint="eastAsia" w:ascii="Times New Roman" w:hAnsi="Times New Roman" w:cs="Times New Roman"/>
          <w:sz w:val="24"/>
          <w:szCs w:val="22"/>
          <w:highlight w:val="none"/>
        </w:rPr>
        <w:t>电话：15366062810、18901456182</w:t>
      </w:r>
    </w:p>
    <w:p w14:paraId="76D00193">
      <w:pPr>
        <w:rPr>
          <w:highlight w:val="none"/>
        </w:rPr>
      </w:pPr>
      <w:bookmarkStart w:id="22" w:name="_Toc118445254"/>
      <w:r>
        <w:rPr>
          <w:highlight w:val="none"/>
        </w:rPr>
        <w:br w:type="page"/>
      </w:r>
    </w:p>
    <w:p w14:paraId="75EBB8A4">
      <w:pPr>
        <w:pStyle w:val="3"/>
        <w:spacing w:before="240" w:after="240"/>
        <w:ind w:firstLine="2898"/>
        <w:rPr>
          <w:highlight w:val="none"/>
        </w:rPr>
      </w:pPr>
      <w:r>
        <w:rPr>
          <w:highlight w:val="none"/>
        </w:rPr>
        <w:t>第二章 竞争性磋商须知</w:t>
      </w:r>
      <w:bookmarkEnd w:id="22"/>
    </w:p>
    <w:p w14:paraId="361899C9">
      <w:pPr>
        <w:pStyle w:val="4"/>
        <w:pageBreakBefore w:val="0"/>
        <w:widowControl w:val="0"/>
        <w:kinsoku/>
        <w:wordWrap/>
        <w:overflowPunct/>
        <w:topLinePunct w:val="0"/>
        <w:autoSpaceDE/>
        <w:autoSpaceDN/>
        <w:bidi w:val="0"/>
        <w:adjustRightInd w:val="0"/>
        <w:snapToGrid w:val="0"/>
        <w:spacing w:before="0" w:after="0"/>
        <w:ind w:firstLine="482" w:firstLineChars="200"/>
        <w:textAlignment w:val="auto"/>
        <w:rPr>
          <w:rFonts w:hint="eastAsia" w:ascii="宋体" w:hAnsi="宋体" w:eastAsia="宋体" w:cs="宋体"/>
          <w:sz w:val="24"/>
          <w:szCs w:val="32"/>
          <w:highlight w:val="none"/>
          <w:lang w:val="zh-CN"/>
        </w:rPr>
      </w:pPr>
      <w:bookmarkStart w:id="23" w:name="_Toc118445255"/>
      <w:r>
        <w:rPr>
          <w:rFonts w:hint="eastAsia" w:ascii="宋体" w:hAnsi="宋体" w:eastAsia="宋体" w:cs="宋体"/>
          <w:sz w:val="24"/>
          <w:szCs w:val="32"/>
          <w:highlight w:val="none"/>
          <w:lang w:val="zh-CN"/>
        </w:rPr>
        <w:t>一、总    则</w:t>
      </w:r>
      <w:bookmarkEnd w:id="23"/>
    </w:p>
    <w:p w14:paraId="0E03454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1.适用法律</w:t>
      </w:r>
    </w:p>
    <w:p w14:paraId="56EE79A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 《中华人民共和国政府采购法》、《中华人民共和国政府采购法实施条例》等有关法律、规章和规定等。</w:t>
      </w:r>
    </w:p>
    <w:p w14:paraId="5CE9ED1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2.定义</w:t>
      </w:r>
    </w:p>
    <w:p w14:paraId="264F11D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2.1 “供应商”是指参加磋商竞争，并符合采购文件规定资格条件的法人、其他组织或者自然人。</w:t>
      </w:r>
    </w:p>
    <w:p w14:paraId="4260F7D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2.2 “货物和服务”指本采购文件中所述产品及相关服务。</w:t>
      </w:r>
    </w:p>
    <w:p w14:paraId="741C14B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2.3 “用户或使用单位”是指使用服务的单位。</w:t>
      </w:r>
    </w:p>
    <w:p w14:paraId="17030D5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3.政策功能</w:t>
      </w:r>
    </w:p>
    <w:p w14:paraId="7A5D548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3.1政府采购促进中小企业发展，在政府采购活动中，供应商提供的货物、工程或者服务符合下列情形的，享受中小企业扶持政策：</w:t>
      </w:r>
    </w:p>
    <w:p w14:paraId="4D0C8F9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（1）在货物采购项目中，货物由中小企业制造，即货物由中小企业生产且使用该中小企业商号或者注册商标；</w:t>
      </w:r>
    </w:p>
    <w:p w14:paraId="2C768BE1">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（2）在工程采购项目中，工程由中小企业承建，即工程施工单位为中小企业；</w:t>
      </w:r>
    </w:p>
    <w:p w14:paraId="1C56C1C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（3）在服务采购项目中，服务由中小企业承接，即提供服务的人员为中小企业依照《中华人民共和国劳动合同法》订立劳动合同的从业人员。</w:t>
      </w:r>
    </w:p>
    <w:p w14:paraId="4D0F188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在货物采购项目中，供应商提供的货物既有中小企业制造货物，也有大型企业制造货物的，不享受中小企业扶持政策。</w:t>
      </w:r>
    </w:p>
    <w:p w14:paraId="14A3301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以联合体形式参加政府采购活动，联合体各方均为中小企业的，联合体视同中小企业。其中，联合体各方均为小微企业的，联合体视同小微企业。</w:t>
      </w:r>
    </w:p>
    <w:p w14:paraId="68A0F92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中小企业供应商参加政府采购活动，应当出具《中小企业声明函》（格式见后附件），否则不得享受相关中小企业扶持政策。</w:t>
      </w:r>
    </w:p>
    <w:p w14:paraId="39F7A6F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57F81DA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3.2政府采购支持监狱和戒毒企业发展政策，监狱和戒毒企业提供的产品和服务在评标时将获得优势，参加磋商的监狱和戒毒企业，应当提供由省级以上监狱管理局、戒毒管理局（含新疆生产建设兵团）出具的属于监狱企业的证明文件，监狱和戒毒企业享受政府采购支持政策的要求详见财库〔2014〕68号。</w:t>
      </w:r>
    </w:p>
    <w:p w14:paraId="671FF10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3.3政府采购促进残疾人就业政策，残疾人福利性单位提供的产品和服务在评标时将获得优势，参加磋商的残疾人福利性单位，应当提供《残疾人福利性单位声明函》，残疾人福利性单位享受政府采购支持政策的要求详见财库〔2017〕141号。</w:t>
      </w:r>
    </w:p>
    <w:p w14:paraId="2ED412A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rPr>
        <w:t>4.</w:t>
      </w:r>
      <w:r>
        <w:rPr>
          <w:rFonts w:hint="eastAsia" w:ascii="宋体" w:hAnsi="宋体" w:eastAsia="宋体" w:cs="宋体"/>
          <w:sz w:val="24"/>
          <w:szCs w:val="22"/>
          <w:highlight w:val="none"/>
          <w:lang w:val="zh-CN"/>
        </w:rPr>
        <w:t>磋商费用</w:t>
      </w:r>
    </w:p>
    <w:p w14:paraId="727CF23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bookmarkStart w:id="24" w:name="_Hlk73998116"/>
      <w:r>
        <w:rPr>
          <w:rFonts w:hint="eastAsia" w:ascii="宋体" w:hAnsi="宋体" w:eastAsia="宋体" w:cs="宋体"/>
          <w:sz w:val="24"/>
          <w:szCs w:val="22"/>
          <w:highlight w:val="none"/>
          <w:lang w:val="zh-CN"/>
        </w:rPr>
        <w:t>4.1 供应商应承担所有与准备和参加竞争性磋商有关的费用，无论采购结果如何，采购代理机构和采购人在任何情况下均无义务和责任承担这些费用。</w:t>
      </w:r>
    </w:p>
    <w:p w14:paraId="43A0289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4.2本项目评审费、代理服务费由成交供应商在领取成交通知书前支付。</w:t>
      </w:r>
    </w:p>
    <w:p w14:paraId="39BEFA6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4.3本次磋商，成交供应商按《招标代理服务费管理暂行办法》（国家发展计划委员会计价格【2002】1980号）代理服务招标收费标准计算，向采购代理机构支付代理服务费，评审费按实收取，由代理机构先行垫付，最终由成交供应商支付。</w:t>
      </w:r>
    </w:p>
    <w:p w14:paraId="244A0C8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以上费用不纳入结算依据，由成交供应商自行支付，分项报价表中不得出现此项服务报价。</w:t>
      </w:r>
    </w:p>
    <w:bookmarkEnd w:id="24"/>
    <w:p w14:paraId="4639CAE9">
      <w:pPr>
        <w:pStyle w:val="4"/>
        <w:pageBreakBefore w:val="0"/>
        <w:widowControl w:val="0"/>
        <w:kinsoku/>
        <w:wordWrap/>
        <w:overflowPunct/>
        <w:topLinePunct w:val="0"/>
        <w:autoSpaceDE/>
        <w:autoSpaceDN/>
        <w:bidi w:val="0"/>
        <w:adjustRightInd w:val="0"/>
        <w:snapToGrid w:val="0"/>
        <w:spacing w:before="0" w:after="0"/>
        <w:ind w:firstLine="482" w:firstLineChars="200"/>
        <w:textAlignment w:val="auto"/>
        <w:rPr>
          <w:rFonts w:hint="eastAsia" w:ascii="宋体" w:hAnsi="宋体" w:eastAsia="宋体" w:cs="宋体"/>
          <w:sz w:val="24"/>
          <w:szCs w:val="32"/>
          <w:highlight w:val="none"/>
          <w:lang w:val="zh-CN"/>
        </w:rPr>
      </w:pPr>
      <w:bookmarkStart w:id="25" w:name="_Toc118445256"/>
      <w:r>
        <w:rPr>
          <w:rFonts w:hint="eastAsia" w:ascii="宋体" w:hAnsi="宋体" w:eastAsia="宋体" w:cs="宋体"/>
          <w:sz w:val="24"/>
          <w:szCs w:val="32"/>
          <w:highlight w:val="none"/>
          <w:lang w:val="zh-CN"/>
        </w:rPr>
        <w:t>二、响应文件编制</w:t>
      </w:r>
      <w:bookmarkEnd w:id="25"/>
    </w:p>
    <w:p w14:paraId="7BA1BC1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5.现场响应</w:t>
      </w:r>
    </w:p>
    <w:p w14:paraId="5E55458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5.1 供应商应按照采购文件要求编制响应文件，并对其提交的响应文件真实性、合法性承担法律责任。并由其法定代表人或法定代表人授权委托人在规定的响应时间内完成响应。</w:t>
      </w:r>
    </w:p>
    <w:p w14:paraId="0F359F3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5.2 供应商应当对采购文件提出的要求和条件作出实质性响应，并在响应文件中逐条应答。</w:t>
      </w:r>
    </w:p>
    <w:p w14:paraId="0BA98CA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5.3供应商拟在成交后将成交项目的非主体、非关键性工作交由他人完成的，应当在响应文件中载明。</w:t>
      </w:r>
    </w:p>
    <w:p w14:paraId="57BF75D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6.响应文件的语言、计量单位、货币和编制</w:t>
      </w:r>
    </w:p>
    <w:p w14:paraId="62B5EBC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6.1提交的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09ABA63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6.2供应商所使用的计量单位应为国家法定计量单位。</w:t>
      </w:r>
    </w:p>
    <w:p w14:paraId="7715925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6.3供应商应用人民币报价。</w:t>
      </w:r>
    </w:p>
    <w:p w14:paraId="50E76E6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6.4响应文件应字迹清楚、内容齐全、不得涂改。如有修改，修改处须有供应商公章或法定代表人或其授权磋商代表签字。</w:t>
      </w:r>
    </w:p>
    <w:p w14:paraId="1736083A">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6.5响应文件应按照磋商文件规定的顺序，统一用A4规格幅面双面打印、装订成册并编制目录，由于编排混乱导致磋商文件被误读或查找不到，责任由供应商承担。</w:t>
      </w:r>
    </w:p>
    <w:p w14:paraId="2513FE7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6.6响应文件应逐页编码，不得跳页。</w:t>
      </w:r>
    </w:p>
    <w:p w14:paraId="6ED6ED7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6.7供应商应在响应文件中写清相应的项目编号、项目名称、供应商名称、地址、电话、传真等。</w:t>
      </w:r>
    </w:p>
    <w:p w14:paraId="1683E80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6.8供应商所使用的技术标准应遵循国家最新标准及规范。</w:t>
      </w:r>
    </w:p>
    <w:p w14:paraId="0850808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7.响应文件的组成</w:t>
      </w:r>
    </w:p>
    <w:p w14:paraId="2551E58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7.1</w:t>
      </w:r>
      <w:r>
        <w:rPr>
          <w:rFonts w:hint="eastAsia" w:ascii="宋体" w:hAnsi="宋体" w:eastAsia="宋体" w:cs="宋体"/>
          <w:sz w:val="24"/>
          <w:szCs w:val="22"/>
          <w:highlight w:val="none"/>
        </w:rPr>
        <w:t>供应商应当根据</w:t>
      </w:r>
      <w:r>
        <w:rPr>
          <w:rFonts w:hint="eastAsia" w:ascii="宋体" w:hAnsi="宋体" w:eastAsia="宋体" w:cs="宋体"/>
          <w:sz w:val="24"/>
          <w:szCs w:val="22"/>
          <w:highlight w:val="none"/>
          <w:lang w:val="zh-CN"/>
        </w:rPr>
        <w:t>磋商</w:t>
      </w:r>
      <w:r>
        <w:rPr>
          <w:rFonts w:hint="eastAsia" w:ascii="宋体" w:hAnsi="宋体" w:eastAsia="宋体" w:cs="宋体"/>
          <w:sz w:val="24"/>
          <w:szCs w:val="22"/>
          <w:highlight w:val="none"/>
        </w:rPr>
        <w:t>文件要求编制响应文件，并根据自己的商务能力、技术水平对磋商文件提出的要求和条件逐条标明是否响应。</w:t>
      </w:r>
      <w:r>
        <w:rPr>
          <w:rFonts w:hint="eastAsia" w:ascii="宋体" w:hAnsi="宋体" w:eastAsia="宋体" w:cs="宋体"/>
          <w:sz w:val="24"/>
          <w:szCs w:val="22"/>
          <w:highlight w:val="none"/>
          <w:lang w:val="zh-CN"/>
        </w:rPr>
        <w:t>响应文件由商务部分、技术部分、价格部分，以及其他部分组成。</w:t>
      </w:r>
    </w:p>
    <w:p w14:paraId="2FC26F3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bCs/>
          <w:sz w:val="24"/>
          <w:szCs w:val="22"/>
          <w:highlight w:val="none"/>
          <w:lang w:val="zh-CN"/>
        </w:rPr>
        <w:t xml:space="preserve">7.2 </w:t>
      </w:r>
      <w:r>
        <w:rPr>
          <w:rFonts w:hint="eastAsia" w:ascii="宋体" w:hAnsi="宋体" w:eastAsia="宋体" w:cs="宋体"/>
          <w:b/>
          <w:bCs/>
          <w:sz w:val="24"/>
          <w:szCs w:val="22"/>
          <w:highlight w:val="none"/>
          <w:lang w:val="zh-CN"/>
        </w:rPr>
        <w:t>响应文件的商务部分。</w:t>
      </w:r>
      <w:r>
        <w:rPr>
          <w:rFonts w:hint="eastAsia" w:ascii="宋体" w:hAnsi="宋体" w:eastAsia="宋体" w:cs="宋体"/>
          <w:sz w:val="24"/>
          <w:szCs w:val="22"/>
          <w:highlight w:val="none"/>
          <w:lang w:val="zh-CN"/>
        </w:rPr>
        <w:t>商务部分是证明供应商有资格参加磋商和成交后有能力履行合同的文件，</w:t>
      </w:r>
      <w:r>
        <w:rPr>
          <w:rFonts w:hint="eastAsia" w:ascii="宋体" w:hAnsi="宋体" w:eastAsia="宋体" w:cs="宋体"/>
          <w:sz w:val="24"/>
          <w:szCs w:val="22"/>
          <w:highlight w:val="none"/>
        </w:rPr>
        <w:t>这些文件应能满足竞争性磋商采购文件的要求</w:t>
      </w:r>
      <w:r>
        <w:rPr>
          <w:rFonts w:hint="eastAsia" w:ascii="宋体" w:hAnsi="宋体" w:eastAsia="宋体" w:cs="宋体"/>
          <w:sz w:val="24"/>
          <w:szCs w:val="22"/>
          <w:highlight w:val="none"/>
          <w:lang w:val="zh-CN"/>
        </w:rPr>
        <w:t>，包括但不限于下列文件，其中加“★”项目不得有缺失或无效：</w:t>
      </w:r>
    </w:p>
    <w:p w14:paraId="326D34BA">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 竞争性磋商申请及声明；</w:t>
      </w:r>
    </w:p>
    <w:p w14:paraId="4293D7E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 xml:space="preserve">（2）★ 法定代表人授权委托书及委托代理人的身份证复印件； </w:t>
      </w:r>
    </w:p>
    <w:p w14:paraId="13847D7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 第一章竞争性磋商邀请中规定的资格条件的证明文件；</w:t>
      </w:r>
    </w:p>
    <w:p w14:paraId="2449A23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（4）★《南京市政府采购供应商信用记录表暨信用承诺书》；</w:t>
      </w:r>
    </w:p>
    <w:p w14:paraId="1055CC7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（5）★《商务条款偏离表》；</w:t>
      </w:r>
    </w:p>
    <w:p w14:paraId="50FCF9C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（6）供应商认为需要提供的其他资格证明文件和商务资料。</w:t>
      </w:r>
    </w:p>
    <w:p w14:paraId="212ABDB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bCs/>
          <w:sz w:val="24"/>
          <w:szCs w:val="22"/>
          <w:highlight w:val="none"/>
          <w:lang w:val="zh-CN"/>
        </w:rPr>
        <w:t xml:space="preserve">7.3 </w:t>
      </w:r>
      <w:r>
        <w:rPr>
          <w:rFonts w:hint="eastAsia" w:ascii="宋体" w:hAnsi="宋体" w:eastAsia="宋体" w:cs="宋体"/>
          <w:b/>
          <w:bCs/>
          <w:sz w:val="24"/>
          <w:szCs w:val="22"/>
          <w:highlight w:val="none"/>
          <w:lang w:val="zh-CN"/>
        </w:rPr>
        <w:t>响应文件的技术部分。</w:t>
      </w:r>
      <w:r>
        <w:rPr>
          <w:rFonts w:hint="eastAsia" w:ascii="宋体" w:hAnsi="宋体" w:eastAsia="宋体" w:cs="宋体"/>
          <w:sz w:val="24"/>
          <w:szCs w:val="22"/>
          <w:highlight w:val="none"/>
          <w:lang w:val="zh-CN"/>
        </w:rPr>
        <w:t>技术部分是证明</w:t>
      </w:r>
      <w:r>
        <w:rPr>
          <w:rFonts w:hint="eastAsia" w:ascii="宋体" w:hAnsi="宋体" w:eastAsia="宋体" w:cs="宋体"/>
          <w:sz w:val="24"/>
          <w:szCs w:val="22"/>
          <w:highlight w:val="none"/>
        </w:rPr>
        <w:t>供应商提供的货物和服务是合格的，并符合</w:t>
      </w:r>
      <w:r>
        <w:rPr>
          <w:rFonts w:hint="eastAsia" w:ascii="宋体" w:hAnsi="宋体" w:eastAsia="宋体" w:cs="宋体"/>
          <w:sz w:val="24"/>
          <w:szCs w:val="22"/>
          <w:highlight w:val="none"/>
          <w:lang w:val="zh-CN"/>
        </w:rPr>
        <w:t>磋商</w:t>
      </w:r>
      <w:r>
        <w:rPr>
          <w:rFonts w:hint="eastAsia" w:ascii="宋体" w:hAnsi="宋体" w:eastAsia="宋体" w:cs="宋体"/>
          <w:sz w:val="24"/>
          <w:szCs w:val="22"/>
          <w:highlight w:val="none"/>
        </w:rPr>
        <w:t>文件要求的证明文件，以及</w:t>
      </w:r>
      <w:r>
        <w:rPr>
          <w:rFonts w:hint="eastAsia" w:ascii="宋体" w:hAnsi="宋体" w:eastAsia="宋体" w:cs="宋体"/>
          <w:sz w:val="24"/>
          <w:szCs w:val="22"/>
          <w:highlight w:val="none"/>
          <w:lang w:val="zh-CN"/>
        </w:rPr>
        <w:t>对货物和服务的详细说明，这些文件可以是文字资料、图纸和数据等。提供的货物和服务如与磋商文件要求有不符之处，应说明其差别之所在。包括但不限于下列文件，其中加</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zh-CN"/>
        </w:rPr>
        <w:t>项目不得有缺失或无效：</w:t>
      </w:r>
    </w:p>
    <w:p w14:paraId="63DE9F0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（1）项目实施方案；</w:t>
      </w:r>
    </w:p>
    <w:p w14:paraId="5B1BB92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（2）服务承诺；</w:t>
      </w:r>
    </w:p>
    <w:p w14:paraId="7404A32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b/>
          <w:sz w:val="24"/>
          <w:szCs w:val="22"/>
          <w:highlight w:val="none"/>
        </w:rPr>
      </w:pPr>
      <w:r>
        <w:rPr>
          <w:rFonts w:hint="eastAsia" w:ascii="宋体" w:hAnsi="宋体" w:eastAsia="宋体" w:cs="宋体"/>
          <w:sz w:val="24"/>
          <w:szCs w:val="22"/>
          <w:highlight w:val="none"/>
          <w:lang w:val="zh-CN"/>
        </w:rPr>
        <w:t>（3）★《技术条款偏离表》；</w:t>
      </w:r>
    </w:p>
    <w:p w14:paraId="78FC6AB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w:t>
      </w:r>
      <w:r>
        <w:rPr>
          <w:rFonts w:hint="eastAsia" w:ascii="宋体" w:hAnsi="宋体" w:eastAsia="宋体" w:cs="宋体"/>
          <w:sz w:val="24"/>
          <w:szCs w:val="22"/>
          <w:highlight w:val="none"/>
        </w:rPr>
        <w:t>供应商认为需要</w:t>
      </w:r>
      <w:r>
        <w:rPr>
          <w:rFonts w:hint="eastAsia" w:ascii="宋体" w:hAnsi="宋体" w:eastAsia="宋体" w:cs="宋体"/>
          <w:sz w:val="24"/>
          <w:szCs w:val="22"/>
          <w:highlight w:val="none"/>
          <w:lang w:val="zh-CN"/>
        </w:rPr>
        <w:t>提供的其他技术资料。</w:t>
      </w:r>
    </w:p>
    <w:p w14:paraId="344E141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7.4 响应文件的价格部分</w:t>
      </w:r>
    </w:p>
    <w:p w14:paraId="408F080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（1）价格部分是对所提供服务价格构成的说明，磋商文件如没有特别说明的话，对每一项服务仅接受一个价格。</w:t>
      </w:r>
    </w:p>
    <w:p w14:paraId="6BC6863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（2）报价应包含完成本服务项目发生的所有含税费用、支付给员工的工资和国家强制缴纳的各种社会保障资金</w:t>
      </w:r>
      <w:r>
        <w:rPr>
          <w:rFonts w:hint="eastAsia" w:ascii="宋体" w:hAnsi="宋体" w:eastAsia="宋体" w:cs="宋体"/>
          <w:bCs/>
          <w:sz w:val="24"/>
          <w:szCs w:val="22"/>
          <w:highlight w:val="none"/>
        </w:rPr>
        <w:t>，以</w:t>
      </w:r>
      <w:r>
        <w:rPr>
          <w:rFonts w:hint="eastAsia" w:ascii="宋体" w:hAnsi="宋体" w:eastAsia="宋体" w:cs="宋体"/>
          <w:sz w:val="24"/>
          <w:szCs w:val="22"/>
          <w:highlight w:val="none"/>
        </w:rPr>
        <w:t>及供应商认为需要的其他费用包括招标代理费、</w:t>
      </w:r>
      <w:r>
        <w:rPr>
          <w:rFonts w:hint="eastAsia" w:ascii="宋体" w:hAnsi="宋体" w:eastAsia="宋体" w:cs="宋体"/>
          <w:sz w:val="24"/>
          <w:szCs w:val="22"/>
          <w:highlight w:val="none"/>
          <w:lang w:val="zh-CN"/>
        </w:rPr>
        <w:t>控制价编制费（如有）及评委费等。</w:t>
      </w:r>
    </w:p>
    <w:p w14:paraId="621CE2F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（3）供应商应充分考虑到市场价格变动，以及项目实施过程中的不可预见因素。如果有漏项，视同让利。</w:t>
      </w:r>
    </w:p>
    <w:p w14:paraId="6001F591">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（4）经磋商后，如果成交价高于或低于供应商在响应文件首次报价的，分项报价（不含不可竞争费用）同比例调整。包括但不限于下列文件，其中加</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zh-CN"/>
        </w:rPr>
        <w:t>项目不得有缺失或无效：</w:t>
      </w:r>
    </w:p>
    <w:p w14:paraId="5D79B38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1）★《报价表》</w:t>
      </w:r>
    </w:p>
    <w:p w14:paraId="5F48C9A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val="zh-CN"/>
        </w:rPr>
        <w:t>）供应商认为需要提供的其他资料。</w:t>
      </w:r>
    </w:p>
    <w:p w14:paraId="099C294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 xml:space="preserve">7.5 </w:t>
      </w:r>
      <w:r>
        <w:rPr>
          <w:rFonts w:hint="eastAsia" w:ascii="宋体" w:hAnsi="宋体" w:eastAsia="宋体" w:cs="宋体"/>
          <w:b/>
          <w:sz w:val="24"/>
          <w:szCs w:val="22"/>
          <w:highlight w:val="none"/>
          <w:lang w:val="zh-CN"/>
        </w:rPr>
        <w:t>响应文件的其他部分。</w:t>
      </w:r>
      <w:r>
        <w:rPr>
          <w:rFonts w:hint="eastAsia" w:ascii="宋体" w:hAnsi="宋体" w:eastAsia="宋体" w:cs="宋体"/>
          <w:sz w:val="24"/>
          <w:szCs w:val="22"/>
          <w:highlight w:val="none"/>
          <w:lang w:val="zh-CN"/>
        </w:rPr>
        <w:t>其他部分由供应商根据编制响应文件需要提供的其他相关文件。</w:t>
      </w:r>
    </w:p>
    <w:p w14:paraId="794FB34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8.竞争性磋商保证金（不要求）</w:t>
      </w:r>
    </w:p>
    <w:p w14:paraId="59DC251B">
      <w:pPr>
        <w:pStyle w:val="4"/>
        <w:pageBreakBefore w:val="0"/>
        <w:widowControl w:val="0"/>
        <w:kinsoku/>
        <w:wordWrap/>
        <w:overflowPunct/>
        <w:topLinePunct w:val="0"/>
        <w:autoSpaceDE/>
        <w:autoSpaceDN/>
        <w:bidi w:val="0"/>
        <w:adjustRightInd w:val="0"/>
        <w:snapToGrid w:val="0"/>
        <w:spacing w:before="0" w:after="0"/>
        <w:ind w:firstLine="482" w:firstLineChars="200"/>
        <w:textAlignment w:val="auto"/>
        <w:rPr>
          <w:rFonts w:hint="eastAsia" w:ascii="宋体" w:hAnsi="宋体" w:eastAsia="宋体" w:cs="宋体"/>
          <w:sz w:val="24"/>
          <w:szCs w:val="32"/>
          <w:highlight w:val="none"/>
          <w:lang w:val="zh-CN"/>
        </w:rPr>
      </w:pPr>
      <w:bookmarkStart w:id="26" w:name="_Toc118445257"/>
      <w:r>
        <w:rPr>
          <w:rFonts w:hint="eastAsia" w:ascii="宋体" w:hAnsi="宋体" w:eastAsia="宋体" w:cs="宋体"/>
          <w:sz w:val="24"/>
          <w:szCs w:val="32"/>
          <w:highlight w:val="none"/>
          <w:lang w:val="zh-CN"/>
        </w:rPr>
        <w:t>三、响应文件签署与提交</w:t>
      </w:r>
      <w:bookmarkEnd w:id="26"/>
    </w:p>
    <w:p w14:paraId="4605036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9.响应文件签署</w:t>
      </w:r>
    </w:p>
    <w:p w14:paraId="4BC68FC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b/>
          <w:bCs/>
          <w:sz w:val="24"/>
          <w:szCs w:val="22"/>
          <w:highlight w:val="none"/>
          <w:lang w:val="zh-CN"/>
        </w:rPr>
      </w:pPr>
      <w:r>
        <w:rPr>
          <w:rFonts w:hint="eastAsia" w:ascii="宋体" w:hAnsi="宋体" w:eastAsia="宋体" w:cs="宋体"/>
          <w:sz w:val="24"/>
          <w:szCs w:val="22"/>
          <w:highlight w:val="none"/>
          <w:lang w:val="zh-CN"/>
        </w:rPr>
        <w:t>9.1 响应文件应由供应商法定代表人或授权代表签字，并加盖公章。</w:t>
      </w:r>
    </w:p>
    <w:p w14:paraId="6D85006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9.2 供应商应当在磋商文件要求提交响应文件的截止时间前，将响应文件密封送达指定地点。</w:t>
      </w:r>
    </w:p>
    <w:p w14:paraId="79F48B3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9.3 有下列情形之一的响应文件将拒收：</w:t>
      </w:r>
    </w:p>
    <w:p w14:paraId="07D927D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（1）未按照采购文件要求密封的；</w:t>
      </w:r>
    </w:p>
    <w:p w14:paraId="7067297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（2）在磋商文件要求提交响应文件的截止时间之后送达的等。</w:t>
      </w:r>
    </w:p>
    <w:p w14:paraId="1566A203">
      <w:pPr>
        <w:pStyle w:val="4"/>
        <w:pageBreakBefore w:val="0"/>
        <w:widowControl w:val="0"/>
        <w:kinsoku/>
        <w:wordWrap/>
        <w:overflowPunct/>
        <w:topLinePunct w:val="0"/>
        <w:autoSpaceDE/>
        <w:autoSpaceDN/>
        <w:bidi w:val="0"/>
        <w:adjustRightInd w:val="0"/>
        <w:snapToGrid w:val="0"/>
        <w:spacing w:before="0" w:after="0"/>
        <w:ind w:firstLine="482" w:firstLineChars="200"/>
        <w:textAlignment w:val="auto"/>
        <w:rPr>
          <w:rFonts w:hint="eastAsia" w:ascii="宋体" w:hAnsi="宋体" w:eastAsia="宋体" w:cs="宋体"/>
          <w:sz w:val="24"/>
          <w:szCs w:val="32"/>
          <w:highlight w:val="none"/>
          <w:lang w:val="zh-CN"/>
        </w:rPr>
      </w:pPr>
      <w:bookmarkStart w:id="27" w:name="_Toc118445258"/>
      <w:r>
        <w:rPr>
          <w:rFonts w:hint="eastAsia" w:ascii="宋体" w:hAnsi="宋体" w:eastAsia="宋体" w:cs="宋体"/>
          <w:sz w:val="24"/>
          <w:szCs w:val="32"/>
          <w:highlight w:val="none"/>
          <w:lang w:val="zh-CN"/>
        </w:rPr>
        <w:t>四、磋商</w:t>
      </w:r>
      <w:bookmarkEnd w:id="27"/>
    </w:p>
    <w:p w14:paraId="7BF2CDF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10.联合体（本项目</w:t>
      </w:r>
      <w:r>
        <w:rPr>
          <w:rFonts w:hint="eastAsia" w:ascii="宋体" w:hAnsi="宋体" w:eastAsia="宋体" w:cs="宋体"/>
          <w:sz w:val="24"/>
          <w:szCs w:val="22"/>
          <w:highlight w:val="none"/>
        </w:rPr>
        <w:t>不接受联合体）</w:t>
      </w:r>
    </w:p>
    <w:p w14:paraId="4A73AF6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10.联合体</w:t>
      </w:r>
    </w:p>
    <w:p w14:paraId="3A5EA86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10.1 采购项目如接受联合体的，两个以上的自然人、法人或者其他组织可以组成一个联合体，以一个供应商的身份共同参加竞争性磋商。</w:t>
      </w:r>
    </w:p>
    <w:p w14:paraId="3F2DC50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10.2 鼓励大中型企业和其他自然人、法人或者其他组织与小型、微型企业组成联合体共同参加非专门面向中小企业的政府采购活动。大中型企业和其他自然人、法人或者其他组织可以与小型、微型企业组成联合体共同参加非专门面向中小企业的政府采购活动。联合协议中约定，小型、微型企业的协议合同金额占到联合体协议合同总金额30%以上的，给予联合体4%的价格扣除。联合体各方均为小型、微型企业的，联合体视同为小型、微型企业享受10%价格扣除。组成联合体的大中型企业和其他自然人、法人或者其他组织，与小型、微型企业之间不得存在投资关系。</w:t>
      </w:r>
    </w:p>
    <w:p w14:paraId="1E7B0FF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10.3 以联合体形式参加竞争性磋商的，联合体各方均应当符合《政府采购法》第二十二条第一款规定的条件；采购人根据采购项目的特殊要求规定供应商特定条件的，联合体各方中至少应当有一方符合采购人规定的特定条件并在响应文件中申明。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0522341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10.4 联合体各方之间应当签订共同投标联合体协议，明确约定联合体各方承担的工作和相应的责任，并将联合体共同投标协议连同投标（响应）文件一并提交。联合体各方签订联合体共同投标协议后，不得再以自己名义单独在同一项目中投标（响应），也不得组成新的联合体参加同一项目投标（响应）。</w:t>
      </w:r>
    </w:p>
    <w:p w14:paraId="223468E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10.5 政府采购合同分包履行的，成交供应商就采购项目和分包项目向采购人负责，分包项目供应商就分包项目承担责任，成交供应商与分包供应商之间应该签订分包意向协议。</w:t>
      </w:r>
    </w:p>
    <w:p w14:paraId="38FABA5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10.6 享受中小企业扶持政策获得政府采购合同的，小微企业不得将合同分包给大中型企业，中型企业不得将合同分包给大型企业。</w:t>
      </w:r>
    </w:p>
    <w:p w14:paraId="080113B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10.7 预留份额的采购项目中，组成联合体或者接受分包的中小企业与联合体内其他企业、分包企业之间不得存在直接控股、管理关系。未预留份额的采购项目或采购包中，组成联合体或者接受分包的中小企业与联合体内其他企业、分包企业之间存在直接控股、管理关系的，不享受价格扣除优惠政策。 </w:t>
      </w:r>
    </w:p>
    <w:p w14:paraId="7007BD7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11.磋商组织及程序</w:t>
      </w:r>
    </w:p>
    <w:p w14:paraId="224783A1">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11.1 在提交响应文件时间截止后，采购代理机构在规定的时间和地点组织磋商小组分别与供应商进行磋商。</w:t>
      </w:r>
    </w:p>
    <w:p w14:paraId="30213E0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11.2 磋商工作由采购代理机构负责组织，具体磋商事务由依法组建的磋商小组负责。</w:t>
      </w:r>
    </w:p>
    <w:p w14:paraId="6011A81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11.3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6F7BE1A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11.4 磋商小组所有成员集中与单一供应商分别进行磋商，所有参加磋商的供应商均有同等的磋商机会。</w:t>
      </w:r>
    </w:p>
    <w:p w14:paraId="176C847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11.5 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0D1289D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11.6 供应商应当按照磋商文件的变动情况和磋商小组的要求重新提交响应文件，并加盖公章。</w:t>
      </w:r>
    </w:p>
    <w:p w14:paraId="18CDE31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11.7 磋商结束后，磋商小组将要求所有继续参加磋商的供应商在规定时间内提交最后报价并由其法定代表人或授权代表签字或者加盖公章，最后报价是供应商响应文件的有效组成部分。</w:t>
      </w:r>
    </w:p>
    <w:p w14:paraId="2AE89CB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11.8 已提交响应文件的供应商，在提交最后报价之前，可以根据磋商情况退出磋商。退出磋商的供应商，采购代理机构将退还其磋商保证金。</w:t>
      </w:r>
    </w:p>
    <w:p w14:paraId="1FFB525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11.9 出现下列情形之一的响应文件按照无效处理：</w:t>
      </w:r>
    </w:p>
    <w:p w14:paraId="2C1263B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（1）未按磋商文件规定签署、盖章的；</w:t>
      </w:r>
    </w:p>
    <w:p w14:paraId="2316412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（2）磋商小组认为供应商的报价明显低于其他供应商的报价，有可能影响服务质量或者不能诚信履约的，未在磋商现场合理的时间内提供书面说明或相关证明材料，不能证明其报价合理的；</w:t>
      </w:r>
    </w:p>
    <w:p w14:paraId="66FA396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（3）报价超过采购文件中规定的预算金额或者最高限价的；</w:t>
      </w:r>
    </w:p>
    <w:p w14:paraId="53180A4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（4）不同供应商的响应文件由同一单位或者个人编制</w:t>
      </w:r>
    </w:p>
    <w:p w14:paraId="640C304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（5）不同供应商委托同一单位或者个人办理磋商事宜；</w:t>
      </w:r>
    </w:p>
    <w:p w14:paraId="7730D93A">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（6）不同供应商的响应文件载明的项目管理成员或联系人员为同一人；</w:t>
      </w:r>
    </w:p>
    <w:p w14:paraId="00B8C4E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（7）不同供应商的响应文件异常一致或者磋商报价呈规律性差异；</w:t>
      </w:r>
    </w:p>
    <w:p w14:paraId="5835D54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（8）不同供应商的响应文件相互混装；</w:t>
      </w:r>
    </w:p>
    <w:p w14:paraId="0A71131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（9）不同供应商的法定代表人或委托代理人有夫妻、直系血亲关系；</w:t>
      </w:r>
    </w:p>
    <w:p w14:paraId="66D7588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（10）不同供应商的委托代理人(或法定代表人、项目经理、项目总监、项目负责人等)在采购文件发布日上月至提交响应文件截止日当月在同一单位缴纳社会保险的；</w:t>
      </w:r>
    </w:p>
    <w:p w14:paraId="0F930ED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（11）响应文件含有采购人不能接受的附加条件的；</w:t>
      </w:r>
    </w:p>
    <w:p w14:paraId="71CF6FD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（12）</w:t>
      </w:r>
      <w:r>
        <w:rPr>
          <w:rFonts w:hint="eastAsia" w:ascii="宋体" w:hAnsi="宋体" w:eastAsia="宋体" w:cs="宋体"/>
          <w:sz w:val="24"/>
          <w:szCs w:val="22"/>
          <w:highlight w:val="none"/>
          <w:lang w:val="zh-CN"/>
        </w:rPr>
        <w:t>不符合法律、法规和磋商文件规定的其他实质性要求的。</w:t>
      </w:r>
    </w:p>
    <w:p w14:paraId="1FE9EF2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11.10 出现下列情形之一的，磋商终止：</w:t>
      </w:r>
    </w:p>
    <w:p w14:paraId="758D9FC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（1）因情况变化，不再符合规定的竞争性磋商采购方式适用情形的；</w:t>
      </w:r>
    </w:p>
    <w:p w14:paraId="4EBCB77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（2）所有供应商的响应文件被磋商小组认定为无效的；</w:t>
      </w:r>
    </w:p>
    <w:p w14:paraId="265AEF4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（3）出现影响采购公正的违法、违规行为的；</w:t>
      </w:r>
    </w:p>
    <w:p w14:paraId="5B08D3F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（4）所有供应商的最终报价均超过采购预算或最高限价的；</w:t>
      </w:r>
    </w:p>
    <w:p w14:paraId="3E6ADB0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（5）因重大变故，采购任务取消的；</w:t>
      </w:r>
    </w:p>
    <w:p w14:paraId="7E2F361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u w:val="single"/>
          <w:lang w:val="zh-CN"/>
        </w:rPr>
      </w:pPr>
      <w:r>
        <w:rPr>
          <w:rFonts w:hint="eastAsia" w:ascii="宋体" w:hAnsi="宋体" w:eastAsia="宋体" w:cs="宋体"/>
          <w:sz w:val="24"/>
          <w:szCs w:val="22"/>
          <w:highlight w:val="none"/>
          <w:lang w:val="zh-CN"/>
        </w:rPr>
        <w:t>（6）采购人需求发生重大变化暂时不能确定或供应商提供的货物和服务不能满足需求等。</w:t>
      </w:r>
    </w:p>
    <w:p w14:paraId="6069183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（7）预留份额的采购项目或采购包，通过发布公告方式邀请供应商后，符合资格条件的中小企业数量不足3家的。</w:t>
      </w:r>
    </w:p>
    <w:p w14:paraId="5065109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11.11 供应商响应文件中仅提供信用承诺书而未提供涉及的证明材料的，须在成交后，另行提供由信用承诺书替代的证明材料（一式三份），材料须加盖公章并胶装提交采购人或采购代理机构核验。经核验无误后，由采购人或采购代理机构发出成交通知书。</w:t>
      </w:r>
    </w:p>
    <w:p w14:paraId="5634029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12.评定成交方法和标准</w:t>
      </w:r>
    </w:p>
    <w:p w14:paraId="1DA4E12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 xml:space="preserve">12.1 </w:t>
      </w:r>
      <w:r>
        <w:rPr>
          <w:rFonts w:hint="eastAsia" w:ascii="宋体" w:hAnsi="宋体" w:eastAsia="宋体" w:cs="宋体"/>
          <w:b/>
          <w:sz w:val="24"/>
          <w:szCs w:val="22"/>
          <w:highlight w:val="none"/>
          <w:lang w:val="zh-CN"/>
        </w:rPr>
        <w:t>采用综合评分法。</w:t>
      </w:r>
      <w:r>
        <w:rPr>
          <w:rFonts w:hint="eastAsia" w:ascii="宋体" w:hAnsi="宋体" w:eastAsia="宋体" w:cs="宋体"/>
          <w:sz w:val="24"/>
          <w:szCs w:val="22"/>
          <w:highlight w:val="none"/>
          <w:lang w:val="zh-CN"/>
        </w:rPr>
        <w:t>即在最大限度地满足竞争性磋商文件实质性要求前提下，按照磋商文件中规定的各项因素进行综合评审后，以评审总得分最高的供应商作为成交候选人或者成交供应商的评审方法。</w:t>
      </w:r>
    </w:p>
    <w:p w14:paraId="232B613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12.2 综合评分的主要因素是：详见磋商文件第三章。</w:t>
      </w:r>
    </w:p>
    <w:p w14:paraId="6327A52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12.3 评定方法，详见磋商文件第三章。</w:t>
      </w:r>
    </w:p>
    <w:p w14:paraId="3ABF4BD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13.确定成交候选人</w:t>
      </w:r>
    </w:p>
    <w:p w14:paraId="2955D29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13.1 在综合比较与评价后按照得分高低顺序对供应商进行排列。</w:t>
      </w:r>
      <w:r>
        <w:rPr>
          <w:rFonts w:hint="eastAsia" w:ascii="宋体" w:hAnsi="宋体" w:eastAsia="宋体" w:cs="宋体"/>
          <w:sz w:val="24"/>
          <w:szCs w:val="22"/>
          <w:highlight w:val="none"/>
        </w:rPr>
        <w:t>得分相同的，按报价由</w:t>
      </w:r>
      <w:r>
        <w:rPr>
          <w:rFonts w:hint="eastAsia" w:ascii="宋体" w:hAnsi="宋体" w:eastAsia="宋体" w:cs="宋体"/>
          <w:sz w:val="24"/>
          <w:szCs w:val="22"/>
          <w:highlight w:val="none"/>
          <w:lang w:val="zh-CN"/>
        </w:rPr>
        <w:t>低到高顺序排列。得分且报价相同的，按技术指标优劣顺序排列。</w:t>
      </w:r>
    </w:p>
    <w:p w14:paraId="0A7FA63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13.2 按以下第（2）种方式确定成交供应商；</w:t>
      </w:r>
    </w:p>
    <w:p w14:paraId="066171C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（1）磋商小组直接确定排名第一的成交候选人为成交供应商；</w:t>
      </w:r>
    </w:p>
    <w:p w14:paraId="5219219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（2）采购人在磋商小组推荐的3名成交候选人中按</w:t>
      </w:r>
      <w:r>
        <w:rPr>
          <w:rFonts w:hint="eastAsia" w:ascii="宋体" w:hAnsi="宋体" w:eastAsia="宋体" w:cs="宋体"/>
          <w:sz w:val="24"/>
          <w:szCs w:val="22"/>
          <w:highlight w:val="none"/>
        </w:rPr>
        <w:t>从高到低的</w:t>
      </w:r>
      <w:r>
        <w:rPr>
          <w:rFonts w:hint="eastAsia" w:ascii="宋体" w:hAnsi="宋体" w:eastAsia="宋体" w:cs="宋体"/>
          <w:sz w:val="24"/>
          <w:szCs w:val="22"/>
          <w:highlight w:val="none"/>
          <w:lang w:val="zh-CN"/>
        </w:rPr>
        <w:t>顺序确定成交供应商。</w:t>
      </w:r>
    </w:p>
    <w:p w14:paraId="1F3B06C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787A825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13.3 成交供应商确定之日起两个工作日内，将在财政部门指定的政府采购信息发布媒体上公告，成交供应商及时到采购代理机构领取《中标（成交）通知书》。</w:t>
      </w:r>
    </w:p>
    <w:p w14:paraId="50F23D4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13.4 成交通知书对采购人和成交供应商具有同等法律效力。</w:t>
      </w:r>
    </w:p>
    <w:p w14:paraId="6C5BA4D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13.5 采购代理机构对未成交的供应商不作未成交原因的解释。</w:t>
      </w:r>
    </w:p>
    <w:p w14:paraId="39F70E42">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13.6 所有响应文件不论成交与否，采购代理机构均不退回。</w:t>
      </w:r>
    </w:p>
    <w:p w14:paraId="7C7B020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14</w:t>
      </w:r>
      <w:r>
        <w:rPr>
          <w:rFonts w:hint="eastAsia" w:ascii="宋体" w:hAnsi="宋体" w:eastAsia="宋体" w:cs="宋体"/>
          <w:bCs/>
          <w:sz w:val="24"/>
          <w:szCs w:val="22"/>
          <w:highlight w:val="none"/>
          <w:lang w:val="zh-CN"/>
        </w:rPr>
        <w:t>.</w:t>
      </w:r>
      <w:r>
        <w:rPr>
          <w:rFonts w:hint="eastAsia" w:ascii="宋体" w:hAnsi="宋体" w:eastAsia="宋体" w:cs="宋体"/>
          <w:sz w:val="24"/>
          <w:szCs w:val="22"/>
          <w:highlight w:val="none"/>
        </w:rPr>
        <w:t>编写评审报告</w:t>
      </w:r>
    </w:p>
    <w:p w14:paraId="0C85BDC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14.1 磋商小组根据磋商过程和结果编写评审报告。</w:t>
      </w:r>
    </w:p>
    <w:p w14:paraId="1836B08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15.签订合同</w:t>
      </w:r>
    </w:p>
    <w:p w14:paraId="4CC33450">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rPr>
        <w:t>15</w:t>
      </w: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 成交供应商应当</w:t>
      </w:r>
      <w:r>
        <w:rPr>
          <w:rFonts w:hint="eastAsia" w:ascii="宋体" w:hAnsi="宋体" w:eastAsia="宋体" w:cs="宋体"/>
          <w:sz w:val="24"/>
          <w:szCs w:val="22"/>
          <w:highlight w:val="none"/>
          <w:lang w:val="zh-CN"/>
        </w:rPr>
        <w:t>自成交通知书发出之日起三十日内，</w:t>
      </w:r>
      <w:r>
        <w:rPr>
          <w:rFonts w:hint="eastAsia" w:ascii="宋体" w:hAnsi="宋体" w:eastAsia="宋体" w:cs="宋体"/>
          <w:sz w:val="24"/>
          <w:szCs w:val="22"/>
          <w:highlight w:val="none"/>
        </w:rPr>
        <w:t>与采购人签订政府采购合同，所签订的合同不得对磋商文件和响应文件作实质性修改。</w:t>
      </w:r>
    </w:p>
    <w:p w14:paraId="5F7ED59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15</w:t>
      </w:r>
      <w:r>
        <w:rPr>
          <w:rFonts w:hint="eastAsia" w:ascii="宋体" w:hAnsi="宋体" w:eastAsia="宋体" w:cs="宋体"/>
          <w:sz w:val="24"/>
          <w:szCs w:val="22"/>
          <w:highlight w:val="none"/>
          <w:lang w:val="zh-CN"/>
        </w:rPr>
        <w:t xml:space="preserve">.2 </w:t>
      </w:r>
      <w:r>
        <w:rPr>
          <w:rFonts w:hint="eastAsia" w:ascii="宋体" w:hAnsi="宋体" w:eastAsia="宋体" w:cs="宋体"/>
          <w:sz w:val="24"/>
          <w:szCs w:val="22"/>
          <w:highlight w:val="none"/>
        </w:rPr>
        <w:t>采购人不得向成交供应商提出任何不合理的要求作为签订合同的条件，不得与成交供应商私下订立背离合同实质性内容的协议。</w:t>
      </w:r>
    </w:p>
    <w:p w14:paraId="6D3E237A">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15.3</w:t>
      </w:r>
      <w:r>
        <w:rPr>
          <w:rFonts w:hint="eastAsia" w:ascii="宋体" w:hAnsi="宋体" w:eastAsia="宋体" w:cs="宋体"/>
          <w:sz w:val="24"/>
          <w:szCs w:val="22"/>
          <w:highlight w:val="none"/>
        </w:rPr>
        <w:t xml:space="preserve"> 除不可抗力等因素外，</w:t>
      </w:r>
      <w:r>
        <w:rPr>
          <w:rFonts w:hint="eastAsia" w:ascii="宋体" w:hAnsi="宋体" w:eastAsia="宋体" w:cs="宋体"/>
          <w:sz w:val="24"/>
          <w:szCs w:val="22"/>
          <w:highlight w:val="none"/>
          <w:lang w:val="zh-CN"/>
        </w:rPr>
        <w:t>成交通知书发出后，采购人改变成交结果，或者成交供应商拒绝签订政府采购合同的，应当承担相应的法律责任。</w:t>
      </w:r>
    </w:p>
    <w:p w14:paraId="0D7C99E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 xml:space="preserve">15.4 </w:t>
      </w:r>
      <w:r>
        <w:rPr>
          <w:rFonts w:hint="eastAsia" w:ascii="宋体" w:hAnsi="宋体" w:eastAsia="宋体" w:cs="宋体"/>
          <w:sz w:val="24"/>
          <w:szCs w:val="22"/>
          <w:highlight w:val="none"/>
        </w:rPr>
        <w:t>成交供应商除发生法律规定的不能预见、不能避免并不能克服的客观情况外不得放弃或拒绝签订合同的。放弃或拒绝签订合同的，财政部门视情将其列入不良行为名单，在一至三年内不得参加</w:t>
      </w:r>
      <w:r>
        <w:rPr>
          <w:rFonts w:hint="eastAsia" w:ascii="宋体" w:hAnsi="宋体" w:cs="宋体"/>
          <w:sz w:val="24"/>
          <w:szCs w:val="22"/>
          <w:highlight w:val="none"/>
          <w:lang w:eastAsia="zh-CN"/>
        </w:rPr>
        <w:t>南京市浦口区水务工程建设处</w:t>
      </w:r>
      <w:r>
        <w:rPr>
          <w:rFonts w:hint="eastAsia" w:ascii="宋体" w:hAnsi="宋体" w:eastAsia="宋体" w:cs="宋体"/>
          <w:sz w:val="24"/>
          <w:szCs w:val="22"/>
          <w:highlight w:val="none"/>
        </w:rPr>
        <w:t>政府采购活动。</w:t>
      </w:r>
    </w:p>
    <w:p w14:paraId="1DFEBE2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15.5成交供应商拒绝签订政府采购合同的，</w:t>
      </w:r>
      <w:r>
        <w:rPr>
          <w:rFonts w:hint="eastAsia" w:ascii="宋体" w:hAnsi="宋体" w:eastAsia="宋体" w:cs="宋体"/>
          <w:sz w:val="24"/>
          <w:szCs w:val="22"/>
          <w:highlight w:val="none"/>
        </w:rPr>
        <w:t>或因不可抗力或者自身原因不能履行政府采购合同的，</w:t>
      </w:r>
      <w:r>
        <w:rPr>
          <w:rFonts w:hint="eastAsia" w:ascii="宋体" w:hAnsi="宋体" w:eastAsia="宋体" w:cs="宋体"/>
          <w:sz w:val="24"/>
          <w:szCs w:val="22"/>
          <w:highlight w:val="none"/>
          <w:lang w:val="zh-CN"/>
        </w:rPr>
        <w:t>采购人可以视情与排位在成交供应商之后第一位的成交候选人签订政府采购合同，也可以重新开展采购活动。</w:t>
      </w:r>
    </w:p>
    <w:p w14:paraId="0697FF1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14:paraId="3C29404C">
      <w:pPr>
        <w:pStyle w:val="4"/>
        <w:pageBreakBefore w:val="0"/>
        <w:widowControl w:val="0"/>
        <w:kinsoku/>
        <w:wordWrap/>
        <w:overflowPunct/>
        <w:topLinePunct w:val="0"/>
        <w:autoSpaceDE/>
        <w:autoSpaceDN/>
        <w:bidi w:val="0"/>
        <w:adjustRightInd w:val="0"/>
        <w:snapToGrid w:val="0"/>
        <w:spacing w:before="0" w:after="0"/>
        <w:ind w:firstLine="482" w:firstLineChars="200"/>
        <w:textAlignment w:val="auto"/>
        <w:rPr>
          <w:rFonts w:hint="eastAsia" w:ascii="宋体" w:hAnsi="宋体" w:eastAsia="宋体" w:cs="宋体"/>
          <w:sz w:val="24"/>
          <w:szCs w:val="32"/>
          <w:highlight w:val="none"/>
          <w:lang w:val="zh-CN"/>
        </w:rPr>
      </w:pPr>
      <w:bookmarkStart w:id="28" w:name="_Toc118445259"/>
      <w:r>
        <w:rPr>
          <w:rFonts w:hint="eastAsia" w:ascii="宋体" w:hAnsi="宋体" w:eastAsia="宋体" w:cs="宋体"/>
          <w:sz w:val="24"/>
          <w:szCs w:val="32"/>
          <w:highlight w:val="none"/>
          <w:lang w:val="zh-CN"/>
        </w:rPr>
        <w:t>五、询问、质疑、投诉和诚实信用</w:t>
      </w:r>
      <w:bookmarkEnd w:id="28"/>
    </w:p>
    <w:p w14:paraId="4E1C6E2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16.询问</w:t>
      </w:r>
    </w:p>
    <w:p w14:paraId="0DD379BC">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b/>
          <w:sz w:val="24"/>
          <w:szCs w:val="22"/>
          <w:highlight w:val="none"/>
          <w:lang w:val="zh-CN"/>
        </w:rPr>
      </w:pPr>
      <w:r>
        <w:rPr>
          <w:rFonts w:hint="eastAsia" w:ascii="宋体" w:hAnsi="宋体" w:eastAsia="宋体" w:cs="宋体"/>
          <w:sz w:val="24"/>
          <w:szCs w:val="22"/>
          <w:highlight w:val="none"/>
          <w:lang w:val="zh-CN"/>
        </w:rPr>
        <w:t>16.1 供应商对采购活动事项有疑问的，可以向采购代理机构提出询问，采购代理机构将在两个工作日内作出答复，但答复的内容不涉及商业秘密</w:t>
      </w:r>
      <w:r>
        <w:rPr>
          <w:rFonts w:hint="eastAsia" w:ascii="宋体" w:hAnsi="宋体" w:eastAsia="宋体" w:cs="宋体"/>
          <w:b/>
          <w:sz w:val="24"/>
          <w:szCs w:val="22"/>
          <w:highlight w:val="none"/>
          <w:lang w:val="zh-CN"/>
        </w:rPr>
        <w:t>。</w:t>
      </w:r>
    </w:p>
    <w:p w14:paraId="2891C83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17.质疑</w:t>
      </w:r>
    </w:p>
    <w:p w14:paraId="316C247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17.1 供应商认为采购文件、采购过程和成交结果使自己的合法权益受到损害的，可以在知道或者应当知道其权益受到损害之日起七个工作日内，向采购代理机构提出质疑询问。</w:t>
      </w:r>
    </w:p>
    <w:p w14:paraId="28F84F1D">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17.2 质疑供应商的质疑行为和质疑函的主要内容应符合财政部94号令相关规定，未参加采购活动的供应商或在采购活动中自身权益未受到损害的供应商所提出的质疑不予受理。</w:t>
      </w:r>
    </w:p>
    <w:p w14:paraId="62A753EE">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17.3 上述应知其权益受到损害之日是指：</w:t>
      </w:r>
    </w:p>
    <w:p w14:paraId="1F55B5E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（1）对采购文件提出质疑的，为采购文件公告期限届满之日起计算；</w:t>
      </w:r>
    </w:p>
    <w:p w14:paraId="6E1EBAC9">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（2）对采购过程提出质疑的，自采购程序环节结束之日起计算；</w:t>
      </w:r>
    </w:p>
    <w:p w14:paraId="1044740B">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 xml:space="preserve">（3）对采购结果提出质疑的，自采购结果公告期限届满之日起计算。 </w:t>
      </w:r>
    </w:p>
    <w:p w14:paraId="3F6B2496">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17.4 质疑供应商在法定质疑期内应当一次性提出针对同一采购环节的质疑事项。</w:t>
      </w:r>
    </w:p>
    <w:p w14:paraId="0CF9AE74">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17.5 代理机构在收到供应商的质疑后将及时组织调查核实，在七个工作日内作出答复，答复的内容不涉及商业秘密。</w:t>
      </w:r>
    </w:p>
    <w:p w14:paraId="328C564F">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17.6 代理机构遵循“谁过错谁负担”的原则，有过错的一方承担调查论证费用。违规质疑或多次质疑不成立的，将被列入不良行为记录。</w:t>
      </w:r>
    </w:p>
    <w:p w14:paraId="025AAAF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17.7 以联合体形式参加政府采购活动的，其质疑应当由组成联合体的所有供应商共同提出。</w:t>
      </w:r>
    </w:p>
    <w:p w14:paraId="190E758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18.投诉</w:t>
      </w:r>
    </w:p>
    <w:p w14:paraId="2899A70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18.1 质疑供应商对采购代理机构的答复不满意，或采购代理机构未在规定的时间内作出答复的，可以在答复期满后</w:t>
      </w:r>
      <w:r>
        <w:rPr>
          <w:rFonts w:hint="eastAsia" w:ascii="宋体" w:hAnsi="宋体" w:eastAsia="宋体" w:cs="宋体"/>
          <w:b/>
          <w:bCs/>
          <w:sz w:val="24"/>
          <w:szCs w:val="22"/>
          <w:highlight w:val="none"/>
          <w:lang w:val="zh-CN"/>
        </w:rPr>
        <w:t>十五个工作日内</w:t>
      </w:r>
      <w:r>
        <w:rPr>
          <w:rFonts w:hint="eastAsia" w:ascii="宋体" w:hAnsi="宋体" w:eastAsia="宋体" w:cs="宋体"/>
          <w:sz w:val="24"/>
          <w:szCs w:val="22"/>
          <w:highlight w:val="none"/>
          <w:lang w:val="zh-CN"/>
        </w:rPr>
        <w:t>向采购项目同级财政部门投诉。</w:t>
      </w:r>
    </w:p>
    <w:p w14:paraId="04476A08">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19.诚实信用</w:t>
      </w:r>
    </w:p>
    <w:p w14:paraId="63261911">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19.1 供应商之间不得相互串通报价，不得妨碍其他供应商的公平竞争，不得损害采购人和其他供应商的合法权益。</w:t>
      </w:r>
    </w:p>
    <w:p w14:paraId="3C7ADAAA">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19.2 供应商不得以向采购代理机构工作人员、磋商小组成员行贿或者采取其他不正当手段谋取成交。经查实供应商有此行为的，政府采购管理部门将供应商列入不良行为记录名单，按照《政府采</w:t>
      </w:r>
      <w:r>
        <w:rPr>
          <w:rFonts w:hint="eastAsia" w:ascii="宋体" w:hAnsi="宋体" w:eastAsia="宋体" w:cs="宋体"/>
          <w:sz w:val="24"/>
          <w:szCs w:val="22"/>
          <w:highlight w:val="none"/>
        </w:rPr>
        <w:t>购法》有关规定处理。</w:t>
      </w:r>
    </w:p>
    <w:p w14:paraId="0444FFA5">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19.3 供应商不得虚假质疑和恶意质疑，并对质疑内容的真实性承担责任。</w:t>
      </w:r>
      <w:r>
        <w:rPr>
          <w:rFonts w:hint="eastAsia" w:ascii="宋体" w:hAnsi="宋体" w:eastAsia="宋体" w:cs="宋体"/>
          <w:sz w:val="24"/>
          <w:szCs w:val="22"/>
          <w:highlight w:val="none"/>
        </w:rPr>
        <w:t>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11AF9627">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19.4 供应商不得虚假承诺，否则，按照提供虚假材料谋取成交处理。</w:t>
      </w:r>
    </w:p>
    <w:p w14:paraId="1FBAB1C3">
      <w:pPr>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19.5 供应商应自觉遵守磋商、评审纪律，扰乱磋商、评审现场秩序的，属于失信行为，根据《江苏省政府采购供应商监督管理暂行办法》，失信行为将被记入供应商诚信档案。</w:t>
      </w:r>
    </w:p>
    <w:p w14:paraId="4E1BA91D">
      <w:pPr>
        <w:pStyle w:val="3"/>
        <w:spacing w:before="240" w:after="240"/>
        <w:ind w:firstLine="3261"/>
        <w:rPr>
          <w:rFonts w:cs="宋体"/>
          <w:color w:val="000000"/>
          <w:kern w:val="0"/>
          <w:sz w:val="27"/>
          <w:szCs w:val="27"/>
          <w:highlight w:val="none"/>
        </w:rPr>
      </w:pPr>
      <w:r>
        <w:rPr>
          <w:rFonts w:cs="宋体"/>
          <w:color w:val="000000"/>
          <w:kern w:val="0"/>
          <w:sz w:val="27"/>
          <w:szCs w:val="27"/>
          <w:highlight w:val="none"/>
        </w:rPr>
        <w:br w:type="page"/>
      </w:r>
      <w:bookmarkStart w:id="29" w:name="_Toc118445260"/>
      <w:r>
        <w:rPr>
          <w:rFonts w:hint="eastAsia"/>
          <w:highlight w:val="none"/>
        </w:rPr>
        <w:t>第三章</w:t>
      </w:r>
      <w:r>
        <w:rPr>
          <w:highlight w:val="none"/>
        </w:rPr>
        <w:t xml:space="preserve"> </w:t>
      </w:r>
      <w:r>
        <w:rPr>
          <w:rFonts w:hint="eastAsia"/>
          <w:highlight w:val="none"/>
        </w:rPr>
        <w:t>评标办法和标准</w:t>
      </w:r>
      <w:bookmarkEnd w:id="29"/>
    </w:p>
    <w:tbl>
      <w:tblPr>
        <w:tblStyle w:val="5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00"/>
        <w:gridCol w:w="1492"/>
        <w:gridCol w:w="5027"/>
        <w:gridCol w:w="751"/>
      </w:tblGrid>
      <w:tr w14:paraId="454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18" w:type="dxa"/>
            <w:vAlign w:val="center"/>
          </w:tcPr>
          <w:p w14:paraId="7131DD52">
            <w:pPr>
              <w:adjustRightInd/>
              <w:snapToGrid/>
              <w:spacing w:line="360" w:lineRule="auto"/>
              <w:jc w:val="center"/>
              <w:rPr>
                <w:rFonts w:hint="eastAsia" w:ascii="宋体" w:hAnsi="宋体" w:eastAsia="宋体" w:cs="宋体"/>
                <w:kern w:val="0"/>
                <w:sz w:val="21"/>
                <w:szCs w:val="21"/>
                <w:lang w:val="en-US" w:eastAsia="zh-CN"/>
              </w:rPr>
            </w:pPr>
            <w:bookmarkStart w:id="30" w:name="_Hlk66645305"/>
            <w:bookmarkStart w:id="31" w:name="_Hlk104834915"/>
            <w:r>
              <w:rPr>
                <w:rFonts w:hint="eastAsia" w:ascii="宋体" w:hAnsi="宋体" w:eastAsia="宋体" w:cs="宋体"/>
                <w:kern w:val="0"/>
                <w:sz w:val="21"/>
                <w:szCs w:val="21"/>
                <w:lang w:val="en-US" w:eastAsia="zh-CN"/>
              </w:rPr>
              <w:t>序号</w:t>
            </w:r>
          </w:p>
        </w:tc>
        <w:tc>
          <w:tcPr>
            <w:tcW w:w="1200" w:type="dxa"/>
            <w:vAlign w:val="center"/>
          </w:tcPr>
          <w:p w14:paraId="58A757E0">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评分因素</w:t>
            </w:r>
          </w:p>
        </w:tc>
        <w:tc>
          <w:tcPr>
            <w:tcW w:w="6519" w:type="dxa"/>
            <w:gridSpan w:val="2"/>
            <w:vAlign w:val="center"/>
          </w:tcPr>
          <w:p w14:paraId="2F2F515F">
            <w:pPr>
              <w:adjustRightInd/>
              <w:snapToGrid/>
              <w:spacing w:line="360" w:lineRule="auto"/>
              <w:ind w:firstLine="2940" w:firstLineChars="140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评审标准</w:t>
            </w:r>
          </w:p>
        </w:tc>
        <w:tc>
          <w:tcPr>
            <w:tcW w:w="751" w:type="dxa"/>
            <w:vAlign w:val="center"/>
          </w:tcPr>
          <w:p w14:paraId="621D11B0">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分值</w:t>
            </w:r>
          </w:p>
        </w:tc>
      </w:tr>
      <w:tr w14:paraId="6C2C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18" w:type="dxa"/>
            <w:vAlign w:val="center"/>
          </w:tcPr>
          <w:p w14:paraId="18344743">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w:t>
            </w:r>
          </w:p>
        </w:tc>
        <w:tc>
          <w:tcPr>
            <w:tcW w:w="1200" w:type="dxa"/>
            <w:vAlign w:val="center"/>
          </w:tcPr>
          <w:p w14:paraId="151B6EE0">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价格</w:t>
            </w:r>
          </w:p>
        </w:tc>
        <w:tc>
          <w:tcPr>
            <w:tcW w:w="6519" w:type="dxa"/>
            <w:gridSpan w:val="2"/>
            <w:vAlign w:val="center"/>
          </w:tcPr>
          <w:p w14:paraId="3D304157">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采用低价优先法计算，即满足磋商文件要求且响应价格最低的投标报价为评标基准价，其价格分为满分，其他供应商的价格分统一按照下列公式计算:响应报价得分：磋商报价得分=(磋商基准价/最终磋商评审价)×10（小数点保留两位）</w:t>
            </w:r>
          </w:p>
        </w:tc>
        <w:tc>
          <w:tcPr>
            <w:tcW w:w="751" w:type="dxa"/>
            <w:vAlign w:val="center"/>
          </w:tcPr>
          <w:p w14:paraId="5197DF3E">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w:t>
            </w:r>
          </w:p>
        </w:tc>
      </w:tr>
      <w:tr w14:paraId="048A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8" w:type="dxa"/>
            <w:vAlign w:val="center"/>
          </w:tcPr>
          <w:p w14:paraId="0603F19C">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w:t>
            </w:r>
          </w:p>
        </w:tc>
        <w:tc>
          <w:tcPr>
            <w:tcW w:w="1200" w:type="dxa"/>
            <w:vAlign w:val="center"/>
          </w:tcPr>
          <w:p w14:paraId="7C81018B">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总监要求</w:t>
            </w:r>
          </w:p>
        </w:tc>
        <w:tc>
          <w:tcPr>
            <w:tcW w:w="6519" w:type="dxa"/>
            <w:gridSpan w:val="2"/>
            <w:vAlign w:val="center"/>
          </w:tcPr>
          <w:p w14:paraId="53CD2C48">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总监具有水利工程类中级职称得2分，具有水利工程类高级及以上职称得4分，其他不得分。（提供职称证证书复印件加盖公章）</w:t>
            </w:r>
          </w:p>
        </w:tc>
        <w:tc>
          <w:tcPr>
            <w:tcW w:w="751" w:type="dxa"/>
            <w:vAlign w:val="center"/>
          </w:tcPr>
          <w:p w14:paraId="2219D32C">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w:t>
            </w:r>
          </w:p>
        </w:tc>
      </w:tr>
      <w:tr w14:paraId="165E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18" w:type="dxa"/>
            <w:vAlign w:val="center"/>
          </w:tcPr>
          <w:p w14:paraId="05B8D1CB">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w:t>
            </w:r>
          </w:p>
        </w:tc>
        <w:tc>
          <w:tcPr>
            <w:tcW w:w="1200" w:type="dxa"/>
            <w:vAlign w:val="center"/>
          </w:tcPr>
          <w:p w14:paraId="775F51E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专业配置</w:t>
            </w:r>
          </w:p>
        </w:tc>
        <w:tc>
          <w:tcPr>
            <w:tcW w:w="6519" w:type="dxa"/>
            <w:gridSpan w:val="2"/>
            <w:vAlign w:val="center"/>
          </w:tcPr>
          <w:p w14:paraId="787AFE6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人员专业齐全，配备水利工程施工监理1名、水土保持工程施工监理1名、水利工程建设环境保护监理1名、机电及金属结构设备制造监理1名、水利注册造价工程师（以全国水利工程造价工程师资格证书或水利部一级造价工程师注册证书为准），以上专业监理人员每有一个得3分。满分15分。（同一人员不可重复计分，以全国水利工程建设监理工程师资格证书或国家注册监理工程师证书上标明的专业为准）。</w:t>
            </w:r>
          </w:p>
          <w:p w14:paraId="4627E835">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2、配备专职安全人员负责安全管理工作，具有注册安全工程师得4分，具有省级及以上水行政主管部门颁发的监理安全培训证的得2分（同一人员不可重复计分，提供相关证书复印件加盖公章）</w:t>
            </w:r>
          </w:p>
        </w:tc>
        <w:tc>
          <w:tcPr>
            <w:tcW w:w="751" w:type="dxa"/>
            <w:vAlign w:val="center"/>
          </w:tcPr>
          <w:p w14:paraId="751AE213">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19</w:t>
            </w:r>
          </w:p>
        </w:tc>
      </w:tr>
      <w:tr w14:paraId="395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8" w:type="dxa"/>
            <w:vAlign w:val="center"/>
          </w:tcPr>
          <w:p w14:paraId="46EC6C2A">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w:t>
            </w:r>
          </w:p>
        </w:tc>
        <w:tc>
          <w:tcPr>
            <w:tcW w:w="1200" w:type="dxa"/>
            <w:vAlign w:val="center"/>
          </w:tcPr>
          <w:p w14:paraId="3B1B73C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监理人员资格</w:t>
            </w:r>
          </w:p>
        </w:tc>
        <w:tc>
          <w:tcPr>
            <w:tcW w:w="6519" w:type="dxa"/>
            <w:gridSpan w:val="2"/>
            <w:vAlign w:val="center"/>
          </w:tcPr>
          <w:p w14:paraId="4FB83665">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监理人员（总监除外）具有水利工程类高级及以上职称的得2分/人；具有水利工程中级职称的得1分/人，最多得8分。（提供相关人员职称证书复印件加盖投标人公章）</w:t>
            </w:r>
          </w:p>
        </w:tc>
        <w:tc>
          <w:tcPr>
            <w:tcW w:w="751" w:type="dxa"/>
            <w:vAlign w:val="center"/>
          </w:tcPr>
          <w:p w14:paraId="57960BAF">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w:t>
            </w:r>
          </w:p>
        </w:tc>
      </w:tr>
      <w:tr w14:paraId="7C0D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8" w:type="dxa"/>
            <w:vAlign w:val="center"/>
          </w:tcPr>
          <w:p w14:paraId="3C50B0FD">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p>
        </w:tc>
        <w:tc>
          <w:tcPr>
            <w:tcW w:w="1200" w:type="dxa"/>
            <w:vAlign w:val="center"/>
          </w:tcPr>
          <w:p w14:paraId="42C58CA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仪器设备及配套设施</w:t>
            </w:r>
          </w:p>
        </w:tc>
        <w:tc>
          <w:tcPr>
            <w:tcW w:w="6519" w:type="dxa"/>
            <w:gridSpan w:val="2"/>
            <w:vAlign w:val="center"/>
          </w:tcPr>
          <w:p w14:paraId="6B5BE10A">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现场配备经纬仪、全站仪、水准仪、回弹仪、钢筋保护层测试仪等，满足工程要求的得5分，缺一项扣1分，扣完为止。（须提供承诺书和有效期内检定书为准，承诺书格式自拟） </w:t>
            </w:r>
          </w:p>
        </w:tc>
        <w:tc>
          <w:tcPr>
            <w:tcW w:w="751" w:type="dxa"/>
            <w:vAlign w:val="center"/>
          </w:tcPr>
          <w:p w14:paraId="07D98165">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p>
        </w:tc>
      </w:tr>
      <w:tr w14:paraId="09FA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522B3AC4">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w:t>
            </w:r>
          </w:p>
        </w:tc>
        <w:tc>
          <w:tcPr>
            <w:tcW w:w="1200" w:type="dxa"/>
            <w:vAlign w:val="center"/>
          </w:tcPr>
          <w:p w14:paraId="12358E7D">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总监业绩</w:t>
            </w:r>
          </w:p>
        </w:tc>
        <w:tc>
          <w:tcPr>
            <w:tcW w:w="6519" w:type="dxa"/>
            <w:gridSpan w:val="2"/>
            <w:vAlign w:val="center"/>
          </w:tcPr>
          <w:p w14:paraId="5DDDF7FE">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总监自202</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月1日（含）以来有担任过水利工程项目总监经历的，有一项得3分，最多得6分。（提供中标通知书、合同协议书、合同完工验收证明（需各方参建单位盖章）或合同工程完工验收鉴定书或竣工验收证书，三者缺一不可，否则不得分；时间以投标人提供的中标通知书发放日期为准。同一工程业绩总监业绩与投标人业绩不可兼得，以总监业绩优先评审。）</w:t>
            </w:r>
          </w:p>
        </w:tc>
        <w:tc>
          <w:tcPr>
            <w:tcW w:w="751" w:type="dxa"/>
            <w:vAlign w:val="center"/>
          </w:tcPr>
          <w:p w14:paraId="676D82AF">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w:t>
            </w:r>
          </w:p>
        </w:tc>
      </w:tr>
      <w:tr w14:paraId="2850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185CE52F">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w:t>
            </w:r>
          </w:p>
        </w:tc>
        <w:tc>
          <w:tcPr>
            <w:tcW w:w="1200" w:type="dxa"/>
            <w:vAlign w:val="center"/>
          </w:tcPr>
          <w:p w14:paraId="48191384">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企业业绩</w:t>
            </w:r>
          </w:p>
        </w:tc>
        <w:tc>
          <w:tcPr>
            <w:tcW w:w="6519" w:type="dxa"/>
            <w:gridSpan w:val="2"/>
            <w:vAlign w:val="center"/>
          </w:tcPr>
          <w:p w14:paraId="528283D3">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企业自202</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月1日（含）以来监理过水利工程的，有一项得3分，最多得6分。（提供中标通知书、合同协议书、合同完工验收证明（需各方参建单位盖章）或合同工程完工验收鉴定书或竣工验收证书，三者缺一不可，否则不得分；时间以投标人提供的中标通知书发放日期为准。同一工程业绩总监业绩与投标人业绩不可兼得，以总监业绩优先评审。）</w:t>
            </w:r>
          </w:p>
        </w:tc>
        <w:tc>
          <w:tcPr>
            <w:tcW w:w="751" w:type="dxa"/>
            <w:vAlign w:val="center"/>
          </w:tcPr>
          <w:p w14:paraId="13916AA2">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w:t>
            </w:r>
          </w:p>
        </w:tc>
      </w:tr>
      <w:tr w14:paraId="4605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61E22025">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w:t>
            </w:r>
          </w:p>
        </w:tc>
        <w:tc>
          <w:tcPr>
            <w:tcW w:w="1200" w:type="dxa"/>
            <w:vAlign w:val="center"/>
          </w:tcPr>
          <w:p w14:paraId="5A414A6B">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进场计划及驻场时间</w:t>
            </w:r>
          </w:p>
        </w:tc>
        <w:tc>
          <w:tcPr>
            <w:tcW w:w="6519" w:type="dxa"/>
            <w:gridSpan w:val="2"/>
            <w:vAlign w:val="center"/>
          </w:tcPr>
          <w:p w14:paraId="00AFCD6A">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专业监理人员进场计划合理，主要监理人员月驻场时间不少于22天，其余人员满足监理工作需要。满足得3分，不满足不得分。（须提供承诺书，格式自拟）</w:t>
            </w:r>
          </w:p>
        </w:tc>
        <w:tc>
          <w:tcPr>
            <w:tcW w:w="751" w:type="dxa"/>
            <w:vAlign w:val="center"/>
          </w:tcPr>
          <w:p w14:paraId="201D8B3E">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w:t>
            </w:r>
          </w:p>
        </w:tc>
      </w:tr>
      <w:tr w14:paraId="06C2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18" w:type="dxa"/>
            <w:vMerge w:val="restart"/>
            <w:vAlign w:val="center"/>
          </w:tcPr>
          <w:p w14:paraId="71927781">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9</w:t>
            </w:r>
          </w:p>
        </w:tc>
        <w:tc>
          <w:tcPr>
            <w:tcW w:w="1200" w:type="dxa"/>
            <w:vMerge w:val="restart"/>
            <w:vAlign w:val="center"/>
          </w:tcPr>
          <w:p w14:paraId="24224EC9">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技术大纲</w:t>
            </w:r>
          </w:p>
        </w:tc>
        <w:tc>
          <w:tcPr>
            <w:tcW w:w="1492" w:type="dxa"/>
            <w:vAlign w:val="center"/>
          </w:tcPr>
          <w:p w14:paraId="427296C0">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监理大纲的完整性和合理性</w:t>
            </w:r>
          </w:p>
          <w:p w14:paraId="490837C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（4分）</w:t>
            </w:r>
          </w:p>
        </w:tc>
        <w:tc>
          <w:tcPr>
            <w:tcW w:w="5027" w:type="dxa"/>
            <w:vAlign w:val="center"/>
          </w:tcPr>
          <w:p w14:paraId="7D5629AB">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监理大纲内容全面重点突出得4分，较为详细，无明显缺陷的得3分；基本符合本项目需求的得2分；内容较少，表述的内容较一般的得1分；没有不得分。</w:t>
            </w:r>
          </w:p>
        </w:tc>
        <w:tc>
          <w:tcPr>
            <w:tcW w:w="751" w:type="dxa"/>
            <w:vMerge w:val="restart"/>
            <w:vAlign w:val="center"/>
          </w:tcPr>
          <w:p w14:paraId="65C6E4A8">
            <w:pPr>
              <w:adjustRightInd/>
              <w:snapToGrid/>
              <w:spacing w:line="36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39</w:t>
            </w:r>
          </w:p>
        </w:tc>
      </w:tr>
      <w:tr w14:paraId="47DC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18" w:type="dxa"/>
            <w:vMerge w:val="continue"/>
            <w:vAlign w:val="center"/>
          </w:tcPr>
          <w:p w14:paraId="3996E9EE">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6BBFCFFA">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386D4C73">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质量控制管理措施（</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w:t>
            </w:r>
          </w:p>
        </w:tc>
        <w:tc>
          <w:tcPr>
            <w:tcW w:w="5027" w:type="dxa"/>
            <w:vAlign w:val="center"/>
          </w:tcPr>
          <w:p w14:paraId="47F786D4">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质量控制管理措施得力针对性强得</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分，较为详细，无明显缺陷的得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分；基本符合本项目需求的得2分；内容较少，表述的内容较一般的得1分；没有不得分。</w:t>
            </w:r>
          </w:p>
        </w:tc>
        <w:tc>
          <w:tcPr>
            <w:tcW w:w="751" w:type="dxa"/>
            <w:vMerge w:val="continue"/>
            <w:vAlign w:val="center"/>
          </w:tcPr>
          <w:p w14:paraId="431303C2">
            <w:pPr>
              <w:adjustRightInd/>
              <w:snapToGrid/>
              <w:spacing w:line="360" w:lineRule="auto"/>
              <w:jc w:val="center"/>
              <w:rPr>
                <w:rFonts w:hint="eastAsia" w:ascii="宋体" w:hAnsi="宋体" w:eastAsia="宋体" w:cs="宋体"/>
                <w:kern w:val="0"/>
                <w:sz w:val="21"/>
                <w:szCs w:val="21"/>
                <w:lang w:eastAsia="zh-CN"/>
              </w:rPr>
            </w:pPr>
          </w:p>
        </w:tc>
      </w:tr>
      <w:tr w14:paraId="57A2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18" w:type="dxa"/>
            <w:vMerge w:val="continue"/>
            <w:vAlign w:val="center"/>
          </w:tcPr>
          <w:p w14:paraId="0900C768">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5D60418E">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1989886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进度控制管理措施（</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w:t>
            </w:r>
          </w:p>
        </w:tc>
        <w:tc>
          <w:tcPr>
            <w:tcW w:w="5027" w:type="dxa"/>
            <w:vAlign w:val="center"/>
          </w:tcPr>
          <w:p w14:paraId="40238C3E">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进度控制管理措施得力针对性强得</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分，较为详细，无明显缺陷的得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分；基本符合本项目需求的得2分；内容较少，表述的内容较一般的得1分；没有不得分。</w:t>
            </w:r>
          </w:p>
        </w:tc>
        <w:tc>
          <w:tcPr>
            <w:tcW w:w="751" w:type="dxa"/>
            <w:vMerge w:val="continue"/>
            <w:vAlign w:val="center"/>
          </w:tcPr>
          <w:p w14:paraId="5EC272FA">
            <w:pPr>
              <w:adjustRightInd/>
              <w:snapToGrid/>
              <w:spacing w:line="360" w:lineRule="auto"/>
              <w:jc w:val="center"/>
              <w:rPr>
                <w:rFonts w:hint="eastAsia" w:ascii="宋体" w:hAnsi="宋体" w:eastAsia="宋体" w:cs="宋体"/>
                <w:kern w:val="0"/>
                <w:sz w:val="21"/>
                <w:szCs w:val="21"/>
                <w:lang w:eastAsia="zh-CN"/>
              </w:rPr>
            </w:pPr>
          </w:p>
        </w:tc>
      </w:tr>
      <w:tr w14:paraId="7A5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18" w:type="dxa"/>
            <w:vMerge w:val="continue"/>
            <w:vAlign w:val="center"/>
          </w:tcPr>
          <w:p w14:paraId="58B9A7BC">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0F458EBC">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220EE8C2">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投资控制管理措施（</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w:t>
            </w:r>
          </w:p>
        </w:tc>
        <w:tc>
          <w:tcPr>
            <w:tcW w:w="5027" w:type="dxa"/>
            <w:vAlign w:val="center"/>
          </w:tcPr>
          <w:p w14:paraId="518036B1">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投资控制管理措施得力针对性强得</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分，较为详细，无明显缺陷的得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分；基本符合本项目需求的得2分；内容较少，表述的内容较一般的得1分；没有不得分。</w:t>
            </w:r>
          </w:p>
        </w:tc>
        <w:tc>
          <w:tcPr>
            <w:tcW w:w="751" w:type="dxa"/>
            <w:vMerge w:val="continue"/>
            <w:vAlign w:val="center"/>
          </w:tcPr>
          <w:p w14:paraId="2B7F2CD1">
            <w:pPr>
              <w:adjustRightInd/>
              <w:snapToGrid/>
              <w:spacing w:line="360" w:lineRule="auto"/>
              <w:jc w:val="center"/>
              <w:rPr>
                <w:rFonts w:hint="eastAsia" w:ascii="宋体" w:hAnsi="宋体" w:eastAsia="宋体" w:cs="宋体"/>
                <w:kern w:val="0"/>
                <w:sz w:val="21"/>
                <w:szCs w:val="21"/>
                <w:lang w:eastAsia="zh-CN"/>
              </w:rPr>
            </w:pPr>
          </w:p>
        </w:tc>
      </w:tr>
      <w:tr w14:paraId="2054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18" w:type="dxa"/>
            <w:vMerge w:val="continue"/>
            <w:vAlign w:val="center"/>
          </w:tcPr>
          <w:p w14:paraId="4A28916D">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7E33D517">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7641864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合同与信息管理措施（5分）</w:t>
            </w:r>
          </w:p>
        </w:tc>
        <w:tc>
          <w:tcPr>
            <w:tcW w:w="5027" w:type="dxa"/>
            <w:vAlign w:val="center"/>
          </w:tcPr>
          <w:p w14:paraId="0B78303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合同与信息管理措施得力得5分，较为详细，无明显缺陷的得4分；基本符合本项目需求的得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分；内容较少，表述的内容较一般的得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分；没有不得分。</w:t>
            </w:r>
          </w:p>
        </w:tc>
        <w:tc>
          <w:tcPr>
            <w:tcW w:w="751" w:type="dxa"/>
            <w:vMerge w:val="continue"/>
            <w:vAlign w:val="center"/>
          </w:tcPr>
          <w:p w14:paraId="3DEA90A8">
            <w:pPr>
              <w:adjustRightInd/>
              <w:snapToGrid/>
              <w:spacing w:line="360" w:lineRule="auto"/>
              <w:jc w:val="center"/>
              <w:rPr>
                <w:rFonts w:hint="eastAsia" w:ascii="宋体" w:hAnsi="宋体" w:eastAsia="宋体" w:cs="宋体"/>
                <w:kern w:val="0"/>
                <w:sz w:val="21"/>
                <w:szCs w:val="21"/>
                <w:lang w:eastAsia="zh-CN"/>
              </w:rPr>
            </w:pPr>
          </w:p>
        </w:tc>
      </w:tr>
      <w:tr w14:paraId="2ECC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18" w:type="dxa"/>
            <w:vMerge w:val="continue"/>
            <w:vAlign w:val="center"/>
          </w:tcPr>
          <w:p w14:paraId="4C9D6D0D">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2D7CE21E">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287BA96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组织协调管理措施得力（5分）</w:t>
            </w:r>
          </w:p>
        </w:tc>
        <w:tc>
          <w:tcPr>
            <w:tcW w:w="5027" w:type="dxa"/>
            <w:vAlign w:val="center"/>
          </w:tcPr>
          <w:p w14:paraId="18C1B02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组织协调管理措施得力得5分，较为详细，无明显缺陷的得4分；基本符合本项目需求的得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分；内容较少，表述的内容较一般的得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分；没有不得分。</w:t>
            </w:r>
          </w:p>
        </w:tc>
        <w:tc>
          <w:tcPr>
            <w:tcW w:w="751" w:type="dxa"/>
            <w:vMerge w:val="continue"/>
            <w:vAlign w:val="center"/>
          </w:tcPr>
          <w:p w14:paraId="6BC5F347">
            <w:pPr>
              <w:adjustRightInd/>
              <w:snapToGrid/>
              <w:spacing w:line="360" w:lineRule="auto"/>
              <w:jc w:val="center"/>
              <w:rPr>
                <w:rFonts w:hint="eastAsia" w:ascii="宋体" w:hAnsi="宋体" w:eastAsia="宋体" w:cs="宋体"/>
                <w:kern w:val="0"/>
                <w:sz w:val="21"/>
                <w:szCs w:val="21"/>
                <w:lang w:eastAsia="zh-CN"/>
              </w:rPr>
            </w:pPr>
          </w:p>
        </w:tc>
      </w:tr>
      <w:tr w14:paraId="56F2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18" w:type="dxa"/>
            <w:vMerge w:val="continue"/>
            <w:vAlign w:val="center"/>
          </w:tcPr>
          <w:p w14:paraId="030C0F12">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13C98ED4">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29C93D6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安全生产文明施工管理措施（5分）</w:t>
            </w:r>
          </w:p>
        </w:tc>
        <w:tc>
          <w:tcPr>
            <w:tcW w:w="5027" w:type="dxa"/>
            <w:vAlign w:val="center"/>
          </w:tcPr>
          <w:p w14:paraId="1EB2F9F6">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安全生产文明施工管理措施得力得5分，较为详细，无明显缺陷的得4分；基本符合本项目需求的得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分；内容较少，表述的内容较一般的得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分；没有不得分。</w:t>
            </w:r>
          </w:p>
        </w:tc>
        <w:tc>
          <w:tcPr>
            <w:tcW w:w="751" w:type="dxa"/>
            <w:vMerge w:val="continue"/>
            <w:vAlign w:val="center"/>
          </w:tcPr>
          <w:p w14:paraId="3582CBBE">
            <w:pPr>
              <w:adjustRightInd/>
              <w:snapToGrid/>
              <w:spacing w:line="360" w:lineRule="auto"/>
              <w:jc w:val="center"/>
              <w:rPr>
                <w:rFonts w:hint="eastAsia" w:ascii="宋体" w:hAnsi="宋体" w:eastAsia="宋体" w:cs="宋体"/>
                <w:kern w:val="0"/>
                <w:sz w:val="21"/>
                <w:szCs w:val="21"/>
                <w:lang w:eastAsia="zh-CN"/>
              </w:rPr>
            </w:pPr>
          </w:p>
        </w:tc>
      </w:tr>
      <w:tr w14:paraId="3D40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18" w:type="dxa"/>
            <w:vMerge w:val="continue"/>
            <w:vAlign w:val="center"/>
          </w:tcPr>
          <w:p w14:paraId="0FD1920B">
            <w:pPr>
              <w:adjustRightInd/>
              <w:snapToGrid/>
              <w:spacing w:line="360" w:lineRule="auto"/>
              <w:jc w:val="center"/>
              <w:rPr>
                <w:rFonts w:hint="eastAsia" w:ascii="宋体" w:hAnsi="宋体" w:eastAsia="宋体" w:cs="宋体"/>
                <w:kern w:val="0"/>
                <w:sz w:val="21"/>
                <w:szCs w:val="21"/>
                <w:lang w:eastAsia="zh-CN"/>
              </w:rPr>
            </w:pPr>
          </w:p>
        </w:tc>
        <w:tc>
          <w:tcPr>
            <w:tcW w:w="1200" w:type="dxa"/>
            <w:vMerge w:val="continue"/>
            <w:vAlign w:val="center"/>
          </w:tcPr>
          <w:p w14:paraId="0DEE36FE">
            <w:pPr>
              <w:adjustRightInd/>
              <w:snapToGrid/>
              <w:spacing w:line="360" w:lineRule="auto"/>
              <w:jc w:val="both"/>
              <w:rPr>
                <w:rFonts w:hint="eastAsia" w:ascii="宋体" w:hAnsi="宋体" w:eastAsia="宋体" w:cs="宋体"/>
                <w:kern w:val="0"/>
                <w:sz w:val="21"/>
                <w:szCs w:val="21"/>
                <w:lang w:eastAsia="zh-CN"/>
              </w:rPr>
            </w:pPr>
          </w:p>
        </w:tc>
        <w:tc>
          <w:tcPr>
            <w:tcW w:w="1492" w:type="dxa"/>
            <w:vAlign w:val="center"/>
          </w:tcPr>
          <w:p w14:paraId="34E2E56C">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针对本工程特点、难点提出的监理措施（</w:t>
            </w:r>
            <w:r>
              <w:rPr>
                <w:rFonts w:hint="eastAsia" w:ascii="宋体" w:hAnsi="宋体" w:cs="宋体"/>
                <w:kern w:val="0"/>
                <w:sz w:val="21"/>
                <w:szCs w:val="21"/>
                <w:lang w:val="en-US" w:eastAsia="zh-CN"/>
              </w:rPr>
              <w:t>8</w:t>
            </w:r>
            <w:r>
              <w:rPr>
                <w:rFonts w:hint="eastAsia" w:ascii="宋体" w:hAnsi="宋体" w:eastAsia="宋体" w:cs="宋体"/>
                <w:kern w:val="0"/>
                <w:sz w:val="21"/>
                <w:szCs w:val="21"/>
                <w:lang w:eastAsia="zh-CN"/>
              </w:rPr>
              <w:t>分）</w:t>
            </w:r>
          </w:p>
        </w:tc>
        <w:tc>
          <w:tcPr>
            <w:tcW w:w="5027" w:type="dxa"/>
            <w:vAlign w:val="center"/>
          </w:tcPr>
          <w:p w14:paraId="14F7FA70">
            <w:pPr>
              <w:adjustRightInd/>
              <w:snapToGrid/>
              <w:spacing w:line="36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针对本工程特点、难点提出的监理措施最具体、 最合理得</w:t>
            </w:r>
            <w:r>
              <w:rPr>
                <w:rFonts w:hint="eastAsia" w:ascii="宋体" w:hAnsi="宋体" w:cs="宋体"/>
                <w:kern w:val="0"/>
                <w:sz w:val="21"/>
                <w:szCs w:val="21"/>
                <w:lang w:val="en-US" w:eastAsia="zh-CN"/>
              </w:rPr>
              <w:t>8</w:t>
            </w:r>
            <w:r>
              <w:rPr>
                <w:rFonts w:hint="eastAsia" w:ascii="宋体" w:hAnsi="宋体" w:eastAsia="宋体" w:cs="宋体"/>
                <w:kern w:val="0"/>
                <w:sz w:val="21"/>
                <w:szCs w:val="21"/>
                <w:lang w:eastAsia="zh-CN"/>
              </w:rPr>
              <w:t>分，较为详细，无明显缺陷的得</w:t>
            </w:r>
            <w:r>
              <w:rPr>
                <w:rFonts w:hint="eastAsia" w:ascii="宋体" w:hAnsi="宋体" w:cs="宋体"/>
                <w:kern w:val="0"/>
                <w:sz w:val="21"/>
                <w:szCs w:val="21"/>
                <w:lang w:val="en-US" w:eastAsia="zh-CN"/>
              </w:rPr>
              <w:t>6</w:t>
            </w:r>
            <w:r>
              <w:rPr>
                <w:rFonts w:hint="eastAsia" w:ascii="宋体" w:hAnsi="宋体" w:eastAsia="宋体" w:cs="宋体"/>
                <w:kern w:val="0"/>
                <w:sz w:val="21"/>
                <w:szCs w:val="21"/>
                <w:lang w:eastAsia="zh-CN"/>
              </w:rPr>
              <w:t>分；基本符合本项目需求的得</w:t>
            </w: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分；内容较少，表述的内容较一般的得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分；没有不得分。</w:t>
            </w:r>
          </w:p>
        </w:tc>
        <w:tc>
          <w:tcPr>
            <w:tcW w:w="751" w:type="dxa"/>
            <w:vMerge w:val="continue"/>
            <w:vAlign w:val="center"/>
          </w:tcPr>
          <w:p w14:paraId="35BB9E14">
            <w:pPr>
              <w:adjustRightInd/>
              <w:snapToGrid/>
              <w:spacing w:line="360" w:lineRule="auto"/>
              <w:jc w:val="center"/>
              <w:rPr>
                <w:rFonts w:hint="eastAsia" w:ascii="宋体" w:hAnsi="宋体" w:eastAsia="宋体" w:cs="宋体"/>
                <w:kern w:val="0"/>
                <w:sz w:val="21"/>
                <w:szCs w:val="21"/>
                <w:lang w:eastAsia="zh-CN"/>
              </w:rPr>
            </w:pPr>
          </w:p>
        </w:tc>
      </w:tr>
      <w:tr w14:paraId="4AC4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7" w:type="dxa"/>
            <w:gridSpan w:val="4"/>
            <w:vAlign w:val="center"/>
          </w:tcPr>
          <w:p w14:paraId="0E970482">
            <w:pPr>
              <w:adjustRightInd/>
              <w:snapToGrid/>
              <w:spacing w:line="360" w:lineRule="auto"/>
              <w:ind w:firstLine="420" w:firstLineChars="20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      计</w:t>
            </w:r>
          </w:p>
        </w:tc>
        <w:tc>
          <w:tcPr>
            <w:tcW w:w="751" w:type="dxa"/>
            <w:vAlign w:val="center"/>
          </w:tcPr>
          <w:p w14:paraId="33965D44">
            <w:pPr>
              <w:adjustRightInd/>
              <w:snapToGrid/>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100</w:t>
            </w:r>
          </w:p>
        </w:tc>
      </w:tr>
      <w:bookmarkEnd w:id="30"/>
    </w:tbl>
    <w:p w14:paraId="18FB6638">
      <w:pPr>
        <w:rPr>
          <w:rFonts w:hint="eastAsia"/>
          <w:sz w:val="24"/>
          <w:szCs w:val="22"/>
          <w:highlight w:val="none"/>
        </w:rPr>
      </w:pPr>
    </w:p>
    <w:p w14:paraId="28043532">
      <w:pPr>
        <w:rPr>
          <w:sz w:val="24"/>
          <w:szCs w:val="22"/>
          <w:highlight w:val="none"/>
        </w:rPr>
      </w:pPr>
      <w:r>
        <w:rPr>
          <w:rFonts w:hint="eastAsia"/>
          <w:sz w:val="24"/>
          <w:szCs w:val="22"/>
          <w:highlight w:val="none"/>
        </w:rPr>
        <w:t>说明：</w:t>
      </w:r>
    </w:p>
    <w:p w14:paraId="1062B5E1">
      <w:pPr>
        <w:rPr>
          <w:sz w:val="24"/>
          <w:szCs w:val="22"/>
          <w:highlight w:val="none"/>
        </w:rPr>
      </w:pPr>
      <w:r>
        <w:rPr>
          <w:sz w:val="24"/>
          <w:szCs w:val="22"/>
          <w:highlight w:val="none"/>
        </w:rPr>
        <w:t>1、实质性要求不得负偏离；否则，按照无效</w:t>
      </w:r>
      <w:r>
        <w:rPr>
          <w:rFonts w:hint="eastAsia"/>
          <w:sz w:val="24"/>
          <w:szCs w:val="22"/>
          <w:highlight w:val="none"/>
        </w:rPr>
        <w:t>响应</w:t>
      </w:r>
      <w:r>
        <w:rPr>
          <w:sz w:val="24"/>
          <w:szCs w:val="22"/>
          <w:highlight w:val="none"/>
        </w:rPr>
        <w:t>处理。</w:t>
      </w:r>
    </w:p>
    <w:p w14:paraId="7B38C28A">
      <w:pPr>
        <w:rPr>
          <w:sz w:val="24"/>
          <w:szCs w:val="22"/>
          <w:highlight w:val="none"/>
        </w:rPr>
      </w:pPr>
      <w:r>
        <w:rPr>
          <w:rFonts w:hint="eastAsia"/>
          <w:sz w:val="24"/>
          <w:szCs w:val="22"/>
          <w:highlight w:val="none"/>
        </w:rPr>
        <w:t>2、对国家认定的节能产品和环保产品分别给予报价的5%价格扣除，用扣除后的价格参与评审（特别说明：节能、环保产品必须纳入“中国政府采购网http：//www.ccgp.gov.cn”等官方网站“节能、环保产品查询系统”，且以提供的证书复印件为准）。</w:t>
      </w:r>
    </w:p>
    <w:p w14:paraId="69A94963">
      <w:pPr>
        <w:rPr>
          <w:sz w:val="24"/>
          <w:szCs w:val="22"/>
          <w:highlight w:val="none"/>
        </w:rPr>
      </w:pPr>
      <w:r>
        <w:rPr>
          <w:rFonts w:hint="eastAsia"/>
          <w:sz w:val="24"/>
          <w:szCs w:val="22"/>
          <w:highlight w:val="none"/>
        </w:rPr>
        <w:t>3、小微企业的价格扣除</w:t>
      </w:r>
    </w:p>
    <w:p w14:paraId="53CDC19E">
      <w:pPr>
        <w:rPr>
          <w:sz w:val="24"/>
          <w:szCs w:val="22"/>
          <w:highlight w:val="none"/>
        </w:rPr>
      </w:pPr>
      <w:r>
        <w:rPr>
          <w:rFonts w:hint="eastAsia"/>
          <w:sz w:val="24"/>
          <w:szCs w:val="22"/>
          <w:highlight w:val="none"/>
        </w:rPr>
        <w:t>3.1对于专门面向中小企业或小型、微型企业的项目，只面向中小企业或小型、微型企业采购。对于非专门面向中小企业的项目，对小型和微型企业的价格给予10%的扣除，用扣除后的价格参与评审。</w:t>
      </w:r>
    </w:p>
    <w:p w14:paraId="7EBA4DCD">
      <w:pPr>
        <w:rPr>
          <w:sz w:val="24"/>
          <w:szCs w:val="22"/>
          <w:highlight w:val="none"/>
        </w:rPr>
      </w:pPr>
      <w:r>
        <w:rPr>
          <w:rFonts w:hint="eastAsia"/>
          <w:sz w:val="24"/>
          <w:szCs w:val="22"/>
          <w:highlight w:val="none"/>
        </w:rPr>
        <w:t>3.2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68A9CB9">
      <w:pPr>
        <w:rPr>
          <w:sz w:val="24"/>
          <w:szCs w:val="22"/>
          <w:highlight w:val="none"/>
        </w:rPr>
      </w:pPr>
      <w:r>
        <w:rPr>
          <w:rFonts w:hint="eastAsia"/>
          <w:sz w:val="24"/>
          <w:szCs w:val="22"/>
          <w:highlight w:val="none"/>
        </w:rPr>
        <w:t>3.3 小企业（含小型、微型企业）应当提供《中小企业声明函》，且符合《政府采购促进中小企业发展办法》（财库〔2020〕46号）的相关规定。</w:t>
      </w:r>
    </w:p>
    <w:p w14:paraId="4F42FB82">
      <w:pPr>
        <w:rPr>
          <w:sz w:val="24"/>
          <w:szCs w:val="22"/>
          <w:highlight w:val="none"/>
        </w:rPr>
      </w:pPr>
      <w:r>
        <w:rPr>
          <w:rFonts w:hint="eastAsia"/>
          <w:sz w:val="24"/>
          <w:szCs w:val="22"/>
          <w:highlight w:val="none"/>
        </w:rPr>
        <w:t>说明：价格扣除优惠政策仅适用于“第一章  二、申请人的资格要求 中“本项目采用以下第（1）种方式落实政府采购促进中小企业发展的要求”的采购项目中。</w:t>
      </w:r>
    </w:p>
    <w:p w14:paraId="6BB34E33">
      <w:pPr>
        <w:rPr>
          <w:sz w:val="24"/>
          <w:szCs w:val="22"/>
          <w:highlight w:val="none"/>
        </w:rPr>
      </w:pPr>
      <w:r>
        <w:rPr>
          <w:rFonts w:hint="eastAsia"/>
          <w:sz w:val="24"/>
          <w:szCs w:val="22"/>
          <w:highlight w:val="none"/>
        </w:rPr>
        <w:t>4</w:t>
      </w:r>
      <w:r>
        <w:rPr>
          <w:sz w:val="24"/>
          <w:szCs w:val="22"/>
          <w:highlight w:val="none"/>
        </w:rPr>
        <w:t>、监狱和戒毒企业的价格扣除</w:t>
      </w:r>
    </w:p>
    <w:p w14:paraId="67E74208">
      <w:pPr>
        <w:rPr>
          <w:sz w:val="24"/>
          <w:szCs w:val="22"/>
          <w:highlight w:val="none"/>
        </w:rPr>
      </w:pPr>
      <w:r>
        <w:rPr>
          <w:rFonts w:hint="eastAsia"/>
          <w:sz w:val="24"/>
          <w:szCs w:val="22"/>
          <w:highlight w:val="none"/>
        </w:rPr>
        <w:t>（1）</w:t>
      </w:r>
      <w:r>
        <w:rPr>
          <w:sz w:val="24"/>
          <w:szCs w:val="22"/>
          <w:highlight w:val="none"/>
        </w:rPr>
        <w:t>本项目对监狱和戒毒企业（简称监狱企业），给予等同于小微企业的价格扣除，用扣</w:t>
      </w:r>
      <w:r>
        <w:rPr>
          <w:rFonts w:hint="eastAsia"/>
          <w:sz w:val="24"/>
          <w:szCs w:val="22"/>
          <w:highlight w:val="none"/>
        </w:rPr>
        <w:t>除后的价格参与评审。</w:t>
      </w:r>
    </w:p>
    <w:p w14:paraId="2874D454">
      <w:pPr>
        <w:rPr>
          <w:sz w:val="24"/>
          <w:szCs w:val="22"/>
          <w:highlight w:val="none"/>
        </w:rPr>
      </w:pPr>
      <w:r>
        <w:rPr>
          <w:rFonts w:hint="eastAsia"/>
          <w:sz w:val="24"/>
          <w:szCs w:val="22"/>
          <w:highlight w:val="none"/>
        </w:rPr>
        <w:t>（2）</w:t>
      </w:r>
      <w:r>
        <w:rPr>
          <w:sz w:val="24"/>
          <w:szCs w:val="22"/>
          <w:highlight w:val="none"/>
        </w:rPr>
        <w:t>监狱企业需提供由省级以上监狱管理局、戒毒管理局（含新疆生产建设兵团）出具的</w:t>
      </w:r>
      <w:r>
        <w:rPr>
          <w:rFonts w:hint="eastAsia"/>
          <w:sz w:val="24"/>
          <w:szCs w:val="22"/>
          <w:highlight w:val="none"/>
        </w:rPr>
        <w:t>属于监狱企业的证明文件。</w:t>
      </w:r>
    </w:p>
    <w:p w14:paraId="5CDDD30B">
      <w:pPr>
        <w:rPr>
          <w:sz w:val="24"/>
          <w:szCs w:val="22"/>
          <w:highlight w:val="none"/>
        </w:rPr>
      </w:pPr>
      <w:r>
        <w:rPr>
          <w:rFonts w:hint="eastAsia"/>
          <w:sz w:val="24"/>
          <w:szCs w:val="22"/>
          <w:highlight w:val="none"/>
        </w:rPr>
        <w:t>（3）</w:t>
      </w:r>
      <w:r>
        <w:rPr>
          <w:sz w:val="24"/>
          <w:szCs w:val="22"/>
          <w:highlight w:val="none"/>
        </w:rPr>
        <w:t>监狱企业标准请参照《关于政府采购支持监狱企业发展有关问题的通知》（财库[2014]68号）</w:t>
      </w:r>
    </w:p>
    <w:p w14:paraId="7F0E5B27">
      <w:pPr>
        <w:rPr>
          <w:sz w:val="24"/>
          <w:szCs w:val="22"/>
          <w:highlight w:val="none"/>
        </w:rPr>
      </w:pPr>
      <w:r>
        <w:rPr>
          <w:rFonts w:hint="eastAsia"/>
          <w:sz w:val="24"/>
          <w:szCs w:val="22"/>
          <w:highlight w:val="none"/>
        </w:rPr>
        <w:t>5</w:t>
      </w:r>
      <w:r>
        <w:rPr>
          <w:sz w:val="24"/>
          <w:szCs w:val="22"/>
          <w:highlight w:val="none"/>
        </w:rPr>
        <w:t>、残疾人福利性单位的价格扣除</w:t>
      </w:r>
    </w:p>
    <w:p w14:paraId="314C6949">
      <w:pPr>
        <w:rPr>
          <w:sz w:val="24"/>
          <w:szCs w:val="22"/>
          <w:highlight w:val="none"/>
        </w:rPr>
      </w:pPr>
      <w:r>
        <w:rPr>
          <w:rFonts w:hint="eastAsia"/>
          <w:sz w:val="24"/>
          <w:szCs w:val="22"/>
          <w:highlight w:val="none"/>
        </w:rPr>
        <w:t>（1）</w:t>
      </w:r>
      <w:r>
        <w:rPr>
          <w:sz w:val="24"/>
          <w:szCs w:val="22"/>
          <w:highlight w:val="none"/>
        </w:rPr>
        <w:t>本项目对残疾人福利性单位，给予等同于小微企业的价格扣除，用扣除后的价格参与</w:t>
      </w:r>
      <w:r>
        <w:rPr>
          <w:rFonts w:hint="eastAsia"/>
          <w:sz w:val="24"/>
          <w:szCs w:val="22"/>
          <w:highlight w:val="none"/>
        </w:rPr>
        <w:t>评审。</w:t>
      </w:r>
    </w:p>
    <w:p w14:paraId="07EA567E">
      <w:pPr>
        <w:rPr>
          <w:sz w:val="24"/>
          <w:szCs w:val="22"/>
          <w:highlight w:val="none"/>
        </w:rPr>
      </w:pPr>
      <w:r>
        <w:rPr>
          <w:rFonts w:hint="eastAsia"/>
          <w:sz w:val="24"/>
          <w:szCs w:val="22"/>
          <w:highlight w:val="none"/>
        </w:rPr>
        <w:t>（2）</w:t>
      </w:r>
      <w:r>
        <w:rPr>
          <w:sz w:val="24"/>
          <w:szCs w:val="22"/>
          <w:highlight w:val="none"/>
        </w:rPr>
        <w:t>残疾人福利单位需按照</w:t>
      </w:r>
      <w:r>
        <w:rPr>
          <w:rFonts w:hint="eastAsia"/>
          <w:sz w:val="24"/>
          <w:szCs w:val="22"/>
          <w:highlight w:val="none"/>
        </w:rPr>
        <w:t>采购</w:t>
      </w:r>
      <w:r>
        <w:rPr>
          <w:sz w:val="24"/>
          <w:szCs w:val="22"/>
          <w:highlight w:val="none"/>
        </w:rPr>
        <w:t xml:space="preserve">文件的要求提供《残疾人福利性单位声明函》。 </w:t>
      </w:r>
    </w:p>
    <w:p w14:paraId="3BAACE94">
      <w:pPr>
        <w:rPr>
          <w:sz w:val="24"/>
          <w:szCs w:val="22"/>
          <w:highlight w:val="none"/>
        </w:rPr>
      </w:pPr>
      <w:r>
        <w:rPr>
          <w:rFonts w:hint="eastAsia"/>
          <w:sz w:val="24"/>
          <w:szCs w:val="22"/>
          <w:highlight w:val="none"/>
        </w:rPr>
        <w:t>（3）</w:t>
      </w:r>
      <w:r>
        <w:rPr>
          <w:sz w:val="24"/>
          <w:szCs w:val="22"/>
          <w:highlight w:val="none"/>
        </w:rPr>
        <w:t>残疾人福利单位标准请参照《关于促进残疾人就业政府采购政策的通知》（财库</w:t>
      </w:r>
      <w:r>
        <w:rPr>
          <w:rFonts w:hint="eastAsia"/>
          <w:sz w:val="24"/>
          <w:szCs w:val="22"/>
          <w:highlight w:val="none"/>
        </w:rPr>
        <w:t>〔</w:t>
      </w:r>
      <w:r>
        <w:rPr>
          <w:sz w:val="24"/>
          <w:szCs w:val="22"/>
          <w:highlight w:val="none"/>
        </w:rPr>
        <w:t xml:space="preserve">2017〕141号）。 </w:t>
      </w:r>
    </w:p>
    <w:p w14:paraId="3F3A5286">
      <w:pPr>
        <w:rPr>
          <w:sz w:val="24"/>
          <w:szCs w:val="22"/>
          <w:highlight w:val="none"/>
        </w:rPr>
      </w:pPr>
      <w:r>
        <w:rPr>
          <w:rFonts w:hint="eastAsia"/>
          <w:sz w:val="24"/>
          <w:szCs w:val="22"/>
          <w:highlight w:val="none"/>
        </w:rPr>
        <w:t>6</w:t>
      </w:r>
      <w:r>
        <w:rPr>
          <w:sz w:val="24"/>
          <w:szCs w:val="22"/>
          <w:highlight w:val="none"/>
        </w:rPr>
        <w:t xml:space="preserve">、监狱企业、残疾人福利单位属于小型、微型企业的，不重复享受政策。 </w:t>
      </w:r>
    </w:p>
    <w:p w14:paraId="56964846">
      <w:pPr>
        <w:rPr>
          <w:sz w:val="24"/>
          <w:szCs w:val="22"/>
          <w:highlight w:val="none"/>
        </w:rPr>
      </w:pPr>
      <w:r>
        <w:rPr>
          <w:rFonts w:hint="eastAsia"/>
          <w:sz w:val="24"/>
          <w:szCs w:val="22"/>
          <w:highlight w:val="none"/>
        </w:rPr>
        <w:t>7</w:t>
      </w:r>
      <w:r>
        <w:rPr>
          <w:sz w:val="24"/>
          <w:szCs w:val="22"/>
          <w:highlight w:val="none"/>
        </w:rPr>
        <w:t>、</w:t>
      </w:r>
      <w:r>
        <w:rPr>
          <w:rFonts w:hint="eastAsia"/>
          <w:sz w:val="24"/>
          <w:szCs w:val="22"/>
          <w:highlight w:val="none"/>
        </w:rPr>
        <w:t>所有认证、证明和业绩均以有效清晰的证明文件的复印件为依据，原件备查。</w:t>
      </w:r>
    </w:p>
    <w:bookmarkEnd w:id="31"/>
    <w:p w14:paraId="6DA5C729">
      <w:pPr>
        <w:pStyle w:val="3"/>
        <w:spacing w:before="240" w:after="240"/>
        <w:ind w:firstLine="3261"/>
        <w:rPr>
          <w:rFonts w:cs="宋体"/>
          <w:color w:val="000000"/>
          <w:kern w:val="0"/>
          <w:sz w:val="27"/>
          <w:szCs w:val="27"/>
          <w:highlight w:val="none"/>
        </w:rPr>
      </w:pPr>
      <w:r>
        <w:rPr>
          <w:rFonts w:cs="宋体"/>
          <w:color w:val="000000"/>
          <w:kern w:val="0"/>
          <w:sz w:val="27"/>
          <w:szCs w:val="27"/>
          <w:highlight w:val="none"/>
        </w:rPr>
        <w:br w:type="page"/>
      </w:r>
      <w:bookmarkStart w:id="32" w:name="_Toc118445261"/>
      <w:r>
        <w:rPr>
          <w:rFonts w:hint="eastAsia"/>
          <w:highlight w:val="none"/>
        </w:rPr>
        <w:t>第四章</w:t>
      </w:r>
      <w:r>
        <w:rPr>
          <w:highlight w:val="none"/>
        </w:rPr>
        <w:t xml:space="preserve"> </w:t>
      </w:r>
      <w:r>
        <w:rPr>
          <w:rFonts w:hint="eastAsia"/>
          <w:highlight w:val="none"/>
        </w:rPr>
        <w:t>采购需求</w:t>
      </w:r>
      <w:bookmarkEnd w:id="32"/>
    </w:p>
    <w:p w14:paraId="6493A895">
      <w:pPr>
        <w:autoSpaceDE w:val="0"/>
        <w:autoSpaceDN w:val="0"/>
        <w:adjustRightInd w:val="0"/>
        <w:spacing w:line="360" w:lineRule="auto"/>
        <w:ind w:firstLine="480" w:firstLineChars="200"/>
        <w:rPr>
          <w:rFonts w:hint="eastAsia" w:ascii="宋体" w:hAnsi="宋体"/>
          <w:sz w:val="24"/>
          <w:szCs w:val="24"/>
        </w:rPr>
      </w:pPr>
      <w:bookmarkStart w:id="33" w:name="_Toc38371160"/>
      <w:r>
        <w:rPr>
          <w:rFonts w:hint="eastAsia" w:ascii="宋体" w:hAnsi="宋体"/>
          <w:sz w:val="24"/>
          <w:szCs w:val="24"/>
        </w:rPr>
        <w:t>一、项目基本情况</w:t>
      </w:r>
    </w:p>
    <w:p w14:paraId="0202A793">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1.项目编号：</w:t>
      </w:r>
      <w:r>
        <w:rPr>
          <w:rFonts w:hint="eastAsia" w:ascii="宋体" w:hAnsi="宋体"/>
          <w:sz w:val="24"/>
          <w:szCs w:val="24"/>
          <w:lang w:val="zh-CN"/>
        </w:rPr>
        <w:t>ZZGJ—2025111</w:t>
      </w:r>
    </w:p>
    <w:p w14:paraId="00475314">
      <w:pPr>
        <w:autoSpaceDE w:val="0"/>
        <w:autoSpaceDN w:val="0"/>
        <w:adjustRightInd w:val="0"/>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项目名称：南京市浦口区2025年度重点泵站更新改造工程监理</w:t>
      </w:r>
    </w:p>
    <w:p w14:paraId="4CBC2B46">
      <w:pPr>
        <w:autoSpaceDE w:val="0"/>
        <w:autoSpaceDN w:val="0"/>
        <w:adjustRightInd w:val="0"/>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采购方式：竞争性磋商</w:t>
      </w:r>
    </w:p>
    <w:p w14:paraId="2D2E1C46">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4.预算金额：</w:t>
      </w:r>
      <w:r>
        <w:rPr>
          <w:rFonts w:hint="eastAsia" w:ascii="宋体" w:hAnsi="宋体"/>
          <w:sz w:val="24"/>
          <w:szCs w:val="24"/>
          <w:lang w:val="en-US" w:eastAsia="zh-CN"/>
        </w:rPr>
        <w:t>397100</w:t>
      </w:r>
      <w:r>
        <w:rPr>
          <w:rFonts w:hint="eastAsia" w:ascii="宋体" w:hAnsi="宋体"/>
          <w:sz w:val="24"/>
          <w:szCs w:val="24"/>
        </w:rPr>
        <w:t>元</w:t>
      </w:r>
    </w:p>
    <w:p w14:paraId="1B03C691">
      <w:pPr>
        <w:autoSpaceDE w:val="0"/>
        <w:autoSpaceDN w:val="0"/>
        <w:adjustRightInd w:val="0"/>
        <w:spacing w:line="360" w:lineRule="auto"/>
        <w:ind w:firstLine="480" w:firstLineChars="200"/>
        <w:rPr>
          <w:rFonts w:hint="eastAsia" w:ascii="宋体" w:hAnsi="宋体"/>
          <w:sz w:val="24"/>
          <w:szCs w:val="24"/>
        </w:rPr>
      </w:pPr>
      <w:r>
        <w:rPr>
          <w:rFonts w:ascii="宋体" w:hAnsi="宋体"/>
          <w:sz w:val="24"/>
          <w:szCs w:val="24"/>
        </w:rPr>
        <w:t>5.</w:t>
      </w:r>
      <w:r>
        <w:rPr>
          <w:rFonts w:hint="eastAsia" w:ascii="宋体" w:hAnsi="宋体"/>
          <w:sz w:val="24"/>
          <w:szCs w:val="24"/>
        </w:rPr>
        <w:t>最高限价</w:t>
      </w:r>
      <w:r>
        <w:rPr>
          <w:rFonts w:ascii="宋体" w:hAnsi="宋体"/>
          <w:sz w:val="24"/>
          <w:szCs w:val="24"/>
        </w:rPr>
        <w:t>：</w:t>
      </w:r>
      <w:r>
        <w:rPr>
          <w:rFonts w:hint="eastAsia" w:ascii="宋体" w:hAnsi="宋体"/>
          <w:sz w:val="24"/>
          <w:szCs w:val="24"/>
          <w:lang w:val="en-US" w:eastAsia="zh-CN"/>
        </w:rPr>
        <w:t>397100</w:t>
      </w:r>
      <w:r>
        <w:rPr>
          <w:rFonts w:hint="eastAsia" w:ascii="宋体" w:hAnsi="宋体"/>
          <w:sz w:val="24"/>
          <w:szCs w:val="24"/>
        </w:rPr>
        <w:t>元</w:t>
      </w:r>
    </w:p>
    <w:p w14:paraId="29EAA2F0">
      <w:pPr>
        <w:spacing w:line="360" w:lineRule="auto"/>
        <w:ind w:firstLine="480" w:firstLineChars="200"/>
        <w:rPr>
          <w:rFonts w:hint="eastAsia" w:ascii="宋体" w:hAnsi="宋体"/>
          <w:sz w:val="24"/>
          <w:szCs w:val="24"/>
          <w:lang w:val="en-US" w:eastAsia="zh-CN"/>
        </w:rPr>
      </w:pPr>
      <w:r>
        <w:rPr>
          <w:rFonts w:ascii="宋体" w:hAnsi="宋体"/>
          <w:sz w:val="24"/>
          <w:szCs w:val="24"/>
        </w:rPr>
        <w:t>6</w:t>
      </w:r>
      <w:r>
        <w:rPr>
          <w:rFonts w:hint="eastAsia" w:ascii="宋体" w:hAnsi="宋体"/>
          <w:sz w:val="24"/>
          <w:szCs w:val="24"/>
        </w:rPr>
        <w:t>.</w:t>
      </w:r>
      <w:r>
        <w:rPr>
          <w:rFonts w:ascii="宋体" w:hAnsi="宋体"/>
          <w:sz w:val="24"/>
          <w:szCs w:val="24"/>
        </w:rPr>
        <w:t>工程概况：</w:t>
      </w:r>
      <w:r>
        <w:rPr>
          <w:rFonts w:hint="eastAsia" w:ascii="宋体" w:hAnsi="宋体"/>
          <w:sz w:val="24"/>
          <w:szCs w:val="24"/>
        </w:rPr>
        <w:t>西江泵站更新改造工程，位于江浦街道西江口社区，位于高旺河左岸与西江中心河交汇口处。拆除原病险泵站，原址新建泵站。新建泵站规模为小(1)型，工程等别IV等，穿堤建筑物级别2级，其余主要建筑物级别4级，次要建筑物、临时建筑物级别5级。全部建设内容（含变更）施工期及缺陷责任期（12个月）建设监理工作，以及决算资料的预审工作。</w:t>
      </w:r>
    </w:p>
    <w:p w14:paraId="7295F2A3">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采购需求：工程施工（具体括施工前期准备阶段，施工阶段，竣工验收阶段）及保修阶段全过程监理，包含但不限于对工程进行进度、质量、投资、安全四控制，合同管理、信息管理，组织协调施工现场各方面关系，以及在工程实施过程中各种工程变更、索赔、验收及配合竣工结算、决算审计等均属于本监理范围。</w:t>
      </w:r>
    </w:p>
    <w:p w14:paraId="133A8848">
      <w:pPr>
        <w:spacing w:line="360" w:lineRule="auto"/>
        <w:ind w:firstLine="480" w:firstLineChars="200"/>
        <w:rPr>
          <w:rFonts w:hint="default" w:ascii="宋体" w:hAnsi="宋体" w:eastAsia="宋体"/>
          <w:sz w:val="24"/>
          <w:szCs w:val="24"/>
          <w:lang w:val="en-US" w:eastAsia="zh-CN"/>
        </w:rPr>
      </w:pPr>
      <w:r>
        <w:rPr>
          <w:rFonts w:ascii="宋体" w:hAnsi="宋体"/>
          <w:sz w:val="24"/>
          <w:szCs w:val="24"/>
        </w:rPr>
        <w:t>8</w:t>
      </w:r>
      <w:r>
        <w:rPr>
          <w:rFonts w:hint="eastAsia" w:ascii="宋体" w:hAnsi="宋体"/>
          <w:sz w:val="24"/>
          <w:szCs w:val="24"/>
        </w:rPr>
        <w:t>.工程地点：</w:t>
      </w:r>
      <w:r>
        <w:rPr>
          <w:rFonts w:hint="eastAsia" w:ascii="宋体" w:hAnsi="宋体"/>
          <w:sz w:val="24"/>
          <w:szCs w:val="24"/>
          <w:lang w:val="en-US" w:eastAsia="zh-CN"/>
        </w:rPr>
        <w:t>南京市浦口区</w:t>
      </w:r>
    </w:p>
    <w:p w14:paraId="26E7171B">
      <w:pPr>
        <w:autoSpaceDE w:val="0"/>
        <w:autoSpaceDN w:val="0"/>
        <w:adjustRightInd w:val="0"/>
        <w:spacing w:line="360" w:lineRule="auto"/>
        <w:ind w:firstLine="480" w:firstLineChars="200"/>
        <w:rPr>
          <w:rFonts w:hint="eastAsia" w:ascii="宋体" w:hAnsi="宋体"/>
          <w:sz w:val="24"/>
          <w:szCs w:val="24"/>
        </w:rPr>
      </w:pPr>
      <w:r>
        <w:rPr>
          <w:rFonts w:ascii="宋体" w:hAnsi="宋体"/>
          <w:sz w:val="24"/>
          <w:szCs w:val="24"/>
        </w:rPr>
        <w:t>9.</w:t>
      </w:r>
      <w:r>
        <w:rPr>
          <w:rFonts w:hint="eastAsia" w:ascii="宋体" w:hAnsi="宋体"/>
          <w:sz w:val="24"/>
          <w:szCs w:val="24"/>
        </w:rPr>
        <w:t>监理服务</w:t>
      </w:r>
      <w:r>
        <w:rPr>
          <w:rFonts w:ascii="宋体" w:hAnsi="宋体"/>
          <w:sz w:val="24"/>
          <w:szCs w:val="24"/>
        </w:rPr>
        <w:t>期</w:t>
      </w:r>
      <w:r>
        <w:rPr>
          <w:rFonts w:hint="eastAsia" w:ascii="宋体" w:hAnsi="宋体"/>
          <w:sz w:val="24"/>
          <w:szCs w:val="24"/>
        </w:rPr>
        <w:t>：监理服务期270</w:t>
      </w:r>
      <w:r>
        <w:rPr>
          <w:rFonts w:hint="eastAsia" w:ascii="宋体" w:hAnsi="宋体"/>
          <w:sz w:val="24"/>
          <w:szCs w:val="24"/>
          <w:lang w:val="en-US" w:eastAsia="zh-CN"/>
        </w:rPr>
        <w:t>个</w:t>
      </w:r>
      <w:r>
        <w:rPr>
          <w:rFonts w:hint="eastAsia" w:ascii="宋体" w:hAnsi="宋体"/>
          <w:sz w:val="24"/>
          <w:szCs w:val="24"/>
        </w:rPr>
        <w:t>日历天，缺陷责任期12个月。具体开工日期以开工通知为准。</w:t>
      </w:r>
    </w:p>
    <w:p w14:paraId="60C977B1">
      <w:pPr>
        <w:pStyle w:val="67"/>
        <w:ind w:left="0" w:leftChars="0" w:firstLine="480" w:firstLineChars="200"/>
        <w:rPr>
          <w:rFonts w:hint="default"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10</w:t>
      </w:r>
      <w:r>
        <w:rPr>
          <w:rFonts w:hint="eastAsia" w:ascii="宋体" w:hAnsi="宋体" w:eastAsia="宋体" w:cs="Times New Roman"/>
          <w:kern w:val="2"/>
          <w:sz w:val="24"/>
          <w:szCs w:val="24"/>
          <w:lang w:val="en-US" w:eastAsia="zh-CN" w:bidi="ar-SA"/>
        </w:rPr>
        <w:t>.质量要求：符合现行国家相关验收合格标准。</w:t>
      </w:r>
    </w:p>
    <w:p w14:paraId="024C0E69">
      <w:pPr>
        <w:ind w:firstLine="960" w:firstLineChars="400"/>
        <w:outlineLvl w:val="0"/>
        <w:rPr>
          <w:rFonts w:hint="default" w:asciiTheme="majorEastAsia" w:hAnsiTheme="majorEastAsia" w:eastAsiaTheme="majorEastAsia" w:cstheme="majorEastAsia"/>
          <w:sz w:val="24"/>
          <w:szCs w:val="24"/>
          <w:highlight w:val="none"/>
          <w:lang w:val="en-US" w:eastAsia="zh-CN"/>
        </w:rPr>
      </w:pPr>
    </w:p>
    <w:p w14:paraId="10D5604E">
      <w:pPr>
        <w:rPr>
          <w:rFonts w:hint="eastAsia" w:ascii="黑体" w:hAnsi="宋体" w:eastAsia="黑体"/>
          <w:spacing w:val="-10"/>
          <w:sz w:val="24"/>
          <w:szCs w:val="24"/>
          <w:highlight w:val="none"/>
        </w:rPr>
      </w:pPr>
      <w:r>
        <w:rPr>
          <w:rFonts w:hint="eastAsia" w:ascii="黑体" w:hAnsi="宋体" w:eastAsia="黑体"/>
          <w:spacing w:val="-10"/>
          <w:sz w:val="24"/>
          <w:szCs w:val="24"/>
          <w:highlight w:val="none"/>
        </w:rPr>
        <w:br w:type="page"/>
      </w:r>
    </w:p>
    <w:p w14:paraId="6DDE0C0D">
      <w:pPr>
        <w:numPr>
          <w:ilvl w:val="0"/>
          <w:numId w:val="6"/>
        </w:numPr>
        <w:jc w:val="center"/>
        <w:outlineLvl w:val="0"/>
        <w:rPr>
          <w:rFonts w:hint="eastAsia" w:ascii="宋体" w:hAnsi="宋体" w:eastAsia="宋体" w:cs="宋体"/>
          <w:b/>
          <w:bCs/>
          <w:spacing w:val="-10"/>
          <w:sz w:val="36"/>
          <w:szCs w:val="36"/>
          <w:highlight w:val="none"/>
        </w:rPr>
      </w:pPr>
      <w:r>
        <w:rPr>
          <w:rFonts w:hint="eastAsia" w:ascii="宋体" w:hAnsi="宋体" w:eastAsia="宋体" w:cs="宋体"/>
          <w:b/>
          <w:bCs/>
          <w:spacing w:val="-10"/>
          <w:sz w:val="36"/>
          <w:szCs w:val="36"/>
          <w:highlight w:val="none"/>
        </w:rPr>
        <w:t>合同格式</w:t>
      </w:r>
    </w:p>
    <w:p w14:paraId="2A5DD5E5">
      <w:pPr>
        <w:keepNext/>
        <w:keepLines/>
        <w:widowControl/>
        <w:kinsoku w:val="0"/>
        <w:autoSpaceDE w:val="0"/>
        <w:autoSpaceDN w:val="0"/>
        <w:spacing w:line="360" w:lineRule="auto"/>
        <w:jc w:val="center"/>
        <w:textAlignment w:val="baseline"/>
        <w:outlineLvl w:val="1"/>
        <w:rPr>
          <w:rFonts w:hint="eastAsia" w:ascii="宋体" w:hAnsi="宋体" w:eastAsia="宋体" w:cs="宋体"/>
          <w:bCs/>
          <w:snapToGrid w:val="0"/>
          <w:color w:val="000000"/>
          <w:kern w:val="0"/>
          <w:sz w:val="28"/>
          <w:szCs w:val="28"/>
          <w:highlight w:val="none"/>
        </w:rPr>
      </w:pPr>
      <w:bookmarkStart w:id="34" w:name="_Toc79007366"/>
      <w:bookmarkStart w:id="35" w:name="_Toc497387421"/>
      <w:bookmarkStart w:id="36" w:name="_Toc497384862"/>
      <w:bookmarkStart w:id="37" w:name="_Toc497385034"/>
      <w:bookmarkStart w:id="38" w:name="_Toc497396935"/>
      <w:bookmarkStart w:id="39" w:name="_Toc497396658"/>
      <w:bookmarkStart w:id="40" w:name="_Toc505149851"/>
      <w:bookmarkStart w:id="41" w:name="_Toc497384756"/>
      <w:bookmarkStart w:id="42" w:name="_Toc497396425"/>
      <w:bookmarkStart w:id="43" w:name="_Toc497381617"/>
      <w:r>
        <w:rPr>
          <w:rFonts w:hint="eastAsia" w:ascii="宋体" w:hAnsi="宋体" w:eastAsia="宋体" w:cs="宋体"/>
          <w:bCs/>
          <w:snapToGrid w:val="0"/>
          <w:color w:val="000000"/>
          <w:kern w:val="0"/>
          <w:sz w:val="28"/>
          <w:szCs w:val="28"/>
          <w:highlight w:val="none"/>
        </w:rPr>
        <w:t>第1节通用合同条款</w:t>
      </w:r>
      <w:bookmarkEnd w:id="34"/>
      <w:bookmarkEnd w:id="35"/>
      <w:bookmarkEnd w:id="36"/>
      <w:bookmarkEnd w:id="37"/>
      <w:bookmarkEnd w:id="38"/>
      <w:bookmarkEnd w:id="39"/>
      <w:bookmarkEnd w:id="40"/>
      <w:bookmarkEnd w:id="41"/>
      <w:bookmarkEnd w:id="42"/>
      <w:bookmarkEnd w:id="43"/>
    </w:p>
    <w:p w14:paraId="67A5D80C">
      <w:pPr>
        <w:keepNext/>
        <w:keepLines/>
        <w:pageBreakBefore w:val="0"/>
        <w:widowControl/>
        <w:kinsoku w:val="0"/>
        <w:wordWrap/>
        <w:overflowPunct/>
        <w:topLinePunct w:val="0"/>
        <w:autoSpaceDE w:val="0"/>
        <w:autoSpaceDN w:val="0"/>
        <w:bidi w:val="0"/>
        <w:adjustRightInd w:val="0"/>
        <w:snapToGrid w:val="0"/>
        <w:spacing w:line="360" w:lineRule="auto"/>
        <w:ind w:left="116"/>
        <w:jc w:val="both"/>
        <w:textAlignment w:val="baseline"/>
        <w:outlineLvl w:val="1"/>
        <w:rPr>
          <w:rFonts w:hint="eastAsia" w:ascii="宋体" w:hAnsi="宋体" w:eastAsia="宋体" w:cs="宋体"/>
          <w:bCs/>
          <w:snapToGrid w:val="0"/>
          <w:color w:val="000000"/>
          <w:kern w:val="0"/>
          <w:sz w:val="24"/>
          <w:szCs w:val="24"/>
          <w:highlight w:val="none"/>
        </w:rPr>
      </w:pPr>
      <w:bookmarkStart w:id="44" w:name="_Toc497385035"/>
      <w:bookmarkStart w:id="45" w:name="_Toc497387422"/>
      <w:bookmarkStart w:id="46" w:name="_Toc497381618"/>
      <w:bookmarkStart w:id="47" w:name="_Toc497384863"/>
      <w:bookmarkStart w:id="48" w:name="_Toc497396659"/>
      <w:bookmarkStart w:id="49" w:name="_Toc79007367"/>
      <w:bookmarkStart w:id="50" w:name="_Toc497396936"/>
      <w:bookmarkStart w:id="51" w:name="_Toc497396426"/>
      <w:bookmarkStart w:id="52" w:name="_Toc505149852"/>
      <w:r>
        <w:rPr>
          <w:rFonts w:hint="eastAsia" w:ascii="宋体" w:hAnsi="宋体" w:eastAsia="宋体" w:cs="宋体"/>
          <w:bCs/>
          <w:snapToGrid w:val="0"/>
          <w:color w:val="000000"/>
          <w:kern w:val="0"/>
          <w:sz w:val="24"/>
          <w:szCs w:val="24"/>
          <w:highlight w:val="none"/>
        </w:rPr>
        <w:t>1.一般约定</w:t>
      </w:r>
      <w:bookmarkEnd w:id="44"/>
      <w:bookmarkEnd w:id="45"/>
      <w:bookmarkEnd w:id="46"/>
      <w:bookmarkEnd w:id="47"/>
      <w:bookmarkEnd w:id="48"/>
      <w:bookmarkEnd w:id="49"/>
      <w:bookmarkEnd w:id="50"/>
      <w:bookmarkEnd w:id="51"/>
      <w:bookmarkEnd w:id="52"/>
    </w:p>
    <w:p w14:paraId="2BEFF491">
      <w:pPr>
        <w:keepNext/>
        <w:keepLines/>
        <w:pageBreakBefore w:val="0"/>
        <w:widowControl/>
        <w:kinsoku w:val="0"/>
        <w:wordWrap/>
        <w:overflowPunct/>
        <w:topLinePunct w:val="0"/>
        <w:autoSpaceDE w:val="0"/>
        <w:autoSpaceDN w:val="0"/>
        <w:bidi w:val="0"/>
        <w:adjustRightInd w:val="0"/>
        <w:snapToGrid w:val="0"/>
        <w:spacing w:line="360" w:lineRule="auto"/>
        <w:jc w:val="both"/>
        <w:textAlignment w:val="baseline"/>
        <w:outlineLvl w:val="2"/>
        <w:rPr>
          <w:rFonts w:hint="eastAsia" w:ascii="宋体" w:hAnsi="宋体" w:eastAsia="宋体" w:cs="宋体"/>
          <w:bCs/>
          <w:snapToGrid w:val="0"/>
          <w:color w:val="000000"/>
          <w:kern w:val="0"/>
          <w:sz w:val="24"/>
          <w:szCs w:val="24"/>
          <w:highlight w:val="none"/>
        </w:rPr>
      </w:pPr>
      <w:bookmarkStart w:id="53" w:name="_Toc497396937"/>
      <w:bookmarkStart w:id="54" w:name="_Toc493082624"/>
      <w:bookmarkStart w:id="55" w:name="_Toc505149853"/>
      <w:bookmarkStart w:id="56" w:name="_Toc497396660"/>
      <w:bookmarkStart w:id="57" w:name="_Toc79007368"/>
      <w:bookmarkStart w:id="58" w:name="_Toc497387423"/>
      <w:bookmarkStart w:id="59" w:name="_Toc497396427"/>
      <w:r>
        <w:rPr>
          <w:rFonts w:hint="eastAsia" w:ascii="宋体" w:hAnsi="宋体" w:eastAsia="宋体" w:cs="宋体"/>
          <w:bCs/>
          <w:snapToGrid w:val="0"/>
          <w:color w:val="000000"/>
          <w:kern w:val="0"/>
          <w:sz w:val="24"/>
          <w:szCs w:val="24"/>
          <w:highlight w:val="none"/>
        </w:rPr>
        <w:t>1.1词语定义</w:t>
      </w:r>
      <w:bookmarkEnd w:id="53"/>
      <w:bookmarkEnd w:id="54"/>
      <w:bookmarkEnd w:id="55"/>
      <w:bookmarkEnd w:id="56"/>
      <w:bookmarkEnd w:id="57"/>
      <w:bookmarkEnd w:id="58"/>
      <w:bookmarkEnd w:id="59"/>
    </w:p>
    <w:p w14:paraId="7FFDDA97">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通用合同条款、专用合同条款中的下列词语应具有本款所赋予的含义。</w:t>
      </w:r>
    </w:p>
    <w:p w14:paraId="52333CF6">
      <w:pPr>
        <w:pageBreakBefore w:val="0"/>
        <w:widowControl/>
        <w:kinsoku w:val="0"/>
        <w:wordWrap/>
        <w:overflowPunct/>
        <w:topLinePunct w:val="0"/>
        <w:autoSpaceDE w:val="0"/>
        <w:autoSpaceDN w:val="0"/>
        <w:bidi w:val="0"/>
        <w:adjustRightInd w:val="0"/>
        <w:snapToGrid w:val="0"/>
        <w:spacing w:line="360" w:lineRule="auto"/>
        <w:ind w:left="417" w:hanging="10"/>
        <w:jc w:val="both"/>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1.1.1合同</w:t>
      </w:r>
    </w:p>
    <w:p w14:paraId="20D94BA3">
      <w:pPr>
        <w:pageBreakBefore w:val="0"/>
        <w:widowControl/>
        <w:kinsoku w:val="0"/>
        <w:wordWrap/>
        <w:overflowPunct/>
        <w:topLinePunct w:val="0"/>
        <w:autoSpaceDE w:val="0"/>
        <w:autoSpaceDN w:val="0"/>
        <w:bidi w:val="0"/>
        <w:adjustRightInd w:val="0"/>
        <w:snapToGrid w:val="0"/>
        <w:spacing w:line="360" w:lineRule="auto"/>
        <w:ind w:left="-15" w:right="197"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1.1.1.1合同文件（或称合同）：指合同协议书、中标通知书、投标函和投标函附录、专用合同条款、通用合同条款、委托人要求、监理报酬清单、监理大纲，以及其他构成合同组成部分的文件。</w:t>
      </w:r>
    </w:p>
    <w:p w14:paraId="5AB337BA">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1.1.1.2合同协议书：指委托人和监理人共同签署的合同协议书。</w:t>
      </w:r>
    </w:p>
    <w:p w14:paraId="1607DD45">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1.1.1.3中标通知书：指委托人通知监理人中标的函件。</w:t>
      </w:r>
    </w:p>
    <w:p w14:paraId="72ED5763">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1.1.1.4投标函：指由监理人填写并签署的，名为“投标函”的函件。</w:t>
      </w:r>
    </w:p>
    <w:p w14:paraId="66523BED">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1.1.1.5投标函附录：指由监理人填写并签署的、附在投标函后，名为“投标函附录”的函件。</w:t>
      </w:r>
    </w:p>
    <w:p w14:paraId="29B39950">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1.1.1.6委托人要求：指合同文件中名为“委托人要求”的文件。</w:t>
      </w:r>
    </w:p>
    <w:p w14:paraId="312256CF">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1.1.1.7监理大纲：指监理人在投标文件中的监理大纲。</w:t>
      </w:r>
    </w:p>
    <w:p w14:paraId="079727A1">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1.1.1.8监理报酬清单：指监理人投标文件中的监理报酬清单。</w:t>
      </w:r>
    </w:p>
    <w:p w14:paraId="65038C34">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1.1.1.9其他合同文件：指经合同双方当事人确认构成合同文件的其他文件。</w:t>
      </w:r>
    </w:p>
    <w:p w14:paraId="7269E6AE">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1.1.2合同当事人和人员</w:t>
      </w:r>
    </w:p>
    <w:p w14:paraId="65335A48">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1.1.2.1合同当事人：指委托人和（或）监理人。</w:t>
      </w:r>
    </w:p>
    <w:p w14:paraId="753B7E39">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1.1.2.2委托人：指与监理人签订合同协议书的当事人，及其合法继承人。</w:t>
      </w:r>
    </w:p>
    <w:p w14:paraId="053339C9">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1.1.2.3监理人：指与委托人签订合同协议书的当事人，及其合法继承人。</w:t>
      </w:r>
    </w:p>
    <w:p w14:paraId="5C05337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1.1.2.4委托人代表：指由委托人任命，并在授权范围和期限内代表委托人行使权利和履行义务的全权负责人。</w:t>
      </w:r>
    </w:p>
    <w:p w14:paraId="27D2ACD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1.1.2.5总监理工程师：指由监理人任命，代表监理人行使权利和履行义务的全权负责人。</w:t>
      </w:r>
    </w:p>
    <w:p w14:paraId="775E08C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1.1.2.6承包人：指在本工程监理范围内，与委托人签订勘察、设计、施工承包合同的当事人。</w:t>
      </w:r>
    </w:p>
    <w:p w14:paraId="07BC7CD5">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1.1.3工程和监理</w:t>
      </w:r>
    </w:p>
    <w:p w14:paraId="4728563B">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1.1.3.1工程：指永久工程和（或）临时工程。</w:t>
      </w:r>
    </w:p>
    <w:p w14:paraId="44BC4F8A">
      <w:pPr>
        <w:pageBreakBefore w:val="0"/>
        <w:widowControl/>
        <w:kinsoku w:val="0"/>
        <w:wordWrap/>
        <w:overflowPunct/>
        <w:topLinePunct w:val="0"/>
        <w:autoSpaceDE w:val="0"/>
        <w:autoSpaceDN w:val="0"/>
        <w:bidi w:val="0"/>
        <w:adjustRightInd w:val="0"/>
        <w:snapToGrid w:val="0"/>
        <w:spacing w:line="360" w:lineRule="auto"/>
        <w:ind w:right="103" w:firstLine="407"/>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1.1.3.2监理服务：指监理人接受委托人的委托，依照法律、规范标准和监理合同等，对建设工程勘察、设计或施工等阶段进行质量控制、进度控制、投资控制、合同管理、信息管理、组织协调和安全监理、环保监理的服务活动。</w:t>
      </w:r>
    </w:p>
    <w:p w14:paraId="409976B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1.1.3.3监理资料：是委托人按合同约定向监理人提供的，用于完成监理范围与内容所需要的资料。</w:t>
      </w:r>
    </w:p>
    <w:p w14:paraId="708C579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1.1.3.4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1749062D">
      <w:pPr>
        <w:pageBreakBefore w:val="0"/>
        <w:widowControl/>
        <w:kinsoku w:val="0"/>
        <w:wordWrap/>
        <w:overflowPunct/>
        <w:topLinePunct w:val="0"/>
        <w:autoSpaceDE w:val="0"/>
        <w:autoSpaceDN w:val="0"/>
        <w:bidi w:val="0"/>
        <w:adjustRightInd w:val="0"/>
        <w:snapToGrid w:val="0"/>
        <w:spacing w:line="360" w:lineRule="auto"/>
        <w:ind w:left="417" w:hanging="10"/>
        <w:jc w:val="both"/>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1.1.4日期</w:t>
      </w:r>
    </w:p>
    <w:p w14:paraId="2F8983F4">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1.1.4.1开始监理通知：指委托人按第6.1款通知监理人开始监理的函件。</w:t>
      </w:r>
    </w:p>
    <w:p w14:paraId="57A7CAD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1.1.4.2开始监理日期：指委托人按第6.1款发出的开始监理通知中写明的开始监理日期。</w:t>
      </w:r>
    </w:p>
    <w:p w14:paraId="23C0E1F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1.1.4.3监理服务期限：指监理人在投标函中承诺的完成合同监理服务所需的期限，包括按第6.2款和第6.3.2项约定所作的调整。</w:t>
      </w:r>
    </w:p>
    <w:p w14:paraId="492255A0">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1.1.4.4完成监理日期：指第1.1.4.3目约定监理服务期限届满时的日期。</w:t>
      </w:r>
    </w:p>
    <w:p w14:paraId="7AE6FC16">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1.1.4.5基准日：指投标截止时间前28天的日期。</w:t>
      </w:r>
    </w:p>
    <w:p w14:paraId="56AF0EF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1.1.4.6天：除特别指明外，指日历天。合同中按天计算时间的，开始当天不计入，从次日开始计算。期限最后一天的截止时间为当天24:00。</w:t>
      </w:r>
    </w:p>
    <w:p w14:paraId="30D15F1B">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1.1.5</w:t>
      </w:r>
      <w:r>
        <w:rPr>
          <w:rFonts w:hint="eastAsia" w:ascii="宋体" w:hAnsi="宋体" w:eastAsia="宋体" w:cs="宋体"/>
          <w:snapToGrid w:val="0"/>
          <w:color w:val="000000"/>
          <w:kern w:val="0"/>
          <w:sz w:val="24"/>
          <w:szCs w:val="24"/>
          <w:highlight w:val="none"/>
        </w:rPr>
        <w:t>合同价格和费用</w:t>
      </w:r>
    </w:p>
    <w:p w14:paraId="23CC6F69">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1.1.5.1签约合同价：指签订合同时合同协议书中写明的监理报酬总金额。</w:t>
      </w:r>
    </w:p>
    <w:p w14:paraId="4C9DB12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1.1.5.2合同价格：指监理人按合同约定完成了全部监理工作后，委托人应付给监理人的金额，包括在履行合同过程中按合同约定进行的变更和调整。</w:t>
      </w:r>
    </w:p>
    <w:p w14:paraId="2DAB544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1.1.5.3费用：指为履行合同所发生的或将要发生的所有合理开支，包括管理费和应分摊的其他费用，但不包括利润。</w:t>
      </w:r>
    </w:p>
    <w:p w14:paraId="350EEB63">
      <w:pPr>
        <w:pageBreakBefore w:val="0"/>
        <w:widowControl/>
        <w:kinsoku w:val="0"/>
        <w:wordWrap/>
        <w:overflowPunct/>
        <w:topLinePunct w:val="0"/>
        <w:autoSpaceDE w:val="0"/>
        <w:autoSpaceDN w:val="0"/>
        <w:bidi w:val="0"/>
        <w:adjustRightInd w:val="0"/>
        <w:snapToGrid w:val="0"/>
        <w:spacing w:line="360" w:lineRule="auto"/>
        <w:ind w:left="417" w:hanging="10"/>
        <w:jc w:val="both"/>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1.1.6其他</w:t>
      </w:r>
    </w:p>
    <w:p w14:paraId="42BD9AD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1.1.6.1书面形式：指合同文件、信件和数据电文（包括电报、电传、传真、电子数据交换和电子邮件）等可以有形地表现所载内容的形式。</w:t>
      </w:r>
    </w:p>
    <w:p w14:paraId="4ED89B7F">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60" w:name="_Toc79007369"/>
      <w:bookmarkStart w:id="61" w:name="_Toc493082559"/>
      <w:bookmarkStart w:id="62" w:name="_Toc505149854"/>
      <w:r>
        <w:rPr>
          <w:rFonts w:hint="eastAsia" w:ascii="宋体" w:hAnsi="宋体" w:eastAsia="宋体" w:cs="宋体"/>
          <w:bCs/>
          <w:snapToGrid w:val="0"/>
          <w:color w:val="000000"/>
          <w:kern w:val="0"/>
          <w:sz w:val="24"/>
          <w:szCs w:val="24"/>
          <w:highlight w:val="none"/>
        </w:rPr>
        <w:t>1.2语言文字</w:t>
      </w:r>
      <w:bookmarkEnd w:id="60"/>
      <w:bookmarkEnd w:id="61"/>
      <w:bookmarkEnd w:id="62"/>
    </w:p>
    <w:p w14:paraId="4F84C685">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合同使用的语言文字为中文。专用术语使用外文的，应附有中文注释。</w:t>
      </w:r>
    </w:p>
    <w:p w14:paraId="3CFADE55">
      <w:pPr>
        <w:keepNext/>
        <w:keepLines/>
        <w:pageBreakBefore w:val="0"/>
        <w:widowControl/>
        <w:kinsoku w:val="0"/>
        <w:wordWrap/>
        <w:overflowPunct/>
        <w:topLinePunct w:val="0"/>
        <w:autoSpaceDE w:val="0"/>
        <w:autoSpaceDN w:val="0"/>
        <w:bidi w:val="0"/>
        <w:adjustRightInd w:val="0"/>
        <w:snapToGrid w:val="0"/>
        <w:spacing w:line="360" w:lineRule="auto"/>
        <w:ind w:left="420" w:right="103" w:hanging="283"/>
        <w:jc w:val="both"/>
        <w:textAlignment w:val="baseline"/>
        <w:outlineLvl w:val="2"/>
        <w:rPr>
          <w:rFonts w:hint="eastAsia" w:ascii="宋体" w:hAnsi="宋体" w:eastAsia="宋体" w:cs="宋体"/>
          <w:bCs/>
          <w:snapToGrid w:val="0"/>
          <w:color w:val="000000"/>
          <w:kern w:val="0"/>
          <w:sz w:val="24"/>
          <w:szCs w:val="24"/>
          <w:highlight w:val="none"/>
        </w:rPr>
      </w:pPr>
      <w:bookmarkStart w:id="63" w:name="_Toc505149855"/>
      <w:bookmarkStart w:id="64" w:name="_Toc493082560"/>
      <w:bookmarkStart w:id="65" w:name="_Toc79007370"/>
      <w:r>
        <w:rPr>
          <w:rFonts w:hint="eastAsia" w:ascii="宋体" w:hAnsi="宋体" w:eastAsia="宋体" w:cs="宋体"/>
          <w:bCs/>
          <w:snapToGrid w:val="0"/>
          <w:color w:val="000000"/>
          <w:kern w:val="0"/>
          <w:sz w:val="24"/>
          <w:szCs w:val="24"/>
          <w:highlight w:val="none"/>
        </w:rPr>
        <w:t>1.3适用法律</w:t>
      </w:r>
      <w:bookmarkEnd w:id="63"/>
      <w:bookmarkEnd w:id="64"/>
      <w:bookmarkEnd w:id="65"/>
    </w:p>
    <w:p w14:paraId="7D1898D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适用于合同的法律包括中华人民共和国法律、行政法规、部门规章，以及工程所在地的地方法规、自治条例、单行条例和地方政府规章。</w:t>
      </w:r>
    </w:p>
    <w:p w14:paraId="3E8350A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本合同适用的其他规范性文件，可在专用合同条款中约定。</w:t>
      </w:r>
    </w:p>
    <w:p w14:paraId="41B5EBC4">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66" w:name="_Toc493082561"/>
      <w:bookmarkStart w:id="67" w:name="_Toc505149856"/>
      <w:bookmarkStart w:id="68" w:name="_Toc79007371"/>
      <w:r>
        <w:rPr>
          <w:rFonts w:hint="eastAsia" w:ascii="宋体" w:hAnsi="宋体" w:eastAsia="宋体" w:cs="宋体"/>
          <w:bCs/>
          <w:snapToGrid w:val="0"/>
          <w:color w:val="000000"/>
          <w:kern w:val="0"/>
          <w:sz w:val="24"/>
          <w:szCs w:val="24"/>
          <w:highlight w:val="none"/>
        </w:rPr>
        <w:t>1.4合同文件的优先顺序</w:t>
      </w:r>
      <w:bookmarkEnd w:id="66"/>
      <w:bookmarkEnd w:id="67"/>
      <w:bookmarkEnd w:id="68"/>
    </w:p>
    <w:p w14:paraId="6773974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组成合同的各项文件应互相解释，互为说明。除专用合同条款另有约定外，解释合同文件的优先顺序如下：</w:t>
      </w:r>
    </w:p>
    <w:p w14:paraId="47EF4E0D">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合同协议书；</w:t>
      </w:r>
    </w:p>
    <w:p w14:paraId="381E0A3F">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中标通知书；</w:t>
      </w:r>
    </w:p>
    <w:p w14:paraId="35B16DD6">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投标函及投标函附录；</w:t>
      </w:r>
    </w:p>
    <w:p w14:paraId="34D6ADDE">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专用合同条款；</w:t>
      </w:r>
    </w:p>
    <w:p w14:paraId="1F5DFEF6">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通用合同条款；</w:t>
      </w:r>
    </w:p>
    <w:p w14:paraId="24C644FE">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委托人要求；</w:t>
      </w:r>
    </w:p>
    <w:p w14:paraId="0D2DEC73">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监理报酬清单；</w:t>
      </w:r>
    </w:p>
    <w:p w14:paraId="4C960B52">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监理大纲；</w:t>
      </w:r>
    </w:p>
    <w:p w14:paraId="31226F50">
      <w:pPr>
        <w:pageBreakBefore w:val="0"/>
        <w:widowControl/>
        <w:numPr>
          <w:ilvl w:val="0"/>
          <w:numId w:val="7"/>
        </w:numPr>
        <w:kinsoku w:val="0"/>
        <w:wordWrap/>
        <w:overflowPunct/>
        <w:topLinePunct w:val="0"/>
        <w:autoSpaceDE w:val="0"/>
        <w:autoSpaceDN w:val="0"/>
        <w:bidi w:val="0"/>
        <w:adjustRightInd w:val="0"/>
        <w:snapToGrid w:val="0"/>
        <w:spacing w:line="360" w:lineRule="auto"/>
        <w:ind w:right="103" w:hanging="526"/>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其他合同文件。</w:t>
      </w:r>
    </w:p>
    <w:p w14:paraId="1622880D">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69" w:name="_Toc505149857"/>
      <w:bookmarkStart w:id="70" w:name="_Toc79007372"/>
      <w:bookmarkStart w:id="71" w:name="_Toc493082562"/>
      <w:r>
        <w:rPr>
          <w:rFonts w:hint="eastAsia" w:ascii="宋体" w:hAnsi="宋体" w:eastAsia="宋体" w:cs="宋体"/>
          <w:bCs/>
          <w:snapToGrid w:val="0"/>
          <w:color w:val="000000"/>
          <w:kern w:val="0"/>
          <w:sz w:val="24"/>
          <w:szCs w:val="24"/>
          <w:highlight w:val="none"/>
        </w:rPr>
        <w:t>1.5合同协议书</w:t>
      </w:r>
      <w:bookmarkEnd w:id="69"/>
      <w:bookmarkEnd w:id="70"/>
      <w:bookmarkEnd w:id="71"/>
    </w:p>
    <w:p w14:paraId="4A23E43C">
      <w:pPr>
        <w:pageBreakBefore w:val="0"/>
        <w:widowControl/>
        <w:kinsoku w:val="0"/>
        <w:wordWrap/>
        <w:overflowPunct/>
        <w:topLinePunct w:val="0"/>
        <w:autoSpaceDE w:val="0"/>
        <w:autoSpaceDN w:val="0"/>
        <w:bidi w:val="0"/>
        <w:adjustRightInd w:val="0"/>
        <w:snapToGrid w:val="0"/>
        <w:spacing w:line="360" w:lineRule="auto"/>
        <w:ind w:left="-15" w:right="197"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监理人按中标通知书规定的时间与委托人签订合同协议书。除法律另有规定或合同另有约定外，委托人和监理人的法定代表人或其委托代理人在合同协议书上签字并盖单位章后，合同生效。</w:t>
      </w:r>
    </w:p>
    <w:p w14:paraId="1205D848">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72" w:name="_Toc493082563"/>
      <w:bookmarkStart w:id="73" w:name="_Toc79007373"/>
      <w:bookmarkStart w:id="74" w:name="_Toc505149858"/>
      <w:r>
        <w:rPr>
          <w:rFonts w:hint="eastAsia" w:ascii="宋体" w:hAnsi="宋体" w:eastAsia="宋体" w:cs="宋体"/>
          <w:bCs/>
          <w:snapToGrid w:val="0"/>
          <w:color w:val="000000"/>
          <w:kern w:val="0"/>
          <w:sz w:val="24"/>
          <w:szCs w:val="24"/>
          <w:highlight w:val="none"/>
        </w:rPr>
        <w:t>1.6文件的提供和照管</w:t>
      </w:r>
      <w:bookmarkEnd w:id="72"/>
      <w:bookmarkEnd w:id="73"/>
      <w:bookmarkEnd w:id="74"/>
    </w:p>
    <w:p w14:paraId="03A762AE">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1.6.1监理文件的提供</w:t>
      </w:r>
    </w:p>
    <w:p w14:paraId="54F6B90F">
      <w:pPr>
        <w:pageBreakBefore w:val="0"/>
        <w:widowControl/>
        <w:kinsoku w:val="0"/>
        <w:wordWrap/>
        <w:overflowPunct/>
        <w:topLinePunct w:val="0"/>
        <w:autoSpaceDE w:val="0"/>
        <w:autoSpaceDN w:val="0"/>
        <w:bidi w:val="0"/>
        <w:adjustRightInd w:val="0"/>
        <w:snapToGrid w:val="0"/>
        <w:spacing w:line="360" w:lineRule="auto"/>
        <w:ind w:left="-15" w:right="197" w:firstLine="41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除专用合同条款另有约定外，</w:t>
      </w:r>
      <w:bookmarkStart w:id="75" w:name="_Hlk11739471"/>
      <w:r>
        <w:rPr>
          <w:rFonts w:hint="eastAsia" w:ascii="宋体" w:hAnsi="宋体" w:eastAsia="宋体" w:cs="宋体"/>
          <w:b w:val="0"/>
          <w:bCs/>
          <w:snapToGrid w:val="0"/>
          <w:color w:val="000000"/>
          <w:kern w:val="0"/>
          <w:sz w:val="24"/>
          <w:szCs w:val="24"/>
          <w:highlight w:val="none"/>
        </w:rPr>
        <w:t>监理人应在合理的期限内按照合同约定的数量向委托人提供监理文件</w:t>
      </w:r>
      <w:bookmarkEnd w:id="75"/>
      <w:r>
        <w:rPr>
          <w:rFonts w:hint="eastAsia" w:ascii="宋体" w:hAnsi="宋体" w:eastAsia="宋体" w:cs="宋体"/>
          <w:b w:val="0"/>
          <w:bCs/>
          <w:snapToGrid w:val="0"/>
          <w:color w:val="000000"/>
          <w:kern w:val="0"/>
          <w:sz w:val="24"/>
          <w:szCs w:val="24"/>
          <w:highlight w:val="none"/>
        </w:rPr>
        <w:t>。合同约定监理文件应经委托人批复的，委托人应当在合同约定的期限内批复或提出修改意见。</w:t>
      </w:r>
    </w:p>
    <w:p w14:paraId="241C74F5">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1.6.2委托人提供的文件</w:t>
      </w:r>
    </w:p>
    <w:p w14:paraId="01A2CD5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按专用合同条款约定由委托人提供的文件，包括规范标准、承包合同、勘察文件、设计文件等，委托人应按约定的数量和期限交给监理人。由于委托人未按时提供文件造成监理服务期限延误的，按第6.2款约定执行。</w:t>
      </w:r>
    </w:p>
    <w:p w14:paraId="632FA1F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1.6.3文件错误的通知任何一方当事人发现文件中存在的明显错误或疏忽，均应及时通知对方当事人，并应立即采取适当的措施防止损失扩大。</w:t>
      </w:r>
    </w:p>
    <w:p w14:paraId="0D8C8E57">
      <w:pPr>
        <w:pageBreakBefore w:val="0"/>
        <w:widowControl/>
        <w:kinsoku w:val="0"/>
        <w:wordWrap/>
        <w:overflowPunct/>
        <w:topLinePunct w:val="0"/>
        <w:autoSpaceDE w:val="0"/>
        <w:autoSpaceDN w:val="0"/>
        <w:bidi w:val="0"/>
        <w:adjustRightInd w:val="0"/>
        <w:snapToGrid w:val="0"/>
        <w:spacing w:line="360" w:lineRule="auto"/>
        <w:ind w:left="417" w:right="103" w:hanging="10"/>
        <w:jc w:val="both"/>
        <w:textAlignment w:val="baseline"/>
        <w:rPr>
          <w:rFonts w:hint="eastAsia" w:ascii="宋体" w:hAnsi="宋体" w:eastAsia="宋体" w:cs="宋体"/>
          <w:b w:val="0"/>
          <w:bCs/>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1.6.4文件的照管</w:t>
      </w:r>
    </w:p>
    <w:p w14:paraId="5D40B78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监理人应在现场保留一份合同文件、监理文件、委托人要求中的所列文件、以及其他根据合同收发的往来信函，以备委托人和行政管理部门查阅使用。</w:t>
      </w:r>
    </w:p>
    <w:p w14:paraId="0C8A6542">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76" w:name="_Toc505149859"/>
      <w:bookmarkStart w:id="77" w:name="_Toc493082564"/>
      <w:bookmarkStart w:id="78" w:name="_Toc79007374"/>
      <w:r>
        <w:rPr>
          <w:rFonts w:hint="eastAsia" w:ascii="宋体" w:hAnsi="宋体" w:eastAsia="宋体" w:cs="宋体"/>
          <w:bCs/>
          <w:snapToGrid w:val="0"/>
          <w:color w:val="000000"/>
          <w:kern w:val="0"/>
          <w:sz w:val="24"/>
          <w:szCs w:val="24"/>
          <w:highlight w:val="none"/>
        </w:rPr>
        <w:t>1.7联络</w:t>
      </w:r>
      <w:bookmarkEnd w:id="76"/>
      <w:bookmarkEnd w:id="77"/>
      <w:bookmarkEnd w:id="78"/>
    </w:p>
    <w:p w14:paraId="768EC86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1.7.1与合同有关的通知、批准、证明、证书、指示、要求、请求、同意、意见、确定和决定等，均应采用书面形式。</w:t>
      </w:r>
    </w:p>
    <w:p w14:paraId="2EEBD31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1.7.2上述通知、批准、证明、证书、指示、要求、请求、同意、意见、确定和决定等来往函件，均应在合同约定的期限内送达指定的地点和指定的接收人，并办理签收手续。</w:t>
      </w:r>
    </w:p>
    <w:p w14:paraId="5DACAACD">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79" w:name="_Toc493082565"/>
      <w:bookmarkStart w:id="80" w:name="_Toc79007375"/>
      <w:bookmarkStart w:id="81" w:name="_Toc505149860"/>
      <w:r>
        <w:rPr>
          <w:rFonts w:hint="eastAsia" w:ascii="宋体" w:hAnsi="宋体" w:eastAsia="宋体" w:cs="宋体"/>
          <w:bCs/>
          <w:snapToGrid w:val="0"/>
          <w:color w:val="000000"/>
          <w:kern w:val="0"/>
          <w:sz w:val="24"/>
          <w:szCs w:val="24"/>
          <w:highlight w:val="none"/>
        </w:rPr>
        <w:t>1.8转让</w:t>
      </w:r>
      <w:bookmarkEnd w:id="79"/>
      <w:bookmarkEnd w:id="80"/>
      <w:bookmarkEnd w:id="81"/>
    </w:p>
    <w:p w14:paraId="29642F5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除专用合同条款另有约定外，未经对方当事人同意，一方当事人不得将合同权利全部或部分转让给第三人，也不得全部或部分转移合同义务。</w:t>
      </w:r>
    </w:p>
    <w:p w14:paraId="0AF8D1A5">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82" w:name="_Toc493082566"/>
      <w:bookmarkStart w:id="83" w:name="_Toc79007376"/>
      <w:bookmarkStart w:id="84" w:name="_Toc505149861"/>
      <w:r>
        <w:rPr>
          <w:rFonts w:hint="eastAsia" w:ascii="宋体" w:hAnsi="宋体" w:eastAsia="宋体" w:cs="宋体"/>
          <w:bCs/>
          <w:snapToGrid w:val="0"/>
          <w:color w:val="000000"/>
          <w:kern w:val="0"/>
          <w:sz w:val="24"/>
          <w:szCs w:val="24"/>
          <w:highlight w:val="none"/>
        </w:rPr>
        <w:t>1.9严禁贿赂</w:t>
      </w:r>
      <w:bookmarkEnd w:id="82"/>
      <w:bookmarkEnd w:id="83"/>
      <w:bookmarkEnd w:id="84"/>
    </w:p>
    <w:p w14:paraId="6FBE815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合同双方当事人不得以贿赂或变相贿赂的方式，谋取不当利益或损害对方权益。因贿赂造成对方当事人损失的，行为人应当赔偿损失，并承担相应的法律责任。</w:t>
      </w:r>
    </w:p>
    <w:p w14:paraId="71C7E9EE">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85" w:name="_Toc493082567"/>
      <w:bookmarkStart w:id="86" w:name="_Toc79007377"/>
      <w:bookmarkStart w:id="87" w:name="_Toc505149862"/>
      <w:r>
        <w:rPr>
          <w:rFonts w:hint="eastAsia" w:ascii="宋体" w:hAnsi="宋体" w:eastAsia="宋体" w:cs="宋体"/>
          <w:bCs/>
          <w:snapToGrid w:val="0"/>
          <w:color w:val="000000"/>
          <w:kern w:val="0"/>
          <w:sz w:val="24"/>
          <w:szCs w:val="24"/>
          <w:highlight w:val="none"/>
        </w:rPr>
        <w:t>1.10知识产权</w:t>
      </w:r>
      <w:bookmarkEnd w:id="85"/>
      <w:bookmarkEnd w:id="86"/>
      <w:bookmarkEnd w:id="87"/>
    </w:p>
    <w:p w14:paraId="67DD0C4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1.10.1除专用合同条款另有约定外，监理人完成的监理工作成果，除署名权以外的著作权和其他知识产权均归委托人享有。</w:t>
      </w:r>
    </w:p>
    <w:p w14:paraId="3E154BD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1.10.2监理人从事监理活动时不得侵犯他人的知识产权。因侵犯专利权或其他知识产权所引起的责任，由监理人自行承担。因委托人提供的监理资料导致侵权的，由委托人承担责任。</w:t>
      </w:r>
    </w:p>
    <w:p w14:paraId="7962653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1.10.3监理人在投标文件中采用专利技术、专有技术的，相应的使用费视为已包含在投标报价之中。</w:t>
      </w:r>
      <w:bookmarkStart w:id="88" w:name="_Toc493082568"/>
      <w:bookmarkStart w:id="89" w:name="_Toc505149863"/>
      <w:bookmarkStart w:id="90" w:name="_Toc79007378"/>
    </w:p>
    <w:p w14:paraId="3008C5F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bCs/>
          <w:snapToGrid w:val="0"/>
          <w:color w:val="000000"/>
          <w:kern w:val="0"/>
          <w:sz w:val="24"/>
          <w:szCs w:val="24"/>
          <w:highlight w:val="none"/>
        </w:rPr>
      </w:pPr>
      <w:r>
        <w:rPr>
          <w:rFonts w:hint="eastAsia" w:ascii="宋体" w:hAnsi="宋体" w:eastAsia="宋体" w:cs="宋体"/>
          <w:bCs/>
          <w:snapToGrid w:val="0"/>
          <w:color w:val="000000"/>
          <w:kern w:val="0"/>
          <w:sz w:val="24"/>
          <w:szCs w:val="24"/>
          <w:highlight w:val="none"/>
        </w:rPr>
        <w:t>1.11文件及信息的保密</w:t>
      </w:r>
      <w:bookmarkEnd w:id="88"/>
      <w:bookmarkEnd w:id="89"/>
      <w:bookmarkEnd w:id="90"/>
    </w:p>
    <w:p w14:paraId="48AB287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未经对方同意，任何一方当事人不得将有关文件、技术秘密、需要保密的资料和信息泄露给他人或公开发表与引用。</w:t>
      </w:r>
    </w:p>
    <w:p w14:paraId="0CE96849">
      <w:pPr>
        <w:keepNext/>
        <w:keepLines/>
        <w:pageBreakBefore w:val="0"/>
        <w:widowControl/>
        <w:kinsoku w:val="0"/>
        <w:wordWrap/>
        <w:overflowPunct/>
        <w:topLinePunct w:val="0"/>
        <w:autoSpaceDE w:val="0"/>
        <w:autoSpaceDN w:val="0"/>
        <w:bidi w:val="0"/>
        <w:adjustRightInd w:val="0"/>
        <w:snapToGrid w:val="0"/>
        <w:spacing w:line="360" w:lineRule="auto"/>
        <w:ind w:left="132"/>
        <w:jc w:val="both"/>
        <w:textAlignment w:val="baseline"/>
        <w:outlineLvl w:val="2"/>
        <w:rPr>
          <w:rFonts w:hint="eastAsia" w:ascii="宋体" w:hAnsi="宋体" w:eastAsia="宋体" w:cs="宋体"/>
          <w:bCs/>
          <w:snapToGrid w:val="0"/>
          <w:color w:val="000000"/>
          <w:kern w:val="0"/>
          <w:sz w:val="24"/>
          <w:szCs w:val="24"/>
          <w:highlight w:val="none"/>
        </w:rPr>
      </w:pPr>
      <w:bookmarkStart w:id="91" w:name="_Toc79007379"/>
      <w:bookmarkStart w:id="92" w:name="_Toc505149864"/>
      <w:bookmarkStart w:id="93" w:name="_Toc493082569"/>
      <w:r>
        <w:rPr>
          <w:rFonts w:hint="eastAsia" w:ascii="宋体" w:hAnsi="宋体" w:eastAsia="宋体" w:cs="宋体"/>
          <w:bCs/>
          <w:snapToGrid w:val="0"/>
          <w:color w:val="000000"/>
          <w:kern w:val="0"/>
          <w:sz w:val="24"/>
          <w:szCs w:val="24"/>
          <w:highlight w:val="none"/>
        </w:rPr>
        <w:t>1.12委托人要求</w:t>
      </w:r>
      <w:bookmarkEnd w:id="91"/>
      <w:bookmarkEnd w:id="92"/>
      <w:bookmarkEnd w:id="93"/>
    </w:p>
    <w:p w14:paraId="6D8E61A1">
      <w:pPr>
        <w:pageBreakBefore w:val="0"/>
        <w:widowControl/>
        <w:kinsoku w:val="0"/>
        <w:wordWrap/>
        <w:overflowPunct/>
        <w:topLinePunct w:val="0"/>
        <w:autoSpaceDE w:val="0"/>
        <w:autoSpaceDN w:val="0"/>
        <w:bidi w:val="0"/>
        <w:adjustRightInd w:val="0"/>
        <w:snapToGrid w:val="0"/>
        <w:spacing w:line="360" w:lineRule="auto"/>
        <w:ind w:left="-15" w:right="197"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1.12.1监理人应认真阅读、复核委托人要求，发现错误的，应及时书面通知委托人。无论是否存在错误，委托人均有权修改委托人要求，并在修改后3日内通知监理人。除专用合同条款另有约定外，由此导致监理人费用增加和(或)周期延误的，委托人应当相应地增加费用和(或)延长周期。</w:t>
      </w:r>
    </w:p>
    <w:p w14:paraId="6E1534E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1.12.2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6FB2615F">
      <w:pPr>
        <w:pageBreakBefore w:val="0"/>
        <w:widowControl/>
        <w:kinsoku w:val="0"/>
        <w:wordWrap/>
        <w:overflowPunct/>
        <w:topLinePunct w:val="0"/>
        <w:autoSpaceDE w:val="0"/>
        <w:autoSpaceDN w:val="0"/>
        <w:bidi w:val="0"/>
        <w:adjustRightInd w:val="0"/>
        <w:snapToGrid w:val="0"/>
        <w:spacing w:line="360" w:lineRule="auto"/>
        <w:ind w:right="103" w:firstLine="43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1.12.3委托人要求采用国外规范和标准进行监理时，应由委托人负责提供该规范和标准的外国文本和中文译本，提供的时间、份数和其他要求在专用合同条款中约定。</w:t>
      </w:r>
    </w:p>
    <w:p w14:paraId="5BB7BF7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1.12.4委托人有权定期组织对监理人履约情况进行考核，具体考核办法及奖惩机制待人员进场后另行制定。</w:t>
      </w:r>
    </w:p>
    <w:p w14:paraId="7A380C9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94" w:name="_Toc493082570"/>
      <w:bookmarkStart w:id="95" w:name="_Toc505149865"/>
      <w:bookmarkStart w:id="96" w:name="_Toc79007380"/>
      <w:r>
        <w:rPr>
          <w:rFonts w:hint="eastAsia" w:ascii="宋体" w:hAnsi="宋体" w:eastAsia="宋体" w:cs="宋体"/>
          <w:snapToGrid w:val="0"/>
          <w:color w:val="000000"/>
          <w:kern w:val="0"/>
          <w:sz w:val="24"/>
          <w:szCs w:val="24"/>
          <w:highlight w:val="none"/>
        </w:rPr>
        <w:t>2.委托人义务</w:t>
      </w:r>
      <w:bookmarkEnd w:id="94"/>
      <w:bookmarkEnd w:id="95"/>
      <w:bookmarkEnd w:id="96"/>
    </w:p>
    <w:p w14:paraId="4160A21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97" w:name="_Toc505149866"/>
      <w:bookmarkStart w:id="98" w:name="_Toc493082571"/>
      <w:bookmarkStart w:id="99" w:name="_Toc79007381"/>
      <w:r>
        <w:rPr>
          <w:rFonts w:hint="eastAsia" w:ascii="宋体" w:hAnsi="宋体" w:eastAsia="宋体" w:cs="宋体"/>
          <w:snapToGrid w:val="0"/>
          <w:color w:val="000000"/>
          <w:kern w:val="0"/>
          <w:sz w:val="24"/>
          <w:szCs w:val="24"/>
          <w:highlight w:val="none"/>
        </w:rPr>
        <w:t>2.1遵守法律</w:t>
      </w:r>
      <w:bookmarkEnd w:id="97"/>
      <w:bookmarkEnd w:id="98"/>
      <w:bookmarkEnd w:id="99"/>
    </w:p>
    <w:p w14:paraId="0A69584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委托人在履行合同过程中应遵守法律，并保证监理人免于承担因委托人违反法律而引起的任何责任。</w:t>
      </w:r>
    </w:p>
    <w:p w14:paraId="5A180AD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00" w:name="_Toc79007382"/>
      <w:bookmarkStart w:id="101" w:name="_Toc493082572"/>
      <w:bookmarkStart w:id="102" w:name="_Toc505149867"/>
      <w:r>
        <w:rPr>
          <w:rFonts w:hint="eastAsia" w:ascii="宋体" w:hAnsi="宋体" w:eastAsia="宋体" w:cs="宋体"/>
          <w:snapToGrid w:val="0"/>
          <w:color w:val="000000"/>
          <w:kern w:val="0"/>
          <w:sz w:val="24"/>
          <w:szCs w:val="24"/>
          <w:highlight w:val="none"/>
        </w:rPr>
        <w:t>2.2发出开始监理通知</w:t>
      </w:r>
      <w:bookmarkEnd w:id="100"/>
      <w:bookmarkEnd w:id="101"/>
      <w:bookmarkEnd w:id="102"/>
    </w:p>
    <w:p w14:paraId="3EC6CA3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委托人应按第6.1款的约定向监理人发出开始监理通知。</w:t>
      </w:r>
    </w:p>
    <w:p w14:paraId="2DEBA4F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除专用合同条款另有约定外，委托人应为监理人的现场人员，在施工期间提供办公房间、办公桌椅、互联网接口、冷暖设施、生活设施、进出现场交通服务和其他便利条件。</w:t>
      </w:r>
    </w:p>
    <w:p w14:paraId="3153B29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03" w:name="_Toc79007383"/>
      <w:bookmarkStart w:id="104" w:name="_Toc493082573"/>
      <w:bookmarkStart w:id="105" w:name="_Toc505149868"/>
      <w:r>
        <w:rPr>
          <w:rFonts w:hint="eastAsia" w:ascii="宋体" w:hAnsi="宋体" w:eastAsia="宋体" w:cs="宋体"/>
          <w:snapToGrid w:val="0"/>
          <w:color w:val="000000"/>
          <w:kern w:val="0"/>
          <w:sz w:val="24"/>
          <w:szCs w:val="24"/>
          <w:highlight w:val="none"/>
        </w:rPr>
        <w:t>2.3办理证件和批件</w:t>
      </w:r>
      <w:bookmarkEnd w:id="103"/>
      <w:bookmarkEnd w:id="104"/>
      <w:bookmarkEnd w:id="105"/>
    </w:p>
    <w:p w14:paraId="636FADE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法律规定和（或）合同约定由委托人负责办理的工程建设项目必须履行的各类审批、核准或备案手续，委托人应当按时办理，监理人应给予必要的协助。</w:t>
      </w:r>
    </w:p>
    <w:p w14:paraId="75C1FDF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法律规定和（或）合同约定由监理人负责办理的监理所需的证件和批件，委托人应给予必要的协助。</w:t>
      </w:r>
    </w:p>
    <w:p w14:paraId="659BBA0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06" w:name="_Toc505149869"/>
      <w:bookmarkStart w:id="107" w:name="_Toc79007384"/>
      <w:bookmarkStart w:id="108" w:name="_Toc493082574"/>
      <w:r>
        <w:rPr>
          <w:rFonts w:hint="eastAsia" w:ascii="宋体" w:hAnsi="宋体" w:eastAsia="宋体" w:cs="宋体"/>
          <w:snapToGrid w:val="0"/>
          <w:color w:val="000000"/>
          <w:kern w:val="0"/>
          <w:sz w:val="24"/>
          <w:szCs w:val="24"/>
          <w:highlight w:val="none"/>
        </w:rPr>
        <w:t>2.4支付合同价款</w:t>
      </w:r>
      <w:bookmarkEnd w:id="106"/>
      <w:bookmarkEnd w:id="107"/>
      <w:bookmarkEnd w:id="108"/>
    </w:p>
    <w:p w14:paraId="719B6EA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委托人应按合同约定向监理人及时支付合同价款。</w:t>
      </w:r>
    </w:p>
    <w:p w14:paraId="7E1A561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09" w:name="_Toc493082575"/>
      <w:bookmarkStart w:id="110" w:name="_Toc505149870"/>
      <w:bookmarkStart w:id="111" w:name="_Toc79007385"/>
      <w:r>
        <w:rPr>
          <w:rFonts w:hint="eastAsia" w:ascii="宋体" w:hAnsi="宋体" w:eastAsia="宋体" w:cs="宋体"/>
          <w:snapToGrid w:val="0"/>
          <w:color w:val="000000"/>
          <w:kern w:val="0"/>
          <w:sz w:val="24"/>
          <w:szCs w:val="24"/>
          <w:highlight w:val="none"/>
        </w:rPr>
        <w:t>2.5提供监理资料</w:t>
      </w:r>
      <w:bookmarkEnd w:id="109"/>
      <w:bookmarkEnd w:id="110"/>
      <w:bookmarkEnd w:id="111"/>
    </w:p>
    <w:p w14:paraId="6D450BF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委托人应按第1.6.2项的约定向监理人提供监理资料。</w:t>
      </w:r>
    </w:p>
    <w:p w14:paraId="3FFC812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12" w:name="_Toc79007386"/>
      <w:bookmarkStart w:id="113" w:name="_Toc505149871"/>
      <w:bookmarkStart w:id="114" w:name="_Toc493082576"/>
      <w:r>
        <w:rPr>
          <w:rFonts w:hint="eastAsia" w:ascii="宋体" w:hAnsi="宋体" w:eastAsia="宋体" w:cs="宋体"/>
          <w:snapToGrid w:val="0"/>
          <w:color w:val="000000"/>
          <w:kern w:val="0"/>
          <w:sz w:val="24"/>
          <w:szCs w:val="24"/>
          <w:highlight w:val="none"/>
        </w:rPr>
        <w:t>2.6其他义务</w:t>
      </w:r>
      <w:bookmarkEnd w:id="112"/>
      <w:bookmarkEnd w:id="113"/>
      <w:bookmarkEnd w:id="114"/>
    </w:p>
    <w:p w14:paraId="4C29D52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委托人应履行合同约定的其他义务。</w:t>
      </w:r>
    </w:p>
    <w:p w14:paraId="1CD3511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15" w:name="_Toc505149872"/>
      <w:bookmarkStart w:id="116" w:name="_Toc79007387"/>
      <w:bookmarkStart w:id="117" w:name="_Toc493082577"/>
      <w:r>
        <w:rPr>
          <w:rFonts w:hint="eastAsia" w:ascii="宋体" w:hAnsi="宋体" w:eastAsia="宋体" w:cs="宋体"/>
          <w:snapToGrid w:val="0"/>
          <w:color w:val="000000"/>
          <w:kern w:val="0"/>
          <w:sz w:val="24"/>
          <w:szCs w:val="24"/>
          <w:highlight w:val="none"/>
        </w:rPr>
        <w:t>3.委托人管理</w:t>
      </w:r>
      <w:bookmarkEnd w:id="115"/>
      <w:bookmarkEnd w:id="116"/>
      <w:bookmarkEnd w:id="117"/>
    </w:p>
    <w:p w14:paraId="419CC8A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18" w:name="_Toc505149873"/>
      <w:bookmarkStart w:id="119" w:name="_Toc79007388"/>
      <w:bookmarkStart w:id="120" w:name="_Toc493082578"/>
      <w:r>
        <w:rPr>
          <w:rFonts w:hint="eastAsia" w:ascii="宋体" w:hAnsi="宋体" w:eastAsia="宋体" w:cs="宋体"/>
          <w:snapToGrid w:val="0"/>
          <w:color w:val="000000"/>
          <w:kern w:val="0"/>
          <w:sz w:val="24"/>
          <w:szCs w:val="24"/>
          <w:highlight w:val="none"/>
        </w:rPr>
        <w:t>3.1委托人代表</w:t>
      </w:r>
      <w:bookmarkEnd w:id="118"/>
      <w:bookmarkEnd w:id="119"/>
      <w:bookmarkEnd w:id="120"/>
    </w:p>
    <w:p w14:paraId="52851F7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3.1.1除专用合同条款另有约定外，委托人应在合同签订后14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3909D38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14:paraId="1FDA074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3.1.3委托人更换委托人代表的，应提前14天将更换人员的姓名、职务、联系方式、授权范围和授权期限书面通知监理人。委托人代表超过2天不能履行职责的，应委派代表代行其职责，并通知监理人。</w:t>
      </w:r>
    </w:p>
    <w:p w14:paraId="4E5B903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21" w:name="_Toc493082579"/>
      <w:bookmarkStart w:id="122" w:name="_Toc505149874"/>
      <w:bookmarkStart w:id="123" w:name="_Toc79007389"/>
      <w:r>
        <w:rPr>
          <w:rFonts w:hint="eastAsia" w:ascii="宋体" w:hAnsi="宋体" w:eastAsia="宋体" w:cs="宋体"/>
          <w:snapToGrid w:val="0"/>
          <w:color w:val="000000"/>
          <w:kern w:val="0"/>
          <w:sz w:val="24"/>
          <w:szCs w:val="24"/>
          <w:highlight w:val="none"/>
        </w:rPr>
        <w:t>3.2委托人的指示</w:t>
      </w:r>
      <w:bookmarkEnd w:id="121"/>
      <w:bookmarkEnd w:id="122"/>
      <w:bookmarkEnd w:id="123"/>
    </w:p>
    <w:p w14:paraId="0F7CA8F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3.2.1委托人应按合同约定向监理人发出指示，委托人的指示应盖有委托人单位章，并由委托人代表签字确认。</w:t>
      </w:r>
    </w:p>
    <w:p w14:paraId="6892D9D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3.2.2监理人收到委托人作出的指示后应遵照执行。指示构成变更的，应按第8条执行。</w:t>
      </w:r>
    </w:p>
    <w:p w14:paraId="7728B76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3.2.3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14:paraId="0798EC6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3.2.4由于委托人未能按合同约定发出指示、指示延误或指示错误而导致监理人费用增加和（或）周期延误的，委托人应承担由此增加的费用和（或）周期延误。</w:t>
      </w:r>
    </w:p>
    <w:p w14:paraId="56F2074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24" w:name="_Toc79007390"/>
      <w:bookmarkStart w:id="125" w:name="_Toc493082580"/>
      <w:bookmarkStart w:id="126" w:name="_Toc505149875"/>
      <w:r>
        <w:rPr>
          <w:rFonts w:hint="eastAsia" w:ascii="宋体" w:hAnsi="宋体" w:eastAsia="宋体" w:cs="宋体"/>
          <w:snapToGrid w:val="0"/>
          <w:color w:val="000000"/>
          <w:kern w:val="0"/>
          <w:sz w:val="24"/>
          <w:szCs w:val="24"/>
          <w:highlight w:val="none"/>
        </w:rPr>
        <w:t>3.3决定或答复</w:t>
      </w:r>
      <w:bookmarkEnd w:id="124"/>
      <w:bookmarkEnd w:id="125"/>
      <w:bookmarkEnd w:id="126"/>
    </w:p>
    <w:p w14:paraId="5F2A829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3.3.1委托人在法律允许的范围内有权对监理人的监理工作和/或监理文件作出处理决定，监理人应按照委托人的决定执行，涉及监理服务期限或监理报酬等问题按第8条的约定处理。</w:t>
      </w:r>
    </w:p>
    <w:p w14:paraId="2E74E86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3.3.2委托人应在专用合同条款约定的时间之内，对监理人书面提出的事项作出书面答复；逾期没有做出答复的，视为已获得委托人的批准。</w:t>
      </w:r>
    </w:p>
    <w:p w14:paraId="5A80918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27" w:name="_Toc493082581"/>
      <w:bookmarkStart w:id="128" w:name="_Toc505149876"/>
      <w:bookmarkStart w:id="129" w:name="_Toc79007391"/>
      <w:r>
        <w:rPr>
          <w:rFonts w:hint="eastAsia" w:ascii="宋体" w:hAnsi="宋体" w:eastAsia="宋体" w:cs="宋体"/>
          <w:snapToGrid w:val="0"/>
          <w:color w:val="000000"/>
          <w:kern w:val="0"/>
          <w:sz w:val="24"/>
          <w:szCs w:val="24"/>
          <w:highlight w:val="none"/>
        </w:rPr>
        <w:t>4.监理人义务</w:t>
      </w:r>
      <w:bookmarkEnd w:id="127"/>
      <w:bookmarkEnd w:id="128"/>
      <w:bookmarkEnd w:id="129"/>
    </w:p>
    <w:p w14:paraId="1405D54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30" w:name="_Toc79007392"/>
      <w:bookmarkStart w:id="131" w:name="_Toc505149877"/>
      <w:bookmarkStart w:id="132" w:name="_Toc493082582"/>
      <w:r>
        <w:rPr>
          <w:rFonts w:hint="eastAsia" w:ascii="宋体" w:hAnsi="宋体" w:eastAsia="宋体" w:cs="宋体"/>
          <w:snapToGrid w:val="0"/>
          <w:color w:val="000000"/>
          <w:kern w:val="0"/>
          <w:sz w:val="24"/>
          <w:szCs w:val="24"/>
          <w:highlight w:val="none"/>
        </w:rPr>
        <w:t>4.1监理人的一般义务</w:t>
      </w:r>
      <w:bookmarkEnd w:id="130"/>
      <w:bookmarkEnd w:id="131"/>
      <w:bookmarkEnd w:id="132"/>
    </w:p>
    <w:p w14:paraId="560ED274">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4.1.1遵守法律</w:t>
      </w:r>
    </w:p>
    <w:p w14:paraId="5CFCD8C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监理人在履行合同过程中应遵守法律，并保证委托人免于承担因监理人违反法律而引起的任何责任。</w:t>
      </w:r>
    </w:p>
    <w:p w14:paraId="5C027C5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4.1.2依法纳税</w:t>
      </w:r>
    </w:p>
    <w:p w14:paraId="4C3D5ED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监理人应按有关法律规定纳税，应缴纳的税金（含增值税）包括在合同价格之中。</w:t>
      </w:r>
    </w:p>
    <w:p w14:paraId="2000294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4.1.3完成全部监理工作</w:t>
      </w:r>
    </w:p>
    <w:p w14:paraId="0AD8927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监理人应按合同约定以及委托人要求，完成合同约定的全部工作，并对工作中的任何缺陷进行整改，使其满足合同约定的目的。</w:t>
      </w:r>
    </w:p>
    <w:p w14:paraId="68A2CA9A">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4.1.4其他义务</w:t>
      </w:r>
    </w:p>
    <w:p w14:paraId="5AD659F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监理人应履行合同约定的其他义务。</w:t>
      </w:r>
    </w:p>
    <w:p w14:paraId="1D6632A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33" w:name="_Toc505149878"/>
      <w:bookmarkStart w:id="134" w:name="_Toc493082583"/>
      <w:bookmarkStart w:id="135" w:name="_Toc79007393"/>
      <w:r>
        <w:rPr>
          <w:rFonts w:hint="eastAsia" w:ascii="宋体" w:hAnsi="宋体" w:eastAsia="宋体" w:cs="宋体"/>
          <w:snapToGrid w:val="0"/>
          <w:color w:val="000000"/>
          <w:kern w:val="0"/>
          <w:sz w:val="24"/>
          <w:szCs w:val="24"/>
          <w:highlight w:val="none"/>
        </w:rPr>
        <w:t>4.2履约保证金</w:t>
      </w:r>
      <w:bookmarkEnd w:id="133"/>
      <w:bookmarkEnd w:id="134"/>
      <w:bookmarkEnd w:id="135"/>
    </w:p>
    <w:p w14:paraId="0D4B817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p w14:paraId="73C61BC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36" w:name="_Toc505149879"/>
      <w:bookmarkStart w:id="137" w:name="_Toc79007394"/>
      <w:bookmarkStart w:id="138" w:name="_Toc493082584"/>
      <w:r>
        <w:rPr>
          <w:rFonts w:hint="eastAsia" w:ascii="宋体" w:hAnsi="宋体" w:eastAsia="宋体" w:cs="宋体"/>
          <w:snapToGrid w:val="0"/>
          <w:color w:val="000000"/>
          <w:kern w:val="0"/>
          <w:sz w:val="24"/>
          <w:szCs w:val="24"/>
          <w:highlight w:val="none"/>
        </w:rPr>
        <w:t>4.3联合体</w:t>
      </w:r>
      <w:bookmarkEnd w:id="136"/>
      <w:bookmarkEnd w:id="137"/>
      <w:bookmarkEnd w:id="138"/>
    </w:p>
    <w:p w14:paraId="6130D52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4.3.1联合体各方应共同与委托人签订合同。联合体各方应为履行合同承担连带责任。</w:t>
      </w:r>
    </w:p>
    <w:p w14:paraId="3EC40F9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4.3.2联合体协议经委托人确认后作为合同附件。在履行合同过程中，未经委托人同意，不得修改联合体协议。</w:t>
      </w:r>
    </w:p>
    <w:p w14:paraId="45D7D6B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4.3.3联合体牵头人或联合体授权的代表负责与委托人联系，并接受指示，负责组织联合体各成员全面履行合同。</w:t>
      </w:r>
    </w:p>
    <w:p w14:paraId="4FB7523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39" w:name="_Toc493082585"/>
      <w:bookmarkStart w:id="140" w:name="_Toc505149880"/>
      <w:bookmarkStart w:id="141" w:name="_Toc79007395"/>
      <w:r>
        <w:rPr>
          <w:rFonts w:hint="eastAsia" w:ascii="宋体" w:hAnsi="宋体" w:eastAsia="宋体" w:cs="宋体"/>
          <w:snapToGrid w:val="0"/>
          <w:color w:val="000000"/>
          <w:kern w:val="0"/>
          <w:sz w:val="24"/>
          <w:szCs w:val="24"/>
          <w:highlight w:val="none"/>
        </w:rPr>
        <w:t>4.4总监理工程师</w:t>
      </w:r>
      <w:bookmarkEnd w:id="139"/>
      <w:bookmarkEnd w:id="140"/>
      <w:bookmarkEnd w:id="141"/>
    </w:p>
    <w:p w14:paraId="1585EC6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4.4.1监理人应按合同协议书的约定指派总监理工程师，并在约定的期限内到职。监理人更换总监理工程师应事先征得委托人同意，并应在更换14天前将拟更换的总监理工程师的姓名和详细资料提交委托人</w:t>
      </w: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更换的总监理工程师须满足投标总监理工程师资质、职称和业绩要求。</w:t>
      </w:r>
      <w:r>
        <w:rPr>
          <w:rFonts w:hint="eastAsia" w:ascii="宋体" w:hAnsi="宋体" w:eastAsia="宋体" w:cs="宋体"/>
          <w:snapToGrid w:val="0"/>
          <w:color w:val="000000"/>
          <w:kern w:val="0"/>
          <w:sz w:val="24"/>
          <w:szCs w:val="24"/>
          <w:highlight w:val="none"/>
        </w:rPr>
        <w:t>总监理工程师2天内不能履行职责的，应事先征得委托人同意，并委派代表代行其职责。</w:t>
      </w:r>
    </w:p>
    <w:p w14:paraId="040A2DC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14:paraId="1D59072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4.4.3监理人为履行合同发出的一切函件均应盖有监理人单位章或由监理人授权的项目机构章，并由监理人的总监理工程师签字确认。</w:t>
      </w:r>
    </w:p>
    <w:p w14:paraId="13C9C9C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4.4.4按照专用合同条款约定，总监理工程师可以授权其下属人员履行其某项职责，但事先应将这些人员的姓名和授权范围书面通知委托人和承包人。</w:t>
      </w:r>
    </w:p>
    <w:p w14:paraId="531F17E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42" w:name="_Toc79007396"/>
      <w:bookmarkStart w:id="143" w:name="_Toc493082586"/>
      <w:bookmarkStart w:id="144" w:name="_Toc505149881"/>
      <w:r>
        <w:rPr>
          <w:rFonts w:hint="eastAsia" w:ascii="宋体" w:hAnsi="宋体" w:eastAsia="宋体" w:cs="宋体"/>
          <w:snapToGrid w:val="0"/>
          <w:color w:val="000000"/>
          <w:kern w:val="0"/>
          <w:sz w:val="24"/>
          <w:szCs w:val="24"/>
          <w:highlight w:val="none"/>
        </w:rPr>
        <w:t>4.5监理人员的管理</w:t>
      </w:r>
      <w:bookmarkEnd w:id="142"/>
      <w:bookmarkEnd w:id="143"/>
      <w:bookmarkEnd w:id="144"/>
    </w:p>
    <w:p w14:paraId="268AF68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4.5.1监理人应在接到开始监理通知之日起7天内，向委托人提交监理项目机构以及人员安排的报告，其内容应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14:paraId="45B03DB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4.5.2除专用合同条款另有约定外，主要监理人员包括总监理工程师、专业监理工程师等；其他人员包括各专业的监理员、资料员等。</w:t>
      </w:r>
    </w:p>
    <w:p w14:paraId="28FB3AD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4.5.3监理人应保证其主要监理人员在合同期限内的任何时候，都能按时参加委托人组织的工作会议。</w:t>
      </w:r>
    </w:p>
    <w:p w14:paraId="078BFB9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4.5.4国家规定应当持证上岗的工作人员均应持有相应的资格证明，委托人有权随时检查。委托人认为有必要时，可以进行现场考核。</w:t>
      </w:r>
    </w:p>
    <w:p w14:paraId="424573F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45" w:name="_Toc79007397"/>
      <w:bookmarkStart w:id="146" w:name="_Toc505149882"/>
      <w:bookmarkStart w:id="147" w:name="_Toc493082587"/>
      <w:r>
        <w:rPr>
          <w:rFonts w:hint="eastAsia" w:ascii="宋体" w:hAnsi="宋体" w:eastAsia="宋体" w:cs="宋体"/>
          <w:snapToGrid w:val="0"/>
          <w:color w:val="000000"/>
          <w:kern w:val="0"/>
          <w:sz w:val="24"/>
          <w:szCs w:val="24"/>
          <w:highlight w:val="none"/>
        </w:rPr>
        <w:t>4.6撤换总监理工程师和其他人员</w:t>
      </w:r>
      <w:bookmarkEnd w:id="145"/>
      <w:bookmarkEnd w:id="146"/>
      <w:bookmarkEnd w:id="147"/>
    </w:p>
    <w:p w14:paraId="4A09D5B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监理人应对其总监理工程师和其他人员进行有效管理。委托人要求撤换不能胜任本职工作、行为不端或玩忽职守的总监理工程师和其他人员的，监理人应予以撤换。</w:t>
      </w:r>
    </w:p>
    <w:p w14:paraId="3FB8E20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48" w:name="_Toc493082588"/>
      <w:bookmarkStart w:id="149" w:name="_Toc505149883"/>
      <w:bookmarkStart w:id="150" w:name="_Toc79007398"/>
      <w:r>
        <w:rPr>
          <w:rFonts w:hint="eastAsia" w:ascii="宋体" w:hAnsi="宋体" w:eastAsia="宋体" w:cs="宋体"/>
          <w:snapToGrid w:val="0"/>
          <w:color w:val="000000"/>
          <w:kern w:val="0"/>
          <w:sz w:val="24"/>
          <w:szCs w:val="24"/>
          <w:highlight w:val="none"/>
        </w:rPr>
        <w:t>4.7保障人员的合法权益</w:t>
      </w:r>
      <w:bookmarkEnd w:id="148"/>
      <w:bookmarkEnd w:id="149"/>
      <w:bookmarkEnd w:id="150"/>
    </w:p>
    <w:p w14:paraId="49752C6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4.7.1监理人应与其雇佣的人员签订劳动合同，并按时发放工资。</w:t>
      </w:r>
    </w:p>
    <w:p w14:paraId="627438F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4.7.2监理人应按劳动法的规定安排工作时间，保证其雇佣人员享有休息和休假的权利。因监理需要占用休假日或延长工作时间的，应不超过法律规定的限度，并按法律规定给予补休或付酬。</w:t>
      </w:r>
    </w:p>
    <w:p w14:paraId="75635AE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4.7.3监理人应按有关法律规定和合同约定，为其雇佣人员办理保险。</w:t>
      </w:r>
    </w:p>
    <w:p w14:paraId="7CEF1DB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51" w:name="_Toc79007399"/>
      <w:bookmarkStart w:id="152" w:name="_Toc493082589"/>
      <w:bookmarkStart w:id="153" w:name="_Toc505149884"/>
      <w:r>
        <w:rPr>
          <w:rFonts w:hint="eastAsia" w:ascii="宋体" w:hAnsi="宋体" w:eastAsia="宋体" w:cs="宋体"/>
          <w:snapToGrid w:val="0"/>
          <w:color w:val="000000"/>
          <w:kern w:val="0"/>
          <w:sz w:val="24"/>
          <w:szCs w:val="24"/>
          <w:highlight w:val="none"/>
        </w:rPr>
        <w:t>4.8合同价款应专款专用</w:t>
      </w:r>
      <w:bookmarkEnd w:id="151"/>
      <w:bookmarkEnd w:id="152"/>
      <w:bookmarkEnd w:id="153"/>
    </w:p>
    <w:p w14:paraId="6A105ED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委托人按合同约定支付给监理人的各项价款，应专用于合同监理工作。</w:t>
      </w:r>
    </w:p>
    <w:p w14:paraId="710320C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54" w:name="_Toc505149885"/>
      <w:bookmarkStart w:id="155" w:name="_Toc493082590"/>
      <w:bookmarkStart w:id="156" w:name="_Toc79007400"/>
      <w:r>
        <w:rPr>
          <w:rFonts w:hint="eastAsia" w:ascii="宋体" w:hAnsi="宋体" w:eastAsia="宋体" w:cs="宋体"/>
          <w:snapToGrid w:val="0"/>
          <w:color w:val="000000"/>
          <w:kern w:val="0"/>
          <w:sz w:val="24"/>
          <w:szCs w:val="24"/>
          <w:highlight w:val="none"/>
        </w:rPr>
        <w:t>5.监理要求</w:t>
      </w:r>
      <w:bookmarkEnd w:id="154"/>
      <w:bookmarkEnd w:id="155"/>
      <w:bookmarkEnd w:id="156"/>
    </w:p>
    <w:p w14:paraId="1AFD9AE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57" w:name="_Toc79007401"/>
      <w:bookmarkStart w:id="158" w:name="_Toc493082591"/>
      <w:bookmarkStart w:id="159" w:name="_Toc505149886"/>
      <w:r>
        <w:rPr>
          <w:rFonts w:hint="eastAsia" w:ascii="宋体" w:hAnsi="宋体" w:eastAsia="宋体" w:cs="宋体"/>
          <w:snapToGrid w:val="0"/>
          <w:color w:val="000000"/>
          <w:kern w:val="0"/>
          <w:sz w:val="24"/>
          <w:szCs w:val="24"/>
          <w:highlight w:val="none"/>
        </w:rPr>
        <w:t>5.1监理范围</w:t>
      </w:r>
      <w:bookmarkEnd w:id="157"/>
      <w:bookmarkEnd w:id="158"/>
      <w:bookmarkEnd w:id="159"/>
    </w:p>
    <w:p w14:paraId="0D55C2C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5.1.1本合同的监理范围包括工程范围、阶段范围和工作范围，具体监理范围应当根据三者之间的关联内容进行确定。</w:t>
      </w:r>
    </w:p>
    <w:p w14:paraId="205949B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5.1.2工程范围指所监理工程的建设内容，具体范围在专用合同条款中约定。</w:t>
      </w:r>
    </w:p>
    <w:p w14:paraId="3B284F1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5.1.3阶段范围指工程建设程序中的勘察阶段、设计阶段、施工阶段、缺陷责任期及保修阶段中的一个或者多个阶段，具体范围在专用合同条款中约定。</w:t>
      </w:r>
    </w:p>
    <w:p w14:paraId="0E3C69E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5.1.4工作范围指监理工作中的质量控制、进度控制、投资控制、合同管理、信息管理、组织协调和安全监理、环保监理中的一项或者多项工作，具体范围在专用合同条款中约定。</w:t>
      </w:r>
    </w:p>
    <w:p w14:paraId="1817802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60" w:name="_Toc493082592"/>
      <w:bookmarkStart w:id="161" w:name="_Toc505149887"/>
      <w:bookmarkStart w:id="162" w:name="_Toc79007402"/>
      <w:r>
        <w:rPr>
          <w:rFonts w:hint="eastAsia" w:ascii="宋体" w:hAnsi="宋体" w:eastAsia="宋体" w:cs="宋体"/>
          <w:snapToGrid w:val="0"/>
          <w:color w:val="000000"/>
          <w:kern w:val="0"/>
          <w:sz w:val="24"/>
          <w:szCs w:val="24"/>
          <w:highlight w:val="none"/>
        </w:rPr>
        <w:t>5.2监理依据</w:t>
      </w:r>
      <w:bookmarkEnd w:id="160"/>
      <w:bookmarkEnd w:id="161"/>
      <w:bookmarkEnd w:id="162"/>
    </w:p>
    <w:p w14:paraId="40045BD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除专用合同条款另有约定外，本工程的监理依据如下：</w:t>
      </w:r>
    </w:p>
    <w:p w14:paraId="7D4E6CE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适用的法律、行政法规及部门规章；</w:t>
      </w:r>
    </w:p>
    <w:p w14:paraId="137B64F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与工程有关的规范、标准、规程；</w:t>
      </w:r>
    </w:p>
    <w:p w14:paraId="1E1F85A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工程勘察文件、设计文件及其他文件；</w:t>
      </w:r>
    </w:p>
    <w:p w14:paraId="1B9CFA3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本工程监理的委托合同及补充合同；</w:t>
      </w:r>
    </w:p>
    <w:p w14:paraId="47A14E3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委托人签订的勘察、设计和施工承包合同；</w:t>
      </w:r>
    </w:p>
    <w:p w14:paraId="1D0FDD3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合同履行中与监理服务有关的来往函件；</w:t>
      </w:r>
    </w:p>
    <w:p w14:paraId="67E87A8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其他监理依据。</w:t>
      </w:r>
    </w:p>
    <w:p w14:paraId="0E21C59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63" w:name="_Toc505149888"/>
      <w:bookmarkStart w:id="164" w:name="_Toc79007403"/>
      <w:bookmarkStart w:id="165" w:name="_Toc493082593"/>
      <w:r>
        <w:rPr>
          <w:rFonts w:hint="eastAsia" w:ascii="宋体" w:hAnsi="宋体" w:eastAsia="宋体" w:cs="宋体"/>
          <w:snapToGrid w:val="0"/>
          <w:color w:val="000000"/>
          <w:kern w:val="0"/>
          <w:sz w:val="24"/>
          <w:szCs w:val="24"/>
          <w:highlight w:val="none"/>
        </w:rPr>
        <w:t>5.3监理内容</w:t>
      </w:r>
      <w:bookmarkEnd w:id="163"/>
      <w:bookmarkEnd w:id="164"/>
      <w:bookmarkEnd w:id="165"/>
    </w:p>
    <w:p w14:paraId="7524965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除专用条件另有约定外，监理工作内容包括：</w:t>
      </w:r>
    </w:p>
    <w:p w14:paraId="1EACD01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（1）收到工程设计文件后编制监理规划，并在第一次工地会议7天前报委托人。根据有关规定和监理工作需要，编制监理实施细则；</w:t>
      </w:r>
    </w:p>
    <w:p w14:paraId="40EE301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（2）熟悉工程设计文件，并参加由委托人主持的图纸会审和设计交底会议；</w:t>
      </w:r>
    </w:p>
    <w:p w14:paraId="3CF2EE6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（3）参加由委托人主持的第一次工地会议；主持监理例会并根据工程需要主持或参加专题会议；</w:t>
      </w:r>
    </w:p>
    <w:p w14:paraId="2D324E4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（4）审查施工承包人提交的施工组织设计，重点审查其中的质量安全技术措施、专项施工方案与工程建设强制性标准的符合性；</w:t>
      </w:r>
    </w:p>
    <w:p w14:paraId="3329355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（5）检查施工承包人工程质量、安全生产管理制度及组织机构和人员资格；</w:t>
      </w:r>
    </w:p>
    <w:p w14:paraId="64F60B1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（6）检查施工承包人专职安全生产管理人员的配备情况；</w:t>
      </w:r>
    </w:p>
    <w:p w14:paraId="606C700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（7）审查施工承包人提交的施工进度计划，核查承包人对施工进度计划的调整；</w:t>
      </w:r>
    </w:p>
    <w:p w14:paraId="1956620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（8）检查施工承包人的试验室；</w:t>
      </w:r>
    </w:p>
    <w:p w14:paraId="71380B6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（9）审核施工分包人资质条件；</w:t>
      </w:r>
    </w:p>
    <w:p w14:paraId="5517F03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（10）查验施工承包人的施工测量放线成果；</w:t>
      </w:r>
    </w:p>
    <w:p w14:paraId="4FAA56B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（11）审查工程开工条件，对条件具备的签发开工令；</w:t>
      </w:r>
    </w:p>
    <w:p w14:paraId="3E2982D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（12）审查施工承包人报送的工程材料、构配件、设备质量证明文件的有效性和符合性，并按规定对用于工程的材料采取平行检验或见证取样方式进行抽检；</w:t>
      </w:r>
    </w:p>
    <w:p w14:paraId="7EEAEB1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（13）审核施工承包人提交的工程款支付申请，签发或出具工程款支付证书，并报委托人审核、批准；</w:t>
      </w:r>
    </w:p>
    <w:p w14:paraId="5D8EE76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（14）在巡视、旁站和检验过程中，发现工程质量、施工安全存在事故隐患的，要求施工承包人整改并报委托人；</w:t>
      </w:r>
    </w:p>
    <w:p w14:paraId="2B0872C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（15）经委托人同意，签发工程暂停令和复工令；</w:t>
      </w:r>
    </w:p>
    <w:p w14:paraId="157AEB1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（16）审查施工承包人提交的采用新材料、新工艺、新技术、新设备的论证材料及相关验收标准；</w:t>
      </w:r>
    </w:p>
    <w:p w14:paraId="06FB11C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（17）验收隐蔽工程、分部分项工程；</w:t>
      </w:r>
    </w:p>
    <w:p w14:paraId="04DEC21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（18）审查施工承包人提交的工程变更申请，协调处理施工进度调整、费用索赔、合同争议等事项；</w:t>
      </w:r>
    </w:p>
    <w:p w14:paraId="0666D89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（19）审查施工承包人提交的竣工验收申请，编写工程质量评估报告；</w:t>
      </w:r>
    </w:p>
    <w:p w14:paraId="52574B5A">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（20）参加工程竣工验收，签署竣工验收意见；</w:t>
      </w:r>
    </w:p>
    <w:p w14:paraId="2B2ECD8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（21）审查施工承包人提交的竣工结算申请并报委托人；</w:t>
      </w:r>
    </w:p>
    <w:p w14:paraId="484FA34A">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（22）编制、整理工程监理归档文件并报委托人。</w:t>
      </w:r>
    </w:p>
    <w:p w14:paraId="2065DE3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66" w:name="_Toc505149889"/>
      <w:bookmarkStart w:id="167" w:name="_Toc79007404"/>
      <w:bookmarkStart w:id="168" w:name="_Toc493082594"/>
      <w:r>
        <w:rPr>
          <w:rFonts w:hint="eastAsia" w:ascii="宋体" w:hAnsi="宋体" w:eastAsia="宋体" w:cs="宋体"/>
          <w:snapToGrid w:val="0"/>
          <w:color w:val="000000"/>
          <w:kern w:val="0"/>
          <w:sz w:val="24"/>
          <w:szCs w:val="24"/>
          <w:highlight w:val="none"/>
        </w:rPr>
        <w:t>5.4监理文件要求</w:t>
      </w:r>
      <w:bookmarkEnd w:id="166"/>
      <w:bookmarkEnd w:id="167"/>
      <w:bookmarkEnd w:id="168"/>
    </w:p>
    <w:p w14:paraId="49DB1B9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5.4.1监理文件的编制应符合法律、规范标准的强制性规定和委托人要求，相关的监理依据应当完整准确，文件内容和相应数据应当真实可靠。</w:t>
      </w:r>
    </w:p>
    <w:p w14:paraId="49EBA25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5.4.2监理文件的深度应满足本阶段相应监理工作的规定要求，满足委托人的下步工作需要，并应符合国家和行业现行规定。</w:t>
      </w:r>
    </w:p>
    <w:p w14:paraId="7736C15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5.4.3本工程监理文件的具体类别、编制要求、编制内容、提交时间和份数等，在专用合同条款中约定。</w:t>
      </w:r>
    </w:p>
    <w:p w14:paraId="53B9465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69" w:name="_Toc79007405"/>
      <w:bookmarkStart w:id="170" w:name="_Toc505149890"/>
      <w:bookmarkStart w:id="171" w:name="_Toc493082595"/>
      <w:r>
        <w:rPr>
          <w:rFonts w:hint="eastAsia" w:ascii="宋体" w:hAnsi="宋体" w:eastAsia="宋体" w:cs="宋体"/>
          <w:snapToGrid w:val="0"/>
          <w:color w:val="000000"/>
          <w:kern w:val="0"/>
          <w:sz w:val="24"/>
          <w:szCs w:val="24"/>
          <w:highlight w:val="none"/>
        </w:rPr>
        <w:t>6.开始监理和完成监理</w:t>
      </w:r>
      <w:bookmarkEnd w:id="169"/>
      <w:bookmarkEnd w:id="170"/>
      <w:bookmarkEnd w:id="171"/>
    </w:p>
    <w:p w14:paraId="5FE9877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72" w:name="_Toc79007406"/>
      <w:bookmarkStart w:id="173" w:name="_Toc505149891"/>
      <w:bookmarkStart w:id="174" w:name="_Toc493082596"/>
      <w:r>
        <w:rPr>
          <w:rFonts w:hint="eastAsia" w:ascii="宋体" w:hAnsi="宋体" w:eastAsia="宋体" w:cs="宋体"/>
          <w:snapToGrid w:val="0"/>
          <w:color w:val="000000"/>
          <w:kern w:val="0"/>
          <w:sz w:val="24"/>
          <w:szCs w:val="24"/>
          <w:highlight w:val="none"/>
        </w:rPr>
        <w:t>6.1开始监理</w:t>
      </w:r>
      <w:bookmarkEnd w:id="172"/>
      <w:bookmarkEnd w:id="173"/>
      <w:bookmarkEnd w:id="174"/>
    </w:p>
    <w:p w14:paraId="7CA37C1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6.1.1符合专用合同条款约定的开始监理条件的，委托人应提前7天向监理人发出开始监理通知。监理服务期限自开始监理通知中载明的开始监理日期起计算。</w:t>
      </w:r>
    </w:p>
    <w:p w14:paraId="6592C09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6.1.2除专用合同条款另有约定外，因委托人原因造成合同签订之日起90天内未能发出开始监理通知的，监理人有权提出价格调整要求，或者解除合同。委托人应当承担由此增加的费用和（或）周期延误。</w:t>
      </w:r>
    </w:p>
    <w:p w14:paraId="017EC8F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75" w:name="_Toc493082597"/>
      <w:bookmarkStart w:id="176" w:name="_Toc505149892"/>
      <w:bookmarkStart w:id="177" w:name="_Toc79007407"/>
      <w:r>
        <w:rPr>
          <w:rFonts w:hint="eastAsia" w:ascii="宋体" w:hAnsi="宋体" w:eastAsia="宋体" w:cs="宋体"/>
          <w:snapToGrid w:val="0"/>
          <w:color w:val="000000"/>
          <w:kern w:val="0"/>
          <w:sz w:val="24"/>
          <w:szCs w:val="24"/>
          <w:highlight w:val="none"/>
        </w:rPr>
        <w:t>6.2监理周期延误</w:t>
      </w:r>
      <w:bookmarkEnd w:id="175"/>
      <w:bookmarkEnd w:id="176"/>
      <w:bookmarkEnd w:id="177"/>
    </w:p>
    <w:p w14:paraId="4C2C8A1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在履行合同过程中，由于下列原因造成监理服务期限延误的，委托人应当延长监理服务期限并增加监理报酬，具体方法在专用合同条款中约定。</w:t>
      </w:r>
    </w:p>
    <w:p w14:paraId="40B748EA">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合同变更；</w:t>
      </w:r>
    </w:p>
    <w:p w14:paraId="3388A60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因委托人原因导致的监理工作暂停；</w:t>
      </w:r>
    </w:p>
    <w:p w14:paraId="49EC7A64">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未按合同约定及时支付监理报酬；</w:t>
      </w:r>
    </w:p>
    <w:p w14:paraId="488A854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未及时履行合同约定的相关义务；</w:t>
      </w:r>
    </w:p>
    <w:p w14:paraId="33204E2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由于承包人延误、行政管理造成的监理服务期延误；</w:t>
      </w:r>
    </w:p>
    <w:p w14:paraId="304093B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造成监理服务期限延误的其他原因。</w:t>
      </w:r>
    </w:p>
    <w:p w14:paraId="70240A4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78" w:name="_Toc79007408"/>
      <w:bookmarkStart w:id="179" w:name="_Toc493082598"/>
      <w:bookmarkStart w:id="180" w:name="_Toc505149893"/>
      <w:r>
        <w:rPr>
          <w:rFonts w:hint="eastAsia" w:ascii="宋体" w:hAnsi="宋体" w:eastAsia="宋体" w:cs="宋体"/>
          <w:snapToGrid w:val="0"/>
          <w:color w:val="000000"/>
          <w:kern w:val="0"/>
          <w:sz w:val="24"/>
          <w:szCs w:val="24"/>
          <w:highlight w:val="none"/>
        </w:rPr>
        <w:t>6.3完成监理</w:t>
      </w:r>
      <w:bookmarkEnd w:id="178"/>
      <w:bookmarkEnd w:id="179"/>
      <w:bookmarkEnd w:id="180"/>
    </w:p>
    <w:p w14:paraId="4A33B134">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6.3.1监理人应当根据法律、规范标准、合同约定和委托人要求实施和完成监理，并编制和移交监理文件。</w:t>
      </w:r>
    </w:p>
    <w:p w14:paraId="3BC7462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6.3.2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2F2AD9A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6.3.3缺陷修复监理指缺陷责任期间，监理人对承包人修复质量缺陷进行的监理。缺陷修复监理的责任由监理人负责。</w:t>
      </w:r>
    </w:p>
    <w:p w14:paraId="3055272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6.3.4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71ECAB3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6.3.5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U盘分别贮存。</w:t>
      </w:r>
    </w:p>
    <w:p w14:paraId="32D603C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81" w:name="_Toc493082599"/>
      <w:bookmarkStart w:id="182" w:name="_Toc505149894"/>
      <w:bookmarkStart w:id="183" w:name="_Toc79007409"/>
      <w:r>
        <w:rPr>
          <w:rFonts w:hint="eastAsia" w:ascii="宋体" w:hAnsi="宋体" w:eastAsia="宋体" w:cs="宋体"/>
          <w:snapToGrid w:val="0"/>
          <w:color w:val="000000"/>
          <w:kern w:val="0"/>
          <w:sz w:val="24"/>
          <w:szCs w:val="24"/>
          <w:highlight w:val="none"/>
        </w:rPr>
        <w:t>7.监理责任与保险</w:t>
      </w:r>
      <w:bookmarkEnd w:id="181"/>
      <w:bookmarkEnd w:id="182"/>
      <w:bookmarkEnd w:id="183"/>
    </w:p>
    <w:p w14:paraId="0230322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84" w:name="_Toc79007410"/>
      <w:bookmarkStart w:id="185" w:name="_Toc493082600"/>
      <w:bookmarkStart w:id="186" w:name="_Toc505149895"/>
      <w:r>
        <w:rPr>
          <w:rFonts w:hint="eastAsia" w:ascii="宋体" w:hAnsi="宋体" w:eastAsia="宋体" w:cs="宋体"/>
          <w:snapToGrid w:val="0"/>
          <w:color w:val="000000"/>
          <w:kern w:val="0"/>
          <w:sz w:val="24"/>
          <w:szCs w:val="24"/>
          <w:highlight w:val="none"/>
        </w:rPr>
        <w:t>7.1监理责任主体</w:t>
      </w:r>
      <w:bookmarkEnd w:id="184"/>
      <w:bookmarkEnd w:id="185"/>
      <w:bookmarkEnd w:id="186"/>
    </w:p>
    <w:p w14:paraId="2854A4A6">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7.1.1监理人应运用一切合理的专业技术、知识技能和项目经验，按照职业道德准则和行业公认标准尽其全部职责，勤勉、谨慎、公正地履行其在本合同项下的责任和义务。</w:t>
      </w:r>
    </w:p>
    <w:p w14:paraId="6CD1A36A">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7.1.2监理责任为监理单位项目负责人终身责任制。总监理工程师应当按照法律法规、有关技术标准、设计文件和工程承包合同进行监理，对施工质量承担监理责任。</w:t>
      </w:r>
    </w:p>
    <w:p w14:paraId="4EDD800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7.1.3总监理工程师应当在办理工程质量监督手续前签署工程质量终身责任承诺书，连同法定代表人出具的授权书，报工程质量监督机构备案。</w:t>
      </w:r>
    </w:p>
    <w:p w14:paraId="44CCFDA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87" w:name="_Toc79007411"/>
      <w:bookmarkStart w:id="188" w:name="_Toc493082601"/>
      <w:bookmarkStart w:id="189" w:name="_Toc505149896"/>
      <w:r>
        <w:rPr>
          <w:rFonts w:hint="eastAsia" w:ascii="宋体" w:hAnsi="宋体" w:eastAsia="宋体" w:cs="宋体"/>
          <w:snapToGrid w:val="0"/>
          <w:color w:val="000000"/>
          <w:kern w:val="0"/>
          <w:sz w:val="24"/>
          <w:szCs w:val="24"/>
          <w:highlight w:val="none"/>
        </w:rPr>
        <w:t>7.2监理责任保险</w:t>
      </w:r>
      <w:bookmarkEnd w:id="187"/>
      <w:bookmarkEnd w:id="188"/>
      <w:bookmarkEnd w:id="189"/>
    </w:p>
    <w:p w14:paraId="2606FCA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除专用合同条款另有约定外，建议监理人根据工程情况对监理责任进行保险，并在合同履行期间保持足额、有效。</w:t>
      </w:r>
    </w:p>
    <w:p w14:paraId="07028F44">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90" w:name="_Toc505149897"/>
      <w:bookmarkStart w:id="191" w:name="_Toc79007412"/>
      <w:bookmarkStart w:id="192" w:name="_Toc493082602"/>
      <w:r>
        <w:rPr>
          <w:rFonts w:hint="eastAsia" w:ascii="宋体" w:hAnsi="宋体" w:eastAsia="宋体" w:cs="宋体"/>
          <w:snapToGrid w:val="0"/>
          <w:color w:val="000000"/>
          <w:kern w:val="0"/>
          <w:sz w:val="24"/>
          <w:szCs w:val="24"/>
          <w:highlight w:val="none"/>
        </w:rPr>
        <w:t>8.合同变更</w:t>
      </w:r>
      <w:bookmarkEnd w:id="190"/>
      <w:bookmarkEnd w:id="191"/>
      <w:bookmarkEnd w:id="192"/>
    </w:p>
    <w:p w14:paraId="7069BD3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93" w:name="_Toc505149898"/>
      <w:bookmarkStart w:id="194" w:name="_Toc493082603"/>
      <w:bookmarkStart w:id="195" w:name="_Toc79007413"/>
      <w:r>
        <w:rPr>
          <w:rFonts w:hint="eastAsia" w:ascii="宋体" w:hAnsi="宋体" w:eastAsia="宋体" w:cs="宋体"/>
          <w:snapToGrid w:val="0"/>
          <w:color w:val="000000"/>
          <w:kern w:val="0"/>
          <w:sz w:val="24"/>
          <w:szCs w:val="24"/>
          <w:highlight w:val="none"/>
        </w:rPr>
        <w:t>8.1变更情形</w:t>
      </w:r>
      <w:bookmarkEnd w:id="193"/>
      <w:bookmarkEnd w:id="194"/>
      <w:bookmarkEnd w:id="195"/>
    </w:p>
    <w:p w14:paraId="3BC847A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8.1.1合同履行中发生下述情形时，合同一方均可向对方提出变更请求，经双方协商一致后进行变更，监理服务期限和监理报酬的调整方法在专用合同条款中约定。</w:t>
      </w:r>
    </w:p>
    <w:p w14:paraId="5A6D46D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监理范围发生变化；</w:t>
      </w:r>
    </w:p>
    <w:p w14:paraId="79B5530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除不可抗力外，非监理人的原因引起的周期延误；</w:t>
      </w:r>
    </w:p>
    <w:p w14:paraId="2C6F55A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非监理人的原因，对工程同一部分重复进行监理；</w:t>
      </w:r>
    </w:p>
    <w:p w14:paraId="47996E4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（4）非监理人的原因，对工程暂停监理及恢复监理。</w:t>
      </w:r>
    </w:p>
    <w:p w14:paraId="6C50E4A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8.1.2基准日后，因颁布新的或修订原有法律、法规、规范和标准等引发合同变更情形的，按照上述约定进行调整。</w:t>
      </w:r>
    </w:p>
    <w:p w14:paraId="3E71ED9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96" w:name="_Toc505149899"/>
      <w:bookmarkStart w:id="197" w:name="_Toc79007414"/>
      <w:r>
        <w:rPr>
          <w:rFonts w:hint="eastAsia" w:ascii="宋体" w:hAnsi="宋体" w:eastAsia="宋体" w:cs="宋体"/>
          <w:snapToGrid w:val="0"/>
          <w:color w:val="000000"/>
          <w:kern w:val="0"/>
          <w:sz w:val="24"/>
          <w:szCs w:val="24"/>
          <w:highlight w:val="none"/>
        </w:rPr>
        <w:t>8.2合理化建议</w:t>
      </w:r>
      <w:bookmarkEnd w:id="196"/>
      <w:bookmarkEnd w:id="197"/>
    </w:p>
    <w:p w14:paraId="7D946D3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8.2.1合同履行中，监理人可对委托人要求提出合理化建议。合理化建议应以书面形式提交委托人，被委托人采纳并构成变更的，执行第8.1款约定。</w:t>
      </w:r>
    </w:p>
    <w:p w14:paraId="71D8804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8.2.2监理人提出的合理化建议降低了工程投资、缩短了施工期限或者提高了工程经济效益的，委托人应按专用合同条款中的约定给予奖励。</w:t>
      </w:r>
    </w:p>
    <w:p w14:paraId="50B2A32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198" w:name="_Toc79007415"/>
      <w:bookmarkStart w:id="199" w:name="_Toc505149900"/>
      <w:r>
        <w:rPr>
          <w:rFonts w:hint="eastAsia" w:ascii="宋体" w:hAnsi="宋体" w:eastAsia="宋体" w:cs="宋体"/>
          <w:snapToGrid w:val="0"/>
          <w:color w:val="000000"/>
          <w:kern w:val="0"/>
          <w:sz w:val="24"/>
          <w:szCs w:val="24"/>
          <w:highlight w:val="none"/>
        </w:rPr>
        <w:t>9.合同价格与支付</w:t>
      </w:r>
      <w:bookmarkEnd w:id="198"/>
      <w:bookmarkEnd w:id="199"/>
    </w:p>
    <w:p w14:paraId="50F8127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00" w:name="_Toc505149901"/>
      <w:bookmarkStart w:id="201" w:name="_Toc79007416"/>
      <w:r>
        <w:rPr>
          <w:rFonts w:hint="eastAsia" w:ascii="宋体" w:hAnsi="宋体" w:eastAsia="宋体" w:cs="宋体"/>
          <w:snapToGrid w:val="0"/>
          <w:color w:val="000000"/>
          <w:kern w:val="0"/>
          <w:sz w:val="24"/>
          <w:szCs w:val="24"/>
          <w:highlight w:val="none"/>
        </w:rPr>
        <w:t>9.1合同价格</w:t>
      </w:r>
      <w:bookmarkEnd w:id="200"/>
      <w:bookmarkEnd w:id="201"/>
    </w:p>
    <w:p w14:paraId="18EDA10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9.1.1本合同的价款确定方式、调整方式和风险范围划分，在专用合同条款中约定。</w:t>
      </w:r>
    </w:p>
    <w:p w14:paraId="67FD7AE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9.1.2除专用合同条款另有约定外，合同价格应当包括收集资料、踏勘现场、制订纲要、实施监理、编制监理文件等全部费用和国家规定的增值税税金。</w:t>
      </w:r>
    </w:p>
    <w:p w14:paraId="1ED4D26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9.1.3委托人要求监理人进行外出考察、试验检测、专项咨询或专家评审时，相应费用不含在合同价格之中，由委托人另行支付。</w:t>
      </w:r>
    </w:p>
    <w:p w14:paraId="23F8FA4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02" w:name="_Toc79007417"/>
      <w:bookmarkStart w:id="203" w:name="_Toc505149902"/>
      <w:r>
        <w:rPr>
          <w:rFonts w:hint="eastAsia" w:ascii="宋体" w:hAnsi="宋体" w:eastAsia="宋体" w:cs="宋体"/>
          <w:snapToGrid w:val="0"/>
          <w:color w:val="000000"/>
          <w:kern w:val="0"/>
          <w:sz w:val="24"/>
          <w:szCs w:val="24"/>
          <w:highlight w:val="none"/>
        </w:rPr>
        <w:t>9.2预付款</w:t>
      </w:r>
      <w:bookmarkEnd w:id="202"/>
      <w:bookmarkEnd w:id="203"/>
    </w:p>
    <w:p w14:paraId="670574D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9.2.1预付款应专用于本工程的监理。预付款的额度、支付方式及抵扣方式在专用合同条款中约定。</w:t>
      </w:r>
    </w:p>
    <w:p w14:paraId="14A79A5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9.2.2委托人应在收到预付款支付申请后28天内，将预付款支付给监理人；监理人应当提供等额的增值税发票。</w:t>
      </w:r>
    </w:p>
    <w:p w14:paraId="278193E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04" w:name="_Toc505149903"/>
      <w:bookmarkStart w:id="205" w:name="_Toc79007418"/>
      <w:r>
        <w:rPr>
          <w:rFonts w:hint="eastAsia" w:ascii="宋体" w:hAnsi="宋体" w:eastAsia="宋体" w:cs="宋体"/>
          <w:snapToGrid w:val="0"/>
          <w:color w:val="000000"/>
          <w:kern w:val="0"/>
          <w:sz w:val="24"/>
          <w:szCs w:val="24"/>
          <w:highlight w:val="none"/>
        </w:rPr>
        <w:t>9.3中期支付</w:t>
      </w:r>
      <w:bookmarkEnd w:id="204"/>
      <w:bookmarkEnd w:id="205"/>
    </w:p>
    <w:p w14:paraId="650A7C3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9.3.1监理人应按委托人批准或专用合同条款约定的格式及份数，向委托人提交中期支付申请，并附相应的支持性证明文件。</w:t>
      </w:r>
    </w:p>
    <w:p w14:paraId="54B0DA5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9.3.2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01B2475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9.3.3中期支付涉及政府投资资金的，按照国库集中支付等国家相关规定和专用合同条款的约定执行。</w:t>
      </w:r>
    </w:p>
    <w:p w14:paraId="67EF03F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06" w:name="_Toc79007419"/>
      <w:bookmarkStart w:id="207" w:name="_Toc505149904"/>
      <w:r>
        <w:rPr>
          <w:rFonts w:hint="eastAsia" w:ascii="宋体" w:hAnsi="宋体" w:eastAsia="宋体" w:cs="宋体"/>
          <w:snapToGrid w:val="0"/>
          <w:color w:val="000000"/>
          <w:kern w:val="0"/>
          <w:sz w:val="24"/>
          <w:szCs w:val="24"/>
          <w:highlight w:val="none"/>
        </w:rPr>
        <w:t>9.4费用结算</w:t>
      </w:r>
      <w:bookmarkEnd w:id="206"/>
      <w:bookmarkEnd w:id="207"/>
    </w:p>
    <w:p w14:paraId="408217A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9.4.1合同工作完成后，监理人可按专用合同条款约定的份数和期限，向委托人提交监理费用结算申请，并提供相关证明材料。</w:t>
      </w:r>
    </w:p>
    <w:p w14:paraId="1183ED4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9.4.2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756C5EE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9.4.3委托人对费用结算申请内容有异议的，有权要求监理人进行修正和提供补充资料，由监理人重新提交。监理人对此有异议的，按第12条的约定执行。</w:t>
      </w:r>
    </w:p>
    <w:p w14:paraId="4C299F6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9.4.4最终结清付款涉及政府投资资金的，按第9.3.3项的约定执行。</w:t>
      </w:r>
    </w:p>
    <w:p w14:paraId="0B55938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08" w:name="_Toc505149905"/>
      <w:bookmarkStart w:id="209" w:name="_Toc79007420"/>
      <w:bookmarkStart w:id="210" w:name="_Toc493082610"/>
      <w:r>
        <w:rPr>
          <w:rFonts w:hint="eastAsia" w:ascii="宋体" w:hAnsi="宋体" w:eastAsia="宋体" w:cs="宋体"/>
          <w:snapToGrid w:val="0"/>
          <w:color w:val="000000"/>
          <w:kern w:val="0"/>
          <w:sz w:val="24"/>
          <w:szCs w:val="24"/>
          <w:highlight w:val="none"/>
        </w:rPr>
        <w:t>10.不可抗力</w:t>
      </w:r>
      <w:bookmarkEnd w:id="208"/>
      <w:bookmarkEnd w:id="209"/>
      <w:bookmarkEnd w:id="210"/>
    </w:p>
    <w:p w14:paraId="53D4D1D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11" w:name="_Toc505149906"/>
      <w:bookmarkStart w:id="212" w:name="_Toc79007421"/>
      <w:r>
        <w:rPr>
          <w:rFonts w:hint="eastAsia" w:ascii="宋体" w:hAnsi="宋体" w:eastAsia="宋体" w:cs="宋体"/>
          <w:snapToGrid w:val="0"/>
          <w:color w:val="000000"/>
          <w:kern w:val="0"/>
          <w:sz w:val="24"/>
          <w:szCs w:val="24"/>
          <w:highlight w:val="none"/>
        </w:rPr>
        <w:t>10.1不可抗力的确认</w:t>
      </w:r>
      <w:bookmarkEnd w:id="211"/>
      <w:bookmarkEnd w:id="212"/>
    </w:p>
    <w:p w14:paraId="2CADC3B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10.1.1不可抗力是指监理人和委托人在订立合同时不可预见，在履行合同过程中不可避免发生并不能克服的自然灾害和社会性突发事件，如地震、海啸、瘟疫、水灾、骚乱、暴动、战争和专用合同条款约定的其他情形。</w:t>
      </w:r>
    </w:p>
    <w:p w14:paraId="008E509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10.1.2不可抗力发生后，委托人和监理人应及时认真统计所造成的损失，收集不可抗力造成损失的证据。合同双方对是否属于不可抗力或其损失的意见不一致的，由合同双方协商确定。</w:t>
      </w:r>
    </w:p>
    <w:p w14:paraId="510F0B0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13" w:name="_Toc79007422"/>
      <w:bookmarkStart w:id="214" w:name="_Toc505149907"/>
      <w:r>
        <w:rPr>
          <w:rFonts w:hint="eastAsia" w:ascii="宋体" w:hAnsi="宋体" w:eastAsia="宋体" w:cs="宋体"/>
          <w:snapToGrid w:val="0"/>
          <w:color w:val="000000"/>
          <w:kern w:val="0"/>
          <w:sz w:val="24"/>
          <w:szCs w:val="24"/>
          <w:highlight w:val="none"/>
        </w:rPr>
        <w:t>10.2不可抗力的通知</w:t>
      </w:r>
      <w:bookmarkEnd w:id="213"/>
      <w:bookmarkEnd w:id="214"/>
    </w:p>
    <w:p w14:paraId="1ABA457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10.2.1合同一方当事人遇到不可抗力事件，使其履行合同义务受到阻碍时，应立即通知合同另一方当事人，书面说明不可抗力和受阻碍的详细情况，并提供必要的证明。</w:t>
      </w:r>
    </w:p>
    <w:p w14:paraId="62D71C0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10.2.2如不可抗力持续发生，合同一方当事人应及时向合同另一方当事人提交中间报告，说明不可抗力和履行合同受阻的情况，并于不可抗力事件结束后28天内提交最终报告及有关资料。</w:t>
      </w:r>
    </w:p>
    <w:p w14:paraId="3A207675">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15" w:name="_Toc79007423"/>
      <w:bookmarkStart w:id="216" w:name="_Toc505149908"/>
      <w:r>
        <w:rPr>
          <w:rFonts w:hint="eastAsia" w:ascii="宋体" w:hAnsi="宋体" w:eastAsia="宋体" w:cs="宋体"/>
          <w:snapToGrid w:val="0"/>
          <w:color w:val="000000"/>
          <w:kern w:val="0"/>
          <w:sz w:val="24"/>
          <w:szCs w:val="24"/>
          <w:highlight w:val="none"/>
        </w:rPr>
        <w:t>10.3不可抗力后果及其处理</w:t>
      </w:r>
      <w:bookmarkEnd w:id="215"/>
      <w:bookmarkEnd w:id="216"/>
    </w:p>
    <w:p w14:paraId="449384B4">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10.3.1不可抗力引起的后果及其损失，应由合同当事人依据法律规定各自承担。不可抗力发生前已完成的监理工作，应当按照合同约定进行支付。</w:t>
      </w:r>
    </w:p>
    <w:p w14:paraId="0E3ABCC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10.3.2不可抗力发生后，合同当事人应当采取有效措施避免损失进一步扩大，如未采取有效措施致使损失扩大的，应当自行承担扩大部分的损失。</w:t>
      </w:r>
    </w:p>
    <w:p w14:paraId="3C59572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10.3.3因一方当事人迟延履行合同义务，致使迟延履行期间遭遇不可抗力的，应由该当事人承担全部损失。</w:t>
      </w:r>
    </w:p>
    <w:p w14:paraId="771E9B3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17" w:name="_Toc505149909"/>
      <w:bookmarkStart w:id="218" w:name="_Toc79007424"/>
      <w:r>
        <w:rPr>
          <w:rFonts w:hint="eastAsia" w:ascii="宋体" w:hAnsi="宋体" w:eastAsia="宋体" w:cs="宋体"/>
          <w:snapToGrid w:val="0"/>
          <w:color w:val="000000"/>
          <w:kern w:val="0"/>
          <w:sz w:val="24"/>
          <w:szCs w:val="24"/>
          <w:highlight w:val="none"/>
        </w:rPr>
        <w:t>11.违约</w:t>
      </w:r>
      <w:bookmarkEnd w:id="217"/>
      <w:bookmarkEnd w:id="218"/>
    </w:p>
    <w:p w14:paraId="218D141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19" w:name="_Toc505149910"/>
      <w:bookmarkStart w:id="220" w:name="_Toc79007425"/>
      <w:r>
        <w:rPr>
          <w:rFonts w:hint="eastAsia" w:ascii="宋体" w:hAnsi="宋体" w:eastAsia="宋体" w:cs="宋体"/>
          <w:snapToGrid w:val="0"/>
          <w:color w:val="000000"/>
          <w:kern w:val="0"/>
          <w:sz w:val="24"/>
          <w:szCs w:val="24"/>
          <w:highlight w:val="none"/>
        </w:rPr>
        <w:t>11.1监理人违约</w:t>
      </w:r>
      <w:bookmarkEnd w:id="219"/>
      <w:bookmarkEnd w:id="220"/>
    </w:p>
    <w:p w14:paraId="511D93A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11.1.1合同履行中发生下列情况之一的，属监理人违约：</w:t>
      </w:r>
    </w:p>
    <w:p w14:paraId="61102A7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监理文件不符合规范标准以及合同约定；</w:t>
      </w:r>
    </w:p>
    <w:p w14:paraId="2A80161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监理人转让监理工作；</w:t>
      </w:r>
    </w:p>
    <w:p w14:paraId="02DCAB3F">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监理人未按合同约定实施监理并造成工程损失；</w:t>
      </w:r>
    </w:p>
    <w:p w14:paraId="5002224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监理人无法履行或停止履行合同；</w:t>
      </w:r>
    </w:p>
    <w:p w14:paraId="51EB5F5D">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监理人不履行合同约定的其他义务。</w:t>
      </w:r>
    </w:p>
    <w:p w14:paraId="3455CCB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11.1.2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0B9BE8FC">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21" w:name="_Toc79007426"/>
      <w:bookmarkStart w:id="222" w:name="_Toc505149911"/>
      <w:r>
        <w:rPr>
          <w:rFonts w:hint="eastAsia" w:ascii="宋体" w:hAnsi="宋体" w:eastAsia="宋体" w:cs="宋体"/>
          <w:snapToGrid w:val="0"/>
          <w:color w:val="000000"/>
          <w:kern w:val="0"/>
          <w:sz w:val="24"/>
          <w:szCs w:val="24"/>
          <w:highlight w:val="none"/>
        </w:rPr>
        <w:t>11.2委托人违约</w:t>
      </w:r>
      <w:bookmarkEnd w:id="221"/>
      <w:bookmarkEnd w:id="222"/>
    </w:p>
    <w:p w14:paraId="2A038BA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11.2.1合同履行中发生下列情况之一的，属委托人违约：</w:t>
      </w:r>
    </w:p>
    <w:p w14:paraId="69207A1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（1）委托人未按合同约定支付监理报酬；</w:t>
      </w:r>
    </w:p>
    <w:p w14:paraId="438B7A90">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委托人原因造成监理停止；</w:t>
      </w:r>
    </w:p>
    <w:p w14:paraId="249F709E">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委托人无法履行或停止履行合同；</w:t>
      </w:r>
    </w:p>
    <w:p w14:paraId="0F8D8DF8">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委托人不履行合同约定的其他义务。</w:t>
      </w:r>
    </w:p>
    <w:p w14:paraId="0ABBC19B">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23533797">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23" w:name="_Toc79007427"/>
      <w:bookmarkStart w:id="224" w:name="_Toc505149912"/>
      <w:r>
        <w:rPr>
          <w:rFonts w:hint="eastAsia" w:ascii="宋体" w:hAnsi="宋体" w:eastAsia="宋体" w:cs="宋体"/>
          <w:snapToGrid w:val="0"/>
          <w:color w:val="000000"/>
          <w:kern w:val="0"/>
          <w:sz w:val="24"/>
          <w:szCs w:val="24"/>
          <w:highlight w:val="none"/>
        </w:rPr>
        <w:t>11.3第三人造成的违约</w:t>
      </w:r>
      <w:bookmarkEnd w:id="223"/>
      <w:bookmarkEnd w:id="224"/>
    </w:p>
    <w:p w14:paraId="07FCDCA1">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7585E469">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bookmarkStart w:id="225" w:name="_Toc79007428"/>
      <w:bookmarkStart w:id="226" w:name="_Toc505149913"/>
      <w:r>
        <w:rPr>
          <w:rFonts w:hint="eastAsia" w:ascii="宋体" w:hAnsi="宋体" w:eastAsia="宋体" w:cs="宋体"/>
          <w:snapToGrid w:val="0"/>
          <w:color w:val="000000"/>
          <w:kern w:val="0"/>
          <w:sz w:val="24"/>
          <w:szCs w:val="24"/>
          <w:highlight w:val="none"/>
        </w:rPr>
        <w:t>12.争议的解决</w:t>
      </w:r>
      <w:bookmarkEnd w:id="225"/>
      <w:bookmarkEnd w:id="226"/>
    </w:p>
    <w:p w14:paraId="3FD55052">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委托人和监理人在履行合同中发生争议的，可以友好协商解决。合同当事人友好协商解决不成的，可在专用合同条款中约定下列一种方式解决：</w:t>
      </w:r>
    </w:p>
    <w:p w14:paraId="283AB9E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向约定的仲裁委员会申请仲裁；</w:t>
      </w:r>
    </w:p>
    <w:p w14:paraId="46D95723">
      <w:pPr>
        <w:pageBreakBefore w:val="0"/>
        <w:widowControl/>
        <w:kinsoku w:val="0"/>
        <w:wordWrap/>
        <w:overflowPunct/>
        <w:topLinePunct w:val="0"/>
        <w:autoSpaceDE w:val="0"/>
        <w:autoSpaceDN w:val="0"/>
        <w:bidi w:val="0"/>
        <w:adjustRightInd w:val="0"/>
        <w:snapToGrid w:val="0"/>
        <w:spacing w:line="360" w:lineRule="auto"/>
        <w:ind w:right="103"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（2）向有管辖权的人民法院提起诉讼。</w:t>
      </w:r>
    </w:p>
    <w:p w14:paraId="2098ED9F">
      <w:pPr>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Cs/>
          <w:snapToGrid w:val="0"/>
          <w:color w:val="000000"/>
          <w:kern w:val="0"/>
          <w:sz w:val="24"/>
          <w:szCs w:val="24"/>
          <w:highlight w:val="none"/>
        </w:rPr>
      </w:pPr>
      <w:bookmarkStart w:id="227" w:name="_Toc497384911"/>
      <w:bookmarkStart w:id="228" w:name="_Toc497396513"/>
      <w:bookmarkStart w:id="229" w:name="_Toc497397023"/>
      <w:bookmarkStart w:id="230" w:name="_Toc237153202"/>
      <w:bookmarkStart w:id="231" w:name="_Toc237013245"/>
      <w:bookmarkStart w:id="232" w:name="_Toc497381666"/>
      <w:bookmarkStart w:id="233" w:name="_Toc497396746"/>
      <w:bookmarkStart w:id="234" w:name="_Toc497385083"/>
      <w:bookmarkStart w:id="235" w:name="_Toc497384767"/>
      <w:bookmarkStart w:id="236" w:name="_Toc222303358"/>
      <w:bookmarkStart w:id="237" w:name="_Toc497387509"/>
      <w:bookmarkStart w:id="238" w:name="_Toc237078375"/>
      <w:bookmarkStart w:id="239" w:name="_Toc237153203"/>
      <w:bookmarkStart w:id="240" w:name="_Toc222290318"/>
      <w:bookmarkStart w:id="241" w:name="_Toc237013246"/>
      <w:bookmarkStart w:id="242" w:name="_Toc237078376"/>
      <w:bookmarkStart w:id="243" w:name="_Toc222303359"/>
      <w:r>
        <w:rPr>
          <w:rFonts w:hint="eastAsia" w:ascii="宋体" w:hAnsi="宋体" w:eastAsia="宋体" w:cs="宋体"/>
          <w:bCs/>
          <w:snapToGrid w:val="0"/>
          <w:color w:val="000000"/>
          <w:kern w:val="0"/>
          <w:sz w:val="24"/>
          <w:szCs w:val="24"/>
          <w:highlight w:val="none"/>
        </w:rPr>
        <w:br w:type="page"/>
      </w:r>
    </w:p>
    <w:p w14:paraId="2207DC3D">
      <w:pPr>
        <w:keepNext/>
        <w:keepLines/>
        <w:pageBreakBefore w:val="0"/>
        <w:widowControl/>
        <w:kinsoku w:val="0"/>
        <w:wordWrap/>
        <w:overflowPunct/>
        <w:topLinePunct w:val="0"/>
        <w:autoSpaceDE w:val="0"/>
        <w:autoSpaceDN w:val="0"/>
        <w:bidi w:val="0"/>
        <w:adjustRightInd w:val="0"/>
        <w:snapToGrid w:val="0"/>
        <w:spacing w:before="260" w:after="260" w:line="360" w:lineRule="auto"/>
        <w:jc w:val="center"/>
        <w:textAlignment w:val="baseline"/>
        <w:outlineLvl w:val="1"/>
        <w:rPr>
          <w:rFonts w:hint="eastAsia" w:ascii="宋体" w:hAnsi="宋体" w:eastAsia="宋体" w:cs="宋体"/>
          <w:bCs/>
          <w:snapToGrid w:val="0"/>
          <w:color w:val="000000"/>
          <w:kern w:val="0"/>
          <w:sz w:val="28"/>
          <w:szCs w:val="28"/>
          <w:highlight w:val="none"/>
        </w:rPr>
      </w:pPr>
      <w:bookmarkStart w:id="244" w:name="_Toc79007429"/>
      <w:r>
        <w:rPr>
          <w:rFonts w:hint="eastAsia" w:ascii="宋体" w:hAnsi="宋体" w:eastAsia="宋体" w:cs="宋体"/>
          <w:bCs/>
          <w:snapToGrid w:val="0"/>
          <w:color w:val="000000"/>
          <w:kern w:val="0"/>
          <w:sz w:val="28"/>
          <w:szCs w:val="28"/>
          <w:highlight w:val="none"/>
        </w:rPr>
        <w:t>第2节专用合同条款</w:t>
      </w:r>
      <w:bookmarkEnd w:id="227"/>
      <w:bookmarkEnd w:id="228"/>
      <w:bookmarkEnd w:id="229"/>
      <w:bookmarkEnd w:id="230"/>
      <w:bookmarkEnd w:id="231"/>
      <w:bookmarkEnd w:id="232"/>
      <w:bookmarkEnd w:id="233"/>
      <w:bookmarkEnd w:id="234"/>
      <w:bookmarkEnd w:id="235"/>
      <w:bookmarkEnd w:id="236"/>
      <w:bookmarkEnd w:id="237"/>
      <w:bookmarkEnd w:id="238"/>
      <w:bookmarkEnd w:id="244"/>
    </w:p>
    <w:p w14:paraId="1F0548E3">
      <w:pPr>
        <w:keepNext/>
        <w:keepLines/>
        <w:pageBreakBefore w:val="0"/>
        <w:widowControl/>
        <w:kinsoku w:val="0"/>
        <w:wordWrap/>
        <w:overflowPunct/>
        <w:topLinePunct w:val="0"/>
        <w:autoSpaceDE w:val="0"/>
        <w:autoSpaceDN w:val="0"/>
        <w:bidi w:val="0"/>
        <w:adjustRightInd w:val="0"/>
        <w:snapToGrid w:val="0"/>
        <w:spacing w:line="360" w:lineRule="auto"/>
        <w:ind w:left="116"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45" w:name="_Toc28614844"/>
      <w:r>
        <w:rPr>
          <w:rFonts w:hint="eastAsia" w:ascii="宋体" w:hAnsi="宋体" w:eastAsia="宋体" w:cs="宋体"/>
          <w:bCs/>
          <w:snapToGrid w:val="0"/>
          <w:color w:val="000000"/>
          <w:kern w:val="0"/>
          <w:sz w:val="24"/>
          <w:szCs w:val="24"/>
          <w:highlight w:val="none"/>
        </w:rPr>
        <w:t>1.一般约定</w:t>
      </w:r>
      <w:bookmarkEnd w:id="245"/>
    </w:p>
    <w:p w14:paraId="38C55C94">
      <w:pPr>
        <w:keepNext/>
        <w:keepLines/>
        <w:pageBreakBefore w:val="0"/>
        <w:widowControl/>
        <w:kinsoku w:val="0"/>
        <w:wordWrap/>
        <w:overflowPunct/>
        <w:topLinePunct w:val="0"/>
        <w:autoSpaceDE w:val="0"/>
        <w:autoSpaceDN w:val="0"/>
        <w:bidi w:val="0"/>
        <w:adjustRightInd w:val="0"/>
        <w:snapToGrid w:val="0"/>
        <w:spacing w:line="360" w:lineRule="auto"/>
        <w:ind w:left="420" w:right="-29" w:rightChars="-14" w:hanging="283"/>
        <w:jc w:val="both"/>
        <w:textAlignment w:val="baseline"/>
        <w:outlineLvl w:val="2"/>
        <w:rPr>
          <w:rFonts w:hint="eastAsia" w:ascii="宋体" w:hAnsi="宋体" w:eastAsia="宋体" w:cs="宋体"/>
          <w:bCs/>
          <w:snapToGrid w:val="0"/>
          <w:color w:val="000000"/>
          <w:kern w:val="0"/>
          <w:sz w:val="24"/>
          <w:szCs w:val="24"/>
          <w:highlight w:val="none"/>
        </w:rPr>
      </w:pPr>
      <w:bookmarkStart w:id="246" w:name="_Toc28614845"/>
      <w:r>
        <w:rPr>
          <w:rFonts w:hint="eastAsia" w:ascii="宋体" w:hAnsi="宋体" w:eastAsia="宋体" w:cs="宋体"/>
          <w:bCs/>
          <w:snapToGrid w:val="0"/>
          <w:color w:val="000000"/>
          <w:kern w:val="0"/>
          <w:sz w:val="24"/>
          <w:szCs w:val="24"/>
          <w:highlight w:val="none"/>
        </w:rPr>
        <w:t>1.1 词语定义</w:t>
      </w:r>
    </w:p>
    <w:p w14:paraId="259810BA">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增加 1.1.2.7 副总监理工程师：由监理人提名并经委托人同意后，委派到监理机构配合总监理工程师工作，当总监理工程师不在工地时，由总监理工程师委托副总监理工程师行使总监理工程师的部分职责。</w:t>
      </w:r>
    </w:p>
    <w:p w14:paraId="4E8EED0E">
      <w:pPr>
        <w:keepNext/>
        <w:keepLines/>
        <w:pageBreakBefore w:val="0"/>
        <w:widowControl/>
        <w:kinsoku w:val="0"/>
        <w:wordWrap/>
        <w:overflowPunct/>
        <w:topLinePunct w:val="0"/>
        <w:autoSpaceDE w:val="0"/>
        <w:autoSpaceDN w:val="0"/>
        <w:bidi w:val="0"/>
        <w:adjustRightInd w:val="0"/>
        <w:snapToGrid w:val="0"/>
        <w:spacing w:line="360" w:lineRule="auto"/>
        <w:ind w:left="420" w:right="-29" w:rightChars="-14" w:hanging="283"/>
        <w:jc w:val="both"/>
        <w:textAlignment w:val="baseline"/>
        <w:outlineLvl w:val="2"/>
        <w:rPr>
          <w:rFonts w:hint="eastAsia" w:ascii="宋体" w:hAnsi="宋体" w:eastAsia="宋体" w:cs="宋体"/>
          <w:bCs/>
          <w:snapToGrid w:val="0"/>
          <w:color w:val="000000"/>
          <w:kern w:val="0"/>
          <w:sz w:val="24"/>
          <w:szCs w:val="24"/>
          <w:highlight w:val="none"/>
        </w:rPr>
      </w:pPr>
      <w:r>
        <w:rPr>
          <w:rFonts w:hint="eastAsia" w:ascii="宋体" w:hAnsi="宋体" w:eastAsia="宋体" w:cs="宋体"/>
          <w:bCs/>
          <w:snapToGrid w:val="0"/>
          <w:color w:val="000000"/>
          <w:kern w:val="0"/>
          <w:sz w:val="24"/>
          <w:szCs w:val="24"/>
          <w:highlight w:val="none"/>
        </w:rPr>
        <w:t>1.3适用法律</w:t>
      </w:r>
      <w:bookmarkEnd w:id="246"/>
    </w:p>
    <w:p w14:paraId="779F2B79">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u w:val="single"/>
        </w:rPr>
      </w:pPr>
      <w:bookmarkStart w:id="247" w:name="_Hlk18070215"/>
      <w:bookmarkStart w:id="248" w:name="_Toc28614846"/>
      <w:r>
        <w:rPr>
          <w:rFonts w:hint="eastAsia" w:ascii="宋体" w:hAnsi="宋体" w:eastAsia="宋体" w:cs="宋体"/>
          <w:snapToGrid w:val="0"/>
          <w:color w:val="000000"/>
          <w:kern w:val="0"/>
          <w:sz w:val="24"/>
          <w:szCs w:val="24"/>
          <w:highlight w:val="none"/>
          <w:u w:val="single"/>
        </w:rPr>
        <w:t>《中华人民共和国民法典》等国家现行法规。</w:t>
      </w:r>
    </w:p>
    <w:p w14:paraId="0131EBD4">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本合同适用的其他规范性文件包括：国家有关工程技术规范、规程和标准；水利部、省市水利行政主管部门及其他政府机构发布的与建设项目有关的管理文件；项目批准文件和设计文件；监理合同、招投标文件、施工合同、委托人发布的建设管理相关文件；其他有关文件。</w:t>
      </w:r>
    </w:p>
    <w:p w14:paraId="627F7F0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bCs/>
          <w:snapToGrid w:val="0"/>
          <w:color w:val="000000"/>
          <w:kern w:val="0"/>
          <w:sz w:val="24"/>
          <w:szCs w:val="24"/>
          <w:highlight w:val="none"/>
        </w:rPr>
      </w:pPr>
      <w:r>
        <w:rPr>
          <w:rFonts w:hint="eastAsia" w:ascii="宋体" w:hAnsi="宋体" w:eastAsia="宋体" w:cs="宋体"/>
          <w:bCs/>
          <w:snapToGrid w:val="0"/>
          <w:color w:val="000000"/>
          <w:kern w:val="0"/>
          <w:sz w:val="24"/>
          <w:szCs w:val="24"/>
          <w:highlight w:val="none"/>
        </w:rPr>
        <w:t>1.4合同文件</w:t>
      </w:r>
      <w:bookmarkEnd w:id="247"/>
      <w:r>
        <w:rPr>
          <w:rFonts w:hint="eastAsia" w:ascii="宋体" w:hAnsi="宋体" w:eastAsia="宋体" w:cs="宋体"/>
          <w:bCs/>
          <w:snapToGrid w:val="0"/>
          <w:color w:val="000000"/>
          <w:kern w:val="0"/>
          <w:sz w:val="24"/>
          <w:szCs w:val="24"/>
          <w:highlight w:val="none"/>
        </w:rPr>
        <w:t>的优先顺序</w:t>
      </w:r>
      <w:bookmarkEnd w:id="248"/>
    </w:p>
    <w:p w14:paraId="5E4B3EAE">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解释合同文件的优先顺序：</w:t>
      </w:r>
      <w:r>
        <w:rPr>
          <w:rFonts w:hint="eastAsia" w:ascii="宋体" w:hAnsi="宋体" w:eastAsia="宋体" w:cs="宋体"/>
          <w:snapToGrid w:val="0"/>
          <w:color w:val="000000"/>
          <w:kern w:val="0"/>
          <w:sz w:val="24"/>
          <w:szCs w:val="24"/>
          <w:highlight w:val="none"/>
          <w:u w:val="single"/>
        </w:rPr>
        <w:t>1）合同协议书（包括补充协议书）；（2）中标通知书；（3）投标函及投标函附录；（4）专用合同条款；（5）通用合同条款；（6）技术标准和要求（合同技术条款）；（7）图纸；（9）其他合同文件</w:t>
      </w:r>
      <w:r>
        <w:rPr>
          <w:rFonts w:hint="eastAsia" w:ascii="宋体" w:hAnsi="宋体" w:eastAsia="宋体" w:cs="宋体"/>
          <w:snapToGrid w:val="0"/>
          <w:color w:val="000000"/>
          <w:kern w:val="0"/>
          <w:sz w:val="24"/>
          <w:szCs w:val="24"/>
          <w:highlight w:val="none"/>
        </w:rPr>
        <w:t>。</w:t>
      </w:r>
    </w:p>
    <w:p w14:paraId="48144A39">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49" w:name="_Toc28614847"/>
      <w:bookmarkStart w:id="250" w:name="_Hlk18070378"/>
      <w:r>
        <w:rPr>
          <w:rFonts w:hint="eastAsia" w:ascii="宋体" w:hAnsi="宋体" w:eastAsia="宋体" w:cs="宋体"/>
          <w:bCs/>
          <w:snapToGrid w:val="0"/>
          <w:color w:val="000000"/>
          <w:kern w:val="0"/>
          <w:sz w:val="24"/>
          <w:szCs w:val="24"/>
          <w:highlight w:val="none"/>
        </w:rPr>
        <w:t>1.5合同协议书</w:t>
      </w:r>
      <w:bookmarkEnd w:id="249"/>
    </w:p>
    <w:p w14:paraId="3DCAB304">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（1）本合同条款中所附合同协议书的格式仅供参考，发包人可以修改和调整。</w:t>
      </w:r>
    </w:p>
    <w:p w14:paraId="1FEF350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（2）对某些特定项目需要如主管部门或金融机构审批程序，在合同协议书签订后，还需通过其他程序和（或）办理必要的批准或签证手续后合同才能生效。</w:t>
      </w:r>
    </w:p>
    <w:p w14:paraId="150D8846">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（3）要求提供履约担保的，履约担保作为合同生效的前置条件。</w:t>
      </w:r>
    </w:p>
    <w:bookmarkEnd w:id="250"/>
    <w:p w14:paraId="1D33BA6B">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1" w:name="_Toc28614848"/>
      <w:r>
        <w:rPr>
          <w:rFonts w:hint="eastAsia" w:ascii="宋体" w:hAnsi="宋体" w:eastAsia="宋体" w:cs="宋体"/>
          <w:bCs/>
          <w:snapToGrid w:val="0"/>
          <w:color w:val="000000"/>
          <w:kern w:val="0"/>
          <w:sz w:val="24"/>
          <w:szCs w:val="24"/>
          <w:highlight w:val="none"/>
        </w:rPr>
        <w:t>1.6文件的提供和照管</w:t>
      </w:r>
      <w:bookmarkEnd w:id="251"/>
    </w:p>
    <w:p w14:paraId="668C7833">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1.6.1监理人应在合理的期限内按照合同约定的数量向委托人提供监理文件，另行约定：</w:t>
      </w:r>
      <w:r>
        <w:rPr>
          <w:rFonts w:hint="eastAsia" w:ascii="宋体" w:hAnsi="宋体" w:eastAsia="宋体" w:cs="宋体"/>
          <w:snapToGrid w:val="0"/>
          <w:color w:val="000000"/>
          <w:kern w:val="0"/>
          <w:sz w:val="24"/>
          <w:szCs w:val="24"/>
          <w:highlight w:val="none"/>
          <w:u w:val="single"/>
        </w:rPr>
        <w:t>6份</w:t>
      </w:r>
      <w:r>
        <w:rPr>
          <w:rFonts w:hint="eastAsia" w:ascii="宋体" w:hAnsi="宋体" w:eastAsia="宋体" w:cs="宋体"/>
          <w:snapToGrid w:val="0"/>
          <w:color w:val="000000"/>
          <w:kern w:val="0"/>
          <w:sz w:val="24"/>
          <w:szCs w:val="24"/>
          <w:highlight w:val="none"/>
        </w:rPr>
        <w:t>。</w:t>
      </w:r>
    </w:p>
    <w:p w14:paraId="0A9DCDCC">
      <w:pPr>
        <w:pageBreakBefore w:val="0"/>
        <w:widowControl/>
        <w:kinsoku w:val="0"/>
        <w:wordWrap/>
        <w:overflowPunct/>
        <w:topLinePunct w:val="0"/>
        <w:autoSpaceDE w:val="0"/>
        <w:autoSpaceDN w:val="0"/>
        <w:bidi w:val="0"/>
        <w:adjustRightInd w:val="0"/>
        <w:snapToGrid w:val="0"/>
        <w:spacing w:line="360" w:lineRule="auto"/>
        <w:ind w:left="417" w:right="-29" w:rightChars="-14"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val="0"/>
          <w:bCs/>
          <w:snapToGrid w:val="0"/>
          <w:color w:val="000000"/>
          <w:kern w:val="0"/>
          <w:sz w:val="24"/>
          <w:szCs w:val="24"/>
          <w:highlight w:val="none"/>
        </w:rPr>
        <w:t>1.6.2</w:t>
      </w:r>
      <w:r>
        <w:rPr>
          <w:rFonts w:hint="eastAsia" w:ascii="宋体" w:hAnsi="宋体" w:eastAsia="宋体" w:cs="宋体"/>
          <w:snapToGrid w:val="0"/>
          <w:color w:val="000000"/>
          <w:kern w:val="0"/>
          <w:sz w:val="24"/>
          <w:szCs w:val="24"/>
          <w:highlight w:val="none"/>
        </w:rPr>
        <w:t>委托人提供的文件资料：</w:t>
      </w:r>
    </w:p>
    <w:tbl>
      <w:tblPr>
        <w:tblStyle w:val="54"/>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644"/>
        <w:gridCol w:w="720"/>
        <w:gridCol w:w="1260"/>
        <w:gridCol w:w="1401"/>
        <w:gridCol w:w="2019"/>
      </w:tblGrid>
      <w:tr w14:paraId="4E2F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1517907">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序号</w:t>
            </w:r>
          </w:p>
        </w:tc>
        <w:tc>
          <w:tcPr>
            <w:tcW w:w="2644" w:type="dxa"/>
          </w:tcPr>
          <w:p w14:paraId="3544DA1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资料名称</w:t>
            </w:r>
          </w:p>
        </w:tc>
        <w:tc>
          <w:tcPr>
            <w:tcW w:w="720" w:type="dxa"/>
          </w:tcPr>
          <w:p w14:paraId="3832BB5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份数</w:t>
            </w:r>
          </w:p>
        </w:tc>
        <w:tc>
          <w:tcPr>
            <w:tcW w:w="1260" w:type="dxa"/>
          </w:tcPr>
          <w:p w14:paraId="6E3DF91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提供时间</w:t>
            </w:r>
          </w:p>
        </w:tc>
        <w:tc>
          <w:tcPr>
            <w:tcW w:w="1401" w:type="dxa"/>
          </w:tcPr>
          <w:p w14:paraId="58E161C5">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收回时间</w:t>
            </w:r>
          </w:p>
        </w:tc>
        <w:tc>
          <w:tcPr>
            <w:tcW w:w="2019" w:type="dxa"/>
          </w:tcPr>
          <w:p w14:paraId="0AB56661">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保存和保密要求</w:t>
            </w:r>
          </w:p>
        </w:tc>
      </w:tr>
      <w:tr w14:paraId="03C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ECA8504">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w:t>
            </w:r>
          </w:p>
        </w:tc>
        <w:tc>
          <w:tcPr>
            <w:tcW w:w="2644" w:type="dxa"/>
          </w:tcPr>
          <w:p w14:paraId="4801D2A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工程地质资料</w:t>
            </w:r>
          </w:p>
        </w:tc>
        <w:tc>
          <w:tcPr>
            <w:tcW w:w="720" w:type="dxa"/>
          </w:tcPr>
          <w:p w14:paraId="249D1820">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w:t>
            </w:r>
          </w:p>
        </w:tc>
        <w:tc>
          <w:tcPr>
            <w:tcW w:w="1260" w:type="dxa"/>
          </w:tcPr>
          <w:p w14:paraId="45EDF515">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进场后7天内</w:t>
            </w:r>
          </w:p>
        </w:tc>
        <w:tc>
          <w:tcPr>
            <w:tcW w:w="1401" w:type="dxa"/>
          </w:tcPr>
          <w:p w14:paraId="0EF886A0">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工程完工</w:t>
            </w:r>
          </w:p>
        </w:tc>
        <w:tc>
          <w:tcPr>
            <w:tcW w:w="2019" w:type="dxa"/>
          </w:tcPr>
          <w:p w14:paraId="4468811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保密</w:t>
            </w:r>
          </w:p>
        </w:tc>
      </w:tr>
      <w:tr w14:paraId="21ED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F7C47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w:t>
            </w:r>
          </w:p>
        </w:tc>
        <w:tc>
          <w:tcPr>
            <w:tcW w:w="2644" w:type="dxa"/>
          </w:tcPr>
          <w:p w14:paraId="035BDF56">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设计文件及图纸</w:t>
            </w:r>
          </w:p>
        </w:tc>
        <w:tc>
          <w:tcPr>
            <w:tcW w:w="720" w:type="dxa"/>
          </w:tcPr>
          <w:p w14:paraId="24FEBB15">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w:t>
            </w:r>
          </w:p>
        </w:tc>
        <w:tc>
          <w:tcPr>
            <w:tcW w:w="1260" w:type="dxa"/>
          </w:tcPr>
          <w:p w14:paraId="71BCBD47">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进场后7天内</w:t>
            </w:r>
          </w:p>
        </w:tc>
        <w:tc>
          <w:tcPr>
            <w:tcW w:w="1401" w:type="dxa"/>
          </w:tcPr>
          <w:p w14:paraId="30EB2543">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工程完工</w:t>
            </w:r>
          </w:p>
        </w:tc>
        <w:tc>
          <w:tcPr>
            <w:tcW w:w="2019" w:type="dxa"/>
          </w:tcPr>
          <w:p w14:paraId="4EBFD5B7">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保密</w:t>
            </w:r>
          </w:p>
        </w:tc>
      </w:tr>
      <w:tr w14:paraId="2725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CB813FC">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w:t>
            </w:r>
          </w:p>
        </w:tc>
        <w:tc>
          <w:tcPr>
            <w:tcW w:w="2644" w:type="dxa"/>
          </w:tcPr>
          <w:p w14:paraId="0BA837E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施工招投标文件及合同复印件</w:t>
            </w:r>
          </w:p>
        </w:tc>
        <w:tc>
          <w:tcPr>
            <w:tcW w:w="720" w:type="dxa"/>
          </w:tcPr>
          <w:p w14:paraId="72936EC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w:t>
            </w:r>
          </w:p>
        </w:tc>
        <w:tc>
          <w:tcPr>
            <w:tcW w:w="1260" w:type="dxa"/>
          </w:tcPr>
          <w:p w14:paraId="32A3525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进场后7天内</w:t>
            </w:r>
          </w:p>
        </w:tc>
        <w:tc>
          <w:tcPr>
            <w:tcW w:w="1401" w:type="dxa"/>
          </w:tcPr>
          <w:p w14:paraId="6F9A6D8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工程完工</w:t>
            </w:r>
          </w:p>
        </w:tc>
        <w:tc>
          <w:tcPr>
            <w:tcW w:w="2019" w:type="dxa"/>
          </w:tcPr>
          <w:p w14:paraId="1870259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保密</w:t>
            </w:r>
          </w:p>
        </w:tc>
      </w:tr>
    </w:tbl>
    <w:p w14:paraId="7D4C5B3B">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2" w:name="_Toc28614849"/>
      <w:r>
        <w:rPr>
          <w:rFonts w:hint="eastAsia" w:ascii="宋体" w:hAnsi="宋体" w:eastAsia="宋体" w:cs="宋体"/>
          <w:bCs/>
          <w:snapToGrid w:val="0"/>
          <w:color w:val="000000"/>
          <w:kern w:val="0"/>
          <w:sz w:val="24"/>
          <w:szCs w:val="24"/>
          <w:highlight w:val="none"/>
        </w:rPr>
        <w:t>1.8转让</w:t>
      </w:r>
      <w:bookmarkEnd w:id="252"/>
    </w:p>
    <w:p w14:paraId="246B4DE7">
      <w:pPr>
        <w:pageBreakBefore w:val="0"/>
        <w:widowControl/>
        <w:kinsoku w:val="0"/>
        <w:wordWrap/>
        <w:overflowPunct/>
        <w:topLinePunct w:val="0"/>
        <w:autoSpaceDE w:val="0"/>
        <w:autoSpaceDN w:val="0"/>
        <w:bidi w:val="0"/>
        <w:adjustRightInd w:val="0"/>
        <w:snapToGrid w:val="0"/>
        <w:spacing w:line="360" w:lineRule="auto"/>
        <w:ind w:left="417" w:right="-29" w:rightChars="-14"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转让的约定：</w:t>
      </w:r>
      <w:r>
        <w:rPr>
          <w:rFonts w:hint="eastAsia" w:ascii="宋体" w:hAnsi="宋体" w:eastAsia="宋体" w:cs="宋体"/>
          <w:snapToGrid w:val="0"/>
          <w:color w:val="000000"/>
          <w:kern w:val="0"/>
          <w:sz w:val="24"/>
          <w:szCs w:val="24"/>
          <w:highlight w:val="none"/>
          <w:u w:val="single"/>
        </w:rPr>
        <w:t>不允许</w:t>
      </w:r>
      <w:r>
        <w:rPr>
          <w:rFonts w:hint="eastAsia" w:ascii="宋体" w:hAnsi="宋体" w:eastAsia="宋体" w:cs="宋体"/>
          <w:snapToGrid w:val="0"/>
          <w:color w:val="000000"/>
          <w:kern w:val="0"/>
          <w:sz w:val="24"/>
          <w:szCs w:val="24"/>
          <w:highlight w:val="none"/>
        </w:rPr>
        <w:t>。</w:t>
      </w:r>
    </w:p>
    <w:p w14:paraId="19D70325">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3" w:name="_Toc28614850"/>
      <w:r>
        <w:rPr>
          <w:rFonts w:hint="eastAsia" w:ascii="宋体" w:hAnsi="宋体" w:eastAsia="宋体" w:cs="宋体"/>
          <w:bCs/>
          <w:snapToGrid w:val="0"/>
          <w:color w:val="000000"/>
          <w:kern w:val="0"/>
          <w:sz w:val="24"/>
          <w:szCs w:val="24"/>
          <w:highlight w:val="none"/>
        </w:rPr>
        <w:t>1.10知识产权</w:t>
      </w:r>
      <w:bookmarkEnd w:id="253"/>
    </w:p>
    <w:p w14:paraId="777172FC">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1.10.1除</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外，监理人完成的监理工作成果，除署名权以外的著作权和其他知识产权均归委托人享有。</w:t>
      </w:r>
    </w:p>
    <w:p w14:paraId="2B55C23A">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4" w:name="_Toc28614851"/>
      <w:r>
        <w:rPr>
          <w:rFonts w:hint="eastAsia" w:ascii="宋体" w:hAnsi="宋体" w:eastAsia="宋体" w:cs="宋体"/>
          <w:bCs/>
          <w:snapToGrid w:val="0"/>
          <w:color w:val="000000"/>
          <w:kern w:val="0"/>
          <w:sz w:val="24"/>
          <w:szCs w:val="24"/>
          <w:highlight w:val="none"/>
        </w:rPr>
        <w:t>1.12委托人要求</w:t>
      </w:r>
      <w:bookmarkEnd w:id="254"/>
    </w:p>
    <w:p w14:paraId="25B84CF3">
      <w:pPr>
        <w:pageBreakBefore w:val="0"/>
        <w:widowControl/>
        <w:kinsoku w:val="0"/>
        <w:wordWrap/>
        <w:overflowPunct/>
        <w:topLinePunct w:val="0"/>
        <w:autoSpaceDE w:val="0"/>
        <w:autoSpaceDN w:val="0"/>
        <w:bidi w:val="0"/>
        <w:adjustRightInd w:val="0"/>
        <w:snapToGrid w:val="0"/>
        <w:spacing w:line="360" w:lineRule="auto"/>
        <w:ind w:left="-15" w:right="-29" w:rightChars="-14"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1.12.1委托人修改委托人要求导致监理人费用增加和(或)周期延误的约定：</w:t>
      </w:r>
      <w:r>
        <w:rPr>
          <w:rFonts w:hint="eastAsia" w:ascii="宋体" w:hAnsi="宋体" w:eastAsia="宋体" w:cs="宋体"/>
          <w:snapToGrid w:val="0"/>
          <w:color w:val="000000"/>
          <w:kern w:val="0"/>
          <w:sz w:val="24"/>
          <w:szCs w:val="24"/>
          <w:highlight w:val="none"/>
          <w:u w:val="single"/>
        </w:rPr>
        <w:t>监理费不做调整</w:t>
      </w:r>
      <w:r>
        <w:rPr>
          <w:rFonts w:hint="eastAsia" w:ascii="宋体" w:hAnsi="宋体" w:eastAsia="宋体" w:cs="宋体"/>
          <w:snapToGrid w:val="0"/>
          <w:color w:val="000000"/>
          <w:kern w:val="0"/>
          <w:sz w:val="24"/>
          <w:szCs w:val="24"/>
          <w:highlight w:val="none"/>
        </w:rPr>
        <w:t>。</w:t>
      </w:r>
    </w:p>
    <w:p w14:paraId="3C275EF6">
      <w:pPr>
        <w:pageBreakBefore w:val="0"/>
        <w:widowControl/>
        <w:kinsoku w:val="0"/>
        <w:wordWrap/>
        <w:overflowPunct/>
        <w:topLinePunct w:val="0"/>
        <w:autoSpaceDE w:val="0"/>
        <w:autoSpaceDN w:val="0"/>
        <w:bidi w:val="0"/>
        <w:adjustRightInd w:val="0"/>
        <w:snapToGrid w:val="0"/>
        <w:spacing w:line="360" w:lineRule="auto"/>
        <w:ind w:right="-29" w:rightChars="-14" w:firstLine="43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1.12.3委托人提供国外规范和标准：</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w:t>
      </w:r>
    </w:p>
    <w:p w14:paraId="694BC759">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55" w:name="_Toc28614852"/>
      <w:r>
        <w:rPr>
          <w:rFonts w:hint="eastAsia" w:ascii="宋体" w:hAnsi="宋体" w:eastAsia="宋体" w:cs="宋体"/>
          <w:bCs/>
          <w:snapToGrid w:val="0"/>
          <w:color w:val="000000"/>
          <w:kern w:val="0"/>
          <w:sz w:val="24"/>
          <w:szCs w:val="24"/>
          <w:highlight w:val="none"/>
        </w:rPr>
        <w:t>2.委托人义务</w:t>
      </w:r>
      <w:bookmarkEnd w:id="255"/>
    </w:p>
    <w:p w14:paraId="456EF30A">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6" w:name="_Toc28614853"/>
      <w:bookmarkStart w:id="257" w:name="_Hlk11747458"/>
      <w:r>
        <w:rPr>
          <w:rFonts w:hint="eastAsia" w:ascii="宋体" w:hAnsi="宋体" w:eastAsia="宋体" w:cs="宋体"/>
          <w:bCs/>
          <w:snapToGrid w:val="0"/>
          <w:color w:val="000000"/>
          <w:kern w:val="0"/>
          <w:sz w:val="24"/>
          <w:szCs w:val="24"/>
          <w:highlight w:val="none"/>
        </w:rPr>
        <w:t>2.2发出开始监理通知</w:t>
      </w:r>
      <w:bookmarkEnd w:id="256"/>
    </w:p>
    <w:p w14:paraId="46E77DAC">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委托人向监理人免费提供的现场办条件：</w:t>
      </w:r>
    </w:p>
    <w:bookmarkEnd w:id="257"/>
    <w:tbl>
      <w:tblPr>
        <w:tblStyle w:val="54"/>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7"/>
        <w:gridCol w:w="833"/>
        <w:gridCol w:w="1260"/>
        <w:gridCol w:w="1620"/>
        <w:gridCol w:w="1514"/>
        <w:gridCol w:w="946"/>
      </w:tblGrid>
      <w:tr w14:paraId="405C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Pr>
          <w:p w14:paraId="4DB81D83">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序号</w:t>
            </w:r>
          </w:p>
        </w:tc>
        <w:tc>
          <w:tcPr>
            <w:tcW w:w="2047" w:type="dxa"/>
          </w:tcPr>
          <w:p w14:paraId="5E9671AC">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名称</w:t>
            </w:r>
          </w:p>
        </w:tc>
        <w:tc>
          <w:tcPr>
            <w:tcW w:w="833" w:type="dxa"/>
          </w:tcPr>
          <w:p w14:paraId="0D2F220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单位</w:t>
            </w:r>
          </w:p>
        </w:tc>
        <w:tc>
          <w:tcPr>
            <w:tcW w:w="1260" w:type="dxa"/>
          </w:tcPr>
          <w:p w14:paraId="6377BA87">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数量</w:t>
            </w:r>
          </w:p>
        </w:tc>
        <w:tc>
          <w:tcPr>
            <w:tcW w:w="1620" w:type="dxa"/>
          </w:tcPr>
          <w:p w14:paraId="10B6B25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提供时间</w:t>
            </w:r>
          </w:p>
        </w:tc>
        <w:tc>
          <w:tcPr>
            <w:tcW w:w="1514" w:type="dxa"/>
          </w:tcPr>
          <w:p w14:paraId="2E58850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交还时间</w:t>
            </w:r>
          </w:p>
        </w:tc>
        <w:tc>
          <w:tcPr>
            <w:tcW w:w="946" w:type="dxa"/>
          </w:tcPr>
          <w:p w14:paraId="39BA5867">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备注</w:t>
            </w:r>
          </w:p>
        </w:tc>
      </w:tr>
      <w:tr w14:paraId="0284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720" w:type="dxa"/>
            <w:tcBorders>
              <w:bottom w:val="single" w:color="auto" w:sz="4" w:space="0"/>
            </w:tcBorders>
            <w:vAlign w:val="center"/>
          </w:tcPr>
          <w:p w14:paraId="5EAC705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w:t>
            </w:r>
          </w:p>
        </w:tc>
        <w:tc>
          <w:tcPr>
            <w:tcW w:w="2047" w:type="dxa"/>
            <w:tcBorders>
              <w:bottom w:val="single" w:color="auto" w:sz="4" w:space="0"/>
            </w:tcBorders>
          </w:tcPr>
          <w:p w14:paraId="5AD1F8F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生活、办公用房</w:t>
            </w:r>
          </w:p>
          <w:p w14:paraId="2A656E14">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w:t>
            </w:r>
          </w:p>
        </w:tc>
        <w:tc>
          <w:tcPr>
            <w:tcW w:w="833" w:type="dxa"/>
            <w:tcBorders>
              <w:bottom w:val="single" w:color="auto" w:sz="4" w:space="0"/>
            </w:tcBorders>
          </w:tcPr>
          <w:p w14:paraId="1B2A287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Borders>
              <w:bottom w:val="single" w:color="auto" w:sz="4" w:space="0"/>
            </w:tcBorders>
          </w:tcPr>
          <w:p w14:paraId="319C227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Borders>
              <w:bottom w:val="single" w:color="auto" w:sz="4" w:space="0"/>
            </w:tcBorders>
          </w:tcPr>
          <w:p w14:paraId="36AE5B1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032CA116">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39F8009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r w14:paraId="102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14:paraId="30579E9C">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w:t>
            </w:r>
          </w:p>
        </w:tc>
        <w:tc>
          <w:tcPr>
            <w:tcW w:w="2047" w:type="dxa"/>
          </w:tcPr>
          <w:p w14:paraId="1C500D96">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办公设施、设备</w:t>
            </w:r>
          </w:p>
          <w:p w14:paraId="7F618A61">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w:t>
            </w:r>
          </w:p>
        </w:tc>
        <w:tc>
          <w:tcPr>
            <w:tcW w:w="833" w:type="dxa"/>
          </w:tcPr>
          <w:p w14:paraId="060C225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Pr>
          <w:p w14:paraId="7904EC9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Pr>
          <w:p w14:paraId="6242BA26">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70BD386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73B2475A">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r w14:paraId="0D83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14:paraId="35DD18B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w:t>
            </w:r>
          </w:p>
        </w:tc>
        <w:tc>
          <w:tcPr>
            <w:tcW w:w="2047" w:type="dxa"/>
          </w:tcPr>
          <w:p w14:paraId="1A36A5B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检验、测试设备</w:t>
            </w:r>
          </w:p>
          <w:p w14:paraId="4869549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w:t>
            </w:r>
          </w:p>
        </w:tc>
        <w:tc>
          <w:tcPr>
            <w:tcW w:w="833" w:type="dxa"/>
          </w:tcPr>
          <w:p w14:paraId="29042914">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Pr>
          <w:p w14:paraId="5A2A3E80">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Pr>
          <w:p w14:paraId="4BBB3F62">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0BCA3BD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3352A2D2">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r w14:paraId="3D3A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720" w:type="dxa"/>
            <w:vAlign w:val="center"/>
          </w:tcPr>
          <w:p w14:paraId="0452288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w:t>
            </w:r>
          </w:p>
        </w:tc>
        <w:tc>
          <w:tcPr>
            <w:tcW w:w="2047" w:type="dxa"/>
          </w:tcPr>
          <w:p w14:paraId="69BC6CF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交通工具</w:t>
            </w:r>
          </w:p>
          <w:p w14:paraId="24BB9C61">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w:t>
            </w:r>
          </w:p>
        </w:tc>
        <w:tc>
          <w:tcPr>
            <w:tcW w:w="833" w:type="dxa"/>
          </w:tcPr>
          <w:p w14:paraId="138F968C">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Pr>
          <w:p w14:paraId="03A3A690">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Pr>
          <w:p w14:paraId="5D61604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4C5F4C8D">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68B1330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r w14:paraId="697F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20" w:type="dxa"/>
            <w:vAlign w:val="center"/>
          </w:tcPr>
          <w:p w14:paraId="5E6FEAE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w:t>
            </w:r>
          </w:p>
        </w:tc>
        <w:tc>
          <w:tcPr>
            <w:tcW w:w="2047" w:type="dxa"/>
            <w:vAlign w:val="center"/>
          </w:tcPr>
          <w:p w14:paraId="01A76A4A">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rPr>
              <w:t>通讯设施</w:t>
            </w:r>
          </w:p>
        </w:tc>
        <w:tc>
          <w:tcPr>
            <w:tcW w:w="833" w:type="dxa"/>
          </w:tcPr>
          <w:p w14:paraId="5BB071D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Pr>
          <w:p w14:paraId="30CF268B">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Pr>
          <w:p w14:paraId="30E4B08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43A9FE03">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62FC9315">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r w14:paraId="0639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20" w:type="dxa"/>
            <w:vAlign w:val="center"/>
          </w:tcPr>
          <w:p w14:paraId="03C18368">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w:t>
            </w:r>
          </w:p>
        </w:tc>
        <w:tc>
          <w:tcPr>
            <w:tcW w:w="2047" w:type="dxa"/>
            <w:vAlign w:val="center"/>
          </w:tcPr>
          <w:p w14:paraId="482428B1">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其他（水、电等）</w:t>
            </w:r>
          </w:p>
        </w:tc>
        <w:tc>
          <w:tcPr>
            <w:tcW w:w="833" w:type="dxa"/>
          </w:tcPr>
          <w:p w14:paraId="1E9698CC">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260" w:type="dxa"/>
          </w:tcPr>
          <w:p w14:paraId="3E2A123A">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620" w:type="dxa"/>
          </w:tcPr>
          <w:p w14:paraId="6F517649">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1514" w:type="dxa"/>
          </w:tcPr>
          <w:p w14:paraId="518901BF">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p>
        </w:tc>
        <w:tc>
          <w:tcPr>
            <w:tcW w:w="946" w:type="dxa"/>
          </w:tcPr>
          <w:p w14:paraId="68C0B3BE">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不提供</w:t>
            </w:r>
          </w:p>
        </w:tc>
      </w:tr>
    </w:tbl>
    <w:p w14:paraId="079A0EA8">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58" w:name="_Toc28614854"/>
      <w:r>
        <w:rPr>
          <w:rFonts w:hint="eastAsia" w:ascii="宋体" w:hAnsi="宋体" w:eastAsia="宋体" w:cs="宋体"/>
          <w:bCs/>
          <w:snapToGrid w:val="0"/>
          <w:color w:val="000000"/>
          <w:kern w:val="0"/>
          <w:sz w:val="24"/>
          <w:szCs w:val="24"/>
          <w:highlight w:val="none"/>
        </w:rPr>
        <w:t>2.6委托人的其他义务</w:t>
      </w:r>
      <w:bookmarkEnd w:id="258"/>
    </w:p>
    <w:p w14:paraId="65F424FB">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2.6.1工程建设外部环境的协调工作。</w:t>
      </w:r>
    </w:p>
    <w:p w14:paraId="0117A5C5">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2.6.2按合同约定的时间、数量、方式，免费向监理机构提供开展监理服务的有关本工程建设的资料。</w:t>
      </w:r>
    </w:p>
    <w:p w14:paraId="26455273">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2.6.3在合同约定的时间内，就监理机构书面提交并要求作出决定的重大问题作出书面决定，并及时送达监理机构。超过约定的时间，监理机构未收到委托人的书面决定，且委托人未说明理由，监理机构可认委托人对其提出的事宜已无不同意见，无须再作确认。</w:t>
      </w:r>
    </w:p>
    <w:p w14:paraId="0AB630C7">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2.6.4与承包人签订的施工合同中明确其赋予监理的权利，并在工程开工前将监理单位、总监理工程师通知承包人。</w:t>
      </w:r>
    </w:p>
    <w:p w14:paraId="42E7DC93">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2.6.5提供监理人员在现场必要的工作和生活条件，具体内容在专用合同条款中明确。如果发包人不能提供上述条件的，应按实际发生费用给予监理补偿。</w:t>
      </w:r>
    </w:p>
    <w:p w14:paraId="4E355CF1">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2.6.6为监理机构指定具有检验、试验资质的机构并承担检验、试验相关费用。</w:t>
      </w:r>
    </w:p>
    <w:p w14:paraId="0DE65E6B">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2.6.7保证监理机构工作的独立性，不干涉监理机构正常开展监理业务，不擅自作出有悖于监理机构在合同授权范围内所作出的指示和决定；未经监理机构签字确认，不得支付工程款。</w:t>
      </w:r>
    </w:p>
    <w:p w14:paraId="319BE9B1">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2.6.8为监理人员投保人身意外伤害险和第三者责任险。如要求监理人自己投保，则应同意监理人将投标的费用计入报价中。是否由委托人为监理人员投保：</w:t>
      </w:r>
      <w:r>
        <w:rPr>
          <w:rFonts w:hint="eastAsia" w:ascii="宋体" w:hAnsi="宋体" w:eastAsia="宋体" w:cs="宋体"/>
          <w:snapToGrid w:val="0"/>
          <w:color w:val="000000"/>
          <w:kern w:val="0"/>
          <w:sz w:val="24"/>
          <w:szCs w:val="24"/>
          <w:highlight w:val="none"/>
          <w:u w:val="single"/>
        </w:rPr>
        <w:t>监理人自己投保，费用含在投标报价中。监理人应自费办理派驻现场监理机构人员人身和自备财产的有关保险，保险时间包括全部监理服务期，并自行办理索赔。如监理人不及时办理上述保险，则应对有关风险及后果自负其责。</w:t>
      </w:r>
    </w:p>
    <w:p w14:paraId="2075B0EA">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2.6.9将投保工程险的保险合同提供给监理人作为工程合同管理的一部分。</w:t>
      </w:r>
    </w:p>
    <w:p w14:paraId="3185DD6C">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2.6.10未经监理人同意，不得将监理人用于本工程监理服务的适合文件直接或间接用于其他工程建设之中。</w:t>
      </w:r>
    </w:p>
    <w:p w14:paraId="1EEF1475">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59" w:name="_Toc28614855"/>
      <w:r>
        <w:rPr>
          <w:rFonts w:hint="eastAsia" w:ascii="宋体" w:hAnsi="宋体" w:eastAsia="宋体" w:cs="宋体"/>
          <w:bCs/>
          <w:snapToGrid w:val="0"/>
          <w:color w:val="000000"/>
          <w:kern w:val="0"/>
          <w:sz w:val="24"/>
          <w:szCs w:val="24"/>
          <w:highlight w:val="none"/>
        </w:rPr>
        <w:t>3.委托人管理</w:t>
      </w:r>
      <w:bookmarkEnd w:id="259"/>
    </w:p>
    <w:p w14:paraId="636D2C20">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60" w:name="_Toc28614856"/>
      <w:r>
        <w:rPr>
          <w:rFonts w:hint="eastAsia" w:ascii="宋体" w:hAnsi="宋体" w:eastAsia="宋体" w:cs="宋体"/>
          <w:bCs/>
          <w:snapToGrid w:val="0"/>
          <w:color w:val="000000"/>
          <w:kern w:val="0"/>
          <w:sz w:val="24"/>
          <w:szCs w:val="24"/>
          <w:highlight w:val="none"/>
        </w:rPr>
        <w:t>3.1委托人代表</w:t>
      </w:r>
      <w:bookmarkEnd w:id="260"/>
    </w:p>
    <w:p w14:paraId="508F0AF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3.1.1将委托人代表的姓名、职务、联系方式、授权范围和授权期限书面通知监理人时限：</w:t>
      </w:r>
      <w:r>
        <w:rPr>
          <w:rFonts w:hint="eastAsia" w:ascii="宋体" w:hAnsi="宋体" w:eastAsia="宋体" w:cs="宋体"/>
          <w:snapToGrid w:val="0"/>
          <w:color w:val="000000"/>
          <w:kern w:val="0"/>
          <w:sz w:val="24"/>
          <w:szCs w:val="24"/>
          <w:highlight w:val="none"/>
          <w:u w:val="single"/>
        </w:rPr>
        <w:t>开工前一周内</w:t>
      </w:r>
      <w:r>
        <w:rPr>
          <w:rFonts w:hint="eastAsia" w:ascii="宋体" w:hAnsi="宋体" w:eastAsia="宋体" w:cs="宋体"/>
          <w:snapToGrid w:val="0"/>
          <w:color w:val="000000"/>
          <w:kern w:val="0"/>
          <w:sz w:val="24"/>
          <w:szCs w:val="24"/>
          <w:highlight w:val="none"/>
        </w:rPr>
        <w:t>。</w:t>
      </w:r>
    </w:p>
    <w:p w14:paraId="587D67FF">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61" w:name="_Toc28614857"/>
      <w:r>
        <w:rPr>
          <w:rFonts w:hint="eastAsia" w:ascii="宋体" w:hAnsi="宋体" w:eastAsia="宋体" w:cs="宋体"/>
          <w:bCs/>
          <w:snapToGrid w:val="0"/>
          <w:color w:val="000000"/>
          <w:kern w:val="0"/>
          <w:sz w:val="24"/>
          <w:szCs w:val="24"/>
          <w:highlight w:val="none"/>
        </w:rPr>
        <w:t>3.3决定或答复</w:t>
      </w:r>
      <w:bookmarkEnd w:id="261"/>
    </w:p>
    <w:p w14:paraId="77EFC567">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rPr>
      </w:pPr>
      <w:bookmarkStart w:id="262" w:name="_Hlk11746235"/>
      <w:r>
        <w:rPr>
          <w:rFonts w:hint="eastAsia" w:ascii="宋体" w:hAnsi="宋体" w:eastAsia="宋体" w:cs="宋体"/>
          <w:snapToGrid w:val="0"/>
          <w:color w:val="000000"/>
          <w:kern w:val="0"/>
          <w:sz w:val="24"/>
          <w:szCs w:val="24"/>
          <w:highlight w:val="none"/>
        </w:rPr>
        <w:t>3.3.2委托人</w:t>
      </w:r>
      <w:bookmarkEnd w:id="262"/>
      <w:r>
        <w:rPr>
          <w:rFonts w:hint="eastAsia" w:ascii="宋体" w:hAnsi="宋体" w:eastAsia="宋体" w:cs="宋体"/>
          <w:snapToGrid w:val="0"/>
          <w:color w:val="000000"/>
          <w:kern w:val="0"/>
          <w:sz w:val="24"/>
          <w:szCs w:val="24"/>
          <w:highlight w:val="none"/>
        </w:rPr>
        <w:t>对监理人书面提出的事项作出书面答复时间的约定如下，逾期视为已获得批准：</w:t>
      </w:r>
    </w:p>
    <w:p w14:paraId="12B4A40D">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rPr>
      </w:pPr>
      <w:bookmarkStart w:id="263" w:name="_Toc201486068"/>
      <w:r>
        <w:rPr>
          <w:rFonts w:hint="eastAsia" w:ascii="宋体" w:hAnsi="宋体" w:eastAsia="宋体" w:cs="宋体"/>
          <w:snapToGrid w:val="0"/>
          <w:color w:val="000000"/>
          <w:kern w:val="0"/>
          <w:sz w:val="24"/>
          <w:szCs w:val="24"/>
          <w:highlight w:val="none"/>
        </w:rPr>
        <w:t>一般文件</w:t>
      </w:r>
      <w:r>
        <w:rPr>
          <w:rFonts w:hint="eastAsia" w:ascii="宋体" w:hAnsi="宋体" w:eastAsia="宋体" w:cs="宋体"/>
          <w:snapToGrid w:val="0"/>
          <w:color w:val="000000"/>
          <w:kern w:val="0"/>
          <w:sz w:val="24"/>
          <w:szCs w:val="24"/>
          <w:highlight w:val="none"/>
          <w:u w:val="single"/>
        </w:rPr>
        <w:t>7</w:t>
      </w:r>
      <w:r>
        <w:rPr>
          <w:rFonts w:hint="eastAsia" w:ascii="宋体" w:hAnsi="宋体" w:eastAsia="宋体" w:cs="宋体"/>
          <w:snapToGrid w:val="0"/>
          <w:color w:val="000000"/>
          <w:kern w:val="0"/>
          <w:sz w:val="24"/>
          <w:szCs w:val="24"/>
          <w:highlight w:val="none"/>
        </w:rPr>
        <w:t>天；紧急事项_</w:t>
      </w:r>
      <w:r>
        <w:rPr>
          <w:rFonts w:hint="eastAsia" w:ascii="宋体" w:hAnsi="宋体" w:eastAsia="宋体" w:cs="宋体"/>
          <w:snapToGrid w:val="0"/>
          <w:color w:val="000000"/>
          <w:kern w:val="0"/>
          <w:sz w:val="24"/>
          <w:szCs w:val="24"/>
          <w:highlight w:val="none"/>
          <w:u w:val="single"/>
        </w:rPr>
        <w:t>3_</w:t>
      </w:r>
      <w:r>
        <w:rPr>
          <w:rFonts w:hint="eastAsia" w:ascii="宋体" w:hAnsi="宋体" w:eastAsia="宋体" w:cs="宋体"/>
          <w:snapToGrid w:val="0"/>
          <w:color w:val="000000"/>
          <w:kern w:val="0"/>
          <w:sz w:val="24"/>
          <w:szCs w:val="24"/>
          <w:highlight w:val="none"/>
        </w:rPr>
        <w:t>天；变更文件</w:t>
      </w:r>
      <w:r>
        <w:rPr>
          <w:rFonts w:hint="eastAsia" w:ascii="宋体" w:hAnsi="宋体" w:eastAsia="宋体" w:cs="宋体"/>
          <w:snapToGrid w:val="0"/>
          <w:color w:val="000000"/>
          <w:kern w:val="0"/>
          <w:sz w:val="24"/>
          <w:szCs w:val="24"/>
          <w:highlight w:val="none"/>
          <w:u w:val="single"/>
        </w:rPr>
        <w:t>14</w:t>
      </w:r>
      <w:r>
        <w:rPr>
          <w:rFonts w:hint="eastAsia" w:ascii="宋体" w:hAnsi="宋体" w:eastAsia="宋体" w:cs="宋体"/>
          <w:snapToGrid w:val="0"/>
          <w:color w:val="000000"/>
          <w:kern w:val="0"/>
          <w:sz w:val="24"/>
          <w:szCs w:val="24"/>
          <w:highlight w:val="none"/>
        </w:rPr>
        <w:t>天。</w:t>
      </w:r>
      <w:bookmarkEnd w:id="263"/>
    </w:p>
    <w:p w14:paraId="74498109">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64" w:name="_Toc28614858"/>
      <w:r>
        <w:rPr>
          <w:rFonts w:hint="eastAsia" w:ascii="宋体" w:hAnsi="宋体" w:eastAsia="宋体" w:cs="宋体"/>
          <w:bCs/>
          <w:snapToGrid w:val="0"/>
          <w:color w:val="000000"/>
          <w:kern w:val="0"/>
          <w:sz w:val="24"/>
          <w:szCs w:val="24"/>
          <w:highlight w:val="none"/>
        </w:rPr>
        <w:t>4.监理人义务</w:t>
      </w:r>
      <w:bookmarkEnd w:id="264"/>
    </w:p>
    <w:p w14:paraId="2376C3F4">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4.1.4监理人的其他义务</w:t>
      </w:r>
    </w:p>
    <w:p w14:paraId="6B1C9CEF">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bookmarkStart w:id="265" w:name="_Hlk11746397"/>
      <w:r>
        <w:rPr>
          <w:rFonts w:hint="eastAsia" w:ascii="宋体" w:hAnsi="宋体" w:eastAsia="宋体" w:cs="宋体"/>
          <w:snapToGrid w:val="0"/>
          <w:color w:val="000000"/>
          <w:kern w:val="0"/>
          <w:sz w:val="24"/>
          <w:szCs w:val="24"/>
          <w:highlight w:val="none"/>
        </w:rPr>
        <w:t>4.1.4.1</w:t>
      </w:r>
      <w:bookmarkEnd w:id="265"/>
      <w:r>
        <w:rPr>
          <w:rFonts w:hint="eastAsia" w:ascii="宋体" w:hAnsi="宋体" w:eastAsia="宋体" w:cs="宋体"/>
          <w:snapToGrid w:val="0"/>
          <w:color w:val="000000"/>
          <w:kern w:val="0"/>
          <w:sz w:val="24"/>
          <w:szCs w:val="24"/>
          <w:highlight w:val="none"/>
        </w:rPr>
        <w:t>本着“守法、诚信、公正、科学”的原则，按专用合同条款约定的监理服务内容为委托人提供优质服务。</w:t>
      </w:r>
    </w:p>
    <w:p w14:paraId="32973FE5">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4.1.4.2在</w:t>
      </w:r>
      <w:r>
        <w:rPr>
          <w:rFonts w:hint="eastAsia" w:ascii="宋体" w:hAnsi="宋体" w:eastAsia="宋体" w:cs="宋体"/>
          <w:snapToGrid w:val="0"/>
          <w:color w:val="000000"/>
          <w:kern w:val="0"/>
          <w:sz w:val="24"/>
          <w:szCs w:val="24"/>
          <w:highlight w:val="none"/>
          <w:u w:val="single"/>
        </w:rPr>
        <w:t>本合同生效后7天内</w:t>
      </w:r>
      <w:r>
        <w:rPr>
          <w:rFonts w:hint="eastAsia" w:ascii="宋体" w:hAnsi="宋体" w:eastAsia="宋体" w:cs="宋体"/>
          <w:snapToGrid w:val="0"/>
          <w:color w:val="000000"/>
          <w:kern w:val="0"/>
          <w:sz w:val="24"/>
          <w:szCs w:val="24"/>
          <w:highlight w:val="none"/>
        </w:rPr>
        <w:t>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监理人应指定专人对施工企业项目部的主要管理人员进行考勤，考勤结果经总监签字后装订成册。</w:t>
      </w:r>
    </w:p>
    <w:p w14:paraId="6441AAFE">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4.1.4.3发现设计文件不符合有关规定或合同约定时，应向委托人报告。</w:t>
      </w:r>
    </w:p>
    <w:p w14:paraId="7A3681EC">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4.1.4.4核验建筑材料、建筑构配件和设备质量，检查、检验并确定工程的施工质量；检查施工安全生产情况。发现存在质量、安全事故隐患，或发生质量、安全事故，应按有关规定及时采取相应的监理措施。</w:t>
      </w:r>
    </w:p>
    <w:p w14:paraId="6225CD62">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4.1.4.5监督、检查工程施工进度。</w:t>
      </w:r>
    </w:p>
    <w:p w14:paraId="1D7287B8">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4.1.4.6按照委托人签订的工程保险合同，做好施工现场工程保险合同的管理。协助委托人向保险公司及时提供一切必要的材料和证据。</w:t>
      </w:r>
    </w:p>
    <w:p w14:paraId="1864FACF">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4.1.4.7协调施工合同各方之间的关系。</w:t>
      </w:r>
    </w:p>
    <w:p w14:paraId="2769746E">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4.1.4.1按照施工作业程序，采取旁站、巡视、跟踪检测和平行检测等方法实施监理。需要旁站的重要部位和关键工序：</w:t>
      </w:r>
      <w:r>
        <w:rPr>
          <w:rFonts w:hint="eastAsia" w:ascii="宋体" w:hAnsi="宋体" w:eastAsia="宋体" w:cs="宋体"/>
          <w:snapToGrid w:val="0"/>
          <w:color w:val="000000"/>
          <w:kern w:val="0"/>
          <w:sz w:val="24"/>
          <w:szCs w:val="24"/>
          <w:highlight w:val="none"/>
          <w:u w:val="single"/>
        </w:rPr>
        <w:t>由监理机构在合同生效后 14 天内提出包括但不限于旁站、巡视、跟踪检测方案，经委托人批准后实施。监理人须按照规定进行独立完成的平行检测，检测数量不少于相关规定要求，检测费用由监理人承担。</w:t>
      </w:r>
    </w:p>
    <w:p w14:paraId="05CD9615">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4.1.4.8及时做好工程施工过程各种监理信息的收集、整理和归档，并保证现场记录、试验、检验、检查等资料的完整和真实。</w:t>
      </w:r>
    </w:p>
    <w:p w14:paraId="3C46C925">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4.1.4.9编制《监理日志》，并向委托人提交监理月报、监理专题报告、监理工作报告和监理工作总结报告。</w:t>
      </w:r>
    </w:p>
    <w:p w14:paraId="5E7C47AD">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4.1.4.10按有关规定参加工程验收，做好相关配合工作。委托人委托监理人主持的部分工程验收由专用合同条款约定。</w:t>
      </w:r>
    </w:p>
    <w:p w14:paraId="4805B0C1">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4.1.4.11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42153BCB">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66" w:name="_Toc28614859"/>
      <w:r>
        <w:rPr>
          <w:rFonts w:hint="eastAsia" w:ascii="宋体" w:hAnsi="宋体" w:eastAsia="宋体" w:cs="宋体"/>
          <w:bCs/>
          <w:snapToGrid w:val="0"/>
          <w:color w:val="000000"/>
          <w:kern w:val="0"/>
          <w:sz w:val="24"/>
          <w:szCs w:val="24"/>
          <w:highlight w:val="none"/>
        </w:rPr>
        <w:t>4.2履约保证金</w:t>
      </w:r>
      <w:bookmarkEnd w:id="266"/>
    </w:p>
    <w:p w14:paraId="47DF492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bookmarkStart w:id="267" w:name="_Hlk11740753"/>
      <w:r>
        <w:rPr>
          <w:rFonts w:hint="eastAsia" w:ascii="宋体" w:hAnsi="宋体" w:eastAsia="宋体" w:cs="宋体"/>
          <w:snapToGrid w:val="0"/>
          <w:color w:val="000000"/>
          <w:kern w:val="0"/>
          <w:sz w:val="24"/>
          <w:szCs w:val="24"/>
          <w:highlight w:val="none"/>
        </w:rPr>
        <w:t>履约保证金生效、失效日期：</w:t>
      </w:r>
      <w:r>
        <w:rPr>
          <w:rFonts w:hint="eastAsia" w:ascii="宋体" w:hAnsi="宋体" w:eastAsia="宋体" w:cs="宋体"/>
          <w:snapToGrid w:val="0"/>
          <w:color w:val="000000"/>
          <w:kern w:val="0"/>
          <w:sz w:val="24"/>
          <w:szCs w:val="24"/>
          <w:highlight w:val="none"/>
          <w:u w:val="single"/>
        </w:rPr>
        <w:t>签订合同前提供履约担保，工程完工验收通过后失效</w:t>
      </w:r>
      <w:r>
        <w:rPr>
          <w:rFonts w:hint="eastAsia" w:ascii="宋体" w:hAnsi="宋体" w:eastAsia="宋体" w:cs="宋体"/>
          <w:snapToGrid w:val="0"/>
          <w:color w:val="000000"/>
          <w:kern w:val="0"/>
          <w:sz w:val="24"/>
          <w:szCs w:val="24"/>
          <w:highlight w:val="none"/>
        </w:rPr>
        <w:t>。</w:t>
      </w:r>
    </w:p>
    <w:bookmarkEnd w:id="267"/>
    <w:p w14:paraId="341535E9">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68" w:name="_Toc28614860"/>
      <w:r>
        <w:rPr>
          <w:rFonts w:hint="eastAsia" w:ascii="宋体" w:hAnsi="宋体" w:eastAsia="宋体" w:cs="宋体"/>
          <w:bCs/>
          <w:snapToGrid w:val="0"/>
          <w:color w:val="000000"/>
          <w:kern w:val="0"/>
          <w:sz w:val="24"/>
          <w:szCs w:val="24"/>
          <w:highlight w:val="none"/>
        </w:rPr>
        <w:t>4.4总监理工程师</w:t>
      </w:r>
      <w:bookmarkEnd w:id="268"/>
    </w:p>
    <w:p w14:paraId="5568805D">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none"/>
        </w:rPr>
        <w:t>4.4.1</w:t>
      </w:r>
      <w:r>
        <w:rPr>
          <w:rFonts w:hint="eastAsia" w:ascii="宋体" w:hAnsi="宋体" w:eastAsia="宋体" w:cs="宋体"/>
          <w:snapToGrid w:val="0"/>
          <w:color w:val="000000"/>
          <w:kern w:val="0"/>
          <w:sz w:val="24"/>
          <w:szCs w:val="24"/>
          <w:highlight w:val="none"/>
          <w:u w:val="single"/>
        </w:rPr>
        <w:t>监理人原则上不得更换总监，特殊情况下应提出书面申请并征得委托人同意后报江苏省水利工程招标投标管理办公室备案，若监理人擅自更换总监，委托人有权终止合同，凡因监理人原因要求并经委托人同意更换总监的处以违约金</w:t>
      </w:r>
      <w:r>
        <w:rPr>
          <w:rFonts w:hint="eastAsia" w:ascii="宋体" w:hAnsi="宋体" w:cs="宋体"/>
          <w:snapToGrid w:val="0"/>
          <w:color w:val="000000"/>
          <w:kern w:val="0"/>
          <w:sz w:val="24"/>
          <w:szCs w:val="24"/>
          <w:highlight w:val="none"/>
          <w:u w:val="single"/>
          <w:lang w:val="en-US" w:eastAsia="zh-CN"/>
        </w:rPr>
        <w:t>1</w:t>
      </w:r>
      <w:r>
        <w:rPr>
          <w:rFonts w:hint="eastAsia" w:ascii="宋体" w:hAnsi="宋体" w:eastAsia="宋体" w:cs="宋体"/>
          <w:snapToGrid w:val="0"/>
          <w:color w:val="000000"/>
          <w:kern w:val="0"/>
          <w:sz w:val="24"/>
          <w:szCs w:val="24"/>
          <w:highlight w:val="none"/>
          <w:u w:val="single"/>
        </w:rPr>
        <w:t>万元。</w:t>
      </w:r>
    </w:p>
    <w:p w14:paraId="0BEA420D">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4.4.4</w:t>
      </w:r>
      <w:r>
        <w:rPr>
          <w:rFonts w:hint="eastAsia" w:ascii="宋体" w:hAnsi="宋体" w:eastAsia="宋体" w:cs="宋体"/>
          <w:snapToGrid w:val="0"/>
          <w:color w:val="000000"/>
          <w:kern w:val="0"/>
          <w:sz w:val="24"/>
          <w:szCs w:val="24"/>
          <w:highlight w:val="none"/>
          <w:u w:val="single"/>
        </w:rPr>
        <w:t>总监理工程师授权其下属履职的约定：经监理人向委托人申请并经同意后方可由总监理工程师授权副总监理工程师履行其相关职责。</w:t>
      </w:r>
      <w:r>
        <w:rPr>
          <w:rFonts w:hint="eastAsia" w:ascii="宋体" w:hAnsi="宋体" w:eastAsia="宋体" w:cs="宋体"/>
          <w:snapToGrid w:val="0"/>
          <w:color w:val="000000"/>
          <w:kern w:val="0"/>
          <w:sz w:val="24"/>
          <w:szCs w:val="24"/>
          <w:highlight w:val="none"/>
        </w:rPr>
        <w:t>。</w:t>
      </w:r>
    </w:p>
    <w:p w14:paraId="6C212741">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69" w:name="_Toc28614861"/>
      <w:r>
        <w:rPr>
          <w:rFonts w:hint="eastAsia" w:ascii="宋体" w:hAnsi="宋体" w:eastAsia="宋体" w:cs="宋体"/>
          <w:bCs/>
          <w:snapToGrid w:val="0"/>
          <w:color w:val="000000"/>
          <w:kern w:val="0"/>
          <w:sz w:val="24"/>
          <w:szCs w:val="24"/>
          <w:highlight w:val="none"/>
        </w:rPr>
        <w:t>4.5监理人员的管理</w:t>
      </w:r>
      <w:bookmarkEnd w:id="269"/>
    </w:p>
    <w:p w14:paraId="72F6C183">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w:t>
      </w:r>
      <w:r>
        <w:rPr>
          <w:rFonts w:hint="eastAsia" w:ascii="宋体" w:hAnsi="宋体" w:eastAsia="宋体" w:cs="宋体"/>
          <w:snapToGrid w:val="0"/>
          <w:color w:val="000000"/>
          <w:kern w:val="0"/>
          <w:sz w:val="24"/>
          <w:szCs w:val="24"/>
          <w:highlight w:val="none"/>
          <w:lang w:val="en-US" w:eastAsia="zh-CN"/>
        </w:rPr>
        <w:t>1</w:t>
      </w:r>
      <w:r>
        <w:rPr>
          <w:rFonts w:hint="eastAsia" w:ascii="宋体" w:hAnsi="宋体" w:eastAsia="宋体" w:cs="宋体"/>
          <w:snapToGrid w:val="0"/>
          <w:color w:val="000000"/>
          <w:kern w:val="0"/>
          <w:sz w:val="24"/>
          <w:szCs w:val="24"/>
          <w:highlight w:val="none"/>
        </w:rPr>
        <w:t>约定：</w:t>
      </w:r>
    </w:p>
    <w:p w14:paraId="70DDDE14">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4.5.1 约定：</w:t>
      </w:r>
    </w:p>
    <w:p w14:paraId="5C434EAB">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监理人应当在本合同生效后 7 天内组建监理机构，并按投标的承诺按计划进驻现场，监理人在工的各专业监理人员须满足施工进度安排要求。</w:t>
      </w:r>
    </w:p>
    <w:p w14:paraId="6EC0CB16">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监理人应按投标约定的人员、数量、服务时限履约，原则上所有主要监理人员均不得更换，特殊情况下应提出书面申请并征得委托人同意后报江苏省水利工程招标投标管理办公室备案，凡因监理人原因要求并经委托人同意更换其他主要监理人员 1 名，处以违约金 2 万元，在监理费支付中扣除。</w:t>
      </w:r>
    </w:p>
    <w:p w14:paraId="7645C9C4">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总监理工程师应常驻现场，每月在现场工作时间应不少于 22 天。否则委托人将按少于 22天的天数每天 2000 元对监理人处以违约金，并在当期的监理费支付予以扣除；总监理工程师如离开工地，副总监理工程师必须在现场负责监理工作。</w:t>
      </w:r>
    </w:p>
    <w:p w14:paraId="5A88BD43">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监理服务期（尤其是施工阶段）内，监理人应认真执行监理人员进场计划，在工的人员数量不得少于 5 人，施工期实际在工人员与投标计划在工人员每少 1 人（按每月在工 22 天），每人每天处以违约金 1000 元。</w:t>
      </w:r>
    </w:p>
    <w:p w14:paraId="01FEE689">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上述人员的考勤由建设处明确专人负责，并经委托人负责人签字后装订成册。</w:t>
      </w:r>
    </w:p>
    <w:p w14:paraId="61BEF639">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70" w:name="_Toc28614862"/>
      <w:r>
        <w:rPr>
          <w:rFonts w:hint="eastAsia" w:ascii="宋体" w:hAnsi="宋体" w:eastAsia="宋体" w:cs="宋体"/>
          <w:bCs/>
          <w:snapToGrid w:val="0"/>
          <w:color w:val="000000"/>
          <w:kern w:val="0"/>
          <w:sz w:val="24"/>
          <w:szCs w:val="24"/>
          <w:highlight w:val="none"/>
        </w:rPr>
        <w:t>5.监理要求</w:t>
      </w:r>
      <w:bookmarkEnd w:id="270"/>
    </w:p>
    <w:p w14:paraId="0C0E2C99">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71" w:name="_Toc28614863"/>
      <w:r>
        <w:rPr>
          <w:rFonts w:hint="eastAsia" w:ascii="宋体" w:hAnsi="宋体" w:eastAsia="宋体" w:cs="宋体"/>
          <w:bCs/>
          <w:snapToGrid w:val="0"/>
          <w:color w:val="000000"/>
          <w:kern w:val="0"/>
          <w:sz w:val="24"/>
          <w:szCs w:val="24"/>
          <w:highlight w:val="none"/>
        </w:rPr>
        <w:t>5.1监理范围</w:t>
      </w:r>
      <w:bookmarkEnd w:id="271"/>
    </w:p>
    <w:p w14:paraId="0C2E82C1">
      <w:pPr>
        <w:pageBreakBefore w:val="0"/>
        <w:widowControl/>
        <w:kinsoku w:val="0"/>
        <w:wordWrap/>
        <w:overflowPunct/>
        <w:topLinePunct w:val="0"/>
        <w:autoSpaceDE w:val="0"/>
        <w:autoSpaceDN w:val="0"/>
        <w:bidi w:val="0"/>
        <w:adjustRightInd w:val="0"/>
        <w:snapToGrid w:val="0"/>
        <w:spacing w:line="360" w:lineRule="auto"/>
        <w:ind w:left="417" w:right="-29" w:rightChars="-14"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5.1.2工程范围：</w:t>
      </w:r>
      <w:r>
        <w:rPr>
          <w:rFonts w:hint="eastAsia" w:ascii="宋体" w:hAnsi="宋体" w:cs="宋体"/>
          <w:snapToGrid w:val="0"/>
          <w:color w:val="000000"/>
          <w:kern w:val="0"/>
          <w:sz w:val="24"/>
          <w:szCs w:val="24"/>
          <w:highlight w:val="none"/>
          <w:u w:val="single"/>
          <w:lang w:val="en-US" w:eastAsia="zh-CN"/>
        </w:rPr>
        <w:t xml:space="preserve">  </w:t>
      </w:r>
      <w:r>
        <w:rPr>
          <w:rFonts w:hint="eastAsia" w:ascii="宋体" w:hAnsi="宋体" w:eastAsia="宋体" w:cs="宋体"/>
          <w:snapToGrid w:val="0"/>
          <w:color w:val="000000"/>
          <w:kern w:val="0"/>
          <w:sz w:val="24"/>
          <w:szCs w:val="24"/>
          <w:highlight w:val="none"/>
        </w:rPr>
        <w:t>。</w:t>
      </w:r>
    </w:p>
    <w:p w14:paraId="4C85040D">
      <w:pPr>
        <w:kinsoku w:val="0"/>
        <w:autoSpaceDE w:val="0"/>
        <w:autoSpaceDN w:val="0"/>
        <w:adjustRightInd w:val="0"/>
        <w:snapToGrid w:val="0"/>
        <w:spacing w:after="120" w:line="360" w:lineRule="auto"/>
        <w:ind w:left="420" w:leftChars="200" w:firstLine="480" w:firstLineChars="200"/>
        <w:textAlignment w:val="baseline"/>
        <w:rPr>
          <w:rFonts w:hint="eastAsia" w:ascii="宋体" w:hAnsi="宋体" w:eastAsia="宋体" w:cs="宋体"/>
          <w:snapToGrid w:val="0"/>
          <w:color w:val="000000"/>
          <w:sz w:val="24"/>
          <w:szCs w:val="24"/>
          <w:highlight w:val="none"/>
          <w:u w:val="single"/>
          <w:lang w:val="en-US" w:eastAsia="zh-CN" w:bidi="ar-SA"/>
        </w:rPr>
      </w:pPr>
      <w:r>
        <w:rPr>
          <w:rFonts w:hint="eastAsia" w:ascii="宋体" w:hAnsi="宋体" w:eastAsia="宋体" w:cs="宋体"/>
          <w:snapToGrid w:val="0"/>
          <w:color w:val="000000"/>
          <w:sz w:val="24"/>
          <w:szCs w:val="24"/>
          <w:highlight w:val="none"/>
          <w:u w:val="single"/>
          <w:lang w:val="en-US" w:eastAsia="zh-CN" w:bidi="ar-SA"/>
        </w:rPr>
        <w:t>因法律法规、行政监管等要求导致部分工程内容无法正常开展的，监理人不因此追究招标人的相关法律责任。</w:t>
      </w:r>
    </w:p>
    <w:p w14:paraId="625C3B91">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u w:val="single"/>
          <w:lang w:eastAsia="zh-CN"/>
        </w:rPr>
      </w:pPr>
      <w:r>
        <w:rPr>
          <w:rFonts w:hint="eastAsia" w:ascii="宋体" w:hAnsi="宋体" w:eastAsia="宋体" w:cs="宋体"/>
          <w:snapToGrid w:val="0"/>
          <w:color w:val="000000"/>
          <w:kern w:val="0"/>
          <w:sz w:val="24"/>
          <w:szCs w:val="24"/>
          <w:highlight w:val="none"/>
        </w:rPr>
        <w:t>5.1.3具体阶段范围：</w:t>
      </w:r>
      <w:r>
        <w:rPr>
          <w:rFonts w:hint="eastAsia" w:ascii="宋体" w:hAnsi="宋体" w:eastAsia="宋体" w:cs="宋体"/>
          <w:snapToGrid w:val="0"/>
          <w:color w:val="000000"/>
          <w:kern w:val="0"/>
          <w:sz w:val="24"/>
          <w:szCs w:val="24"/>
          <w:highlight w:val="none"/>
          <w:u w:val="single"/>
        </w:rPr>
        <w:t>施工期及缺陷责任期的建设监理工作（含水保监理、环保监理）</w:t>
      </w:r>
      <w:r>
        <w:rPr>
          <w:rFonts w:hint="eastAsia" w:ascii="宋体" w:hAnsi="宋体" w:eastAsia="宋体" w:cs="宋体"/>
          <w:snapToGrid w:val="0"/>
          <w:color w:val="000000"/>
          <w:kern w:val="0"/>
          <w:sz w:val="24"/>
          <w:szCs w:val="24"/>
          <w:highlight w:val="none"/>
          <w:u w:val="single"/>
          <w:lang w:eastAsia="zh-CN"/>
        </w:rPr>
        <w:t>。</w:t>
      </w:r>
    </w:p>
    <w:p w14:paraId="56D35568">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其中，（1）施工阶段服务期：以委托人书面通知监理工作开始之日起，至工程完工验收合格，签发工程移交证书止为施工阶段服务期（包括施工单位进场前施工招标期及完工资料整理、工程扫尾工作期）。</w:t>
      </w:r>
    </w:p>
    <w:p w14:paraId="07903723">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（2）缺陷责任阶段服务期：工程完工验收合格，签发工程移交证书起 12 个月为缺陷责任阶段服务期。</w:t>
      </w:r>
    </w:p>
    <w:p w14:paraId="15C99C71">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5.1.4 具体工作范围：包括但不限于监理工作中的质量控制、进度控制、投资控制、合同管理、信息管理、组织协调和安全监理、环保监理等。</w:t>
      </w:r>
    </w:p>
    <w:p w14:paraId="34B20CBA">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u w:val="single"/>
        </w:rPr>
        <w:t>增加 5.1.5 监理方式：采取旁站、巡视、见证取样、跟踪检测、平行检验等监理方式。</w:t>
      </w:r>
    </w:p>
    <w:p w14:paraId="2B32F238">
      <w:pPr>
        <w:pageBreakBefore w:val="0"/>
        <w:widowControl/>
        <w:kinsoku w:val="0"/>
        <w:wordWrap/>
        <w:overflowPunct/>
        <w:topLinePunct w:val="0"/>
        <w:autoSpaceDE w:val="0"/>
        <w:autoSpaceDN w:val="0"/>
        <w:bidi w:val="0"/>
        <w:adjustRightInd w:val="0"/>
        <w:snapToGrid w:val="0"/>
        <w:spacing w:line="360" w:lineRule="auto"/>
        <w:ind w:firstLine="240" w:firstLineChars="1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监理工作内容还包括：</w:t>
      </w:r>
      <w:bookmarkStart w:id="272" w:name="EB16b1fbf10603454ca471fac6f63621cb"/>
    </w:p>
    <w:bookmarkEnd w:id="272"/>
    <w:p w14:paraId="2E055960">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（1）协助委托人与承包人签订施工合同；</w:t>
      </w:r>
    </w:p>
    <w:p w14:paraId="6577654B">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（2）协助委托人做好项目前期以及开工建设等相关工作；</w:t>
      </w:r>
    </w:p>
    <w:p w14:paraId="4D4E26A8">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（3）审定承包人的施工组织设计，并编写有针对性的监理细则；</w:t>
      </w:r>
    </w:p>
    <w:p w14:paraId="423A6107">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（4）协调各承包人各工种间的配合；</w:t>
      </w:r>
    </w:p>
    <w:p w14:paraId="51EBD612">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参与有关材料、设备供货厂家的考察、订货及生产过程的监督检查；检验其合格证、质保书及试验报告等；核定承包人开具的材料设备清单，检查工程所用材料、构件、设备的规格、质量、数量，并对质量有疑问的材料，采取实物抽样复试，不合格的材料不得用于工程。材料的价格控制，已购材料、设备价格的签证</w:t>
      </w:r>
    </w:p>
    <w:p w14:paraId="751DC9D0">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（6）主持工程图纸会审，确认工程设计变更及签证、核定工程量，且每2周不定期主持召开监理例会，并整理会议纪要；</w:t>
      </w:r>
    </w:p>
    <w:p w14:paraId="568231F8">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（7）审定施工进度计划，督促工程施工进度。负责检查工程质量，采取实物见证送样，抽样数据并记录；</w:t>
      </w:r>
    </w:p>
    <w:p w14:paraId="10ABBD95">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（8）组织工程初验，并提出整改意见报委托人，最后参加工程竣工验收，并由总监签署竣工报告；</w:t>
      </w:r>
    </w:p>
    <w:p w14:paraId="111EDD30">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（9）督促履行工程承包合同，主持协商合同条款变更，协调双方的争议；</w:t>
      </w:r>
    </w:p>
    <w:p w14:paraId="7E29EDDB">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（10）根据施工合同约定，审核进度款。定期报送监理月报，记录监理日志。根据情况需要，不定期出具监理业务范围内的专项报告（包括质量分析报告）；</w:t>
      </w:r>
    </w:p>
    <w:p w14:paraId="0F4D9476">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（11）督促承包人依约进行工程验收及保修；</w:t>
      </w:r>
    </w:p>
    <w:p w14:paraId="3B1F777D">
      <w:pPr>
        <w:pageBreakBefore w:val="0"/>
        <w:widowControl/>
        <w:kinsoku w:val="0"/>
        <w:wordWrap/>
        <w:overflowPunct/>
        <w:topLinePunct w:val="0"/>
        <w:autoSpaceDE w:val="0"/>
        <w:autoSpaceDN w:val="0"/>
        <w:bidi w:val="0"/>
        <w:adjustRightInd w:val="0"/>
        <w:snapToGrid w:val="0"/>
        <w:spacing w:line="360" w:lineRule="auto"/>
        <w:ind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（12）受委托人委托，协调委托人负责解决与本工程有关的外部事宜；</w:t>
      </w:r>
    </w:p>
    <w:p w14:paraId="6F628778">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u w:val="single"/>
        </w:rPr>
        <w:t>（13）除上述范围与内容外，包括委托人委托的其他相关内容。以上监理工作未及时配合影响工期的委托方有权进行经济处罚。（每次监理单位支付违约金1万元）</w:t>
      </w:r>
      <w:r>
        <w:rPr>
          <w:rFonts w:hint="eastAsia" w:ascii="宋体" w:hAnsi="宋体" w:eastAsia="宋体" w:cs="宋体"/>
          <w:snapToGrid w:val="0"/>
          <w:color w:val="000000"/>
          <w:kern w:val="0"/>
          <w:sz w:val="24"/>
          <w:szCs w:val="24"/>
          <w:highlight w:val="none"/>
        </w:rPr>
        <w:t>。</w:t>
      </w:r>
    </w:p>
    <w:p w14:paraId="3F172147">
      <w:pPr>
        <w:pageBreakBefore w:val="0"/>
        <w:widowControl/>
        <w:kinsoku w:val="0"/>
        <w:wordWrap/>
        <w:overflowPunct/>
        <w:topLinePunct w:val="0"/>
        <w:autoSpaceDE w:val="0"/>
        <w:autoSpaceDN w:val="0"/>
        <w:bidi w:val="0"/>
        <w:adjustRightInd w:val="0"/>
        <w:snapToGrid w:val="0"/>
        <w:spacing w:line="360" w:lineRule="auto"/>
        <w:ind w:right="-29" w:rightChars="-14" w:firstLine="480" w:firstLineChars="20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rPr>
        <w:t>增加：创优目标要求：</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w:t>
      </w:r>
    </w:p>
    <w:p w14:paraId="1EF33E41">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73" w:name="_Toc28614864"/>
      <w:r>
        <w:rPr>
          <w:rFonts w:hint="eastAsia" w:ascii="宋体" w:hAnsi="宋体" w:eastAsia="宋体" w:cs="宋体"/>
          <w:bCs/>
          <w:snapToGrid w:val="0"/>
          <w:color w:val="000000"/>
          <w:kern w:val="0"/>
          <w:sz w:val="24"/>
          <w:szCs w:val="24"/>
          <w:highlight w:val="none"/>
        </w:rPr>
        <w:t>5.2监理依据</w:t>
      </w:r>
      <w:bookmarkEnd w:id="273"/>
    </w:p>
    <w:p w14:paraId="434E3F47">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rPr>
        <w:t>质量标准：</w:t>
      </w:r>
      <w:r>
        <w:rPr>
          <w:rFonts w:hint="eastAsia" w:ascii="宋体" w:hAnsi="宋体" w:eastAsia="宋体" w:cs="宋体"/>
          <w:snapToGrid w:val="0"/>
          <w:color w:val="000000"/>
          <w:kern w:val="0"/>
          <w:sz w:val="24"/>
          <w:szCs w:val="24"/>
          <w:highlight w:val="none"/>
          <w:u w:val="single"/>
        </w:rPr>
        <w:t>合格，【依据《水利工程施工质量检验与评定规范》（DB32/T 2334-2013）】 。</w:t>
      </w:r>
    </w:p>
    <w:p w14:paraId="66B8B3F7">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none"/>
        </w:rPr>
        <w:t>增加的监理依据</w:t>
      </w:r>
      <w:r>
        <w:rPr>
          <w:rFonts w:hint="eastAsia" w:ascii="宋体" w:hAnsi="宋体" w:eastAsia="宋体" w:cs="宋体"/>
          <w:snapToGrid w:val="0"/>
          <w:color w:val="000000"/>
          <w:kern w:val="0"/>
          <w:sz w:val="24"/>
          <w:szCs w:val="24"/>
          <w:highlight w:val="none"/>
          <w:u w:val="single"/>
        </w:rPr>
        <w:t>包括但不限于《中华人民共和国民法典》等国家现行法规；国家有关工程技术规范、规程和标准；水利部、省市水利行政主管部门及其他政府机构发布的与建设项目有关的管理文件；项目批准文件和设计文件；监理合同、招投标文件、施工合同、委托人发布的建设管理相关文件；其他有关文件。监理工作应按照《水利工程施工监理规范》（SL 288-2014）要求开展，逐条落实。</w:t>
      </w:r>
    </w:p>
    <w:p w14:paraId="0B7F6741">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5.3 监理内容增加</w:t>
      </w:r>
    </w:p>
    <w:p w14:paraId="4C3DD44E">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5.3.1 设计方面</w:t>
      </w:r>
    </w:p>
    <w:p w14:paraId="00E1EB34">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（1）核查并签发施工图，发现问题向委托人反映，重大问题向委托人做专题报告。</w:t>
      </w:r>
    </w:p>
    <w:p w14:paraId="1E5B8B30">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（2）主持或与委托人联合主持设计技术交底会议，编写会议纪要。</w:t>
      </w:r>
    </w:p>
    <w:p w14:paraId="323DA51C">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（3）协助委托人会同设计人对重大技术问题和优化设计进行专题讨论。</w:t>
      </w:r>
    </w:p>
    <w:p w14:paraId="4AA1C149">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（4）审核承包人对施工图的意见和建议，协助委托人会同设计人进行研究。</w:t>
      </w:r>
    </w:p>
    <w:p w14:paraId="391D3787">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（5）其他相关业务。</w:t>
      </w:r>
    </w:p>
    <w:p w14:paraId="66751606">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5.3.2 采购方面</w:t>
      </w:r>
    </w:p>
    <w:p w14:paraId="79A2F027">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（1）协助委托人对进场的永久工程设备进行质量检验。</w:t>
      </w:r>
    </w:p>
    <w:p w14:paraId="49ACC448">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（2）其他相关业务。</w:t>
      </w:r>
    </w:p>
    <w:p w14:paraId="2C1F2DF1">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5.3.3 施工方面</w:t>
      </w:r>
    </w:p>
    <w:p w14:paraId="229B1053">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（1）协助委托人进行工程施工招标和签订工程施工合同。</w:t>
      </w:r>
    </w:p>
    <w:p w14:paraId="491F782B">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（2）全面管理工程施工合同，审查承包人选择的分包单位，并报委托人批准。</w:t>
      </w:r>
    </w:p>
    <w:p w14:paraId="4744F970">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（3）督促委托人按工程施工合同的约定，落实必须提供的施工条件；检查承包人的开工准备工作。</w:t>
      </w:r>
    </w:p>
    <w:p w14:paraId="2DEC8C50">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（4）审核按工程施工合同文件约定应由承包人提交的设计文件。</w:t>
      </w:r>
    </w:p>
    <w:p w14:paraId="10A356A3">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（5）审查承包人提交的施工组织设计、施工进度计划、施工措施计划；审核工艺试验成果等。</w:t>
      </w:r>
    </w:p>
    <w:p w14:paraId="24BAEE1A">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09081BA6">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424973DB">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8）资金控制。协助委托人编制付款计划；审查承包人提交的资金流计划；核定承包人完成的工程量，审核承包人提交的支付申请，签发付款凭证；受理索赔申请，提出处理建议意见；提出处理工程变更的意见。</w:t>
      </w:r>
    </w:p>
    <w:p w14:paraId="2C93D5DB">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（9）施工安全监管。审查承包人提出的安全技术措施、专项施工方案，并检查实施情况；检查防洪度汛措施落实情况；参与安全事故调查。</w:t>
      </w:r>
    </w:p>
    <w:p w14:paraId="0402B655">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（10）协调施工合同各方之间的关系。</w:t>
      </w:r>
    </w:p>
    <w:p w14:paraId="622AC45D">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（11）按有关规定参加工程验收，负责完成监理资料的汇总、整理，协助委托人检查承包人的合同执行情况；做好验收的各项准备工作或者配合工作，提供工程监理资料，提交监理工作报告。</w:t>
      </w:r>
    </w:p>
    <w:p w14:paraId="1E2921CF">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（12）档案管理。做好施工现场的监理记录与信息反馈，做好监理文档管理工作，合同期限届满时按照档案管理要求整理、归档并移交委托人；核查施工单位整理、归档的资料。</w:t>
      </w:r>
    </w:p>
    <w:p w14:paraId="0DD6129C">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（13）监督承包人执行保修期工作计划，检查和验收尾工项目，对已移交工程中出现的质量缺陷等调查原因并提出处理意见。</w:t>
      </w:r>
    </w:p>
    <w:p w14:paraId="058C597A">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（14）按照委托人签订的工程保险合同，做好施工现场工程保险合同的管理。协助委托人向保险公司及时提供一切必要的材料和证据。</w:t>
      </w:r>
    </w:p>
    <w:p w14:paraId="13BCCB09">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（15）协助委托人做好工程建设用地的征迁工作和工程建设外部环境的协调工作。</w:t>
      </w:r>
    </w:p>
    <w:p w14:paraId="1F2644B3">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（16）监理人应指定专人对施工企业项目部的主要管理人员进行考勤，考勤结果经总监签字后装订成册。</w:t>
      </w:r>
    </w:p>
    <w:p w14:paraId="799220FC">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（17）其他相关工作。</w:t>
      </w:r>
    </w:p>
    <w:p w14:paraId="543994D9">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5.3.4 监理实施工作的其他要求</w:t>
      </w:r>
    </w:p>
    <w:p w14:paraId="5783DFCC">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（1）监理人应对承包人申报的完工单元工程进行独立抽检，不允许缺项。</w:t>
      </w:r>
    </w:p>
    <w:p w14:paraId="703247C4">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（2）监理人抽检的原始数据必须准确，不允许出现漏检、漏查、缺项、抄施工自检记录，甚至编造记录的现象，同时要及时对承包人自检工作进行监督、指导，对承包人自检资料的及时性、真实性进行审查。</w:t>
      </w:r>
    </w:p>
    <w:p w14:paraId="611A19A7">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3）监理工作规范要求：监理工作表格应规范，各种指令要齐全，施工过程中的质量问题应能及时发现，并留有文字材料和书面指令，各种资料、指令、文件要及时整理、建档。监理日记要及时、详实、认真。监理工程师及试验人员必须持证上岗，现场监理人员必须佩挂证卡。</w:t>
      </w:r>
    </w:p>
    <w:p w14:paraId="2A1FA680">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（4）试验检测工作要求：监理人员应督促承包人及时对各种原材料、配合比按规范规定的、自检试验频率进行各种试（化）验，监理人应对各种原材料进行独立的抽检、试验，且不得缺项。</w:t>
      </w:r>
    </w:p>
    <w:p w14:paraId="656C014F">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（5）监理人员应进行现场旁站，尤其是重点工序，关键部位，工艺试验施工全过程坚持旁站，对违章施工及时发现并及时处理。监理人进场后 14 天内将旁站计划报委托人。</w:t>
      </w:r>
    </w:p>
    <w:p w14:paraId="249B4895">
      <w:pPr>
        <w:pageBreakBefore w:val="0"/>
        <w:widowControl/>
        <w:kinsoku w:val="0"/>
        <w:wordWrap/>
        <w:overflowPunct/>
        <w:topLinePunct w:val="0"/>
        <w:autoSpaceDE w:val="0"/>
        <w:autoSpaceDN w:val="0"/>
        <w:bidi w:val="0"/>
        <w:adjustRightInd w:val="0"/>
        <w:snapToGrid w:val="0"/>
        <w:spacing w:line="360" w:lineRule="auto"/>
        <w:ind w:right="-29" w:rightChars="-14" w:firstLine="324" w:firstLineChars="135"/>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（6）监理人员要做到按实计量、按合同规定进行支付。</w:t>
      </w:r>
    </w:p>
    <w:p w14:paraId="57ECD4E9">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74" w:name="_Toc28614865"/>
      <w:bookmarkStart w:id="275" w:name="_Hlk11743709"/>
      <w:r>
        <w:rPr>
          <w:rFonts w:hint="eastAsia" w:ascii="宋体" w:hAnsi="宋体" w:eastAsia="宋体" w:cs="宋体"/>
          <w:bCs/>
          <w:snapToGrid w:val="0"/>
          <w:color w:val="000000"/>
          <w:kern w:val="0"/>
          <w:sz w:val="24"/>
          <w:szCs w:val="24"/>
          <w:highlight w:val="none"/>
        </w:rPr>
        <w:t>5.4监理文件要求</w:t>
      </w:r>
      <w:bookmarkEnd w:id="274"/>
    </w:p>
    <w:bookmarkEnd w:id="275"/>
    <w:p w14:paraId="3B0D963E">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5.4.3本工程监理文件的具体类别、编制要求、编制内容、提交时间和份数：</w:t>
      </w:r>
      <w:r>
        <w:rPr>
          <w:rFonts w:hint="eastAsia" w:ascii="宋体" w:hAnsi="宋体" w:eastAsia="宋体" w:cs="宋体"/>
          <w:snapToGrid w:val="0"/>
          <w:color w:val="000000"/>
          <w:kern w:val="0"/>
          <w:sz w:val="24"/>
          <w:szCs w:val="24"/>
          <w:highlight w:val="none"/>
          <w:u w:val="single"/>
        </w:rPr>
        <w:t>开工前一周内，6份</w:t>
      </w:r>
      <w:r>
        <w:rPr>
          <w:rFonts w:hint="eastAsia" w:ascii="宋体" w:hAnsi="宋体" w:eastAsia="宋体" w:cs="宋体"/>
          <w:snapToGrid w:val="0"/>
          <w:color w:val="000000"/>
          <w:kern w:val="0"/>
          <w:sz w:val="24"/>
          <w:szCs w:val="24"/>
          <w:highlight w:val="none"/>
        </w:rPr>
        <w:t>。</w:t>
      </w:r>
    </w:p>
    <w:p w14:paraId="18E9EF80">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5.4.3.1、定期的信息文件--监理月报</w:t>
      </w:r>
    </w:p>
    <w:p w14:paraId="76C512C2">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每月 5 日前，向委托人提交上月《监理月报》，主要内容：</w:t>
      </w:r>
    </w:p>
    <w:p w14:paraId="4B4F53CA">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（1）项目概述：包括项目位置、项日主要特征及合同情况简介。</w:t>
      </w:r>
    </w:p>
    <w:p w14:paraId="273780F6">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（2）大事记。</w:t>
      </w:r>
    </w:p>
    <w:p w14:paraId="213DEA8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（3）工程进度与形象面貌。</w:t>
      </w:r>
    </w:p>
    <w:p w14:paraId="3881B163">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（4）资金到位和使用情况。</w:t>
      </w:r>
    </w:p>
    <w:p w14:paraId="008289C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（5）质量控制：包括质量评定、质量分析、工程抽检测、质量事故处理等情况。</w:t>
      </w:r>
    </w:p>
    <w:p w14:paraId="3C79D84B">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（6）合同执行情况：包括合同变更、索赔和违约等。</w:t>
      </w:r>
    </w:p>
    <w:p w14:paraId="76DE040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（7）现场会议和往来信函：包括会议记录、往来信函。</w:t>
      </w:r>
    </w:p>
    <w:p w14:paraId="4A3ED03B">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（8）监理工作：包括现场监理机构织框图、资源投入、重要监理活动、图纸审查、发放、技术方案审查、工程需要解决的问题和其他事项。</w:t>
      </w:r>
    </w:p>
    <w:p w14:paraId="5EBD68F2">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（9）承包人情况:包括劳动力动态、投入的设备、组织管理和存在的问题。</w:t>
      </w:r>
    </w:p>
    <w:p w14:paraId="38AEC913">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（10）安全和环境保护。</w:t>
      </w:r>
    </w:p>
    <w:p w14:paraId="043A9BA5">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（11）进度款支付情况。</w:t>
      </w:r>
    </w:p>
    <w:p w14:paraId="4D8A4829">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（12）工程进展图片。</w:t>
      </w:r>
    </w:p>
    <w:p w14:paraId="26A1AC20">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（13）需要提请承包人注意的事项。</w:t>
      </w:r>
    </w:p>
    <w:p w14:paraId="62675195">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（14）需要提请委托人解决的事项。</w:t>
      </w:r>
    </w:p>
    <w:p w14:paraId="1F3363C0">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（15）其他有关事项</w:t>
      </w:r>
    </w:p>
    <w:p w14:paraId="32658389">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5.4.3.2、不定期的监理工作报告</w:t>
      </w:r>
    </w:p>
    <w:p w14:paraId="62B4D277">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（1）关于工程优化设计、工程变更的建议。</w:t>
      </w:r>
    </w:p>
    <w:p w14:paraId="14B439DA">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（2）投资情况分析预测及资金、资源的合理配置和投入的建议。</w:t>
      </w:r>
    </w:p>
    <w:p w14:paraId="27C20885">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（3）工程进度预测分析报告。</w:t>
      </w:r>
    </w:p>
    <w:p w14:paraId="125FBFDB">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5.4.3.3、日常监理文件</w:t>
      </w:r>
    </w:p>
    <w:p w14:paraId="69634FC6">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（1）监理日志及监理大事记。</w:t>
      </w:r>
    </w:p>
    <w:p w14:paraId="213D7159">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（2）施工计划批复文件。</w:t>
      </w:r>
    </w:p>
    <w:p w14:paraId="2BD7BFA9">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（3）施工措施批复文件。</w:t>
      </w:r>
    </w:p>
    <w:p w14:paraId="15E5E3BB">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（4）施工进度调整批复文件。</w:t>
      </w:r>
    </w:p>
    <w:p w14:paraId="2467D1F5">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（5）进度款支付转批文件。</w:t>
      </w:r>
    </w:p>
    <w:p w14:paraId="7D3D84A6">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（6）索赔受理、调查及处理文件。</w:t>
      </w:r>
    </w:p>
    <w:p w14:paraId="287295F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（7）监理协调会议纪要文件。</w:t>
      </w:r>
    </w:p>
    <w:p w14:paraId="0F9D6BF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（8）工程师通知、指令等。</w:t>
      </w:r>
    </w:p>
    <w:p w14:paraId="0075AA3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（9）其他监理业务往来文件。</w:t>
      </w:r>
    </w:p>
    <w:p w14:paraId="74EB9513">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5.4.3.4、文件报送份数：四份 。</w:t>
      </w:r>
    </w:p>
    <w:p w14:paraId="786A3488">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76" w:name="_Toc28614867"/>
      <w:r>
        <w:rPr>
          <w:rFonts w:hint="eastAsia" w:ascii="宋体" w:hAnsi="宋体" w:eastAsia="宋体" w:cs="宋体"/>
          <w:bCs/>
          <w:snapToGrid w:val="0"/>
          <w:color w:val="000000"/>
          <w:kern w:val="0"/>
          <w:sz w:val="24"/>
          <w:szCs w:val="24"/>
          <w:highlight w:val="none"/>
        </w:rPr>
        <w:t>6.开始监理和完成监理</w:t>
      </w:r>
      <w:bookmarkEnd w:id="276"/>
    </w:p>
    <w:p w14:paraId="248B407A">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77" w:name="_Toc28614868"/>
      <w:r>
        <w:rPr>
          <w:rFonts w:hint="eastAsia" w:ascii="宋体" w:hAnsi="宋体" w:eastAsia="宋体" w:cs="宋体"/>
          <w:bCs/>
          <w:snapToGrid w:val="0"/>
          <w:color w:val="000000"/>
          <w:kern w:val="0"/>
          <w:sz w:val="24"/>
          <w:szCs w:val="24"/>
          <w:highlight w:val="none"/>
        </w:rPr>
        <w:t>6.1开始监理</w:t>
      </w:r>
      <w:bookmarkEnd w:id="277"/>
    </w:p>
    <w:p w14:paraId="1B383A9A">
      <w:pPr>
        <w:pageBreakBefore w:val="0"/>
        <w:widowControl/>
        <w:kinsoku w:val="0"/>
        <w:wordWrap/>
        <w:overflowPunct/>
        <w:topLinePunct w:val="0"/>
        <w:autoSpaceDE w:val="0"/>
        <w:autoSpaceDN w:val="0"/>
        <w:bidi w:val="0"/>
        <w:adjustRightInd w:val="0"/>
        <w:snapToGrid w:val="0"/>
        <w:spacing w:line="360" w:lineRule="auto"/>
        <w:ind w:right="-29" w:rightChars="-14"/>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6.1.1开始监理的条件：</w:t>
      </w:r>
      <w:r>
        <w:rPr>
          <w:rFonts w:hint="eastAsia" w:ascii="宋体" w:hAnsi="宋体" w:eastAsia="宋体" w:cs="宋体"/>
          <w:snapToGrid w:val="0"/>
          <w:color w:val="000000"/>
          <w:kern w:val="0"/>
          <w:sz w:val="24"/>
          <w:szCs w:val="24"/>
          <w:highlight w:val="none"/>
          <w:u w:val="single"/>
        </w:rPr>
        <w:t>合同签订并且发出监理通知后</w:t>
      </w:r>
      <w:r>
        <w:rPr>
          <w:rFonts w:hint="eastAsia" w:ascii="宋体" w:hAnsi="宋体" w:eastAsia="宋体" w:cs="宋体"/>
          <w:snapToGrid w:val="0"/>
          <w:color w:val="000000"/>
          <w:kern w:val="0"/>
          <w:sz w:val="24"/>
          <w:szCs w:val="24"/>
          <w:highlight w:val="none"/>
        </w:rPr>
        <w:t>。</w:t>
      </w:r>
    </w:p>
    <w:p w14:paraId="3A76292A">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6.1.2因委托人原因造成合同签订之日起90天内未能发出开始监理通知的补充约定：</w:t>
      </w:r>
      <w:r>
        <w:rPr>
          <w:rFonts w:hint="eastAsia" w:ascii="宋体" w:hAnsi="宋体" w:eastAsia="宋体" w:cs="宋体"/>
          <w:snapToGrid w:val="0"/>
          <w:color w:val="000000"/>
          <w:kern w:val="0"/>
          <w:sz w:val="24"/>
          <w:szCs w:val="24"/>
          <w:highlight w:val="none"/>
          <w:u w:val="single"/>
        </w:rPr>
        <w:t>由委托人与监理人协商处理</w:t>
      </w:r>
      <w:r>
        <w:rPr>
          <w:rFonts w:hint="eastAsia" w:ascii="宋体" w:hAnsi="宋体" w:eastAsia="宋体" w:cs="宋体"/>
          <w:snapToGrid w:val="0"/>
          <w:color w:val="000000"/>
          <w:kern w:val="0"/>
          <w:sz w:val="24"/>
          <w:szCs w:val="24"/>
          <w:highlight w:val="none"/>
        </w:rPr>
        <w:t>。</w:t>
      </w:r>
      <w:bookmarkStart w:id="278" w:name="_Toc28614869"/>
    </w:p>
    <w:p w14:paraId="1DB9A9F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bCs/>
          <w:snapToGrid w:val="0"/>
          <w:color w:val="000000"/>
          <w:kern w:val="0"/>
          <w:sz w:val="24"/>
          <w:szCs w:val="24"/>
          <w:highlight w:val="none"/>
        </w:rPr>
      </w:pPr>
      <w:r>
        <w:rPr>
          <w:rFonts w:hint="eastAsia" w:ascii="宋体" w:hAnsi="宋体" w:eastAsia="宋体" w:cs="宋体"/>
          <w:bCs/>
          <w:snapToGrid w:val="0"/>
          <w:color w:val="000000"/>
          <w:kern w:val="0"/>
          <w:sz w:val="24"/>
          <w:szCs w:val="24"/>
          <w:highlight w:val="none"/>
        </w:rPr>
        <w:t>6.2监理周期延误</w:t>
      </w:r>
      <w:bookmarkEnd w:id="278"/>
    </w:p>
    <w:p w14:paraId="680F13C7">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委托人延长监理服务期限并增加监理报酬的约定：</w:t>
      </w:r>
      <w:r>
        <w:rPr>
          <w:rFonts w:hint="eastAsia" w:ascii="宋体" w:hAnsi="宋体" w:eastAsia="宋体" w:cs="宋体"/>
          <w:snapToGrid w:val="0"/>
          <w:color w:val="000000"/>
          <w:kern w:val="0"/>
          <w:sz w:val="24"/>
          <w:szCs w:val="24"/>
          <w:highlight w:val="none"/>
          <w:u w:val="single"/>
        </w:rPr>
        <w:t>不作调整</w:t>
      </w:r>
      <w:r>
        <w:rPr>
          <w:rFonts w:hint="eastAsia" w:ascii="宋体" w:hAnsi="宋体" w:eastAsia="宋体" w:cs="宋体"/>
          <w:snapToGrid w:val="0"/>
          <w:color w:val="000000"/>
          <w:kern w:val="0"/>
          <w:sz w:val="24"/>
          <w:szCs w:val="24"/>
          <w:highlight w:val="none"/>
        </w:rPr>
        <w:t>。</w:t>
      </w:r>
    </w:p>
    <w:p w14:paraId="50539F52">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79" w:name="_Toc28614870"/>
      <w:r>
        <w:rPr>
          <w:rFonts w:hint="eastAsia" w:ascii="宋体" w:hAnsi="宋体" w:eastAsia="宋体" w:cs="宋体"/>
          <w:bCs/>
          <w:snapToGrid w:val="0"/>
          <w:color w:val="000000"/>
          <w:kern w:val="0"/>
          <w:sz w:val="24"/>
          <w:szCs w:val="24"/>
          <w:highlight w:val="none"/>
        </w:rPr>
        <w:t>6.3完成监理</w:t>
      </w:r>
      <w:bookmarkEnd w:id="279"/>
    </w:p>
    <w:p w14:paraId="111AADF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6.3.2提前完成监理的约定：</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w:t>
      </w:r>
    </w:p>
    <w:p w14:paraId="6B5B2D9F">
      <w:pPr>
        <w:pageBreakBefore w:val="0"/>
        <w:widowControl/>
        <w:kinsoku w:val="0"/>
        <w:wordWrap/>
        <w:overflowPunct/>
        <w:topLinePunct w:val="0"/>
        <w:autoSpaceDE w:val="0"/>
        <w:autoSpaceDN w:val="0"/>
        <w:bidi w:val="0"/>
        <w:adjustRightInd w:val="0"/>
        <w:snapToGrid w:val="0"/>
        <w:spacing w:line="360" w:lineRule="auto"/>
        <w:ind w:left="-15" w:right="-29" w:rightChars="-14"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6.3.5监理文件形式、具体份数、纸幅、装订格式：</w:t>
      </w:r>
      <w:r>
        <w:rPr>
          <w:rFonts w:hint="eastAsia" w:ascii="宋体" w:hAnsi="宋体" w:eastAsia="宋体" w:cs="宋体"/>
          <w:snapToGrid w:val="0"/>
          <w:color w:val="000000"/>
          <w:kern w:val="0"/>
          <w:sz w:val="24"/>
          <w:szCs w:val="24"/>
          <w:highlight w:val="none"/>
          <w:u w:val="single"/>
        </w:rPr>
        <w:t>纸质文件和电子文件，四份</w:t>
      </w:r>
      <w:r>
        <w:rPr>
          <w:rFonts w:hint="eastAsia" w:ascii="宋体" w:hAnsi="宋体" w:eastAsia="宋体" w:cs="宋体"/>
          <w:snapToGrid w:val="0"/>
          <w:color w:val="000000"/>
          <w:kern w:val="0"/>
          <w:sz w:val="24"/>
          <w:szCs w:val="24"/>
          <w:highlight w:val="none"/>
        </w:rPr>
        <w:t>。</w:t>
      </w:r>
    </w:p>
    <w:p w14:paraId="433A7DF8">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80" w:name="_Toc28614871"/>
      <w:r>
        <w:rPr>
          <w:rFonts w:hint="eastAsia" w:ascii="宋体" w:hAnsi="宋体" w:eastAsia="宋体" w:cs="宋体"/>
          <w:bCs/>
          <w:snapToGrid w:val="0"/>
          <w:color w:val="000000"/>
          <w:kern w:val="0"/>
          <w:sz w:val="24"/>
          <w:szCs w:val="24"/>
          <w:highlight w:val="none"/>
        </w:rPr>
        <w:t>7.监理责任与保险</w:t>
      </w:r>
      <w:bookmarkEnd w:id="280"/>
    </w:p>
    <w:p w14:paraId="3A5BF7D7">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1" w:name="_Toc28614872"/>
      <w:r>
        <w:rPr>
          <w:rFonts w:hint="eastAsia" w:ascii="宋体" w:hAnsi="宋体" w:eastAsia="宋体" w:cs="宋体"/>
          <w:bCs/>
          <w:snapToGrid w:val="0"/>
          <w:color w:val="000000"/>
          <w:kern w:val="0"/>
          <w:sz w:val="24"/>
          <w:szCs w:val="24"/>
          <w:highlight w:val="none"/>
        </w:rPr>
        <w:t>7.2监理责任保险</w:t>
      </w:r>
      <w:bookmarkEnd w:id="281"/>
    </w:p>
    <w:p w14:paraId="48BF59F7">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约定：</w:t>
      </w:r>
      <w:r>
        <w:rPr>
          <w:rFonts w:hint="eastAsia" w:ascii="宋体" w:hAnsi="宋体" w:eastAsia="宋体" w:cs="宋体"/>
          <w:snapToGrid w:val="0"/>
          <w:color w:val="000000"/>
          <w:kern w:val="0"/>
          <w:sz w:val="24"/>
          <w:szCs w:val="24"/>
          <w:highlight w:val="none"/>
          <w:lang w:val="en-US" w:eastAsia="zh-CN"/>
        </w:rPr>
        <w:t>监理人自己投保，费用含在投标报价中。监理人应自费办理派驻现场监理机构人员人身和自备财产的有关保险，保险时间包括全部监理服务期，并自行办理索赔。如监理人不及时办理上述保险，则应对有关风险及后果自负其责</w:t>
      </w:r>
      <w:r>
        <w:rPr>
          <w:rFonts w:hint="eastAsia" w:ascii="宋体" w:hAnsi="宋体" w:eastAsia="宋体" w:cs="宋体"/>
          <w:snapToGrid w:val="0"/>
          <w:color w:val="000000"/>
          <w:kern w:val="0"/>
          <w:sz w:val="24"/>
          <w:szCs w:val="24"/>
          <w:highlight w:val="none"/>
        </w:rPr>
        <w:t>。</w:t>
      </w:r>
    </w:p>
    <w:p w14:paraId="2EEE2E5E">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82" w:name="_Toc28614873"/>
      <w:r>
        <w:rPr>
          <w:rFonts w:hint="eastAsia" w:ascii="宋体" w:hAnsi="宋体" w:eastAsia="宋体" w:cs="宋体"/>
          <w:bCs/>
          <w:snapToGrid w:val="0"/>
          <w:color w:val="000000"/>
          <w:kern w:val="0"/>
          <w:sz w:val="24"/>
          <w:szCs w:val="24"/>
          <w:highlight w:val="none"/>
        </w:rPr>
        <w:t>8.合同变更</w:t>
      </w:r>
      <w:bookmarkEnd w:id="282"/>
    </w:p>
    <w:p w14:paraId="307E2C79">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3" w:name="_Toc28614874"/>
      <w:r>
        <w:rPr>
          <w:rFonts w:hint="eastAsia" w:ascii="宋体" w:hAnsi="宋体" w:eastAsia="宋体" w:cs="宋体"/>
          <w:bCs/>
          <w:snapToGrid w:val="0"/>
          <w:color w:val="000000"/>
          <w:kern w:val="0"/>
          <w:sz w:val="24"/>
          <w:szCs w:val="24"/>
          <w:highlight w:val="none"/>
        </w:rPr>
        <w:t>8.1变更情形</w:t>
      </w:r>
      <w:bookmarkEnd w:id="283"/>
    </w:p>
    <w:p w14:paraId="38C4D80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bookmarkStart w:id="284" w:name="_Hlk11745768"/>
      <w:r>
        <w:rPr>
          <w:rFonts w:hint="eastAsia" w:ascii="宋体" w:hAnsi="宋体" w:eastAsia="宋体" w:cs="宋体"/>
          <w:snapToGrid w:val="0"/>
          <w:color w:val="000000"/>
          <w:kern w:val="0"/>
          <w:sz w:val="24"/>
          <w:szCs w:val="24"/>
          <w:highlight w:val="none"/>
        </w:rPr>
        <w:t>8.1.1监理服</w:t>
      </w:r>
      <w:bookmarkEnd w:id="284"/>
      <w:r>
        <w:rPr>
          <w:rFonts w:hint="eastAsia" w:ascii="宋体" w:hAnsi="宋体" w:eastAsia="宋体" w:cs="宋体"/>
          <w:snapToGrid w:val="0"/>
          <w:color w:val="000000"/>
          <w:kern w:val="0"/>
          <w:sz w:val="24"/>
          <w:szCs w:val="24"/>
          <w:highlight w:val="none"/>
        </w:rPr>
        <w:t>务期限和监理报酬的调整方法约定：</w:t>
      </w:r>
      <w:r>
        <w:rPr>
          <w:rFonts w:hint="eastAsia" w:ascii="宋体" w:hAnsi="宋体" w:eastAsia="宋体" w:cs="宋体"/>
          <w:snapToGrid w:val="0"/>
          <w:color w:val="000000"/>
          <w:kern w:val="0"/>
          <w:sz w:val="24"/>
          <w:szCs w:val="24"/>
          <w:highlight w:val="none"/>
          <w:u w:val="single"/>
        </w:rPr>
        <w:t>监理费不因服务期限的调整而调整；</w:t>
      </w:r>
    </w:p>
    <w:p w14:paraId="5BE4C566">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其他约定：使用结余资金的增补项目或原合同履行后使用结余资金进行工程变更的项目的监理服务：</w:t>
      </w:r>
      <w:r>
        <w:rPr>
          <w:rFonts w:hint="eastAsia" w:ascii="宋体" w:hAnsi="宋体" w:eastAsia="宋体" w:cs="宋体"/>
          <w:snapToGrid w:val="0"/>
          <w:color w:val="000000"/>
          <w:kern w:val="0"/>
          <w:sz w:val="24"/>
          <w:szCs w:val="24"/>
          <w:highlight w:val="none"/>
          <w:u w:val="single"/>
        </w:rPr>
        <w:t>根据项目或工程实际情况另行商定。</w:t>
      </w:r>
    </w:p>
    <w:p w14:paraId="0565A9CE">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8.1.3合同变更及终止（增加）</w:t>
      </w:r>
    </w:p>
    <w:p w14:paraId="63B3521A">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8.1.3.1因工程建设计划调整、较大的工程设计变更、不良地质条件等非监理人原因致使本合同约定的服务范围、内容和服务形式发生较大变化，双方对监理服务酬金计取、监理服务期限等有关合同条款应当充分协商，签订监理补充协议。</w:t>
      </w:r>
    </w:p>
    <w:p w14:paraId="40DDB1C8">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8.1.3.2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14:paraId="003F0B80">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rPr>
        <w:t>8.1.3.3在监理服务期内，由于国家政策致使工程建设计划重大调整，或不可抗力致使合同不能履行时，双方协商解决因合同终止所产生的遗留问题。</w:t>
      </w:r>
    </w:p>
    <w:p w14:paraId="68B8946C">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5" w:name="_Toc28614875"/>
      <w:r>
        <w:rPr>
          <w:rFonts w:hint="eastAsia" w:ascii="宋体" w:hAnsi="宋体" w:eastAsia="宋体" w:cs="宋体"/>
          <w:bCs/>
          <w:snapToGrid w:val="0"/>
          <w:color w:val="000000"/>
          <w:kern w:val="0"/>
          <w:sz w:val="24"/>
          <w:szCs w:val="24"/>
          <w:highlight w:val="none"/>
        </w:rPr>
        <w:t>8.2合理化建议</w:t>
      </w:r>
      <w:bookmarkEnd w:id="285"/>
    </w:p>
    <w:p w14:paraId="288FB7B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8.2.2奖励约定：</w:t>
      </w:r>
      <w:r>
        <w:rPr>
          <w:rFonts w:hint="eastAsia" w:ascii="宋体" w:hAnsi="宋体" w:eastAsia="宋体" w:cs="宋体"/>
          <w:snapToGrid w:val="0"/>
          <w:color w:val="000000"/>
          <w:kern w:val="0"/>
          <w:sz w:val="24"/>
          <w:szCs w:val="24"/>
          <w:highlight w:val="none"/>
          <w:u w:val="single"/>
        </w:rPr>
        <w:t>无</w:t>
      </w:r>
      <w:r>
        <w:rPr>
          <w:rFonts w:hint="eastAsia" w:ascii="宋体" w:hAnsi="宋体" w:eastAsia="宋体" w:cs="宋体"/>
          <w:snapToGrid w:val="0"/>
          <w:color w:val="000000"/>
          <w:kern w:val="0"/>
          <w:sz w:val="24"/>
          <w:szCs w:val="24"/>
          <w:highlight w:val="none"/>
        </w:rPr>
        <w:t>。</w:t>
      </w:r>
    </w:p>
    <w:p w14:paraId="6F2DBFEF">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86" w:name="_Toc28614876"/>
      <w:r>
        <w:rPr>
          <w:rFonts w:hint="eastAsia" w:ascii="宋体" w:hAnsi="宋体" w:eastAsia="宋体" w:cs="宋体"/>
          <w:bCs/>
          <w:snapToGrid w:val="0"/>
          <w:color w:val="000000"/>
          <w:kern w:val="0"/>
          <w:sz w:val="24"/>
          <w:szCs w:val="24"/>
          <w:highlight w:val="none"/>
        </w:rPr>
        <w:t>9.合同价格与支付</w:t>
      </w:r>
      <w:bookmarkEnd w:id="286"/>
    </w:p>
    <w:p w14:paraId="7B9DD5CA">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7" w:name="_Toc28614877"/>
      <w:r>
        <w:rPr>
          <w:rFonts w:hint="eastAsia" w:ascii="宋体" w:hAnsi="宋体" w:eastAsia="宋体" w:cs="宋体"/>
          <w:bCs/>
          <w:snapToGrid w:val="0"/>
          <w:color w:val="000000"/>
          <w:kern w:val="0"/>
          <w:sz w:val="24"/>
          <w:szCs w:val="24"/>
          <w:highlight w:val="none"/>
        </w:rPr>
        <w:t>9.1合同价格</w:t>
      </w:r>
      <w:bookmarkEnd w:id="287"/>
    </w:p>
    <w:p w14:paraId="2DA15717">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9.1.1价款确定方式、调整方式和风险范围划分约定：</w:t>
      </w:r>
    </w:p>
    <w:p w14:paraId="5CAC5A6E">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default" w:ascii="宋体" w:hAnsi="宋体" w:eastAsia="宋体" w:cs="宋体"/>
          <w:snapToGrid w:val="0"/>
          <w:color w:val="000000"/>
          <w:kern w:val="0"/>
          <w:sz w:val="24"/>
          <w:szCs w:val="24"/>
          <w:highlight w:val="none"/>
          <w:u w:val="single"/>
          <w:lang w:val="en-US" w:eastAsia="zh-CN"/>
        </w:rPr>
      </w:pPr>
      <w:r>
        <w:rPr>
          <w:rFonts w:hint="eastAsia" w:ascii="宋体" w:hAnsi="宋体" w:eastAsia="宋体" w:cs="宋体"/>
          <w:snapToGrid w:val="0"/>
          <w:color w:val="000000"/>
          <w:kern w:val="0"/>
          <w:sz w:val="24"/>
          <w:szCs w:val="24"/>
          <w:highlight w:val="none"/>
          <w:u w:val="single"/>
        </w:rPr>
        <w:t>①本项目按中标监理费率结算最终监理费结算价。</w:t>
      </w:r>
      <w:r>
        <w:rPr>
          <w:rFonts w:hint="eastAsia" w:ascii="宋体" w:hAnsi="宋体" w:eastAsia="宋体" w:cs="宋体"/>
          <w:snapToGrid w:val="0"/>
          <w:color w:val="000000"/>
          <w:kern w:val="0"/>
          <w:sz w:val="24"/>
          <w:szCs w:val="24"/>
          <w:highlight w:val="none"/>
          <w:u w:val="single"/>
          <w:lang w:val="en-US" w:eastAsia="zh-CN"/>
        </w:rPr>
        <w:t>本工程签约合同价中已包含平行检测费用，结算时，发包人不再另行支付该项费用。</w:t>
      </w:r>
    </w:p>
    <w:p w14:paraId="2FA1E93A">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②中标监理费率=监理合同</w:t>
      </w:r>
      <w:r>
        <w:rPr>
          <w:rFonts w:hint="eastAsia" w:ascii="宋体" w:hAnsi="宋体" w:eastAsia="宋体" w:cs="宋体"/>
          <w:snapToGrid w:val="0"/>
          <w:color w:val="000000"/>
          <w:kern w:val="0"/>
          <w:sz w:val="24"/>
          <w:szCs w:val="24"/>
          <w:highlight w:val="none"/>
          <w:u w:val="single"/>
          <w:lang w:val="en-US" w:eastAsia="zh-CN"/>
        </w:rPr>
        <w:t>签约</w:t>
      </w:r>
      <w:r>
        <w:rPr>
          <w:rFonts w:hint="eastAsia" w:ascii="宋体" w:hAnsi="宋体" w:eastAsia="宋体" w:cs="宋体"/>
          <w:snapToGrid w:val="0"/>
          <w:color w:val="000000"/>
          <w:kern w:val="0"/>
          <w:sz w:val="24"/>
          <w:szCs w:val="24"/>
          <w:highlight w:val="none"/>
          <w:u w:val="single"/>
        </w:rPr>
        <w:t>价(万元)/</w:t>
      </w:r>
      <w:r>
        <w:rPr>
          <w:rFonts w:hint="eastAsia" w:ascii="宋体" w:hAnsi="宋体" w:eastAsia="宋体" w:cs="宋体"/>
          <w:snapToGrid w:val="0"/>
          <w:color w:val="000000"/>
          <w:kern w:val="0"/>
          <w:sz w:val="24"/>
          <w:szCs w:val="24"/>
          <w:highlight w:val="none"/>
          <w:u w:val="single"/>
          <w:lang w:val="en-US" w:eastAsia="zh-CN"/>
        </w:rPr>
        <w:t>(</w:t>
      </w:r>
      <w:r>
        <w:rPr>
          <w:rFonts w:hint="eastAsia" w:ascii="宋体" w:hAnsi="宋体" w:eastAsia="宋体" w:cs="宋体"/>
          <w:snapToGrid w:val="0"/>
          <w:color w:val="000000"/>
          <w:spacing w:val="-11"/>
          <w:kern w:val="0"/>
          <w:sz w:val="24"/>
          <w:szCs w:val="24"/>
          <w:highlight w:val="none"/>
          <w:u w:val="single"/>
          <w:lang w:val="en-US" w:eastAsia="zh-CN"/>
        </w:rPr>
        <w:t>监理的建安费概算金额</w:t>
      </w:r>
      <w:r>
        <w:rPr>
          <w:rFonts w:hint="eastAsia" w:ascii="宋体" w:hAnsi="宋体" w:eastAsia="宋体" w:cs="宋体"/>
          <w:snapToGrid w:val="0"/>
          <w:color w:val="000000"/>
          <w:kern w:val="0"/>
          <w:sz w:val="24"/>
          <w:szCs w:val="24"/>
          <w:highlight w:val="none"/>
          <w:u w:val="single"/>
          <w:lang w:val="en-US" w:eastAsia="zh-CN"/>
        </w:rPr>
        <w:t>）</w:t>
      </w:r>
      <w:r>
        <w:rPr>
          <w:rFonts w:hint="eastAsia" w:ascii="宋体" w:hAnsi="宋体" w:eastAsia="宋体" w:cs="宋体"/>
          <w:snapToGrid w:val="0"/>
          <w:color w:val="000000"/>
          <w:kern w:val="0"/>
          <w:sz w:val="24"/>
          <w:szCs w:val="24"/>
          <w:highlight w:val="none"/>
          <w:u w:val="single"/>
        </w:rPr>
        <w:t>万元*100%。</w:t>
      </w:r>
    </w:p>
    <w:p w14:paraId="373A811E">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③监理费结算价=工程结算审定价*中标监理费率。</w:t>
      </w:r>
    </w:p>
    <w:p w14:paraId="1AE5BAAE">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default" w:ascii="宋体" w:hAnsi="宋体" w:eastAsia="宋体" w:cs="宋体"/>
          <w:snapToGrid w:val="0"/>
          <w:color w:val="000000"/>
          <w:kern w:val="0"/>
          <w:sz w:val="24"/>
          <w:szCs w:val="24"/>
          <w:highlight w:val="none"/>
          <w:u w:val="single"/>
          <w:lang w:val="en-US" w:eastAsia="zh-CN"/>
        </w:rPr>
      </w:pPr>
      <w:r>
        <w:rPr>
          <w:rFonts w:hint="eastAsia" w:ascii="宋体" w:hAnsi="宋体" w:eastAsia="宋体" w:cs="宋体"/>
          <w:snapToGrid w:val="0"/>
          <w:color w:val="000000"/>
          <w:kern w:val="0"/>
          <w:sz w:val="24"/>
          <w:szCs w:val="24"/>
          <w:highlight w:val="none"/>
          <w:u w:val="single"/>
          <w:lang w:val="en-US" w:eastAsia="zh-CN"/>
        </w:rPr>
        <w:t>本工程监理费结算上限为本项目监理合同签约价，若因施工工程量调整导致结算价超出监理合同签约价的，按监理合同签约价结算。</w:t>
      </w:r>
    </w:p>
    <w:p w14:paraId="30112F82">
      <w:pPr>
        <w:pageBreakBefore w:val="0"/>
        <w:widowControl/>
        <w:kinsoku w:val="0"/>
        <w:wordWrap/>
        <w:overflowPunct/>
        <w:topLinePunct w:val="0"/>
        <w:autoSpaceDE w:val="0"/>
        <w:autoSpaceDN w:val="0"/>
        <w:bidi w:val="0"/>
        <w:adjustRightInd w:val="0"/>
        <w:snapToGrid w:val="0"/>
        <w:spacing w:line="360" w:lineRule="auto"/>
        <w:ind w:right="-29" w:rightChars="-14" w:firstLine="41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④监理费率在合同期间不因工期变化等各种因素调整。</w:t>
      </w:r>
    </w:p>
    <w:p w14:paraId="4306F55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9.1.2合同价格其他约定：</w:t>
      </w:r>
    </w:p>
    <w:p w14:paraId="2AF5047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9.1.1.2 除不可抗力外，因非监理人原因导致本合同期限延长时，附加工作酬金按下列方法确定：</w:t>
      </w:r>
    </w:p>
    <w:p w14:paraId="6DCA566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（1）计取方法为：双方共同协商确定。</w:t>
      </w:r>
    </w:p>
    <w:p w14:paraId="0826C2F4">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（2）支付方式为：双方共同协商确定。</w:t>
      </w:r>
    </w:p>
    <w:p w14:paraId="2738DE9D">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（3）支付时间为：双方共同协商确定。</w:t>
      </w:r>
    </w:p>
    <w:p w14:paraId="13AC9BA0">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9.1.1.3 合同生效后，如果实际情况发生变化使得监理人不能完成全部或部分工作时，监理人应立即通知委托人。除不可抗力外，其善后工作以及恢复服务的准备工作应为附加工作，但监理服务酬金不作调整。</w:t>
      </w:r>
    </w:p>
    <w:p w14:paraId="7F6AC6FF">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9.1.1.4 因非监理人原因造成工程概算投资额或建筑安装工程费增加时，正常工作酬金不作调整。</w:t>
      </w:r>
    </w:p>
    <w:p w14:paraId="31C249A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9.1.1.5 因工程规模、监理范围的变化导致监理人的正常工作量减少时，按减少工作量的比例从协议书约定的正常工作酬金中扣减相同比例的酬金。</w:t>
      </w:r>
    </w:p>
    <w:p w14:paraId="44BDD9B1">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9.1.1.6 合同签订后，遇有与工程相关的法律法规、标准颁布或修订的，双方应遵照执行。由此引起监理与相关服务的范围、时间、酬金变化的，双方应通过协商进行相应调整。</w:t>
      </w:r>
    </w:p>
    <w:p w14:paraId="1D8CDB35">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9.1.3 本项目项下监理工作范围内的所有检测费用包含在投标报价中，委托人不再另行支付。</w:t>
      </w:r>
    </w:p>
    <w:p w14:paraId="6F58D765">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8" w:name="_Toc28614878"/>
      <w:r>
        <w:rPr>
          <w:rFonts w:hint="eastAsia" w:ascii="宋体" w:hAnsi="宋体" w:eastAsia="宋体" w:cs="宋体"/>
          <w:bCs/>
          <w:snapToGrid w:val="0"/>
          <w:color w:val="000000"/>
          <w:kern w:val="0"/>
          <w:sz w:val="24"/>
          <w:szCs w:val="24"/>
          <w:highlight w:val="none"/>
        </w:rPr>
        <w:t>9.2预付款</w:t>
      </w:r>
      <w:bookmarkEnd w:id="288"/>
    </w:p>
    <w:p w14:paraId="49941526">
      <w:pPr>
        <w:pageBreakBefore w:val="0"/>
        <w:widowControl/>
        <w:kinsoku w:val="0"/>
        <w:wordWrap/>
        <w:overflowPunct/>
        <w:topLinePunct w:val="0"/>
        <w:autoSpaceDE w:val="0"/>
        <w:autoSpaceDN w:val="0"/>
        <w:bidi w:val="0"/>
        <w:adjustRightInd w:val="0"/>
        <w:snapToGrid w:val="0"/>
        <w:spacing w:line="360" w:lineRule="auto"/>
        <w:ind w:left="417" w:right="-29" w:rightChars="-14" w:hanging="1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9.2.1预付款约定：</w:t>
      </w:r>
      <w:r>
        <w:rPr>
          <w:rFonts w:hint="eastAsia" w:ascii="宋体" w:hAnsi="宋体" w:eastAsia="宋体" w:cs="宋体"/>
          <w:snapToGrid w:val="0"/>
          <w:color w:val="000000"/>
          <w:kern w:val="0"/>
          <w:sz w:val="24"/>
          <w:szCs w:val="24"/>
          <w:highlight w:val="none"/>
          <w:u w:val="single"/>
        </w:rPr>
        <w:t>合同签订后的15日内支付合同价款的10%作为预付款。</w:t>
      </w:r>
    </w:p>
    <w:p w14:paraId="734241B6">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89" w:name="_Toc28614879"/>
      <w:r>
        <w:rPr>
          <w:rFonts w:hint="eastAsia" w:ascii="宋体" w:hAnsi="宋体" w:eastAsia="宋体" w:cs="宋体"/>
          <w:bCs/>
          <w:snapToGrid w:val="0"/>
          <w:color w:val="000000"/>
          <w:kern w:val="0"/>
          <w:sz w:val="24"/>
          <w:szCs w:val="24"/>
          <w:highlight w:val="none"/>
        </w:rPr>
        <w:t>9.3中期支付</w:t>
      </w:r>
      <w:bookmarkEnd w:id="289"/>
    </w:p>
    <w:p w14:paraId="37971A78">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9.3.1中期付款批次、付款金额和支付申请文件格式及份数约定：</w:t>
      </w:r>
    </w:p>
    <w:p w14:paraId="3A7EDC97">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支付时间：为每季度支付一次。</w:t>
      </w:r>
    </w:p>
    <w:p w14:paraId="04575F5D">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u w:val="single"/>
        </w:rPr>
        <w:t>支付额度:监理费按季、进度支付，监理进度费按工程结算价*</w:t>
      </w:r>
      <w:r>
        <w:rPr>
          <w:rFonts w:hint="eastAsia" w:ascii="宋体" w:hAnsi="宋体" w:eastAsia="宋体" w:cs="宋体"/>
          <w:snapToGrid w:val="0"/>
          <w:color w:val="000000"/>
          <w:kern w:val="0"/>
          <w:sz w:val="24"/>
          <w:szCs w:val="24"/>
          <w:highlight w:val="none"/>
          <w:u w:val="single"/>
          <w:lang w:val="en-US" w:eastAsia="zh-CN"/>
        </w:rPr>
        <w:t>中标监理</w:t>
      </w:r>
      <w:r>
        <w:rPr>
          <w:rFonts w:hint="eastAsia" w:ascii="宋体" w:hAnsi="宋体" w:eastAsia="宋体" w:cs="宋体"/>
          <w:snapToGrid w:val="0"/>
          <w:color w:val="000000"/>
          <w:kern w:val="0"/>
          <w:sz w:val="24"/>
          <w:szCs w:val="24"/>
          <w:highlight w:val="none"/>
          <w:u w:val="single"/>
        </w:rPr>
        <w:t>费率*60%支付（含已支付的预付款）；工程完工并通过验收后支付至工程结算价*</w:t>
      </w:r>
      <w:r>
        <w:rPr>
          <w:rFonts w:hint="eastAsia" w:ascii="宋体" w:hAnsi="宋体" w:eastAsia="宋体" w:cs="宋体"/>
          <w:snapToGrid w:val="0"/>
          <w:color w:val="000000"/>
          <w:kern w:val="0"/>
          <w:sz w:val="24"/>
          <w:szCs w:val="24"/>
          <w:highlight w:val="none"/>
          <w:u w:val="single"/>
          <w:lang w:val="en-US" w:eastAsia="zh-CN"/>
        </w:rPr>
        <w:t>中标监理</w:t>
      </w:r>
      <w:r>
        <w:rPr>
          <w:rFonts w:hint="eastAsia" w:ascii="宋体" w:hAnsi="宋体" w:eastAsia="宋体" w:cs="宋体"/>
          <w:snapToGrid w:val="0"/>
          <w:color w:val="000000"/>
          <w:kern w:val="0"/>
          <w:sz w:val="24"/>
          <w:szCs w:val="24"/>
          <w:highlight w:val="none"/>
          <w:u w:val="single"/>
        </w:rPr>
        <w:t>费率*80%（含已支付的预付款），并在28天内返还100％的履约保证金；</w:t>
      </w:r>
    </w:p>
    <w:p w14:paraId="2B1CBCE4">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9.3.2逾期付款违约金约定：按中国人民银行规定的同期基准贷款利率计算的逾期付款金额的利息。</w:t>
      </w:r>
    </w:p>
    <w:p w14:paraId="67F1135A">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9.3.3中期支付涉及政府投资资金的约定：</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w:t>
      </w:r>
    </w:p>
    <w:p w14:paraId="68DB698B">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90" w:name="_Toc28614880"/>
      <w:r>
        <w:rPr>
          <w:rFonts w:hint="eastAsia" w:ascii="宋体" w:hAnsi="宋体" w:eastAsia="宋体" w:cs="宋体"/>
          <w:bCs/>
          <w:snapToGrid w:val="0"/>
          <w:color w:val="000000"/>
          <w:kern w:val="0"/>
          <w:sz w:val="24"/>
          <w:szCs w:val="24"/>
          <w:highlight w:val="none"/>
        </w:rPr>
        <w:t>9.4费用结算</w:t>
      </w:r>
      <w:bookmarkEnd w:id="290"/>
    </w:p>
    <w:p w14:paraId="7778DAF7">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9.4.1监理费用结算申请份数和期限约定：工程通过决算审计，监理费支付至建安合同结算价(含所有设备费)*中标监理费率*95%（含已支付的预付款）；余下费用在工程通过竣工验收后1个月内支付。履约保证金在工程完工后1月内退还，监理费用结算文件申请份数按委托人具体要求执行。</w:t>
      </w:r>
    </w:p>
    <w:p w14:paraId="4E8A370C">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91" w:name="_Toc28614881"/>
      <w:r>
        <w:rPr>
          <w:rFonts w:hint="eastAsia" w:ascii="宋体" w:hAnsi="宋体" w:eastAsia="宋体" w:cs="宋体"/>
          <w:bCs/>
          <w:snapToGrid w:val="0"/>
          <w:color w:val="000000"/>
          <w:kern w:val="0"/>
          <w:sz w:val="24"/>
          <w:szCs w:val="24"/>
          <w:highlight w:val="none"/>
        </w:rPr>
        <w:t>10.不可抗力</w:t>
      </w:r>
      <w:bookmarkEnd w:id="291"/>
    </w:p>
    <w:p w14:paraId="695A69CE">
      <w:pPr>
        <w:keepNext/>
        <w:keepLines/>
        <w:pageBreakBefore w:val="0"/>
        <w:widowControl/>
        <w:kinsoku w:val="0"/>
        <w:wordWrap/>
        <w:overflowPunct/>
        <w:topLinePunct w:val="0"/>
        <w:autoSpaceDE w:val="0"/>
        <w:autoSpaceDN w:val="0"/>
        <w:bidi w:val="0"/>
        <w:adjustRightInd w:val="0"/>
        <w:snapToGrid w:val="0"/>
        <w:spacing w:line="360" w:lineRule="auto"/>
        <w:ind w:left="132" w:right="-29" w:rightChars="-14"/>
        <w:jc w:val="both"/>
        <w:textAlignment w:val="baseline"/>
        <w:outlineLvl w:val="2"/>
        <w:rPr>
          <w:rFonts w:hint="eastAsia" w:ascii="宋体" w:hAnsi="宋体" w:eastAsia="宋体" w:cs="宋体"/>
          <w:bCs/>
          <w:snapToGrid w:val="0"/>
          <w:color w:val="000000"/>
          <w:kern w:val="0"/>
          <w:sz w:val="24"/>
          <w:szCs w:val="24"/>
          <w:highlight w:val="none"/>
        </w:rPr>
      </w:pPr>
      <w:bookmarkStart w:id="292" w:name="_Toc28614882"/>
      <w:r>
        <w:rPr>
          <w:rFonts w:hint="eastAsia" w:ascii="宋体" w:hAnsi="宋体" w:eastAsia="宋体" w:cs="宋体"/>
          <w:bCs/>
          <w:snapToGrid w:val="0"/>
          <w:color w:val="000000"/>
          <w:kern w:val="0"/>
          <w:sz w:val="24"/>
          <w:szCs w:val="24"/>
          <w:highlight w:val="none"/>
        </w:rPr>
        <w:t>10.1不可抗力的确认</w:t>
      </w:r>
      <w:bookmarkEnd w:id="292"/>
    </w:p>
    <w:p w14:paraId="428D9AE2">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10.1.1不可抗力的其他情形：</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w:t>
      </w:r>
    </w:p>
    <w:p w14:paraId="273ACCBF">
      <w:pPr>
        <w:keepNext/>
        <w:keepLines/>
        <w:pageBreakBefore w:val="0"/>
        <w:widowControl/>
        <w:kinsoku w:val="0"/>
        <w:wordWrap/>
        <w:overflowPunct/>
        <w:topLinePunct w:val="0"/>
        <w:autoSpaceDE w:val="0"/>
        <w:autoSpaceDN w:val="0"/>
        <w:bidi w:val="0"/>
        <w:adjustRightInd w:val="0"/>
        <w:snapToGrid w:val="0"/>
        <w:spacing w:line="360" w:lineRule="auto"/>
        <w:ind w:left="-5" w:right="-29" w:rightChars="-14"/>
        <w:jc w:val="both"/>
        <w:textAlignment w:val="baseline"/>
        <w:outlineLvl w:val="1"/>
        <w:rPr>
          <w:rFonts w:hint="eastAsia" w:ascii="宋体" w:hAnsi="宋体" w:eastAsia="宋体" w:cs="宋体"/>
          <w:bCs/>
          <w:snapToGrid w:val="0"/>
          <w:color w:val="000000"/>
          <w:kern w:val="0"/>
          <w:sz w:val="24"/>
          <w:szCs w:val="24"/>
          <w:highlight w:val="none"/>
        </w:rPr>
      </w:pPr>
      <w:bookmarkStart w:id="293" w:name="_Toc28614883"/>
      <w:r>
        <w:rPr>
          <w:rFonts w:hint="eastAsia" w:ascii="宋体" w:hAnsi="宋体" w:eastAsia="宋体" w:cs="宋体"/>
          <w:bCs/>
          <w:snapToGrid w:val="0"/>
          <w:color w:val="000000"/>
          <w:kern w:val="0"/>
          <w:sz w:val="24"/>
          <w:szCs w:val="24"/>
          <w:highlight w:val="none"/>
        </w:rPr>
        <w:t>12.争议的解决</w:t>
      </w:r>
      <w:bookmarkEnd w:id="293"/>
    </w:p>
    <w:p w14:paraId="71329B1B">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因本合同引起的或与本合同有关的任何争议,双方可通过友好协商解决。友好协商解决不成的，可在专用合同条款中约定下列</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u w:val="single"/>
          <w:lang w:val="en-US" w:eastAsia="zh-CN"/>
        </w:rPr>
        <w:t>1</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种方式解决：</w:t>
      </w:r>
    </w:p>
    <w:p w14:paraId="1E06C54C">
      <w:pPr>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（1）向约定的仲裁委员会申请仲裁；</w:t>
      </w:r>
    </w:p>
    <w:p w14:paraId="5E6C2552">
      <w:pPr>
        <w:pageBreakBefore w:val="0"/>
        <w:widowControl/>
        <w:kinsoku w:val="0"/>
        <w:wordWrap/>
        <w:overflowPunct/>
        <w:topLinePunct w:val="0"/>
        <w:autoSpaceDE w:val="0"/>
        <w:autoSpaceDN w:val="0"/>
        <w:bidi w:val="0"/>
        <w:adjustRightInd w:val="0"/>
        <w:snapToGrid w:val="0"/>
        <w:spacing w:line="360" w:lineRule="auto"/>
        <w:ind w:right="-29" w:rightChars="-14" w:firstLine="420"/>
        <w:jc w:val="both"/>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（2）向有管辖权的人民法院提起诉讼</w:t>
      </w:r>
    </w:p>
    <w:p w14:paraId="687F0D06">
      <w:pPr>
        <w:widowControl/>
        <w:tabs>
          <w:tab w:val="left" w:pos="3324"/>
          <w:tab w:val="center" w:pos="4703"/>
          <w:tab w:val="left" w:pos="5890"/>
          <w:tab w:val="left" w:leader="middleDot" w:pos="8108"/>
        </w:tabs>
        <w:kinsoku w:val="0"/>
        <w:autoSpaceDE w:val="0"/>
        <w:autoSpaceDN w:val="0"/>
        <w:spacing w:beforeLines="50" w:afterLines="50" w:line="360" w:lineRule="auto"/>
        <w:jc w:val="left"/>
        <w:textAlignment w:val="baseline"/>
        <w:rPr>
          <w:rFonts w:hint="eastAsia" w:ascii="宋体" w:hAnsi="宋体" w:eastAsia="宋体" w:cs="宋体"/>
          <w:snapToGrid w:val="0"/>
          <w:color w:val="000000"/>
          <w:kern w:val="0"/>
          <w:sz w:val="24"/>
          <w:szCs w:val="24"/>
          <w:highlight w:val="none"/>
        </w:rPr>
      </w:pPr>
    </w:p>
    <w:p w14:paraId="2E8D8370">
      <w:pPr>
        <w:widowControl/>
        <w:kinsoku w:val="0"/>
        <w:autoSpaceDE w:val="0"/>
        <w:autoSpaceDN w:val="0"/>
        <w:spacing w:line="240" w:lineRule="auto"/>
        <w:jc w:val="left"/>
        <w:textAlignment w:val="baseline"/>
        <w:rPr>
          <w:rFonts w:hint="eastAsia" w:ascii="宋体" w:hAnsi="宋体" w:eastAsia="宋体" w:cs="宋体"/>
          <w:bCs/>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br w:type="page"/>
      </w:r>
    </w:p>
    <w:p w14:paraId="2088667B">
      <w:pPr>
        <w:keepNext/>
        <w:keepLines/>
        <w:widowControl/>
        <w:kinsoku w:val="0"/>
        <w:autoSpaceDE w:val="0"/>
        <w:autoSpaceDN w:val="0"/>
        <w:spacing w:before="260" w:after="260" w:line="416" w:lineRule="auto"/>
        <w:jc w:val="center"/>
        <w:textAlignment w:val="baseline"/>
        <w:outlineLvl w:val="1"/>
        <w:rPr>
          <w:rFonts w:hint="eastAsia" w:ascii="宋体" w:hAnsi="宋体" w:eastAsia="宋体" w:cs="宋体"/>
          <w:bCs/>
          <w:snapToGrid w:val="0"/>
          <w:color w:val="000000"/>
          <w:kern w:val="0"/>
          <w:sz w:val="24"/>
          <w:szCs w:val="24"/>
          <w:highlight w:val="none"/>
        </w:rPr>
      </w:pPr>
      <w:bookmarkStart w:id="294" w:name="_Toc28614884"/>
      <w:r>
        <w:rPr>
          <w:rFonts w:hint="eastAsia" w:ascii="宋体" w:hAnsi="宋体" w:eastAsia="宋体" w:cs="宋体"/>
          <w:bCs/>
          <w:snapToGrid w:val="0"/>
          <w:color w:val="000000"/>
          <w:kern w:val="0"/>
          <w:sz w:val="24"/>
          <w:szCs w:val="24"/>
          <w:highlight w:val="none"/>
        </w:rPr>
        <w:t>第3节合同附件格式</w:t>
      </w:r>
      <w:bookmarkEnd w:id="294"/>
    </w:p>
    <w:bookmarkEnd w:id="239"/>
    <w:bookmarkEnd w:id="240"/>
    <w:bookmarkEnd w:id="241"/>
    <w:bookmarkEnd w:id="242"/>
    <w:bookmarkEnd w:id="243"/>
    <w:p w14:paraId="494AC659">
      <w:pPr>
        <w:keepNext/>
        <w:keepLines/>
        <w:widowControl/>
        <w:kinsoku w:val="0"/>
        <w:autoSpaceDE w:val="0"/>
        <w:autoSpaceDN w:val="0"/>
        <w:spacing w:before="260" w:after="260" w:line="416" w:lineRule="auto"/>
        <w:jc w:val="left"/>
        <w:textAlignment w:val="baseline"/>
        <w:outlineLvl w:val="2"/>
        <w:rPr>
          <w:rFonts w:hint="eastAsia" w:ascii="宋体" w:hAnsi="宋体" w:eastAsia="宋体" w:cs="宋体"/>
          <w:bCs/>
          <w:snapToGrid w:val="0"/>
          <w:color w:val="000000"/>
          <w:kern w:val="0"/>
          <w:sz w:val="24"/>
          <w:szCs w:val="24"/>
          <w:highlight w:val="none"/>
        </w:rPr>
      </w:pPr>
      <w:bookmarkStart w:id="295" w:name="_Toc168476287"/>
      <w:bookmarkStart w:id="296" w:name="_Toc144974827"/>
      <w:bookmarkStart w:id="297" w:name="_Toc497397025"/>
      <w:bookmarkStart w:id="298" w:name="_Toc497385085"/>
      <w:bookmarkStart w:id="299" w:name="_Toc497384913"/>
      <w:bookmarkStart w:id="300" w:name="_Toc497396515"/>
      <w:bookmarkStart w:id="301" w:name="_Toc222303360"/>
      <w:bookmarkStart w:id="302" w:name="_Toc497381668"/>
      <w:bookmarkStart w:id="303" w:name="_Toc497384769"/>
      <w:bookmarkStart w:id="304" w:name="_Toc434833914"/>
      <w:bookmarkStart w:id="305" w:name="_Toc79007470"/>
      <w:bookmarkStart w:id="306" w:name="_Toc168475884"/>
      <w:bookmarkStart w:id="307" w:name="_Toc237153204"/>
      <w:bookmarkStart w:id="308" w:name="_Toc497396748"/>
      <w:bookmarkStart w:id="309" w:name="_Toc497387511"/>
      <w:r>
        <w:rPr>
          <w:rFonts w:hint="eastAsia" w:ascii="宋体" w:hAnsi="宋体" w:eastAsia="宋体" w:cs="宋体"/>
          <w:bCs/>
          <w:snapToGrid w:val="0"/>
          <w:color w:val="000000"/>
          <w:kern w:val="0"/>
          <w:sz w:val="24"/>
          <w:szCs w:val="24"/>
          <w:highlight w:val="none"/>
        </w:rPr>
        <w:t>附件一：合同协议书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3471DC">
      <w:pPr>
        <w:widowControl/>
        <w:kinsoku w:val="0"/>
        <w:autoSpaceDE w:val="0"/>
        <w:autoSpaceDN w:val="0"/>
        <w:adjustRightInd w:val="0"/>
        <w:spacing w:line="360" w:lineRule="auto"/>
        <w:ind w:left="10" w:right="214" w:hanging="10"/>
        <w:jc w:val="center"/>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合同协议书</w:t>
      </w:r>
    </w:p>
    <w:p w14:paraId="0B9EA89E">
      <w:pPr>
        <w:widowControl/>
        <w:kinsoku w:val="0"/>
        <w:autoSpaceDE w:val="0"/>
        <w:autoSpaceDN w:val="0"/>
        <w:adjustRightInd w:val="0"/>
        <w:spacing w:line="360" w:lineRule="auto"/>
        <w:jc w:val="left"/>
        <w:textAlignment w:val="baseline"/>
        <w:rPr>
          <w:rFonts w:hint="eastAsia" w:ascii="宋体" w:hAnsi="宋体" w:eastAsia="宋体" w:cs="宋体"/>
          <w:snapToGrid w:val="0"/>
          <w:color w:val="000000"/>
          <w:kern w:val="0"/>
          <w:sz w:val="24"/>
          <w:szCs w:val="24"/>
          <w:highlight w:val="none"/>
        </w:rPr>
      </w:pPr>
    </w:p>
    <w:p w14:paraId="5F593E83">
      <w:pPr>
        <w:widowControl/>
        <w:kinsoku w:val="0"/>
        <w:autoSpaceDE w:val="0"/>
        <w:autoSpaceDN w:val="0"/>
        <w:adjustRightInd w:val="0"/>
        <w:snapToGrid w:val="0"/>
        <w:spacing w:line="360" w:lineRule="auto"/>
        <w:ind w:left="10" w:right="200"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（委托人名称，以下简称“委托人”）为实施（工程项目名称）（标段名称），已接受（监理人名称，以下简称“监理人”）对该项目监理服务投标，委托人和监理人共同达成如下协议：</w:t>
      </w:r>
    </w:p>
    <w:p w14:paraId="49BB4A4F">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1.本协议书与下列文件一起构成合同文件：</w:t>
      </w:r>
    </w:p>
    <w:p w14:paraId="0D624A4F">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（1）中标通知书；</w:t>
      </w:r>
    </w:p>
    <w:p w14:paraId="0196A657">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（2）投标函及投标函附录；</w:t>
      </w:r>
    </w:p>
    <w:p w14:paraId="2CE84D80">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（3）专用合同条款；</w:t>
      </w:r>
    </w:p>
    <w:p w14:paraId="1D39176C">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（4）通用合同条款；</w:t>
      </w:r>
    </w:p>
    <w:p w14:paraId="236D8A7C">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（5）委托人要求；</w:t>
      </w:r>
    </w:p>
    <w:p w14:paraId="1C645BD3">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（6）监理报酬清单；</w:t>
      </w:r>
    </w:p>
    <w:p w14:paraId="67E99A7F">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（7）监理大纲；</w:t>
      </w:r>
    </w:p>
    <w:p w14:paraId="50C4C32B">
      <w:pPr>
        <w:widowControl/>
        <w:kinsoku w:val="0"/>
        <w:autoSpaceDE w:val="0"/>
        <w:autoSpaceDN w:val="0"/>
        <w:adjustRightInd w:val="0"/>
        <w:snapToGrid w:val="0"/>
        <w:spacing w:line="360" w:lineRule="auto"/>
        <w:ind w:left="430" w:right="102"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（8）其他合同文件。</w:t>
      </w:r>
    </w:p>
    <w:p w14:paraId="34FF97A9">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2.上述合同文件互相补充和解释。如果合同文件之间存在矛盾或不一致之处，以上述文件的排列顺序在先者为准。</w:t>
      </w:r>
    </w:p>
    <w:p w14:paraId="75493D66">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3.签约合同价：人民币（大写）（¥）。</w:t>
      </w:r>
    </w:p>
    <w:p w14:paraId="096B245A">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4.总监理工程师：。</w:t>
      </w:r>
    </w:p>
    <w:p w14:paraId="1872A6BD">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5.监理工作质量符合的标准和要求：。</w:t>
      </w:r>
    </w:p>
    <w:p w14:paraId="1F1DD93E">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6.监理人承诺按合同约定承担工程的监理工作。</w:t>
      </w:r>
    </w:p>
    <w:p w14:paraId="6145371A">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7.委托人承诺按合同约定的条件、时间和方式向监理人支付合同价款。</w:t>
      </w:r>
    </w:p>
    <w:p w14:paraId="6A41C1BA">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8.监理人计划开始监理日期：，实际日期按照委托人在开始监理通知中载明的开始监理日期为准。监理服务期限为天。</w:t>
      </w:r>
    </w:p>
    <w:p w14:paraId="1B66487F">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9.本合同协议书一式份，合同双方各执份。</w:t>
      </w:r>
    </w:p>
    <w:p w14:paraId="13CA5DDB">
      <w:pPr>
        <w:widowControl/>
        <w:kinsoku w:val="0"/>
        <w:autoSpaceDE w:val="0"/>
        <w:autoSpaceDN w:val="0"/>
        <w:adjustRightInd w:val="0"/>
        <w:snapToGrid w:val="0"/>
        <w:spacing w:line="360" w:lineRule="auto"/>
        <w:ind w:right="102" w:firstLine="42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10.合同未尽事宜，双方另行签订补充协议。补充协议是合同的组成部分。</w:t>
      </w:r>
    </w:p>
    <w:p w14:paraId="0F7175A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rPr>
      </w:pPr>
    </w:p>
    <w:p w14:paraId="70847724">
      <w:pPr>
        <w:widowControl/>
        <w:kinsoku w:val="0"/>
        <w:autoSpaceDE w:val="0"/>
        <w:autoSpaceDN w:val="0"/>
        <w:adjustRightInd w:val="0"/>
        <w:snapToGrid w:val="0"/>
        <w:spacing w:line="360" w:lineRule="auto"/>
        <w:ind w:left="-5" w:right="103"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委托人：（盖单位章）监理人：（盖单位章）</w:t>
      </w:r>
    </w:p>
    <w:p w14:paraId="0EFF5DA8">
      <w:pPr>
        <w:widowControl/>
        <w:kinsoku w:val="0"/>
        <w:autoSpaceDE w:val="0"/>
        <w:autoSpaceDN w:val="0"/>
        <w:adjustRightInd w:val="0"/>
        <w:snapToGrid w:val="0"/>
        <w:spacing w:line="360" w:lineRule="auto"/>
        <w:ind w:left="-5" w:right="103"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法定代表人或其委托代理人：（签字）法定代表人或其委托代理人：（签字）</w:t>
      </w:r>
    </w:p>
    <w:p w14:paraId="1308483F">
      <w:pPr>
        <w:widowControl/>
        <w:kinsoku w:val="0"/>
        <w:autoSpaceDE w:val="0"/>
        <w:autoSpaceDN w:val="0"/>
        <w:adjustRightInd w:val="0"/>
        <w:snapToGrid w:val="0"/>
        <w:spacing w:line="360" w:lineRule="auto"/>
        <w:ind w:left="-5" w:right="103" w:hanging="1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年月日年月日</w:t>
      </w:r>
    </w:p>
    <w:p w14:paraId="078C731B">
      <w:pPr>
        <w:widowControl/>
        <w:kinsoku w:val="0"/>
        <w:autoSpaceDE w:val="0"/>
        <w:autoSpaceDN w:val="0"/>
        <w:adjustRightInd w:val="0"/>
        <w:snapToGrid w:val="0"/>
        <w:spacing w:line="360" w:lineRule="auto"/>
        <w:ind w:left="-5" w:right="103" w:hanging="10"/>
        <w:jc w:val="left"/>
        <w:textAlignment w:val="baseline"/>
        <w:rPr>
          <w:rFonts w:hint="eastAsia" w:ascii="宋体" w:hAnsi="宋体" w:eastAsia="宋体" w:cs="宋体"/>
          <w:snapToGrid w:val="0"/>
          <w:color w:val="000000"/>
          <w:kern w:val="0"/>
          <w:position w:val="2"/>
          <w:sz w:val="24"/>
          <w:szCs w:val="24"/>
          <w:highlight w:val="none"/>
        </w:rPr>
      </w:pPr>
      <w:r>
        <w:rPr>
          <w:rFonts w:hint="eastAsia" w:ascii="宋体" w:hAnsi="宋体" w:eastAsia="宋体" w:cs="宋体"/>
          <w:snapToGrid w:val="0"/>
          <w:color w:val="000000"/>
          <w:kern w:val="0"/>
          <w:position w:val="2"/>
          <w:sz w:val="24"/>
          <w:szCs w:val="24"/>
          <w:highlight w:val="none"/>
        </w:rPr>
        <w:t>注：联合体中标的，监理人签字、盖章格式须增加联合体其他成员，并标明联合体牵头人和联合体成员单位。</w:t>
      </w:r>
    </w:p>
    <w:p w14:paraId="62300AFB">
      <w:pPr>
        <w:widowControl/>
        <w:kinsoku w:val="0"/>
        <w:autoSpaceDE w:val="0"/>
        <w:autoSpaceDN w:val="0"/>
        <w:spacing w:line="240" w:lineRule="auto"/>
        <w:jc w:val="left"/>
        <w:textAlignment w:val="baseline"/>
        <w:rPr>
          <w:rFonts w:hint="eastAsia" w:ascii="宋体" w:hAnsi="宋体" w:eastAsia="宋体" w:cs="宋体"/>
          <w:snapToGrid w:val="0"/>
          <w:color w:val="000000"/>
          <w:kern w:val="0"/>
          <w:position w:val="2"/>
          <w:sz w:val="24"/>
          <w:szCs w:val="24"/>
          <w:highlight w:val="none"/>
        </w:rPr>
      </w:pPr>
    </w:p>
    <w:p w14:paraId="574ACC7F">
      <w:pPr>
        <w:widowControl/>
        <w:kinsoku w:val="0"/>
        <w:autoSpaceDE w:val="0"/>
        <w:autoSpaceDN w:val="0"/>
        <w:spacing w:line="240" w:lineRule="auto"/>
        <w:jc w:val="left"/>
        <w:textAlignment w:val="baseline"/>
        <w:rPr>
          <w:rFonts w:hint="eastAsia" w:ascii="宋体" w:hAnsi="宋体" w:eastAsia="宋体" w:cs="宋体"/>
          <w:bCs/>
          <w:snapToGrid w:val="0"/>
          <w:color w:val="000000"/>
          <w:kern w:val="0"/>
          <w:sz w:val="24"/>
          <w:szCs w:val="24"/>
          <w:highlight w:val="none"/>
        </w:rPr>
      </w:pPr>
      <w:bookmarkStart w:id="310" w:name="_Toc168476291"/>
      <w:bookmarkStart w:id="311" w:name="_Toc168475888"/>
      <w:bookmarkStart w:id="312" w:name="_Toc237153205"/>
      <w:bookmarkStart w:id="313" w:name="_Toc144974831"/>
      <w:bookmarkStart w:id="314" w:name="_Toc222303361"/>
      <w:bookmarkStart w:id="315" w:name="_Toc497397026"/>
      <w:bookmarkStart w:id="316" w:name="_Toc497396749"/>
      <w:bookmarkStart w:id="317" w:name="_Toc497381669"/>
      <w:bookmarkStart w:id="318" w:name="_Toc497384914"/>
      <w:bookmarkStart w:id="319" w:name="_Toc497384770"/>
      <w:bookmarkStart w:id="320" w:name="_Toc497387512"/>
      <w:bookmarkStart w:id="321" w:name="_Toc497385086"/>
      <w:bookmarkStart w:id="322" w:name="_Toc497396516"/>
      <w:bookmarkStart w:id="323" w:name="_Toc79007471"/>
      <w:r>
        <w:rPr>
          <w:rFonts w:hint="eastAsia" w:ascii="宋体" w:hAnsi="宋体" w:eastAsia="宋体" w:cs="宋体"/>
          <w:bCs/>
          <w:snapToGrid w:val="0"/>
          <w:color w:val="000000"/>
          <w:kern w:val="0"/>
          <w:sz w:val="24"/>
          <w:szCs w:val="24"/>
          <w:highlight w:val="none"/>
        </w:rPr>
        <w:br w:type="page"/>
      </w:r>
    </w:p>
    <w:p w14:paraId="138C669B">
      <w:pPr>
        <w:keepNext/>
        <w:keepLines/>
        <w:widowControl/>
        <w:kinsoku w:val="0"/>
        <w:autoSpaceDE w:val="0"/>
        <w:autoSpaceDN w:val="0"/>
        <w:spacing w:before="260" w:after="260" w:line="416" w:lineRule="auto"/>
        <w:jc w:val="left"/>
        <w:textAlignment w:val="baseline"/>
        <w:outlineLvl w:val="2"/>
        <w:rPr>
          <w:rFonts w:hint="eastAsia" w:ascii="宋体" w:hAnsi="宋体" w:eastAsia="宋体" w:cs="宋体"/>
          <w:bCs/>
          <w:snapToGrid w:val="0"/>
          <w:color w:val="000000"/>
          <w:kern w:val="0"/>
          <w:sz w:val="24"/>
          <w:szCs w:val="24"/>
          <w:highlight w:val="none"/>
        </w:rPr>
      </w:pPr>
      <w:r>
        <w:rPr>
          <w:rFonts w:hint="eastAsia" w:ascii="宋体" w:hAnsi="宋体" w:eastAsia="宋体" w:cs="宋体"/>
          <w:bCs/>
          <w:snapToGrid w:val="0"/>
          <w:color w:val="000000"/>
          <w:kern w:val="0"/>
          <w:sz w:val="24"/>
          <w:szCs w:val="24"/>
          <w:highlight w:val="none"/>
        </w:rPr>
        <w:t>附件二：履约</w:t>
      </w:r>
      <w:bookmarkEnd w:id="310"/>
      <w:bookmarkEnd w:id="311"/>
      <w:bookmarkEnd w:id="312"/>
      <w:bookmarkEnd w:id="313"/>
      <w:bookmarkEnd w:id="314"/>
      <w:r>
        <w:rPr>
          <w:rFonts w:hint="eastAsia" w:ascii="宋体" w:hAnsi="宋体" w:eastAsia="宋体" w:cs="宋体"/>
          <w:bCs/>
          <w:snapToGrid w:val="0"/>
          <w:color w:val="000000"/>
          <w:kern w:val="0"/>
          <w:sz w:val="24"/>
          <w:szCs w:val="24"/>
          <w:highlight w:val="none"/>
        </w:rPr>
        <w:t>保证金格式</w:t>
      </w:r>
      <w:bookmarkEnd w:id="315"/>
      <w:bookmarkEnd w:id="316"/>
      <w:bookmarkEnd w:id="317"/>
      <w:bookmarkEnd w:id="318"/>
      <w:bookmarkEnd w:id="319"/>
      <w:bookmarkEnd w:id="320"/>
      <w:bookmarkEnd w:id="321"/>
      <w:bookmarkEnd w:id="322"/>
      <w:bookmarkEnd w:id="323"/>
    </w:p>
    <w:p w14:paraId="5EC1D6AD">
      <w:pPr>
        <w:widowControl/>
        <w:kinsoku w:val="0"/>
        <w:autoSpaceDE w:val="0"/>
        <w:autoSpaceDN w:val="0"/>
        <w:spacing w:line="400" w:lineRule="exact"/>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如采用银行保函，格式如下。</w:t>
      </w:r>
    </w:p>
    <w:p w14:paraId="465CBA91">
      <w:pPr>
        <w:widowControl/>
        <w:kinsoku w:val="0"/>
        <w:autoSpaceDE w:val="0"/>
        <w:autoSpaceDN w:val="0"/>
        <w:spacing w:line="440" w:lineRule="exact"/>
        <w:jc w:val="center"/>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履约保证金</w:t>
      </w:r>
    </w:p>
    <w:p w14:paraId="5C2E0BD3">
      <w:pPr>
        <w:widowControl/>
        <w:kinsoku w:val="0"/>
        <w:autoSpaceDE w:val="0"/>
        <w:autoSpaceDN w:val="0"/>
        <w:spacing w:line="440" w:lineRule="exact"/>
        <w:jc w:val="left"/>
        <w:textAlignment w:val="baseline"/>
        <w:rPr>
          <w:rFonts w:hint="eastAsia" w:ascii="宋体" w:hAnsi="宋体" w:eastAsia="宋体" w:cs="宋体"/>
          <w:snapToGrid w:val="0"/>
          <w:color w:val="000000"/>
          <w:kern w:val="0"/>
          <w:sz w:val="24"/>
          <w:szCs w:val="24"/>
          <w:highlight w:val="none"/>
        </w:rPr>
      </w:pPr>
    </w:p>
    <w:p w14:paraId="26131F21">
      <w:pPr>
        <w:widowControl/>
        <w:kinsoku w:val="0"/>
        <w:autoSpaceDE w:val="0"/>
        <w:autoSpaceDN w:val="0"/>
        <w:spacing w:line="440" w:lineRule="exact"/>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（委托人名称）：</w:t>
      </w:r>
    </w:p>
    <w:p w14:paraId="2D884970">
      <w:pPr>
        <w:widowControl/>
        <w:kinsoku w:val="0"/>
        <w:autoSpaceDE w:val="0"/>
        <w:autoSpaceDN w:val="0"/>
        <w:spacing w:line="440" w:lineRule="exact"/>
        <w:jc w:val="left"/>
        <w:textAlignment w:val="baseline"/>
        <w:rPr>
          <w:rFonts w:hint="eastAsia" w:ascii="宋体" w:hAnsi="宋体" w:eastAsia="宋体" w:cs="宋体"/>
          <w:snapToGrid w:val="0"/>
          <w:color w:val="000000"/>
          <w:kern w:val="0"/>
          <w:sz w:val="24"/>
          <w:szCs w:val="24"/>
          <w:highlight w:val="none"/>
        </w:rPr>
      </w:pPr>
    </w:p>
    <w:p w14:paraId="15CE6E71">
      <w:pPr>
        <w:widowControl/>
        <w:kinsoku w:val="0"/>
        <w:autoSpaceDE w:val="0"/>
        <w:autoSpaceDN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鉴于（委托人名称，以下简称“委托人”）接受（监理人名称，以下称“监理人”）于年月日参加（工程项目名称）（标段名称）招标项目的投标。我方愿意无条件地、不可撤销地就监理人履行与你方订立的合同，向你方提供担保。</w:t>
      </w:r>
    </w:p>
    <w:p w14:paraId="6F5D300B">
      <w:pPr>
        <w:widowControl/>
        <w:kinsoku w:val="0"/>
        <w:autoSpaceDE w:val="0"/>
        <w:autoSpaceDN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1.担保金额人民币（大写）元（¥）。</w:t>
      </w:r>
    </w:p>
    <w:p w14:paraId="2380A916">
      <w:pPr>
        <w:widowControl/>
        <w:kinsoku w:val="0"/>
        <w:autoSpaceDE w:val="0"/>
        <w:autoSpaceDN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2.担保有效期自委托人与监理人签订的合同生效之日起至委托人签发之日起28天后失效。</w:t>
      </w:r>
    </w:p>
    <w:p w14:paraId="4911F07B">
      <w:pPr>
        <w:widowControl/>
        <w:kinsoku w:val="0"/>
        <w:autoSpaceDE w:val="0"/>
        <w:autoSpaceDN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3.在本担保有效期内，如果监理人不履行合同约定的义务或其履行不符合合同的约定，我方在收到你方以书面形式提出的在担保金额内的赔偿要求后，在7天内无条件支付。</w:t>
      </w:r>
    </w:p>
    <w:p w14:paraId="2EC31BAB">
      <w:pPr>
        <w:widowControl/>
        <w:kinsoku w:val="0"/>
        <w:autoSpaceDE w:val="0"/>
        <w:autoSpaceDN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4.委托人和监理人变更合同时，无论我方是否收到该变更，我方承担本担保规定的义务不变。</w:t>
      </w:r>
    </w:p>
    <w:p w14:paraId="39D47F5A">
      <w:pPr>
        <w:widowControl/>
        <w:kinsoku w:val="0"/>
        <w:autoSpaceDE w:val="0"/>
        <w:autoSpaceDN w:val="0"/>
        <w:spacing w:line="440" w:lineRule="exact"/>
        <w:jc w:val="left"/>
        <w:textAlignment w:val="baseline"/>
        <w:rPr>
          <w:rFonts w:hint="eastAsia" w:ascii="宋体" w:hAnsi="宋体" w:eastAsia="宋体" w:cs="宋体"/>
          <w:snapToGrid w:val="0"/>
          <w:color w:val="000000"/>
          <w:kern w:val="0"/>
          <w:sz w:val="24"/>
          <w:szCs w:val="24"/>
          <w:highlight w:val="none"/>
        </w:rPr>
      </w:pPr>
    </w:p>
    <w:p w14:paraId="2E11065E">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担保人名称：（盖单位章）</w:t>
      </w:r>
    </w:p>
    <w:p w14:paraId="39A86F28">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法定代表人或其委托代理人：（签字）</w:t>
      </w:r>
    </w:p>
    <w:p w14:paraId="4E667AEB">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地址：</w:t>
      </w:r>
    </w:p>
    <w:p w14:paraId="50F41515">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邮政编码：</w:t>
      </w:r>
      <w:r>
        <w:rPr>
          <w:rFonts w:hint="eastAsia" w:ascii="宋体" w:hAnsi="宋体" w:eastAsia="宋体" w:cs="宋体"/>
          <w:snapToGrid w:val="0"/>
          <w:color w:val="000000"/>
          <w:kern w:val="0"/>
          <w:sz w:val="24"/>
          <w:szCs w:val="24"/>
          <w:highlight w:val="none"/>
          <w:u w:val="single"/>
        </w:rPr>
        <w:tab/>
      </w:r>
      <w:r>
        <w:rPr>
          <w:rFonts w:hint="eastAsia" w:ascii="宋体" w:hAnsi="宋体" w:eastAsia="宋体" w:cs="宋体"/>
          <w:snapToGrid w:val="0"/>
          <w:color w:val="000000"/>
          <w:kern w:val="0"/>
          <w:sz w:val="24"/>
          <w:szCs w:val="24"/>
          <w:highlight w:val="none"/>
          <w:u w:val="single"/>
        </w:rPr>
        <w:tab/>
      </w:r>
      <w:r>
        <w:rPr>
          <w:rFonts w:hint="eastAsia" w:ascii="宋体" w:hAnsi="宋体" w:eastAsia="宋体" w:cs="宋体"/>
          <w:snapToGrid w:val="0"/>
          <w:color w:val="000000"/>
          <w:kern w:val="0"/>
          <w:sz w:val="24"/>
          <w:szCs w:val="24"/>
          <w:highlight w:val="none"/>
          <w:u w:val="single"/>
        </w:rPr>
        <w:tab/>
      </w:r>
      <w:r>
        <w:rPr>
          <w:rFonts w:hint="eastAsia" w:ascii="宋体" w:hAnsi="宋体" w:eastAsia="宋体" w:cs="宋体"/>
          <w:snapToGrid w:val="0"/>
          <w:color w:val="000000"/>
          <w:kern w:val="0"/>
          <w:sz w:val="24"/>
          <w:szCs w:val="24"/>
          <w:highlight w:val="none"/>
          <w:u w:val="single"/>
        </w:rPr>
        <w:tab/>
      </w:r>
      <w:r>
        <w:rPr>
          <w:rFonts w:hint="eastAsia" w:ascii="宋体" w:hAnsi="宋体" w:eastAsia="宋体" w:cs="宋体"/>
          <w:snapToGrid w:val="0"/>
          <w:color w:val="000000"/>
          <w:kern w:val="0"/>
          <w:sz w:val="24"/>
          <w:szCs w:val="24"/>
          <w:highlight w:val="none"/>
          <w:u w:val="single"/>
        </w:rPr>
        <w:tab/>
      </w:r>
    </w:p>
    <w:p w14:paraId="322367EF">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u w:val="single"/>
        </w:rPr>
      </w:pPr>
      <w:r>
        <w:rPr>
          <w:rFonts w:hint="eastAsia" w:ascii="宋体" w:hAnsi="宋体" w:eastAsia="宋体" w:cs="宋体"/>
          <w:snapToGrid w:val="0"/>
          <w:color w:val="000000"/>
          <w:kern w:val="0"/>
          <w:sz w:val="24"/>
          <w:szCs w:val="24"/>
          <w:highlight w:val="none"/>
        </w:rPr>
        <w:t>电话：</w:t>
      </w:r>
    </w:p>
    <w:p w14:paraId="1E14BACA">
      <w:pPr>
        <w:widowControl/>
        <w:kinsoku w:val="0"/>
        <w:autoSpaceDE w:val="0"/>
        <w:autoSpaceDN w:val="0"/>
        <w:spacing w:line="360" w:lineRule="auto"/>
        <w:ind w:firstLine="3907" w:firstLineChars="16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传真：</w:t>
      </w:r>
    </w:p>
    <w:p w14:paraId="01629388">
      <w:pPr>
        <w:widowControl/>
        <w:kinsoku w:val="0"/>
        <w:autoSpaceDE w:val="0"/>
        <w:autoSpaceDN w:val="0"/>
        <w:spacing w:line="360" w:lineRule="auto"/>
        <w:ind w:firstLine="5347" w:firstLineChars="222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年</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月</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日</w:t>
      </w:r>
    </w:p>
    <w:p w14:paraId="546734E4">
      <w:pPr>
        <w:widowControl/>
        <w:kinsoku w:val="0"/>
        <w:autoSpaceDE w:val="0"/>
        <w:autoSpaceDN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br w:type="page"/>
      </w:r>
    </w:p>
    <w:p w14:paraId="4FCF27FD">
      <w:pPr>
        <w:keepNext/>
        <w:keepLines/>
        <w:widowControl/>
        <w:kinsoku w:val="0"/>
        <w:autoSpaceDE w:val="0"/>
        <w:autoSpaceDN w:val="0"/>
        <w:spacing w:before="260" w:after="260" w:line="416" w:lineRule="auto"/>
        <w:jc w:val="left"/>
        <w:textAlignment w:val="baseline"/>
        <w:outlineLvl w:val="2"/>
        <w:rPr>
          <w:rFonts w:hint="eastAsia" w:ascii="宋体" w:hAnsi="宋体" w:eastAsia="宋体" w:cs="宋体"/>
          <w:bCs/>
          <w:snapToGrid w:val="0"/>
          <w:color w:val="000000"/>
          <w:kern w:val="0"/>
          <w:sz w:val="24"/>
          <w:szCs w:val="24"/>
          <w:highlight w:val="none"/>
          <w:lang w:val="en-US" w:eastAsia="zh-CN"/>
        </w:rPr>
      </w:pPr>
      <w:bookmarkStart w:id="324" w:name="_Toc351534267"/>
      <w:bookmarkStart w:id="325" w:name="_Toc450824211"/>
      <w:bookmarkStart w:id="326" w:name="_Toc395514009"/>
      <w:r>
        <w:rPr>
          <w:rFonts w:hint="eastAsia" w:ascii="宋体" w:hAnsi="宋体" w:eastAsia="宋体" w:cs="宋体"/>
          <w:bCs/>
          <w:snapToGrid w:val="0"/>
          <w:color w:val="000000"/>
          <w:kern w:val="0"/>
          <w:sz w:val="24"/>
          <w:szCs w:val="24"/>
          <w:highlight w:val="none"/>
        </w:rPr>
        <w:t>附件三</w:t>
      </w:r>
      <w:bookmarkEnd w:id="324"/>
      <w:bookmarkEnd w:id="325"/>
      <w:bookmarkEnd w:id="326"/>
      <w:r>
        <w:rPr>
          <w:rFonts w:hint="eastAsia" w:ascii="宋体" w:hAnsi="宋体" w:eastAsia="宋体" w:cs="宋体"/>
          <w:bCs/>
          <w:snapToGrid w:val="0"/>
          <w:color w:val="000000"/>
          <w:kern w:val="0"/>
          <w:sz w:val="24"/>
          <w:szCs w:val="24"/>
          <w:highlight w:val="none"/>
          <w:lang w:val="en-US" w:eastAsia="zh-CN"/>
        </w:rPr>
        <w:t xml:space="preserve"> </w:t>
      </w:r>
    </w:p>
    <w:p w14:paraId="105B27B7">
      <w:pPr>
        <w:keepNext/>
        <w:keepLines/>
        <w:pageBreakBefore w:val="0"/>
        <w:widowControl/>
        <w:kinsoku w:val="0"/>
        <w:wordWrap/>
        <w:overflowPunct/>
        <w:topLinePunct w:val="0"/>
        <w:autoSpaceDE w:val="0"/>
        <w:autoSpaceDN w:val="0"/>
        <w:bidi w:val="0"/>
        <w:adjustRightInd w:val="0"/>
        <w:snapToGrid w:val="0"/>
        <w:spacing w:before="260" w:after="20" w:line="416" w:lineRule="auto"/>
        <w:jc w:val="center"/>
        <w:textAlignment w:val="baseline"/>
        <w:outlineLvl w:val="2"/>
        <w:rPr>
          <w:rFonts w:hint="eastAsia" w:ascii="宋体" w:hAnsi="宋体" w:eastAsia="宋体" w:cs="宋体"/>
          <w:bCs/>
          <w:snapToGrid w:val="0"/>
          <w:color w:val="000000"/>
          <w:kern w:val="0"/>
          <w:sz w:val="32"/>
          <w:szCs w:val="32"/>
          <w:highlight w:val="none"/>
        </w:rPr>
      </w:pPr>
      <w:r>
        <w:rPr>
          <w:rFonts w:hint="eastAsia" w:ascii="宋体" w:hAnsi="宋体" w:eastAsia="宋体" w:cs="宋体"/>
          <w:bCs/>
          <w:snapToGrid w:val="0"/>
          <w:color w:val="000000"/>
          <w:kern w:val="0"/>
          <w:sz w:val="32"/>
          <w:szCs w:val="32"/>
          <w:highlight w:val="none"/>
        </w:rPr>
        <w:t>廉政合同(一)</w:t>
      </w:r>
    </w:p>
    <w:p w14:paraId="7BEBAD63">
      <w:pPr>
        <w:kinsoku w:val="0"/>
        <w:autoSpaceDE w:val="0"/>
        <w:autoSpaceDN w:val="0"/>
        <w:adjustRightInd w:val="0"/>
        <w:snapToGrid w:val="0"/>
        <w:spacing w:after="120"/>
        <w:jc w:val="center"/>
        <w:textAlignment w:val="baseline"/>
        <w:rPr>
          <w:rFonts w:hint="eastAsia" w:ascii="宋体" w:hAnsi="宋体" w:eastAsia="宋体" w:cs="宋体"/>
          <w:snapToGrid w:val="0"/>
          <w:color w:val="000000"/>
          <w:sz w:val="24"/>
          <w:szCs w:val="24"/>
          <w:highlight w:val="none"/>
          <w:lang w:val="en-US" w:eastAsia="zh-CN" w:bidi="ar-SA"/>
        </w:rPr>
      </w:pPr>
      <w:bookmarkStart w:id="327" w:name="_Toc94001966"/>
      <w:bookmarkStart w:id="328" w:name="_Toc111473304"/>
      <w:bookmarkStart w:id="329" w:name="_Toc173226027"/>
      <w:r>
        <w:rPr>
          <w:rFonts w:hint="eastAsia" w:ascii="宋体" w:hAnsi="宋体" w:eastAsia="宋体" w:cs="宋体"/>
          <w:snapToGrid w:val="0"/>
          <w:color w:val="000000"/>
          <w:sz w:val="24"/>
          <w:szCs w:val="24"/>
          <w:highlight w:val="none"/>
          <w:lang w:val="en-US" w:eastAsia="zh-CN" w:bidi="ar-SA"/>
        </w:rPr>
        <w:t>（发包人与监理人）</w:t>
      </w:r>
    </w:p>
    <w:p w14:paraId="6906124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发包人：</w:t>
      </w:r>
    </w:p>
    <w:p w14:paraId="1A937F2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w:t>
      </w:r>
    </w:p>
    <w:p w14:paraId="5552D4D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为贯彻落实党中央、国务院《关于实行党风廉政建设责任制的规定》，进一步加强水利工程建设中的党风廉政建设，保证建设优质、高效、有序地进行，（以下简称“发包人”），与承担</w:t>
      </w:r>
      <w:r>
        <w:rPr>
          <w:rFonts w:hint="eastAsia" w:ascii="宋体" w:hAnsi="宋体" w:eastAsia="宋体" w:cs="宋体"/>
          <w:b/>
          <w:snapToGrid w:val="0"/>
          <w:color w:val="000000"/>
          <w:kern w:val="0"/>
          <w:sz w:val="24"/>
          <w:szCs w:val="24"/>
          <w:highlight w:val="none"/>
          <w:u w:val="single"/>
        </w:rPr>
        <w:t>（合同编号：）</w:t>
      </w:r>
      <w:r>
        <w:rPr>
          <w:rFonts w:hint="eastAsia" w:ascii="宋体" w:hAnsi="宋体" w:eastAsia="宋体" w:cs="宋体"/>
          <w:snapToGrid w:val="0"/>
          <w:color w:val="000000"/>
          <w:kern w:val="0"/>
          <w:sz w:val="24"/>
          <w:szCs w:val="24"/>
          <w:highlight w:val="none"/>
        </w:rPr>
        <w:t>的监理人（以下简称“监理人”），经双方协商一致，自愿签订以下廉政合同。</w:t>
      </w:r>
    </w:p>
    <w:p w14:paraId="119BA570">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第一条</w:t>
      </w:r>
      <w:r>
        <w:rPr>
          <w:rFonts w:hint="eastAsia" w:ascii="宋体" w:hAnsi="宋体" w:eastAsia="宋体" w:cs="宋体"/>
          <w:snapToGrid w:val="0"/>
          <w:color w:val="000000"/>
          <w:kern w:val="0"/>
          <w:sz w:val="24"/>
          <w:szCs w:val="24"/>
          <w:highlight w:val="none"/>
        </w:rPr>
        <w:t>承、发包人双方的权利和义务</w:t>
      </w:r>
    </w:p>
    <w:p w14:paraId="6FA798A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（一）严格遵守党和国家有关法规及党风廉政建设各项规定，严格执行中央八项规定和省委十项规定精神。</w:t>
      </w:r>
    </w:p>
    <w:p w14:paraId="588FFE1A">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（二）严格执行</w:t>
      </w:r>
      <w:r>
        <w:rPr>
          <w:rFonts w:hint="eastAsia" w:ascii="宋体" w:hAnsi="宋体" w:eastAsia="宋体" w:cs="宋体"/>
          <w:b/>
          <w:snapToGrid w:val="0"/>
          <w:color w:val="000000"/>
          <w:kern w:val="0"/>
          <w:sz w:val="24"/>
          <w:szCs w:val="24"/>
          <w:highlight w:val="none"/>
          <w:u w:val="single"/>
        </w:rPr>
        <w:t>（工程施工合同（合同编号：）</w:t>
      </w:r>
      <w:r>
        <w:rPr>
          <w:rFonts w:hint="eastAsia" w:ascii="宋体" w:hAnsi="宋体" w:eastAsia="宋体" w:cs="宋体"/>
          <w:snapToGrid w:val="0"/>
          <w:color w:val="000000"/>
          <w:kern w:val="0"/>
          <w:sz w:val="24"/>
          <w:szCs w:val="24"/>
          <w:highlight w:val="none"/>
        </w:rPr>
        <w:t>各项规定，自觉按合同办事。</w:t>
      </w:r>
    </w:p>
    <w:p w14:paraId="4CADB9E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（三）双方的业务活动坚持公开、公正、公平、诚信的原则（法律认定的商业秘密和合同文件另有规定除外），严禁损害国家和集体利益、违反工程建设管理规章制度。</w:t>
      </w:r>
    </w:p>
    <w:p w14:paraId="43C087A0">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（四）建立健全并严格执行党风廉政建设各项制度，开展反腐倡廉宣传教育，加强对本方工作人员的监督检查。</w:t>
      </w:r>
    </w:p>
    <w:p w14:paraId="094182CD">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（五）发现对方在业务活动中有违反廉政规定的行为，有及时提醒和督促对方纠正的权利和义务，并加强对本方工作人员的批评教育，严肃查处违纪违规行为；发现重大违纪违法行为，应向执纪执法机关举报。</w:t>
      </w:r>
    </w:p>
    <w:p w14:paraId="0A2676E7">
      <w:pPr>
        <w:widowControl/>
        <w:kinsoku w:val="0"/>
        <w:autoSpaceDE w:val="0"/>
        <w:autoSpaceDN w:val="0"/>
        <w:snapToGrid w:val="0"/>
        <w:spacing w:line="240" w:lineRule="auto"/>
        <w:ind w:firstLine="422"/>
        <w:jc w:val="left"/>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第二条</w:t>
      </w:r>
      <w:r>
        <w:rPr>
          <w:rFonts w:hint="eastAsia" w:ascii="宋体" w:hAnsi="宋体" w:eastAsia="宋体" w:cs="宋体"/>
          <w:snapToGrid w:val="0"/>
          <w:color w:val="000000"/>
          <w:kern w:val="0"/>
          <w:sz w:val="24"/>
          <w:szCs w:val="24"/>
          <w:highlight w:val="none"/>
        </w:rPr>
        <w:t>发包人在廉政建设方面的义务</w:t>
      </w:r>
    </w:p>
    <w:p w14:paraId="06E44F88">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发包人及其工作人员不准在监理人处安插亲友及介绍销售工程材料，不得指定需购物资设备的销售单位或部门；不得违反规定干预监理人的工程项目分包；不得挤占、截留、挪用工程款或超进度拨付工程款；严禁私设小金库。</w:t>
      </w:r>
    </w:p>
    <w:p w14:paraId="71686C60">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（二）发包人及其工作人员不准利用职务之便索要或接受监理人的现金、有价证券、支付凭证及收受干股，或以赌博等交易形式非法收受监理人财物。</w:t>
      </w:r>
    </w:p>
    <w:p w14:paraId="12FA77E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（三）发包人及其工作人员不准让监理人报销应由发包人或个人支付的费用；不准利用职务便利为监理人谋取不当利益。</w:t>
      </w:r>
    </w:p>
    <w:p w14:paraId="7B48B6C3">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（四）发包人工作人员不准要求或者接受监理人可能影响公正执行公务的宴请；不准要求监理人提供交通工具、通讯工具、高档办公用品等。</w:t>
      </w:r>
    </w:p>
    <w:p w14:paraId="42C9CF69">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（五）发包人及其工作人员不准要求或者接受监理人为其住房装修、婚丧嫁娶、特定关系人（近亲属及其它共同利益关系的人）国内和出国（境）旅游提供方便。</w:t>
      </w:r>
    </w:p>
    <w:p w14:paraId="329FDBE8">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（六）发包人及其工作人员不准利用职务之便为监理人谋取利益之前或之后，约定在其离职后收受监理人财物，并在离职后收受。</w:t>
      </w:r>
    </w:p>
    <w:p w14:paraId="2E59254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（七）发包人及其工作人员不准要求或者收受监理人住房、汽车等物品，不准收受监理人为其以明显低于市场价购置住房或以劣换优、以借为名占用监理人住房。</w:t>
      </w:r>
    </w:p>
    <w:p w14:paraId="4B58CB40">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（八）发包人及其工作人员不准要求或者接受监理人以给特定关系人安排工作为名，使特定关系人不实际工作却获取薪酬；不准违反规定从事与监理人施工项目有关的材料设备供应、工程分包等经济活动。</w:t>
      </w:r>
    </w:p>
    <w:p w14:paraId="09A9992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（九）发包人及其工作人员不准在与监理人有直接利害关系的企事业单位兼职、兼职取酬、投资入股、经商办企业以及从事有偿中介活动。</w:t>
      </w:r>
    </w:p>
    <w:p w14:paraId="52A820C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十）发包人或工作人员不得利用职务便利为监理人谋取利益，由监理人出资“合作”开办公司或进行其他合作投资，或委托监理人投资证券、期货或由其他委托理财名义，未实际出资并获取“收益”，或虽然出资，但获取“利益”明显高于出资应得收益；或授意监理人以本规定所列形式，将有关财物给特定关系人。</w:t>
      </w:r>
    </w:p>
    <w:p w14:paraId="3D692A79">
      <w:pPr>
        <w:widowControl/>
        <w:kinsoku w:val="0"/>
        <w:autoSpaceDE w:val="0"/>
        <w:autoSpaceDN w:val="0"/>
        <w:snapToGrid w:val="0"/>
        <w:spacing w:line="240" w:lineRule="auto"/>
        <w:ind w:firstLine="422"/>
        <w:jc w:val="left"/>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第三条</w:t>
      </w:r>
      <w:r>
        <w:rPr>
          <w:rFonts w:hint="eastAsia" w:ascii="宋体" w:hAnsi="宋体" w:eastAsia="宋体" w:cs="宋体"/>
          <w:snapToGrid w:val="0"/>
          <w:color w:val="000000"/>
          <w:kern w:val="0"/>
          <w:sz w:val="24"/>
          <w:szCs w:val="24"/>
          <w:highlight w:val="none"/>
        </w:rPr>
        <w:t>监理人在廉政建设方面义务</w:t>
      </w:r>
    </w:p>
    <w:p w14:paraId="4DD49850">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（一）监理人不准以任何形式向发包人及其工作人员馈赠现金、有价证券、支付凭证及赠送干股，或以赌博等交易形式非法赠送发包人财物。</w:t>
      </w:r>
    </w:p>
    <w:p w14:paraId="2542E91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（二）监理人不准以任何名义为发包人及其工作人员报销应由发包人或个人支付的费用。</w:t>
      </w:r>
    </w:p>
    <w:p w14:paraId="04E4626A">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（三）监理人不准以任何理由邀请发包人工作人员参加对承建的工程项目有影响的宴请及娱乐活动；不准为其提供通讯工具、交通工具、高档办公用品等。</w:t>
      </w:r>
    </w:p>
    <w:p w14:paraId="005275ED">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（四）监理人不准为发包人工作人员住房装修、婚丧嫁娶、特定关系人国内和出国（境）旅游提供方便；不准为发包人工作人员的特定关系人以安排工作为名，使其不实际工作却获取薪酬。</w:t>
      </w:r>
    </w:p>
    <w:p w14:paraId="504974A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（五）监理人不准赠送发包人工作人员住房、汽车等物品，不准为其以明显低于市场价购置住房或以劣换优、以借为名赠送住房。</w:t>
      </w:r>
    </w:p>
    <w:p w14:paraId="309D879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（六）监理人不准违反规定将承建的施工项目分包或非法转包。</w:t>
      </w:r>
    </w:p>
    <w:p w14:paraId="50C8B2EC">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（七）监理人及其工作人员不准与该工程的监理单位串通，违反工程计量、资金支付、质量验评、竣工验收等有关规定和程序，损害发包人利益，影响工程质量、进度和安全。</w:t>
      </w:r>
    </w:p>
    <w:p w14:paraId="3C99B6C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（八）按照发包人和监督部门的要求，对农民工工资实行银行卡支付，不得克扣、截留、拖欠农民工工资。</w:t>
      </w:r>
    </w:p>
    <w:p w14:paraId="2C29D28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（九）在工地现场设立廉政公示牌、举报箱、廉政宣传栏和举报电话，并按建设单位要求开展廉政文化“进工地”活动。</w:t>
      </w:r>
    </w:p>
    <w:p w14:paraId="5392A1F2">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第四条</w:t>
      </w:r>
      <w:r>
        <w:rPr>
          <w:rFonts w:hint="eastAsia" w:ascii="宋体" w:hAnsi="宋体" w:eastAsia="宋体" w:cs="宋体"/>
          <w:snapToGrid w:val="0"/>
          <w:color w:val="000000"/>
          <w:kern w:val="0"/>
          <w:sz w:val="24"/>
          <w:szCs w:val="24"/>
          <w:highlight w:val="none"/>
        </w:rPr>
        <w:t>违约责任</w:t>
      </w:r>
    </w:p>
    <w:p w14:paraId="7472FDE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（一）发包人若违反本《廉政合同》有关规定的，对违纪违规人员，由发包人主管部门依据有关规定查处，构成犯罪的移交司法机关处理，给监理人造成的损失，按有关规定予以赔偿。</w:t>
      </w:r>
    </w:p>
    <w:p w14:paraId="75D55723">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监理人若违反本《廉政合同》有关规定的，将按省水利厅信用考核管理有关规定进行查处，并将有关不良行为记录到企业信用档案。对违纪违规人员，由监理人主管部门或行业管理部门依据有关规定查处，构成犯罪的移交司法机关处理，给发包人造成的损失，按有关规定予以赔偿。</w:t>
      </w:r>
    </w:p>
    <w:p w14:paraId="6C3C31F8">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第五条</w:t>
      </w:r>
      <w:r>
        <w:rPr>
          <w:rFonts w:hint="eastAsia" w:ascii="宋体" w:hAnsi="宋体" w:eastAsia="宋体" w:cs="宋体"/>
          <w:snapToGrid w:val="0"/>
          <w:color w:val="000000"/>
          <w:kern w:val="0"/>
          <w:sz w:val="24"/>
          <w:szCs w:val="24"/>
          <w:highlight w:val="none"/>
        </w:rPr>
        <w:t>督查单位</w:t>
      </w:r>
    </w:p>
    <w:p w14:paraId="16C2A908">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双方约定：自愿接受</w:t>
      </w:r>
      <w:r>
        <w:rPr>
          <w:rFonts w:hint="eastAsia" w:ascii="宋体" w:hAnsi="宋体" w:eastAsia="宋体" w:cs="宋体"/>
          <w:b/>
          <w:snapToGrid w:val="0"/>
          <w:color w:val="000000"/>
          <w:kern w:val="0"/>
          <w:sz w:val="24"/>
          <w:szCs w:val="24"/>
          <w:highlight w:val="none"/>
          <w:u w:val="single"/>
        </w:rPr>
        <w:t>各级水行政主管部门和合同约定的督查单位</w:t>
      </w:r>
      <w:r>
        <w:rPr>
          <w:rFonts w:hint="eastAsia" w:ascii="宋体" w:hAnsi="宋体" w:eastAsia="宋体" w:cs="宋体"/>
          <w:snapToGrid w:val="0"/>
          <w:color w:val="000000"/>
          <w:kern w:val="0"/>
          <w:sz w:val="24"/>
          <w:szCs w:val="24"/>
          <w:highlight w:val="none"/>
        </w:rPr>
        <w:t>对合同执行情况的监督检查，承、发包双方应积极配合督查单位的检查，包括提供有关资料和财务账册凭证，接受本合同规定范围内的裁定意见。</w:t>
      </w:r>
    </w:p>
    <w:p w14:paraId="274ADA8A">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第六条</w:t>
      </w:r>
      <w:r>
        <w:rPr>
          <w:rFonts w:hint="eastAsia" w:ascii="宋体" w:hAnsi="宋体" w:eastAsia="宋体" w:cs="宋体"/>
          <w:snapToGrid w:val="0"/>
          <w:color w:val="000000"/>
          <w:kern w:val="0"/>
          <w:sz w:val="24"/>
          <w:szCs w:val="24"/>
          <w:highlight w:val="none"/>
        </w:rPr>
        <w:t>检查方式</w:t>
      </w:r>
    </w:p>
    <w:p w14:paraId="10182256">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本合同的履约情况由督查单位主持，承、发包双方共同派员参加，检查方式为座谈、个别访谈、现场勘察、查阅资料及财务账册或由各方约定的其他方式等。检查时间、次数、方式、检查结论和执行违约责任等由双方协商确定，如无法达成一致的，由督查单位依据事实裁定。</w:t>
      </w:r>
    </w:p>
    <w:p w14:paraId="6497C57E">
      <w:pPr>
        <w:widowControl/>
        <w:kinsoku w:val="0"/>
        <w:autoSpaceDE w:val="0"/>
        <w:autoSpaceDN w:val="0"/>
        <w:snapToGrid w:val="0"/>
        <w:spacing w:line="240" w:lineRule="auto"/>
        <w:ind w:firstLine="422"/>
        <w:jc w:val="left"/>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第七条</w:t>
      </w:r>
      <w:r>
        <w:rPr>
          <w:rFonts w:hint="eastAsia" w:ascii="宋体" w:hAnsi="宋体" w:eastAsia="宋体" w:cs="宋体"/>
          <w:snapToGrid w:val="0"/>
          <w:color w:val="000000"/>
          <w:kern w:val="0"/>
          <w:sz w:val="24"/>
          <w:szCs w:val="24"/>
          <w:highlight w:val="none"/>
        </w:rPr>
        <w:t>本合同有效期为工程开工之日起至该合同工程项目竣工验收后止</w:t>
      </w:r>
      <w:r>
        <w:rPr>
          <w:rFonts w:hint="eastAsia" w:ascii="宋体" w:hAnsi="宋体" w:eastAsia="宋体" w:cs="宋体"/>
          <w:b/>
          <w:snapToGrid w:val="0"/>
          <w:color w:val="000000"/>
          <w:kern w:val="0"/>
          <w:sz w:val="24"/>
          <w:szCs w:val="24"/>
          <w:highlight w:val="none"/>
        </w:rPr>
        <w:t>。</w:t>
      </w:r>
    </w:p>
    <w:p w14:paraId="20418E81">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第八条</w:t>
      </w:r>
      <w:r>
        <w:rPr>
          <w:rFonts w:hint="eastAsia" w:ascii="宋体" w:hAnsi="宋体" w:eastAsia="宋体" w:cs="宋体"/>
          <w:snapToGrid w:val="0"/>
          <w:color w:val="000000"/>
          <w:kern w:val="0"/>
          <w:sz w:val="24"/>
          <w:szCs w:val="24"/>
          <w:highlight w:val="none"/>
        </w:rPr>
        <w:t>本合同一式</w:t>
      </w:r>
      <w:r>
        <w:rPr>
          <w:rFonts w:hint="eastAsia" w:ascii="宋体" w:hAnsi="宋体" w:eastAsia="宋体" w:cs="宋体"/>
          <w:b/>
          <w:snapToGrid w:val="0"/>
          <w:color w:val="000000"/>
          <w:kern w:val="0"/>
          <w:sz w:val="24"/>
          <w:szCs w:val="24"/>
          <w:highlight w:val="none"/>
          <w:u w:val="single"/>
        </w:rPr>
        <w:t>叁</w:t>
      </w:r>
      <w:r>
        <w:rPr>
          <w:rFonts w:hint="eastAsia" w:ascii="宋体" w:hAnsi="宋体" w:eastAsia="宋体" w:cs="宋体"/>
          <w:snapToGrid w:val="0"/>
          <w:color w:val="000000"/>
          <w:kern w:val="0"/>
          <w:sz w:val="24"/>
          <w:szCs w:val="24"/>
          <w:highlight w:val="none"/>
        </w:rPr>
        <w:t>份，承、发包双方各执</w:t>
      </w:r>
      <w:r>
        <w:rPr>
          <w:rFonts w:hint="eastAsia" w:ascii="宋体" w:hAnsi="宋体" w:eastAsia="宋体" w:cs="宋体"/>
          <w:b/>
          <w:snapToGrid w:val="0"/>
          <w:color w:val="000000"/>
          <w:kern w:val="0"/>
          <w:sz w:val="24"/>
          <w:szCs w:val="24"/>
          <w:highlight w:val="none"/>
          <w:u w:val="single"/>
        </w:rPr>
        <w:t>壹</w:t>
      </w:r>
      <w:r>
        <w:rPr>
          <w:rFonts w:hint="eastAsia" w:ascii="宋体" w:hAnsi="宋体" w:eastAsia="宋体" w:cs="宋体"/>
          <w:snapToGrid w:val="0"/>
          <w:color w:val="000000"/>
          <w:kern w:val="0"/>
          <w:sz w:val="24"/>
          <w:szCs w:val="24"/>
          <w:highlight w:val="none"/>
        </w:rPr>
        <w:t>份，送交督查单位</w:t>
      </w:r>
      <w:r>
        <w:rPr>
          <w:rFonts w:hint="eastAsia" w:ascii="宋体" w:hAnsi="宋体" w:eastAsia="宋体" w:cs="宋体"/>
          <w:b/>
          <w:snapToGrid w:val="0"/>
          <w:color w:val="000000"/>
          <w:kern w:val="0"/>
          <w:sz w:val="24"/>
          <w:szCs w:val="24"/>
          <w:highlight w:val="none"/>
          <w:u w:val="single"/>
        </w:rPr>
        <w:t>壹</w:t>
      </w:r>
      <w:r>
        <w:rPr>
          <w:rFonts w:hint="eastAsia" w:ascii="宋体" w:hAnsi="宋体" w:eastAsia="宋体" w:cs="宋体"/>
          <w:snapToGrid w:val="0"/>
          <w:color w:val="000000"/>
          <w:kern w:val="0"/>
          <w:sz w:val="24"/>
          <w:szCs w:val="24"/>
          <w:highlight w:val="none"/>
        </w:rPr>
        <w:t>份。</w:t>
      </w:r>
    </w:p>
    <w:p w14:paraId="2D024A1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4625A20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5580AC03">
      <w:pPr>
        <w:widowControl/>
        <w:kinsoku w:val="0"/>
        <w:autoSpaceDE w:val="0"/>
        <w:autoSpaceDN w:val="0"/>
        <w:snapToGrid w:val="0"/>
        <w:spacing w:line="240" w:lineRule="auto"/>
        <w:ind w:firstLine="484" w:firstLineChars="202"/>
        <w:jc w:val="left"/>
        <w:textAlignment w:val="baseline"/>
        <w:rPr>
          <w:rFonts w:hint="eastAsia" w:ascii="宋体" w:hAnsi="宋体" w:eastAsia="宋体" w:cs="宋体"/>
          <w:snapToGrid w:val="0"/>
          <w:color w:val="000000"/>
          <w:kern w:val="0"/>
          <w:sz w:val="24"/>
          <w:szCs w:val="24"/>
          <w:highlight w:val="none"/>
        </w:rPr>
      </w:pPr>
    </w:p>
    <w:p w14:paraId="1FCCF786">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发包人:(盖章)</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监理人:(盖章)</w:t>
      </w:r>
    </w:p>
    <w:p w14:paraId="270B61C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法定代表人:(签名)</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法定代表人:(签名)</w:t>
      </w:r>
    </w:p>
    <w:p w14:paraId="24DB5FB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或授权代理人:(签名)</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或授权代理人:(签名)</w:t>
      </w:r>
    </w:p>
    <w:p w14:paraId="27A2014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单位地址：</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单位地址：</w:t>
      </w:r>
    </w:p>
    <w:p w14:paraId="46A3C4C9">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联系电话：</w:t>
      </w:r>
      <w:r>
        <w:rPr>
          <w:rFonts w:hint="eastAsia" w:ascii="宋体" w:hAnsi="宋体" w:eastAsia="宋体" w:cs="宋体"/>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4"/>
          <w:szCs w:val="24"/>
          <w:highlight w:val="none"/>
        </w:rPr>
        <w:t>联系电话：</w:t>
      </w:r>
    </w:p>
    <w:p w14:paraId="0809463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4C6DECED">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督查单位：(盖章)</w:t>
      </w:r>
    </w:p>
    <w:p w14:paraId="0C0A999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代表人：(签名)</w:t>
      </w:r>
    </w:p>
    <w:p w14:paraId="68A59C98">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单位地址：</w:t>
      </w:r>
    </w:p>
    <w:p w14:paraId="57A8D216">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联系电话：</w:t>
      </w:r>
    </w:p>
    <w:p w14:paraId="299F8DA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78899A8D">
      <w:pPr>
        <w:widowControl/>
        <w:kinsoku w:val="0"/>
        <w:autoSpaceDE w:val="0"/>
        <w:autoSpaceDN w:val="0"/>
        <w:snapToGrid w:val="0"/>
        <w:spacing w:line="240" w:lineRule="auto"/>
        <w:jc w:val="right"/>
        <w:textAlignment w:val="baseline"/>
        <w:rPr>
          <w:rFonts w:hint="eastAsia" w:ascii="宋体" w:hAnsi="宋体" w:eastAsia="宋体" w:cs="宋体"/>
          <w:snapToGrid w:val="0"/>
          <w:color w:val="000000"/>
          <w:kern w:val="0"/>
          <w:sz w:val="24"/>
          <w:szCs w:val="24"/>
          <w:highlight w:val="none"/>
        </w:rPr>
      </w:pPr>
    </w:p>
    <w:p w14:paraId="40FF9666">
      <w:pPr>
        <w:widowControl/>
        <w:kinsoku w:val="0"/>
        <w:autoSpaceDE w:val="0"/>
        <w:autoSpaceDN w:val="0"/>
        <w:snapToGrid w:val="0"/>
        <w:spacing w:line="240" w:lineRule="auto"/>
        <w:jc w:val="righ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签订日期：年月日</w:t>
      </w:r>
    </w:p>
    <w:p w14:paraId="4F6331C1">
      <w:pPr>
        <w:kinsoku w:val="0"/>
        <w:autoSpaceDE w:val="0"/>
        <w:autoSpaceDN w:val="0"/>
        <w:adjustRightInd w:val="0"/>
        <w:snapToGrid w:val="0"/>
        <w:spacing w:after="120"/>
        <w:ind w:firstLine="640"/>
        <w:textAlignment w:val="baseline"/>
        <w:rPr>
          <w:rFonts w:hint="eastAsia" w:ascii="宋体" w:hAnsi="宋体" w:eastAsia="宋体" w:cs="宋体"/>
          <w:snapToGrid w:val="0"/>
          <w:color w:val="000000"/>
          <w:sz w:val="24"/>
          <w:szCs w:val="24"/>
          <w:highlight w:val="none"/>
          <w:lang w:val="en-US" w:eastAsia="zh-CN" w:bidi="ar-SA"/>
        </w:rPr>
      </w:pPr>
    </w:p>
    <w:p w14:paraId="323CC6D2">
      <w:pPr>
        <w:kinsoku w:val="0"/>
        <w:autoSpaceDE w:val="0"/>
        <w:autoSpaceDN w:val="0"/>
        <w:adjustRightInd w:val="0"/>
        <w:snapToGrid w:val="0"/>
        <w:spacing w:after="120"/>
        <w:ind w:firstLine="640"/>
        <w:textAlignment w:val="baseline"/>
        <w:rPr>
          <w:rFonts w:hint="eastAsia" w:ascii="宋体" w:hAnsi="宋体" w:eastAsia="宋体" w:cs="宋体"/>
          <w:snapToGrid w:val="0"/>
          <w:color w:val="000000"/>
          <w:sz w:val="24"/>
          <w:szCs w:val="24"/>
          <w:highlight w:val="none"/>
          <w:lang w:val="en-US" w:eastAsia="zh-CN" w:bidi="ar-SA"/>
        </w:rPr>
      </w:pPr>
    </w:p>
    <w:p w14:paraId="20674C3F">
      <w:pPr>
        <w:rPr>
          <w:rFonts w:hint="eastAsia" w:ascii="宋体" w:hAnsi="宋体" w:eastAsia="宋体" w:cs="宋体"/>
          <w:sz w:val="24"/>
          <w:szCs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titlePg/>
          <w:docGrid w:linePitch="312" w:charSpace="0"/>
        </w:sectPr>
      </w:pPr>
    </w:p>
    <w:p w14:paraId="5437B2D5">
      <w:pPr>
        <w:keepNext/>
        <w:keepLines/>
        <w:widowControl/>
        <w:kinsoku w:val="0"/>
        <w:autoSpaceDE w:val="0"/>
        <w:autoSpaceDN w:val="0"/>
        <w:spacing w:before="260" w:after="260" w:line="416" w:lineRule="auto"/>
        <w:jc w:val="left"/>
        <w:textAlignment w:val="baseline"/>
        <w:outlineLvl w:val="2"/>
        <w:rPr>
          <w:rFonts w:hint="eastAsia" w:ascii="宋体" w:hAnsi="宋体" w:eastAsia="宋体" w:cs="宋体"/>
          <w:bCs/>
          <w:snapToGrid w:val="0"/>
          <w:color w:val="000000"/>
          <w:kern w:val="0"/>
          <w:sz w:val="24"/>
          <w:szCs w:val="24"/>
          <w:highlight w:val="none"/>
        </w:rPr>
      </w:pPr>
      <w:bookmarkStart w:id="330" w:name="_Toc450824212"/>
      <w:bookmarkStart w:id="331" w:name="_Toc351534268"/>
      <w:bookmarkStart w:id="332" w:name="_Toc395514010"/>
      <w:r>
        <w:rPr>
          <w:rFonts w:hint="eastAsia" w:ascii="宋体" w:hAnsi="宋体" w:eastAsia="宋体" w:cs="宋体"/>
          <w:bCs/>
          <w:snapToGrid w:val="0"/>
          <w:color w:val="000000"/>
          <w:kern w:val="0"/>
          <w:sz w:val="24"/>
          <w:szCs w:val="24"/>
          <w:highlight w:val="none"/>
          <w:lang w:val="en-US" w:eastAsia="zh-CN"/>
        </w:rPr>
        <w:t xml:space="preserve">                           </w:t>
      </w:r>
      <w:r>
        <w:rPr>
          <w:rFonts w:hint="eastAsia" w:ascii="宋体" w:hAnsi="宋体" w:eastAsia="宋体" w:cs="宋体"/>
          <w:bCs/>
          <w:snapToGrid w:val="0"/>
          <w:color w:val="000000"/>
          <w:kern w:val="0"/>
          <w:sz w:val="24"/>
          <w:szCs w:val="24"/>
          <w:highlight w:val="none"/>
        </w:rPr>
        <w:t>廉政合同（二）</w:t>
      </w:r>
      <w:bookmarkEnd w:id="327"/>
      <w:bookmarkEnd w:id="328"/>
      <w:bookmarkEnd w:id="329"/>
      <w:bookmarkEnd w:id="330"/>
      <w:bookmarkEnd w:id="331"/>
      <w:bookmarkEnd w:id="332"/>
    </w:p>
    <w:p w14:paraId="71BEF924">
      <w:pPr>
        <w:widowControl/>
        <w:kinsoku w:val="0"/>
        <w:autoSpaceDE w:val="0"/>
        <w:autoSpaceDN w:val="0"/>
        <w:snapToGrid w:val="0"/>
        <w:spacing w:line="240" w:lineRule="auto"/>
        <w:jc w:val="center"/>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（监理人与承包人）</w:t>
      </w:r>
    </w:p>
    <w:p w14:paraId="6F7E4EB6">
      <w:pPr>
        <w:widowControl/>
        <w:kinsoku w:val="0"/>
        <w:autoSpaceDE w:val="0"/>
        <w:autoSpaceDN w:val="0"/>
        <w:snapToGrid w:val="0"/>
        <w:spacing w:line="240" w:lineRule="auto"/>
        <w:jc w:val="left"/>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w:t>
      </w:r>
    </w:p>
    <w:p w14:paraId="0CF85F98">
      <w:pPr>
        <w:widowControl/>
        <w:kinsoku w:val="0"/>
        <w:autoSpaceDE w:val="0"/>
        <w:autoSpaceDN w:val="0"/>
        <w:snapToGrid w:val="0"/>
        <w:spacing w:line="240" w:lineRule="auto"/>
        <w:jc w:val="left"/>
        <w:textAlignment w:val="baseline"/>
        <w:rPr>
          <w:rFonts w:hint="eastAsia" w:ascii="宋体" w:hAnsi="宋体" w:eastAsia="宋体" w:cs="宋体"/>
          <w:b/>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承包人：</w:t>
      </w:r>
    </w:p>
    <w:p w14:paraId="0FA89893">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为贯彻落实党中央、国务院《关于实行党风廉政建设责任制的规定》，进一步加强水利工程建设中的党风廉政建设，保证</w:t>
      </w:r>
      <w:r>
        <w:rPr>
          <w:rFonts w:hint="eastAsia" w:ascii="宋体" w:hAnsi="宋体" w:eastAsia="宋体" w:cs="宋体"/>
          <w:b/>
          <w:snapToGrid w:val="0"/>
          <w:color w:val="000000"/>
          <w:kern w:val="0"/>
          <w:sz w:val="24"/>
          <w:szCs w:val="24"/>
          <w:highlight w:val="none"/>
          <w:u w:val="single"/>
        </w:rPr>
        <w:t>工程</w:t>
      </w:r>
      <w:r>
        <w:rPr>
          <w:rFonts w:hint="eastAsia" w:ascii="宋体" w:hAnsi="宋体" w:eastAsia="宋体" w:cs="宋体"/>
          <w:snapToGrid w:val="0"/>
          <w:color w:val="000000"/>
          <w:kern w:val="0"/>
          <w:sz w:val="24"/>
          <w:szCs w:val="24"/>
          <w:highlight w:val="none"/>
        </w:rPr>
        <w:t>建设优质、高效、有序地进行，</w:t>
      </w:r>
      <w:r>
        <w:rPr>
          <w:rFonts w:hint="eastAsia" w:ascii="宋体" w:hAnsi="宋体" w:eastAsia="宋体" w:cs="宋体"/>
          <w:b/>
          <w:snapToGrid w:val="0"/>
          <w:color w:val="000000"/>
          <w:kern w:val="0"/>
          <w:sz w:val="24"/>
          <w:szCs w:val="24"/>
          <w:highlight w:val="none"/>
          <w:u w:val="single"/>
        </w:rPr>
        <w:t>（施工合同（合同编号：）</w:t>
      </w:r>
      <w:r>
        <w:rPr>
          <w:rFonts w:hint="eastAsia" w:ascii="宋体" w:hAnsi="宋体" w:eastAsia="宋体" w:cs="宋体"/>
          <w:snapToGrid w:val="0"/>
          <w:color w:val="000000"/>
          <w:kern w:val="0"/>
          <w:sz w:val="24"/>
          <w:szCs w:val="24"/>
          <w:highlight w:val="none"/>
        </w:rPr>
        <w:t>的监理单位（以下简称“监理人”），与承包</w:t>
      </w:r>
      <w:r>
        <w:rPr>
          <w:rFonts w:hint="eastAsia" w:ascii="宋体" w:hAnsi="宋体" w:eastAsia="宋体" w:cs="宋体"/>
          <w:b/>
          <w:snapToGrid w:val="0"/>
          <w:color w:val="000000"/>
          <w:spacing w:val="14"/>
          <w:kern w:val="0"/>
          <w:sz w:val="24"/>
          <w:szCs w:val="24"/>
          <w:highlight w:val="none"/>
          <w:u w:val="single"/>
        </w:rPr>
        <w:t>（工程施工合同（合同编号：）</w:t>
      </w:r>
      <w:r>
        <w:rPr>
          <w:rFonts w:hint="eastAsia" w:ascii="宋体" w:hAnsi="宋体" w:eastAsia="宋体" w:cs="宋体"/>
          <w:snapToGrid w:val="0"/>
          <w:color w:val="000000"/>
          <w:kern w:val="0"/>
          <w:sz w:val="24"/>
          <w:szCs w:val="24"/>
          <w:highlight w:val="none"/>
        </w:rPr>
        <w:t>的施工单位（以下简称“承包人”），经双方协商一致，自愿签订以下廉政合同。</w:t>
      </w:r>
    </w:p>
    <w:p w14:paraId="7D2D2F16">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第一条：</w:t>
      </w:r>
      <w:r>
        <w:rPr>
          <w:rFonts w:hint="eastAsia" w:ascii="宋体" w:hAnsi="宋体" w:eastAsia="宋体" w:cs="宋体"/>
          <w:snapToGrid w:val="0"/>
          <w:color w:val="000000"/>
          <w:kern w:val="0"/>
          <w:sz w:val="24"/>
          <w:szCs w:val="24"/>
          <w:highlight w:val="none"/>
        </w:rPr>
        <w:t>监理人、承包人双方的权利和义务</w:t>
      </w:r>
    </w:p>
    <w:p w14:paraId="65F756A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（一）严格遵守党和国家有关法律法规及党风廉政建设的各项规定，严格执行中央八项规定和省委十项规定精神。</w:t>
      </w:r>
    </w:p>
    <w:p w14:paraId="54F5421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（二）严格执行监理、施工合同文件，自觉按合同办事。</w:t>
      </w:r>
    </w:p>
    <w:p w14:paraId="26926167">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（三）双方的业务活动坚持公开、公正、公平、诚信的原则（除法律认定的商业秘密和合同文件另有规定之外），不得损害国家、集体和业主的利益，违反工程建设管理规章制度。</w:t>
      </w:r>
    </w:p>
    <w:p w14:paraId="11C24729">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（四）建立健全并严格执行党风廉政建设各项制度，开展党风廉政建设宣传教育</w:t>
      </w:r>
      <w:r>
        <w:rPr>
          <w:rFonts w:hint="eastAsia" w:ascii="宋体" w:hAnsi="宋体" w:eastAsia="宋体" w:cs="宋体"/>
          <w:snapToGrid w:val="0"/>
          <w:color w:val="000000"/>
          <w:kern w:val="0"/>
          <w:sz w:val="24"/>
          <w:szCs w:val="24"/>
          <w:highlight w:val="none"/>
          <w:u w:val="single"/>
        </w:rPr>
        <w:t>,</w:t>
      </w:r>
      <w:r>
        <w:rPr>
          <w:rFonts w:hint="eastAsia" w:ascii="宋体" w:hAnsi="宋体" w:eastAsia="宋体" w:cs="宋体"/>
          <w:snapToGrid w:val="0"/>
          <w:color w:val="000000"/>
          <w:kern w:val="0"/>
          <w:sz w:val="24"/>
          <w:szCs w:val="24"/>
          <w:highlight w:val="none"/>
        </w:rPr>
        <w:t>加强对本方工作人员的监督检查。</w:t>
      </w:r>
    </w:p>
    <w:p w14:paraId="01E0CCC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（五）发现对方工作人员在业务活动中有违反廉政规定的行为，有及时提醒和督促对方纠正的权利和义务，并严肃查处本方工作人员的违纪违规行为。</w:t>
      </w:r>
    </w:p>
    <w:p w14:paraId="03E918A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（六）按工程建设单位要求组织开展廉政文化“进工地”活动。</w:t>
      </w:r>
    </w:p>
    <w:p w14:paraId="64A23034">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第二条</w:t>
      </w:r>
      <w:r>
        <w:rPr>
          <w:rFonts w:hint="eastAsia" w:ascii="宋体" w:hAnsi="宋体" w:eastAsia="宋体" w:cs="宋体"/>
          <w:snapToGrid w:val="0"/>
          <w:color w:val="000000"/>
          <w:kern w:val="0"/>
          <w:sz w:val="24"/>
          <w:szCs w:val="24"/>
          <w:highlight w:val="none"/>
        </w:rPr>
        <w:t>监理人在廉政建设方面的义务</w:t>
      </w:r>
    </w:p>
    <w:p w14:paraId="02D1D87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（一）监理人及其工作人员不准在承包人处安插亲友及介绍销售工程材料，不得指定需购物资设备的销售单位或部门；不得违反规定干预承包人的工程项目分包；不得超进度计量工程款。</w:t>
      </w:r>
    </w:p>
    <w:p w14:paraId="637A971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（二）监理人及其工作人员不准利用职务之便索要或接受承包人的现金、有价证券、支付凭证及收受干股，或以赌博等交易形式非法收受承包人财物。</w:t>
      </w:r>
    </w:p>
    <w:p w14:paraId="50192C63">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（三）监理人及其工作人员不准在承包人报销应由监理人或个人支付的费用；不准利用职务便利为承包人谋取不当利益。</w:t>
      </w:r>
    </w:p>
    <w:p w14:paraId="412D1A0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（四）监理人工作人员不准要求或者接受承包人可能影响公正执行公务的宴请；不准要求承包人提供交通工具、通讯工具、高档办公用品等。</w:t>
      </w:r>
    </w:p>
    <w:p w14:paraId="462EB19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监理人及其工作人员不准要求或者接受承包人为其住房装修、婚丧嫁娶、特定关系人（近亲属及其它共同利益关系的人）国内和出国（境）旅游提供方便；不准为特定关系人以安排工作为名，使其不实际工作却获取薪酬。</w:t>
      </w:r>
    </w:p>
    <w:p w14:paraId="73E5BD2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（六）监理人及其工作人员不准利用职务之便为承包人谋取利益之前或之后，约定在其离职后收受承包人财物，并在离职后收受。</w:t>
      </w:r>
    </w:p>
    <w:p w14:paraId="049099E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（七）监理人及其工作人员不准要求或者收受承包人住房、汽车等物品，不准收受承包人为其以明显低于市场价购置住房或以劣换优、以借为名占用承包人住房。</w:t>
      </w:r>
    </w:p>
    <w:p w14:paraId="32E39A1F">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（八）监理人及其工作人员不准在与承包人有直接利害关系的企事业单位兼职、兼职取酬、投资入股、经商办企业以及从事有偿中介活动。</w:t>
      </w:r>
    </w:p>
    <w:p w14:paraId="1C259EB3">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（九）监理人及其工作人员不准无正当理由拖延签发工程量清单、资金支付，损害承包人利益，影响工程质量、进度和安全。</w:t>
      </w:r>
    </w:p>
    <w:p w14:paraId="0AF2813C">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十）监理人及其工作人员不得利用职务便利为承包人谋取利益，由承包人出资“合作”开办公司或进行其他合作投资，或委托承包人投资证券、期货或由其他委托理财名义，未实际出资并获取“收益”，或虽然出资，但获取“利益”明显高于出资应得收益；或授意承包人以本规定所列形式，将有关财物给特定关系人。</w:t>
      </w:r>
    </w:p>
    <w:p w14:paraId="0B1BB4E0">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第三条</w:t>
      </w:r>
      <w:r>
        <w:rPr>
          <w:rFonts w:hint="eastAsia" w:ascii="宋体" w:hAnsi="宋体" w:eastAsia="宋体" w:cs="宋体"/>
          <w:snapToGrid w:val="0"/>
          <w:color w:val="000000"/>
          <w:kern w:val="0"/>
          <w:sz w:val="24"/>
          <w:szCs w:val="24"/>
          <w:highlight w:val="none"/>
        </w:rPr>
        <w:t>承包人在廉政建设方面的义务</w:t>
      </w:r>
    </w:p>
    <w:p w14:paraId="146206AC">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（一）承包人不准以任何形式向监理人及其工作人员馈赠现金、有价证券、支付凭证及赠送干股，或通过赌博等交易形式非法赠送监理人财物。</w:t>
      </w:r>
    </w:p>
    <w:p w14:paraId="79A9825D">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（二）承包人不准以任何名义为监理人及其工作人员报销应由监理人或个人支付的费用。</w:t>
      </w:r>
    </w:p>
    <w:p w14:paraId="42DF4E3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（三）承包人不准以任何理由邀请监理人工作人员参加对承建的工程项目有影响的宴请及娱乐活动；不准为其提供通讯工具、交通工具、高档办公用品等。</w:t>
      </w:r>
    </w:p>
    <w:p w14:paraId="45A92AE8">
      <w:pPr>
        <w:widowControl/>
        <w:kinsoku w:val="0"/>
        <w:autoSpaceDE w:val="0"/>
        <w:autoSpaceDN w:val="0"/>
        <w:snapToGrid w:val="0"/>
        <w:spacing w:line="240" w:lineRule="auto"/>
        <w:ind w:left="225" w:leftChars="50" w:hanging="120" w:hangingChars="50"/>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（四）承包人不准为监理人工作人员住房装修、婚丧嫁娶、特定关系人国内和出国（境）旅游提供方便；不准为监理人工作人员的特定关系人以安排工作为名，使其不实际工作却获取薪酬。</w:t>
      </w:r>
    </w:p>
    <w:p w14:paraId="73CA2BE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（五）承包人不准赠送监理人工作人员住房、汽车等物品，不准为其以明显低于市场价购置住房或以劣换优、以借为名赠送住房。</w:t>
      </w:r>
    </w:p>
    <w:p w14:paraId="3FC01CA7">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（六）承包人及其工作人员必须严格履行施工合同条款，不准与该工程的监理单位串通，违反工程计量、资金支付、质量验评、竣工验收等有关规定和程序，损害发包人利益，影响工程质量、进度和安全。</w:t>
      </w:r>
    </w:p>
    <w:p w14:paraId="1AFED2D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（七）按照发包人和监督部门的要求，对农民工工资实行银行卡支付，不得克扣、截留、拖欠农民工工资。</w:t>
      </w:r>
    </w:p>
    <w:p w14:paraId="2C8BD091">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第四条</w:t>
      </w:r>
      <w:r>
        <w:rPr>
          <w:rFonts w:hint="eastAsia" w:ascii="宋体" w:hAnsi="宋体" w:eastAsia="宋体" w:cs="宋体"/>
          <w:snapToGrid w:val="0"/>
          <w:color w:val="000000"/>
          <w:kern w:val="0"/>
          <w:sz w:val="24"/>
          <w:szCs w:val="24"/>
          <w:highlight w:val="none"/>
        </w:rPr>
        <w:t>违约责任</w:t>
      </w:r>
    </w:p>
    <w:p w14:paraId="5706F84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（一）监理人违反本《廉政合同》有关条款的，对违纪人员，由监理人主管部门依据有关规定查处，构成犯罪的移交司法机关处理，给承包人造成的损失，按有关规定予以赔偿。</w:t>
      </w:r>
    </w:p>
    <w:p w14:paraId="7C438EBA">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二）承包人违反本《廉政合同》有关条款的，将按省水利厅信用考核管理有关规定进行查处，并将有关不良行为记录到企业信用档案。对违纪人员，由承包人主管部门依据有关规定查处，构成犯罪的移交司法机关处理，给监理人造成的损失，按有关规定予以赔偿。</w:t>
      </w:r>
    </w:p>
    <w:p w14:paraId="3435643C">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第五条</w:t>
      </w:r>
      <w:r>
        <w:rPr>
          <w:rFonts w:hint="eastAsia" w:ascii="宋体" w:hAnsi="宋体" w:eastAsia="宋体" w:cs="宋体"/>
          <w:snapToGrid w:val="0"/>
          <w:color w:val="000000"/>
          <w:kern w:val="0"/>
          <w:sz w:val="24"/>
          <w:szCs w:val="24"/>
          <w:highlight w:val="none"/>
        </w:rPr>
        <w:t>督查单位</w:t>
      </w:r>
    </w:p>
    <w:p w14:paraId="30B00EEC">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双方约定：双方各自在接受本单位上级主管部门监督检查的同时，自愿接受</w:t>
      </w:r>
      <w:r>
        <w:rPr>
          <w:rFonts w:hint="eastAsia" w:ascii="宋体" w:hAnsi="宋体" w:eastAsia="宋体" w:cs="宋体"/>
          <w:b/>
          <w:snapToGrid w:val="0"/>
          <w:color w:val="000000"/>
          <w:kern w:val="0"/>
          <w:sz w:val="24"/>
          <w:szCs w:val="24"/>
          <w:highlight w:val="none"/>
          <w:u w:val="single"/>
        </w:rPr>
        <w:t>各级水行政主管部门和合同约定的督查单位</w:t>
      </w:r>
      <w:r>
        <w:rPr>
          <w:rFonts w:hint="eastAsia" w:ascii="宋体" w:hAnsi="宋体" w:eastAsia="宋体" w:cs="宋体"/>
          <w:snapToGrid w:val="0"/>
          <w:color w:val="000000"/>
          <w:kern w:val="0"/>
          <w:sz w:val="24"/>
          <w:szCs w:val="24"/>
          <w:highlight w:val="none"/>
        </w:rPr>
        <w:t>对合同执行情况的监督检查，甲、乙双方应积极配合督查单位的检查，包括提供有关资料和财务账册凭证，接受本合同规定范围内的裁定意见。</w:t>
      </w:r>
    </w:p>
    <w:p w14:paraId="32BF3CC9">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第六条</w:t>
      </w:r>
      <w:r>
        <w:rPr>
          <w:rFonts w:hint="eastAsia" w:ascii="宋体" w:hAnsi="宋体" w:eastAsia="宋体" w:cs="宋体"/>
          <w:snapToGrid w:val="0"/>
          <w:color w:val="000000"/>
          <w:kern w:val="0"/>
          <w:sz w:val="24"/>
          <w:szCs w:val="24"/>
          <w:highlight w:val="none"/>
        </w:rPr>
        <w:t>检查方式</w:t>
      </w:r>
    </w:p>
    <w:p w14:paraId="35C8064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本合同的履约情况由督查单位主持，甲乙双方共同派人参加，检查方式为座谈、个别访谈、现场勘察、查阅资料及财务账册或由各方约定的其他方式等。检查时间、次数、方式、检查结论和执行违约责任等由双方协商确定，如无法达成一致的，由督查单位依据事实裁定。</w:t>
      </w:r>
    </w:p>
    <w:p w14:paraId="69EE1F51">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第七条</w:t>
      </w:r>
      <w:r>
        <w:rPr>
          <w:rFonts w:hint="eastAsia" w:ascii="宋体" w:hAnsi="宋体" w:eastAsia="宋体" w:cs="宋体"/>
          <w:snapToGrid w:val="0"/>
          <w:color w:val="000000"/>
          <w:kern w:val="0"/>
          <w:sz w:val="24"/>
          <w:szCs w:val="24"/>
          <w:highlight w:val="none"/>
        </w:rPr>
        <w:t>本合同有效期为监理人、承包人双方签署之日起至该工程项目竣工验收后止。</w:t>
      </w:r>
    </w:p>
    <w:p w14:paraId="6F161877">
      <w:pPr>
        <w:widowControl/>
        <w:kinsoku w:val="0"/>
        <w:autoSpaceDE w:val="0"/>
        <w:autoSpaceDN w:val="0"/>
        <w:snapToGrid w:val="0"/>
        <w:spacing w:line="240" w:lineRule="auto"/>
        <w:ind w:firstLine="422"/>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第八条</w:t>
      </w:r>
      <w:r>
        <w:rPr>
          <w:rFonts w:hint="eastAsia" w:ascii="宋体" w:hAnsi="宋体" w:eastAsia="宋体" w:cs="宋体"/>
          <w:snapToGrid w:val="0"/>
          <w:color w:val="000000"/>
          <w:kern w:val="0"/>
          <w:sz w:val="24"/>
          <w:szCs w:val="24"/>
          <w:highlight w:val="none"/>
        </w:rPr>
        <w:t>本合同一式</w:t>
      </w:r>
      <w:r>
        <w:rPr>
          <w:rFonts w:hint="eastAsia" w:ascii="宋体" w:hAnsi="宋体" w:eastAsia="宋体" w:cs="宋体"/>
          <w:b/>
          <w:snapToGrid w:val="0"/>
          <w:color w:val="000000"/>
          <w:kern w:val="0"/>
          <w:sz w:val="24"/>
          <w:szCs w:val="24"/>
          <w:highlight w:val="none"/>
          <w:u w:val="single"/>
        </w:rPr>
        <w:t>叁</w:t>
      </w:r>
      <w:r>
        <w:rPr>
          <w:rFonts w:hint="eastAsia" w:ascii="宋体" w:hAnsi="宋体" w:eastAsia="宋体" w:cs="宋体"/>
          <w:snapToGrid w:val="0"/>
          <w:color w:val="000000"/>
          <w:kern w:val="0"/>
          <w:sz w:val="24"/>
          <w:szCs w:val="24"/>
          <w:highlight w:val="none"/>
        </w:rPr>
        <w:t>份，监理人、承包人双方各执</w:t>
      </w:r>
      <w:r>
        <w:rPr>
          <w:rFonts w:hint="eastAsia" w:ascii="宋体" w:hAnsi="宋体" w:eastAsia="宋体" w:cs="宋体"/>
          <w:b/>
          <w:snapToGrid w:val="0"/>
          <w:color w:val="000000"/>
          <w:kern w:val="0"/>
          <w:sz w:val="24"/>
          <w:szCs w:val="24"/>
          <w:highlight w:val="none"/>
          <w:u w:val="single"/>
        </w:rPr>
        <w:t>壹</w:t>
      </w:r>
      <w:r>
        <w:rPr>
          <w:rFonts w:hint="eastAsia" w:ascii="宋体" w:hAnsi="宋体" w:eastAsia="宋体" w:cs="宋体"/>
          <w:snapToGrid w:val="0"/>
          <w:color w:val="000000"/>
          <w:kern w:val="0"/>
          <w:sz w:val="24"/>
          <w:szCs w:val="24"/>
          <w:highlight w:val="none"/>
        </w:rPr>
        <w:t>份，送交督查单位</w:t>
      </w:r>
      <w:r>
        <w:rPr>
          <w:rFonts w:hint="eastAsia" w:ascii="宋体" w:hAnsi="宋体" w:eastAsia="宋体" w:cs="宋体"/>
          <w:b/>
          <w:snapToGrid w:val="0"/>
          <w:color w:val="000000"/>
          <w:kern w:val="0"/>
          <w:sz w:val="24"/>
          <w:szCs w:val="24"/>
          <w:highlight w:val="none"/>
          <w:u w:val="single"/>
        </w:rPr>
        <w:t>壹</w:t>
      </w:r>
      <w:r>
        <w:rPr>
          <w:rFonts w:hint="eastAsia" w:ascii="宋体" w:hAnsi="宋体" w:eastAsia="宋体" w:cs="宋体"/>
          <w:snapToGrid w:val="0"/>
          <w:color w:val="000000"/>
          <w:kern w:val="0"/>
          <w:sz w:val="24"/>
          <w:szCs w:val="24"/>
          <w:highlight w:val="none"/>
        </w:rPr>
        <w:t>份。</w:t>
      </w:r>
    </w:p>
    <w:p w14:paraId="1FC9C50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5AE258C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60CB7990">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4757F6B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59ADA7C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监理人:(盖章)承包人:(盖章)</w:t>
      </w:r>
    </w:p>
    <w:p w14:paraId="3206DA52">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法定代表人:(签名)法定代表人:(签名)</w:t>
      </w:r>
    </w:p>
    <w:p w14:paraId="2F7B3E4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或授权代理人:(签名)或授权代理人:(签名)</w:t>
      </w:r>
    </w:p>
    <w:p w14:paraId="476B094E">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单位地址：单位地址：</w:t>
      </w:r>
    </w:p>
    <w:p w14:paraId="03688CD6">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联系电话：联系电话：</w:t>
      </w:r>
    </w:p>
    <w:p w14:paraId="6866743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4699C1CC">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督查单位：(盖章)</w:t>
      </w:r>
    </w:p>
    <w:p w14:paraId="32F4D279">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代表人：(签名)</w:t>
      </w:r>
    </w:p>
    <w:p w14:paraId="763A46E8">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单位地址：</w:t>
      </w:r>
    </w:p>
    <w:p w14:paraId="35C62C07">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联系电话：</w:t>
      </w:r>
    </w:p>
    <w:p w14:paraId="2E37FB61">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p>
    <w:p w14:paraId="09E778A5">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w:t>
      </w:r>
    </w:p>
    <w:p w14:paraId="40D0C30D">
      <w:pPr>
        <w:widowControl/>
        <w:kinsoku w:val="0"/>
        <w:autoSpaceDE w:val="0"/>
        <w:autoSpaceDN w:val="0"/>
        <w:snapToGrid w:val="0"/>
        <w:spacing w:line="240" w:lineRule="auto"/>
        <w:jc w:val="right"/>
        <w:textAlignment w:val="baseline"/>
        <w:rPr>
          <w:rFonts w:hint="eastAsia" w:ascii="宋体" w:hAnsi="宋体" w:eastAsia="宋体" w:cs="宋体"/>
          <w:snapToGrid w:val="0"/>
          <w:color w:val="000000"/>
          <w:kern w:val="0"/>
          <w:sz w:val="24"/>
          <w:szCs w:val="24"/>
          <w:highlight w:val="none"/>
        </w:rPr>
      </w:pPr>
    </w:p>
    <w:p w14:paraId="73553851">
      <w:pPr>
        <w:widowControl/>
        <w:kinsoku w:val="0"/>
        <w:autoSpaceDE w:val="0"/>
        <w:autoSpaceDN w:val="0"/>
        <w:snapToGrid w:val="0"/>
        <w:spacing w:line="240" w:lineRule="auto"/>
        <w:jc w:val="right"/>
        <w:textAlignment w:val="baseline"/>
        <w:rPr>
          <w:rFonts w:hint="eastAsia" w:ascii="宋体" w:hAnsi="宋体" w:eastAsia="宋体" w:cs="宋体"/>
          <w:snapToGrid w:val="0"/>
          <w:color w:val="000000"/>
          <w:kern w:val="0"/>
          <w:sz w:val="24"/>
          <w:szCs w:val="24"/>
          <w:highlight w:val="none"/>
        </w:rPr>
      </w:pPr>
    </w:p>
    <w:p w14:paraId="5B85D46A">
      <w:pPr>
        <w:widowControl/>
        <w:kinsoku w:val="0"/>
        <w:autoSpaceDE w:val="0"/>
        <w:autoSpaceDN w:val="0"/>
        <w:spacing w:before="135" w:line="219" w:lineRule="auto"/>
        <w:ind w:left="2568"/>
        <w:jc w:val="left"/>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签订日期：年月日</w:t>
      </w:r>
    </w:p>
    <w:p w14:paraId="1E53BBEB">
      <w:pPr>
        <w:widowControl/>
        <w:kinsoku w:val="0"/>
        <w:autoSpaceDE w:val="0"/>
        <w:autoSpaceDN w:val="0"/>
        <w:spacing w:before="135" w:line="219" w:lineRule="auto"/>
        <w:ind w:left="2568"/>
        <w:jc w:val="left"/>
        <w:textAlignment w:val="baseline"/>
        <w:rPr>
          <w:rFonts w:hint="eastAsia" w:ascii="宋体" w:hAnsi="宋体" w:eastAsia="宋体" w:cs="宋体"/>
          <w:snapToGrid w:val="0"/>
          <w:color w:val="000000"/>
          <w:kern w:val="0"/>
          <w:sz w:val="24"/>
          <w:szCs w:val="24"/>
          <w:highlight w:val="none"/>
        </w:rPr>
      </w:pPr>
    </w:p>
    <w:p w14:paraId="135EF66A">
      <w:pPr>
        <w:widowControl/>
        <w:kinsoku w:val="0"/>
        <w:autoSpaceDE w:val="0"/>
        <w:autoSpaceDN w:val="0"/>
        <w:spacing w:before="135" w:line="219" w:lineRule="auto"/>
        <w:ind w:left="2568"/>
        <w:jc w:val="left"/>
        <w:textAlignment w:val="baseline"/>
        <w:rPr>
          <w:rFonts w:hint="eastAsia" w:ascii="宋体" w:hAnsi="宋体" w:eastAsia="宋体" w:cs="宋体"/>
          <w:snapToGrid w:val="0"/>
          <w:color w:val="000000"/>
          <w:kern w:val="0"/>
          <w:sz w:val="24"/>
          <w:szCs w:val="24"/>
          <w:highlight w:val="none"/>
        </w:rPr>
      </w:pPr>
    </w:p>
    <w:p w14:paraId="28AEB826">
      <w:pPr>
        <w:widowControl/>
        <w:kinsoku w:val="0"/>
        <w:autoSpaceDE w:val="0"/>
        <w:autoSpaceDN w:val="0"/>
        <w:spacing w:before="135" w:line="219" w:lineRule="auto"/>
        <w:ind w:left="2568"/>
        <w:jc w:val="left"/>
        <w:textAlignment w:val="baseline"/>
        <w:rPr>
          <w:rFonts w:hint="eastAsia" w:ascii="宋体" w:hAnsi="宋体" w:eastAsia="宋体" w:cs="宋体"/>
          <w:snapToGrid w:val="0"/>
          <w:color w:val="000000"/>
          <w:kern w:val="0"/>
          <w:sz w:val="24"/>
          <w:szCs w:val="24"/>
          <w:highlight w:val="none"/>
        </w:rPr>
      </w:pPr>
    </w:p>
    <w:p w14:paraId="5666DA27">
      <w:pPr>
        <w:widowControl/>
        <w:kinsoku w:val="0"/>
        <w:autoSpaceDE w:val="0"/>
        <w:autoSpaceDN w:val="0"/>
        <w:spacing w:line="240" w:lineRule="auto"/>
        <w:jc w:val="left"/>
        <w:textAlignment w:val="baseline"/>
        <w:rPr>
          <w:rFonts w:hint="eastAsia" w:ascii="宋体" w:hAnsi="宋体" w:eastAsia="宋体" w:cs="宋体"/>
          <w:snapToGrid w:val="0"/>
          <w:color w:val="000000"/>
          <w:spacing w:val="-4"/>
          <w:kern w:val="0"/>
          <w:sz w:val="24"/>
          <w:szCs w:val="24"/>
          <w:highlight w:val="none"/>
        </w:rPr>
      </w:pPr>
      <w:r>
        <w:rPr>
          <w:rFonts w:hint="eastAsia" w:ascii="宋体" w:hAnsi="宋体" w:eastAsia="宋体" w:cs="宋体"/>
          <w:snapToGrid w:val="0"/>
          <w:color w:val="000000"/>
          <w:spacing w:val="-4"/>
          <w:kern w:val="0"/>
          <w:sz w:val="24"/>
          <w:szCs w:val="24"/>
          <w:highlight w:val="none"/>
        </w:rPr>
        <w:br w:type="page"/>
      </w:r>
    </w:p>
    <w:p w14:paraId="35D542FA">
      <w:pPr>
        <w:keepNext w:val="0"/>
        <w:keepLines w:val="0"/>
        <w:widowControl/>
        <w:suppressLineNumbers w:val="0"/>
        <w:kinsoku w:val="0"/>
        <w:autoSpaceDE w:val="0"/>
        <w:autoSpaceDN w:val="0"/>
        <w:spacing w:line="240" w:lineRule="auto"/>
        <w:jc w:val="left"/>
        <w:textAlignment w:val="baseline"/>
        <w:rPr>
          <w:rFonts w:hint="eastAsia" w:ascii="黑体" w:hAnsi="黑体" w:eastAsia="黑体" w:cs="黑体"/>
          <w:snapToGrid w:val="0"/>
          <w:color w:val="000000"/>
          <w:spacing w:val="13"/>
          <w:kern w:val="0"/>
          <w:sz w:val="28"/>
          <w:szCs w:val="28"/>
          <w:highlight w:val="none"/>
          <w:lang w:val="en-US" w:eastAsia="zh-CN"/>
        </w:rPr>
      </w:pPr>
      <w:r>
        <w:rPr>
          <w:rFonts w:hint="eastAsia" w:ascii="黑体" w:hAnsi="黑体" w:eastAsia="黑体" w:cs="黑体"/>
          <w:snapToGrid w:val="0"/>
          <w:color w:val="000000"/>
          <w:spacing w:val="13"/>
          <w:kern w:val="0"/>
          <w:sz w:val="28"/>
          <w:szCs w:val="28"/>
          <w:highlight w:val="none"/>
          <w:lang w:val="en-US" w:eastAsia="zh-CN"/>
        </w:rPr>
        <w:t>附件四：安全生产合同</w:t>
      </w:r>
    </w:p>
    <w:p w14:paraId="0263E3F4">
      <w:pPr>
        <w:keepNext w:val="0"/>
        <w:keepLines w:val="0"/>
        <w:widowControl/>
        <w:suppressLineNumbers w:val="0"/>
        <w:kinsoku w:val="0"/>
        <w:autoSpaceDE w:val="0"/>
        <w:autoSpaceDN w:val="0"/>
        <w:spacing w:line="240" w:lineRule="auto"/>
        <w:jc w:val="center"/>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32"/>
          <w:szCs w:val="32"/>
          <w:lang w:val="en-US" w:eastAsia="zh-CN" w:bidi="ar"/>
        </w:rPr>
        <w:t>安全生产合同</w:t>
      </w:r>
    </w:p>
    <w:p w14:paraId="635B6EFA">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（发包人与承包人） </w:t>
      </w:r>
    </w:p>
    <w:p w14:paraId="5B490613">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发包人： （ 以下简称“甲方” ） </w:t>
      </w:r>
    </w:p>
    <w:p w14:paraId="1EEFD85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承包人： （ 以下简称“乙方” ） </w:t>
      </w:r>
    </w:p>
    <w:p w14:paraId="77BA2803">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为在施工合同的实施过程中创造安全、高效的施工环境，切实搞好本项目的安全管理工作， </w:t>
      </w:r>
    </w:p>
    <w:p w14:paraId="686592E8">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特此签订安全生产合同。具体如下： </w:t>
      </w:r>
    </w:p>
    <w:p w14:paraId="1FA5AE9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b/>
          <w:bCs/>
          <w:snapToGrid w:val="0"/>
          <w:color w:val="000000"/>
          <w:kern w:val="0"/>
          <w:sz w:val="21"/>
          <w:szCs w:val="21"/>
          <w:lang w:val="en-US" w:eastAsia="zh-CN" w:bidi="ar"/>
        </w:rPr>
        <w:t>一、</w:t>
      </w:r>
      <w:r>
        <w:rPr>
          <w:rFonts w:hint="eastAsia" w:ascii="宋体" w:hAnsi="宋体" w:eastAsia="宋体" w:cs="宋体"/>
          <w:snapToGrid w:val="0"/>
          <w:color w:val="000000"/>
          <w:kern w:val="0"/>
          <w:sz w:val="21"/>
          <w:szCs w:val="21"/>
          <w:lang w:val="en-US" w:eastAsia="zh-CN" w:bidi="ar"/>
        </w:rPr>
        <w:t xml:space="preserve">甲方职责 </w:t>
      </w:r>
    </w:p>
    <w:p w14:paraId="43CD1ED7">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1．严格遵守国家有关安全生产的法律法规，认真执行工程承包合同中的有关安全要求。 </w:t>
      </w:r>
    </w:p>
    <w:p w14:paraId="05CA1A36">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2．按照“安全第一、预防为主”和坚持“管生产必需管安全”的原则进行安全生产管理， </w:t>
      </w:r>
    </w:p>
    <w:p w14:paraId="6AA99FE9">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做到生产与安全工作同时计划、布置、检查、总结和评比。 </w:t>
      </w:r>
    </w:p>
    <w:p w14:paraId="67CD422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3．定期召开安全生产协调会，及时传达中央及地方有关安全生产的精神。 </w:t>
      </w:r>
    </w:p>
    <w:p w14:paraId="215F75CF">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4．组织对乙方施工现场安全生产检查，建立安全生产责任制网络、汇总重要危险源、监督 </w:t>
      </w:r>
    </w:p>
    <w:p w14:paraId="4A54048F">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乙方及时处理发现的各种安全隐患。 </w:t>
      </w:r>
    </w:p>
    <w:p w14:paraId="69D7FBD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b/>
          <w:bCs/>
          <w:snapToGrid w:val="0"/>
          <w:color w:val="000000"/>
          <w:kern w:val="0"/>
          <w:sz w:val="21"/>
          <w:szCs w:val="21"/>
          <w:lang w:val="en-US" w:eastAsia="zh-CN" w:bidi="ar"/>
        </w:rPr>
        <w:t>二、</w:t>
      </w:r>
      <w:r>
        <w:rPr>
          <w:rFonts w:hint="eastAsia" w:ascii="宋体" w:hAnsi="宋体" w:eastAsia="宋体" w:cs="宋体"/>
          <w:snapToGrid w:val="0"/>
          <w:color w:val="000000"/>
          <w:kern w:val="0"/>
          <w:sz w:val="21"/>
          <w:szCs w:val="21"/>
          <w:lang w:val="en-US" w:eastAsia="zh-CN" w:bidi="ar"/>
        </w:rPr>
        <w:t xml:space="preserve">乙方职责 </w:t>
      </w:r>
    </w:p>
    <w:p w14:paraId="34E43967">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1．严格遵守国家有关安全生产的法律法规、有关安全生产的规定，认真执行工程承包合同 </w:t>
      </w:r>
    </w:p>
    <w:p w14:paraId="6B8EE06B">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中的有关安全要求，接受甲方和监理工程师对安全生产工作的指导。 </w:t>
      </w:r>
    </w:p>
    <w:p w14:paraId="685AD2BC">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2．坚持“安全第一、预防为主”和“管生产必须管安全”的原则，加强安全生产宣传教 </w:t>
      </w:r>
    </w:p>
    <w:p w14:paraId="253D541C">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育，增强全员安全生产意识，建立健全各项安全生产管理制度，配备专职及兼职安全检查人员，有组织有领导地开展安全生产活动。各级领导、工程技术人员、生产管理人员和具体操作人员， 必须熟悉和遵守本条款的各项规定，做到生产与安全工作同时计划、布置、检查、总结和评比。 </w:t>
      </w:r>
    </w:p>
    <w:p w14:paraId="265EA994">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3．建立健全安全生产责任制网络。从派往项目实施的项目经理到生产工人（包括临时雇请 </w:t>
      </w:r>
    </w:p>
    <w:p w14:paraId="2D6ACD23">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的民工）的安全生产管理系统必须做到纵向到底，一环不漏；各职能部门、人员的安全生产责任 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 1 人），专职负责所有员工的安全和治安保卫工作及预防事故的发生。安全机构人员，有权按有关规定发布指令，并采取保护性措施防止事故发生。 </w:t>
      </w:r>
    </w:p>
    <w:p w14:paraId="7D86C152">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4．乙方在任何时侯都应采取各种合理的预防措施，防止其人员发生任何违法、违禁、暴 </w:t>
      </w:r>
    </w:p>
    <w:p w14:paraId="473F532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力、违规或妨碍治安的行为。 </w:t>
      </w:r>
    </w:p>
    <w:p w14:paraId="324BABE2">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5．乙方必须具有省部级行政主管部门颁发的安全生产证书，参加施工的人员，必须按受安 </w:t>
      </w:r>
    </w:p>
    <w:p w14:paraId="472DD51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 </w:t>
      </w:r>
    </w:p>
    <w:p w14:paraId="496A0E42">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6．加强施工中交通运输安全管理，各种运输机械等需划定运输路线行驶。 </w:t>
      </w:r>
    </w:p>
    <w:p w14:paraId="562CDB65">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7．对于易燃易爆的材料除应专门有效封闭、妥善保管之外，还应配备有足够的消防设施， </w:t>
      </w:r>
    </w:p>
    <w:p w14:paraId="16793A27">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所有施工人员都应熟悉消防设备的性能和使用方法。 </w:t>
      </w:r>
    </w:p>
    <w:p w14:paraId="2C36ED4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8．操作人员上岗，必须按规定穿戴防护用品。施工负责人和安全检查员应随时检查劳动防 </w:t>
      </w:r>
    </w:p>
    <w:p w14:paraId="19068A80">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护用品的穿戴情况，不按规定穿戴防护用品的人员不得上岗。 </w:t>
      </w:r>
    </w:p>
    <w:p w14:paraId="2157B6BC">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9．所有施工机具、设备和劳动保护用品应具备有效的安检合格证明，并经安全员签字同意 </w:t>
      </w:r>
    </w:p>
    <w:p w14:paraId="4B607D9A">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后方可使用，施工期间应定期检查，保证其处于完好状态；不合格的机具、设备和劳动保护用品严禁使用。 </w:t>
      </w:r>
    </w:p>
    <w:p w14:paraId="0DDB4C4B">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10．施工现场必须具有相关的安全标志牌。 </w:t>
      </w:r>
    </w:p>
    <w:p w14:paraId="33F0C071">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11．建立主要危险源备案制度，要明确潜在隐患、防范措施和落实责任人。12．乙方必须按照本工程项目特点，组织制定本工程实施中的生产安全事故应急救援预案； </w:t>
      </w:r>
    </w:p>
    <w:p w14:paraId="4E087F35">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如果发生安全事故，应按照《国务院关于特大安全事故行政责任追究的规定》以及其它有关规定，及时上报有关部门，并坚持“三不放过”的原则，严肃处理相关责任人。 </w:t>
      </w:r>
    </w:p>
    <w:p w14:paraId="156CCEFD">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b/>
          <w:bCs/>
          <w:snapToGrid w:val="0"/>
          <w:color w:val="000000"/>
          <w:kern w:val="0"/>
          <w:sz w:val="21"/>
          <w:szCs w:val="21"/>
          <w:lang w:val="en-US" w:eastAsia="zh-CN" w:bidi="ar"/>
        </w:rPr>
        <w:t>三、</w:t>
      </w:r>
      <w:r>
        <w:rPr>
          <w:rFonts w:hint="eastAsia" w:ascii="宋体" w:hAnsi="宋体" w:eastAsia="宋体" w:cs="宋体"/>
          <w:snapToGrid w:val="0"/>
          <w:color w:val="000000"/>
          <w:kern w:val="0"/>
          <w:sz w:val="21"/>
          <w:szCs w:val="21"/>
          <w:lang w:val="en-US" w:eastAsia="zh-CN" w:bidi="ar"/>
        </w:rPr>
        <w:t xml:space="preserve">违约责任 </w:t>
      </w:r>
    </w:p>
    <w:p w14:paraId="4F3120F2">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如因甲方或乙方违约造成安全事故，将报请有关部门依法追究责任。 </w:t>
      </w:r>
    </w:p>
    <w:p w14:paraId="7258F4EC">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本合同一式二份，由双方法定代表人或其授权的代理人签署和加盖公章后生效，全部工程竣工验收后失效。 </w:t>
      </w:r>
    </w:p>
    <w:p w14:paraId="33D3BCA4">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甲 方： </w:t>
      </w:r>
      <w:r>
        <w:rPr>
          <w:rFonts w:hint="eastAsia" w:ascii="宋体" w:hAnsi="宋体" w:cs="宋体"/>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乙 方： </w:t>
      </w:r>
    </w:p>
    <w:p w14:paraId="27BBADE4">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法定代表人（或授权代理人）： 法定代表人（或授权代理人）： </w:t>
      </w:r>
    </w:p>
    <w:p w14:paraId="7E75E9EC">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地 址： </w:t>
      </w:r>
      <w:r>
        <w:rPr>
          <w:rFonts w:hint="eastAsia" w:ascii="宋体" w:hAnsi="宋体" w:cs="宋体"/>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地 址： </w:t>
      </w:r>
    </w:p>
    <w:p w14:paraId="00B5E782">
      <w:pPr>
        <w:keepNext w:val="0"/>
        <w:keepLines w:val="0"/>
        <w:widowControl/>
        <w:suppressLineNumbers w:val="0"/>
        <w:kinsoku w:val="0"/>
        <w:autoSpaceDE w:val="0"/>
        <w:autoSpaceDN w:val="0"/>
        <w:spacing w:line="240" w:lineRule="auto"/>
        <w:jc w:val="left"/>
        <w:textAlignment w:val="baseline"/>
        <w:rPr>
          <w:rFonts w:ascii="Arial" w:hAnsi="Arial" w:eastAsia="Arial" w:cs="Arial"/>
          <w:snapToGrid w:val="0"/>
          <w:color w:val="000000"/>
          <w:kern w:val="0"/>
          <w:szCs w:val="21"/>
        </w:rPr>
      </w:pPr>
      <w:r>
        <w:rPr>
          <w:rFonts w:hint="eastAsia" w:ascii="宋体" w:hAnsi="宋体" w:eastAsia="宋体" w:cs="宋体"/>
          <w:snapToGrid w:val="0"/>
          <w:color w:val="000000"/>
          <w:kern w:val="0"/>
          <w:sz w:val="21"/>
          <w:szCs w:val="21"/>
          <w:lang w:val="en-US" w:eastAsia="zh-CN" w:bidi="ar"/>
        </w:rPr>
        <w:t xml:space="preserve">电 话： </w:t>
      </w:r>
      <w:r>
        <w:rPr>
          <w:rFonts w:hint="eastAsia" w:ascii="宋体" w:hAnsi="宋体" w:cs="宋体"/>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电 话： </w:t>
      </w:r>
    </w:p>
    <w:p w14:paraId="6A53B1B8">
      <w:pPr>
        <w:jc w:val="both"/>
        <w:rPr>
          <w:rFonts w:ascii="宋体" w:hAnsi="宋体" w:cs="宋体"/>
          <w:sz w:val="48"/>
          <w:szCs w:val="21"/>
          <w:highlight w:val="none"/>
        </w:rPr>
      </w:pPr>
      <w:r>
        <w:rPr>
          <w:rFonts w:hint="eastAsia" w:ascii="宋体" w:hAnsi="宋体" w:eastAsia="宋体" w:cs="宋体"/>
          <w:snapToGrid w:val="0"/>
          <w:color w:val="000000"/>
          <w:kern w:val="0"/>
          <w:sz w:val="21"/>
          <w:szCs w:val="21"/>
          <w:lang w:val="en-US" w:eastAsia="zh-CN" w:bidi="ar"/>
        </w:rPr>
        <w:t xml:space="preserve">日 期： </w:t>
      </w:r>
      <w:r>
        <w:rPr>
          <w:rFonts w:hint="eastAsia" w:ascii="宋体" w:hAnsi="宋体" w:cs="宋体"/>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日 期：</w:t>
      </w:r>
    </w:p>
    <w:bookmarkEnd w:id="33"/>
    <w:p w14:paraId="372D3E62">
      <w:pPr>
        <w:rPr>
          <w:rFonts w:hint="eastAsia" w:hAnsi="宋体"/>
          <w:b w:val="0"/>
          <w:bCs/>
          <w:spacing w:val="-10"/>
          <w:kern w:val="2"/>
          <w:sz w:val="36"/>
          <w:szCs w:val="36"/>
          <w:highlight w:val="none"/>
        </w:rPr>
      </w:pPr>
      <w:bookmarkStart w:id="333" w:name="_Toc67494811"/>
      <w:bookmarkStart w:id="334" w:name="_Toc67557661"/>
      <w:r>
        <w:rPr>
          <w:rFonts w:hint="eastAsia" w:hAnsi="宋体"/>
          <w:b w:val="0"/>
          <w:bCs/>
          <w:spacing w:val="-10"/>
          <w:kern w:val="2"/>
          <w:sz w:val="36"/>
          <w:szCs w:val="36"/>
          <w:highlight w:val="none"/>
        </w:rPr>
        <w:br w:type="page"/>
      </w:r>
    </w:p>
    <w:p w14:paraId="274AC083">
      <w:pPr>
        <w:pStyle w:val="3"/>
        <w:spacing w:before="240" w:after="240"/>
        <w:ind w:firstLineChars="850"/>
        <w:rPr>
          <w:rFonts w:ascii="宋体" w:hAnsi="宋体"/>
          <w:highlight w:val="none"/>
        </w:rPr>
      </w:pPr>
      <w:r>
        <w:rPr>
          <w:rFonts w:hint="eastAsia" w:hAnsi="宋体"/>
          <w:b w:val="0"/>
          <w:bCs/>
          <w:spacing w:val="-10"/>
          <w:kern w:val="2"/>
          <w:sz w:val="36"/>
          <w:szCs w:val="36"/>
          <w:highlight w:val="none"/>
        </w:rPr>
        <w:t>第六章 附件</w:t>
      </w:r>
      <w:bookmarkEnd w:id="333"/>
      <w:bookmarkEnd w:id="334"/>
    </w:p>
    <w:p w14:paraId="62D8232C">
      <w:pPr>
        <w:widowControl/>
        <w:jc w:val="left"/>
        <w:rPr>
          <w:rFonts w:ascii="宋体" w:hAnsi="宋体"/>
          <w:b/>
          <w:bCs/>
          <w:szCs w:val="21"/>
          <w:highlight w:val="none"/>
        </w:rPr>
      </w:pPr>
    </w:p>
    <w:p w14:paraId="1DE10A14">
      <w:pPr>
        <w:rPr>
          <w:rFonts w:ascii="宋体" w:hAnsi="宋体"/>
          <w:sz w:val="20"/>
          <w:highlight w:val="none"/>
        </w:rPr>
      </w:pPr>
    </w:p>
    <w:p w14:paraId="1A75B25A">
      <w:pPr>
        <w:rPr>
          <w:rFonts w:ascii="宋体" w:hAnsi="宋体"/>
          <w:sz w:val="20"/>
          <w:highlight w:val="none"/>
        </w:rPr>
      </w:pPr>
    </w:p>
    <w:p w14:paraId="0F615E3F">
      <w:pPr>
        <w:rPr>
          <w:rFonts w:ascii="宋体" w:hAnsi="宋体"/>
          <w:sz w:val="20"/>
          <w:highlight w:val="none"/>
        </w:rPr>
      </w:pPr>
    </w:p>
    <w:p w14:paraId="12D221C4">
      <w:pPr>
        <w:rPr>
          <w:rFonts w:ascii="宋体" w:hAnsi="宋体"/>
          <w:sz w:val="20"/>
          <w:highlight w:val="none"/>
        </w:rPr>
      </w:pPr>
    </w:p>
    <w:p w14:paraId="3F1D5515">
      <w:pPr>
        <w:rPr>
          <w:rFonts w:ascii="宋体" w:hAnsi="宋体"/>
          <w:sz w:val="20"/>
          <w:highlight w:val="none"/>
        </w:rPr>
      </w:pPr>
    </w:p>
    <w:p w14:paraId="59A8B3BE">
      <w:pPr>
        <w:rPr>
          <w:rFonts w:ascii="宋体" w:hAnsi="宋体"/>
          <w:b/>
          <w:bCs/>
          <w:sz w:val="20"/>
          <w:highlight w:val="none"/>
        </w:rPr>
      </w:pPr>
    </w:p>
    <w:p w14:paraId="12DF9C5F">
      <w:pPr>
        <w:jc w:val="center"/>
        <w:rPr>
          <w:rFonts w:ascii="宋体" w:hAnsi="宋体"/>
          <w:b/>
          <w:bCs/>
          <w:sz w:val="32"/>
          <w:szCs w:val="32"/>
          <w:highlight w:val="none"/>
        </w:rPr>
      </w:pPr>
      <w:r>
        <w:rPr>
          <w:rFonts w:ascii="宋体" w:hAnsi="宋体"/>
          <w:b/>
          <w:bCs/>
          <w:sz w:val="32"/>
          <w:szCs w:val="32"/>
          <w:highlight w:val="none"/>
        </w:rPr>
        <w:t>（项目名称）</w:t>
      </w:r>
    </w:p>
    <w:p w14:paraId="7298CCC8">
      <w:pPr>
        <w:jc w:val="center"/>
        <w:rPr>
          <w:rFonts w:ascii="宋体" w:hAnsi="宋体"/>
          <w:b/>
          <w:bCs/>
          <w:sz w:val="32"/>
          <w:szCs w:val="32"/>
          <w:highlight w:val="none"/>
        </w:rPr>
      </w:pPr>
    </w:p>
    <w:p w14:paraId="7257CAD7">
      <w:pPr>
        <w:rPr>
          <w:rFonts w:ascii="宋体" w:hAnsi="宋体"/>
          <w:b/>
          <w:bCs/>
          <w:sz w:val="32"/>
          <w:szCs w:val="32"/>
          <w:highlight w:val="none"/>
        </w:rPr>
      </w:pPr>
    </w:p>
    <w:p w14:paraId="451A8116">
      <w:pPr>
        <w:jc w:val="center"/>
        <w:rPr>
          <w:rFonts w:ascii="宋体" w:hAnsi="宋体"/>
          <w:b/>
          <w:bCs/>
          <w:sz w:val="32"/>
          <w:szCs w:val="32"/>
          <w:highlight w:val="none"/>
        </w:rPr>
      </w:pPr>
      <w:r>
        <w:rPr>
          <w:rFonts w:hint="eastAsia" w:ascii="宋体" w:hAnsi="宋体"/>
          <w:b/>
          <w:bCs/>
          <w:sz w:val="32"/>
          <w:szCs w:val="32"/>
          <w:highlight w:val="none"/>
        </w:rPr>
        <w:t>竞争性磋商响应文件</w:t>
      </w:r>
    </w:p>
    <w:p w14:paraId="1E0C429C">
      <w:pPr>
        <w:rPr>
          <w:rFonts w:ascii="宋体" w:hAnsi="宋体"/>
          <w:sz w:val="32"/>
          <w:szCs w:val="32"/>
          <w:highlight w:val="none"/>
        </w:rPr>
      </w:pPr>
    </w:p>
    <w:p w14:paraId="764EDA76">
      <w:pPr>
        <w:pStyle w:val="25"/>
        <w:rPr>
          <w:highlight w:val="none"/>
        </w:rPr>
      </w:pPr>
    </w:p>
    <w:p w14:paraId="42CBF27A">
      <w:pPr>
        <w:pStyle w:val="25"/>
        <w:rPr>
          <w:highlight w:val="none"/>
        </w:rPr>
      </w:pPr>
    </w:p>
    <w:p w14:paraId="3BC62E5A">
      <w:pPr>
        <w:pStyle w:val="25"/>
        <w:rPr>
          <w:highlight w:val="none"/>
        </w:rPr>
      </w:pPr>
    </w:p>
    <w:p w14:paraId="52119F5C">
      <w:pPr>
        <w:rPr>
          <w:rFonts w:ascii="宋体" w:hAnsi="宋体"/>
          <w:sz w:val="32"/>
          <w:szCs w:val="32"/>
          <w:highlight w:val="none"/>
        </w:rPr>
      </w:pPr>
    </w:p>
    <w:p w14:paraId="14C2598E">
      <w:pPr>
        <w:jc w:val="center"/>
        <w:rPr>
          <w:rFonts w:ascii="宋体" w:hAnsi="宋体"/>
          <w:b/>
          <w:bCs/>
          <w:sz w:val="32"/>
          <w:szCs w:val="32"/>
          <w:highlight w:val="none"/>
          <w:u w:val="single"/>
        </w:rPr>
      </w:pPr>
      <w:r>
        <w:rPr>
          <w:rFonts w:ascii="宋体" w:hAnsi="宋体"/>
          <w:b/>
          <w:bCs/>
          <w:sz w:val="32"/>
          <w:szCs w:val="32"/>
          <w:highlight w:val="none"/>
        </w:rPr>
        <w:t>供应商：（盖单位章）</w:t>
      </w:r>
    </w:p>
    <w:p w14:paraId="75152B49">
      <w:pPr>
        <w:jc w:val="center"/>
        <w:rPr>
          <w:rFonts w:ascii="宋体" w:hAnsi="宋体"/>
          <w:b/>
          <w:bCs/>
          <w:sz w:val="32"/>
          <w:szCs w:val="32"/>
          <w:highlight w:val="none"/>
        </w:rPr>
      </w:pPr>
      <w:r>
        <w:rPr>
          <w:rFonts w:ascii="宋体" w:hAnsi="宋体"/>
          <w:b/>
          <w:bCs/>
          <w:sz w:val="32"/>
          <w:szCs w:val="32"/>
          <w:highlight w:val="none"/>
        </w:rPr>
        <w:t>法定代表人或其委托代理人：（签字</w:t>
      </w:r>
      <w:r>
        <w:rPr>
          <w:rFonts w:hint="eastAsia" w:ascii="宋体" w:hAnsi="宋体"/>
          <w:b/>
          <w:bCs/>
          <w:sz w:val="32"/>
          <w:szCs w:val="32"/>
          <w:highlight w:val="none"/>
        </w:rPr>
        <w:t>或签章</w:t>
      </w:r>
      <w:r>
        <w:rPr>
          <w:rFonts w:ascii="宋体" w:hAnsi="宋体"/>
          <w:b/>
          <w:bCs/>
          <w:sz w:val="32"/>
          <w:szCs w:val="32"/>
          <w:highlight w:val="none"/>
        </w:rPr>
        <w:t>）</w:t>
      </w:r>
    </w:p>
    <w:p w14:paraId="5AD7ADF0">
      <w:pPr>
        <w:jc w:val="center"/>
        <w:rPr>
          <w:rFonts w:ascii="宋体" w:hAnsi="宋体"/>
          <w:b/>
          <w:bCs/>
          <w:sz w:val="32"/>
          <w:szCs w:val="32"/>
          <w:highlight w:val="none"/>
        </w:rPr>
      </w:pPr>
      <w:r>
        <w:rPr>
          <w:rFonts w:ascii="宋体" w:hAnsi="宋体"/>
          <w:b/>
          <w:bCs/>
          <w:sz w:val="32"/>
          <w:szCs w:val="32"/>
          <w:highlight w:val="none"/>
        </w:rPr>
        <w:t>年</w:t>
      </w:r>
      <w:r>
        <w:rPr>
          <w:rFonts w:hint="eastAsia" w:ascii="宋体" w:hAnsi="宋体"/>
          <w:b/>
          <w:bCs/>
          <w:sz w:val="32"/>
          <w:szCs w:val="32"/>
          <w:highlight w:val="none"/>
        </w:rPr>
        <w:t xml:space="preserve"> </w:t>
      </w:r>
      <w:r>
        <w:rPr>
          <w:rFonts w:ascii="宋体" w:hAnsi="宋体"/>
          <w:b/>
          <w:bCs/>
          <w:sz w:val="32"/>
          <w:szCs w:val="32"/>
          <w:highlight w:val="none"/>
        </w:rPr>
        <w:t>月</w:t>
      </w:r>
      <w:r>
        <w:rPr>
          <w:rFonts w:hint="eastAsia" w:ascii="宋体" w:hAnsi="宋体"/>
          <w:b/>
          <w:bCs/>
          <w:sz w:val="32"/>
          <w:szCs w:val="32"/>
          <w:highlight w:val="none"/>
        </w:rPr>
        <w:t xml:space="preserve"> </w:t>
      </w:r>
      <w:r>
        <w:rPr>
          <w:rFonts w:ascii="宋体" w:hAnsi="宋体"/>
          <w:b/>
          <w:bCs/>
          <w:sz w:val="32"/>
          <w:szCs w:val="32"/>
          <w:highlight w:val="none"/>
        </w:rPr>
        <w:t>日</w:t>
      </w:r>
      <w:r>
        <w:rPr>
          <w:rFonts w:hint="eastAsia" w:ascii="宋体" w:hAnsi="宋体"/>
          <w:b/>
          <w:bCs/>
          <w:sz w:val="32"/>
          <w:szCs w:val="32"/>
          <w:highlight w:val="none"/>
        </w:rPr>
        <w:t xml:space="preserve"> </w:t>
      </w:r>
    </w:p>
    <w:p w14:paraId="506AFDEB">
      <w:pPr>
        <w:rPr>
          <w:rFonts w:hint="eastAsia"/>
          <w:highlight w:val="none"/>
        </w:rPr>
      </w:pPr>
      <w:r>
        <w:rPr>
          <w:rFonts w:hint="eastAsia"/>
          <w:highlight w:val="none"/>
        </w:rPr>
        <w:br w:type="page"/>
      </w:r>
    </w:p>
    <w:p w14:paraId="3BB28837">
      <w:pPr>
        <w:pStyle w:val="3"/>
        <w:spacing w:before="240" w:after="240"/>
        <w:ind w:firstLine="2898"/>
        <w:rPr>
          <w:highlight w:val="none"/>
        </w:rPr>
      </w:pPr>
      <w:r>
        <w:rPr>
          <w:rFonts w:hint="eastAsia"/>
          <w:highlight w:val="none"/>
        </w:rPr>
        <w:t>目录</w:t>
      </w:r>
    </w:p>
    <w:p w14:paraId="1D249058">
      <w:pPr>
        <w:rPr>
          <w:highlight w:val="none"/>
        </w:rPr>
      </w:pPr>
    </w:p>
    <w:p w14:paraId="6CBC37E5">
      <w:pPr>
        <w:rPr>
          <w:highlight w:val="none"/>
        </w:rPr>
      </w:pPr>
      <w:r>
        <w:rPr>
          <w:rFonts w:hint="eastAsia" w:ascii="Times New Roman" w:hAnsi="Times New Roman" w:eastAsia="宋体" w:cs="Times New Roman"/>
          <w:sz w:val="24"/>
          <w:szCs w:val="24"/>
          <w:highlight w:val="none"/>
        </w:rPr>
        <w:t>（注：供应商根据格式顺序编制响应文件并制作目录（须生成页码））</w:t>
      </w:r>
    </w:p>
    <w:p w14:paraId="44DEA7B2">
      <w:pPr>
        <w:rPr>
          <w:highlight w:val="none"/>
        </w:rPr>
      </w:pPr>
    </w:p>
    <w:p w14:paraId="4B95A84A">
      <w:pPr>
        <w:pStyle w:val="4"/>
        <w:rPr>
          <w:highlight w:val="none"/>
        </w:rPr>
      </w:pPr>
      <w:r>
        <w:rPr>
          <w:highlight w:val="none"/>
        </w:rPr>
        <w:br w:type="page"/>
      </w:r>
      <w:bookmarkStart w:id="335" w:name="_Toc118445288"/>
      <w:r>
        <w:rPr>
          <w:rFonts w:hint="eastAsia"/>
          <w:highlight w:val="none"/>
        </w:rPr>
        <w:t>目录一</w:t>
      </w:r>
      <w:r>
        <w:rPr>
          <w:highlight w:val="none"/>
        </w:rPr>
        <w:t>、竞争性磋商申请及声明</w:t>
      </w:r>
      <w:bookmarkEnd w:id="335"/>
    </w:p>
    <w:p w14:paraId="480E5A2B">
      <w:pPr>
        <w:ind w:firstLine="3373" w:firstLineChars="1400"/>
        <w:rPr>
          <w:b/>
          <w:bCs/>
          <w:sz w:val="24"/>
          <w:szCs w:val="24"/>
          <w:highlight w:val="none"/>
        </w:rPr>
      </w:pPr>
      <w:r>
        <w:rPr>
          <w:rFonts w:hint="eastAsia"/>
          <w:b/>
          <w:bCs/>
          <w:sz w:val="24"/>
          <w:szCs w:val="24"/>
          <w:highlight w:val="none"/>
        </w:rPr>
        <w:t>竞争性磋商申请及声明</w:t>
      </w:r>
    </w:p>
    <w:p w14:paraId="52971B0B">
      <w:pPr>
        <w:ind w:firstLine="3373" w:firstLineChars="1400"/>
        <w:rPr>
          <w:b/>
          <w:bCs/>
          <w:sz w:val="24"/>
          <w:szCs w:val="24"/>
          <w:highlight w:val="none"/>
        </w:rPr>
      </w:pPr>
    </w:p>
    <w:p w14:paraId="01F69900">
      <w:pPr>
        <w:adjustRightInd w:val="0"/>
        <w:snapToGrid w:val="0"/>
        <w:spacing w:line="360" w:lineRule="auto"/>
        <w:rPr>
          <w:rFonts w:ascii="宋体" w:hAnsi="宋体"/>
        </w:rPr>
      </w:pPr>
      <w:r>
        <w:rPr>
          <w:rFonts w:hint="eastAsia" w:ascii="宋体" w:hAnsi="宋体" w:cs="宋体"/>
        </w:rPr>
        <w:t>根据贵方</w:t>
      </w:r>
      <w:r>
        <w:rPr>
          <w:rFonts w:ascii="宋体" w:hAnsi="宋体"/>
          <w:u w:val="single"/>
        </w:rPr>
        <w:tab/>
      </w:r>
      <w:r>
        <w:rPr>
          <w:rFonts w:ascii="宋体" w:hAnsi="宋体"/>
          <w:u w:val="single"/>
        </w:rPr>
        <w:tab/>
      </w:r>
      <w:r>
        <w:rPr>
          <w:rFonts w:hint="eastAsia" w:ascii="宋体" w:hAnsi="宋体"/>
          <w:u w:val="single"/>
        </w:rPr>
        <w:t xml:space="preserve">   </w:t>
      </w:r>
      <w:r>
        <w:rPr>
          <w:rFonts w:hint="eastAsia" w:ascii="宋体" w:hAnsi="宋体" w:cs="宋体"/>
        </w:rPr>
        <w:t>（项目名称）</w:t>
      </w:r>
      <w:r>
        <w:rPr>
          <w:rFonts w:hint="eastAsia" w:ascii="宋体" w:hAnsi="宋体"/>
          <w:u w:val="single"/>
        </w:rPr>
        <w:t xml:space="preserve">       </w:t>
      </w:r>
      <w:r>
        <w:rPr>
          <w:rFonts w:hint="eastAsia" w:ascii="宋体" w:hAnsi="宋体" w:cs="宋体"/>
        </w:rPr>
        <w:t>（项目编号）竞争性磋商邀请，正式授权下述签字人</w:t>
      </w:r>
      <w:r>
        <w:rPr>
          <w:rFonts w:hint="eastAsia" w:ascii="宋体" w:hAnsi="宋体" w:cs="宋体"/>
          <w:u w:val="single"/>
        </w:rPr>
        <w:t xml:space="preserve">   </w:t>
      </w:r>
      <w:r>
        <w:rPr>
          <w:rFonts w:ascii="宋体" w:hAnsi="宋体"/>
          <w:u w:val="single"/>
        </w:rPr>
        <w:tab/>
      </w:r>
      <w:r>
        <w:rPr>
          <w:rFonts w:hint="eastAsia" w:ascii="宋体" w:hAnsi="宋体"/>
          <w:u w:val="single"/>
        </w:rPr>
        <w:t xml:space="preserve">   </w:t>
      </w:r>
      <w:r>
        <w:rPr>
          <w:rFonts w:hint="eastAsia" w:ascii="宋体" w:hAnsi="宋体" w:cs="宋体"/>
        </w:rPr>
        <w:t>（姓名和职务）代表</w:t>
      </w:r>
      <w:r>
        <w:rPr>
          <w:rFonts w:ascii="宋体" w:hAnsi="宋体"/>
        </w:rPr>
        <w:tab/>
      </w:r>
      <w:r>
        <w:rPr>
          <w:rFonts w:ascii="宋体" w:hAnsi="宋体"/>
          <w:u w:val="single"/>
        </w:rPr>
        <w:tab/>
      </w:r>
      <w:r>
        <w:rPr>
          <w:rFonts w:hint="eastAsia" w:ascii="宋体" w:hAnsi="宋体"/>
          <w:u w:val="single"/>
        </w:rPr>
        <w:t xml:space="preserve">      </w:t>
      </w:r>
      <w:r>
        <w:rPr>
          <w:rFonts w:hint="eastAsia" w:ascii="宋体" w:hAnsi="宋体" w:cs="宋体"/>
        </w:rPr>
        <w:t>（供应商名称），提交响应文件并参加磋商。</w:t>
      </w:r>
      <w:r>
        <w:rPr>
          <w:rFonts w:ascii="宋体" w:hAnsi="宋体"/>
        </w:rPr>
        <w:tab/>
      </w:r>
      <w:r>
        <w:rPr>
          <w:rFonts w:hint="eastAsia" w:ascii="宋体" w:hAnsi="宋体"/>
        </w:rPr>
        <w:t>特声明如下：</w:t>
      </w:r>
    </w:p>
    <w:p w14:paraId="5D91D42B">
      <w:pPr>
        <w:adjustRightInd w:val="0"/>
        <w:snapToGrid w:val="0"/>
        <w:spacing w:line="360" w:lineRule="auto"/>
        <w:ind w:firstLine="420"/>
        <w:rPr>
          <w:rFonts w:ascii="宋体" w:hAnsi="宋体"/>
        </w:rPr>
      </w:pPr>
      <w:r>
        <w:rPr>
          <w:rFonts w:ascii="宋体" w:hAnsi="宋体"/>
        </w:rPr>
        <w:t>1</w:t>
      </w:r>
      <w:r>
        <w:rPr>
          <w:rFonts w:hint="eastAsia" w:ascii="宋体" w:hAnsi="宋体"/>
        </w:rPr>
        <w:t>.</w:t>
      </w:r>
      <w:r>
        <w:rPr>
          <w:rFonts w:ascii="宋体" w:hAnsi="宋体"/>
          <w:b/>
        </w:rPr>
        <w:t>我们的资格条件完全符合政府采购法和本次采购要求</w:t>
      </w:r>
      <w:r>
        <w:rPr>
          <w:rFonts w:ascii="宋体" w:hAnsi="宋体"/>
        </w:rPr>
        <w:t>，我们同意并向贵方提供了与本次采购活动有关的所有证据和资料。</w:t>
      </w:r>
    </w:p>
    <w:p w14:paraId="3002ADD2">
      <w:pPr>
        <w:tabs>
          <w:tab w:val="left" w:pos="4398"/>
        </w:tabs>
        <w:adjustRightInd w:val="0"/>
        <w:snapToGrid w:val="0"/>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我们的总报价为（大写）</w:t>
      </w:r>
      <w:r>
        <w:rPr>
          <w:rFonts w:ascii="宋体" w:hAnsi="宋体"/>
          <w:u w:val="single"/>
        </w:rPr>
        <w:tab/>
      </w:r>
      <w:r>
        <w:rPr>
          <w:rFonts w:ascii="宋体" w:hAnsi="宋体"/>
        </w:rPr>
        <w:t>人民币。</w:t>
      </w:r>
      <w:r>
        <w:rPr>
          <w:rFonts w:hint="eastAsia" w:ascii="宋体" w:hAnsi="宋体"/>
        </w:rPr>
        <w:t>（小写）￥</w:t>
      </w:r>
      <w:r>
        <w:rPr>
          <w:rFonts w:hint="eastAsia" w:ascii="宋体" w:hAnsi="宋体"/>
          <w:u w:val="single"/>
        </w:rPr>
        <w:t xml:space="preserve">       </w:t>
      </w:r>
      <w:r>
        <w:rPr>
          <w:rFonts w:hint="eastAsia" w:ascii="宋体" w:hAnsi="宋体"/>
        </w:rPr>
        <w:t>元</w:t>
      </w:r>
    </w:p>
    <w:p w14:paraId="47BE880E">
      <w:pPr>
        <w:tabs>
          <w:tab w:val="left" w:pos="4398"/>
        </w:tabs>
        <w:adjustRightInd w:val="0"/>
        <w:snapToGrid w:val="0"/>
        <w:spacing w:line="360" w:lineRule="auto"/>
        <w:ind w:firstLine="420" w:firstLineChars="200"/>
        <w:rPr>
          <w:rFonts w:ascii="宋体" w:hAnsi="宋体"/>
        </w:rPr>
      </w:pPr>
      <w:r>
        <w:rPr>
          <w:rFonts w:hint="eastAsia" w:ascii="宋体" w:hAnsi="宋体"/>
        </w:rPr>
        <w:t>3.项目</w:t>
      </w:r>
      <w:r>
        <w:rPr>
          <w:rFonts w:hint="eastAsia" w:ascii="宋体" w:hAnsi="宋体"/>
          <w:lang w:val="en-US" w:eastAsia="zh-CN"/>
        </w:rPr>
        <w:t>总监</w:t>
      </w:r>
      <w:r>
        <w:rPr>
          <w:rFonts w:hint="eastAsia" w:ascii="宋体" w:hAnsi="宋体"/>
        </w:rPr>
        <w:t>为</w:t>
      </w:r>
      <w:r>
        <w:rPr>
          <w:rFonts w:hint="eastAsia" w:ascii="宋体" w:hAnsi="宋体"/>
          <w:u w:val="single"/>
        </w:rPr>
        <w:t xml:space="preserve">          </w:t>
      </w:r>
      <w:r>
        <w:rPr>
          <w:rFonts w:hint="eastAsia" w:ascii="宋体" w:hAnsi="宋体"/>
        </w:rPr>
        <w:t>。</w:t>
      </w:r>
    </w:p>
    <w:p w14:paraId="4F0172CB">
      <w:pPr>
        <w:adjustRightInd w:val="0"/>
        <w:snapToGrid w:val="0"/>
        <w:spacing w:line="360" w:lineRule="auto"/>
        <w:ind w:right="100" w:firstLine="420"/>
        <w:rPr>
          <w:rFonts w:ascii="宋体" w:hAnsi="宋体"/>
        </w:rPr>
      </w:pPr>
      <w:r>
        <w:rPr>
          <w:rFonts w:ascii="宋体" w:hAnsi="宋体"/>
        </w:rPr>
        <w:t>4</w:t>
      </w:r>
      <w:r>
        <w:rPr>
          <w:rFonts w:hint="eastAsia" w:ascii="宋体" w:hAnsi="宋体"/>
        </w:rPr>
        <w:t>.</w:t>
      </w:r>
      <w:r>
        <w:rPr>
          <w:rFonts w:ascii="宋体" w:hAnsi="宋体"/>
        </w:rPr>
        <w:t>我们已详细审核全部磋商文件及其有效补充文件，我们放弃对磋商文件任何误解的权利，提交响应文件后，</w:t>
      </w:r>
      <w:r>
        <w:rPr>
          <w:rFonts w:ascii="宋体" w:hAnsi="宋体"/>
          <w:b/>
        </w:rPr>
        <w:t>不对磋商文件本身提出质疑</w:t>
      </w:r>
      <w:r>
        <w:rPr>
          <w:rFonts w:ascii="宋体" w:hAnsi="宋体"/>
        </w:rPr>
        <w:t>。否则，属于不诚信和故意扰乱政府采购活动行为，我们将无条件接受处罚。</w:t>
      </w:r>
    </w:p>
    <w:p w14:paraId="7B0F70A1">
      <w:pPr>
        <w:adjustRightInd w:val="0"/>
        <w:snapToGrid w:val="0"/>
        <w:spacing w:line="360" w:lineRule="auto"/>
        <w:ind w:firstLine="420"/>
        <w:rPr>
          <w:rFonts w:ascii="宋体" w:hAnsi="宋体"/>
        </w:rPr>
      </w:pPr>
      <w:r>
        <w:rPr>
          <w:rFonts w:ascii="宋体" w:hAnsi="宋体"/>
        </w:rPr>
        <w:t>5</w:t>
      </w:r>
      <w:r>
        <w:rPr>
          <w:rFonts w:hint="eastAsia" w:ascii="宋体" w:hAnsi="宋体"/>
        </w:rPr>
        <w:t>.</w:t>
      </w:r>
      <w:r>
        <w:rPr>
          <w:rFonts w:ascii="宋体" w:hAnsi="宋体"/>
        </w:rPr>
        <w:t>一旦我方成交，我方将根据磋商文件的规定，严格履行合同，保证于</w:t>
      </w:r>
      <w:r>
        <w:rPr>
          <w:rFonts w:hint="eastAsia" w:ascii="宋体" w:hAnsi="宋体"/>
        </w:rPr>
        <w:t>采购文件规定</w:t>
      </w:r>
      <w:r>
        <w:rPr>
          <w:rFonts w:ascii="宋体" w:hAnsi="宋体"/>
        </w:rPr>
        <w:t>的时间内完成本项目规定的</w:t>
      </w:r>
      <w:r>
        <w:rPr>
          <w:rFonts w:hint="eastAsia" w:ascii="宋体" w:hAnsi="宋体"/>
        </w:rPr>
        <w:t>实施</w:t>
      </w:r>
      <w:r>
        <w:rPr>
          <w:rFonts w:ascii="宋体" w:hAnsi="宋体"/>
        </w:rPr>
        <w:t>内容。</w:t>
      </w:r>
      <w:r>
        <w:rPr>
          <w:rFonts w:hint="eastAsia" w:ascii="宋体" w:hAnsi="宋体"/>
        </w:rPr>
        <w:t>工程质量</w:t>
      </w:r>
      <w:r>
        <w:rPr>
          <w:rFonts w:hint="eastAsia" w:ascii="宋体" w:hAnsi="宋体"/>
          <w:u w:val="single"/>
        </w:rPr>
        <w:t xml:space="preserve">   符合国家质量验收标准        </w:t>
      </w:r>
      <w:r>
        <w:rPr>
          <w:rFonts w:hint="eastAsia" w:ascii="宋体" w:hAnsi="宋体"/>
        </w:rPr>
        <w:t>。</w:t>
      </w:r>
      <w:bookmarkStart w:id="336" w:name="_Hlk74644384"/>
      <w:bookmarkStart w:id="337" w:name="_Hlk74154929"/>
    </w:p>
    <w:p w14:paraId="321AC856">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.我方参加本次采购活动前三年内，在经营活动中没有重大违法记录。</w:t>
      </w:r>
    </w:p>
    <w:p w14:paraId="41C33786">
      <w:pPr>
        <w:adjustRightInd w:val="0"/>
        <w:snapToGrid w:val="0"/>
        <w:spacing w:line="360" w:lineRule="auto"/>
        <w:ind w:firstLine="420" w:firstLineChars="200"/>
        <w:rPr>
          <w:rFonts w:ascii="宋体" w:hAnsi="宋体"/>
        </w:rPr>
      </w:pPr>
      <w:r>
        <w:rPr>
          <w:rFonts w:ascii="宋体" w:hAnsi="宋体"/>
        </w:rPr>
        <w:t>7</w:t>
      </w:r>
      <w:r>
        <w:rPr>
          <w:rFonts w:hint="eastAsia" w:ascii="宋体" w:hAnsi="宋体"/>
        </w:rPr>
        <w:t>.我方参加本次采购活动前，没有被信用中国网站、中国政府采购网站列入失信被执行人名单、重大税收违法案件当事人名单、政府采购严重违法失信行为记录名单。</w:t>
      </w:r>
    </w:p>
    <w:p w14:paraId="1D4FB23E">
      <w:pPr>
        <w:adjustRightInd w:val="0"/>
        <w:snapToGrid w:val="0"/>
        <w:spacing w:line="360" w:lineRule="auto"/>
        <w:ind w:firstLine="420" w:firstLineChars="200"/>
        <w:rPr>
          <w:rFonts w:ascii="宋体" w:hAnsi="宋体"/>
        </w:rPr>
      </w:pPr>
      <w:r>
        <w:rPr>
          <w:rFonts w:ascii="宋体" w:hAnsi="宋体"/>
        </w:rPr>
        <w:t>8</w:t>
      </w:r>
      <w:r>
        <w:rPr>
          <w:rFonts w:hint="eastAsia" w:ascii="宋体" w:hAnsi="宋体"/>
        </w:rPr>
        <w:t>.我方在全国范围内未受过财政部门禁止参加政府采购活动的处罚，或禁止参加政府采购活动的处罚期限已满。</w:t>
      </w:r>
    </w:p>
    <w:p w14:paraId="28A2224A">
      <w:pPr>
        <w:adjustRightInd w:val="0"/>
        <w:snapToGrid w:val="0"/>
        <w:spacing w:line="360" w:lineRule="auto"/>
        <w:ind w:firstLine="420" w:firstLineChars="200"/>
        <w:rPr>
          <w:rFonts w:ascii="宋体" w:hAnsi="宋体"/>
        </w:rPr>
      </w:pPr>
      <w:r>
        <w:rPr>
          <w:rFonts w:ascii="宋体" w:hAnsi="宋体"/>
        </w:rPr>
        <w:t>9</w:t>
      </w:r>
      <w:r>
        <w:rPr>
          <w:rFonts w:hint="eastAsia" w:ascii="宋体" w:hAnsi="宋体"/>
        </w:rPr>
        <w:t>.我方没有为本采购项目提供整体设计、规范编制，以及项目管理、监理、检测等服务。</w:t>
      </w:r>
    </w:p>
    <w:p w14:paraId="3360C5B6">
      <w:pPr>
        <w:adjustRightInd w:val="0"/>
        <w:snapToGrid w:val="0"/>
        <w:spacing w:line="360" w:lineRule="auto"/>
        <w:ind w:firstLine="420" w:firstLineChars="200"/>
        <w:rPr>
          <w:rFonts w:ascii="宋体" w:hAnsi="宋体"/>
        </w:rPr>
      </w:pPr>
      <w:r>
        <w:rPr>
          <w:rFonts w:ascii="宋体" w:hAnsi="宋体"/>
        </w:rPr>
        <w:t>10</w:t>
      </w:r>
      <w:r>
        <w:rPr>
          <w:rFonts w:hint="eastAsia" w:ascii="宋体" w:hAnsi="宋体"/>
        </w:rPr>
        <w:t>.我方与参与本次采购活动的其他供应商的授权代理人(或法定代表人、项目经理、项目总监、项目负责人等)，在采购文件发布日上月至提交响应文件截止日当月未在同一单位缴纳社会保险。</w:t>
      </w:r>
    </w:p>
    <w:p w14:paraId="157946C9">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1</w:t>
      </w:r>
      <w:r>
        <w:rPr>
          <w:rFonts w:hint="eastAsia" w:ascii="宋体" w:hAnsi="宋体"/>
        </w:rPr>
        <w:t>.我方与参与本次采购活动的其他供应商的法定代表人或委托代理人无夫妻、直系血亲关系。</w:t>
      </w:r>
    </w:p>
    <w:p w14:paraId="6D5479FB">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.我方与参与本次采购活动的其他供应商的负责人不是同一人，也不存在直接控股、管理关系。</w:t>
      </w:r>
    </w:p>
    <w:p w14:paraId="2F71674F">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3</w:t>
      </w:r>
      <w:r>
        <w:rPr>
          <w:rFonts w:hint="eastAsia" w:ascii="宋体" w:hAnsi="宋体"/>
        </w:rPr>
        <w:t>.我方已详细审阅全部采购文件及其有效补充文件，放弃对采购文件任何误解的权利，提交响应文件后，不对采购文件本身提出质疑。否则，属于不诚信和故意扰乱政府采购活动行为，我们将无条件接受处罚。</w:t>
      </w:r>
    </w:p>
    <w:p w14:paraId="000D7A65">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4</w:t>
      </w:r>
      <w:r>
        <w:rPr>
          <w:rFonts w:hint="eastAsia" w:ascii="宋体" w:hAnsi="宋体"/>
        </w:rPr>
        <w:t>.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14:paraId="129F5283">
      <w:pPr>
        <w:adjustRightInd w:val="0"/>
        <w:snapToGrid w:val="0"/>
        <w:spacing w:line="360" w:lineRule="auto"/>
        <w:ind w:firstLine="420" w:firstLineChars="200"/>
        <w:rPr>
          <w:rFonts w:ascii="宋体" w:hAnsi="宋体"/>
          <w:color w:val="000000"/>
          <w:szCs w:val="21"/>
          <w:lang w:val="zh-CN"/>
        </w:rPr>
      </w:pPr>
      <w:r>
        <w:rPr>
          <w:rFonts w:hint="eastAsia" w:ascii="宋体" w:hAnsi="宋体"/>
        </w:rPr>
        <w:t>1</w:t>
      </w:r>
      <w:r>
        <w:rPr>
          <w:rFonts w:ascii="宋体" w:hAnsi="宋体"/>
        </w:rPr>
        <w:t>5</w:t>
      </w:r>
      <w:bookmarkEnd w:id="336"/>
      <w:bookmarkEnd w:id="337"/>
      <w:r>
        <w:rPr>
          <w:rFonts w:hint="eastAsia" w:ascii="宋体" w:hAnsi="宋体"/>
        </w:rPr>
        <w:t>.</w:t>
      </w:r>
      <w:r>
        <w:rPr>
          <w:rFonts w:hint="eastAsia" w:ascii="宋体" w:hAnsi="宋体"/>
          <w:color w:val="000000"/>
          <w:szCs w:val="21"/>
          <w:lang w:val="zh-CN"/>
        </w:rPr>
        <w:t>我方正式通讯方式为：</w:t>
      </w:r>
    </w:p>
    <w:p w14:paraId="1CC69D67">
      <w:pPr>
        <w:autoSpaceDE w:val="0"/>
        <w:autoSpaceDN w:val="0"/>
        <w:adjustRightInd w:val="0"/>
        <w:snapToGrid w:val="0"/>
        <w:spacing w:line="360" w:lineRule="auto"/>
        <w:ind w:firstLine="420"/>
        <w:rPr>
          <w:rFonts w:ascii="宋体" w:hAnsi="宋体"/>
          <w:color w:val="000000"/>
          <w:szCs w:val="21"/>
          <w:u w:val="single"/>
          <w:lang w:val="zh-CN"/>
        </w:rPr>
      </w:pPr>
      <w:r>
        <w:rPr>
          <w:rFonts w:hint="eastAsia" w:ascii="宋体" w:hAnsi="宋体"/>
          <w:color w:val="000000"/>
          <w:szCs w:val="21"/>
          <w:lang w:val="zh-CN"/>
        </w:rPr>
        <w:t>地</w:t>
      </w:r>
      <w:r>
        <w:rPr>
          <w:rFonts w:ascii="宋体" w:hAnsi="宋体"/>
          <w:color w:val="000000"/>
          <w:szCs w:val="21"/>
          <w:lang w:val="zh-CN"/>
        </w:rPr>
        <w:t xml:space="preserve">   </w:t>
      </w:r>
      <w:r>
        <w:rPr>
          <w:rFonts w:hint="eastAsia" w:ascii="宋体" w:hAnsi="宋体"/>
          <w:color w:val="000000"/>
          <w:szCs w:val="21"/>
          <w:lang w:val="zh-CN"/>
        </w:rPr>
        <w:t>址：</w:t>
      </w:r>
      <w:r>
        <w:rPr>
          <w:rFonts w:ascii="宋体" w:hAnsi="宋体"/>
          <w:color w:val="000000"/>
          <w:szCs w:val="21"/>
          <w:u w:val="single"/>
          <w:lang w:val="zh-CN"/>
        </w:rPr>
        <w:t xml:space="preserve">                       </w:t>
      </w:r>
    </w:p>
    <w:p w14:paraId="5E16DCE9">
      <w:pPr>
        <w:autoSpaceDE w:val="0"/>
        <w:autoSpaceDN w:val="0"/>
        <w:adjustRightInd w:val="0"/>
        <w:snapToGrid w:val="0"/>
        <w:spacing w:line="360" w:lineRule="auto"/>
        <w:ind w:firstLine="420"/>
        <w:rPr>
          <w:rFonts w:ascii="宋体" w:hAnsi="宋体"/>
          <w:color w:val="000000"/>
          <w:szCs w:val="21"/>
          <w:u w:val="single"/>
          <w:lang w:val="zh-CN"/>
        </w:rPr>
      </w:pPr>
      <w:r>
        <w:rPr>
          <w:rFonts w:hint="eastAsia" w:ascii="宋体" w:hAnsi="宋体"/>
          <w:color w:val="000000"/>
          <w:szCs w:val="21"/>
          <w:lang w:val="zh-CN"/>
        </w:rPr>
        <w:t>电</w:t>
      </w:r>
      <w:r>
        <w:rPr>
          <w:rFonts w:ascii="宋体" w:hAnsi="宋体"/>
          <w:color w:val="000000"/>
          <w:szCs w:val="21"/>
          <w:lang w:val="zh-CN"/>
        </w:rPr>
        <w:t xml:space="preserve">   </w:t>
      </w:r>
      <w:r>
        <w:rPr>
          <w:rFonts w:hint="eastAsia" w:ascii="宋体" w:hAnsi="宋体"/>
          <w:color w:val="000000"/>
          <w:szCs w:val="21"/>
          <w:lang w:val="zh-CN"/>
        </w:rPr>
        <w:t>话：</w:t>
      </w:r>
      <w:r>
        <w:rPr>
          <w:rFonts w:ascii="宋体" w:hAnsi="宋体"/>
          <w:color w:val="000000"/>
          <w:szCs w:val="21"/>
          <w:u w:val="single"/>
          <w:lang w:val="zh-CN"/>
        </w:rPr>
        <w:t xml:space="preserve">                       </w:t>
      </w:r>
    </w:p>
    <w:p w14:paraId="0D523E43">
      <w:pPr>
        <w:autoSpaceDE w:val="0"/>
        <w:autoSpaceDN w:val="0"/>
        <w:adjustRightInd w:val="0"/>
        <w:snapToGrid w:val="0"/>
        <w:spacing w:line="360" w:lineRule="auto"/>
        <w:ind w:firstLine="420"/>
        <w:rPr>
          <w:rFonts w:ascii="宋体" w:hAnsi="宋体"/>
          <w:color w:val="000000"/>
          <w:szCs w:val="21"/>
          <w:u w:val="single"/>
          <w:lang w:val="zh-CN"/>
        </w:rPr>
      </w:pPr>
      <w:r>
        <w:rPr>
          <w:rFonts w:hint="eastAsia" w:ascii="宋体" w:hAnsi="宋体"/>
          <w:color w:val="000000"/>
          <w:szCs w:val="21"/>
          <w:lang w:val="zh-CN"/>
        </w:rPr>
        <w:t>传</w:t>
      </w:r>
      <w:r>
        <w:rPr>
          <w:rFonts w:ascii="宋体" w:hAnsi="宋体"/>
          <w:color w:val="000000"/>
          <w:szCs w:val="21"/>
          <w:lang w:val="zh-CN"/>
        </w:rPr>
        <w:t xml:space="preserve">   </w:t>
      </w:r>
      <w:r>
        <w:rPr>
          <w:rFonts w:hint="eastAsia" w:ascii="宋体" w:hAnsi="宋体"/>
          <w:color w:val="000000"/>
          <w:szCs w:val="21"/>
          <w:lang w:val="zh-CN"/>
        </w:rPr>
        <w:t>真：</w:t>
      </w:r>
      <w:r>
        <w:rPr>
          <w:rFonts w:ascii="宋体" w:hAnsi="宋体"/>
          <w:color w:val="000000"/>
          <w:szCs w:val="21"/>
          <w:u w:val="single"/>
          <w:lang w:val="zh-CN"/>
        </w:rPr>
        <w:t xml:space="preserve">                       </w:t>
      </w:r>
    </w:p>
    <w:p w14:paraId="3404B7F9">
      <w:pPr>
        <w:autoSpaceDE w:val="0"/>
        <w:autoSpaceDN w:val="0"/>
        <w:adjustRightInd w:val="0"/>
        <w:snapToGrid w:val="0"/>
        <w:spacing w:line="360" w:lineRule="auto"/>
        <w:ind w:firstLine="420"/>
        <w:rPr>
          <w:rFonts w:ascii="宋体" w:hAnsi="宋体"/>
          <w:color w:val="000000"/>
          <w:szCs w:val="21"/>
          <w:lang w:val="zh-CN"/>
        </w:rPr>
      </w:pPr>
      <w:r>
        <w:rPr>
          <w:rFonts w:ascii="宋体" w:hAnsi="宋体"/>
          <w:color w:val="000000"/>
          <w:szCs w:val="21"/>
          <w:lang w:val="zh-CN"/>
        </w:rPr>
        <w:t>16</w:t>
      </w:r>
      <w:r>
        <w:rPr>
          <w:rFonts w:hint="eastAsia" w:ascii="宋体" w:hAnsi="宋体"/>
          <w:color w:val="000000"/>
          <w:szCs w:val="21"/>
          <w:lang w:val="zh-CN"/>
        </w:rPr>
        <w:t>.我方正式开户银行和账号为：</w:t>
      </w:r>
    </w:p>
    <w:p w14:paraId="1EA22F3C">
      <w:pPr>
        <w:autoSpaceDE w:val="0"/>
        <w:autoSpaceDN w:val="0"/>
        <w:adjustRightInd w:val="0"/>
        <w:snapToGrid w:val="0"/>
        <w:spacing w:line="360" w:lineRule="auto"/>
        <w:ind w:firstLine="420"/>
        <w:rPr>
          <w:rFonts w:ascii="宋体" w:hAnsi="宋体"/>
          <w:color w:val="000000"/>
          <w:szCs w:val="21"/>
          <w:lang w:val="zh-CN"/>
        </w:rPr>
      </w:pPr>
      <w:r>
        <w:rPr>
          <w:rFonts w:hint="eastAsia" w:ascii="宋体" w:hAnsi="宋体"/>
          <w:color w:val="000000"/>
          <w:szCs w:val="21"/>
          <w:lang w:val="zh-CN"/>
        </w:rPr>
        <w:t>开户银行：</w:t>
      </w:r>
    </w:p>
    <w:p w14:paraId="66C37A9C">
      <w:pPr>
        <w:autoSpaceDE w:val="0"/>
        <w:autoSpaceDN w:val="0"/>
        <w:adjustRightInd w:val="0"/>
        <w:snapToGrid w:val="0"/>
        <w:spacing w:line="360" w:lineRule="auto"/>
        <w:ind w:firstLine="420"/>
        <w:rPr>
          <w:rFonts w:ascii="宋体" w:hAnsi="宋体"/>
          <w:color w:val="000000"/>
          <w:szCs w:val="21"/>
          <w:lang w:val="zh-CN"/>
        </w:rPr>
      </w:pPr>
      <w:r>
        <w:rPr>
          <w:rFonts w:hint="eastAsia" w:ascii="宋体" w:hAnsi="宋体"/>
          <w:color w:val="000000"/>
          <w:szCs w:val="21"/>
          <w:lang w:val="zh-CN"/>
        </w:rPr>
        <w:t>银行账号：</w:t>
      </w:r>
    </w:p>
    <w:p w14:paraId="23DF09CC">
      <w:pPr>
        <w:autoSpaceDE w:val="0"/>
        <w:autoSpaceDN w:val="0"/>
        <w:adjustRightInd w:val="0"/>
        <w:snapToGrid w:val="0"/>
        <w:spacing w:line="360" w:lineRule="auto"/>
        <w:ind w:firstLine="420"/>
        <w:rPr>
          <w:rFonts w:ascii="宋体" w:hAnsi="宋体"/>
          <w:color w:val="000000"/>
          <w:szCs w:val="21"/>
          <w:u w:val="single"/>
          <w:lang w:val="zh-CN"/>
        </w:rPr>
      </w:pPr>
      <w:r>
        <w:rPr>
          <w:rFonts w:hint="eastAsia" w:ascii="宋体" w:hAnsi="宋体"/>
          <w:color w:val="000000"/>
          <w:szCs w:val="21"/>
          <w:lang w:val="zh-CN"/>
        </w:rPr>
        <w:t>供应商授权代表姓名（签字）：</w:t>
      </w:r>
      <w:r>
        <w:rPr>
          <w:rFonts w:ascii="宋体" w:hAnsi="宋体"/>
          <w:color w:val="000000"/>
          <w:szCs w:val="21"/>
          <w:u w:val="single"/>
          <w:lang w:val="zh-CN"/>
        </w:rPr>
        <w:t xml:space="preserve">         </w:t>
      </w:r>
    </w:p>
    <w:p w14:paraId="3A789DC0">
      <w:pPr>
        <w:autoSpaceDE w:val="0"/>
        <w:autoSpaceDN w:val="0"/>
        <w:adjustRightInd w:val="0"/>
        <w:snapToGrid w:val="0"/>
        <w:spacing w:line="360" w:lineRule="auto"/>
        <w:ind w:firstLine="420"/>
        <w:rPr>
          <w:rFonts w:ascii="宋体" w:hAnsi="宋体"/>
          <w:color w:val="000000"/>
          <w:szCs w:val="21"/>
          <w:lang w:val="zh-CN"/>
        </w:rPr>
      </w:pPr>
      <w:r>
        <w:rPr>
          <w:rFonts w:hint="eastAsia" w:ascii="宋体" w:hAnsi="宋体"/>
          <w:color w:val="000000"/>
          <w:szCs w:val="21"/>
          <w:lang w:val="zh-CN"/>
        </w:rPr>
        <w:t>供应商名称（公章）：</w:t>
      </w:r>
      <w:r>
        <w:rPr>
          <w:rFonts w:ascii="宋体" w:hAnsi="宋体"/>
          <w:color w:val="000000"/>
          <w:szCs w:val="21"/>
          <w:u w:val="single"/>
          <w:lang w:val="zh-CN"/>
        </w:rPr>
        <w:t xml:space="preserve">                 </w:t>
      </w:r>
    </w:p>
    <w:p w14:paraId="713180F8">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sz w:val="24"/>
          <w:szCs w:val="24"/>
          <w:highlight w:val="none"/>
          <w:lang w:val="zh-CN"/>
        </w:rPr>
      </w:pPr>
      <w:r>
        <w:rPr>
          <w:rFonts w:hint="eastAsia" w:ascii="宋体" w:hAnsi="宋体"/>
          <w:color w:val="000000"/>
          <w:szCs w:val="21"/>
          <w:lang w:val="zh-CN"/>
        </w:rPr>
        <w:t>日</w:t>
      </w:r>
      <w:r>
        <w:rPr>
          <w:rFonts w:ascii="宋体" w:hAnsi="宋体"/>
          <w:color w:val="000000"/>
          <w:szCs w:val="21"/>
          <w:lang w:val="zh-CN"/>
        </w:rPr>
        <w:t xml:space="preserve">    </w:t>
      </w:r>
      <w:r>
        <w:rPr>
          <w:rFonts w:hint="eastAsia" w:ascii="宋体" w:hAnsi="宋体"/>
          <w:color w:val="000000"/>
          <w:szCs w:val="21"/>
          <w:lang w:val="zh-CN"/>
        </w:rPr>
        <w:t>期：</w:t>
      </w:r>
      <w:r>
        <w:rPr>
          <w:rFonts w:ascii="宋体" w:hAnsi="宋体"/>
          <w:color w:val="000000"/>
          <w:szCs w:val="21"/>
          <w:u w:val="single"/>
          <w:lang w:val="zh-CN"/>
        </w:rPr>
        <w:t xml:space="preserve">       </w:t>
      </w:r>
      <w:r>
        <w:rPr>
          <w:rFonts w:hint="eastAsia" w:ascii="宋体" w:hAnsi="宋体"/>
          <w:color w:val="000000"/>
          <w:szCs w:val="21"/>
          <w:lang w:val="zh-CN"/>
        </w:rPr>
        <w:t>年</w:t>
      </w:r>
      <w:r>
        <w:rPr>
          <w:rFonts w:ascii="宋体" w:hAnsi="宋体"/>
          <w:color w:val="000000"/>
          <w:szCs w:val="21"/>
          <w:u w:val="single"/>
          <w:lang w:val="zh-CN"/>
        </w:rPr>
        <w:t xml:space="preserve">    </w:t>
      </w:r>
      <w:r>
        <w:rPr>
          <w:rFonts w:hint="eastAsia" w:ascii="宋体" w:hAnsi="宋体"/>
          <w:color w:val="000000"/>
          <w:szCs w:val="21"/>
          <w:lang w:val="zh-CN"/>
        </w:rPr>
        <w:t>月</w:t>
      </w:r>
      <w:r>
        <w:rPr>
          <w:rFonts w:ascii="宋体" w:hAnsi="宋体"/>
          <w:color w:val="000000"/>
          <w:szCs w:val="21"/>
          <w:u w:val="single"/>
          <w:lang w:val="zh-CN"/>
        </w:rPr>
        <w:t xml:space="preserve">    </w:t>
      </w:r>
      <w:r>
        <w:rPr>
          <w:rFonts w:hint="eastAsia" w:ascii="宋体" w:hAnsi="宋体"/>
          <w:color w:val="000000"/>
          <w:szCs w:val="21"/>
          <w:lang w:val="zh-CN"/>
        </w:rPr>
        <w:t>日</w:t>
      </w:r>
    </w:p>
    <w:p w14:paraId="53B60394">
      <w:pPr>
        <w:pStyle w:val="4"/>
        <w:rPr>
          <w:highlight w:val="none"/>
        </w:rPr>
      </w:pPr>
      <w:r>
        <w:rPr>
          <w:highlight w:val="none"/>
        </w:rPr>
        <w:br w:type="page"/>
      </w:r>
      <w:bookmarkStart w:id="338" w:name="_Toc118445289"/>
      <w:r>
        <w:rPr>
          <w:rFonts w:hint="eastAsia"/>
          <w:highlight w:val="none"/>
        </w:rPr>
        <w:t>目录二</w:t>
      </w:r>
      <w:r>
        <w:rPr>
          <w:highlight w:val="none"/>
        </w:rPr>
        <w:t>、法定代表人授权书格式</w:t>
      </w:r>
      <w:bookmarkEnd w:id="338"/>
    </w:p>
    <w:p w14:paraId="394AD49F">
      <w:pPr>
        <w:ind w:firstLine="3360" w:firstLineChars="1400"/>
        <w:rPr>
          <w:sz w:val="24"/>
          <w:szCs w:val="22"/>
          <w:highlight w:val="none"/>
        </w:rPr>
      </w:pPr>
      <w:r>
        <w:rPr>
          <w:rFonts w:hint="eastAsia"/>
          <w:sz w:val="24"/>
          <w:szCs w:val="22"/>
          <w:highlight w:val="none"/>
        </w:rPr>
        <w:t>法定代表人授权委托书</w:t>
      </w:r>
    </w:p>
    <w:p w14:paraId="329A4686">
      <w:pPr>
        <w:keepNext w:val="0"/>
        <w:keepLines w:val="0"/>
        <w:pageBreakBefore w:val="0"/>
        <w:widowControl w:val="0"/>
        <w:kinsoku/>
        <w:wordWrap/>
        <w:overflowPunct/>
        <w:topLinePunct w:val="0"/>
        <w:autoSpaceDE/>
        <w:autoSpaceDN/>
        <w:bidi w:val="0"/>
        <w:adjustRightInd w:val="0"/>
        <w:snapToGrid w:val="0"/>
        <w:textAlignment w:val="auto"/>
        <w:rPr>
          <w:sz w:val="24"/>
          <w:szCs w:val="22"/>
          <w:highlight w:val="none"/>
          <w:lang w:val="zh-CN"/>
        </w:rPr>
      </w:pPr>
      <w:r>
        <w:rPr>
          <w:rFonts w:hint="eastAsia"/>
          <w:sz w:val="24"/>
          <w:szCs w:val="22"/>
          <w:highlight w:val="none"/>
          <w:lang w:val="zh-CN"/>
        </w:rPr>
        <w:t>致：</w:t>
      </w:r>
    </w:p>
    <w:p w14:paraId="3D62B189">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r>
        <w:rPr>
          <w:rFonts w:hint="eastAsia"/>
          <w:sz w:val="24"/>
          <w:szCs w:val="22"/>
          <w:highlight w:val="none"/>
          <w:lang w:val="zh-CN"/>
        </w:rPr>
        <w:t>本授权书声明：注册于</w:t>
      </w:r>
      <w:r>
        <w:rPr>
          <w:sz w:val="24"/>
          <w:szCs w:val="22"/>
          <w:highlight w:val="none"/>
          <w:lang w:val="zh-CN"/>
        </w:rPr>
        <w:t xml:space="preserve"> </w:t>
      </w:r>
      <w:r>
        <w:rPr>
          <w:sz w:val="24"/>
          <w:szCs w:val="22"/>
          <w:highlight w:val="none"/>
          <w:u w:val="single"/>
          <w:lang w:val="zh-CN"/>
        </w:rPr>
        <w:t xml:space="preserve">                            </w:t>
      </w:r>
      <w:r>
        <w:rPr>
          <w:rFonts w:hint="eastAsia"/>
          <w:sz w:val="24"/>
          <w:szCs w:val="22"/>
          <w:highlight w:val="none"/>
          <w:lang w:val="zh-CN"/>
        </w:rPr>
        <w:t>（供应商住址）的</w:t>
      </w:r>
      <w:r>
        <w:rPr>
          <w:rFonts w:hint="eastAsia"/>
          <w:sz w:val="24"/>
          <w:szCs w:val="22"/>
          <w:highlight w:val="none"/>
          <w:u w:val="single"/>
          <w:lang w:val="zh-CN"/>
        </w:rPr>
        <w:t xml:space="preserve">         </w:t>
      </w:r>
      <w:r>
        <w:rPr>
          <w:rFonts w:hint="eastAsia"/>
          <w:sz w:val="24"/>
          <w:szCs w:val="22"/>
          <w:highlight w:val="none"/>
          <w:lang w:val="zh-CN"/>
        </w:rPr>
        <w:t>（供应商名称）法定代表人</w:t>
      </w:r>
      <w:r>
        <w:rPr>
          <w:sz w:val="24"/>
          <w:szCs w:val="22"/>
          <w:highlight w:val="none"/>
          <w:lang w:val="zh-CN"/>
        </w:rPr>
        <w:t xml:space="preserve">  </w:t>
      </w:r>
      <w:r>
        <w:rPr>
          <w:sz w:val="24"/>
          <w:szCs w:val="22"/>
          <w:highlight w:val="none"/>
          <w:u w:val="single"/>
          <w:lang w:val="zh-CN"/>
        </w:rPr>
        <w:t xml:space="preserve">  </w:t>
      </w:r>
      <w:r>
        <w:rPr>
          <w:rFonts w:hint="eastAsia"/>
          <w:sz w:val="24"/>
          <w:szCs w:val="22"/>
          <w:highlight w:val="none"/>
          <w:u w:val="single"/>
          <w:lang w:val="zh-CN"/>
        </w:rPr>
        <w:t xml:space="preserve">                  </w:t>
      </w:r>
      <w:r>
        <w:rPr>
          <w:sz w:val="24"/>
          <w:szCs w:val="22"/>
          <w:highlight w:val="none"/>
          <w:u w:val="single"/>
          <w:lang w:val="zh-CN"/>
        </w:rPr>
        <w:t xml:space="preserve">  </w:t>
      </w:r>
      <w:r>
        <w:rPr>
          <w:sz w:val="24"/>
          <w:szCs w:val="22"/>
          <w:highlight w:val="none"/>
          <w:lang w:val="zh-CN"/>
        </w:rPr>
        <w:t xml:space="preserve"> </w:t>
      </w:r>
      <w:r>
        <w:rPr>
          <w:rFonts w:hint="eastAsia"/>
          <w:sz w:val="24"/>
          <w:szCs w:val="22"/>
          <w:highlight w:val="none"/>
          <w:lang w:val="zh-CN"/>
        </w:rPr>
        <w:t>（法定代表人姓名、职务）代表本公司授权在下面签字的</w:t>
      </w:r>
      <w:r>
        <w:rPr>
          <w:sz w:val="24"/>
          <w:szCs w:val="22"/>
          <w:highlight w:val="none"/>
          <w:lang w:val="zh-CN"/>
        </w:rPr>
        <w:t xml:space="preserve"> </w:t>
      </w:r>
      <w:r>
        <w:rPr>
          <w:sz w:val="24"/>
          <w:szCs w:val="22"/>
          <w:highlight w:val="none"/>
          <w:u w:val="single"/>
          <w:lang w:val="zh-CN"/>
        </w:rPr>
        <w:t xml:space="preserve">  </w:t>
      </w:r>
      <w:r>
        <w:rPr>
          <w:rFonts w:hint="eastAsia"/>
          <w:sz w:val="24"/>
          <w:szCs w:val="22"/>
          <w:highlight w:val="none"/>
          <w:u w:val="single"/>
          <w:lang w:val="zh-CN"/>
        </w:rPr>
        <w:t xml:space="preserve">                  </w:t>
      </w:r>
      <w:r>
        <w:rPr>
          <w:sz w:val="24"/>
          <w:szCs w:val="22"/>
          <w:highlight w:val="none"/>
          <w:u w:val="single"/>
          <w:lang w:val="zh-CN"/>
        </w:rPr>
        <w:t xml:space="preserve">  </w:t>
      </w:r>
      <w:r>
        <w:rPr>
          <w:rFonts w:hint="eastAsia"/>
          <w:sz w:val="24"/>
          <w:szCs w:val="22"/>
          <w:highlight w:val="none"/>
          <w:lang w:val="zh-CN"/>
        </w:rPr>
        <w:t>（供应商代表姓名、职务）为本公司的合法代理人，就贵方组织的</w:t>
      </w:r>
      <w:r>
        <w:rPr>
          <w:sz w:val="24"/>
          <w:szCs w:val="22"/>
          <w:highlight w:val="none"/>
          <w:u w:val="single"/>
          <w:lang w:val="zh-CN"/>
        </w:rPr>
        <w:t xml:space="preserve">  </w:t>
      </w:r>
      <w:r>
        <w:rPr>
          <w:rFonts w:hint="eastAsia"/>
          <w:sz w:val="24"/>
          <w:szCs w:val="22"/>
          <w:highlight w:val="none"/>
          <w:u w:val="single"/>
          <w:lang w:val="zh-CN"/>
        </w:rPr>
        <w:t xml:space="preserve">          </w:t>
      </w:r>
      <w:r>
        <w:rPr>
          <w:b/>
          <w:bCs/>
          <w:sz w:val="24"/>
          <w:szCs w:val="22"/>
          <w:highlight w:val="none"/>
          <w:lang w:val="zh-CN"/>
        </w:rPr>
        <w:t xml:space="preserve"> </w:t>
      </w:r>
      <w:r>
        <w:rPr>
          <w:rFonts w:hint="eastAsia"/>
          <w:sz w:val="24"/>
          <w:szCs w:val="22"/>
          <w:highlight w:val="none"/>
          <w:lang w:val="zh-CN"/>
        </w:rPr>
        <w:t>（项目名称），</w:t>
      </w:r>
      <w:r>
        <w:rPr>
          <w:rFonts w:hint="eastAsia"/>
          <w:sz w:val="24"/>
          <w:szCs w:val="22"/>
          <w:highlight w:val="none"/>
          <w:u w:val="single"/>
          <w:lang w:val="zh-CN"/>
        </w:rPr>
        <w:t xml:space="preserve">         </w:t>
      </w:r>
      <w:r>
        <w:rPr>
          <w:rFonts w:hint="eastAsia"/>
          <w:sz w:val="24"/>
          <w:szCs w:val="22"/>
          <w:highlight w:val="none"/>
          <w:lang w:val="zh-CN"/>
        </w:rPr>
        <w:t>（项目编号）竞争性磋商，以本公司名义处理一切与之有关的事务。</w:t>
      </w:r>
    </w:p>
    <w:p w14:paraId="3A9E258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r>
        <w:rPr>
          <w:rFonts w:hint="eastAsia"/>
          <w:sz w:val="24"/>
          <w:szCs w:val="22"/>
          <w:highlight w:val="none"/>
          <w:lang w:val="zh-CN"/>
        </w:rPr>
        <w:t>本授权书于</w:t>
      </w:r>
      <w:r>
        <w:rPr>
          <w:sz w:val="24"/>
          <w:szCs w:val="22"/>
          <w:highlight w:val="none"/>
          <w:lang w:val="zh-CN"/>
        </w:rPr>
        <w:t xml:space="preserve">    </w:t>
      </w:r>
      <w:r>
        <w:rPr>
          <w:rFonts w:hint="eastAsia"/>
          <w:sz w:val="24"/>
          <w:szCs w:val="22"/>
          <w:highlight w:val="none"/>
          <w:lang w:val="zh-CN"/>
        </w:rPr>
        <w:t>年</w:t>
      </w:r>
      <w:r>
        <w:rPr>
          <w:sz w:val="24"/>
          <w:szCs w:val="22"/>
          <w:highlight w:val="none"/>
          <w:lang w:val="zh-CN"/>
        </w:rPr>
        <w:t xml:space="preserve">  </w:t>
      </w:r>
      <w:r>
        <w:rPr>
          <w:rFonts w:hint="eastAsia"/>
          <w:sz w:val="24"/>
          <w:szCs w:val="22"/>
          <w:highlight w:val="none"/>
          <w:lang w:val="zh-CN"/>
        </w:rPr>
        <w:t>月</w:t>
      </w:r>
      <w:r>
        <w:rPr>
          <w:sz w:val="24"/>
          <w:szCs w:val="22"/>
          <w:highlight w:val="none"/>
          <w:lang w:val="zh-CN"/>
        </w:rPr>
        <w:t xml:space="preserve">  </w:t>
      </w:r>
      <w:r>
        <w:rPr>
          <w:rFonts w:hint="eastAsia"/>
          <w:sz w:val="24"/>
          <w:szCs w:val="22"/>
          <w:highlight w:val="none"/>
          <w:lang w:val="zh-CN"/>
        </w:rPr>
        <w:t>日签字生效，特此声明。</w:t>
      </w:r>
    </w:p>
    <w:p w14:paraId="1A63654D">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p>
    <w:p w14:paraId="2FBB11E6">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法定代表人签字：</w:t>
      </w:r>
    </w:p>
    <w:p w14:paraId="1E17920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授权委托人签字：</w:t>
      </w:r>
    </w:p>
    <w:p w14:paraId="2CDDCDAB">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ab/>
      </w:r>
      <w:r>
        <w:rPr>
          <w:rFonts w:hint="eastAsia"/>
          <w:sz w:val="24"/>
          <w:szCs w:val="22"/>
          <w:highlight w:val="none"/>
          <w:lang w:val="zh-CN"/>
        </w:rPr>
        <w:t>日</w:t>
      </w:r>
      <w:r>
        <w:rPr>
          <w:sz w:val="24"/>
          <w:szCs w:val="22"/>
          <w:highlight w:val="none"/>
          <w:lang w:val="zh-CN"/>
        </w:rPr>
        <w:t xml:space="preserve">  </w:t>
      </w:r>
      <w:r>
        <w:rPr>
          <w:rFonts w:hint="eastAsia"/>
          <w:sz w:val="24"/>
          <w:szCs w:val="22"/>
          <w:highlight w:val="none"/>
          <w:lang w:val="zh-CN"/>
        </w:rPr>
        <w:t>期：</w:t>
      </w:r>
      <w:r>
        <w:rPr>
          <w:sz w:val="24"/>
          <w:szCs w:val="22"/>
          <w:highlight w:val="none"/>
          <w:lang w:val="zh-CN"/>
        </w:rPr>
        <w:t xml:space="preserve">        </w:t>
      </w:r>
      <w:r>
        <w:rPr>
          <w:rFonts w:hint="eastAsia"/>
          <w:sz w:val="24"/>
          <w:szCs w:val="22"/>
          <w:highlight w:val="none"/>
          <w:lang w:val="zh-CN"/>
        </w:rPr>
        <w:t>年</w:t>
      </w:r>
      <w:r>
        <w:rPr>
          <w:sz w:val="24"/>
          <w:szCs w:val="22"/>
          <w:highlight w:val="none"/>
          <w:lang w:val="zh-CN"/>
        </w:rPr>
        <w:t xml:space="preserve">    </w:t>
      </w:r>
      <w:r>
        <w:rPr>
          <w:rFonts w:hint="eastAsia"/>
          <w:sz w:val="24"/>
          <w:szCs w:val="22"/>
          <w:highlight w:val="none"/>
          <w:lang w:val="zh-CN"/>
        </w:rPr>
        <w:t>月</w:t>
      </w:r>
      <w:r>
        <w:rPr>
          <w:sz w:val="24"/>
          <w:szCs w:val="22"/>
          <w:highlight w:val="none"/>
          <w:lang w:val="zh-CN"/>
        </w:rPr>
        <w:t xml:space="preserve">    </w:t>
      </w:r>
      <w:r>
        <w:rPr>
          <w:rFonts w:hint="eastAsia"/>
          <w:sz w:val="24"/>
          <w:szCs w:val="22"/>
          <w:highlight w:val="none"/>
          <w:lang w:val="zh-CN"/>
        </w:rPr>
        <w:t>日</w:t>
      </w:r>
    </w:p>
    <w:p w14:paraId="1FC342A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sz w:val="24"/>
          <w:szCs w:val="22"/>
          <w:highlight w:val="none"/>
          <w:lang w:val="zh-CN"/>
        </w:rPr>
      </w:pPr>
    </w:p>
    <w:p w14:paraId="277FFD73">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宋体" w:hAnsi="宋体"/>
          <w:sz w:val="24"/>
          <w:szCs w:val="22"/>
          <w:highlight w:val="none"/>
          <w:lang w:val="zh-CN"/>
        </w:rPr>
      </w:pPr>
      <w:r>
        <w:rPr>
          <w:rFonts w:hint="eastAsia"/>
          <w:sz w:val="24"/>
          <w:szCs w:val="22"/>
          <w:highlight w:val="none"/>
        </w:rPr>
        <w:t>附：法定代表人和委托代理人的身份证的复印件</w:t>
      </w:r>
    </w:p>
    <w:p w14:paraId="6D46BF4D">
      <w:pPr>
        <w:pStyle w:val="4"/>
        <w:rPr>
          <w:highlight w:val="none"/>
          <w:lang w:val="zh-CN"/>
        </w:rPr>
      </w:pPr>
      <w:r>
        <w:rPr>
          <w:highlight w:val="none"/>
          <w:lang w:val="zh-CN"/>
        </w:rPr>
        <w:br w:type="page"/>
      </w:r>
      <w:bookmarkStart w:id="339" w:name="_Toc118445290"/>
      <w:r>
        <w:rPr>
          <w:rFonts w:hint="eastAsia"/>
          <w:highlight w:val="none"/>
        </w:rPr>
        <w:t>目录三、报价表格式</w:t>
      </w:r>
      <w:bookmarkEnd w:id="339"/>
    </w:p>
    <w:p w14:paraId="39815071">
      <w:pPr>
        <w:keepNext/>
        <w:keepLines/>
        <w:widowControl w:val="0"/>
        <w:spacing w:before="120" w:after="120"/>
        <w:jc w:val="left"/>
        <w:outlineLvl w:val="0"/>
        <w:rPr>
          <w:rFonts w:ascii="宋体" w:hAnsi="宋体" w:eastAsia="宋体" w:cs="Times New Roman"/>
          <w:b w:val="0"/>
          <w:bCs/>
          <w:kern w:val="0"/>
          <w:sz w:val="20"/>
          <w:szCs w:val="24"/>
          <w:lang w:val="zh-CN" w:eastAsia="zh-CN" w:bidi="ar-SA"/>
        </w:rPr>
      </w:pPr>
      <w:bookmarkStart w:id="340" w:name="_Toc23184"/>
      <w:r>
        <w:rPr>
          <w:rFonts w:hint="eastAsia" w:ascii="宋体" w:hAnsi="宋体" w:eastAsia="宋体" w:cs="Times New Roman"/>
          <w:b/>
          <w:bCs/>
          <w:kern w:val="0"/>
          <w:sz w:val="20"/>
          <w:szCs w:val="24"/>
          <w:lang w:val="en-US" w:eastAsia="zh-CN" w:bidi="ar-SA"/>
        </w:rPr>
        <w:t>目录三、报价表格式</w:t>
      </w:r>
      <w:bookmarkEnd w:id="340"/>
    </w:p>
    <w:p w14:paraId="5FDD6744">
      <w:pPr>
        <w:adjustRightInd w:val="0"/>
        <w:snapToGrid w:val="0"/>
        <w:spacing w:line="360" w:lineRule="auto"/>
        <w:rPr>
          <w:rFonts w:ascii="宋体" w:hAnsi="宋体"/>
          <w:lang w:val="zh-CN"/>
        </w:rPr>
      </w:pPr>
    </w:p>
    <w:p w14:paraId="2AA5F218">
      <w:pPr>
        <w:adjustRightInd w:val="0"/>
        <w:snapToGrid w:val="0"/>
        <w:spacing w:line="360" w:lineRule="auto"/>
        <w:jc w:val="center"/>
        <w:rPr>
          <w:rFonts w:ascii="宋体" w:hAnsi="宋体" w:cs="宋体"/>
          <w:sz w:val="36"/>
          <w:szCs w:val="36"/>
        </w:rPr>
      </w:pPr>
      <w:r>
        <w:rPr>
          <w:rFonts w:hint="eastAsia" w:ascii="宋体" w:hAnsi="宋体" w:cs="宋体"/>
          <w:sz w:val="36"/>
          <w:szCs w:val="36"/>
        </w:rPr>
        <w:t>报价汇总表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555"/>
        <w:gridCol w:w="1371"/>
        <w:gridCol w:w="1738"/>
        <w:gridCol w:w="1704"/>
      </w:tblGrid>
      <w:tr w14:paraId="59D2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4" w:type="dxa"/>
            <w:gridSpan w:val="3"/>
            <w:vAlign w:val="center"/>
          </w:tcPr>
          <w:p w14:paraId="6D9A461F">
            <w:pPr>
              <w:adjustRightInd w:val="0"/>
              <w:snapToGrid w:val="0"/>
              <w:spacing w:line="360" w:lineRule="auto"/>
              <w:rPr>
                <w:rFonts w:ascii="宋体" w:hAnsi="宋体"/>
                <w:lang w:val="zh-CN"/>
              </w:rPr>
            </w:pPr>
            <w:r>
              <w:rPr>
                <w:rFonts w:hint="eastAsia" w:ascii="宋体" w:hAnsi="宋体"/>
                <w:lang w:val="zh-CN"/>
              </w:rPr>
              <w:t>项目名称</w:t>
            </w:r>
          </w:p>
        </w:tc>
        <w:tc>
          <w:tcPr>
            <w:tcW w:w="1738" w:type="dxa"/>
            <w:vAlign w:val="center"/>
          </w:tcPr>
          <w:p w14:paraId="535CF1EC">
            <w:pPr>
              <w:adjustRightInd w:val="0"/>
              <w:snapToGrid w:val="0"/>
              <w:spacing w:line="360" w:lineRule="auto"/>
              <w:rPr>
                <w:rFonts w:ascii="宋体" w:hAnsi="宋体"/>
                <w:lang w:val="zh-CN"/>
              </w:rPr>
            </w:pPr>
            <w:r>
              <w:rPr>
                <w:rFonts w:hint="eastAsia" w:ascii="宋体" w:hAnsi="宋体"/>
                <w:lang w:val="zh-CN"/>
              </w:rPr>
              <w:t>项目编号：</w:t>
            </w:r>
          </w:p>
        </w:tc>
        <w:tc>
          <w:tcPr>
            <w:tcW w:w="1704" w:type="dxa"/>
            <w:vAlign w:val="center"/>
          </w:tcPr>
          <w:p w14:paraId="3CFE42E8">
            <w:pPr>
              <w:adjustRightInd w:val="0"/>
              <w:snapToGrid w:val="0"/>
              <w:spacing w:line="360" w:lineRule="auto"/>
              <w:rPr>
                <w:rFonts w:ascii="宋体" w:hAnsi="宋体"/>
                <w:lang w:val="zh-CN"/>
              </w:rPr>
            </w:pPr>
          </w:p>
        </w:tc>
      </w:tr>
      <w:tr w14:paraId="2C85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14:paraId="3CAE7C40">
            <w:pPr>
              <w:adjustRightInd w:val="0"/>
              <w:snapToGrid w:val="0"/>
              <w:spacing w:line="360" w:lineRule="auto"/>
              <w:jc w:val="center"/>
              <w:rPr>
                <w:rFonts w:ascii="宋体" w:hAnsi="宋体"/>
                <w:lang w:val="zh-CN"/>
              </w:rPr>
            </w:pPr>
            <w:r>
              <w:rPr>
                <w:rFonts w:hint="eastAsia" w:ascii="宋体" w:hAnsi="宋体"/>
                <w:lang w:val="zh-CN"/>
              </w:rPr>
              <w:t>序号</w:t>
            </w:r>
          </w:p>
        </w:tc>
        <w:tc>
          <w:tcPr>
            <w:tcW w:w="2555" w:type="dxa"/>
            <w:vAlign w:val="center"/>
          </w:tcPr>
          <w:p w14:paraId="6950F857">
            <w:pPr>
              <w:adjustRightInd w:val="0"/>
              <w:snapToGrid w:val="0"/>
              <w:spacing w:line="360" w:lineRule="auto"/>
              <w:jc w:val="center"/>
              <w:rPr>
                <w:rFonts w:ascii="宋体" w:hAnsi="宋体"/>
                <w:lang w:val="zh-CN"/>
              </w:rPr>
            </w:pPr>
            <w:r>
              <w:rPr>
                <w:rFonts w:hint="eastAsia" w:ascii="宋体" w:hAnsi="宋体"/>
                <w:lang w:val="zh-CN"/>
              </w:rPr>
              <w:t>名      称</w:t>
            </w:r>
          </w:p>
        </w:tc>
        <w:tc>
          <w:tcPr>
            <w:tcW w:w="3109" w:type="dxa"/>
            <w:gridSpan w:val="2"/>
            <w:vAlign w:val="center"/>
          </w:tcPr>
          <w:p w14:paraId="025BD9AD">
            <w:pPr>
              <w:adjustRightInd w:val="0"/>
              <w:snapToGrid w:val="0"/>
              <w:spacing w:line="360" w:lineRule="auto"/>
              <w:jc w:val="center"/>
              <w:rPr>
                <w:rFonts w:ascii="宋体" w:hAnsi="宋体"/>
                <w:lang w:val="zh-CN"/>
              </w:rPr>
            </w:pPr>
            <w:r>
              <w:rPr>
                <w:rFonts w:hint="eastAsia" w:ascii="宋体" w:hAnsi="宋体"/>
                <w:lang w:val="zh-CN"/>
              </w:rPr>
              <w:t>报价（元）</w:t>
            </w:r>
          </w:p>
        </w:tc>
        <w:tc>
          <w:tcPr>
            <w:tcW w:w="1704" w:type="dxa"/>
            <w:vAlign w:val="center"/>
          </w:tcPr>
          <w:p w14:paraId="507B0B02">
            <w:pPr>
              <w:adjustRightInd w:val="0"/>
              <w:snapToGrid w:val="0"/>
              <w:spacing w:line="360" w:lineRule="auto"/>
              <w:jc w:val="center"/>
              <w:rPr>
                <w:rFonts w:ascii="宋体" w:hAnsi="宋体"/>
                <w:lang w:val="zh-CN"/>
              </w:rPr>
            </w:pPr>
            <w:r>
              <w:rPr>
                <w:rFonts w:hint="eastAsia" w:ascii="宋体" w:hAnsi="宋体"/>
                <w:lang w:val="zh-CN"/>
              </w:rPr>
              <w:t>备注</w:t>
            </w:r>
          </w:p>
        </w:tc>
      </w:tr>
      <w:tr w14:paraId="27C9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48" w:type="dxa"/>
            <w:vAlign w:val="center"/>
          </w:tcPr>
          <w:p w14:paraId="6CA99659">
            <w:pPr>
              <w:adjustRightInd w:val="0"/>
              <w:snapToGrid w:val="0"/>
              <w:spacing w:line="360" w:lineRule="auto"/>
              <w:rPr>
                <w:rFonts w:ascii="宋体" w:hAnsi="宋体"/>
                <w:lang w:val="zh-CN"/>
              </w:rPr>
            </w:pPr>
          </w:p>
        </w:tc>
        <w:tc>
          <w:tcPr>
            <w:tcW w:w="2555" w:type="dxa"/>
            <w:vAlign w:val="center"/>
          </w:tcPr>
          <w:p w14:paraId="3454873B">
            <w:pPr>
              <w:adjustRightInd w:val="0"/>
              <w:snapToGrid w:val="0"/>
              <w:spacing w:line="360" w:lineRule="auto"/>
              <w:rPr>
                <w:rFonts w:ascii="宋体" w:hAnsi="宋体"/>
                <w:lang w:val="zh-CN"/>
              </w:rPr>
            </w:pPr>
          </w:p>
        </w:tc>
        <w:tc>
          <w:tcPr>
            <w:tcW w:w="3109" w:type="dxa"/>
            <w:gridSpan w:val="2"/>
            <w:vAlign w:val="center"/>
          </w:tcPr>
          <w:p w14:paraId="66975167">
            <w:pPr>
              <w:adjustRightInd w:val="0"/>
              <w:snapToGrid w:val="0"/>
              <w:spacing w:line="360" w:lineRule="auto"/>
              <w:rPr>
                <w:rFonts w:ascii="宋体" w:hAnsi="宋体"/>
                <w:lang w:val="zh-CN"/>
              </w:rPr>
            </w:pPr>
          </w:p>
        </w:tc>
        <w:tc>
          <w:tcPr>
            <w:tcW w:w="1704" w:type="dxa"/>
            <w:vAlign w:val="center"/>
          </w:tcPr>
          <w:p w14:paraId="34A47AB1">
            <w:pPr>
              <w:adjustRightInd w:val="0"/>
              <w:snapToGrid w:val="0"/>
              <w:spacing w:line="360" w:lineRule="auto"/>
              <w:rPr>
                <w:rFonts w:ascii="宋体" w:hAnsi="宋体"/>
                <w:lang w:val="zh-CN"/>
              </w:rPr>
            </w:pPr>
          </w:p>
        </w:tc>
      </w:tr>
      <w:tr w14:paraId="70C9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48" w:type="dxa"/>
            <w:vAlign w:val="center"/>
          </w:tcPr>
          <w:p w14:paraId="5D4600A1">
            <w:pPr>
              <w:adjustRightInd w:val="0"/>
              <w:snapToGrid w:val="0"/>
              <w:spacing w:line="360" w:lineRule="auto"/>
              <w:rPr>
                <w:rFonts w:ascii="宋体" w:hAnsi="宋体"/>
                <w:lang w:val="zh-CN"/>
              </w:rPr>
            </w:pPr>
          </w:p>
        </w:tc>
        <w:tc>
          <w:tcPr>
            <w:tcW w:w="2555" w:type="dxa"/>
            <w:vAlign w:val="center"/>
          </w:tcPr>
          <w:p w14:paraId="578B62EB">
            <w:pPr>
              <w:adjustRightInd w:val="0"/>
              <w:snapToGrid w:val="0"/>
              <w:spacing w:line="360" w:lineRule="auto"/>
              <w:rPr>
                <w:rFonts w:ascii="宋体" w:hAnsi="宋体"/>
                <w:lang w:val="zh-CN"/>
              </w:rPr>
            </w:pPr>
          </w:p>
        </w:tc>
        <w:tc>
          <w:tcPr>
            <w:tcW w:w="3109" w:type="dxa"/>
            <w:gridSpan w:val="2"/>
            <w:vAlign w:val="center"/>
          </w:tcPr>
          <w:p w14:paraId="6E0D0572">
            <w:pPr>
              <w:adjustRightInd w:val="0"/>
              <w:snapToGrid w:val="0"/>
              <w:spacing w:line="360" w:lineRule="auto"/>
              <w:rPr>
                <w:rFonts w:ascii="宋体" w:hAnsi="宋体"/>
                <w:lang w:val="zh-CN"/>
              </w:rPr>
            </w:pPr>
          </w:p>
        </w:tc>
        <w:tc>
          <w:tcPr>
            <w:tcW w:w="1704" w:type="dxa"/>
            <w:vAlign w:val="center"/>
          </w:tcPr>
          <w:p w14:paraId="26E1DDDF">
            <w:pPr>
              <w:adjustRightInd w:val="0"/>
              <w:snapToGrid w:val="0"/>
              <w:spacing w:line="360" w:lineRule="auto"/>
              <w:rPr>
                <w:rFonts w:ascii="宋体" w:hAnsi="宋体"/>
                <w:lang w:val="zh-CN"/>
              </w:rPr>
            </w:pPr>
          </w:p>
        </w:tc>
      </w:tr>
      <w:tr w14:paraId="3514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03" w:type="dxa"/>
            <w:gridSpan w:val="2"/>
            <w:vAlign w:val="center"/>
          </w:tcPr>
          <w:p w14:paraId="126C7413">
            <w:pPr>
              <w:adjustRightInd w:val="0"/>
              <w:snapToGrid w:val="0"/>
              <w:spacing w:line="360" w:lineRule="auto"/>
              <w:rPr>
                <w:rFonts w:ascii="宋体" w:hAnsi="宋体"/>
                <w:lang w:val="zh-CN"/>
              </w:rPr>
            </w:pPr>
            <w:r>
              <w:rPr>
                <w:rFonts w:hint="eastAsia" w:ascii="宋体" w:hAnsi="宋体"/>
                <w:lang w:val="zh-CN"/>
              </w:rPr>
              <w:t>总价（人民币，大写）</w:t>
            </w:r>
          </w:p>
        </w:tc>
        <w:tc>
          <w:tcPr>
            <w:tcW w:w="4813" w:type="dxa"/>
            <w:gridSpan w:val="3"/>
            <w:vAlign w:val="center"/>
          </w:tcPr>
          <w:p w14:paraId="0C08AC9D">
            <w:pPr>
              <w:adjustRightInd w:val="0"/>
              <w:snapToGrid w:val="0"/>
              <w:spacing w:line="360" w:lineRule="auto"/>
              <w:ind w:firstLine="2625" w:firstLineChars="1250"/>
              <w:rPr>
                <w:rFonts w:ascii="宋体" w:hAnsi="宋体"/>
                <w:lang w:val="zh-CN"/>
              </w:rPr>
            </w:pPr>
          </w:p>
        </w:tc>
      </w:tr>
    </w:tbl>
    <w:p w14:paraId="135AC877">
      <w:pPr>
        <w:adjustRightInd w:val="0"/>
        <w:snapToGrid w:val="0"/>
        <w:spacing w:line="360" w:lineRule="auto"/>
        <w:rPr>
          <w:rFonts w:ascii="宋体" w:hAnsi="宋体"/>
          <w:lang w:val="zh-CN"/>
        </w:rPr>
      </w:pPr>
    </w:p>
    <w:p w14:paraId="75403FEB">
      <w:pPr>
        <w:adjustRightInd w:val="0"/>
        <w:snapToGrid w:val="0"/>
        <w:spacing w:line="360" w:lineRule="auto"/>
        <w:rPr>
          <w:rFonts w:ascii="宋体" w:hAnsi="宋体"/>
          <w:lang w:val="zh-CN"/>
        </w:rPr>
      </w:pPr>
      <w:r>
        <w:rPr>
          <w:rFonts w:hint="eastAsia" w:ascii="宋体" w:hAnsi="宋体"/>
          <w:lang w:val="zh-CN"/>
        </w:rPr>
        <w:t>供应商名称：</w:t>
      </w:r>
      <w:r>
        <w:rPr>
          <w:rFonts w:hint="eastAsia" w:ascii="宋体" w:hAnsi="宋体"/>
          <w:u w:val="single"/>
          <w:lang w:val="zh-CN"/>
        </w:rPr>
        <w:t xml:space="preserve">                                        </w:t>
      </w:r>
      <w:r>
        <w:rPr>
          <w:rFonts w:hint="eastAsia" w:ascii="宋体" w:hAnsi="宋体"/>
          <w:lang w:val="zh-CN"/>
        </w:rPr>
        <w:t>（盖章）</w:t>
      </w:r>
    </w:p>
    <w:p w14:paraId="7AFF3EC8">
      <w:pPr>
        <w:widowControl/>
        <w:shd w:val="clear" w:color="auto" w:fill="FFFFFF"/>
        <w:adjustRightInd w:val="0"/>
        <w:snapToGrid w:val="0"/>
        <w:spacing w:line="360" w:lineRule="auto"/>
        <w:jc w:val="left"/>
        <w:rPr>
          <w:rFonts w:ascii="Arial" w:hAnsi="Arial" w:cs="Arial"/>
          <w:color w:val="000000"/>
          <w:kern w:val="0"/>
          <w:szCs w:val="21"/>
          <w:u w:val="single"/>
        </w:rPr>
      </w:pPr>
      <w:r>
        <w:rPr>
          <w:rFonts w:hint="eastAsia" w:ascii="Arial" w:hAnsi="Arial" w:cs="Arial"/>
          <w:color w:val="000000"/>
          <w:kern w:val="0"/>
          <w:szCs w:val="21"/>
        </w:rPr>
        <w:t>法定代表人或授权代表（签字或盖章）：</w:t>
      </w:r>
      <w:r>
        <w:rPr>
          <w:rFonts w:ascii="Arial" w:hAnsi="Arial" w:cs="Arial"/>
          <w:color w:val="000000"/>
          <w:kern w:val="0"/>
          <w:szCs w:val="21"/>
          <w:u w:val="single"/>
        </w:rPr>
        <w:t>                              </w:t>
      </w:r>
    </w:p>
    <w:p w14:paraId="33E34BB7">
      <w:pPr>
        <w:widowControl/>
        <w:shd w:val="clear" w:color="auto" w:fill="FFFFFF"/>
        <w:adjustRightInd w:val="0"/>
        <w:snapToGrid w:val="0"/>
        <w:spacing w:line="360" w:lineRule="auto"/>
        <w:jc w:val="left"/>
        <w:rPr>
          <w:rFonts w:ascii="Arial" w:hAnsi="Arial" w:cs="Arial"/>
          <w:color w:val="000000"/>
          <w:kern w:val="0"/>
          <w:szCs w:val="21"/>
        </w:rPr>
      </w:pPr>
      <w:r>
        <w:rPr>
          <w:rFonts w:hint="eastAsia" w:ascii="Arial" w:hAnsi="Arial" w:cs="Arial"/>
          <w:color w:val="000000"/>
          <w:kern w:val="0"/>
          <w:szCs w:val="21"/>
        </w:rPr>
        <w:t>说明：</w:t>
      </w:r>
    </w:p>
    <w:p w14:paraId="226DA182">
      <w:pPr>
        <w:adjustRightInd w:val="0"/>
        <w:snapToGrid w:val="0"/>
        <w:spacing w:line="360" w:lineRule="auto"/>
        <w:ind w:firstLine="422" w:firstLineChars="200"/>
        <w:rPr>
          <w:rFonts w:ascii="Arial" w:hAnsi="Arial" w:cs="Arial"/>
          <w:b/>
          <w:bCs/>
          <w:color w:val="000000"/>
          <w:kern w:val="0"/>
          <w:szCs w:val="21"/>
        </w:rPr>
      </w:pPr>
      <w:r>
        <w:rPr>
          <w:rFonts w:hint="eastAsia" w:ascii="Arial" w:hAnsi="Arial" w:cs="Arial"/>
          <w:b/>
          <w:bCs/>
          <w:color w:val="000000"/>
          <w:kern w:val="0"/>
          <w:szCs w:val="21"/>
        </w:rPr>
        <w:t>1.本项目仅接受一个价格，不得填报有选择性报价方案。若有优惠条款须注明，但不得影响报价，影响产品整体功能。</w:t>
      </w:r>
    </w:p>
    <w:p w14:paraId="3C9CEC58">
      <w:pPr>
        <w:adjustRightInd w:val="0"/>
        <w:snapToGrid w:val="0"/>
        <w:spacing w:line="360" w:lineRule="auto"/>
        <w:rPr>
          <w:rFonts w:ascii="宋体" w:hAnsi="宋体"/>
        </w:rPr>
        <w:sectPr>
          <w:pgSz w:w="11900" w:h="16838"/>
          <w:pgMar w:top="1440" w:right="1800" w:bottom="1440" w:left="1800" w:header="0" w:footer="1134" w:gutter="0"/>
          <w:cols w:space="720" w:num="1"/>
          <w:docGrid w:linePitch="360" w:charSpace="0"/>
        </w:sectPr>
      </w:pPr>
    </w:p>
    <w:p w14:paraId="42137097">
      <w:pPr>
        <w:adjustRightInd w:val="0"/>
        <w:snapToGrid w:val="0"/>
        <w:spacing w:line="360" w:lineRule="auto"/>
        <w:rPr>
          <w:rFonts w:ascii="宋体" w:hAnsi="宋体"/>
        </w:rPr>
      </w:pPr>
    </w:p>
    <w:p w14:paraId="3A884989">
      <w:pPr>
        <w:adjustRightInd w:val="0"/>
        <w:snapToGrid w:val="0"/>
        <w:spacing w:line="360" w:lineRule="auto"/>
        <w:rPr>
          <w:rFonts w:ascii="宋体" w:hAnsi="宋体"/>
        </w:rPr>
      </w:pPr>
    </w:p>
    <w:p w14:paraId="3D9C4525">
      <w:pPr>
        <w:adjustRightInd w:val="0"/>
        <w:snapToGrid w:val="0"/>
        <w:spacing w:line="360" w:lineRule="auto"/>
        <w:rPr>
          <w:rFonts w:ascii="宋体" w:hAnsi="宋体"/>
        </w:rPr>
      </w:pPr>
    </w:p>
    <w:p w14:paraId="46AB448C">
      <w:pPr>
        <w:adjustRightInd w:val="0"/>
        <w:snapToGrid w:val="0"/>
        <w:spacing w:line="360" w:lineRule="auto"/>
        <w:rPr>
          <w:rFonts w:ascii="宋体" w:hAnsi="宋体"/>
        </w:rPr>
      </w:pPr>
    </w:p>
    <w:p w14:paraId="75D25969">
      <w:pPr>
        <w:adjustRightInd w:val="0"/>
        <w:snapToGrid w:val="0"/>
        <w:spacing w:line="360" w:lineRule="auto"/>
        <w:rPr>
          <w:rFonts w:ascii="宋体" w:hAnsi="宋体"/>
          <w:sz w:val="17"/>
        </w:rPr>
        <w:sectPr>
          <w:type w:val="continuous"/>
          <w:pgSz w:w="11900" w:h="16838"/>
          <w:pgMar w:top="1416" w:right="5140" w:bottom="404" w:left="5140" w:header="0" w:footer="0" w:gutter="0"/>
          <w:cols w:space="720" w:num="1"/>
          <w:docGrid w:linePitch="360" w:charSpace="0"/>
        </w:sectPr>
      </w:pPr>
    </w:p>
    <w:p w14:paraId="1F7EFF02">
      <w:pPr>
        <w:keepNext/>
        <w:keepLines/>
        <w:widowControl w:val="0"/>
        <w:spacing w:before="120" w:after="120"/>
        <w:jc w:val="left"/>
        <w:outlineLvl w:val="0"/>
        <w:rPr>
          <w:rFonts w:ascii="宋体" w:hAnsi="宋体" w:eastAsia="宋体" w:cs="Times New Roman"/>
          <w:b/>
          <w:bCs/>
          <w:kern w:val="0"/>
          <w:sz w:val="20"/>
          <w:szCs w:val="24"/>
          <w:lang w:val="en-US" w:eastAsia="zh-CN" w:bidi="ar-SA"/>
        </w:rPr>
      </w:pPr>
      <w:bookmarkStart w:id="341" w:name="_Toc892"/>
      <w:bookmarkStart w:id="342" w:name="_Toc17557"/>
      <w:bookmarkStart w:id="343" w:name="_Toc118445291"/>
      <w:r>
        <w:rPr>
          <w:rFonts w:hint="eastAsia" w:ascii="宋体" w:hAnsi="宋体" w:eastAsia="宋体" w:cs="Times New Roman"/>
          <w:b/>
          <w:bCs/>
          <w:kern w:val="0"/>
          <w:sz w:val="20"/>
          <w:szCs w:val="24"/>
          <w:lang w:val="en-US" w:eastAsia="zh-CN" w:bidi="ar-SA"/>
        </w:rPr>
        <w:t>目录四、资格证明文件</w:t>
      </w:r>
      <w:bookmarkEnd w:id="341"/>
      <w:bookmarkEnd w:id="342"/>
      <w:bookmarkEnd w:id="343"/>
    </w:p>
    <w:p w14:paraId="3A69DE3E">
      <w:pPr>
        <w:adjustRightInd w:val="0"/>
        <w:snapToGrid w:val="0"/>
        <w:spacing w:line="360" w:lineRule="auto"/>
        <w:jc w:val="center"/>
        <w:outlineLvl w:val="0"/>
        <w:rPr>
          <w:rFonts w:ascii="宋体" w:hAnsi="宋体" w:cs="宋体"/>
          <w:sz w:val="36"/>
          <w:szCs w:val="36"/>
        </w:rPr>
      </w:pPr>
      <w:bookmarkStart w:id="344" w:name="_Toc489655335"/>
      <w:bookmarkStart w:id="345" w:name="_Toc6763"/>
      <w:r>
        <w:rPr>
          <w:rFonts w:hint="eastAsia" w:ascii="宋体" w:hAnsi="宋体" w:cs="宋体"/>
          <w:sz w:val="36"/>
          <w:szCs w:val="36"/>
        </w:rPr>
        <w:t>资格证明文件</w:t>
      </w:r>
      <w:bookmarkEnd w:id="344"/>
      <w:bookmarkEnd w:id="345"/>
    </w:p>
    <w:p w14:paraId="3304F7E0">
      <w:pPr>
        <w:keepNext/>
        <w:keepLines/>
        <w:widowControl w:val="0"/>
        <w:spacing w:before="120" w:after="120"/>
        <w:jc w:val="left"/>
        <w:outlineLvl w:val="0"/>
        <w:rPr>
          <w:rFonts w:ascii="宋体" w:hAnsi="宋体" w:eastAsia="宋体" w:cs="宋体"/>
          <w:b w:val="0"/>
          <w:kern w:val="0"/>
          <w:sz w:val="20"/>
          <w:szCs w:val="21"/>
          <w:lang w:val="zh-CN" w:eastAsia="zh-CN" w:bidi="ar-SA"/>
        </w:rPr>
      </w:pPr>
      <w:bookmarkStart w:id="346" w:name="_Toc19854"/>
      <w:bookmarkStart w:id="347" w:name="_Toc118445292"/>
      <w:bookmarkStart w:id="348" w:name="_Toc3380"/>
      <w:r>
        <w:rPr>
          <w:rFonts w:hint="eastAsia" w:ascii="宋体" w:hAnsi="宋体" w:eastAsia="宋体" w:cs="Times New Roman"/>
          <w:b/>
          <w:bCs/>
          <w:kern w:val="0"/>
          <w:sz w:val="20"/>
          <w:szCs w:val="24"/>
          <w:lang w:val="en-US" w:eastAsia="zh-CN" w:bidi="ar-SA"/>
        </w:rPr>
        <w:t>目录五、商务条款偏离表格式</w:t>
      </w:r>
      <w:bookmarkEnd w:id="346"/>
      <w:bookmarkEnd w:id="347"/>
      <w:bookmarkEnd w:id="348"/>
    </w:p>
    <w:p w14:paraId="7F5111BB">
      <w:pPr>
        <w:adjustRightInd w:val="0"/>
        <w:snapToGrid w:val="0"/>
        <w:spacing w:line="360" w:lineRule="auto"/>
        <w:jc w:val="center"/>
        <w:rPr>
          <w:rFonts w:ascii="宋体" w:hAnsi="宋体" w:cs="宋体"/>
          <w:sz w:val="36"/>
          <w:szCs w:val="36"/>
        </w:rPr>
      </w:pPr>
      <w:r>
        <w:rPr>
          <w:rFonts w:hint="eastAsia" w:ascii="宋体" w:hAnsi="宋体" w:cs="宋体"/>
          <w:sz w:val="36"/>
          <w:szCs w:val="36"/>
        </w:rPr>
        <w:t>商务条款偏离表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43AD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0AB0F45">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项目名称：</w:t>
            </w:r>
          </w:p>
        </w:tc>
        <w:tc>
          <w:tcPr>
            <w:tcW w:w="2830" w:type="dxa"/>
            <w:gridSpan w:val="2"/>
            <w:tcBorders>
              <w:top w:val="nil"/>
              <w:left w:val="nil"/>
              <w:right w:val="nil"/>
            </w:tcBorders>
            <w:vAlign w:val="center"/>
          </w:tcPr>
          <w:p w14:paraId="4AC31061">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项目编号：</w:t>
            </w:r>
          </w:p>
        </w:tc>
      </w:tr>
      <w:tr w14:paraId="19ED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6777E22">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序号</w:t>
            </w:r>
          </w:p>
        </w:tc>
        <w:tc>
          <w:tcPr>
            <w:tcW w:w="1620" w:type="dxa"/>
            <w:vAlign w:val="center"/>
          </w:tcPr>
          <w:p w14:paraId="1EF5812F">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磋商文件条目号</w:t>
            </w:r>
          </w:p>
        </w:tc>
        <w:tc>
          <w:tcPr>
            <w:tcW w:w="2700" w:type="dxa"/>
            <w:vAlign w:val="center"/>
          </w:tcPr>
          <w:p w14:paraId="13DD7B8A">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磋商要求商务条款</w:t>
            </w:r>
          </w:p>
        </w:tc>
        <w:tc>
          <w:tcPr>
            <w:tcW w:w="2873" w:type="dxa"/>
            <w:gridSpan w:val="2"/>
            <w:vAlign w:val="center"/>
          </w:tcPr>
          <w:p w14:paraId="75354136">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供应商响应</w:t>
            </w:r>
          </w:p>
        </w:tc>
        <w:tc>
          <w:tcPr>
            <w:tcW w:w="1372" w:type="dxa"/>
            <w:vAlign w:val="center"/>
          </w:tcPr>
          <w:p w14:paraId="5C83706F">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偏离</w:t>
            </w:r>
          </w:p>
        </w:tc>
      </w:tr>
      <w:tr w14:paraId="52A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A9AF664">
            <w:pPr>
              <w:widowControl/>
              <w:adjustRightInd w:val="0"/>
              <w:snapToGrid w:val="0"/>
              <w:spacing w:line="360" w:lineRule="auto"/>
              <w:jc w:val="center"/>
              <w:rPr>
                <w:rFonts w:ascii="宋体" w:cs="宋体"/>
                <w:kern w:val="0"/>
                <w:szCs w:val="21"/>
                <w:lang w:val="zh-CN"/>
              </w:rPr>
            </w:pPr>
          </w:p>
        </w:tc>
        <w:tc>
          <w:tcPr>
            <w:tcW w:w="1620" w:type="dxa"/>
            <w:vAlign w:val="center"/>
          </w:tcPr>
          <w:p w14:paraId="3A54B6D2">
            <w:pPr>
              <w:widowControl/>
              <w:adjustRightInd w:val="0"/>
              <w:snapToGrid w:val="0"/>
              <w:spacing w:line="360" w:lineRule="auto"/>
              <w:jc w:val="center"/>
              <w:rPr>
                <w:rFonts w:ascii="宋体" w:cs="宋体"/>
                <w:kern w:val="0"/>
                <w:szCs w:val="21"/>
                <w:lang w:val="zh-CN"/>
              </w:rPr>
            </w:pPr>
          </w:p>
        </w:tc>
        <w:tc>
          <w:tcPr>
            <w:tcW w:w="2700" w:type="dxa"/>
            <w:vAlign w:val="center"/>
          </w:tcPr>
          <w:p w14:paraId="39D0962F">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5AA017F2">
            <w:pPr>
              <w:widowControl/>
              <w:adjustRightInd w:val="0"/>
              <w:snapToGrid w:val="0"/>
              <w:spacing w:line="360" w:lineRule="auto"/>
              <w:jc w:val="center"/>
              <w:rPr>
                <w:rFonts w:ascii="宋体" w:cs="宋体"/>
                <w:kern w:val="0"/>
                <w:szCs w:val="21"/>
                <w:lang w:val="zh-CN"/>
              </w:rPr>
            </w:pPr>
          </w:p>
        </w:tc>
        <w:tc>
          <w:tcPr>
            <w:tcW w:w="1372" w:type="dxa"/>
            <w:vAlign w:val="center"/>
          </w:tcPr>
          <w:p w14:paraId="20F78728">
            <w:pPr>
              <w:widowControl/>
              <w:adjustRightInd w:val="0"/>
              <w:snapToGrid w:val="0"/>
              <w:spacing w:line="360" w:lineRule="auto"/>
              <w:jc w:val="center"/>
              <w:rPr>
                <w:rFonts w:ascii="宋体" w:cs="宋体"/>
                <w:kern w:val="0"/>
                <w:szCs w:val="21"/>
                <w:lang w:val="zh-CN"/>
              </w:rPr>
            </w:pPr>
          </w:p>
        </w:tc>
      </w:tr>
      <w:tr w14:paraId="3D33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CC62B4C">
            <w:pPr>
              <w:widowControl/>
              <w:adjustRightInd w:val="0"/>
              <w:snapToGrid w:val="0"/>
              <w:spacing w:line="360" w:lineRule="auto"/>
              <w:jc w:val="center"/>
              <w:rPr>
                <w:rFonts w:ascii="宋体" w:cs="宋体"/>
                <w:kern w:val="0"/>
                <w:szCs w:val="21"/>
                <w:lang w:val="zh-CN"/>
              </w:rPr>
            </w:pPr>
          </w:p>
        </w:tc>
        <w:tc>
          <w:tcPr>
            <w:tcW w:w="1620" w:type="dxa"/>
            <w:vAlign w:val="center"/>
          </w:tcPr>
          <w:p w14:paraId="043A5EDA">
            <w:pPr>
              <w:widowControl/>
              <w:adjustRightInd w:val="0"/>
              <w:snapToGrid w:val="0"/>
              <w:spacing w:line="360" w:lineRule="auto"/>
              <w:jc w:val="center"/>
              <w:rPr>
                <w:rFonts w:ascii="宋体" w:cs="宋体"/>
                <w:kern w:val="0"/>
                <w:szCs w:val="21"/>
                <w:lang w:val="zh-CN"/>
              </w:rPr>
            </w:pPr>
          </w:p>
        </w:tc>
        <w:tc>
          <w:tcPr>
            <w:tcW w:w="2700" w:type="dxa"/>
            <w:vAlign w:val="center"/>
          </w:tcPr>
          <w:p w14:paraId="522024AE">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67362B35">
            <w:pPr>
              <w:widowControl/>
              <w:adjustRightInd w:val="0"/>
              <w:snapToGrid w:val="0"/>
              <w:spacing w:line="360" w:lineRule="auto"/>
              <w:jc w:val="center"/>
              <w:rPr>
                <w:rFonts w:ascii="宋体" w:cs="宋体"/>
                <w:kern w:val="0"/>
                <w:szCs w:val="21"/>
                <w:lang w:val="zh-CN"/>
              </w:rPr>
            </w:pPr>
          </w:p>
        </w:tc>
        <w:tc>
          <w:tcPr>
            <w:tcW w:w="1372" w:type="dxa"/>
            <w:vAlign w:val="center"/>
          </w:tcPr>
          <w:p w14:paraId="55D63F6D">
            <w:pPr>
              <w:widowControl/>
              <w:adjustRightInd w:val="0"/>
              <w:snapToGrid w:val="0"/>
              <w:spacing w:line="360" w:lineRule="auto"/>
              <w:jc w:val="center"/>
              <w:rPr>
                <w:rFonts w:ascii="宋体" w:cs="宋体"/>
                <w:kern w:val="0"/>
                <w:szCs w:val="21"/>
                <w:lang w:val="zh-CN"/>
              </w:rPr>
            </w:pPr>
          </w:p>
        </w:tc>
      </w:tr>
      <w:tr w14:paraId="1370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57F7456">
            <w:pPr>
              <w:widowControl/>
              <w:adjustRightInd w:val="0"/>
              <w:snapToGrid w:val="0"/>
              <w:spacing w:line="360" w:lineRule="auto"/>
              <w:jc w:val="center"/>
              <w:rPr>
                <w:rFonts w:ascii="宋体" w:cs="宋体"/>
                <w:kern w:val="0"/>
                <w:szCs w:val="21"/>
                <w:lang w:val="zh-CN"/>
              </w:rPr>
            </w:pPr>
          </w:p>
        </w:tc>
        <w:tc>
          <w:tcPr>
            <w:tcW w:w="1620" w:type="dxa"/>
            <w:vAlign w:val="center"/>
          </w:tcPr>
          <w:p w14:paraId="3350CB60">
            <w:pPr>
              <w:widowControl/>
              <w:adjustRightInd w:val="0"/>
              <w:snapToGrid w:val="0"/>
              <w:spacing w:line="360" w:lineRule="auto"/>
              <w:jc w:val="center"/>
              <w:rPr>
                <w:rFonts w:ascii="宋体" w:cs="宋体"/>
                <w:kern w:val="0"/>
                <w:szCs w:val="21"/>
                <w:lang w:val="zh-CN"/>
              </w:rPr>
            </w:pPr>
          </w:p>
        </w:tc>
        <w:tc>
          <w:tcPr>
            <w:tcW w:w="2700" w:type="dxa"/>
            <w:vAlign w:val="center"/>
          </w:tcPr>
          <w:p w14:paraId="34100D03">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632B315E">
            <w:pPr>
              <w:widowControl/>
              <w:adjustRightInd w:val="0"/>
              <w:snapToGrid w:val="0"/>
              <w:spacing w:line="360" w:lineRule="auto"/>
              <w:jc w:val="center"/>
              <w:rPr>
                <w:rFonts w:ascii="宋体" w:cs="宋体"/>
                <w:kern w:val="0"/>
                <w:szCs w:val="21"/>
                <w:lang w:val="zh-CN"/>
              </w:rPr>
            </w:pPr>
          </w:p>
        </w:tc>
        <w:tc>
          <w:tcPr>
            <w:tcW w:w="1372" w:type="dxa"/>
            <w:vAlign w:val="center"/>
          </w:tcPr>
          <w:p w14:paraId="0FC4EFF9">
            <w:pPr>
              <w:widowControl/>
              <w:adjustRightInd w:val="0"/>
              <w:snapToGrid w:val="0"/>
              <w:spacing w:line="360" w:lineRule="auto"/>
              <w:jc w:val="center"/>
              <w:rPr>
                <w:rFonts w:ascii="宋体" w:cs="宋体"/>
                <w:kern w:val="0"/>
                <w:szCs w:val="21"/>
                <w:lang w:val="zh-CN"/>
              </w:rPr>
            </w:pPr>
          </w:p>
        </w:tc>
      </w:tr>
      <w:tr w14:paraId="5D76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9FCD7D1">
            <w:pPr>
              <w:widowControl/>
              <w:adjustRightInd w:val="0"/>
              <w:snapToGrid w:val="0"/>
              <w:spacing w:line="360" w:lineRule="auto"/>
              <w:jc w:val="center"/>
              <w:rPr>
                <w:rFonts w:ascii="宋体" w:cs="宋体"/>
                <w:kern w:val="0"/>
                <w:szCs w:val="21"/>
                <w:lang w:val="zh-CN"/>
              </w:rPr>
            </w:pPr>
          </w:p>
        </w:tc>
        <w:tc>
          <w:tcPr>
            <w:tcW w:w="1620" w:type="dxa"/>
            <w:vAlign w:val="center"/>
          </w:tcPr>
          <w:p w14:paraId="3EEC4381">
            <w:pPr>
              <w:widowControl/>
              <w:adjustRightInd w:val="0"/>
              <w:snapToGrid w:val="0"/>
              <w:spacing w:line="360" w:lineRule="auto"/>
              <w:jc w:val="center"/>
              <w:rPr>
                <w:rFonts w:ascii="宋体" w:cs="宋体"/>
                <w:kern w:val="0"/>
                <w:szCs w:val="21"/>
                <w:lang w:val="zh-CN"/>
              </w:rPr>
            </w:pPr>
          </w:p>
        </w:tc>
        <w:tc>
          <w:tcPr>
            <w:tcW w:w="2700" w:type="dxa"/>
            <w:vAlign w:val="center"/>
          </w:tcPr>
          <w:p w14:paraId="55E80E4B">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5B74655C">
            <w:pPr>
              <w:widowControl/>
              <w:adjustRightInd w:val="0"/>
              <w:snapToGrid w:val="0"/>
              <w:spacing w:line="360" w:lineRule="auto"/>
              <w:jc w:val="center"/>
              <w:rPr>
                <w:rFonts w:ascii="宋体" w:cs="宋体"/>
                <w:kern w:val="0"/>
                <w:szCs w:val="21"/>
                <w:lang w:val="zh-CN"/>
              </w:rPr>
            </w:pPr>
          </w:p>
        </w:tc>
        <w:tc>
          <w:tcPr>
            <w:tcW w:w="1372" w:type="dxa"/>
            <w:vAlign w:val="center"/>
          </w:tcPr>
          <w:p w14:paraId="42646417">
            <w:pPr>
              <w:widowControl/>
              <w:adjustRightInd w:val="0"/>
              <w:snapToGrid w:val="0"/>
              <w:spacing w:line="360" w:lineRule="auto"/>
              <w:jc w:val="center"/>
              <w:rPr>
                <w:rFonts w:ascii="宋体" w:cs="宋体"/>
                <w:kern w:val="0"/>
                <w:szCs w:val="21"/>
                <w:lang w:val="zh-CN"/>
              </w:rPr>
            </w:pPr>
          </w:p>
        </w:tc>
      </w:tr>
      <w:tr w14:paraId="57AF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3E796509">
            <w:pPr>
              <w:widowControl/>
              <w:adjustRightInd w:val="0"/>
              <w:snapToGrid w:val="0"/>
              <w:spacing w:line="360" w:lineRule="auto"/>
              <w:jc w:val="left"/>
              <w:rPr>
                <w:rFonts w:ascii="宋体" w:cs="Arial"/>
                <w:kern w:val="0"/>
                <w:szCs w:val="21"/>
              </w:rPr>
            </w:pPr>
          </w:p>
        </w:tc>
        <w:tc>
          <w:tcPr>
            <w:tcW w:w="1620" w:type="dxa"/>
            <w:vAlign w:val="center"/>
          </w:tcPr>
          <w:p w14:paraId="0EB0D14F">
            <w:pPr>
              <w:widowControl/>
              <w:adjustRightInd w:val="0"/>
              <w:snapToGrid w:val="0"/>
              <w:spacing w:line="360" w:lineRule="auto"/>
              <w:jc w:val="left"/>
              <w:rPr>
                <w:rFonts w:ascii="宋体" w:cs="Arial"/>
                <w:kern w:val="0"/>
                <w:szCs w:val="21"/>
              </w:rPr>
            </w:pPr>
          </w:p>
        </w:tc>
        <w:tc>
          <w:tcPr>
            <w:tcW w:w="2700" w:type="dxa"/>
            <w:vAlign w:val="center"/>
          </w:tcPr>
          <w:p w14:paraId="46CC5AEB">
            <w:pPr>
              <w:widowControl/>
              <w:adjustRightInd w:val="0"/>
              <w:snapToGrid w:val="0"/>
              <w:spacing w:line="360" w:lineRule="auto"/>
              <w:jc w:val="left"/>
              <w:rPr>
                <w:rFonts w:ascii="宋体" w:cs="Arial"/>
                <w:kern w:val="0"/>
                <w:szCs w:val="21"/>
              </w:rPr>
            </w:pPr>
          </w:p>
        </w:tc>
        <w:tc>
          <w:tcPr>
            <w:tcW w:w="2873" w:type="dxa"/>
            <w:gridSpan w:val="2"/>
            <w:vAlign w:val="center"/>
          </w:tcPr>
          <w:p w14:paraId="66AAF8A6">
            <w:pPr>
              <w:widowControl/>
              <w:adjustRightInd w:val="0"/>
              <w:snapToGrid w:val="0"/>
              <w:spacing w:line="360" w:lineRule="auto"/>
              <w:jc w:val="left"/>
              <w:rPr>
                <w:rFonts w:ascii="宋体" w:cs="Arial"/>
                <w:kern w:val="0"/>
                <w:szCs w:val="21"/>
              </w:rPr>
            </w:pPr>
          </w:p>
        </w:tc>
        <w:tc>
          <w:tcPr>
            <w:tcW w:w="1372" w:type="dxa"/>
            <w:vAlign w:val="center"/>
          </w:tcPr>
          <w:p w14:paraId="7C34E07F">
            <w:pPr>
              <w:widowControl/>
              <w:adjustRightInd w:val="0"/>
              <w:snapToGrid w:val="0"/>
              <w:spacing w:line="360" w:lineRule="auto"/>
              <w:jc w:val="left"/>
              <w:rPr>
                <w:rFonts w:ascii="宋体" w:cs="Arial"/>
                <w:kern w:val="0"/>
                <w:szCs w:val="21"/>
              </w:rPr>
            </w:pPr>
          </w:p>
        </w:tc>
      </w:tr>
    </w:tbl>
    <w:p w14:paraId="5695086B">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供应商名称：</w:t>
      </w:r>
      <w:r>
        <w:rPr>
          <w:rFonts w:ascii="宋体" w:hAnsi="宋体"/>
          <w:kern w:val="0"/>
          <w:szCs w:val="21"/>
          <w:u w:val="single"/>
          <w:lang w:val="zh-CN"/>
        </w:rPr>
        <w:t xml:space="preserve">                                                      </w:t>
      </w:r>
      <w:r>
        <w:rPr>
          <w:rFonts w:hint="eastAsia" w:ascii="宋体" w:hAnsi="宋体" w:cs="宋体"/>
          <w:kern w:val="0"/>
          <w:szCs w:val="21"/>
          <w:lang w:val="zh-CN"/>
        </w:rPr>
        <w:t>（盖章）</w:t>
      </w:r>
    </w:p>
    <w:p w14:paraId="69075D5F">
      <w:pPr>
        <w:widowControl/>
        <w:adjustRightInd w:val="0"/>
        <w:snapToGrid w:val="0"/>
        <w:spacing w:line="360" w:lineRule="auto"/>
        <w:jc w:val="left"/>
        <w:rPr>
          <w:rFonts w:ascii="宋体" w:hAnsi="宋体" w:cs="宋体"/>
          <w:szCs w:val="21"/>
        </w:rPr>
      </w:pPr>
      <w:r>
        <w:rPr>
          <w:rFonts w:hint="eastAsia" w:ascii="宋体" w:hAnsi="宋体" w:cs="宋体"/>
          <w:kern w:val="0"/>
          <w:szCs w:val="21"/>
          <w:lang w:val="zh-CN"/>
        </w:rPr>
        <w:t>说明：</w:t>
      </w:r>
      <w:r>
        <w:rPr>
          <w:rFonts w:hint="eastAsia" w:ascii="宋体" w:hAnsi="宋体" w:cs="宋体"/>
          <w:szCs w:val="21"/>
        </w:rPr>
        <w:t>供应商应对采购文件中规定的商务部分给予充分的考虑。如对商务部分有偏离，应将这些条款的偏离逐条根据上表要求的格式列明，</w:t>
      </w:r>
      <w:r>
        <w:rPr>
          <w:rFonts w:hint="eastAsia" w:ascii="宋体" w:hAnsi="宋体" w:cs="宋体"/>
          <w:szCs w:val="21"/>
          <w:lang w:val="zh-CN"/>
        </w:rPr>
        <w:t>在</w:t>
      </w:r>
      <w:r>
        <w:rPr>
          <w:rFonts w:hint="eastAsia" w:ascii="宋体" w:hAnsi="宋体" w:cs="宋体"/>
          <w:szCs w:val="21"/>
        </w:rPr>
        <w:t>偏离情况一栏内如实填写“正偏离或负偏离”，其他未列明的条款，视作完全响应采购文件要求；如对商务部分无偏离，则在表格第一行偏离情况一栏内填写“无偏离”。</w:t>
      </w:r>
    </w:p>
    <w:p w14:paraId="20F6B4D6">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如果行数不够，请自行增加。</w:t>
      </w:r>
    </w:p>
    <w:p w14:paraId="65630A9D">
      <w:pPr>
        <w:widowControl/>
        <w:adjustRightInd w:val="0"/>
        <w:snapToGrid w:val="0"/>
        <w:spacing w:line="240" w:lineRule="atLeast"/>
        <w:jc w:val="left"/>
        <w:rPr>
          <w:rFonts w:ascii="宋体" w:cs="宋体"/>
          <w:kern w:val="0"/>
          <w:szCs w:val="21"/>
          <w:lang w:val="zh-CN"/>
        </w:rPr>
      </w:pPr>
    </w:p>
    <w:p w14:paraId="3A4074F6">
      <w:pPr>
        <w:keepNext/>
        <w:keepLines/>
        <w:widowControl w:val="0"/>
        <w:spacing w:before="120" w:after="120"/>
        <w:jc w:val="left"/>
        <w:outlineLvl w:val="0"/>
        <w:rPr>
          <w:rFonts w:ascii="宋体" w:hAnsi="宋体" w:eastAsia="宋体" w:cs="Times New Roman"/>
          <w:b/>
          <w:bCs/>
          <w:kern w:val="0"/>
          <w:sz w:val="20"/>
          <w:szCs w:val="24"/>
          <w:lang w:val="en-US" w:eastAsia="zh-CN" w:bidi="ar-SA"/>
        </w:rPr>
      </w:pPr>
      <w:bookmarkStart w:id="349" w:name="_Toc118445293"/>
      <w:bookmarkStart w:id="350" w:name="_Toc2057"/>
      <w:bookmarkStart w:id="351" w:name="_Toc14506"/>
      <w:r>
        <w:rPr>
          <w:rFonts w:hint="eastAsia" w:ascii="宋体" w:hAnsi="宋体" w:eastAsia="宋体" w:cs="Times New Roman"/>
          <w:b/>
          <w:bCs/>
          <w:kern w:val="0"/>
          <w:sz w:val="20"/>
          <w:szCs w:val="24"/>
          <w:lang w:val="en-US" w:eastAsia="zh-CN" w:bidi="ar-SA"/>
        </w:rPr>
        <w:t>目录六、技术条款偏离表格式</w:t>
      </w:r>
      <w:bookmarkEnd w:id="349"/>
      <w:bookmarkEnd w:id="350"/>
      <w:bookmarkEnd w:id="351"/>
    </w:p>
    <w:p w14:paraId="52822368">
      <w:pPr>
        <w:adjustRightInd w:val="0"/>
        <w:snapToGrid w:val="0"/>
        <w:spacing w:line="360" w:lineRule="auto"/>
        <w:jc w:val="center"/>
        <w:rPr>
          <w:rFonts w:ascii="宋体" w:hAnsi="宋体" w:cs="宋体"/>
          <w:sz w:val="36"/>
          <w:szCs w:val="36"/>
        </w:rPr>
      </w:pPr>
      <w:r>
        <w:rPr>
          <w:rFonts w:hint="eastAsia" w:ascii="宋体" w:hAnsi="宋体" w:cs="宋体"/>
          <w:sz w:val="36"/>
          <w:szCs w:val="36"/>
        </w:rPr>
        <w:t>技术条款偏离表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51E7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9D705F9">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项目名称：</w:t>
            </w:r>
          </w:p>
        </w:tc>
        <w:tc>
          <w:tcPr>
            <w:tcW w:w="2830" w:type="dxa"/>
            <w:gridSpan w:val="2"/>
            <w:tcBorders>
              <w:top w:val="nil"/>
              <w:left w:val="nil"/>
              <w:right w:val="nil"/>
            </w:tcBorders>
            <w:vAlign w:val="center"/>
          </w:tcPr>
          <w:p w14:paraId="11D855C8">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项目编号：</w:t>
            </w:r>
          </w:p>
        </w:tc>
      </w:tr>
      <w:tr w14:paraId="1453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AA746D3">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序号</w:t>
            </w:r>
          </w:p>
        </w:tc>
        <w:tc>
          <w:tcPr>
            <w:tcW w:w="1620" w:type="dxa"/>
            <w:vAlign w:val="center"/>
          </w:tcPr>
          <w:p w14:paraId="591E74EC">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磋商文件条目号</w:t>
            </w:r>
          </w:p>
        </w:tc>
        <w:tc>
          <w:tcPr>
            <w:tcW w:w="2700" w:type="dxa"/>
            <w:vAlign w:val="center"/>
          </w:tcPr>
          <w:p w14:paraId="57E68065">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磋商要求技术条款</w:t>
            </w:r>
          </w:p>
        </w:tc>
        <w:tc>
          <w:tcPr>
            <w:tcW w:w="2873" w:type="dxa"/>
            <w:gridSpan w:val="2"/>
            <w:vAlign w:val="center"/>
          </w:tcPr>
          <w:p w14:paraId="4B938FAB">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供应商响应</w:t>
            </w:r>
          </w:p>
        </w:tc>
        <w:tc>
          <w:tcPr>
            <w:tcW w:w="1372" w:type="dxa"/>
            <w:vAlign w:val="center"/>
          </w:tcPr>
          <w:p w14:paraId="20DFA1F4">
            <w:pPr>
              <w:widowControl/>
              <w:adjustRightInd w:val="0"/>
              <w:snapToGrid w:val="0"/>
              <w:spacing w:line="360" w:lineRule="auto"/>
              <w:jc w:val="center"/>
              <w:rPr>
                <w:rFonts w:ascii="宋体" w:cs="宋体"/>
                <w:kern w:val="0"/>
                <w:szCs w:val="21"/>
                <w:lang w:val="zh-CN"/>
              </w:rPr>
            </w:pPr>
            <w:r>
              <w:rPr>
                <w:rFonts w:hint="eastAsia" w:ascii="宋体" w:cs="宋体"/>
                <w:kern w:val="0"/>
                <w:szCs w:val="21"/>
                <w:lang w:val="zh-CN"/>
              </w:rPr>
              <w:t>偏离</w:t>
            </w:r>
          </w:p>
        </w:tc>
      </w:tr>
      <w:tr w14:paraId="0230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0A9DED4">
            <w:pPr>
              <w:widowControl/>
              <w:adjustRightInd w:val="0"/>
              <w:snapToGrid w:val="0"/>
              <w:spacing w:line="360" w:lineRule="auto"/>
              <w:jc w:val="center"/>
              <w:rPr>
                <w:rFonts w:ascii="宋体" w:cs="宋体"/>
                <w:kern w:val="0"/>
                <w:szCs w:val="21"/>
                <w:lang w:val="zh-CN"/>
              </w:rPr>
            </w:pPr>
          </w:p>
        </w:tc>
        <w:tc>
          <w:tcPr>
            <w:tcW w:w="1620" w:type="dxa"/>
            <w:vAlign w:val="center"/>
          </w:tcPr>
          <w:p w14:paraId="3B357447">
            <w:pPr>
              <w:widowControl/>
              <w:adjustRightInd w:val="0"/>
              <w:snapToGrid w:val="0"/>
              <w:spacing w:line="360" w:lineRule="auto"/>
              <w:jc w:val="center"/>
              <w:rPr>
                <w:rFonts w:ascii="宋体" w:cs="宋体"/>
                <w:kern w:val="0"/>
                <w:szCs w:val="21"/>
                <w:lang w:val="zh-CN"/>
              </w:rPr>
            </w:pPr>
          </w:p>
        </w:tc>
        <w:tc>
          <w:tcPr>
            <w:tcW w:w="2700" w:type="dxa"/>
            <w:vAlign w:val="center"/>
          </w:tcPr>
          <w:p w14:paraId="7EDE5F1A">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32A2E4FE">
            <w:pPr>
              <w:widowControl/>
              <w:adjustRightInd w:val="0"/>
              <w:snapToGrid w:val="0"/>
              <w:spacing w:line="360" w:lineRule="auto"/>
              <w:jc w:val="center"/>
              <w:rPr>
                <w:rFonts w:ascii="宋体" w:cs="宋体"/>
                <w:kern w:val="0"/>
                <w:szCs w:val="21"/>
                <w:lang w:val="zh-CN"/>
              </w:rPr>
            </w:pPr>
          </w:p>
        </w:tc>
        <w:tc>
          <w:tcPr>
            <w:tcW w:w="1372" w:type="dxa"/>
            <w:vAlign w:val="center"/>
          </w:tcPr>
          <w:p w14:paraId="16F5BA6D">
            <w:pPr>
              <w:widowControl/>
              <w:adjustRightInd w:val="0"/>
              <w:snapToGrid w:val="0"/>
              <w:spacing w:line="360" w:lineRule="auto"/>
              <w:jc w:val="center"/>
              <w:rPr>
                <w:rFonts w:ascii="宋体" w:cs="宋体"/>
                <w:kern w:val="0"/>
                <w:szCs w:val="21"/>
                <w:lang w:val="zh-CN"/>
              </w:rPr>
            </w:pPr>
          </w:p>
        </w:tc>
      </w:tr>
      <w:tr w14:paraId="0305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D3FB63F">
            <w:pPr>
              <w:widowControl/>
              <w:adjustRightInd w:val="0"/>
              <w:snapToGrid w:val="0"/>
              <w:spacing w:line="360" w:lineRule="auto"/>
              <w:jc w:val="center"/>
              <w:rPr>
                <w:rFonts w:ascii="宋体" w:cs="宋体"/>
                <w:kern w:val="0"/>
                <w:szCs w:val="21"/>
                <w:lang w:val="zh-CN"/>
              </w:rPr>
            </w:pPr>
          </w:p>
        </w:tc>
        <w:tc>
          <w:tcPr>
            <w:tcW w:w="1620" w:type="dxa"/>
            <w:vAlign w:val="center"/>
          </w:tcPr>
          <w:p w14:paraId="5055B0F2">
            <w:pPr>
              <w:widowControl/>
              <w:adjustRightInd w:val="0"/>
              <w:snapToGrid w:val="0"/>
              <w:spacing w:line="360" w:lineRule="auto"/>
              <w:jc w:val="center"/>
              <w:rPr>
                <w:rFonts w:ascii="宋体" w:cs="宋体"/>
                <w:kern w:val="0"/>
                <w:szCs w:val="21"/>
                <w:lang w:val="zh-CN"/>
              </w:rPr>
            </w:pPr>
          </w:p>
        </w:tc>
        <w:tc>
          <w:tcPr>
            <w:tcW w:w="2700" w:type="dxa"/>
            <w:vAlign w:val="center"/>
          </w:tcPr>
          <w:p w14:paraId="425FB4EF">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68921FC2">
            <w:pPr>
              <w:widowControl/>
              <w:adjustRightInd w:val="0"/>
              <w:snapToGrid w:val="0"/>
              <w:spacing w:line="360" w:lineRule="auto"/>
              <w:jc w:val="center"/>
              <w:rPr>
                <w:rFonts w:ascii="宋体" w:cs="宋体"/>
                <w:kern w:val="0"/>
                <w:szCs w:val="21"/>
                <w:lang w:val="zh-CN"/>
              </w:rPr>
            </w:pPr>
          </w:p>
        </w:tc>
        <w:tc>
          <w:tcPr>
            <w:tcW w:w="1372" w:type="dxa"/>
            <w:vAlign w:val="center"/>
          </w:tcPr>
          <w:p w14:paraId="3C6BBDC0">
            <w:pPr>
              <w:widowControl/>
              <w:adjustRightInd w:val="0"/>
              <w:snapToGrid w:val="0"/>
              <w:spacing w:line="360" w:lineRule="auto"/>
              <w:jc w:val="center"/>
              <w:rPr>
                <w:rFonts w:ascii="宋体" w:cs="宋体"/>
                <w:kern w:val="0"/>
                <w:szCs w:val="21"/>
                <w:lang w:val="zh-CN"/>
              </w:rPr>
            </w:pPr>
          </w:p>
        </w:tc>
      </w:tr>
      <w:tr w14:paraId="3061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6B2F03A">
            <w:pPr>
              <w:widowControl/>
              <w:adjustRightInd w:val="0"/>
              <w:snapToGrid w:val="0"/>
              <w:spacing w:line="360" w:lineRule="auto"/>
              <w:jc w:val="center"/>
              <w:rPr>
                <w:rFonts w:ascii="宋体" w:cs="宋体"/>
                <w:kern w:val="0"/>
                <w:szCs w:val="21"/>
                <w:lang w:val="zh-CN"/>
              </w:rPr>
            </w:pPr>
          </w:p>
        </w:tc>
        <w:tc>
          <w:tcPr>
            <w:tcW w:w="1620" w:type="dxa"/>
            <w:vAlign w:val="center"/>
          </w:tcPr>
          <w:p w14:paraId="4A5A3880">
            <w:pPr>
              <w:widowControl/>
              <w:adjustRightInd w:val="0"/>
              <w:snapToGrid w:val="0"/>
              <w:spacing w:line="360" w:lineRule="auto"/>
              <w:jc w:val="center"/>
              <w:rPr>
                <w:rFonts w:ascii="宋体" w:cs="宋体"/>
                <w:kern w:val="0"/>
                <w:szCs w:val="21"/>
                <w:lang w:val="zh-CN"/>
              </w:rPr>
            </w:pPr>
          </w:p>
        </w:tc>
        <w:tc>
          <w:tcPr>
            <w:tcW w:w="2700" w:type="dxa"/>
            <w:vAlign w:val="center"/>
          </w:tcPr>
          <w:p w14:paraId="441D30A0">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642E15DB">
            <w:pPr>
              <w:widowControl/>
              <w:adjustRightInd w:val="0"/>
              <w:snapToGrid w:val="0"/>
              <w:spacing w:line="360" w:lineRule="auto"/>
              <w:jc w:val="center"/>
              <w:rPr>
                <w:rFonts w:ascii="宋体" w:cs="宋体"/>
                <w:kern w:val="0"/>
                <w:szCs w:val="21"/>
                <w:lang w:val="zh-CN"/>
              </w:rPr>
            </w:pPr>
          </w:p>
        </w:tc>
        <w:tc>
          <w:tcPr>
            <w:tcW w:w="1372" w:type="dxa"/>
            <w:vAlign w:val="center"/>
          </w:tcPr>
          <w:p w14:paraId="5645C84F">
            <w:pPr>
              <w:widowControl/>
              <w:adjustRightInd w:val="0"/>
              <w:snapToGrid w:val="0"/>
              <w:spacing w:line="360" w:lineRule="auto"/>
              <w:jc w:val="center"/>
              <w:rPr>
                <w:rFonts w:ascii="宋体" w:cs="宋体"/>
                <w:kern w:val="0"/>
                <w:szCs w:val="21"/>
                <w:lang w:val="zh-CN"/>
              </w:rPr>
            </w:pPr>
          </w:p>
        </w:tc>
      </w:tr>
      <w:tr w14:paraId="6044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BC6DA1">
            <w:pPr>
              <w:widowControl/>
              <w:adjustRightInd w:val="0"/>
              <w:snapToGrid w:val="0"/>
              <w:spacing w:line="360" w:lineRule="auto"/>
              <w:jc w:val="center"/>
              <w:rPr>
                <w:rFonts w:ascii="宋体" w:cs="宋体"/>
                <w:kern w:val="0"/>
                <w:szCs w:val="21"/>
                <w:lang w:val="zh-CN"/>
              </w:rPr>
            </w:pPr>
          </w:p>
        </w:tc>
        <w:tc>
          <w:tcPr>
            <w:tcW w:w="1620" w:type="dxa"/>
            <w:vAlign w:val="center"/>
          </w:tcPr>
          <w:p w14:paraId="4EA764AB">
            <w:pPr>
              <w:widowControl/>
              <w:adjustRightInd w:val="0"/>
              <w:snapToGrid w:val="0"/>
              <w:spacing w:line="360" w:lineRule="auto"/>
              <w:jc w:val="center"/>
              <w:rPr>
                <w:rFonts w:ascii="宋体" w:cs="宋体"/>
                <w:kern w:val="0"/>
                <w:szCs w:val="21"/>
                <w:lang w:val="zh-CN"/>
              </w:rPr>
            </w:pPr>
          </w:p>
        </w:tc>
        <w:tc>
          <w:tcPr>
            <w:tcW w:w="2700" w:type="dxa"/>
            <w:vAlign w:val="center"/>
          </w:tcPr>
          <w:p w14:paraId="38F4F893">
            <w:pPr>
              <w:widowControl/>
              <w:adjustRightInd w:val="0"/>
              <w:snapToGrid w:val="0"/>
              <w:spacing w:line="360" w:lineRule="auto"/>
              <w:jc w:val="center"/>
              <w:rPr>
                <w:rFonts w:ascii="宋体" w:cs="宋体"/>
                <w:kern w:val="0"/>
                <w:szCs w:val="21"/>
                <w:lang w:val="zh-CN"/>
              </w:rPr>
            </w:pPr>
          </w:p>
        </w:tc>
        <w:tc>
          <w:tcPr>
            <w:tcW w:w="2873" w:type="dxa"/>
            <w:gridSpan w:val="2"/>
            <w:vAlign w:val="center"/>
          </w:tcPr>
          <w:p w14:paraId="27272D59">
            <w:pPr>
              <w:widowControl/>
              <w:adjustRightInd w:val="0"/>
              <w:snapToGrid w:val="0"/>
              <w:spacing w:line="360" w:lineRule="auto"/>
              <w:jc w:val="center"/>
              <w:rPr>
                <w:rFonts w:ascii="宋体" w:cs="宋体"/>
                <w:kern w:val="0"/>
                <w:szCs w:val="21"/>
                <w:lang w:val="zh-CN"/>
              </w:rPr>
            </w:pPr>
          </w:p>
        </w:tc>
        <w:tc>
          <w:tcPr>
            <w:tcW w:w="1372" w:type="dxa"/>
            <w:vAlign w:val="center"/>
          </w:tcPr>
          <w:p w14:paraId="3562AFCB">
            <w:pPr>
              <w:widowControl/>
              <w:adjustRightInd w:val="0"/>
              <w:snapToGrid w:val="0"/>
              <w:spacing w:line="360" w:lineRule="auto"/>
              <w:jc w:val="center"/>
              <w:rPr>
                <w:rFonts w:ascii="宋体" w:cs="宋体"/>
                <w:kern w:val="0"/>
                <w:szCs w:val="21"/>
                <w:lang w:val="zh-CN"/>
              </w:rPr>
            </w:pPr>
          </w:p>
        </w:tc>
      </w:tr>
      <w:tr w14:paraId="6520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0878DE0F">
            <w:pPr>
              <w:widowControl/>
              <w:adjustRightInd w:val="0"/>
              <w:snapToGrid w:val="0"/>
              <w:spacing w:line="360" w:lineRule="auto"/>
              <w:jc w:val="left"/>
              <w:rPr>
                <w:rFonts w:ascii="宋体" w:cs="Arial"/>
                <w:kern w:val="0"/>
                <w:szCs w:val="21"/>
              </w:rPr>
            </w:pPr>
          </w:p>
        </w:tc>
        <w:tc>
          <w:tcPr>
            <w:tcW w:w="1620" w:type="dxa"/>
            <w:vAlign w:val="center"/>
          </w:tcPr>
          <w:p w14:paraId="4ABD587D">
            <w:pPr>
              <w:widowControl/>
              <w:adjustRightInd w:val="0"/>
              <w:snapToGrid w:val="0"/>
              <w:spacing w:line="360" w:lineRule="auto"/>
              <w:jc w:val="left"/>
              <w:rPr>
                <w:rFonts w:ascii="宋体" w:cs="Arial"/>
                <w:kern w:val="0"/>
                <w:szCs w:val="21"/>
              </w:rPr>
            </w:pPr>
          </w:p>
        </w:tc>
        <w:tc>
          <w:tcPr>
            <w:tcW w:w="2700" w:type="dxa"/>
            <w:vAlign w:val="center"/>
          </w:tcPr>
          <w:p w14:paraId="099E9796">
            <w:pPr>
              <w:widowControl/>
              <w:adjustRightInd w:val="0"/>
              <w:snapToGrid w:val="0"/>
              <w:spacing w:line="360" w:lineRule="auto"/>
              <w:jc w:val="left"/>
              <w:rPr>
                <w:rFonts w:ascii="宋体" w:cs="Arial"/>
                <w:kern w:val="0"/>
                <w:szCs w:val="21"/>
              </w:rPr>
            </w:pPr>
          </w:p>
        </w:tc>
        <w:tc>
          <w:tcPr>
            <w:tcW w:w="2873" w:type="dxa"/>
            <w:gridSpan w:val="2"/>
            <w:vAlign w:val="center"/>
          </w:tcPr>
          <w:p w14:paraId="2D76650D">
            <w:pPr>
              <w:widowControl/>
              <w:adjustRightInd w:val="0"/>
              <w:snapToGrid w:val="0"/>
              <w:spacing w:line="360" w:lineRule="auto"/>
              <w:jc w:val="left"/>
              <w:rPr>
                <w:rFonts w:ascii="宋体" w:cs="Arial"/>
                <w:kern w:val="0"/>
                <w:szCs w:val="21"/>
              </w:rPr>
            </w:pPr>
          </w:p>
        </w:tc>
        <w:tc>
          <w:tcPr>
            <w:tcW w:w="1372" w:type="dxa"/>
            <w:vAlign w:val="center"/>
          </w:tcPr>
          <w:p w14:paraId="0A7DA669">
            <w:pPr>
              <w:widowControl/>
              <w:adjustRightInd w:val="0"/>
              <w:snapToGrid w:val="0"/>
              <w:spacing w:line="360" w:lineRule="auto"/>
              <w:jc w:val="left"/>
              <w:rPr>
                <w:rFonts w:ascii="宋体" w:cs="Arial"/>
                <w:kern w:val="0"/>
                <w:szCs w:val="21"/>
              </w:rPr>
            </w:pPr>
          </w:p>
        </w:tc>
      </w:tr>
    </w:tbl>
    <w:p w14:paraId="59DFA338">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供应商名称：</w:t>
      </w:r>
      <w:r>
        <w:rPr>
          <w:rFonts w:ascii="宋体" w:hAnsi="宋体"/>
          <w:kern w:val="0"/>
          <w:szCs w:val="21"/>
          <w:u w:val="single"/>
          <w:lang w:val="zh-CN"/>
        </w:rPr>
        <w:t xml:space="preserve">                                                      </w:t>
      </w:r>
      <w:r>
        <w:rPr>
          <w:rFonts w:hint="eastAsia" w:ascii="宋体" w:hAnsi="宋体" w:cs="宋体"/>
          <w:kern w:val="0"/>
          <w:szCs w:val="21"/>
          <w:lang w:val="zh-CN"/>
        </w:rPr>
        <w:t>（盖章）</w:t>
      </w:r>
    </w:p>
    <w:p w14:paraId="54C93736">
      <w:pPr>
        <w:widowControl/>
        <w:adjustRightInd w:val="0"/>
        <w:snapToGrid w:val="0"/>
        <w:spacing w:line="360" w:lineRule="auto"/>
        <w:jc w:val="left"/>
        <w:rPr>
          <w:rFonts w:ascii="宋体" w:hAnsi="宋体" w:cs="宋体"/>
          <w:szCs w:val="21"/>
        </w:rPr>
      </w:pPr>
      <w:r>
        <w:rPr>
          <w:rFonts w:hint="eastAsia" w:ascii="宋体" w:hAnsi="宋体" w:cs="宋体"/>
          <w:szCs w:val="21"/>
        </w:rPr>
        <w:t>说明：供应商应对采购文件中规定的技术部分给予充分的考虑。如对技术部分有偏离，应将这些条款的偏离逐条根据上表要求的格式列明，在偏离情况一栏内如实填写“正偏离或负偏离”，其他未列明的条款，视作完全响应采购文件要求；如对技术部分无偏离，则在表格第一行偏离情况一栏内填写“无偏离”。</w:t>
      </w:r>
    </w:p>
    <w:p w14:paraId="4C610C88">
      <w:pPr>
        <w:widowControl/>
        <w:adjustRightInd w:val="0"/>
        <w:snapToGrid w:val="0"/>
        <w:spacing w:line="360" w:lineRule="auto"/>
        <w:jc w:val="left"/>
        <w:rPr>
          <w:rFonts w:ascii="宋体" w:hAnsi="宋体" w:cs="宋体"/>
          <w:szCs w:val="21"/>
        </w:rPr>
      </w:pPr>
      <w:r>
        <w:rPr>
          <w:rFonts w:hint="eastAsia" w:ascii="宋体" w:hAnsi="宋体" w:cs="宋体"/>
          <w:szCs w:val="21"/>
        </w:rPr>
        <w:t>如果行数不够，请自行增加。</w:t>
      </w:r>
    </w:p>
    <w:p w14:paraId="6A722A26">
      <w:pPr>
        <w:widowControl/>
        <w:adjustRightInd w:val="0"/>
        <w:snapToGrid w:val="0"/>
        <w:spacing w:line="360" w:lineRule="auto"/>
        <w:jc w:val="left"/>
        <w:rPr>
          <w:rFonts w:ascii="宋体" w:cs="宋体"/>
          <w:kern w:val="0"/>
          <w:szCs w:val="21"/>
          <w:lang w:val="zh-CN"/>
        </w:rPr>
      </w:pPr>
    </w:p>
    <w:p w14:paraId="717C7C21">
      <w:pPr>
        <w:keepNext/>
        <w:keepLines/>
        <w:widowControl w:val="0"/>
        <w:spacing w:before="120" w:after="120"/>
        <w:jc w:val="left"/>
        <w:outlineLvl w:val="0"/>
        <w:rPr>
          <w:rFonts w:ascii="Arial" w:hAnsi="Arial" w:eastAsia="宋体" w:cs="Arial"/>
          <w:b w:val="0"/>
          <w:bCs/>
          <w:kern w:val="0"/>
          <w:sz w:val="20"/>
          <w:szCs w:val="21"/>
          <w:lang w:val="en-US" w:eastAsia="zh-CN" w:bidi="ar-SA"/>
        </w:rPr>
      </w:pPr>
      <w:bookmarkStart w:id="352" w:name="_Toc16048"/>
      <w:bookmarkStart w:id="353" w:name="_Toc28717"/>
      <w:bookmarkStart w:id="354" w:name="_Toc118445294"/>
      <w:r>
        <w:rPr>
          <w:rFonts w:hint="eastAsia" w:ascii="宋体" w:hAnsi="宋体" w:eastAsia="宋体" w:cs="Times New Roman"/>
          <w:b/>
          <w:bCs/>
          <w:kern w:val="0"/>
          <w:sz w:val="20"/>
          <w:szCs w:val="24"/>
          <w:lang w:val="en-US" w:eastAsia="zh-CN" w:bidi="ar-SA"/>
        </w:rPr>
        <w:t>目录七、</w:t>
      </w:r>
      <w:r>
        <w:rPr>
          <w:rFonts w:ascii="宋体" w:hAnsi="宋体" w:eastAsia="宋体" w:cs="Times New Roman"/>
          <w:b/>
          <w:bCs/>
          <w:kern w:val="0"/>
          <w:sz w:val="20"/>
          <w:szCs w:val="24"/>
          <w:lang w:val="en-US" w:eastAsia="zh-CN" w:bidi="ar-SA"/>
        </w:rPr>
        <w:t>拟参与本项目</w:t>
      </w:r>
      <w:r>
        <w:rPr>
          <w:rFonts w:hint="eastAsia" w:ascii="宋体" w:hAnsi="宋体" w:eastAsia="宋体" w:cs="Times New Roman"/>
          <w:b/>
          <w:bCs/>
          <w:kern w:val="0"/>
          <w:sz w:val="20"/>
          <w:szCs w:val="24"/>
          <w:lang w:val="en-US" w:eastAsia="zh-CN" w:bidi="ar-SA"/>
        </w:rPr>
        <w:t>实施</w:t>
      </w:r>
      <w:r>
        <w:rPr>
          <w:rFonts w:ascii="宋体" w:hAnsi="宋体" w:eastAsia="宋体" w:cs="Times New Roman"/>
          <w:b/>
          <w:bCs/>
          <w:kern w:val="0"/>
          <w:sz w:val="20"/>
          <w:szCs w:val="24"/>
          <w:lang w:val="en-US" w:eastAsia="zh-CN" w:bidi="ar-SA"/>
        </w:rPr>
        <w:t>人员一览表</w:t>
      </w:r>
      <w:bookmarkEnd w:id="352"/>
      <w:bookmarkEnd w:id="353"/>
      <w:bookmarkEnd w:id="354"/>
    </w:p>
    <w:p w14:paraId="03C4669E">
      <w:pPr>
        <w:widowControl/>
        <w:adjustRightInd w:val="0"/>
        <w:snapToGrid w:val="0"/>
        <w:spacing w:line="460" w:lineRule="atLeast"/>
        <w:rPr>
          <w:rFonts w:ascii="Arial" w:hAnsi="Arial" w:cs="Arial"/>
          <w:b/>
          <w:bCs/>
          <w:kern w:val="0"/>
          <w:sz w:val="24"/>
          <w:szCs w:val="24"/>
        </w:rPr>
      </w:pPr>
      <w:r>
        <w:rPr>
          <w:rFonts w:ascii="Arial" w:hAnsi="Arial" w:cs="Arial"/>
          <w:b/>
          <w:bCs/>
          <w:kern w:val="0"/>
          <w:sz w:val="24"/>
          <w:szCs w:val="24"/>
        </w:rPr>
        <w:t xml:space="preserve"> </w:t>
      </w:r>
    </w:p>
    <w:p w14:paraId="12435FA8">
      <w:pPr>
        <w:adjustRightInd w:val="0"/>
        <w:snapToGrid w:val="0"/>
        <w:spacing w:line="360" w:lineRule="auto"/>
        <w:jc w:val="center"/>
        <w:outlineLvl w:val="0"/>
        <w:rPr>
          <w:rFonts w:ascii="宋体" w:hAnsi="宋体" w:cs="宋体"/>
          <w:sz w:val="36"/>
          <w:szCs w:val="36"/>
        </w:rPr>
      </w:pPr>
      <w:bookmarkStart w:id="355" w:name="_Toc30535"/>
      <w:r>
        <w:rPr>
          <w:rFonts w:ascii="宋体" w:hAnsi="宋体" w:cs="宋体"/>
          <w:sz w:val="36"/>
          <w:szCs w:val="36"/>
        </w:rPr>
        <w:t>拟参与本项目</w:t>
      </w:r>
      <w:r>
        <w:rPr>
          <w:rFonts w:hint="eastAsia" w:ascii="宋体" w:hAnsi="宋体" w:cs="宋体"/>
          <w:sz w:val="36"/>
          <w:szCs w:val="36"/>
        </w:rPr>
        <w:t>实施</w:t>
      </w:r>
      <w:r>
        <w:rPr>
          <w:rFonts w:ascii="宋体" w:hAnsi="宋体" w:cs="宋体"/>
          <w:sz w:val="36"/>
          <w:szCs w:val="36"/>
        </w:rPr>
        <w:t>人员一览表</w:t>
      </w:r>
      <w:bookmarkEnd w:id="355"/>
    </w:p>
    <w:p w14:paraId="51727AB2">
      <w:pPr>
        <w:widowControl/>
        <w:adjustRightInd w:val="0"/>
        <w:snapToGrid w:val="0"/>
        <w:spacing w:line="240" w:lineRule="auto"/>
        <w:jc w:val="center"/>
        <w:rPr>
          <w:rFonts w:ascii="Arial" w:hAnsi="Arial" w:cs="Arial"/>
          <w:b/>
          <w:bCs/>
          <w:kern w:val="0"/>
          <w:sz w:val="24"/>
          <w:szCs w:val="24"/>
        </w:rPr>
      </w:pPr>
      <w:r>
        <w:rPr>
          <w:rFonts w:ascii="Arial" w:hAnsi="Arial" w:cs="Arial"/>
          <w:b/>
          <w:bCs/>
          <w:kern w:val="0"/>
          <w:sz w:val="24"/>
          <w:szCs w:val="24"/>
        </w:rPr>
        <w:t xml:space="preserve"> </w:t>
      </w:r>
    </w:p>
    <w:p w14:paraId="70573A1D">
      <w:pPr>
        <w:widowControl/>
        <w:adjustRightInd w:val="0"/>
        <w:snapToGrid w:val="0"/>
        <w:spacing w:line="240" w:lineRule="auto"/>
        <w:rPr>
          <w:rFonts w:ascii="Arial" w:hAnsi="Arial" w:cs="Arial"/>
          <w:kern w:val="0"/>
        </w:rPr>
      </w:pPr>
      <w:r>
        <w:rPr>
          <w:rFonts w:ascii="宋体" w:hAnsi="宋体" w:cs="Arial"/>
          <w:kern w:val="0"/>
        </w:rPr>
        <w:t>项目名称：</w:t>
      </w:r>
      <w:r>
        <w:rPr>
          <w:rFonts w:ascii="Arial" w:hAnsi="Arial" w:cs="Arial"/>
          <w:kern w:val="0"/>
        </w:rPr>
        <w:t xml:space="preserve">                                          </w:t>
      </w:r>
      <w:r>
        <w:rPr>
          <w:rFonts w:ascii="宋体" w:hAnsi="宋体" w:cs="Arial"/>
          <w:kern w:val="0"/>
        </w:rPr>
        <w:t>项目编号：</w:t>
      </w:r>
    </w:p>
    <w:tbl>
      <w:tblPr>
        <w:tblStyle w:val="54"/>
        <w:tblW w:w="9549" w:type="dxa"/>
        <w:jc w:val="center"/>
        <w:tblLayout w:type="fixed"/>
        <w:tblCellMar>
          <w:top w:w="0" w:type="dxa"/>
          <w:left w:w="108" w:type="dxa"/>
          <w:bottom w:w="0" w:type="dxa"/>
          <w:right w:w="108" w:type="dxa"/>
        </w:tblCellMar>
      </w:tblPr>
      <w:tblGrid>
        <w:gridCol w:w="619"/>
        <w:gridCol w:w="896"/>
        <w:gridCol w:w="663"/>
        <w:gridCol w:w="709"/>
        <w:gridCol w:w="1134"/>
        <w:gridCol w:w="931"/>
        <w:gridCol w:w="1020"/>
        <w:gridCol w:w="994"/>
        <w:gridCol w:w="882"/>
        <w:gridCol w:w="850"/>
        <w:gridCol w:w="851"/>
      </w:tblGrid>
      <w:tr w14:paraId="2130187C">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vAlign w:val="center"/>
          </w:tcPr>
          <w:p w14:paraId="5C257938">
            <w:pPr>
              <w:widowControl/>
              <w:adjustRightInd w:val="0"/>
              <w:snapToGrid w:val="0"/>
              <w:spacing w:line="240" w:lineRule="auto"/>
              <w:jc w:val="center"/>
              <w:rPr>
                <w:rFonts w:ascii="Arial" w:hAnsi="Arial" w:cs="Arial"/>
                <w:b/>
                <w:bCs/>
                <w:kern w:val="0"/>
              </w:rPr>
            </w:pPr>
            <w:r>
              <w:rPr>
                <w:rFonts w:ascii="Arial" w:hAnsi="Arial" w:cs="Arial"/>
                <w:b/>
                <w:bCs/>
                <w:kern w:val="0"/>
              </w:rPr>
              <w:t>序号</w:t>
            </w:r>
          </w:p>
        </w:tc>
        <w:tc>
          <w:tcPr>
            <w:tcW w:w="896" w:type="dxa"/>
            <w:tcBorders>
              <w:top w:val="single" w:color="000000" w:sz="4" w:space="0"/>
              <w:left w:val="nil"/>
              <w:bottom w:val="single" w:color="000000" w:sz="4" w:space="0"/>
              <w:right w:val="single" w:color="000000" w:sz="4" w:space="0"/>
            </w:tcBorders>
            <w:vAlign w:val="center"/>
          </w:tcPr>
          <w:p w14:paraId="25AD7BCA">
            <w:pPr>
              <w:widowControl/>
              <w:adjustRightInd w:val="0"/>
              <w:snapToGrid w:val="0"/>
              <w:spacing w:line="240" w:lineRule="auto"/>
              <w:jc w:val="center"/>
              <w:rPr>
                <w:rFonts w:ascii="Arial" w:hAnsi="Arial" w:cs="Arial"/>
                <w:b/>
                <w:bCs/>
                <w:kern w:val="0"/>
              </w:rPr>
            </w:pPr>
            <w:r>
              <w:rPr>
                <w:rFonts w:ascii="Arial" w:hAnsi="Arial" w:cs="Arial"/>
                <w:b/>
                <w:bCs/>
                <w:kern w:val="0"/>
              </w:rPr>
              <w:t>姓名</w:t>
            </w:r>
          </w:p>
        </w:tc>
        <w:tc>
          <w:tcPr>
            <w:tcW w:w="663" w:type="dxa"/>
            <w:tcBorders>
              <w:top w:val="single" w:color="000000" w:sz="4" w:space="0"/>
              <w:left w:val="nil"/>
              <w:bottom w:val="single" w:color="000000" w:sz="4" w:space="0"/>
              <w:right w:val="single" w:color="000000" w:sz="4" w:space="0"/>
            </w:tcBorders>
            <w:vAlign w:val="center"/>
          </w:tcPr>
          <w:p w14:paraId="55F16F31">
            <w:pPr>
              <w:widowControl/>
              <w:adjustRightInd w:val="0"/>
              <w:snapToGrid w:val="0"/>
              <w:spacing w:line="240" w:lineRule="auto"/>
              <w:jc w:val="center"/>
              <w:rPr>
                <w:rFonts w:ascii="Arial" w:hAnsi="Arial" w:cs="Arial"/>
                <w:b/>
                <w:bCs/>
                <w:kern w:val="0"/>
              </w:rPr>
            </w:pPr>
            <w:r>
              <w:rPr>
                <w:rFonts w:ascii="Arial" w:hAnsi="Arial" w:cs="Arial"/>
                <w:b/>
                <w:bCs/>
                <w:kern w:val="0"/>
              </w:rPr>
              <w:t>性别</w:t>
            </w:r>
          </w:p>
        </w:tc>
        <w:tc>
          <w:tcPr>
            <w:tcW w:w="709" w:type="dxa"/>
            <w:tcBorders>
              <w:top w:val="single" w:color="000000" w:sz="4" w:space="0"/>
              <w:left w:val="nil"/>
              <w:bottom w:val="single" w:color="000000" w:sz="4" w:space="0"/>
              <w:right w:val="single" w:color="000000" w:sz="4" w:space="0"/>
            </w:tcBorders>
            <w:vAlign w:val="center"/>
          </w:tcPr>
          <w:p w14:paraId="7959E5F6">
            <w:pPr>
              <w:widowControl/>
              <w:adjustRightInd w:val="0"/>
              <w:snapToGrid w:val="0"/>
              <w:spacing w:line="240" w:lineRule="auto"/>
              <w:jc w:val="center"/>
              <w:rPr>
                <w:rFonts w:ascii="Arial" w:hAnsi="Arial" w:cs="Arial"/>
                <w:b/>
                <w:bCs/>
                <w:kern w:val="0"/>
              </w:rPr>
            </w:pPr>
            <w:r>
              <w:rPr>
                <w:rFonts w:ascii="Arial" w:hAnsi="Arial" w:cs="Arial"/>
                <w:b/>
                <w:bCs/>
                <w:kern w:val="0"/>
              </w:rPr>
              <w:t>年龄</w:t>
            </w:r>
          </w:p>
        </w:tc>
        <w:tc>
          <w:tcPr>
            <w:tcW w:w="1134" w:type="dxa"/>
            <w:tcBorders>
              <w:top w:val="single" w:color="000000" w:sz="4" w:space="0"/>
              <w:left w:val="nil"/>
              <w:bottom w:val="single" w:color="000000" w:sz="4" w:space="0"/>
              <w:right w:val="single" w:color="000000" w:sz="4" w:space="0"/>
            </w:tcBorders>
            <w:vAlign w:val="center"/>
          </w:tcPr>
          <w:p w14:paraId="4A79108D">
            <w:pPr>
              <w:widowControl/>
              <w:adjustRightInd w:val="0"/>
              <w:snapToGrid w:val="0"/>
              <w:spacing w:line="240" w:lineRule="auto"/>
              <w:jc w:val="center"/>
              <w:rPr>
                <w:rFonts w:ascii="Arial" w:hAnsi="Arial" w:cs="Arial"/>
                <w:b/>
                <w:bCs/>
                <w:kern w:val="0"/>
              </w:rPr>
            </w:pPr>
            <w:r>
              <w:rPr>
                <w:rFonts w:ascii="Arial" w:hAnsi="Arial" w:cs="Arial"/>
                <w:b/>
                <w:bCs/>
                <w:kern w:val="0"/>
              </w:rPr>
              <w:t>专业</w:t>
            </w:r>
          </w:p>
        </w:tc>
        <w:tc>
          <w:tcPr>
            <w:tcW w:w="931" w:type="dxa"/>
            <w:tcBorders>
              <w:top w:val="single" w:color="000000" w:sz="4" w:space="0"/>
              <w:left w:val="nil"/>
              <w:bottom w:val="single" w:color="000000" w:sz="4" w:space="0"/>
              <w:right w:val="single" w:color="000000" w:sz="4" w:space="0"/>
            </w:tcBorders>
            <w:vAlign w:val="center"/>
          </w:tcPr>
          <w:p w14:paraId="5636951E">
            <w:pPr>
              <w:widowControl/>
              <w:adjustRightInd w:val="0"/>
              <w:snapToGrid w:val="0"/>
              <w:spacing w:line="240" w:lineRule="auto"/>
              <w:jc w:val="center"/>
              <w:rPr>
                <w:rFonts w:ascii="Arial" w:hAnsi="Arial" w:cs="Arial"/>
                <w:b/>
                <w:bCs/>
                <w:kern w:val="0"/>
              </w:rPr>
            </w:pPr>
            <w:r>
              <w:rPr>
                <w:rFonts w:ascii="Arial" w:hAnsi="Arial" w:cs="Arial"/>
                <w:b/>
                <w:bCs/>
                <w:kern w:val="0"/>
              </w:rPr>
              <w:t>学历</w:t>
            </w:r>
          </w:p>
        </w:tc>
        <w:tc>
          <w:tcPr>
            <w:tcW w:w="1020" w:type="dxa"/>
            <w:tcBorders>
              <w:top w:val="single" w:color="000000" w:sz="4" w:space="0"/>
              <w:left w:val="nil"/>
              <w:bottom w:val="single" w:color="000000" w:sz="4" w:space="0"/>
              <w:right w:val="single" w:color="000000" w:sz="4" w:space="0"/>
            </w:tcBorders>
            <w:vAlign w:val="center"/>
          </w:tcPr>
          <w:p w14:paraId="26796E56">
            <w:pPr>
              <w:widowControl/>
              <w:adjustRightInd w:val="0"/>
              <w:snapToGrid w:val="0"/>
              <w:spacing w:line="240" w:lineRule="auto"/>
              <w:jc w:val="center"/>
              <w:rPr>
                <w:rFonts w:ascii="Arial" w:hAnsi="Arial" w:cs="Arial"/>
                <w:b/>
                <w:bCs/>
                <w:kern w:val="0"/>
              </w:rPr>
            </w:pPr>
            <w:r>
              <w:rPr>
                <w:rFonts w:ascii="Arial" w:hAnsi="Arial" w:cs="Arial"/>
                <w:b/>
                <w:bCs/>
                <w:kern w:val="0"/>
              </w:rPr>
              <w:t>执业</w:t>
            </w:r>
          </w:p>
          <w:p w14:paraId="4DCF1ADC">
            <w:pPr>
              <w:widowControl/>
              <w:adjustRightInd w:val="0"/>
              <w:snapToGrid w:val="0"/>
              <w:spacing w:line="240" w:lineRule="auto"/>
              <w:jc w:val="center"/>
              <w:rPr>
                <w:rFonts w:ascii="Arial" w:hAnsi="Arial" w:cs="Arial"/>
                <w:b/>
                <w:bCs/>
                <w:kern w:val="0"/>
              </w:rPr>
            </w:pPr>
            <w:r>
              <w:rPr>
                <w:rFonts w:ascii="Arial" w:hAnsi="Arial" w:cs="Arial"/>
                <w:b/>
                <w:bCs/>
                <w:kern w:val="0"/>
              </w:rPr>
              <w:t>资格</w:t>
            </w:r>
          </w:p>
        </w:tc>
        <w:tc>
          <w:tcPr>
            <w:tcW w:w="994" w:type="dxa"/>
            <w:tcBorders>
              <w:top w:val="single" w:color="000000" w:sz="4" w:space="0"/>
              <w:left w:val="nil"/>
              <w:bottom w:val="single" w:color="000000" w:sz="4" w:space="0"/>
              <w:right w:val="single" w:color="000000" w:sz="4" w:space="0"/>
            </w:tcBorders>
            <w:vAlign w:val="center"/>
          </w:tcPr>
          <w:p w14:paraId="450967A3">
            <w:pPr>
              <w:widowControl/>
              <w:adjustRightInd w:val="0"/>
              <w:snapToGrid w:val="0"/>
              <w:spacing w:line="240" w:lineRule="auto"/>
              <w:jc w:val="center"/>
              <w:rPr>
                <w:rFonts w:ascii="Arial" w:hAnsi="Arial" w:cs="Arial"/>
                <w:b/>
                <w:bCs/>
                <w:kern w:val="0"/>
              </w:rPr>
            </w:pPr>
            <w:r>
              <w:rPr>
                <w:rFonts w:ascii="Arial" w:hAnsi="Arial" w:cs="Arial"/>
                <w:b/>
                <w:bCs/>
                <w:kern w:val="0"/>
              </w:rPr>
              <w:t>证书号</w:t>
            </w:r>
          </w:p>
        </w:tc>
        <w:tc>
          <w:tcPr>
            <w:tcW w:w="882" w:type="dxa"/>
            <w:tcBorders>
              <w:top w:val="single" w:color="000000" w:sz="4" w:space="0"/>
              <w:left w:val="nil"/>
              <w:bottom w:val="single" w:color="000000" w:sz="4" w:space="0"/>
              <w:right w:val="single" w:color="000000" w:sz="4" w:space="0"/>
            </w:tcBorders>
            <w:vAlign w:val="center"/>
          </w:tcPr>
          <w:p w14:paraId="3F945BC2">
            <w:pPr>
              <w:widowControl/>
              <w:adjustRightInd w:val="0"/>
              <w:snapToGrid w:val="0"/>
              <w:spacing w:line="240" w:lineRule="auto"/>
              <w:jc w:val="center"/>
              <w:rPr>
                <w:rFonts w:ascii="Arial" w:hAnsi="Arial" w:cs="Arial"/>
                <w:b/>
                <w:bCs/>
                <w:kern w:val="0"/>
              </w:rPr>
            </w:pPr>
            <w:r>
              <w:rPr>
                <w:rFonts w:ascii="Arial" w:hAnsi="Arial" w:cs="Arial"/>
                <w:b/>
                <w:bCs/>
                <w:kern w:val="0"/>
              </w:rPr>
              <w:t>技术职称</w:t>
            </w:r>
          </w:p>
        </w:tc>
        <w:tc>
          <w:tcPr>
            <w:tcW w:w="850" w:type="dxa"/>
            <w:tcBorders>
              <w:top w:val="single" w:color="000000" w:sz="4" w:space="0"/>
              <w:left w:val="nil"/>
              <w:bottom w:val="single" w:color="000000" w:sz="4" w:space="0"/>
              <w:right w:val="single" w:color="000000" w:sz="4" w:space="0"/>
            </w:tcBorders>
            <w:vAlign w:val="center"/>
          </w:tcPr>
          <w:p w14:paraId="795342F4">
            <w:pPr>
              <w:widowControl/>
              <w:adjustRightInd w:val="0"/>
              <w:snapToGrid w:val="0"/>
              <w:spacing w:line="240" w:lineRule="auto"/>
              <w:jc w:val="center"/>
              <w:rPr>
                <w:rFonts w:ascii="Arial" w:hAnsi="Arial" w:cs="Arial"/>
                <w:b/>
                <w:bCs/>
                <w:kern w:val="0"/>
              </w:rPr>
            </w:pPr>
            <w:r>
              <w:rPr>
                <w:rFonts w:ascii="Arial" w:hAnsi="Arial" w:cs="Arial"/>
                <w:b/>
                <w:bCs/>
                <w:kern w:val="0"/>
              </w:rPr>
              <w:t>相关工作年限</w:t>
            </w:r>
          </w:p>
        </w:tc>
        <w:tc>
          <w:tcPr>
            <w:tcW w:w="851" w:type="dxa"/>
            <w:tcBorders>
              <w:top w:val="single" w:color="000000" w:sz="4" w:space="0"/>
              <w:left w:val="nil"/>
              <w:bottom w:val="single" w:color="000000" w:sz="4" w:space="0"/>
              <w:right w:val="single" w:color="000000" w:sz="4" w:space="0"/>
            </w:tcBorders>
            <w:vAlign w:val="center"/>
          </w:tcPr>
          <w:p w14:paraId="1867DA98">
            <w:pPr>
              <w:widowControl/>
              <w:adjustRightInd w:val="0"/>
              <w:snapToGrid w:val="0"/>
              <w:spacing w:line="240" w:lineRule="auto"/>
              <w:jc w:val="center"/>
              <w:rPr>
                <w:rFonts w:ascii="Arial" w:hAnsi="Arial" w:cs="Arial"/>
                <w:b/>
                <w:bCs/>
                <w:kern w:val="0"/>
              </w:rPr>
            </w:pPr>
            <w:r>
              <w:rPr>
                <w:rFonts w:ascii="Arial" w:hAnsi="Arial" w:cs="Arial"/>
                <w:b/>
                <w:bCs/>
                <w:kern w:val="0"/>
              </w:rPr>
              <w:t>备注</w:t>
            </w:r>
          </w:p>
        </w:tc>
      </w:tr>
      <w:tr w14:paraId="51FC0B35">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3FAC5732">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41C2F6B2">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3C7530DB">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7EC65965">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4EE2F604">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684A226C">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06A2D5CA">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3BFF639C">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1CB1A359">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4DC68715">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4F30B9D4">
            <w:pPr>
              <w:widowControl/>
              <w:adjustRightInd w:val="0"/>
              <w:snapToGrid w:val="0"/>
              <w:spacing w:line="240" w:lineRule="auto"/>
              <w:rPr>
                <w:rFonts w:ascii="Arial" w:hAnsi="Arial" w:cs="Arial"/>
                <w:kern w:val="0"/>
              </w:rPr>
            </w:pPr>
          </w:p>
        </w:tc>
      </w:tr>
      <w:tr w14:paraId="0DC0977E">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58464253">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7B3CFFD6">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0AC6090A">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39B4F22A">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09798A68">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45F2BA89">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2582C3F9">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2EBB191D">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3B97DF0D">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395D952F">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0E811236">
            <w:pPr>
              <w:widowControl/>
              <w:adjustRightInd w:val="0"/>
              <w:snapToGrid w:val="0"/>
              <w:spacing w:line="240" w:lineRule="auto"/>
              <w:rPr>
                <w:rFonts w:ascii="Arial" w:hAnsi="Arial" w:cs="Arial"/>
                <w:kern w:val="0"/>
              </w:rPr>
            </w:pPr>
          </w:p>
        </w:tc>
      </w:tr>
      <w:tr w14:paraId="36C51E1B">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24307B8E">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0D05EA67">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191E2913">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545D040A">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7C59AC52">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693DDEDC">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2CF6D979">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43C01D2A">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080E4CA5">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58EA150A">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1267ECED">
            <w:pPr>
              <w:widowControl/>
              <w:adjustRightInd w:val="0"/>
              <w:snapToGrid w:val="0"/>
              <w:spacing w:line="240" w:lineRule="auto"/>
              <w:rPr>
                <w:rFonts w:ascii="Arial" w:hAnsi="Arial" w:cs="Arial"/>
                <w:kern w:val="0"/>
              </w:rPr>
            </w:pPr>
          </w:p>
        </w:tc>
      </w:tr>
      <w:tr w14:paraId="731D82B9">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0820ADE9">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5EB8A67A">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56B76B6D">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5C80421A">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2FF42502">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566979E4">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53E1E27C">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02731809">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5DD10646">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744AF83E">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4609AEE7">
            <w:pPr>
              <w:widowControl/>
              <w:adjustRightInd w:val="0"/>
              <w:snapToGrid w:val="0"/>
              <w:spacing w:line="240" w:lineRule="auto"/>
              <w:rPr>
                <w:rFonts w:ascii="Arial" w:hAnsi="Arial" w:cs="Arial"/>
                <w:kern w:val="0"/>
              </w:rPr>
            </w:pPr>
          </w:p>
        </w:tc>
      </w:tr>
      <w:tr w14:paraId="40D790B2">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36B19515">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316DA129">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0CAE78C1">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48B44CFC">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7CBDDC88">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2E04349B">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1DF3A1D2">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3805EA2D">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5BFBD36F">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47652B51">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06FA7E74">
            <w:pPr>
              <w:widowControl/>
              <w:adjustRightInd w:val="0"/>
              <w:snapToGrid w:val="0"/>
              <w:spacing w:line="240" w:lineRule="auto"/>
              <w:rPr>
                <w:rFonts w:ascii="Arial" w:hAnsi="Arial" w:cs="Arial"/>
                <w:kern w:val="0"/>
              </w:rPr>
            </w:pPr>
          </w:p>
        </w:tc>
      </w:tr>
      <w:tr w14:paraId="21E801D9">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594056F8">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6A355851">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7BE78F1E">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18C28FCD">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03D06A6A">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018FECAC">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616762C4">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09E9AF7A">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108C668F">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69952E12">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1AFD16AD">
            <w:pPr>
              <w:widowControl/>
              <w:adjustRightInd w:val="0"/>
              <w:snapToGrid w:val="0"/>
              <w:spacing w:line="240" w:lineRule="auto"/>
              <w:rPr>
                <w:rFonts w:ascii="Arial" w:hAnsi="Arial" w:cs="Arial"/>
                <w:kern w:val="0"/>
              </w:rPr>
            </w:pPr>
          </w:p>
        </w:tc>
      </w:tr>
      <w:tr w14:paraId="2F438AF6">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1B55CC25">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5DE2E308">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7C339B6C">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1D564B1E">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38576655">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0FB6D6A6">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18D79612">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5479376F">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67C161EA">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53B11A28">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7AC2FA53">
            <w:pPr>
              <w:widowControl/>
              <w:adjustRightInd w:val="0"/>
              <w:snapToGrid w:val="0"/>
              <w:spacing w:line="240" w:lineRule="auto"/>
              <w:rPr>
                <w:rFonts w:ascii="Arial" w:hAnsi="Arial" w:cs="Arial"/>
                <w:kern w:val="0"/>
              </w:rPr>
            </w:pPr>
          </w:p>
        </w:tc>
      </w:tr>
      <w:tr w14:paraId="4C9EA4F4">
        <w:tblPrEx>
          <w:tblCellMar>
            <w:top w:w="0" w:type="dxa"/>
            <w:left w:w="108" w:type="dxa"/>
            <w:bottom w:w="0" w:type="dxa"/>
            <w:right w:w="108" w:type="dxa"/>
          </w:tblCellMar>
        </w:tblPrEx>
        <w:trPr>
          <w:jc w:val="center"/>
        </w:trPr>
        <w:tc>
          <w:tcPr>
            <w:tcW w:w="619" w:type="dxa"/>
            <w:tcBorders>
              <w:top w:val="single" w:color="000000" w:sz="4" w:space="0"/>
              <w:left w:val="single" w:color="000000" w:sz="4" w:space="0"/>
              <w:bottom w:val="single" w:color="000000" w:sz="4" w:space="0"/>
              <w:right w:val="single" w:color="000000" w:sz="4" w:space="0"/>
            </w:tcBorders>
          </w:tcPr>
          <w:p w14:paraId="05309E78">
            <w:pPr>
              <w:widowControl/>
              <w:adjustRightInd w:val="0"/>
              <w:snapToGrid w:val="0"/>
              <w:spacing w:line="240" w:lineRule="auto"/>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14:paraId="6E81F531">
            <w:pPr>
              <w:widowControl/>
              <w:adjustRightInd w:val="0"/>
              <w:snapToGrid w:val="0"/>
              <w:spacing w:line="240" w:lineRule="auto"/>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14:paraId="4916BBFA">
            <w:pPr>
              <w:widowControl/>
              <w:adjustRightInd w:val="0"/>
              <w:snapToGrid w:val="0"/>
              <w:spacing w:line="240" w:lineRule="auto"/>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14:paraId="05848D24">
            <w:pPr>
              <w:widowControl/>
              <w:adjustRightInd w:val="0"/>
              <w:snapToGrid w:val="0"/>
              <w:spacing w:line="240" w:lineRule="auto"/>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14:paraId="773C3E6B">
            <w:pPr>
              <w:widowControl/>
              <w:adjustRightInd w:val="0"/>
              <w:snapToGrid w:val="0"/>
              <w:spacing w:line="240" w:lineRule="auto"/>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14:paraId="7A3B0260">
            <w:pPr>
              <w:widowControl/>
              <w:adjustRightInd w:val="0"/>
              <w:snapToGrid w:val="0"/>
              <w:spacing w:line="240" w:lineRule="auto"/>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14:paraId="03AD79AA">
            <w:pPr>
              <w:widowControl/>
              <w:adjustRightInd w:val="0"/>
              <w:snapToGrid w:val="0"/>
              <w:spacing w:line="240" w:lineRule="auto"/>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14:paraId="0EE78E84">
            <w:pPr>
              <w:widowControl/>
              <w:adjustRightInd w:val="0"/>
              <w:snapToGrid w:val="0"/>
              <w:spacing w:line="240" w:lineRule="auto"/>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14:paraId="650C50B1">
            <w:pPr>
              <w:widowControl/>
              <w:adjustRightInd w:val="0"/>
              <w:snapToGrid w:val="0"/>
              <w:spacing w:line="240" w:lineRule="auto"/>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14:paraId="05B3B9F5">
            <w:pPr>
              <w:widowControl/>
              <w:adjustRightInd w:val="0"/>
              <w:snapToGrid w:val="0"/>
              <w:spacing w:line="240" w:lineRule="auto"/>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14:paraId="54DB91D1">
            <w:pPr>
              <w:widowControl/>
              <w:adjustRightInd w:val="0"/>
              <w:snapToGrid w:val="0"/>
              <w:spacing w:line="240" w:lineRule="auto"/>
              <w:rPr>
                <w:rFonts w:ascii="Arial" w:hAnsi="Arial" w:cs="Arial"/>
                <w:kern w:val="0"/>
              </w:rPr>
            </w:pPr>
          </w:p>
        </w:tc>
      </w:tr>
    </w:tbl>
    <w:p w14:paraId="2D6839C0">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供应商名称：</w:t>
      </w:r>
      <w:r>
        <w:rPr>
          <w:rFonts w:ascii="宋体" w:hAnsi="宋体"/>
          <w:kern w:val="0"/>
          <w:szCs w:val="21"/>
          <w:u w:val="single"/>
          <w:lang w:val="zh-CN"/>
        </w:rPr>
        <w:t xml:space="preserve">                                                      </w:t>
      </w:r>
      <w:r>
        <w:rPr>
          <w:rFonts w:hint="eastAsia" w:ascii="宋体" w:hAnsi="宋体" w:cs="宋体"/>
          <w:kern w:val="0"/>
          <w:szCs w:val="21"/>
          <w:lang w:val="zh-CN"/>
        </w:rPr>
        <w:t>（盖章）</w:t>
      </w:r>
    </w:p>
    <w:p w14:paraId="7C40AD76">
      <w:pPr>
        <w:widowControl/>
        <w:adjustRightInd w:val="0"/>
        <w:snapToGrid w:val="0"/>
        <w:spacing w:line="360" w:lineRule="auto"/>
        <w:jc w:val="left"/>
        <w:rPr>
          <w:rFonts w:ascii="宋体" w:cs="宋体"/>
          <w:kern w:val="0"/>
          <w:szCs w:val="21"/>
          <w:lang w:val="zh-CN"/>
        </w:rPr>
      </w:pPr>
      <w:r>
        <w:rPr>
          <w:rFonts w:hint="eastAsia" w:ascii="宋体" w:hAnsi="宋体" w:cs="宋体"/>
          <w:kern w:val="0"/>
          <w:szCs w:val="21"/>
          <w:lang w:val="zh-CN"/>
        </w:rPr>
        <w:t>说明：如果行数不够，请自行增加。</w:t>
      </w:r>
    </w:p>
    <w:p w14:paraId="315726D6">
      <w:pPr>
        <w:widowControl/>
        <w:adjustRightInd w:val="0"/>
        <w:snapToGrid w:val="0"/>
        <w:spacing w:line="240" w:lineRule="auto"/>
        <w:rPr>
          <w:rFonts w:ascii="Arial" w:hAnsi="Arial" w:cs="Arial"/>
          <w:b/>
          <w:bCs/>
          <w:kern w:val="0"/>
        </w:rPr>
      </w:pPr>
    </w:p>
    <w:p w14:paraId="12A7C4AC">
      <w:pPr>
        <w:pStyle w:val="471"/>
        <w:snapToGrid w:val="0"/>
        <w:spacing w:before="0" w:after="0"/>
        <w:ind w:firstLine="0"/>
        <w:rPr>
          <w:rFonts w:ascii="宋体" w:hAnsi="宋体" w:cs="Arial"/>
          <w:kern w:val="2"/>
          <w:sz w:val="21"/>
          <w:szCs w:val="21"/>
        </w:rPr>
      </w:pPr>
    </w:p>
    <w:p w14:paraId="0A0D6B87">
      <w:pPr>
        <w:keepNext/>
        <w:keepLines/>
        <w:widowControl w:val="0"/>
        <w:spacing w:before="120" w:after="120"/>
        <w:jc w:val="left"/>
        <w:outlineLvl w:val="0"/>
        <w:rPr>
          <w:rFonts w:ascii="宋体" w:hAnsi="宋体" w:eastAsia="宋体" w:cs="Times New Roman"/>
          <w:b/>
          <w:bCs/>
          <w:kern w:val="0"/>
          <w:sz w:val="20"/>
          <w:szCs w:val="24"/>
          <w:lang w:val="en-US" w:eastAsia="zh-CN" w:bidi="ar-SA"/>
        </w:rPr>
      </w:pPr>
      <w:bookmarkStart w:id="356" w:name="_Toc2627"/>
      <w:bookmarkStart w:id="357" w:name="_Toc1819"/>
      <w:bookmarkStart w:id="358" w:name="_Toc118445295"/>
      <w:r>
        <w:rPr>
          <w:rFonts w:hint="eastAsia" w:ascii="宋体" w:hAnsi="宋体" w:eastAsia="宋体" w:cs="Times New Roman"/>
          <w:b/>
          <w:bCs/>
          <w:kern w:val="0"/>
          <w:sz w:val="20"/>
          <w:szCs w:val="24"/>
          <w:lang w:val="en-US" w:eastAsia="zh-CN" w:bidi="ar-SA"/>
        </w:rPr>
        <w:t>目录八、供应商</w:t>
      </w:r>
      <w:r>
        <w:rPr>
          <w:rFonts w:ascii="宋体" w:hAnsi="宋体" w:eastAsia="宋体" w:cs="Times New Roman"/>
          <w:b/>
          <w:bCs/>
          <w:kern w:val="0"/>
          <w:sz w:val="20"/>
          <w:szCs w:val="24"/>
          <w:lang w:val="en-US" w:eastAsia="zh-CN" w:bidi="ar-SA"/>
        </w:rPr>
        <w:t>类似业绩情况表</w:t>
      </w:r>
      <w:bookmarkEnd w:id="356"/>
      <w:bookmarkEnd w:id="357"/>
      <w:bookmarkEnd w:id="358"/>
    </w:p>
    <w:p w14:paraId="4D4AF6FB">
      <w:pPr>
        <w:widowControl/>
        <w:adjustRightInd w:val="0"/>
        <w:snapToGrid w:val="0"/>
        <w:spacing w:line="360" w:lineRule="auto"/>
        <w:jc w:val="center"/>
        <w:rPr>
          <w:rFonts w:ascii="Arial" w:hAnsi="Arial" w:cs="Arial"/>
          <w:b/>
          <w:bCs/>
          <w:kern w:val="0"/>
          <w:sz w:val="24"/>
          <w:szCs w:val="24"/>
        </w:rPr>
      </w:pPr>
      <w:r>
        <w:rPr>
          <w:rFonts w:ascii="Arial" w:hAnsi="Arial" w:cs="Arial"/>
          <w:b/>
          <w:bCs/>
          <w:kern w:val="0"/>
          <w:sz w:val="24"/>
          <w:szCs w:val="24"/>
        </w:rPr>
        <w:t xml:space="preserve"> </w:t>
      </w:r>
    </w:p>
    <w:p w14:paraId="73DFF11D">
      <w:pPr>
        <w:adjustRightInd w:val="0"/>
        <w:snapToGrid w:val="0"/>
        <w:spacing w:line="360" w:lineRule="auto"/>
        <w:jc w:val="center"/>
        <w:outlineLvl w:val="0"/>
        <w:rPr>
          <w:rFonts w:ascii="宋体" w:hAnsi="宋体" w:cs="宋体"/>
          <w:sz w:val="36"/>
          <w:szCs w:val="36"/>
        </w:rPr>
      </w:pPr>
      <w:bookmarkStart w:id="359" w:name="_Toc32045"/>
      <w:r>
        <w:rPr>
          <w:rFonts w:hint="eastAsia" w:ascii="宋体" w:hAnsi="宋体" w:cs="宋体"/>
          <w:sz w:val="36"/>
          <w:szCs w:val="36"/>
        </w:rPr>
        <w:t>供应商</w:t>
      </w:r>
      <w:r>
        <w:rPr>
          <w:rFonts w:ascii="宋体" w:hAnsi="宋体" w:cs="宋体"/>
          <w:sz w:val="36"/>
          <w:szCs w:val="36"/>
        </w:rPr>
        <w:t>类似业绩情况表</w:t>
      </w:r>
      <w:bookmarkEnd w:id="359"/>
    </w:p>
    <w:p w14:paraId="75D88A50">
      <w:pPr>
        <w:widowControl/>
        <w:adjustRightInd w:val="0"/>
        <w:snapToGrid w:val="0"/>
        <w:spacing w:line="240" w:lineRule="auto"/>
        <w:rPr>
          <w:rFonts w:ascii="Arial" w:hAnsi="Arial" w:cs="Arial"/>
          <w:kern w:val="0"/>
        </w:rPr>
      </w:pPr>
      <w:r>
        <w:rPr>
          <w:rFonts w:ascii="宋体" w:hAnsi="宋体" w:cs="Arial"/>
          <w:kern w:val="0"/>
        </w:rPr>
        <w:t>项目名称：</w:t>
      </w:r>
      <w:r>
        <w:rPr>
          <w:rFonts w:ascii="Arial" w:hAnsi="Arial" w:cs="Arial"/>
          <w:kern w:val="0"/>
        </w:rPr>
        <w:t xml:space="preserve">                                          </w:t>
      </w:r>
      <w:r>
        <w:rPr>
          <w:rFonts w:ascii="宋体" w:hAnsi="宋体" w:cs="Arial"/>
          <w:kern w:val="0"/>
        </w:rPr>
        <w:t>项目编号：</w:t>
      </w:r>
    </w:p>
    <w:tbl>
      <w:tblPr>
        <w:tblStyle w:val="54"/>
        <w:tblW w:w="9647" w:type="dxa"/>
        <w:jc w:val="center"/>
        <w:tblLayout w:type="fixed"/>
        <w:tblCellMar>
          <w:top w:w="0" w:type="dxa"/>
          <w:left w:w="108" w:type="dxa"/>
          <w:bottom w:w="0" w:type="dxa"/>
          <w:right w:w="108" w:type="dxa"/>
        </w:tblCellMar>
      </w:tblPr>
      <w:tblGrid>
        <w:gridCol w:w="777"/>
        <w:gridCol w:w="1280"/>
        <w:gridCol w:w="1420"/>
        <w:gridCol w:w="1097"/>
        <w:gridCol w:w="1321"/>
        <w:gridCol w:w="1582"/>
        <w:gridCol w:w="1085"/>
        <w:gridCol w:w="1085"/>
      </w:tblGrid>
      <w:tr w14:paraId="260AA1B6">
        <w:tblPrEx>
          <w:tblCellMar>
            <w:top w:w="0" w:type="dxa"/>
            <w:left w:w="108" w:type="dxa"/>
            <w:bottom w:w="0" w:type="dxa"/>
            <w:right w:w="108" w:type="dxa"/>
          </w:tblCellMar>
        </w:tblPrEx>
        <w:trPr>
          <w:trHeight w:val="749"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64B172A7">
            <w:pPr>
              <w:widowControl/>
              <w:adjustRightInd w:val="0"/>
              <w:snapToGrid w:val="0"/>
              <w:spacing w:line="400" w:lineRule="atLeast"/>
              <w:jc w:val="center"/>
              <w:rPr>
                <w:rFonts w:ascii="Arial" w:hAnsi="Arial" w:cs="Arial"/>
                <w:kern w:val="0"/>
              </w:rPr>
            </w:pPr>
            <w:r>
              <w:rPr>
                <w:rFonts w:ascii="Arial" w:hAnsi="Arial" w:cs="Arial"/>
                <w:kern w:val="0"/>
              </w:rPr>
              <w:t>序号</w:t>
            </w:r>
          </w:p>
        </w:tc>
        <w:tc>
          <w:tcPr>
            <w:tcW w:w="1280" w:type="dxa"/>
            <w:tcBorders>
              <w:top w:val="single" w:color="000000" w:sz="4" w:space="0"/>
              <w:left w:val="nil"/>
              <w:bottom w:val="single" w:color="000000" w:sz="4" w:space="0"/>
              <w:right w:val="single" w:color="000000" w:sz="4" w:space="0"/>
            </w:tcBorders>
            <w:vAlign w:val="center"/>
          </w:tcPr>
          <w:p w14:paraId="43D62C15">
            <w:pPr>
              <w:widowControl/>
              <w:adjustRightInd w:val="0"/>
              <w:snapToGrid w:val="0"/>
              <w:spacing w:line="400" w:lineRule="atLeast"/>
              <w:jc w:val="center"/>
              <w:rPr>
                <w:rFonts w:ascii="Arial" w:hAnsi="Arial" w:cs="Arial"/>
                <w:kern w:val="0"/>
              </w:rPr>
            </w:pPr>
            <w:r>
              <w:rPr>
                <w:rFonts w:ascii="Arial" w:hAnsi="Arial" w:cs="Arial"/>
                <w:kern w:val="0"/>
              </w:rPr>
              <w:t>项目名称</w:t>
            </w:r>
          </w:p>
        </w:tc>
        <w:tc>
          <w:tcPr>
            <w:tcW w:w="1420" w:type="dxa"/>
            <w:tcBorders>
              <w:top w:val="single" w:color="000000" w:sz="4" w:space="0"/>
              <w:left w:val="nil"/>
              <w:bottom w:val="single" w:color="000000" w:sz="4" w:space="0"/>
              <w:right w:val="single" w:color="000000" w:sz="4" w:space="0"/>
            </w:tcBorders>
            <w:vAlign w:val="center"/>
          </w:tcPr>
          <w:p w14:paraId="70112AB9">
            <w:pPr>
              <w:widowControl/>
              <w:adjustRightInd w:val="0"/>
              <w:snapToGrid w:val="0"/>
              <w:spacing w:line="400" w:lineRule="atLeast"/>
              <w:jc w:val="center"/>
              <w:rPr>
                <w:rFonts w:ascii="Arial" w:hAnsi="Arial" w:cs="Arial"/>
                <w:kern w:val="0"/>
              </w:rPr>
            </w:pPr>
            <w:r>
              <w:rPr>
                <w:rFonts w:ascii="Arial" w:hAnsi="Arial" w:cs="Arial"/>
                <w:kern w:val="0"/>
              </w:rPr>
              <w:t>业主单位</w:t>
            </w:r>
          </w:p>
        </w:tc>
        <w:tc>
          <w:tcPr>
            <w:tcW w:w="1097" w:type="dxa"/>
            <w:tcBorders>
              <w:top w:val="single" w:color="000000" w:sz="4" w:space="0"/>
              <w:left w:val="nil"/>
              <w:bottom w:val="single" w:color="000000" w:sz="4" w:space="0"/>
              <w:right w:val="single" w:color="auto" w:sz="4" w:space="0"/>
            </w:tcBorders>
            <w:vAlign w:val="center"/>
          </w:tcPr>
          <w:p w14:paraId="7B4FD995">
            <w:pPr>
              <w:widowControl/>
              <w:adjustRightInd w:val="0"/>
              <w:snapToGrid w:val="0"/>
              <w:spacing w:line="400" w:lineRule="atLeast"/>
              <w:jc w:val="center"/>
              <w:rPr>
                <w:rFonts w:ascii="Arial" w:hAnsi="Arial" w:cs="Arial"/>
                <w:kern w:val="0"/>
              </w:rPr>
            </w:pPr>
            <w:r>
              <w:rPr>
                <w:rFonts w:ascii="Arial" w:hAnsi="Arial" w:cs="Arial"/>
                <w:kern w:val="0"/>
              </w:rPr>
              <w:t>项目</w:t>
            </w:r>
          </w:p>
          <w:p w14:paraId="419EA182">
            <w:pPr>
              <w:widowControl/>
              <w:adjustRightInd w:val="0"/>
              <w:snapToGrid w:val="0"/>
              <w:spacing w:line="400" w:lineRule="atLeast"/>
              <w:jc w:val="center"/>
              <w:rPr>
                <w:rFonts w:ascii="Arial" w:hAnsi="Arial" w:cs="Arial"/>
                <w:kern w:val="0"/>
              </w:rPr>
            </w:pPr>
            <w:r>
              <w:rPr>
                <w:rFonts w:ascii="Arial" w:hAnsi="Arial" w:cs="Arial"/>
                <w:kern w:val="0"/>
              </w:rPr>
              <w:t>规模</w:t>
            </w:r>
          </w:p>
        </w:tc>
        <w:tc>
          <w:tcPr>
            <w:tcW w:w="1321" w:type="dxa"/>
            <w:tcBorders>
              <w:top w:val="single" w:color="auto" w:sz="4" w:space="0"/>
              <w:left w:val="single" w:color="auto" w:sz="4" w:space="0"/>
              <w:bottom w:val="single" w:color="auto" w:sz="4" w:space="0"/>
              <w:right w:val="single" w:color="auto" w:sz="4" w:space="0"/>
            </w:tcBorders>
          </w:tcPr>
          <w:p w14:paraId="04B44AE8">
            <w:pPr>
              <w:widowControl/>
              <w:adjustRightInd w:val="0"/>
              <w:snapToGrid w:val="0"/>
              <w:spacing w:line="400" w:lineRule="atLeast"/>
              <w:jc w:val="center"/>
              <w:rPr>
                <w:rFonts w:hint="eastAsia" w:ascii="Arial" w:hAnsi="Arial" w:eastAsia="宋体" w:cs="Arial"/>
                <w:kern w:val="0"/>
                <w:lang w:eastAsia="zh-CN"/>
              </w:rPr>
            </w:pPr>
            <w:r>
              <w:rPr>
                <w:rFonts w:hint="eastAsia" w:ascii="Arial" w:hAnsi="Arial" w:cs="Arial"/>
                <w:kern w:val="0"/>
              </w:rPr>
              <w:t>项目</w:t>
            </w:r>
            <w:r>
              <w:rPr>
                <w:rFonts w:hint="eastAsia" w:ascii="Arial" w:hAnsi="Arial" w:cs="Arial"/>
                <w:kern w:val="0"/>
                <w:lang w:val="en-US" w:eastAsia="zh-CN"/>
              </w:rPr>
              <w:t>总监</w:t>
            </w:r>
          </w:p>
        </w:tc>
        <w:tc>
          <w:tcPr>
            <w:tcW w:w="1582" w:type="dxa"/>
            <w:tcBorders>
              <w:top w:val="single" w:color="auto" w:sz="4" w:space="0"/>
              <w:left w:val="single" w:color="auto" w:sz="4" w:space="0"/>
              <w:bottom w:val="single" w:color="auto" w:sz="4" w:space="0"/>
              <w:right w:val="single" w:color="auto" w:sz="4" w:space="0"/>
            </w:tcBorders>
          </w:tcPr>
          <w:p w14:paraId="16CD6C93">
            <w:pPr>
              <w:widowControl/>
              <w:adjustRightInd w:val="0"/>
              <w:snapToGrid w:val="0"/>
              <w:spacing w:line="400" w:lineRule="atLeast"/>
              <w:jc w:val="center"/>
              <w:rPr>
                <w:rFonts w:ascii="Arial" w:hAnsi="Arial" w:cs="Arial"/>
                <w:kern w:val="0"/>
              </w:rPr>
            </w:pPr>
            <w:r>
              <w:rPr>
                <w:rFonts w:ascii="Arial" w:hAnsi="Arial" w:cs="Arial"/>
                <w:kern w:val="0"/>
              </w:rPr>
              <w:t>签约及服务</w:t>
            </w:r>
          </w:p>
          <w:p w14:paraId="7B147C68">
            <w:pPr>
              <w:widowControl/>
              <w:adjustRightInd w:val="0"/>
              <w:snapToGrid w:val="0"/>
              <w:spacing w:line="400" w:lineRule="atLeast"/>
              <w:jc w:val="center"/>
              <w:rPr>
                <w:rFonts w:ascii="Arial" w:hAnsi="Arial" w:cs="Arial"/>
                <w:kern w:val="0"/>
              </w:rPr>
            </w:pPr>
            <w:r>
              <w:rPr>
                <w:rFonts w:ascii="Arial" w:hAnsi="Arial" w:cs="Arial"/>
                <w:kern w:val="0"/>
              </w:rPr>
              <w:t>时间</w:t>
            </w:r>
          </w:p>
        </w:tc>
        <w:tc>
          <w:tcPr>
            <w:tcW w:w="1085" w:type="dxa"/>
            <w:tcBorders>
              <w:top w:val="single" w:color="000000" w:sz="4" w:space="0"/>
              <w:left w:val="single" w:color="auto" w:sz="4" w:space="0"/>
              <w:bottom w:val="single" w:color="000000" w:sz="4" w:space="0"/>
              <w:right w:val="single" w:color="000000" w:sz="4" w:space="0"/>
            </w:tcBorders>
          </w:tcPr>
          <w:p w14:paraId="3451554C">
            <w:pPr>
              <w:widowControl/>
              <w:adjustRightInd w:val="0"/>
              <w:snapToGrid w:val="0"/>
              <w:spacing w:line="400" w:lineRule="atLeast"/>
              <w:jc w:val="center"/>
              <w:rPr>
                <w:rFonts w:ascii="Arial" w:hAnsi="Arial" w:cs="Arial"/>
                <w:kern w:val="0"/>
              </w:rPr>
            </w:pPr>
            <w:r>
              <w:rPr>
                <w:rFonts w:ascii="Arial" w:hAnsi="Arial" w:cs="Arial"/>
                <w:kern w:val="0"/>
              </w:rPr>
              <w:t>联系人及电话</w:t>
            </w:r>
          </w:p>
        </w:tc>
        <w:tc>
          <w:tcPr>
            <w:tcW w:w="1085" w:type="dxa"/>
            <w:tcBorders>
              <w:top w:val="single" w:color="000000" w:sz="4" w:space="0"/>
              <w:left w:val="nil"/>
              <w:bottom w:val="single" w:color="000000" w:sz="4" w:space="0"/>
              <w:right w:val="single" w:color="000000" w:sz="4" w:space="0"/>
            </w:tcBorders>
          </w:tcPr>
          <w:p w14:paraId="52ED1AD4">
            <w:pPr>
              <w:widowControl/>
              <w:adjustRightInd w:val="0"/>
              <w:snapToGrid w:val="0"/>
              <w:spacing w:line="400" w:lineRule="atLeast"/>
              <w:jc w:val="center"/>
              <w:rPr>
                <w:rFonts w:ascii="Arial" w:hAnsi="Arial" w:cs="Arial"/>
                <w:kern w:val="0"/>
              </w:rPr>
            </w:pPr>
            <w:r>
              <w:rPr>
                <w:rFonts w:ascii="Arial" w:hAnsi="Arial" w:cs="Arial"/>
                <w:kern w:val="0"/>
              </w:rPr>
              <w:t>备注</w:t>
            </w:r>
          </w:p>
        </w:tc>
      </w:tr>
      <w:tr w14:paraId="65D862EC">
        <w:tblPrEx>
          <w:tblCellMar>
            <w:top w:w="0" w:type="dxa"/>
            <w:left w:w="108" w:type="dxa"/>
            <w:bottom w:w="0" w:type="dxa"/>
            <w:right w:w="108" w:type="dxa"/>
          </w:tblCellMar>
        </w:tblPrEx>
        <w:trPr>
          <w:trHeight w:val="369"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1AE3D532">
            <w:pPr>
              <w:widowControl/>
              <w:adjustRightInd w:val="0"/>
              <w:snapToGrid w:val="0"/>
              <w:spacing w:line="400" w:lineRule="atLeast"/>
              <w:jc w:val="center"/>
              <w:rPr>
                <w:rFonts w:ascii="Arial" w:hAnsi="Arial" w:cs="Arial"/>
                <w:kern w:val="0"/>
              </w:rPr>
            </w:pPr>
          </w:p>
        </w:tc>
        <w:tc>
          <w:tcPr>
            <w:tcW w:w="1280" w:type="dxa"/>
            <w:tcBorders>
              <w:top w:val="single" w:color="000000" w:sz="4" w:space="0"/>
              <w:left w:val="nil"/>
              <w:bottom w:val="single" w:color="000000" w:sz="4" w:space="0"/>
              <w:right w:val="single" w:color="000000" w:sz="4" w:space="0"/>
            </w:tcBorders>
          </w:tcPr>
          <w:p w14:paraId="2C3E826C">
            <w:pPr>
              <w:widowControl/>
              <w:adjustRightInd w:val="0"/>
              <w:snapToGrid w:val="0"/>
              <w:spacing w:line="400" w:lineRule="atLeast"/>
              <w:jc w:val="center"/>
              <w:rPr>
                <w:rFonts w:ascii="Arial" w:hAnsi="Arial" w:cs="Arial"/>
                <w:kern w:val="0"/>
              </w:rPr>
            </w:pPr>
          </w:p>
        </w:tc>
        <w:tc>
          <w:tcPr>
            <w:tcW w:w="1420" w:type="dxa"/>
            <w:tcBorders>
              <w:top w:val="single" w:color="000000" w:sz="4" w:space="0"/>
              <w:left w:val="nil"/>
              <w:bottom w:val="single" w:color="000000" w:sz="4" w:space="0"/>
              <w:right w:val="single" w:color="000000" w:sz="4" w:space="0"/>
            </w:tcBorders>
          </w:tcPr>
          <w:p w14:paraId="52E167B0">
            <w:pPr>
              <w:widowControl/>
              <w:adjustRightInd w:val="0"/>
              <w:snapToGrid w:val="0"/>
              <w:spacing w:line="400" w:lineRule="atLeast"/>
              <w:ind w:firstLine="120"/>
              <w:rPr>
                <w:rFonts w:ascii="Arial" w:hAnsi="Arial" w:cs="Arial"/>
                <w:kern w:val="0"/>
              </w:rPr>
            </w:pPr>
          </w:p>
        </w:tc>
        <w:tc>
          <w:tcPr>
            <w:tcW w:w="1097" w:type="dxa"/>
            <w:tcBorders>
              <w:top w:val="single" w:color="000000" w:sz="4" w:space="0"/>
              <w:left w:val="nil"/>
              <w:bottom w:val="single" w:color="000000" w:sz="4" w:space="0"/>
              <w:right w:val="single" w:color="auto" w:sz="4" w:space="0"/>
            </w:tcBorders>
          </w:tcPr>
          <w:p w14:paraId="055BA24F">
            <w:pPr>
              <w:widowControl/>
              <w:adjustRightInd w:val="0"/>
              <w:snapToGrid w:val="0"/>
              <w:spacing w:line="400" w:lineRule="atLeast"/>
              <w:jc w:val="center"/>
              <w:rPr>
                <w:rFonts w:ascii="Arial" w:hAnsi="Arial" w:cs="Arial"/>
                <w:kern w:val="0"/>
              </w:rPr>
            </w:pPr>
          </w:p>
        </w:tc>
        <w:tc>
          <w:tcPr>
            <w:tcW w:w="1321" w:type="dxa"/>
            <w:tcBorders>
              <w:top w:val="single" w:color="auto" w:sz="4" w:space="0"/>
              <w:left w:val="single" w:color="auto" w:sz="4" w:space="0"/>
              <w:bottom w:val="single" w:color="auto" w:sz="4" w:space="0"/>
              <w:right w:val="single" w:color="auto" w:sz="4" w:space="0"/>
            </w:tcBorders>
          </w:tcPr>
          <w:p w14:paraId="33E41CBC">
            <w:pPr>
              <w:widowControl/>
              <w:adjustRightInd w:val="0"/>
              <w:snapToGrid w:val="0"/>
              <w:spacing w:line="400" w:lineRule="atLeast"/>
              <w:jc w:val="center"/>
              <w:rPr>
                <w:rFonts w:ascii="Arial" w:hAnsi="Arial" w:cs="Arial"/>
                <w:kern w:val="0"/>
              </w:rPr>
            </w:pPr>
          </w:p>
        </w:tc>
        <w:tc>
          <w:tcPr>
            <w:tcW w:w="1582" w:type="dxa"/>
            <w:tcBorders>
              <w:top w:val="single" w:color="auto" w:sz="4" w:space="0"/>
              <w:left w:val="single" w:color="auto" w:sz="4" w:space="0"/>
              <w:bottom w:val="single" w:color="auto" w:sz="4" w:space="0"/>
              <w:right w:val="single" w:color="auto" w:sz="4" w:space="0"/>
            </w:tcBorders>
          </w:tcPr>
          <w:p w14:paraId="013DC774">
            <w:pPr>
              <w:widowControl/>
              <w:adjustRightInd w:val="0"/>
              <w:snapToGrid w:val="0"/>
              <w:spacing w:line="400" w:lineRule="atLeast"/>
              <w:jc w:val="center"/>
              <w:rPr>
                <w:rFonts w:ascii="Arial" w:hAnsi="Arial" w:cs="Arial"/>
                <w:kern w:val="0"/>
              </w:rPr>
            </w:pPr>
          </w:p>
        </w:tc>
        <w:tc>
          <w:tcPr>
            <w:tcW w:w="1085" w:type="dxa"/>
            <w:tcBorders>
              <w:top w:val="single" w:color="000000" w:sz="4" w:space="0"/>
              <w:left w:val="single" w:color="auto" w:sz="4" w:space="0"/>
              <w:bottom w:val="single" w:color="000000" w:sz="4" w:space="0"/>
              <w:right w:val="single" w:color="000000" w:sz="4" w:space="0"/>
            </w:tcBorders>
          </w:tcPr>
          <w:p w14:paraId="2C58BCCF">
            <w:pPr>
              <w:widowControl/>
              <w:adjustRightInd w:val="0"/>
              <w:snapToGrid w:val="0"/>
              <w:spacing w:line="400" w:lineRule="atLeast"/>
              <w:jc w:val="center"/>
              <w:rPr>
                <w:rFonts w:ascii="Arial" w:hAnsi="Arial" w:cs="Arial"/>
                <w:kern w:val="0"/>
              </w:rPr>
            </w:pPr>
          </w:p>
        </w:tc>
        <w:tc>
          <w:tcPr>
            <w:tcW w:w="1085" w:type="dxa"/>
            <w:tcBorders>
              <w:top w:val="single" w:color="000000" w:sz="4" w:space="0"/>
              <w:left w:val="nil"/>
              <w:bottom w:val="single" w:color="000000" w:sz="4" w:space="0"/>
              <w:right w:val="single" w:color="000000" w:sz="4" w:space="0"/>
            </w:tcBorders>
          </w:tcPr>
          <w:p w14:paraId="2C049DB3">
            <w:pPr>
              <w:widowControl/>
              <w:adjustRightInd w:val="0"/>
              <w:snapToGrid w:val="0"/>
              <w:spacing w:line="400" w:lineRule="atLeast"/>
              <w:jc w:val="center"/>
              <w:rPr>
                <w:rFonts w:ascii="Arial" w:hAnsi="Arial" w:cs="Arial"/>
                <w:kern w:val="0"/>
              </w:rPr>
            </w:pPr>
          </w:p>
        </w:tc>
      </w:tr>
      <w:tr w14:paraId="7EE9BCAA">
        <w:tblPrEx>
          <w:tblCellMar>
            <w:top w:w="0" w:type="dxa"/>
            <w:left w:w="108" w:type="dxa"/>
            <w:bottom w:w="0" w:type="dxa"/>
            <w:right w:w="108" w:type="dxa"/>
          </w:tblCellMar>
        </w:tblPrEx>
        <w:trPr>
          <w:trHeight w:val="369" w:hRule="atLeast"/>
          <w:jc w:val="center"/>
        </w:trPr>
        <w:tc>
          <w:tcPr>
            <w:tcW w:w="777" w:type="dxa"/>
            <w:tcBorders>
              <w:top w:val="single" w:color="000000" w:sz="4" w:space="0"/>
              <w:left w:val="single" w:color="000000" w:sz="4" w:space="0"/>
              <w:bottom w:val="single" w:color="000000" w:sz="4" w:space="0"/>
              <w:right w:val="single" w:color="000000" w:sz="4" w:space="0"/>
            </w:tcBorders>
          </w:tcPr>
          <w:p w14:paraId="1941C2D1">
            <w:pPr>
              <w:widowControl/>
              <w:adjustRightInd w:val="0"/>
              <w:snapToGrid w:val="0"/>
              <w:spacing w:line="400" w:lineRule="atLeast"/>
              <w:jc w:val="center"/>
              <w:rPr>
                <w:rFonts w:ascii="Arial" w:hAnsi="Arial" w:cs="Arial"/>
                <w:kern w:val="0"/>
              </w:rPr>
            </w:pPr>
          </w:p>
        </w:tc>
        <w:tc>
          <w:tcPr>
            <w:tcW w:w="1280" w:type="dxa"/>
            <w:tcBorders>
              <w:top w:val="single" w:color="000000" w:sz="4" w:space="0"/>
              <w:left w:val="nil"/>
              <w:bottom w:val="single" w:color="000000" w:sz="4" w:space="0"/>
              <w:right w:val="single" w:color="000000" w:sz="4" w:space="0"/>
            </w:tcBorders>
          </w:tcPr>
          <w:p w14:paraId="60CEB0A4">
            <w:pPr>
              <w:widowControl/>
              <w:adjustRightInd w:val="0"/>
              <w:snapToGrid w:val="0"/>
              <w:spacing w:line="400" w:lineRule="atLeast"/>
              <w:jc w:val="center"/>
              <w:rPr>
                <w:rFonts w:ascii="Arial" w:hAnsi="Arial" w:cs="Arial"/>
                <w:kern w:val="0"/>
              </w:rPr>
            </w:pPr>
          </w:p>
        </w:tc>
        <w:tc>
          <w:tcPr>
            <w:tcW w:w="1420" w:type="dxa"/>
            <w:tcBorders>
              <w:top w:val="single" w:color="000000" w:sz="4" w:space="0"/>
              <w:left w:val="nil"/>
              <w:bottom w:val="single" w:color="000000" w:sz="4" w:space="0"/>
              <w:right w:val="single" w:color="000000" w:sz="4" w:space="0"/>
            </w:tcBorders>
          </w:tcPr>
          <w:p w14:paraId="1042C0C7">
            <w:pPr>
              <w:widowControl/>
              <w:adjustRightInd w:val="0"/>
              <w:snapToGrid w:val="0"/>
              <w:spacing w:line="400" w:lineRule="atLeast"/>
              <w:jc w:val="center"/>
              <w:rPr>
                <w:rFonts w:ascii="Arial" w:hAnsi="Arial" w:cs="Arial"/>
                <w:kern w:val="0"/>
              </w:rPr>
            </w:pPr>
          </w:p>
        </w:tc>
        <w:tc>
          <w:tcPr>
            <w:tcW w:w="1097" w:type="dxa"/>
            <w:tcBorders>
              <w:top w:val="single" w:color="000000" w:sz="4" w:space="0"/>
              <w:left w:val="nil"/>
              <w:bottom w:val="single" w:color="000000" w:sz="4" w:space="0"/>
              <w:right w:val="single" w:color="auto" w:sz="4" w:space="0"/>
            </w:tcBorders>
          </w:tcPr>
          <w:p w14:paraId="288A923F">
            <w:pPr>
              <w:widowControl/>
              <w:adjustRightInd w:val="0"/>
              <w:snapToGrid w:val="0"/>
              <w:spacing w:line="400" w:lineRule="atLeast"/>
              <w:jc w:val="center"/>
              <w:rPr>
                <w:rFonts w:ascii="Arial" w:hAnsi="Arial" w:cs="Arial"/>
                <w:kern w:val="0"/>
              </w:rPr>
            </w:pPr>
          </w:p>
        </w:tc>
        <w:tc>
          <w:tcPr>
            <w:tcW w:w="1321" w:type="dxa"/>
            <w:tcBorders>
              <w:top w:val="single" w:color="auto" w:sz="4" w:space="0"/>
              <w:left w:val="single" w:color="auto" w:sz="4" w:space="0"/>
              <w:bottom w:val="single" w:color="auto" w:sz="4" w:space="0"/>
              <w:right w:val="single" w:color="auto" w:sz="4" w:space="0"/>
            </w:tcBorders>
          </w:tcPr>
          <w:p w14:paraId="41A60839">
            <w:pPr>
              <w:widowControl/>
              <w:adjustRightInd w:val="0"/>
              <w:snapToGrid w:val="0"/>
              <w:spacing w:line="400" w:lineRule="atLeast"/>
              <w:jc w:val="center"/>
              <w:rPr>
                <w:rFonts w:ascii="Arial" w:hAnsi="Arial" w:cs="Arial"/>
                <w:kern w:val="0"/>
              </w:rPr>
            </w:pPr>
          </w:p>
        </w:tc>
        <w:tc>
          <w:tcPr>
            <w:tcW w:w="1582" w:type="dxa"/>
            <w:tcBorders>
              <w:top w:val="single" w:color="auto" w:sz="4" w:space="0"/>
              <w:left w:val="single" w:color="auto" w:sz="4" w:space="0"/>
              <w:bottom w:val="single" w:color="auto" w:sz="4" w:space="0"/>
              <w:right w:val="single" w:color="auto" w:sz="4" w:space="0"/>
            </w:tcBorders>
          </w:tcPr>
          <w:p w14:paraId="1C4935A2">
            <w:pPr>
              <w:widowControl/>
              <w:adjustRightInd w:val="0"/>
              <w:snapToGrid w:val="0"/>
              <w:spacing w:line="400" w:lineRule="atLeast"/>
              <w:jc w:val="center"/>
              <w:rPr>
                <w:rFonts w:ascii="Arial" w:hAnsi="Arial" w:cs="Arial"/>
                <w:kern w:val="0"/>
              </w:rPr>
            </w:pPr>
          </w:p>
        </w:tc>
        <w:tc>
          <w:tcPr>
            <w:tcW w:w="1085" w:type="dxa"/>
            <w:tcBorders>
              <w:top w:val="single" w:color="000000" w:sz="4" w:space="0"/>
              <w:left w:val="single" w:color="auto" w:sz="4" w:space="0"/>
              <w:bottom w:val="single" w:color="000000" w:sz="4" w:space="0"/>
              <w:right w:val="single" w:color="000000" w:sz="4" w:space="0"/>
            </w:tcBorders>
          </w:tcPr>
          <w:p w14:paraId="18DBFE30">
            <w:pPr>
              <w:widowControl/>
              <w:adjustRightInd w:val="0"/>
              <w:snapToGrid w:val="0"/>
              <w:spacing w:line="400" w:lineRule="atLeast"/>
              <w:jc w:val="center"/>
              <w:rPr>
                <w:rFonts w:ascii="Arial" w:hAnsi="Arial" w:cs="Arial"/>
                <w:kern w:val="0"/>
              </w:rPr>
            </w:pPr>
          </w:p>
        </w:tc>
        <w:tc>
          <w:tcPr>
            <w:tcW w:w="1085" w:type="dxa"/>
            <w:tcBorders>
              <w:top w:val="single" w:color="000000" w:sz="4" w:space="0"/>
              <w:left w:val="nil"/>
              <w:bottom w:val="single" w:color="000000" w:sz="4" w:space="0"/>
              <w:right w:val="single" w:color="000000" w:sz="4" w:space="0"/>
            </w:tcBorders>
          </w:tcPr>
          <w:p w14:paraId="6C755E9F">
            <w:pPr>
              <w:widowControl/>
              <w:adjustRightInd w:val="0"/>
              <w:snapToGrid w:val="0"/>
              <w:spacing w:line="400" w:lineRule="atLeast"/>
              <w:jc w:val="center"/>
              <w:rPr>
                <w:rFonts w:ascii="Arial" w:hAnsi="Arial" w:cs="Arial"/>
                <w:kern w:val="0"/>
              </w:rPr>
            </w:pPr>
          </w:p>
        </w:tc>
      </w:tr>
      <w:tr w14:paraId="0BE61B3F">
        <w:tblPrEx>
          <w:tblCellMar>
            <w:top w:w="0" w:type="dxa"/>
            <w:left w:w="108" w:type="dxa"/>
            <w:bottom w:w="0" w:type="dxa"/>
            <w:right w:w="108" w:type="dxa"/>
          </w:tblCellMar>
        </w:tblPrEx>
        <w:trPr>
          <w:trHeight w:val="369" w:hRule="atLeast"/>
          <w:jc w:val="center"/>
        </w:trPr>
        <w:tc>
          <w:tcPr>
            <w:tcW w:w="777" w:type="dxa"/>
            <w:tcBorders>
              <w:top w:val="single" w:color="000000" w:sz="4" w:space="0"/>
              <w:left w:val="single" w:color="000000" w:sz="4" w:space="0"/>
              <w:bottom w:val="single" w:color="000000" w:sz="4" w:space="0"/>
              <w:right w:val="single" w:color="000000" w:sz="4" w:space="0"/>
            </w:tcBorders>
          </w:tcPr>
          <w:p w14:paraId="60460D32">
            <w:pPr>
              <w:widowControl/>
              <w:adjustRightInd w:val="0"/>
              <w:snapToGrid w:val="0"/>
              <w:spacing w:line="400" w:lineRule="atLeast"/>
              <w:jc w:val="center"/>
              <w:rPr>
                <w:rFonts w:ascii="Arial" w:hAnsi="Arial" w:cs="Arial"/>
                <w:kern w:val="0"/>
              </w:rPr>
            </w:pPr>
          </w:p>
        </w:tc>
        <w:tc>
          <w:tcPr>
            <w:tcW w:w="1280" w:type="dxa"/>
            <w:tcBorders>
              <w:top w:val="single" w:color="000000" w:sz="4" w:space="0"/>
              <w:left w:val="nil"/>
              <w:bottom w:val="single" w:color="000000" w:sz="4" w:space="0"/>
              <w:right w:val="single" w:color="000000" w:sz="4" w:space="0"/>
            </w:tcBorders>
          </w:tcPr>
          <w:p w14:paraId="21A3D408">
            <w:pPr>
              <w:widowControl/>
              <w:adjustRightInd w:val="0"/>
              <w:snapToGrid w:val="0"/>
              <w:spacing w:line="400" w:lineRule="atLeast"/>
              <w:jc w:val="center"/>
              <w:rPr>
                <w:rFonts w:ascii="Arial" w:hAnsi="Arial" w:cs="Arial"/>
                <w:kern w:val="0"/>
              </w:rPr>
            </w:pPr>
          </w:p>
        </w:tc>
        <w:tc>
          <w:tcPr>
            <w:tcW w:w="1420" w:type="dxa"/>
            <w:tcBorders>
              <w:top w:val="single" w:color="000000" w:sz="4" w:space="0"/>
              <w:left w:val="nil"/>
              <w:bottom w:val="single" w:color="000000" w:sz="4" w:space="0"/>
              <w:right w:val="single" w:color="000000" w:sz="4" w:space="0"/>
            </w:tcBorders>
          </w:tcPr>
          <w:p w14:paraId="70D9987B">
            <w:pPr>
              <w:widowControl/>
              <w:adjustRightInd w:val="0"/>
              <w:snapToGrid w:val="0"/>
              <w:spacing w:line="400" w:lineRule="atLeast"/>
              <w:jc w:val="center"/>
              <w:rPr>
                <w:rFonts w:ascii="Arial" w:hAnsi="Arial" w:cs="Arial"/>
                <w:kern w:val="0"/>
              </w:rPr>
            </w:pPr>
          </w:p>
        </w:tc>
        <w:tc>
          <w:tcPr>
            <w:tcW w:w="1097" w:type="dxa"/>
            <w:tcBorders>
              <w:top w:val="single" w:color="000000" w:sz="4" w:space="0"/>
              <w:left w:val="nil"/>
              <w:bottom w:val="single" w:color="000000" w:sz="4" w:space="0"/>
              <w:right w:val="single" w:color="auto" w:sz="4" w:space="0"/>
            </w:tcBorders>
          </w:tcPr>
          <w:p w14:paraId="346C805C">
            <w:pPr>
              <w:widowControl/>
              <w:adjustRightInd w:val="0"/>
              <w:snapToGrid w:val="0"/>
              <w:spacing w:line="400" w:lineRule="atLeast"/>
              <w:jc w:val="center"/>
              <w:rPr>
                <w:rFonts w:ascii="Arial" w:hAnsi="Arial" w:cs="Arial"/>
                <w:kern w:val="0"/>
              </w:rPr>
            </w:pPr>
          </w:p>
        </w:tc>
        <w:tc>
          <w:tcPr>
            <w:tcW w:w="1321" w:type="dxa"/>
            <w:tcBorders>
              <w:top w:val="single" w:color="auto" w:sz="4" w:space="0"/>
              <w:left w:val="single" w:color="auto" w:sz="4" w:space="0"/>
              <w:bottom w:val="single" w:color="auto" w:sz="4" w:space="0"/>
              <w:right w:val="single" w:color="auto" w:sz="4" w:space="0"/>
            </w:tcBorders>
          </w:tcPr>
          <w:p w14:paraId="3B10A3EF">
            <w:pPr>
              <w:widowControl/>
              <w:adjustRightInd w:val="0"/>
              <w:snapToGrid w:val="0"/>
              <w:spacing w:line="400" w:lineRule="atLeast"/>
              <w:jc w:val="center"/>
              <w:rPr>
                <w:rFonts w:ascii="Arial" w:hAnsi="Arial" w:cs="Arial"/>
                <w:kern w:val="0"/>
              </w:rPr>
            </w:pPr>
          </w:p>
        </w:tc>
        <w:tc>
          <w:tcPr>
            <w:tcW w:w="1582" w:type="dxa"/>
            <w:tcBorders>
              <w:top w:val="single" w:color="auto" w:sz="4" w:space="0"/>
              <w:left w:val="single" w:color="auto" w:sz="4" w:space="0"/>
              <w:bottom w:val="single" w:color="auto" w:sz="4" w:space="0"/>
              <w:right w:val="single" w:color="auto" w:sz="4" w:space="0"/>
            </w:tcBorders>
          </w:tcPr>
          <w:p w14:paraId="5C17DD8B">
            <w:pPr>
              <w:widowControl/>
              <w:adjustRightInd w:val="0"/>
              <w:snapToGrid w:val="0"/>
              <w:spacing w:line="400" w:lineRule="atLeast"/>
              <w:jc w:val="center"/>
              <w:rPr>
                <w:rFonts w:ascii="Arial" w:hAnsi="Arial" w:cs="Arial"/>
                <w:kern w:val="0"/>
              </w:rPr>
            </w:pPr>
          </w:p>
        </w:tc>
        <w:tc>
          <w:tcPr>
            <w:tcW w:w="1085" w:type="dxa"/>
            <w:tcBorders>
              <w:top w:val="single" w:color="000000" w:sz="4" w:space="0"/>
              <w:left w:val="single" w:color="auto" w:sz="4" w:space="0"/>
              <w:bottom w:val="single" w:color="000000" w:sz="4" w:space="0"/>
              <w:right w:val="single" w:color="000000" w:sz="4" w:space="0"/>
            </w:tcBorders>
          </w:tcPr>
          <w:p w14:paraId="26B8A723">
            <w:pPr>
              <w:widowControl/>
              <w:adjustRightInd w:val="0"/>
              <w:snapToGrid w:val="0"/>
              <w:spacing w:line="400" w:lineRule="atLeast"/>
              <w:jc w:val="center"/>
              <w:rPr>
                <w:rFonts w:ascii="Arial" w:hAnsi="Arial" w:cs="Arial"/>
                <w:kern w:val="0"/>
              </w:rPr>
            </w:pPr>
          </w:p>
        </w:tc>
        <w:tc>
          <w:tcPr>
            <w:tcW w:w="1085" w:type="dxa"/>
            <w:tcBorders>
              <w:top w:val="single" w:color="000000" w:sz="4" w:space="0"/>
              <w:left w:val="nil"/>
              <w:bottom w:val="single" w:color="000000" w:sz="4" w:space="0"/>
              <w:right w:val="single" w:color="000000" w:sz="4" w:space="0"/>
            </w:tcBorders>
          </w:tcPr>
          <w:p w14:paraId="5D4D4C7B">
            <w:pPr>
              <w:widowControl/>
              <w:adjustRightInd w:val="0"/>
              <w:snapToGrid w:val="0"/>
              <w:spacing w:line="400" w:lineRule="atLeast"/>
              <w:jc w:val="center"/>
              <w:rPr>
                <w:rFonts w:ascii="Arial" w:hAnsi="Arial" w:cs="Arial"/>
                <w:kern w:val="0"/>
              </w:rPr>
            </w:pPr>
          </w:p>
        </w:tc>
      </w:tr>
      <w:tr w14:paraId="28AF507B">
        <w:tblPrEx>
          <w:tblCellMar>
            <w:top w:w="0" w:type="dxa"/>
            <w:left w:w="108" w:type="dxa"/>
            <w:bottom w:w="0" w:type="dxa"/>
            <w:right w:w="108" w:type="dxa"/>
          </w:tblCellMar>
        </w:tblPrEx>
        <w:trPr>
          <w:trHeight w:val="369" w:hRule="atLeast"/>
          <w:jc w:val="center"/>
        </w:trPr>
        <w:tc>
          <w:tcPr>
            <w:tcW w:w="777" w:type="dxa"/>
            <w:tcBorders>
              <w:top w:val="single" w:color="000000" w:sz="4" w:space="0"/>
              <w:left w:val="single" w:color="000000" w:sz="4" w:space="0"/>
              <w:bottom w:val="single" w:color="000000" w:sz="4" w:space="0"/>
              <w:right w:val="single" w:color="000000" w:sz="4" w:space="0"/>
            </w:tcBorders>
          </w:tcPr>
          <w:p w14:paraId="13BB0950">
            <w:pPr>
              <w:widowControl/>
              <w:adjustRightInd w:val="0"/>
              <w:snapToGrid w:val="0"/>
              <w:spacing w:line="400" w:lineRule="atLeast"/>
              <w:jc w:val="center"/>
              <w:rPr>
                <w:rFonts w:ascii="Arial" w:hAnsi="Arial" w:cs="Arial"/>
                <w:kern w:val="0"/>
              </w:rPr>
            </w:pPr>
          </w:p>
        </w:tc>
        <w:tc>
          <w:tcPr>
            <w:tcW w:w="1280" w:type="dxa"/>
            <w:tcBorders>
              <w:top w:val="single" w:color="000000" w:sz="4" w:space="0"/>
              <w:left w:val="nil"/>
              <w:bottom w:val="single" w:color="000000" w:sz="4" w:space="0"/>
              <w:right w:val="single" w:color="000000" w:sz="4" w:space="0"/>
            </w:tcBorders>
          </w:tcPr>
          <w:p w14:paraId="60EB97A8">
            <w:pPr>
              <w:widowControl/>
              <w:adjustRightInd w:val="0"/>
              <w:snapToGrid w:val="0"/>
              <w:spacing w:line="400" w:lineRule="atLeast"/>
              <w:jc w:val="center"/>
              <w:rPr>
                <w:rFonts w:ascii="Arial" w:hAnsi="Arial" w:cs="Arial"/>
                <w:kern w:val="0"/>
              </w:rPr>
            </w:pPr>
          </w:p>
        </w:tc>
        <w:tc>
          <w:tcPr>
            <w:tcW w:w="1420" w:type="dxa"/>
            <w:tcBorders>
              <w:top w:val="single" w:color="000000" w:sz="4" w:space="0"/>
              <w:left w:val="nil"/>
              <w:bottom w:val="single" w:color="000000" w:sz="4" w:space="0"/>
              <w:right w:val="single" w:color="000000" w:sz="4" w:space="0"/>
            </w:tcBorders>
          </w:tcPr>
          <w:p w14:paraId="3DF41576">
            <w:pPr>
              <w:widowControl/>
              <w:adjustRightInd w:val="0"/>
              <w:snapToGrid w:val="0"/>
              <w:spacing w:line="400" w:lineRule="atLeast"/>
              <w:jc w:val="center"/>
              <w:rPr>
                <w:rFonts w:ascii="Arial" w:hAnsi="Arial" w:cs="Arial"/>
                <w:kern w:val="0"/>
              </w:rPr>
            </w:pPr>
          </w:p>
        </w:tc>
        <w:tc>
          <w:tcPr>
            <w:tcW w:w="1097" w:type="dxa"/>
            <w:tcBorders>
              <w:top w:val="single" w:color="000000" w:sz="4" w:space="0"/>
              <w:left w:val="nil"/>
              <w:bottom w:val="single" w:color="000000" w:sz="4" w:space="0"/>
              <w:right w:val="single" w:color="auto" w:sz="4" w:space="0"/>
            </w:tcBorders>
          </w:tcPr>
          <w:p w14:paraId="40B04284">
            <w:pPr>
              <w:widowControl/>
              <w:adjustRightInd w:val="0"/>
              <w:snapToGrid w:val="0"/>
              <w:spacing w:line="400" w:lineRule="atLeast"/>
              <w:jc w:val="center"/>
              <w:rPr>
                <w:rFonts w:ascii="Arial" w:hAnsi="Arial" w:cs="Arial"/>
                <w:kern w:val="0"/>
              </w:rPr>
            </w:pPr>
          </w:p>
        </w:tc>
        <w:tc>
          <w:tcPr>
            <w:tcW w:w="1321" w:type="dxa"/>
            <w:tcBorders>
              <w:top w:val="single" w:color="auto" w:sz="4" w:space="0"/>
              <w:left w:val="single" w:color="auto" w:sz="4" w:space="0"/>
              <w:bottom w:val="single" w:color="auto" w:sz="4" w:space="0"/>
              <w:right w:val="single" w:color="auto" w:sz="4" w:space="0"/>
            </w:tcBorders>
          </w:tcPr>
          <w:p w14:paraId="5C7F4A23">
            <w:pPr>
              <w:widowControl/>
              <w:adjustRightInd w:val="0"/>
              <w:snapToGrid w:val="0"/>
              <w:spacing w:line="400" w:lineRule="atLeast"/>
              <w:jc w:val="center"/>
              <w:rPr>
                <w:rFonts w:ascii="Arial" w:hAnsi="Arial" w:cs="Arial"/>
                <w:kern w:val="0"/>
              </w:rPr>
            </w:pPr>
          </w:p>
        </w:tc>
        <w:tc>
          <w:tcPr>
            <w:tcW w:w="1582" w:type="dxa"/>
            <w:tcBorders>
              <w:top w:val="single" w:color="auto" w:sz="4" w:space="0"/>
              <w:left w:val="single" w:color="auto" w:sz="4" w:space="0"/>
              <w:bottom w:val="single" w:color="auto" w:sz="4" w:space="0"/>
              <w:right w:val="single" w:color="auto" w:sz="4" w:space="0"/>
            </w:tcBorders>
          </w:tcPr>
          <w:p w14:paraId="75CEC8E7">
            <w:pPr>
              <w:widowControl/>
              <w:adjustRightInd w:val="0"/>
              <w:snapToGrid w:val="0"/>
              <w:spacing w:line="400" w:lineRule="atLeast"/>
              <w:jc w:val="center"/>
              <w:rPr>
                <w:rFonts w:ascii="Arial" w:hAnsi="Arial" w:cs="Arial"/>
                <w:kern w:val="0"/>
              </w:rPr>
            </w:pPr>
          </w:p>
        </w:tc>
        <w:tc>
          <w:tcPr>
            <w:tcW w:w="1085" w:type="dxa"/>
            <w:tcBorders>
              <w:top w:val="single" w:color="000000" w:sz="4" w:space="0"/>
              <w:left w:val="single" w:color="auto" w:sz="4" w:space="0"/>
              <w:bottom w:val="single" w:color="000000" w:sz="4" w:space="0"/>
              <w:right w:val="single" w:color="000000" w:sz="4" w:space="0"/>
            </w:tcBorders>
          </w:tcPr>
          <w:p w14:paraId="59FE72E7">
            <w:pPr>
              <w:widowControl/>
              <w:adjustRightInd w:val="0"/>
              <w:snapToGrid w:val="0"/>
              <w:spacing w:line="400" w:lineRule="atLeast"/>
              <w:jc w:val="center"/>
              <w:rPr>
                <w:rFonts w:ascii="Arial" w:hAnsi="Arial" w:cs="Arial"/>
                <w:kern w:val="0"/>
              </w:rPr>
            </w:pPr>
          </w:p>
        </w:tc>
        <w:tc>
          <w:tcPr>
            <w:tcW w:w="1085" w:type="dxa"/>
            <w:tcBorders>
              <w:top w:val="single" w:color="000000" w:sz="4" w:space="0"/>
              <w:left w:val="nil"/>
              <w:bottom w:val="single" w:color="000000" w:sz="4" w:space="0"/>
              <w:right w:val="single" w:color="000000" w:sz="4" w:space="0"/>
            </w:tcBorders>
          </w:tcPr>
          <w:p w14:paraId="5076AB3D">
            <w:pPr>
              <w:widowControl/>
              <w:adjustRightInd w:val="0"/>
              <w:snapToGrid w:val="0"/>
              <w:spacing w:line="400" w:lineRule="atLeast"/>
              <w:jc w:val="center"/>
              <w:rPr>
                <w:rFonts w:ascii="Arial" w:hAnsi="Arial" w:cs="Arial"/>
                <w:kern w:val="0"/>
              </w:rPr>
            </w:pPr>
          </w:p>
        </w:tc>
      </w:tr>
      <w:tr w14:paraId="59DDB0AB">
        <w:tblPrEx>
          <w:tblCellMar>
            <w:top w:w="0" w:type="dxa"/>
            <w:left w:w="108" w:type="dxa"/>
            <w:bottom w:w="0" w:type="dxa"/>
            <w:right w:w="108" w:type="dxa"/>
          </w:tblCellMar>
        </w:tblPrEx>
        <w:trPr>
          <w:trHeight w:val="369" w:hRule="atLeast"/>
          <w:jc w:val="center"/>
        </w:trPr>
        <w:tc>
          <w:tcPr>
            <w:tcW w:w="777" w:type="dxa"/>
            <w:tcBorders>
              <w:top w:val="single" w:color="000000" w:sz="4" w:space="0"/>
              <w:left w:val="single" w:color="000000" w:sz="4" w:space="0"/>
              <w:bottom w:val="single" w:color="000000" w:sz="4" w:space="0"/>
              <w:right w:val="single" w:color="000000" w:sz="4" w:space="0"/>
            </w:tcBorders>
          </w:tcPr>
          <w:p w14:paraId="0E34C57F">
            <w:pPr>
              <w:widowControl/>
              <w:adjustRightInd w:val="0"/>
              <w:snapToGrid w:val="0"/>
              <w:spacing w:line="400" w:lineRule="atLeast"/>
              <w:jc w:val="center"/>
              <w:rPr>
                <w:rFonts w:ascii="Arial" w:hAnsi="Arial" w:cs="Arial"/>
                <w:kern w:val="0"/>
              </w:rPr>
            </w:pPr>
          </w:p>
        </w:tc>
        <w:tc>
          <w:tcPr>
            <w:tcW w:w="1280" w:type="dxa"/>
            <w:tcBorders>
              <w:top w:val="single" w:color="000000" w:sz="4" w:space="0"/>
              <w:left w:val="nil"/>
              <w:bottom w:val="single" w:color="000000" w:sz="4" w:space="0"/>
              <w:right w:val="single" w:color="000000" w:sz="4" w:space="0"/>
            </w:tcBorders>
          </w:tcPr>
          <w:p w14:paraId="22979CA0">
            <w:pPr>
              <w:widowControl/>
              <w:adjustRightInd w:val="0"/>
              <w:snapToGrid w:val="0"/>
              <w:spacing w:line="400" w:lineRule="atLeast"/>
              <w:jc w:val="center"/>
              <w:rPr>
                <w:rFonts w:ascii="Arial" w:hAnsi="Arial" w:cs="Arial"/>
                <w:kern w:val="0"/>
              </w:rPr>
            </w:pPr>
          </w:p>
        </w:tc>
        <w:tc>
          <w:tcPr>
            <w:tcW w:w="1420" w:type="dxa"/>
            <w:tcBorders>
              <w:top w:val="single" w:color="000000" w:sz="4" w:space="0"/>
              <w:left w:val="nil"/>
              <w:bottom w:val="single" w:color="000000" w:sz="4" w:space="0"/>
              <w:right w:val="single" w:color="000000" w:sz="4" w:space="0"/>
            </w:tcBorders>
          </w:tcPr>
          <w:p w14:paraId="0D1149A7">
            <w:pPr>
              <w:widowControl/>
              <w:adjustRightInd w:val="0"/>
              <w:snapToGrid w:val="0"/>
              <w:spacing w:line="400" w:lineRule="atLeast"/>
              <w:jc w:val="center"/>
              <w:rPr>
                <w:rFonts w:ascii="Arial" w:hAnsi="Arial" w:cs="Arial"/>
                <w:kern w:val="0"/>
              </w:rPr>
            </w:pPr>
          </w:p>
        </w:tc>
        <w:tc>
          <w:tcPr>
            <w:tcW w:w="1097" w:type="dxa"/>
            <w:tcBorders>
              <w:top w:val="single" w:color="000000" w:sz="4" w:space="0"/>
              <w:left w:val="nil"/>
              <w:bottom w:val="single" w:color="000000" w:sz="4" w:space="0"/>
              <w:right w:val="single" w:color="auto" w:sz="4" w:space="0"/>
            </w:tcBorders>
          </w:tcPr>
          <w:p w14:paraId="1DA9DCF9">
            <w:pPr>
              <w:widowControl/>
              <w:adjustRightInd w:val="0"/>
              <w:snapToGrid w:val="0"/>
              <w:spacing w:line="400" w:lineRule="atLeast"/>
              <w:jc w:val="center"/>
              <w:rPr>
                <w:rFonts w:ascii="Arial" w:hAnsi="Arial" w:cs="Arial"/>
                <w:kern w:val="0"/>
              </w:rPr>
            </w:pPr>
          </w:p>
        </w:tc>
        <w:tc>
          <w:tcPr>
            <w:tcW w:w="1321" w:type="dxa"/>
            <w:tcBorders>
              <w:top w:val="single" w:color="auto" w:sz="4" w:space="0"/>
              <w:left w:val="single" w:color="auto" w:sz="4" w:space="0"/>
              <w:bottom w:val="single" w:color="auto" w:sz="4" w:space="0"/>
              <w:right w:val="single" w:color="auto" w:sz="4" w:space="0"/>
            </w:tcBorders>
          </w:tcPr>
          <w:p w14:paraId="27A4DB46">
            <w:pPr>
              <w:widowControl/>
              <w:adjustRightInd w:val="0"/>
              <w:snapToGrid w:val="0"/>
              <w:spacing w:line="400" w:lineRule="atLeast"/>
              <w:jc w:val="center"/>
              <w:rPr>
                <w:rFonts w:ascii="Arial" w:hAnsi="Arial" w:cs="Arial"/>
                <w:kern w:val="0"/>
              </w:rPr>
            </w:pPr>
          </w:p>
        </w:tc>
        <w:tc>
          <w:tcPr>
            <w:tcW w:w="1582" w:type="dxa"/>
            <w:tcBorders>
              <w:top w:val="single" w:color="auto" w:sz="4" w:space="0"/>
              <w:left w:val="single" w:color="auto" w:sz="4" w:space="0"/>
              <w:bottom w:val="single" w:color="auto" w:sz="4" w:space="0"/>
              <w:right w:val="single" w:color="auto" w:sz="4" w:space="0"/>
            </w:tcBorders>
          </w:tcPr>
          <w:p w14:paraId="5AE0A795">
            <w:pPr>
              <w:widowControl/>
              <w:adjustRightInd w:val="0"/>
              <w:snapToGrid w:val="0"/>
              <w:spacing w:line="400" w:lineRule="atLeast"/>
              <w:jc w:val="center"/>
              <w:rPr>
                <w:rFonts w:ascii="Arial" w:hAnsi="Arial" w:cs="Arial"/>
                <w:kern w:val="0"/>
              </w:rPr>
            </w:pPr>
          </w:p>
        </w:tc>
        <w:tc>
          <w:tcPr>
            <w:tcW w:w="1085" w:type="dxa"/>
            <w:tcBorders>
              <w:top w:val="single" w:color="000000" w:sz="4" w:space="0"/>
              <w:left w:val="single" w:color="auto" w:sz="4" w:space="0"/>
              <w:bottom w:val="single" w:color="000000" w:sz="4" w:space="0"/>
              <w:right w:val="single" w:color="000000" w:sz="4" w:space="0"/>
            </w:tcBorders>
          </w:tcPr>
          <w:p w14:paraId="617E8F9D">
            <w:pPr>
              <w:widowControl/>
              <w:adjustRightInd w:val="0"/>
              <w:snapToGrid w:val="0"/>
              <w:spacing w:line="400" w:lineRule="atLeast"/>
              <w:jc w:val="center"/>
              <w:rPr>
                <w:rFonts w:ascii="Arial" w:hAnsi="Arial" w:cs="Arial"/>
                <w:kern w:val="0"/>
              </w:rPr>
            </w:pPr>
          </w:p>
        </w:tc>
        <w:tc>
          <w:tcPr>
            <w:tcW w:w="1085" w:type="dxa"/>
            <w:tcBorders>
              <w:top w:val="single" w:color="000000" w:sz="4" w:space="0"/>
              <w:left w:val="nil"/>
              <w:bottom w:val="single" w:color="000000" w:sz="4" w:space="0"/>
              <w:right w:val="single" w:color="000000" w:sz="4" w:space="0"/>
            </w:tcBorders>
          </w:tcPr>
          <w:p w14:paraId="11788123">
            <w:pPr>
              <w:widowControl/>
              <w:adjustRightInd w:val="0"/>
              <w:snapToGrid w:val="0"/>
              <w:spacing w:line="400" w:lineRule="atLeast"/>
              <w:jc w:val="center"/>
              <w:rPr>
                <w:rFonts w:ascii="Arial" w:hAnsi="Arial" w:cs="Arial"/>
                <w:kern w:val="0"/>
              </w:rPr>
            </w:pPr>
          </w:p>
        </w:tc>
      </w:tr>
    </w:tbl>
    <w:p w14:paraId="6F9BBB86">
      <w:pPr>
        <w:widowControl/>
        <w:adjustRightInd w:val="0"/>
        <w:snapToGrid w:val="0"/>
        <w:spacing w:line="360" w:lineRule="auto"/>
        <w:rPr>
          <w:rFonts w:ascii="宋体" w:hAnsi="宋体" w:cs="Arial"/>
          <w:kern w:val="0"/>
        </w:rPr>
      </w:pPr>
      <w:r>
        <w:rPr>
          <w:rFonts w:hint="eastAsia" w:ascii="宋体" w:hAnsi="宋体" w:cs="Arial"/>
          <w:kern w:val="0"/>
        </w:rPr>
        <w:t>供应商名称：</w:t>
      </w:r>
      <w:r>
        <w:rPr>
          <w:rFonts w:hint="eastAsia" w:ascii="宋体" w:hAnsi="宋体" w:cs="Arial"/>
          <w:kern w:val="0"/>
          <w:u w:val="single"/>
        </w:rPr>
        <w:t xml:space="preserve">                                                      </w:t>
      </w:r>
      <w:r>
        <w:rPr>
          <w:rFonts w:hint="eastAsia" w:ascii="宋体" w:hAnsi="宋体" w:cs="Arial"/>
          <w:kern w:val="0"/>
        </w:rPr>
        <w:t>（盖章）</w:t>
      </w:r>
    </w:p>
    <w:p w14:paraId="2F529931">
      <w:pPr>
        <w:widowControl/>
        <w:adjustRightInd w:val="0"/>
        <w:snapToGrid w:val="0"/>
        <w:spacing w:line="360" w:lineRule="auto"/>
        <w:rPr>
          <w:rFonts w:ascii="Arial" w:hAnsi="Arial" w:cs="Arial"/>
          <w:b/>
          <w:bCs/>
          <w:kern w:val="0"/>
        </w:rPr>
      </w:pPr>
      <w:r>
        <w:rPr>
          <w:rFonts w:hint="eastAsia" w:ascii="宋体" w:hAnsi="宋体" w:cs="Arial"/>
          <w:kern w:val="0"/>
        </w:rPr>
        <w:t>说明：如果行数不够，请自行增加。</w:t>
      </w:r>
      <w:r>
        <w:rPr>
          <w:rFonts w:ascii="Arial" w:hAnsi="Arial" w:cs="Arial"/>
          <w:b/>
          <w:bCs/>
          <w:kern w:val="0"/>
        </w:rPr>
        <w:t xml:space="preserve"> </w:t>
      </w:r>
    </w:p>
    <w:p w14:paraId="0C98CC2E">
      <w:pPr>
        <w:adjustRightInd/>
        <w:snapToGrid/>
        <w:spacing w:line="240" w:lineRule="auto"/>
        <w:rPr>
          <w:rFonts w:hint="eastAsia"/>
          <w:bCs/>
        </w:rPr>
      </w:pPr>
      <w:bookmarkStart w:id="360" w:name="_Toc118445296"/>
      <w:bookmarkStart w:id="361" w:name="_Toc11131"/>
      <w:r>
        <w:rPr>
          <w:rFonts w:hint="eastAsia"/>
          <w:bCs/>
        </w:rPr>
        <w:br w:type="page"/>
      </w:r>
    </w:p>
    <w:p w14:paraId="4C318488">
      <w:pPr>
        <w:keepNext/>
        <w:keepLines/>
        <w:widowControl w:val="0"/>
        <w:spacing w:before="120" w:after="120"/>
        <w:jc w:val="left"/>
        <w:outlineLvl w:val="0"/>
        <w:rPr>
          <w:rFonts w:ascii="宋体" w:hAnsi="宋体" w:eastAsia="宋体" w:cs="Times New Roman"/>
          <w:b/>
          <w:bCs/>
          <w:kern w:val="0"/>
          <w:sz w:val="20"/>
          <w:szCs w:val="24"/>
          <w:lang w:val="en-US" w:eastAsia="zh-CN" w:bidi="ar-SA"/>
        </w:rPr>
      </w:pPr>
      <w:r>
        <w:rPr>
          <w:rFonts w:hint="eastAsia" w:ascii="宋体" w:hAnsi="宋体" w:eastAsia="宋体" w:cs="Times New Roman"/>
          <w:b/>
          <w:bCs/>
          <w:kern w:val="0"/>
          <w:sz w:val="20"/>
          <w:szCs w:val="24"/>
          <w:lang w:val="en-US" w:eastAsia="zh-CN" w:bidi="ar-SA"/>
        </w:rPr>
        <w:t>目录九</w:t>
      </w:r>
      <w:r>
        <w:rPr>
          <w:rFonts w:ascii="宋体" w:hAnsi="宋体" w:eastAsia="宋体" w:cs="Times New Roman"/>
          <w:b/>
          <w:bCs/>
          <w:kern w:val="0"/>
          <w:sz w:val="20"/>
          <w:szCs w:val="24"/>
          <w:lang w:val="en-US" w:eastAsia="zh-CN" w:bidi="ar-SA"/>
        </w:rPr>
        <w:t>、项目实施方案</w:t>
      </w:r>
      <w:bookmarkEnd w:id="360"/>
      <w:bookmarkEnd w:id="361"/>
    </w:p>
    <w:p w14:paraId="66667373">
      <w:pPr>
        <w:adjustRightInd w:val="0"/>
        <w:snapToGrid w:val="0"/>
        <w:spacing w:line="360" w:lineRule="auto"/>
        <w:rPr>
          <w:rFonts w:ascii="宋体" w:hAnsi="宋体"/>
        </w:rPr>
      </w:pPr>
    </w:p>
    <w:p w14:paraId="566E8F3B">
      <w:pPr>
        <w:adjustRightInd w:val="0"/>
        <w:snapToGrid w:val="0"/>
        <w:spacing w:line="360" w:lineRule="auto"/>
        <w:jc w:val="center"/>
        <w:outlineLvl w:val="0"/>
        <w:rPr>
          <w:rFonts w:ascii="宋体" w:hAnsi="宋体" w:cs="宋体"/>
          <w:sz w:val="36"/>
          <w:szCs w:val="36"/>
        </w:rPr>
      </w:pPr>
      <w:bookmarkStart w:id="362" w:name="_Toc11125"/>
      <w:r>
        <w:rPr>
          <w:rFonts w:ascii="宋体" w:hAnsi="宋体" w:cs="宋体"/>
          <w:sz w:val="36"/>
          <w:szCs w:val="36"/>
        </w:rPr>
        <w:t>项目实施方案（若有）</w:t>
      </w:r>
      <w:bookmarkEnd w:id="362"/>
    </w:p>
    <w:p w14:paraId="30B75E19">
      <w:pPr>
        <w:adjustRightInd w:val="0"/>
        <w:snapToGrid w:val="0"/>
        <w:spacing w:line="360" w:lineRule="auto"/>
        <w:rPr>
          <w:rFonts w:ascii="宋体" w:hAnsi="宋体"/>
        </w:rPr>
      </w:pPr>
    </w:p>
    <w:p w14:paraId="46750D5D">
      <w:pPr>
        <w:adjustRightInd w:val="0"/>
        <w:snapToGrid w:val="0"/>
        <w:spacing w:line="360" w:lineRule="auto"/>
        <w:rPr>
          <w:rFonts w:ascii="宋体" w:hAnsi="宋体"/>
        </w:rPr>
      </w:pPr>
    </w:p>
    <w:p w14:paraId="0F1881E4">
      <w:pPr>
        <w:adjustRightInd w:val="0"/>
        <w:snapToGrid w:val="0"/>
        <w:spacing w:line="360" w:lineRule="auto"/>
        <w:rPr>
          <w:rFonts w:ascii="宋体" w:hAnsi="宋体"/>
        </w:rPr>
      </w:pPr>
    </w:p>
    <w:p w14:paraId="3B4EE1E0">
      <w:pPr>
        <w:keepNext/>
        <w:keepLines/>
        <w:widowControl w:val="0"/>
        <w:spacing w:before="120" w:after="120"/>
        <w:jc w:val="left"/>
        <w:outlineLvl w:val="0"/>
        <w:rPr>
          <w:rFonts w:ascii="宋体" w:hAnsi="宋体" w:eastAsia="宋体" w:cs="Times New Roman"/>
          <w:b w:val="0"/>
          <w:kern w:val="0"/>
          <w:sz w:val="20"/>
          <w:szCs w:val="24"/>
          <w:lang w:val="en-US" w:eastAsia="zh-CN" w:bidi="ar-SA"/>
        </w:rPr>
      </w:pPr>
      <w:bookmarkStart w:id="363" w:name="_Toc5518"/>
      <w:bookmarkStart w:id="364" w:name="_Toc118445297"/>
      <w:r>
        <w:rPr>
          <w:rFonts w:hint="eastAsia" w:ascii="宋体" w:hAnsi="宋体" w:eastAsia="宋体" w:cs="Times New Roman"/>
          <w:b/>
          <w:bCs/>
          <w:kern w:val="0"/>
          <w:sz w:val="20"/>
          <w:szCs w:val="24"/>
          <w:lang w:val="en-US" w:eastAsia="zh-CN" w:bidi="ar-SA"/>
        </w:rPr>
        <w:t>目录十</w:t>
      </w:r>
      <w:r>
        <w:rPr>
          <w:rFonts w:ascii="宋体" w:hAnsi="宋体" w:eastAsia="宋体" w:cs="Times New Roman"/>
          <w:b/>
          <w:bCs/>
          <w:kern w:val="0"/>
          <w:sz w:val="20"/>
          <w:szCs w:val="24"/>
          <w:lang w:val="en-US" w:eastAsia="zh-CN" w:bidi="ar-SA"/>
        </w:rPr>
        <w:t>、企业声明函格式</w:t>
      </w:r>
      <w:bookmarkEnd w:id="363"/>
      <w:bookmarkEnd w:id="364"/>
    </w:p>
    <w:p w14:paraId="66DBFF66">
      <w:pPr>
        <w:widowControl/>
        <w:adjustRightInd w:val="0"/>
        <w:snapToGrid w:val="0"/>
        <w:spacing w:line="440" w:lineRule="exact"/>
        <w:ind w:firstLine="420" w:firstLineChars="200"/>
        <w:jc w:val="center"/>
        <w:rPr>
          <w:rFonts w:ascii="Arial" w:hAnsi="Arial" w:cs="Arial"/>
          <w:snapToGrid w:val="0"/>
          <w:color w:val="000000"/>
          <w:kern w:val="0"/>
          <w:szCs w:val="21"/>
        </w:rPr>
      </w:pPr>
      <w:bookmarkStart w:id="365" w:name="bookmark27"/>
      <w:bookmarkStart w:id="366" w:name="bookmark29"/>
      <w:bookmarkStart w:id="367" w:name="bookmark28"/>
      <w:r>
        <w:rPr>
          <w:rFonts w:hint="eastAsia" w:ascii="Arial" w:hAnsi="Arial" w:cs="Arial"/>
          <w:snapToGrid w:val="0"/>
          <w:color w:val="000000"/>
          <w:kern w:val="0"/>
          <w:szCs w:val="21"/>
        </w:rPr>
        <w:t>中小企业声明函（货物）</w:t>
      </w:r>
      <w:bookmarkEnd w:id="365"/>
      <w:bookmarkEnd w:id="366"/>
      <w:bookmarkEnd w:id="367"/>
    </w:p>
    <w:p w14:paraId="5848D97F">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本公司（联合体）郑重声明，根据《政府采购促进中小企业发展管理办法》（财库〔2020 ） 46号）的规定，本公司（联合体）参加</w:t>
      </w:r>
      <w:r>
        <w:rPr>
          <w:rFonts w:hint="eastAsia" w:ascii="Arial" w:hAnsi="Arial" w:cs="Arial"/>
          <w:snapToGrid w:val="0"/>
          <w:color w:val="000000"/>
          <w:kern w:val="0"/>
          <w:szCs w:val="21"/>
          <w:u w:val="single"/>
        </w:rPr>
        <w:t>（单位名称）</w:t>
      </w:r>
      <w:r>
        <w:rPr>
          <w:rFonts w:hint="eastAsia" w:ascii="Arial" w:hAnsi="Arial" w:cs="Arial"/>
          <w:snapToGrid w:val="0"/>
          <w:color w:val="000000"/>
          <w:kern w:val="0"/>
          <w:szCs w:val="21"/>
        </w:rPr>
        <w:t>的</w:t>
      </w:r>
      <w:r>
        <w:rPr>
          <w:rFonts w:hint="eastAsia" w:ascii="Arial" w:hAnsi="Arial" w:cs="Arial"/>
          <w:snapToGrid w:val="0"/>
          <w:color w:val="000000"/>
          <w:kern w:val="0"/>
          <w:szCs w:val="21"/>
          <w:u w:val="single"/>
        </w:rPr>
        <w:t>（项目名称）</w:t>
      </w:r>
      <w:r>
        <w:rPr>
          <w:rFonts w:hint="eastAsia" w:ascii="Arial" w:hAnsi="Arial" w:cs="Arial"/>
          <w:snapToGrid w:val="0"/>
          <w:color w:val="000000"/>
          <w:kern w:val="0"/>
          <w:szCs w:val="21"/>
        </w:rPr>
        <w:t>采购活动，提供的货物全部由符合政策要求的中小企业制造。相关企业（含联合体中的中小企业、签订分包意向协议的中小企业）的具体情况如下：</w:t>
      </w:r>
    </w:p>
    <w:p w14:paraId="5A646B20">
      <w:pPr>
        <w:widowControl/>
        <w:adjustRightInd w:val="0"/>
        <w:snapToGrid w:val="0"/>
        <w:spacing w:line="440" w:lineRule="exact"/>
        <w:ind w:firstLine="420" w:firstLineChars="200"/>
        <w:jc w:val="left"/>
        <w:rPr>
          <w:rFonts w:ascii="Arial" w:hAnsi="Arial" w:cs="Arial"/>
          <w:snapToGrid w:val="0"/>
          <w:color w:val="000000"/>
          <w:kern w:val="0"/>
          <w:szCs w:val="21"/>
        </w:rPr>
      </w:pPr>
      <w:bookmarkStart w:id="368" w:name="bookmark30"/>
      <w:bookmarkEnd w:id="368"/>
      <w:r>
        <w:rPr>
          <w:rFonts w:hint="eastAsia" w:ascii="Arial" w:hAnsi="Arial" w:cs="Arial"/>
          <w:snapToGrid w:val="0"/>
          <w:color w:val="000000"/>
          <w:kern w:val="0"/>
          <w:szCs w:val="21"/>
        </w:rPr>
        <w:t>1.</w:t>
      </w:r>
      <w:r>
        <w:rPr>
          <w:rFonts w:hint="eastAsia" w:ascii="Arial" w:hAnsi="Arial" w:cs="Arial"/>
          <w:snapToGrid w:val="0"/>
          <w:color w:val="000000"/>
          <w:kern w:val="0"/>
          <w:szCs w:val="21"/>
          <w:u w:val="single"/>
        </w:rPr>
        <w:t>（标的名称）</w:t>
      </w:r>
      <w:r>
        <w:rPr>
          <w:rFonts w:hint="eastAsia" w:ascii="Arial" w:hAnsi="Arial" w:cs="Arial"/>
          <w:snapToGrid w:val="0"/>
          <w:color w:val="000000"/>
          <w:kern w:val="0"/>
          <w:szCs w:val="21"/>
        </w:rPr>
        <w:t>，属于</w:t>
      </w:r>
      <w:r>
        <w:rPr>
          <w:rFonts w:hint="eastAsia" w:ascii="Arial" w:hAnsi="Arial" w:cs="Arial"/>
          <w:snapToGrid w:val="0"/>
          <w:color w:val="000000"/>
          <w:kern w:val="0"/>
          <w:szCs w:val="21"/>
          <w:u w:val="single"/>
        </w:rPr>
        <w:t>（采购文件中明确的所属行业）行业；</w:t>
      </w:r>
      <w:r>
        <w:rPr>
          <w:rFonts w:hint="eastAsia" w:ascii="Arial" w:hAnsi="Arial" w:cs="Arial"/>
          <w:snapToGrid w:val="0"/>
          <w:color w:val="000000"/>
          <w:kern w:val="0"/>
          <w:szCs w:val="21"/>
        </w:rPr>
        <w:t>制造商为</w:t>
      </w:r>
      <w:r>
        <w:rPr>
          <w:rFonts w:hint="eastAsia" w:ascii="Arial" w:hAnsi="Arial" w:cs="Arial"/>
          <w:snapToGrid w:val="0"/>
          <w:color w:val="000000"/>
          <w:kern w:val="0"/>
          <w:szCs w:val="21"/>
          <w:u w:val="single"/>
        </w:rPr>
        <w:t>（企业名称）</w:t>
      </w:r>
      <w:r>
        <w:rPr>
          <w:rFonts w:hint="eastAsia" w:ascii="Arial" w:hAnsi="Arial" w:cs="Arial"/>
          <w:snapToGrid w:val="0"/>
          <w:color w:val="000000"/>
          <w:kern w:val="0"/>
          <w:szCs w:val="21"/>
        </w:rPr>
        <w:t>，从业人员</w:t>
      </w:r>
      <w:r>
        <w:rPr>
          <w:rFonts w:hint="eastAsia" w:ascii="Arial" w:hAnsi="Arial" w:cs="Arial"/>
          <w:snapToGrid w:val="0"/>
          <w:color w:val="000000"/>
          <w:kern w:val="0"/>
          <w:szCs w:val="21"/>
          <w:u w:val="single"/>
        </w:rPr>
        <w:tab/>
      </w:r>
      <w:r>
        <w:rPr>
          <w:rFonts w:hint="eastAsia" w:ascii="Arial" w:hAnsi="Arial" w:cs="Arial"/>
          <w:snapToGrid w:val="0"/>
          <w:color w:val="000000"/>
          <w:kern w:val="0"/>
          <w:szCs w:val="21"/>
        </w:rPr>
        <w:t>人，营业收入为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万元，资产总额为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w:t>
      </w:r>
      <w:r>
        <w:rPr>
          <w:rFonts w:hint="eastAsia" w:ascii="Arial" w:hAnsi="Arial" w:cs="Arial"/>
          <w:snapToGrid w:val="0"/>
          <w:color w:val="000000"/>
          <w:kern w:val="0"/>
          <w:szCs w:val="21"/>
          <w:vertAlign w:val="superscript"/>
        </w:rPr>
        <w:fldChar w:fldCharType="begin"/>
      </w:r>
      <w:r>
        <w:rPr>
          <w:rFonts w:hint="eastAsia" w:ascii="Arial" w:hAnsi="Arial" w:cs="Arial"/>
          <w:snapToGrid w:val="0"/>
          <w:color w:val="000000"/>
          <w:kern w:val="0"/>
          <w:szCs w:val="21"/>
          <w:vertAlign w:val="superscript"/>
        </w:rPr>
        <w:instrText xml:space="preserve"> = 1 \* Arabic \* MERGEFORMAT </w:instrText>
      </w:r>
      <w:r>
        <w:rPr>
          <w:rFonts w:hint="eastAsia" w:ascii="Arial" w:hAnsi="Arial" w:cs="Arial"/>
          <w:snapToGrid w:val="0"/>
          <w:color w:val="000000"/>
          <w:kern w:val="0"/>
          <w:szCs w:val="21"/>
          <w:vertAlign w:val="superscript"/>
        </w:rPr>
        <w:fldChar w:fldCharType="separate"/>
      </w:r>
      <w:r>
        <w:rPr>
          <w:vertAlign w:val="superscript"/>
        </w:rPr>
        <w:t>1</w:t>
      </w:r>
      <w:r>
        <w:rPr>
          <w:rFonts w:hint="eastAsia" w:ascii="Arial" w:hAnsi="Arial" w:cs="Arial"/>
          <w:snapToGrid w:val="0"/>
          <w:color w:val="000000"/>
          <w:kern w:val="0"/>
          <w:szCs w:val="21"/>
          <w:vertAlign w:val="superscript"/>
        </w:rPr>
        <w:fldChar w:fldCharType="end"/>
      </w:r>
      <w:r>
        <w:rPr>
          <w:rFonts w:hint="eastAsia" w:ascii="Arial" w:hAnsi="Arial" w:cs="Arial"/>
          <w:snapToGrid w:val="0"/>
          <w:color w:val="000000"/>
          <w:kern w:val="0"/>
          <w:szCs w:val="21"/>
        </w:rPr>
        <w:t>，属于</w:t>
      </w:r>
      <w:r>
        <w:rPr>
          <w:rFonts w:hint="eastAsia" w:ascii="Arial" w:hAnsi="Arial" w:cs="Arial"/>
          <w:snapToGrid w:val="0"/>
          <w:color w:val="000000"/>
          <w:kern w:val="0"/>
          <w:szCs w:val="21"/>
          <w:u w:val="single"/>
        </w:rPr>
        <w:t>（中型企业、小型企业、微型企业）</w:t>
      </w:r>
      <w:r>
        <w:rPr>
          <w:rFonts w:hint="eastAsia" w:ascii="Arial" w:hAnsi="Arial" w:cs="Arial"/>
          <w:snapToGrid w:val="0"/>
          <w:color w:val="000000"/>
          <w:kern w:val="0"/>
          <w:szCs w:val="21"/>
        </w:rPr>
        <w:t>，</w:t>
      </w:r>
    </w:p>
    <w:p w14:paraId="7F007594">
      <w:pPr>
        <w:widowControl/>
        <w:adjustRightInd w:val="0"/>
        <w:snapToGrid w:val="0"/>
        <w:spacing w:line="440" w:lineRule="exact"/>
        <w:ind w:firstLine="420" w:firstLineChars="200"/>
        <w:jc w:val="left"/>
        <w:rPr>
          <w:rFonts w:ascii="Arial" w:hAnsi="Arial" w:cs="Arial"/>
          <w:snapToGrid w:val="0"/>
          <w:color w:val="000000"/>
          <w:kern w:val="0"/>
          <w:szCs w:val="21"/>
        </w:rPr>
      </w:pPr>
      <w:bookmarkStart w:id="369" w:name="bookmark31"/>
      <w:bookmarkEnd w:id="369"/>
      <w:r>
        <w:rPr>
          <w:rFonts w:hint="eastAsia" w:ascii="Arial" w:hAnsi="Arial" w:cs="Arial"/>
          <w:snapToGrid w:val="0"/>
          <w:color w:val="000000"/>
          <w:kern w:val="0"/>
          <w:szCs w:val="21"/>
        </w:rPr>
        <w:t>2.</w:t>
      </w:r>
      <w:r>
        <w:rPr>
          <w:rFonts w:hint="eastAsia" w:ascii="Arial" w:hAnsi="Arial" w:cs="Arial"/>
          <w:snapToGrid w:val="0"/>
          <w:color w:val="000000"/>
          <w:kern w:val="0"/>
          <w:szCs w:val="21"/>
          <w:u w:val="single"/>
        </w:rPr>
        <w:t>（标的名称）</w:t>
      </w:r>
      <w:r>
        <w:rPr>
          <w:rFonts w:hint="eastAsia" w:ascii="Arial" w:hAnsi="Arial" w:cs="Arial"/>
          <w:snapToGrid w:val="0"/>
          <w:color w:val="000000"/>
          <w:kern w:val="0"/>
          <w:szCs w:val="21"/>
        </w:rPr>
        <w:t>，属于</w:t>
      </w:r>
      <w:r>
        <w:rPr>
          <w:rFonts w:hint="eastAsia" w:ascii="Arial" w:hAnsi="Arial" w:cs="Arial"/>
          <w:snapToGrid w:val="0"/>
          <w:color w:val="000000"/>
          <w:kern w:val="0"/>
          <w:szCs w:val="21"/>
          <w:u w:val="single"/>
        </w:rPr>
        <w:t>（采购文件中明确的所属行业）行业</w:t>
      </w:r>
      <w:r>
        <w:rPr>
          <w:rFonts w:hint="eastAsia" w:ascii="Arial" w:hAnsi="Arial" w:cs="Arial"/>
          <w:snapToGrid w:val="0"/>
          <w:color w:val="000000"/>
          <w:kern w:val="0"/>
          <w:szCs w:val="21"/>
        </w:rPr>
        <w:t>；制造商为</w:t>
      </w:r>
      <w:r>
        <w:rPr>
          <w:rFonts w:hint="eastAsia" w:ascii="Arial" w:hAnsi="Arial" w:cs="Arial"/>
          <w:snapToGrid w:val="0"/>
          <w:color w:val="000000"/>
          <w:kern w:val="0"/>
          <w:szCs w:val="21"/>
          <w:u w:val="single"/>
        </w:rPr>
        <w:t>（企业名称）</w:t>
      </w:r>
      <w:r>
        <w:rPr>
          <w:rFonts w:hint="eastAsia" w:ascii="Arial" w:hAnsi="Arial" w:cs="Arial"/>
          <w:snapToGrid w:val="0"/>
          <w:color w:val="000000"/>
          <w:kern w:val="0"/>
          <w:szCs w:val="21"/>
        </w:rPr>
        <w:t>，从业人员</w:t>
      </w:r>
      <w:r>
        <w:rPr>
          <w:rFonts w:hint="eastAsia" w:ascii="Arial" w:hAnsi="Arial" w:cs="Arial"/>
          <w:snapToGrid w:val="0"/>
          <w:color w:val="000000"/>
          <w:kern w:val="0"/>
          <w:szCs w:val="21"/>
          <w:u w:val="single"/>
        </w:rPr>
        <w:tab/>
      </w:r>
      <w:r>
        <w:rPr>
          <w:rFonts w:hint="eastAsia" w:ascii="Arial" w:hAnsi="Arial" w:cs="Arial"/>
          <w:snapToGrid w:val="0"/>
          <w:color w:val="000000"/>
          <w:kern w:val="0"/>
          <w:szCs w:val="21"/>
        </w:rPr>
        <w:t>人，营业收入为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万元，资产总额为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万元，属于</w:t>
      </w:r>
      <w:r>
        <w:rPr>
          <w:rFonts w:hint="eastAsia" w:ascii="Arial" w:hAnsi="Arial" w:cs="Arial"/>
          <w:snapToGrid w:val="0"/>
          <w:color w:val="000000"/>
          <w:kern w:val="0"/>
          <w:szCs w:val="21"/>
          <w:u w:val="single"/>
        </w:rPr>
        <w:t>（中型企业、小型企业、微型企</w:t>
      </w:r>
      <w:r>
        <w:rPr>
          <w:rFonts w:hint="eastAsia" w:ascii="Arial" w:hAnsi="Arial" w:cs="Arial"/>
          <w:snapToGrid w:val="0"/>
          <w:color w:val="000000"/>
          <w:kern w:val="0"/>
          <w:szCs w:val="21"/>
          <w:u w:val="single"/>
          <w:lang w:val="zh-CN"/>
        </w:rPr>
        <w:t>业）</w:t>
      </w:r>
      <w:r>
        <w:rPr>
          <w:rFonts w:hint="eastAsia" w:ascii="Arial" w:hAnsi="Arial" w:cs="Arial"/>
          <w:snapToGrid w:val="0"/>
          <w:color w:val="000000"/>
          <w:kern w:val="0"/>
          <w:szCs w:val="21"/>
          <w:lang w:val="zh-CN"/>
        </w:rPr>
        <w:t>；</w:t>
      </w:r>
    </w:p>
    <w:p w14:paraId="4AE3F5A1">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w:t>
      </w:r>
      <w:r>
        <w:rPr>
          <w:rFonts w:hint="eastAsia" w:ascii="Arial" w:hAnsi="Arial" w:cs="Arial"/>
          <w:snapToGrid w:val="0"/>
          <w:color w:val="000000"/>
          <w:kern w:val="0"/>
          <w:szCs w:val="21"/>
        </w:rPr>
        <w:tab/>
      </w:r>
    </w:p>
    <w:p w14:paraId="726DF693">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以上企业，不属于大企业的分支机构，不存在控股股东为大企业的情形，也不存在与大企业的负责人为同一人的情形。</w:t>
      </w:r>
    </w:p>
    <w:p w14:paraId="49D9CF29">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本企业对上述声明内容的真实性负责。如有虚假，将依法承担相应责任。</w:t>
      </w:r>
    </w:p>
    <w:p w14:paraId="7A3D3CA5">
      <w:pPr>
        <w:widowControl/>
        <w:adjustRightInd w:val="0"/>
        <w:snapToGrid w:val="0"/>
        <w:spacing w:line="440" w:lineRule="exact"/>
        <w:ind w:firstLine="420" w:firstLineChars="200"/>
        <w:jc w:val="center"/>
        <w:rPr>
          <w:rFonts w:ascii="Arial" w:hAnsi="Arial" w:cs="Arial"/>
          <w:snapToGrid w:val="0"/>
          <w:color w:val="000000"/>
          <w:kern w:val="0"/>
          <w:szCs w:val="21"/>
        </w:rPr>
      </w:pPr>
    </w:p>
    <w:p w14:paraId="6083BE7A">
      <w:pPr>
        <w:widowControl/>
        <w:adjustRightInd w:val="0"/>
        <w:snapToGrid w:val="0"/>
        <w:spacing w:line="440" w:lineRule="exact"/>
        <w:ind w:firstLine="420" w:firstLineChars="200"/>
        <w:jc w:val="center"/>
        <w:rPr>
          <w:rFonts w:ascii="Arial" w:hAnsi="Arial" w:cs="Arial"/>
          <w:snapToGrid w:val="0"/>
          <w:color w:val="000000"/>
          <w:kern w:val="0"/>
          <w:szCs w:val="21"/>
        </w:rPr>
      </w:pPr>
    </w:p>
    <w:p w14:paraId="2882438C">
      <w:pPr>
        <w:widowControl/>
        <w:adjustRightInd w:val="0"/>
        <w:snapToGrid w:val="0"/>
        <w:spacing w:line="440" w:lineRule="exact"/>
        <w:ind w:firstLine="420" w:firstLineChars="200"/>
        <w:jc w:val="center"/>
        <w:rPr>
          <w:rFonts w:ascii="Arial" w:hAnsi="Arial" w:cs="Arial"/>
          <w:snapToGrid w:val="0"/>
          <w:color w:val="000000"/>
          <w:kern w:val="0"/>
          <w:szCs w:val="21"/>
        </w:rPr>
      </w:pPr>
      <w:r>
        <w:rPr>
          <w:rFonts w:hint="eastAsia" w:ascii="Arial" w:hAnsi="Arial" w:cs="Arial"/>
          <w:snapToGrid w:val="0"/>
          <w:color w:val="000000"/>
          <w:kern w:val="0"/>
          <w:szCs w:val="21"/>
        </w:rPr>
        <w:t>企业名称（盖章）:</w:t>
      </w:r>
    </w:p>
    <w:p w14:paraId="623EEA2F">
      <w:pPr>
        <w:widowControl/>
        <w:adjustRightInd w:val="0"/>
        <w:snapToGrid w:val="0"/>
        <w:spacing w:line="440" w:lineRule="exact"/>
        <w:jc w:val="center"/>
        <w:rPr>
          <w:rFonts w:ascii="Arial" w:hAnsi="Arial" w:cs="Arial"/>
          <w:snapToGrid w:val="0"/>
          <w:color w:val="000000"/>
          <w:kern w:val="0"/>
          <w:szCs w:val="21"/>
        </w:rPr>
      </w:pPr>
      <w:r>
        <w:rPr>
          <w:rFonts w:hint="eastAsia" w:ascii="Arial" w:hAnsi="Arial" w:cs="Arial"/>
          <w:snapToGrid w:val="0"/>
          <w:color w:val="000000"/>
          <w:kern w:val="0"/>
          <w:szCs w:val="21"/>
        </w:rPr>
        <w:t>日期：</w:t>
      </w:r>
    </w:p>
    <w:p w14:paraId="4CA1DA0C">
      <w:pPr>
        <w:widowControl/>
        <w:adjustRightInd w:val="0"/>
        <w:snapToGrid w:val="0"/>
        <w:spacing w:line="440" w:lineRule="exact"/>
        <w:ind w:firstLine="420" w:firstLineChars="200"/>
        <w:jc w:val="left"/>
        <w:rPr>
          <w:rFonts w:ascii="Arial" w:hAnsi="Arial" w:cs="Arial"/>
          <w:snapToGrid w:val="0"/>
          <w:color w:val="000000"/>
          <w:kern w:val="0"/>
          <w:szCs w:val="21"/>
          <w:u w:val="single"/>
        </w:rPr>
      </w:pPr>
    </w:p>
    <w:p w14:paraId="3731567B">
      <w:pPr>
        <w:widowControl/>
        <w:adjustRightInd w:val="0"/>
        <w:snapToGrid w:val="0"/>
        <w:spacing w:line="440" w:lineRule="exact"/>
        <w:ind w:firstLine="420" w:firstLineChars="200"/>
        <w:jc w:val="left"/>
        <w:rPr>
          <w:rFonts w:ascii="Arial" w:hAnsi="Arial" w:cs="Arial"/>
          <w:snapToGrid w:val="0"/>
          <w:color w:val="000000"/>
          <w:kern w:val="0"/>
          <w:szCs w:val="21"/>
          <w:u w:val="single"/>
        </w:rPr>
      </w:pPr>
    </w:p>
    <w:p w14:paraId="343EFD8B">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ab/>
      </w:r>
    </w:p>
    <w:p w14:paraId="60F88E2E">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vertAlign w:val="superscript"/>
        </w:rPr>
        <w:t>1</w:t>
      </w:r>
      <w:r>
        <w:rPr>
          <w:rFonts w:hint="eastAsia" w:ascii="Arial" w:hAnsi="Arial" w:cs="Arial"/>
          <w:snapToGrid w:val="0"/>
          <w:color w:val="000000"/>
          <w:kern w:val="0"/>
          <w:szCs w:val="21"/>
        </w:rPr>
        <w:t>从业人员、营业收入、资产总额填报上一年度数据，无上一年度数据的新成立企业可不填报。</w:t>
      </w:r>
    </w:p>
    <w:p w14:paraId="6A2F3492">
      <w:pPr>
        <w:widowControl/>
        <w:adjustRightInd w:val="0"/>
        <w:snapToGrid w:val="0"/>
        <w:spacing w:line="240" w:lineRule="auto"/>
        <w:jc w:val="left"/>
        <w:rPr>
          <w:rFonts w:ascii="Arial" w:hAnsi="Arial" w:cs="Arial"/>
          <w:b/>
          <w:bCs/>
          <w:snapToGrid w:val="0"/>
          <w:color w:val="000000"/>
          <w:kern w:val="0"/>
          <w:szCs w:val="21"/>
        </w:rPr>
      </w:pPr>
      <w:bookmarkStart w:id="370" w:name="bookmark32"/>
      <w:bookmarkStart w:id="371" w:name="bookmark33"/>
      <w:bookmarkStart w:id="372" w:name="bookmark34"/>
      <w:r>
        <w:rPr>
          <w:rFonts w:ascii="Arial" w:hAnsi="Arial" w:cs="Arial"/>
          <w:b/>
          <w:bCs/>
          <w:snapToGrid w:val="0"/>
          <w:color w:val="000000"/>
          <w:kern w:val="0"/>
          <w:szCs w:val="21"/>
        </w:rPr>
        <w:br w:type="page"/>
      </w:r>
    </w:p>
    <w:p w14:paraId="58645047">
      <w:pPr>
        <w:widowControl/>
        <w:adjustRightInd w:val="0"/>
        <w:snapToGrid w:val="0"/>
        <w:spacing w:line="440" w:lineRule="exact"/>
        <w:ind w:firstLine="422" w:firstLineChars="200"/>
        <w:jc w:val="center"/>
        <w:rPr>
          <w:rFonts w:ascii="Arial" w:hAnsi="Arial" w:cs="Arial"/>
          <w:snapToGrid w:val="0"/>
          <w:color w:val="000000"/>
          <w:kern w:val="0"/>
          <w:szCs w:val="21"/>
        </w:rPr>
      </w:pPr>
      <w:r>
        <w:rPr>
          <w:rFonts w:hint="eastAsia" w:ascii="Arial" w:hAnsi="Arial" w:cs="Arial"/>
          <w:b/>
          <w:bCs/>
          <w:snapToGrid w:val="0"/>
          <w:color w:val="000000"/>
          <w:kern w:val="0"/>
          <w:szCs w:val="21"/>
        </w:rPr>
        <w:t>中小企业声明函（工程、服务）</w:t>
      </w:r>
      <w:bookmarkEnd w:id="370"/>
      <w:bookmarkEnd w:id="371"/>
      <w:bookmarkEnd w:id="372"/>
    </w:p>
    <w:p w14:paraId="16F64077">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本公司（联合体）郑重声明，根据《政府采购促进中小企业发展管理办法》（财库〔2020 ） 46号）的规定，本公司（联合体）参加</w:t>
      </w:r>
      <w:r>
        <w:rPr>
          <w:rFonts w:hint="eastAsia" w:ascii="Arial" w:hAnsi="Arial" w:cs="Arial"/>
          <w:snapToGrid w:val="0"/>
          <w:color w:val="000000"/>
          <w:kern w:val="0"/>
          <w:szCs w:val="21"/>
          <w:u w:val="single"/>
        </w:rPr>
        <w:t>（单位名称）</w:t>
      </w:r>
      <w:r>
        <w:rPr>
          <w:rFonts w:hint="eastAsia" w:ascii="Arial" w:hAnsi="Arial" w:cs="Arial"/>
          <w:snapToGrid w:val="0"/>
          <w:color w:val="000000"/>
          <w:kern w:val="0"/>
          <w:szCs w:val="21"/>
        </w:rPr>
        <w:t>的</w:t>
      </w:r>
      <w:r>
        <w:rPr>
          <w:rFonts w:hint="eastAsia" w:ascii="Arial" w:hAnsi="Arial" w:cs="Arial"/>
          <w:snapToGrid w:val="0"/>
          <w:color w:val="000000"/>
          <w:kern w:val="0"/>
          <w:szCs w:val="21"/>
          <w:u w:val="single"/>
        </w:rPr>
        <w:t>（项目名称）</w:t>
      </w:r>
      <w:r>
        <w:rPr>
          <w:rFonts w:hint="eastAsia" w:ascii="Arial" w:hAnsi="Arial" w:cs="Arial"/>
          <w:snapToGrid w:val="0"/>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9F2DB31">
      <w:pPr>
        <w:widowControl/>
        <w:adjustRightInd w:val="0"/>
        <w:snapToGrid w:val="0"/>
        <w:spacing w:line="440" w:lineRule="exact"/>
        <w:ind w:firstLine="420" w:firstLineChars="200"/>
        <w:jc w:val="left"/>
        <w:rPr>
          <w:rFonts w:ascii="Arial" w:hAnsi="Arial" w:cs="Arial"/>
          <w:snapToGrid w:val="0"/>
          <w:color w:val="000000"/>
          <w:kern w:val="0"/>
          <w:szCs w:val="21"/>
        </w:rPr>
      </w:pPr>
      <w:bookmarkStart w:id="373" w:name="bookmark35"/>
      <w:bookmarkEnd w:id="373"/>
      <w:r>
        <w:rPr>
          <w:rFonts w:hint="eastAsia" w:ascii="Arial" w:hAnsi="Arial" w:cs="Arial"/>
          <w:snapToGrid w:val="0"/>
          <w:color w:val="000000"/>
          <w:kern w:val="0"/>
          <w:szCs w:val="21"/>
        </w:rPr>
        <w:t>1.</w:t>
      </w:r>
      <w:r>
        <w:rPr>
          <w:rFonts w:hint="eastAsia" w:ascii="Arial" w:hAnsi="Arial" w:cs="Arial"/>
          <w:snapToGrid w:val="0"/>
          <w:color w:val="000000"/>
          <w:kern w:val="0"/>
          <w:szCs w:val="21"/>
          <w:u w:val="single"/>
        </w:rPr>
        <w:t>（标的名称）</w:t>
      </w:r>
      <w:r>
        <w:rPr>
          <w:rFonts w:hint="eastAsia" w:ascii="Arial" w:hAnsi="Arial" w:cs="Arial"/>
          <w:snapToGrid w:val="0"/>
          <w:color w:val="000000"/>
          <w:kern w:val="0"/>
          <w:szCs w:val="21"/>
        </w:rPr>
        <w:t>，属于</w:t>
      </w:r>
      <w:r>
        <w:rPr>
          <w:rFonts w:hint="eastAsia" w:ascii="Arial" w:hAnsi="Arial" w:cs="Arial"/>
          <w:b/>
          <w:bCs/>
          <w:snapToGrid w:val="0"/>
          <w:color w:val="000000"/>
          <w:kern w:val="0"/>
          <w:szCs w:val="21"/>
          <w:u w:val="single"/>
          <w:lang w:val="en-US" w:eastAsia="zh-CN"/>
        </w:rPr>
        <w:t>建筑业</w:t>
      </w:r>
      <w:r>
        <w:rPr>
          <w:rFonts w:hint="eastAsia" w:ascii="Arial" w:hAnsi="Arial" w:cs="Arial"/>
          <w:snapToGrid w:val="0"/>
          <w:color w:val="000000"/>
          <w:kern w:val="0"/>
          <w:szCs w:val="21"/>
          <w:u w:val="single"/>
        </w:rPr>
        <w:t>（采购文件中明确的所属行业）</w:t>
      </w:r>
      <w:r>
        <w:rPr>
          <w:rFonts w:hint="eastAsia" w:ascii="Arial" w:hAnsi="Arial" w:cs="Arial"/>
          <w:snapToGrid w:val="0"/>
          <w:color w:val="000000"/>
          <w:kern w:val="0"/>
          <w:szCs w:val="21"/>
        </w:rPr>
        <w:t>，承建（承接）企业为</w:t>
      </w:r>
      <w:r>
        <w:rPr>
          <w:rFonts w:hint="eastAsia" w:ascii="Arial" w:hAnsi="Arial" w:cs="Arial"/>
          <w:snapToGrid w:val="0"/>
          <w:color w:val="000000"/>
          <w:kern w:val="0"/>
          <w:szCs w:val="21"/>
          <w:u w:val="single"/>
        </w:rPr>
        <w:t>（企业名称）</w:t>
      </w:r>
      <w:r>
        <w:rPr>
          <w:rFonts w:hint="eastAsia" w:ascii="Arial" w:hAnsi="Arial" w:cs="Arial"/>
          <w:snapToGrid w:val="0"/>
          <w:color w:val="000000"/>
          <w:kern w:val="0"/>
          <w:szCs w:val="21"/>
        </w:rPr>
        <w:t>，从业人员</w:t>
      </w:r>
      <w:r>
        <w:rPr>
          <w:rFonts w:hint="eastAsia" w:ascii="Arial" w:hAnsi="Arial" w:cs="Arial"/>
          <w:snapToGrid w:val="0"/>
          <w:color w:val="000000"/>
          <w:kern w:val="0"/>
          <w:szCs w:val="21"/>
          <w:u w:val="single"/>
        </w:rPr>
        <w:tab/>
      </w:r>
      <w:r>
        <w:rPr>
          <w:rFonts w:hint="eastAsia" w:ascii="Arial" w:hAnsi="Arial" w:cs="Arial"/>
          <w:snapToGrid w:val="0"/>
          <w:color w:val="000000"/>
          <w:kern w:val="0"/>
          <w:szCs w:val="21"/>
        </w:rPr>
        <w:t>人，营业收入为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万元，资产总额为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w:t>
      </w:r>
      <w:r>
        <w:rPr>
          <w:rFonts w:hint="eastAsia" w:ascii="Arial" w:hAnsi="Arial" w:cs="Arial"/>
          <w:snapToGrid w:val="0"/>
          <w:color w:val="000000"/>
          <w:kern w:val="0"/>
          <w:szCs w:val="21"/>
          <w:vertAlign w:val="superscript"/>
        </w:rPr>
        <w:fldChar w:fldCharType="begin"/>
      </w:r>
      <w:r>
        <w:rPr>
          <w:rFonts w:hint="eastAsia" w:ascii="Arial" w:hAnsi="Arial" w:cs="Arial"/>
          <w:snapToGrid w:val="0"/>
          <w:color w:val="000000"/>
          <w:kern w:val="0"/>
          <w:szCs w:val="21"/>
          <w:vertAlign w:val="superscript"/>
        </w:rPr>
        <w:instrText xml:space="preserve"> = 1 \* Arabic \* MERGEFORMAT </w:instrText>
      </w:r>
      <w:r>
        <w:rPr>
          <w:rFonts w:hint="eastAsia" w:ascii="Arial" w:hAnsi="Arial" w:cs="Arial"/>
          <w:snapToGrid w:val="0"/>
          <w:color w:val="000000"/>
          <w:kern w:val="0"/>
          <w:szCs w:val="21"/>
          <w:vertAlign w:val="superscript"/>
        </w:rPr>
        <w:fldChar w:fldCharType="separate"/>
      </w:r>
      <w:r>
        <w:rPr>
          <w:vertAlign w:val="superscript"/>
        </w:rPr>
        <w:t>1</w:t>
      </w:r>
      <w:r>
        <w:rPr>
          <w:rFonts w:hint="eastAsia" w:ascii="Arial" w:hAnsi="Arial" w:cs="Arial"/>
          <w:snapToGrid w:val="0"/>
          <w:color w:val="000000"/>
          <w:kern w:val="0"/>
          <w:szCs w:val="21"/>
          <w:vertAlign w:val="superscript"/>
        </w:rPr>
        <w:fldChar w:fldCharType="end"/>
      </w:r>
      <w:r>
        <w:rPr>
          <w:rFonts w:hint="eastAsia" w:ascii="Arial" w:hAnsi="Arial" w:cs="Arial"/>
          <w:snapToGrid w:val="0"/>
          <w:color w:val="000000"/>
          <w:kern w:val="0"/>
          <w:szCs w:val="21"/>
        </w:rPr>
        <w:t>，属于</w:t>
      </w:r>
      <w:r>
        <w:rPr>
          <w:rFonts w:hint="eastAsia" w:ascii="Arial" w:hAnsi="Arial" w:cs="Arial"/>
          <w:snapToGrid w:val="0"/>
          <w:color w:val="000000"/>
          <w:kern w:val="0"/>
          <w:szCs w:val="21"/>
          <w:u w:val="single"/>
        </w:rPr>
        <w:t>（中型企业、小型企业、微型企业）</w:t>
      </w:r>
      <w:r>
        <w:rPr>
          <w:rFonts w:hint="eastAsia" w:ascii="Arial" w:hAnsi="Arial" w:cs="Arial"/>
          <w:snapToGrid w:val="0"/>
          <w:color w:val="000000"/>
          <w:kern w:val="0"/>
          <w:szCs w:val="21"/>
        </w:rPr>
        <w:t>，</w:t>
      </w:r>
    </w:p>
    <w:p w14:paraId="41C3132A">
      <w:pPr>
        <w:widowControl/>
        <w:adjustRightInd w:val="0"/>
        <w:snapToGrid w:val="0"/>
        <w:spacing w:line="440" w:lineRule="exact"/>
        <w:ind w:firstLine="420" w:firstLineChars="200"/>
        <w:jc w:val="left"/>
        <w:rPr>
          <w:rFonts w:ascii="Arial" w:hAnsi="Arial" w:cs="Arial"/>
          <w:snapToGrid w:val="0"/>
          <w:color w:val="000000"/>
          <w:kern w:val="0"/>
          <w:szCs w:val="21"/>
        </w:rPr>
      </w:pPr>
      <w:bookmarkStart w:id="374" w:name="bookmark36"/>
      <w:bookmarkEnd w:id="374"/>
      <w:r>
        <w:rPr>
          <w:rFonts w:hint="eastAsia" w:ascii="Arial" w:hAnsi="Arial" w:cs="Arial"/>
          <w:snapToGrid w:val="0"/>
          <w:color w:val="000000"/>
          <w:kern w:val="0"/>
          <w:szCs w:val="21"/>
        </w:rPr>
        <w:t>2.</w:t>
      </w:r>
      <w:r>
        <w:rPr>
          <w:rFonts w:hint="eastAsia" w:ascii="Arial" w:hAnsi="Arial" w:cs="Arial"/>
          <w:snapToGrid w:val="0"/>
          <w:color w:val="000000"/>
          <w:kern w:val="0"/>
          <w:szCs w:val="21"/>
          <w:u w:val="single"/>
        </w:rPr>
        <w:t>（标的名称）</w:t>
      </w:r>
      <w:r>
        <w:rPr>
          <w:rFonts w:hint="eastAsia" w:ascii="Arial" w:hAnsi="Arial" w:cs="Arial"/>
          <w:snapToGrid w:val="0"/>
          <w:color w:val="000000"/>
          <w:kern w:val="0"/>
          <w:szCs w:val="21"/>
        </w:rPr>
        <w:t>，属于</w:t>
      </w:r>
      <w:r>
        <w:rPr>
          <w:rFonts w:hint="eastAsia" w:ascii="Arial" w:hAnsi="Arial" w:cs="Arial"/>
          <w:snapToGrid w:val="0"/>
          <w:color w:val="000000"/>
          <w:kern w:val="0"/>
          <w:szCs w:val="21"/>
          <w:u w:val="single"/>
        </w:rPr>
        <w:t>其他未列明行业（采购文件中明确的所属行业）</w:t>
      </w:r>
      <w:r>
        <w:rPr>
          <w:rFonts w:hint="eastAsia" w:ascii="Arial" w:hAnsi="Arial" w:cs="Arial"/>
          <w:snapToGrid w:val="0"/>
          <w:color w:val="000000"/>
          <w:kern w:val="0"/>
          <w:szCs w:val="21"/>
        </w:rPr>
        <w:t>，承建（承接）企业为</w:t>
      </w:r>
      <w:r>
        <w:rPr>
          <w:rFonts w:hint="eastAsia" w:ascii="Arial" w:hAnsi="Arial" w:cs="Arial"/>
          <w:snapToGrid w:val="0"/>
          <w:color w:val="000000"/>
          <w:kern w:val="0"/>
          <w:szCs w:val="21"/>
          <w:u w:val="single"/>
        </w:rPr>
        <w:t>（企业名称）</w:t>
      </w:r>
      <w:r>
        <w:rPr>
          <w:rFonts w:hint="eastAsia" w:ascii="Arial" w:hAnsi="Arial" w:cs="Arial"/>
          <w:snapToGrid w:val="0"/>
          <w:color w:val="000000"/>
          <w:kern w:val="0"/>
          <w:szCs w:val="21"/>
        </w:rPr>
        <w:t>，从业人员</w:t>
      </w:r>
      <w:r>
        <w:rPr>
          <w:rFonts w:hint="eastAsia" w:ascii="Arial" w:hAnsi="Arial" w:cs="Arial"/>
          <w:snapToGrid w:val="0"/>
          <w:color w:val="000000"/>
          <w:kern w:val="0"/>
          <w:szCs w:val="21"/>
          <w:u w:val="single"/>
        </w:rPr>
        <w:tab/>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人，营业收入为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万元，资产总额为</w:t>
      </w:r>
      <w:r>
        <w:rPr>
          <w:rFonts w:hint="eastAsia" w:ascii="Arial" w:hAnsi="Arial" w:cs="Arial"/>
          <w:snapToGrid w:val="0"/>
          <w:color w:val="000000"/>
          <w:kern w:val="0"/>
          <w:szCs w:val="21"/>
          <w:u w:val="single"/>
        </w:rPr>
        <w:t xml:space="preserve"> </w:t>
      </w:r>
      <w:r>
        <w:rPr>
          <w:rFonts w:ascii="Arial" w:hAnsi="Arial" w:cs="Arial"/>
          <w:snapToGrid w:val="0"/>
          <w:color w:val="000000"/>
          <w:kern w:val="0"/>
          <w:szCs w:val="21"/>
          <w:u w:val="single"/>
        </w:rPr>
        <w:t xml:space="preserve"> </w:t>
      </w:r>
      <w:r>
        <w:rPr>
          <w:rFonts w:hint="eastAsia" w:ascii="Arial" w:hAnsi="Arial" w:cs="Arial"/>
          <w:snapToGrid w:val="0"/>
          <w:color w:val="000000"/>
          <w:kern w:val="0"/>
          <w:szCs w:val="21"/>
        </w:rPr>
        <w:t>万元，属于</w:t>
      </w:r>
      <w:r>
        <w:rPr>
          <w:rFonts w:hint="eastAsia" w:ascii="Arial" w:hAnsi="Arial" w:cs="Arial"/>
          <w:snapToGrid w:val="0"/>
          <w:color w:val="000000"/>
          <w:kern w:val="0"/>
          <w:szCs w:val="21"/>
          <w:u w:val="single"/>
        </w:rPr>
        <w:t>（中型企业、小型企业、微型企</w:t>
      </w:r>
      <w:r>
        <w:rPr>
          <w:rFonts w:hint="eastAsia" w:ascii="Arial" w:hAnsi="Arial" w:cs="Arial"/>
          <w:snapToGrid w:val="0"/>
          <w:color w:val="000000"/>
          <w:kern w:val="0"/>
          <w:szCs w:val="21"/>
          <w:u w:val="single"/>
          <w:lang w:val="zh-CN"/>
        </w:rPr>
        <w:t>业）</w:t>
      </w:r>
      <w:r>
        <w:rPr>
          <w:rFonts w:hint="eastAsia" w:ascii="Arial" w:hAnsi="Arial" w:cs="Arial"/>
          <w:snapToGrid w:val="0"/>
          <w:color w:val="000000"/>
          <w:kern w:val="0"/>
          <w:szCs w:val="21"/>
          <w:lang w:val="zh-CN"/>
        </w:rPr>
        <w:t>，</w:t>
      </w:r>
    </w:p>
    <w:p w14:paraId="1019D934">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w:t>
      </w:r>
      <w:r>
        <w:rPr>
          <w:rFonts w:hint="eastAsia" w:ascii="Arial" w:hAnsi="Arial" w:cs="Arial"/>
          <w:snapToGrid w:val="0"/>
          <w:color w:val="000000"/>
          <w:kern w:val="0"/>
          <w:szCs w:val="21"/>
        </w:rPr>
        <w:tab/>
      </w:r>
    </w:p>
    <w:p w14:paraId="5ED452A6">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以上企业，不属于大企业的分支机构，不存在控股股东为大企业的情形，也不存在与大企业的负责人为同一人的情形。</w:t>
      </w:r>
    </w:p>
    <w:p w14:paraId="08621091">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本企业对上述声明内容的真实性负责。如有虚假，将依法承担相应责任。</w:t>
      </w:r>
    </w:p>
    <w:p w14:paraId="42FA0DB5">
      <w:pPr>
        <w:widowControl/>
        <w:adjustRightInd w:val="0"/>
        <w:snapToGrid w:val="0"/>
        <w:spacing w:line="440" w:lineRule="exact"/>
        <w:ind w:firstLine="420" w:firstLineChars="200"/>
        <w:jc w:val="left"/>
        <w:rPr>
          <w:rFonts w:ascii="Arial" w:hAnsi="Arial" w:cs="Arial"/>
          <w:snapToGrid w:val="0"/>
          <w:color w:val="000000"/>
          <w:kern w:val="0"/>
          <w:szCs w:val="21"/>
        </w:rPr>
      </w:pPr>
    </w:p>
    <w:p w14:paraId="1F2BECF3">
      <w:pPr>
        <w:widowControl/>
        <w:adjustRightInd w:val="0"/>
        <w:snapToGrid w:val="0"/>
        <w:spacing w:line="440" w:lineRule="exact"/>
        <w:jc w:val="left"/>
        <w:rPr>
          <w:rFonts w:ascii="Arial" w:hAnsi="Arial" w:cs="Arial"/>
          <w:snapToGrid w:val="0"/>
          <w:color w:val="000000"/>
          <w:kern w:val="0"/>
          <w:szCs w:val="21"/>
        </w:rPr>
      </w:pPr>
    </w:p>
    <w:p w14:paraId="5C764206">
      <w:pPr>
        <w:widowControl/>
        <w:adjustRightInd w:val="0"/>
        <w:snapToGrid w:val="0"/>
        <w:spacing w:line="440" w:lineRule="exact"/>
        <w:ind w:firstLine="5880" w:firstLineChars="2800"/>
        <w:rPr>
          <w:rFonts w:ascii="Arial" w:hAnsi="Arial" w:cs="Arial"/>
          <w:snapToGrid w:val="0"/>
          <w:color w:val="000000"/>
          <w:kern w:val="0"/>
          <w:szCs w:val="21"/>
        </w:rPr>
      </w:pPr>
      <w:r>
        <w:rPr>
          <w:rFonts w:hint="eastAsia" w:ascii="Arial" w:hAnsi="Arial" w:cs="Arial"/>
          <w:snapToGrid w:val="0"/>
          <w:color w:val="000000"/>
          <w:kern w:val="0"/>
          <w:szCs w:val="21"/>
        </w:rPr>
        <w:t>企业名称（盖章）：</w:t>
      </w:r>
    </w:p>
    <w:p w14:paraId="1DE0FF88">
      <w:pPr>
        <w:widowControl/>
        <w:adjustRightInd w:val="0"/>
        <w:snapToGrid w:val="0"/>
        <w:spacing w:line="440" w:lineRule="exact"/>
        <w:ind w:firstLine="420" w:firstLineChars="200"/>
        <w:jc w:val="center"/>
        <w:rPr>
          <w:rFonts w:ascii="Arial" w:hAnsi="Arial" w:cs="Arial"/>
          <w:snapToGrid w:val="0"/>
          <w:color w:val="000000"/>
          <w:kern w:val="0"/>
          <w:szCs w:val="21"/>
        </w:rPr>
      </w:pPr>
      <w:r>
        <w:rPr>
          <w:rFonts w:hint="eastAsia" w:ascii="Arial" w:hAnsi="Arial" w:cs="Arial"/>
          <w:snapToGrid w:val="0"/>
          <w:color w:val="000000"/>
          <w:kern w:val="0"/>
          <w:szCs w:val="21"/>
        </w:rPr>
        <w:t>日期：</w:t>
      </w:r>
    </w:p>
    <w:p w14:paraId="5750CA12">
      <w:pPr>
        <w:widowControl/>
        <w:adjustRightInd w:val="0"/>
        <w:snapToGrid w:val="0"/>
        <w:spacing w:line="440" w:lineRule="exact"/>
        <w:ind w:firstLine="420" w:firstLineChars="200"/>
        <w:jc w:val="center"/>
        <w:rPr>
          <w:rFonts w:ascii="Arial" w:hAnsi="Arial" w:cs="Arial"/>
          <w:snapToGrid w:val="0"/>
          <w:color w:val="000000"/>
          <w:kern w:val="0"/>
          <w:szCs w:val="21"/>
        </w:rPr>
      </w:pPr>
    </w:p>
    <w:p w14:paraId="63EC11A0">
      <w:pPr>
        <w:widowControl/>
        <w:adjustRightInd w:val="0"/>
        <w:snapToGrid w:val="0"/>
        <w:spacing w:line="440" w:lineRule="exact"/>
        <w:ind w:firstLine="420" w:firstLineChars="200"/>
        <w:jc w:val="center"/>
        <w:rPr>
          <w:rFonts w:ascii="Arial" w:hAnsi="Arial" w:cs="Arial"/>
          <w:snapToGrid w:val="0"/>
          <w:color w:val="000000"/>
          <w:kern w:val="0"/>
          <w:szCs w:val="21"/>
        </w:rPr>
      </w:pPr>
    </w:p>
    <w:p w14:paraId="62D2F826">
      <w:pPr>
        <w:widowControl/>
        <w:adjustRightInd w:val="0"/>
        <w:snapToGrid w:val="0"/>
        <w:spacing w:line="440" w:lineRule="exact"/>
        <w:rPr>
          <w:rFonts w:ascii="Arial" w:hAnsi="Arial" w:cs="Arial"/>
          <w:snapToGrid w:val="0"/>
          <w:color w:val="000000"/>
          <w:kern w:val="0"/>
          <w:szCs w:val="21"/>
        </w:rPr>
      </w:pPr>
    </w:p>
    <w:p w14:paraId="4F6141D9">
      <w:pPr>
        <w:adjustRightInd w:val="0"/>
        <w:snapToGrid w:val="0"/>
        <w:spacing w:line="360" w:lineRule="auto"/>
        <w:jc w:val="left"/>
        <w:rPr>
          <w:rFonts w:ascii="Arial" w:hAnsi="Arial" w:cs="Arial"/>
          <w:b/>
          <w:bCs/>
          <w:color w:val="000000"/>
          <w:sz w:val="28"/>
        </w:rPr>
      </w:pPr>
      <w:bookmarkStart w:id="375" w:name="OLE_LINK14"/>
      <w:bookmarkStart w:id="376" w:name="OLE_LINK13"/>
      <w:r>
        <w:rPr>
          <w:rFonts w:hint="eastAsia" w:ascii="Arial" w:hAnsi="Arial" w:cs="Arial"/>
          <w:snapToGrid w:val="0"/>
          <w:color w:val="000000"/>
          <w:kern w:val="0"/>
          <w:szCs w:val="21"/>
          <w:vertAlign w:val="superscript"/>
        </w:rPr>
        <w:t>1</w:t>
      </w:r>
      <w:r>
        <w:rPr>
          <w:rFonts w:hint="eastAsia" w:ascii="Arial" w:hAnsi="Arial" w:cs="Arial"/>
          <w:snapToGrid w:val="0"/>
          <w:color w:val="000000"/>
          <w:kern w:val="0"/>
          <w:szCs w:val="21"/>
        </w:rPr>
        <w:t>从业人员、营业收入、资产总额填报上一年度数据，无上一年度数据的新成立企业可不填报。</w:t>
      </w:r>
    </w:p>
    <w:p w14:paraId="0B0A752B">
      <w:pPr>
        <w:widowControl/>
        <w:adjustRightInd w:val="0"/>
        <w:snapToGrid w:val="0"/>
        <w:spacing w:line="240" w:lineRule="auto"/>
        <w:jc w:val="center"/>
        <w:outlineLvl w:val="0"/>
        <w:rPr>
          <w:rFonts w:ascii="Arial" w:hAnsi="Arial" w:cs="Arial"/>
          <w:b/>
          <w:bCs/>
          <w:color w:val="000000"/>
          <w:sz w:val="28"/>
        </w:rPr>
      </w:pPr>
      <w:r>
        <w:rPr>
          <w:rFonts w:ascii="Arial" w:hAnsi="Arial" w:cs="Arial"/>
          <w:b/>
          <w:bCs/>
          <w:color w:val="000000"/>
          <w:sz w:val="28"/>
        </w:rPr>
        <w:br w:type="page"/>
      </w:r>
      <w:bookmarkStart w:id="377" w:name="_Toc14620"/>
      <w:r>
        <w:rPr>
          <w:rFonts w:hint="eastAsia" w:ascii="Arial" w:hAnsi="Arial" w:cs="Arial"/>
          <w:b/>
          <w:bCs/>
          <w:color w:val="000000"/>
          <w:sz w:val="28"/>
        </w:rPr>
        <w:t>残疾人福利性单位声明函</w:t>
      </w:r>
      <w:bookmarkEnd w:id="377"/>
    </w:p>
    <w:bookmarkEnd w:id="375"/>
    <w:bookmarkEnd w:id="376"/>
    <w:p w14:paraId="216DDF4B">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本单位郑重声明，根据《财政部民政部中国残疾人联合会关于促进残疾人就业政府采购政策的通知》（财库〔</w:t>
      </w:r>
      <w:r>
        <w:rPr>
          <w:rFonts w:ascii="Arial" w:hAnsi="Arial" w:cs="Arial"/>
          <w:snapToGrid w:val="0"/>
          <w:color w:val="000000"/>
          <w:kern w:val="0"/>
          <w:szCs w:val="21"/>
        </w:rPr>
        <w:t>2017</w:t>
      </w:r>
      <w:r>
        <w:rPr>
          <w:rFonts w:hint="eastAsia" w:ascii="Arial" w:hAnsi="Arial" w:cs="Arial"/>
          <w:snapToGrid w:val="0"/>
          <w:color w:val="000000"/>
          <w:kern w:val="0"/>
          <w:szCs w:val="21"/>
        </w:rPr>
        <w:t>〕</w:t>
      </w:r>
      <w:r>
        <w:rPr>
          <w:rFonts w:ascii="Arial" w:hAnsi="Arial" w:cs="Arial"/>
          <w:snapToGrid w:val="0"/>
          <w:color w:val="000000"/>
          <w:kern w:val="0"/>
          <w:szCs w:val="21"/>
        </w:rPr>
        <w:t>141</w:t>
      </w:r>
      <w:r>
        <w:rPr>
          <w:rFonts w:hint="eastAsia" w:ascii="Arial" w:hAnsi="Arial" w:cs="Arial"/>
          <w:snapToGrid w:val="0"/>
          <w:color w:val="000000"/>
          <w:kern w:val="0"/>
          <w:szCs w:val="21"/>
        </w:rPr>
        <w:t>号）的规定，本单位为符合条件的残疾人福利性单位，且本单位参加</w:t>
      </w:r>
      <w:r>
        <w:rPr>
          <w:rFonts w:ascii="Arial" w:hAnsi="Arial" w:cs="Arial"/>
          <w:snapToGrid w:val="0"/>
          <w:color w:val="000000"/>
          <w:kern w:val="0"/>
          <w:szCs w:val="21"/>
        </w:rPr>
        <w:t>______</w:t>
      </w:r>
      <w:r>
        <w:rPr>
          <w:rFonts w:hint="eastAsia" w:ascii="Arial" w:hAnsi="Arial" w:cs="Arial"/>
          <w:snapToGrid w:val="0"/>
          <w:color w:val="000000"/>
          <w:kern w:val="0"/>
          <w:szCs w:val="21"/>
        </w:rPr>
        <w:t>单位的</w:t>
      </w:r>
      <w:r>
        <w:rPr>
          <w:rFonts w:ascii="Arial" w:hAnsi="Arial" w:cs="Arial"/>
          <w:snapToGrid w:val="0"/>
          <w:color w:val="000000"/>
          <w:kern w:val="0"/>
          <w:szCs w:val="21"/>
        </w:rPr>
        <w:t>______</w:t>
      </w:r>
      <w:r>
        <w:rPr>
          <w:rFonts w:hint="eastAsia" w:ascii="Arial" w:hAnsi="Arial" w:cs="Arial"/>
          <w:snapToGrid w:val="0"/>
          <w:color w:val="000000"/>
          <w:kern w:val="0"/>
          <w:szCs w:val="21"/>
        </w:rPr>
        <w:t>项目采购活动提供本单位制造的货物（由本单位承担工程</w:t>
      </w:r>
      <w:r>
        <w:rPr>
          <w:rFonts w:ascii="Arial" w:hAnsi="Arial" w:cs="Arial"/>
          <w:snapToGrid w:val="0"/>
          <w:color w:val="000000"/>
          <w:kern w:val="0"/>
          <w:szCs w:val="21"/>
        </w:rPr>
        <w:t>/</w:t>
      </w:r>
      <w:r>
        <w:rPr>
          <w:rFonts w:hint="eastAsia" w:ascii="Arial" w:hAnsi="Arial" w:cs="Arial"/>
          <w:snapToGrid w:val="0"/>
          <w:color w:val="000000"/>
          <w:kern w:val="0"/>
          <w:szCs w:val="21"/>
        </w:rPr>
        <w:t>提供服务），或者提供其他残疾人福利性单位制造的货物（不包括使用非残疾人福利性单位注册商标的货物）。</w:t>
      </w:r>
    </w:p>
    <w:p w14:paraId="4778F8FB">
      <w:pPr>
        <w:widowControl/>
        <w:adjustRightInd w:val="0"/>
        <w:snapToGrid w:val="0"/>
        <w:spacing w:line="440" w:lineRule="exact"/>
        <w:ind w:firstLine="420" w:firstLineChars="200"/>
        <w:jc w:val="left"/>
        <w:rPr>
          <w:rFonts w:ascii="Arial" w:hAnsi="Arial" w:cs="Arial"/>
          <w:snapToGrid w:val="0"/>
          <w:color w:val="000000"/>
          <w:kern w:val="0"/>
          <w:szCs w:val="21"/>
        </w:rPr>
      </w:pPr>
      <w:r>
        <w:rPr>
          <w:rFonts w:hint="eastAsia" w:ascii="Arial" w:hAnsi="Arial" w:cs="Arial"/>
          <w:snapToGrid w:val="0"/>
          <w:color w:val="000000"/>
          <w:kern w:val="0"/>
          <w:szCs w:val="21"/>
        </w:rPr>
        <w:t>本单位对上述声明的真实性负责。如有虚假，将依法承担相应责任。</w:t>
      </w:r>
    </w:p>
    <w:p w14:paraId="77FF633E">
      <w:pPr>
        <w:widowControl/>
        <w:adjustRightInd w:val="0"/>
        <w:snapToGrid w:val="0"/>
        <w:spacing w:line="440" w:lineRule="exact"/>
        <w:ind w:firstLine="5040" w:firstLineChars="2400"/>
        <w:jc w:val="left"/>
        <w:rPr>
          <w:rFonts w:ascii="Arial" w:hAnsi="Arial" w:cs="Arial"/>
          <w:snapToGrid w:val="0"/>
          <w:color w:val="000000"/>
          <w:kern w:val="0"/>
          <w:szCs w:val="21"/>
        </w:rPr>
      </w:pPr>
      <w:r>
        <w:rPr>
          <w:rFonts w:hint="eastAsia" w:ascii="Arial" w:hAnsi="Arial" w:cs="Arial"/>
          <w:snapToGrid w:val="0"/>
          <w:color w:val="000000"/>
          <w:kern w:val="0"/>
          <w:szCs w:val="21"/>
        </w:rPr>
        <w:t>单位名称（盖章）：</w:t>
      </w:r>
    </w:p>
    <w:p w14:paraId="6941EA02">
      <w:pPr>
        <w:widowControl/>
        <w:adjustRightInd w:val="0"/>
        <w:snapToGrid w:val="0"/>
        <w:spacing w:line="440" w:lineRule="exact"/>
        <w:ind w:firstLine="5040" w:firstLineChars="2400"/>
        <w:jc w:val="left"/>
        <w:rPr>
          <w:rFonts w:ascii="Arial" w:hAnsi="Arial" w:cs="Arial"/>
          <w:snapToGrid w:val="0"/>
          <w:color w:val="000000"/>
          <w:kern w:val="0"/>
          <w:szCs w:val="21"/>
        </w:rPr>
      </w:pPr>
      <w:r>
        <w:rPr>
          <w:rFonts w:hint="eastAsia" w:ascii="Arial" w:hAnsi="Arial" w:cs="Arial"/>
          <w:snapToGrid w:val="0"/>
          <w:color w:val="000000"/>
          <w:kern w:val="0"/>
          <w:szCs w:val="21"/>
        </w:rPr>
        <w:t>日期：</w:t>
      </w:r>
    </w:p>
    <w:p w14:paraId="6D19C51A">
      <w:pPr>
        <w:adjustRightInd w:val="0"/>
        <w:snapToGrid w:val="0"/>
        <w:spacing w:line="360" w:lineRule="auto"/>
        <w:rPr>
          <w:rFonts w:ascii="Arial" w:hAnsi="Arial" w:cs="Arial"/>
          <w:b/>
          <w:bCs/>
          <w:color w:val="000000"/>
        </w:rPr>
      </w:pPr>
    </w:p>
    <w:p w14:paraId="1A487CE8">
      <w:pPr>
        <w:adjustRightInd w:val="0"/>
        <w:snapToGrid w:val="0"/>
        <w:spacing w:line="360" w:lineRule="auto"/>
        <w:rPr>
          <w:rFonts w:ascii="Arial" w:hAnsi="Arial" w:cs="Arial"/>
          <w:b/>
          <w:bCs/>
          <w:color w:val="000000"/>
        </w:rPr>
      </w:pPr>
    </w:p>
    <w:p w14:paraId="421B71F6">
      <w:pPr>
        <w:adjustRightInd w:val="0"/>
        <w:snapToGrid w:val="0"/>
        <w:spacing w:line="360" w:lineRule="auto"/>
        <w:rPr>
          <w:rFonts w:ascii="Arial" w:hAnsi="Arial" w:cs="Arial"/>
          <w:b/>
          <w:bCs/>
          <w:color w:val="000000"/>
        </w:rPr>
      </w:pPr>
    </w:p>
    <w:p w14:paraId="3D6D97F3">
      <w:pPr>
        <w:adjustRightInd w:val="0"/>
        <w:snapToGrid w:val="0"/>
        <w:spacing w:line="360" w:lineRule="auto"/>
        <w:jc w:val="center"/>
        <w:outlineLvl w:val="0"/>
        <w:rPr>
          <w:rFonts w:ascii="Arial" w:hAnsi="Arial" w:cs="Arial"/>
          <w:b/>
          <w:bCs/>
          <w:color w:val="000000"/>
          <w:sz w:val="28"/>
        </w:rPr>
      </w:pPr>
      <w:bookmarkStart w:id="378" w:name="_Toc2322"/>
      <w:r>
        <w:rPr>
          <w:rFonts w:hint="eastAsia" w:ascii="Arial" w:hAnsi="Arial" w:cs="Arial"/>
          <w:b/>
          <w:bCs/>
          <w:color w:val="000000"/>
          <w:sz w:val="28"/>
        </w:rPr>
        <w:t>属于监狱企业的证明文件</w:t>
      </w:r>
      <w:bookmarkEnd w:id="378"/>
    </w:p>
    <w:p w14:paraId="00D19E2E">
      <w:pPr>
        <w:adjustRightInd w:val="0"/>
        <w:snapToGrid w:val="0"/>
        <w:spacing w:line="360" w:lineRule="auto"/>
        <w:rPr>
          <w:rFonts w:ascii="Arial" w:hAnsi="Arial" w:cs="Arial"/>
          <w:color w:val="000000"/>
        </w:rPr>
      </w:pPr>
      <w:r>
        <w:rPr>
          <w:rFonts w:hint="eastAsia" w:ascii="Arial" w:hAnsi="Arial" w:cs="Arial"/>
          <w:color w:val="000000"/>
        </w:rPr>
        <w:t>（提供由省级以上监狱管理局、戒毒管理局</w:t>
      </w:r>
      <w:r>
        <w:rPr>
          <w:rFonts w:ascii="Arial" w:hAnsi="Arial" w:cs="Arial"/>
          <w:color w:val="000000"/>
        </w:rPr>
        <w:t>(</w:t>
      </w:r>
      <w:r>
        <w:rPr>
          <w:rFonts w:hint="eastAsia" w:ascii="Arial" w:hAnsi="Arial" w:cs="Arial"/>
          <w:color w:val="000000"/>
        </w:rPr>
        <w:t>含新疆生产建设兵团</w:t>
      </w:r>
      <w:r>
        <w:rPr>
          <w:rFonts w:ascii="Arial" w:hAnsi="Arial" w:cs="Arial"/>
          <w:color w:val="000000"/>
        </w:rPr>
        <w:t>)</w:t>
      </w:r>
      <w:r>
        <w:rPr>
          <w:rFonts w:hint="eastAsia" w:ascii="Arial" w:hAnsi="Arial" w:cs="Arial"/>
          <w:color w:val="000000"/>
        </w:rPr>
        <w:t>出具的属于监狱企业的证明文件）</w:t>
      </w:r>
    </w:p>
    <w:p w14:paraId="410CEE7B">
      <w:pPr>
        <w:adjustRightInd w:val="0"/>
        <w:snapToGrid w:val="0"/>
        <w:spacing w:line="360" w:lineRule="auto"/>
        <w:rPr>
          <w:rFonts w:ascii="Arial" w:hAnsi="Arial" w:cs="Arial"/>
          <w:b/>
          <w:bCs/>
          <w:color w:val="000000"/>
        </w:rPr>
      </w:pPr>
    </w:p>
    <w:p w14:paraId="10DF594B">
      <w:pPr>
        <w:adjustRightInd w:val="0"/>
        <w:snapToGrid w:val="0"/>
        <w:spacing w:line="360" w:lineRule="auto"/>
        <w:rPr>
          <w:rFonts w:ascii="Arial" w:hAnsi="Arial" w:cs="Arial"/>
          <w:b/>
          <w:bCs/>
          <w:color w:val="000000"/>
        </w:rPr>
      </w:pPr>
    </w:p>
    <w:p w14:paraId="7E49AEDE">
      <w:pPr>
        <w:adjustRightInd w:val="0"/>
        <w:snapToGrid w:val="0"/>
        <w:spacing w:line="360" w:lineRule="auto"/>
        <w:rPr>
          <w:rFonts w:ascii="Arial" w:hAnsi="Arial" w:cs="Arial"/>
          <w:b/>
          <w:bCs/>
          <w:color w:val="000000"/>
        </w:rPr>
      </w:pPr>
    </w:p>
    <w:p w14:paraId="6946B240">
      <w:pPr>
        <w:adjustRightInd w:val="0"/>
        <w:snapToGrid w:val="0"/>
        <w:spacing w:line="360" w:lineRule="auto"/>
        <w:rPr>
          <w:rFonts w:ascii="Arial" w:hAnsi="Arial" w:cs="Arial"/>
          <w:b/>
          <w:bCs/>
          <w:color w:val="000000"/>
        </w:rPr>
      </w:pPr>
    </w:p>
    <w:p w14:paraId="3025FBA3">
      <w:pPr>
        <w:adjustRightInd w:val="0"/>
        <w:snapToGrid w:val="0"/>
        <w:spacing w:line="360" w:lineRule="auto"/>
        <w:rPr>
          <w:rFonts w:ascii="Arial" w:hAnsi="Arial" w:cs="Arial"/>
          <w:b/>
          <w:bCs/>
          <w:color w:val="000000"/>
        </w:rPr>
      </w:pPr>
    </w:p>
    <w:p w14:paraId="66BA23E3">
      <w:pPr>
        <w:adjustRightInd w:val="0"/>
        <w:snapToGrid w:val="0"/>
        <w:spacing w:line="360" w:lineRule="auto"/>
        <w:jc w:val="center"/>
        <w:outlineLvl w:val="0"/>
        <w:rPr>
          <w:rFonts w:ascii="Arial" w:hAnsi="Arial" w:cs="Arial"/>
          <w:b/>
          <w:bCs/>
          <w:color w:val="000000"/>
        </w:rPr>
      </w:pPr>
      <w:bookmarkStart w:id="379" w:name="_Toc2238"/>
      <w:r>
        <w:rPr>
          <w:rFonts w:hint="eastAsia" w:ascii="Arial" w:hAnsi="Arial" w:cs="Arial"/>
          <w:b/>
          <w:bCs/>
          <w:color w:val="000000"/>
          <w:sz w:val="28"/>
        </w:rPr>
        <w:t>节能产品认证证书</w:t>
      </w:r>
      <w:bookmarkEnd w:id="379"/>
    </w:p>
    <w:p w14:paraId="588B2385">
      <w:pPr>
        <w:adjustRightInd w:val="0"/>
        <w:snapToGrid w:val="0"/>
        <w:spacing w:line="360" w:lineRule="auto"/>
        <w:rPr>
          <w:rFonts w:ascii="Arial" w:hAnsi="Arial" w:cs="Arial"/>
          <w:bCs/>
          <w:color w:val="000000"/>
        </w:rPr>
      </w:pPr>
      <w:r>
        <w:rPr>
          <w:rFonts w:hint="eastAsia" w:ascii="Arial" w:hAnsi="Arial" w:cs="Arial"/>
          <w:bCs/>
          <w:color w:val="000000"/>
        </w:rPr>
        <w:t>（提供国家确定的认证机构出具的、处于有效期之内的产品认证证书）</w:t>
      </w:r>
    </w:p>
    <w:p w14:paraId="5757F90F">
      <w:pPr>
        <w:adjustRightInd w:val="0"/>
        <w:snapToGrid w:val="0"/>
        <w:spacing w:line="360" w:lineRule="auto"/>
        <w:rPr>
          <w:rFonts w:ascii="Arial" w:hAnsi="Arial" w:cs="Arial"/>
          <w:b/>
          <w:bCs/>
          <w:color w:val="000000"/>
        </w:rPr>
      </w:pPr>
    </w:p>
    <w:p w14:paraId="1A798FC4">
      <w:pPr>
        <w:adjustRightInd w:val="0"/>
        <w:snapToGrid w:val="0"/>
        <w:spacing w:line="360" w:lineRule="auto"/>
        <w:rPr>
          <w:rFonts w:ascii="Arial" w:hAnsi="Arial" w:cs="Arial"/>
          <w:b/>
          <w:bCs/>
          <w:color w:val="000000"/>
        </w:rPr>
      </w:pPr>
    </w:p>
    <w:p w14:paraId="0FAA98A3">
      <w:pPr>
        <w:adjustRightInd w:val="0"/>
        <w:snapToGrid w:val="0"/>
        <w:spacing w:line="360" w:lineRule="auto"/>
        <w:rPr>
          <w:rFonts w:ascii="Arial" w:hAnsi="Arial" w:cs="Arial"/>
          <w:b/>
          <w:bCs/>
          <w:color w:val="000000"/>
        </w:rPr>
      </w:pPr>
    </w:p>
    <w:p w14:paraId="55630457">
      <w:pPr>
        <w:adjustRightInd w:val="0"/>
        <w:snapToGrid w:val="0"/>
        <w:spacing w:line="360" w:lineRule="auto"/>
        <w:rPr>
          <w:rFonts w:ascii="Arial" w:hAnsi="Arial" w:cs="Arial"/>
          <w:b/>
          <w:bCs/>
          <w:color w:val="000000"/>
        </w:rPr>
      </w:pPr>
    </w:p>
    <w:p w14:paraId="2F6EEB70">
      <w:pPr>
        <w:adjustRightInd w:val="0"/>
        <w:snapToGrid w:val="0"/>
        <w:spacing w:line="360" w:lineRule="auto"/>
        <w:rPr>
          <w:rFonts w:ascii="Arial" w:hAnsi="Arial" w:cs="Arial"/>
          <w:b/>
          <w:bCs/>
          <w:color w:val="000000"/>
        </w:rPr>
      </w:pPr>
    </w:p>
    <w:p w14:paraId="74979608">
      <w:pPr>
        <w:adjustRightInd w:val="0"/>
        <w:snapToGrid w:val="0"/>
        <w:spacing w:line="360" w:lineRule="auto"/>
        <w:jc w:val="center"/>
        <w:outlineLvl w:val="0"/>
        <w:rPr>
          <w:rFonts w:ascii="Arial" w:hAnsi="Arial" w:cs="Arial"/>
          <w:b/>
          <w:bCs/>
          <w:color w:val="000000"/>
        </w:rPr>
      </w:pPr>
      <w:bookmarkStart w:id="380" w:name="_Toc7362"/>
      <w:r>
        <w:rPr>
          <w:rFonts w:hint="eastAsia" w:ascii="Arial" w:hAnsi="Arial" w:cs="Arial"/>
          <w:b/>
          <w:bCs/>
          <w:color w:val="000000"/>
          <w:sz w:val="28"/>
        </w:rPr>
        <w:t>环境标志产品认证证书</w:t>
      </w:r>
      <w:bookmarkEnd w:id="380"/>
    </w:p>
    <w:p w14:paraId="60362C3D">
      <w:pPr>
        <w:adjustRightInd w:val="0"/>
        <w:snapToGrid w:val="0"/>
        <w:spacing w:line="360" w:lineRule="auto"/>
        <w:rPr>
          <w:rFonts w:ascii="Arial" w:hAnsi="Arial" w:cs="Arial"/>
          <w:color w:val="000000"/>
        </w:rPr>
      </w:pPr>
      <w:r>
        <w:rPr>
          <w:rFonts w:hint="eastAsia" w:ascii="Arial" w:hAnsi="Arial" w:cs="Arial"/>
          <w:bCs/>
          <w:color w:val="000000"/>
        </w:rPr>
        <w:t>（提供国家确定的认证机构出具的、处于有效期之内的产品认证证书）</w:t>
      </w:r>
    </w:p>
    <w:p w14:paraId="588D9CF9">
      <w:pPr>
        <w:adjustRightInd w:val="0"/>
        <w:snapToGrid w:val="0"/>
        <w:spacing w:line="360" w:lineRule="auto"/>
        <w:rPr>
          <w:rFonts w:ascii="Arial" w:hAnsi="Arial" w:cs="Arial"/>
          <w:b/>
          <w:bCs/>
          <w:color w:val="000000"/>
        </w:rPr>
      </w:pPr>
    </w:p>
    <w:p w14:paraId="682FCACE">
      <w:pPr>
        <w:adjustRightInd w:val="0"/>
        <w:snapToGrid w:val="0"/>
        <w:spacing w:line="360" w:lineRule="auto"/>
        <w:rPr>
          <w:rFonts w:ascii="Arial" w:hAnsi="Arial" w:cs="Arial"/>
          <w:b/>
          <w:bCs/>
          <w:color w:val="000000"/>
        </w:rPr>
      </w:pPr>
    </w:p>
    <w:p w14:paraId="7376CE08">
      <w:pPr>
        <w:adjustRightInd w:val="0"/>
        <w:snapToGrid w:val="0"/>
        <w:spacing w:line="360" w:lineRule="auto"/>
        <w:rPr>
          <w:rFonts w:ascii="Arial" w:hAnsi="Arial" w:cs="Arial"/>
          <w:b/>
          <w:bCs/>
          <w:color w:val="000000"/>
        </w:rPr>
      </w:pPr>
    </w:p>
    <w:p w14:paraId="1019B543">
      <w:pPr>
        <w:adjustRightInd w:val="0"/>
        <w:snapToGrid w:val="0"/>
        <w:spacing w:line="360" w:lineRule="auto"/>
        <w:rPr>
          <w:rFonts w:ascii="Arial" w:hAnsi="Arial" w:cs="Arial"/>
          <w:b/>
          <w:bCs/>
          <w:color w:val="000000"/>
        </w:rPr>
      </w:pPr>
    </w:p>
    <w:p w14:paraId="7E72E25D">
      <w:pPr>
        <w:adjustRightInd w:val="0"/>
        <w:snapToGrid w:val="0"/>
        <w:spacing w:line="360" w:lineRule="auto"/>
        <w:rPr>
          <w:rFonts w:ascii="Arial" w:hAnsi="Arial" w:cs="Arial"/>
          <w:b/>
          <w:bCs/>
          <w:color w:val="000000"/>
        </w:rPr>
      </w:pPr>
    </w:p>
    <w:p w14:paraId="59B8DAF9">
      <w:pPr>
        <w:adjustRightInd w:val="0"/>
        <w:snapToGrid w:val="0"/>
        <w:spacing w:line="360" w:lineRule="auto"/>
        <w:jc w:val="center"/>
        <w:outlineLvl w:val="0"/>
        <w:rPr>
          <w:rFonts w:ascii="Arial" w:hAnsi="Arial" w:cs="Arial"/>
          <w:b/>
          <w:bCs/>
          <w:color w:val="000000"/>
          <w:sz w:val="28"/>
        </w:rPr>
      </w:pPr>
      <w:bookmarkStart w:id="381" w:name="_Toc17034"/>
      <w:r>
        <w:rPr>
          <w:rFonts w:hint="eastAsia" w:ascii="Arial" w:hAnsi="Arial" w:cs="Arial"/>
          <w:b/>
          <w:bCs/>
          <w:color w:val="000000"/>
          <w:sz w:val="28"/>
        </w:rPr>
        <w:t>进口产品转让技术、消化吸收再创新方案</w:t>
      </w:r>
      <w:bookmarkEnd w:id="381"/>
    </w:p>
    <w:p w14:paraId="3B79A6A2">
      <w:pPr>
        <w:adjustRightInd w:val="0"/>
        <w:snapToGrid w:val="0"/>
        <w:spacing w:line="360" w:lineRule="auto"/>
        <w:rPr>
          <w:rFonts w:ascii="Arial" w:hAnsi="Arial" w:cs="Arial"/>
          <w:bCs/>
          <w:color w:val="000000"/>
        </w:rPr>
      </w:pPr>
      <w:r>
        <w:rPr>
          <w:rFonts w:hint="eastAsia" w:ascii="Arial" w:hAnsi="Arial" w:cs="Arial"/>
          <w:bCs/>
          <w:color w:val="000000"/>
        </w:rPr>
        <w:t>（对于允许进口产品参加的项目）</w:t>
      </w:r>
    </w:p>
    <w:p w14:paraId="417308AF">
      <w:pPr>
        <w:keepNext/>
        <w:keepLines/>
        <w:widowControl w:val="0"/>
        <w:spacing w:before="120" w:after="120"/>
        <w:jc w:val="left"/>
        <w:outlineLvl w:val="0"/>
        <w:rPr>
          <w:rFonts w:hint="eastAsia" w:ascii="宋体" w:hAnsi="宋体" w:eastAsia="宋体" w:cs="Times New Roman"/>
          <w:b/>
          <w:bCs/>
          <w:kern w:val="0"/>
          <w:sz w:val="20"/>
          <w:szCs w:val="24"/>
          <w:lang w:val="en-US" w:eastAsia="zh-CN" w:bidi="ar-SA"/>
        </w:rPr>
      </w:pPr>
      <w:bookmarkStart w:id="382" w:name="_Toc6892"/>
      <w:bookmarkStart w:id="383" w:name="_Toc118445298"/>
    </w:p>
    <w:p w14:paraId="03598A86">
      <w:pPr>
        <w:keepNext/>
        <w:keepLines/>
        <w:widowControl w:val="0"/>
        <w:spacing w:before="120" w:after="120"/>
        <w:jc w:val="left"/>
        <w:outlineLvl w:val="0"/>
        <w:rPr>
          <w:rFonts w:ascii="宋体" w:hAnsi="宋体" w:eastAsia="宋体" w:cs="Times New Roman"/>
          <w:b/>
          <w:bCs/>
          <w:kern w:val="0"/>
          <w:sz w:val="20"/>
          <w:szCs w:val="24"/>
          <w:lang w:val="en-US" w:eastAsia="zh-CN" w:bidi="ar-SA"/>
        </w:rPr>
      </w:pPr>
      <w:r>
        <w:rPr>
          <w:rFonts w:hint="eastAsia" w:ascii="宋体" w:hAnsi="宋体" w:eastAsia="宋体" w:cs="Times New Roman"/>
          <w:b/>
          <w:bCs/>
          <w:kern w:val="0"/>
          <w:sz w:val="20"/>
          <w:szCs w:val="24"/>
          <w:lang w:val="en-US" w:eastAsia="zh-CN" w:bidi="ar-SA"/>
        </w:rPr>
        <w:t>目录十一</w:t>
      </w:r>
      <w:r>
        <w:rPr>
          <w:rFonts w:ascii="宋体" w:hAnsi="宋体" w:eastAsia="宋体" w:cs="Times New Roman"/>
          <w:b/>
          <w:bCs/>
          <w:kern w:val="0"/>
          <w:sz w:val="20"/>
          <w:szCs w:val="24"/>
          <w:lang w:val="en-US" w:eastAsia="zh-CN" w:bidi="ar-SA"/>
        </w:rPr>
        <w:t>、无重大违法记录声明格式</w:t>
      </w:r>
      <w:bookmarkEnd w:id="382"/>
      <w:bookmarkEnd w:id="383"/>
    </w:p>
    <w:p w14:paraId="3DC6CC28">
      <w:pPr>
        <w:adjustRightInd w:val="0"/>
        <w:snapToGrid w:val="0"/>
        <w:spacing w:line="360" w:lineRule="auto"/>
        <w:jc w:val="center"/>
        <w:outlineLvl w:val="0"/>
        <w:rPr>
          <w:rFonts w:ascii="宋体" w:hAnsi="宋体" w:cs="宋体"/>
          <w:sz w:val="36"/>
          <w:szCs w:val="36"/>
        </w:rPr>
      </w:pPr>
      <w:bookmarkStart w:id="384" w:name="_Toc9993"/>
      <w:r>
        <w:rPr>
          <w:rFonts w:ascii="宋体" w:hAnsi="宋体" w:cs="宋体"/>
          <w:sz w:val="36"/>
          <w:szCs w:val="36"/>
        </w:rPr>
        <w:t>无重大违法记录声明</w:t>
      </w:r>
      <w:bookmarkEnd w:id="384"/>
    </w:p>
    <w:p w14:paraId="6FF8A87F">
      <w:pPr>
        <w:adjustRightInd w:val="0"/>
        <w:snapToGrid w:val="0"/>
        <w:spacing w:line="360" w:lineRule="auto"/>
        <w:rPr>
          <w:rFonts w:ascii="宋体" w:hAnsi="宋体"/>
        </w:rPr>
      </w:pPr>
      <w:r>
        <w:rPr>
          <w:rFonts w:ascii="宋体" w:hAnsi="宋体"/>
        </w:rPr>
        <w:t>致：</w:t>
      </w:r>
    </w:p>
    <w:p w14:paraId="191E81E0">
      <w:pPr>
        <w:tabs>
          <w:tab w:val="left" w:pos="5120"/>
        </w:tabs>
        <w:adjustRightInd w:val="0"/>
        <w:snapToGrid w:val="0"/>
        <w:spacing w:line="360" w:lineRule="auto"/>
        <w:ind w:left="420" w:firstLine="420" w:firstLineChars="200"/>
        <w:rPr>
          <w:rFonts w:ascii="宋体" w:hAnsi="宋体"/>
        </w:rPr>
      </w:pPr>
      <w:r>
        <w:rPr>
          <w:rFonts w:ascii="宋体" w:hAnsi="宋体"/>
        </w:rPr>
        <w:t>我单位</w:t>
      </w:r>
      <w:r>
        <w:rPr>
          <w:rFonts w:ascii="宋体" w:hAnsi="宋体"/>
          <w:u w:val="single"/>
        </w:rPr>
        <w:tab/>
      </w:r>
      <w:r>
        <w:rPr>
          <w:rFonts w:ascii="宋体" w:hAnsi="宋体"/>
        </w:rPr>
        <w:t>（供应商名称）郑重声明：</w:t>
      </w:r>
    </w:p>
    <w:p w14:paraId="48288790">
      <w:pPr>
        <w:tabs>
          <w:tab w:val="left" w:pos="5250"/>
        </w:tabs>
        <w:adjustRightInd w:val="0"/>
        <w:snapToGrid w:val="0"/>
        <w:spacing w:line="360" w:lineRule="auto"/>
        <w:ind w:left="420" w:firstLine="420" w:firstLineChars="200"/>
        <w:rPr>
          <w:rFonts w:ascii="宋体" w:hAnsi="宋体"/>
        </w:rPr>
      </w:pPr>
      <w:r>
        <w:rPr>
          <w:rFonts w:ascii="宋体" w:hAnsi="宋体"/>
        </w:rPr>
        <w:t>参加政府采购活动前 3 年内在经营活动中</w:t>
      </w:r>
      <w:r>
        <w:rPr>
          <w:rFonts w:ascii="宋体" w:hAnsi="宋体"/>
          <w:u w:val="single"/>
        </w:rPr>
        <w:tab/>
      </w:r>
      <w:r>
        <w:rPr>
          <w:rFonts w:ascii="宋体" w:hAnsi="宋体"/>
        </w:rPr>
        <w:t>（在下划线上如实填写：有或没有）重大违法记录。</w:t>
      </w:r>
    </w:p>
    <w:p w14:paraId="46740D86">
      <w:pPr>
        <w:adjustRightInd w:val="0"/>
        <w:snapToGrid w:val="0"/>
        <w:spacing w:line="360" w:lineRule="auto"/>
        <w:ind w:right="40" w:firstLine="420"/>
        <w:rPr>
          <w:rFonts w:ascii="宋体" w:hAnsi="宋体"/>
        </w:rPr>
      </w:pPr>
      <w:r>
        <w:rPr>
          <w:rFonts w:ascii="宋体" w:hAnsi="宋体"/>
        </w:rPr>
        <w:t>（说明：政府采购法第二十二条第一款第五项所称重大违法记录，是指供应商因违法经营受到刑事处罚或者责令停产停业、吊销许可证或者执照、较大数额罚款等行政处罚。）</w:t>
      </w:r>
    </w:p>
    <w:p w14:paraId="41972A0A">
      <w:pPr>
        <w:adjustRightInd w:val="0"/>
        <w:snapToGrid w:val="0"/>
        <w:spacing w:line="360" w:lineRule="auto"/>
        <w:rPr>
          <w:rFonts w:ascii="宋体" w:hAnsi="宋体"/>
        </w:rPr>
      </w:pPr>
    </w:p>
    <w:p w14:paraId="1A111B27">
      <w:pPr>
        <w:adjustRightInd w:val="0"/>
        <w:snapToGrid w:val="0"/>
        <w:spacing w:line="360" w:lineRule="auto"/>
        <w:ind w:left="4520"/>
        <w:rPr>
          <w:rFonts w:ascii="宋体" w:hAnsi="宋体"/>
        </w:rPr>
      </w:pPr>
      <w:r>
        <w:rPr>
          <w:rFonts w:ascii="宋体" w:hAnsi="宋体"/>
        </w:rPr>
        <w:t>声明人：（公章）</w:t>
      </w:r>
    </w:p>
    <w:p w14:paraId="314BB007">
      <w:pPr>
        <w:adjustRightInd w:val="0"/>
        <w:snapToGrid w:val="0"/>
        <w:spacing w:line="360" w:lineRule="auto"/>
        <w:rPr>
          <w:rFonts w:ascii="宋体" w:hAnsi="宋体"/>
        </w:rPr>
      </w:pPr>
    </w:p>
    <w:p w14:paraId="4D9A8FEB">
      <w:pPr>
        <w:tabs>
          <w:tab w:val="left" w:pos="6300"/>
          <w:tab w:val="left" w:pos="6940"/>
        </w:tabs>
        <w:adjustRightInd w:val="0"/>
        <w:snapToGrid w:val="0"/>
        <w:spacing w:line="360" w:lineRule="auto"/>
        <w:ind w:left="4440"/>
        <w:rPr>
          <w:rFonts w:ascii="宋体" w:hAnsi="宋体"/>
        </w:rPr>
      </w:pPr>
      <w:r>
        <w:rPr>
          <w:rFonts w:ascii="宋体" w:hAnsi="宋体"/>
        </w:rPr>
        <w:t>日期：______年</w:t>
      </w:r>
      <w:r>
        <w:rPr>
          <w:rFonts w:ascii="宋体" w:hAnsi="宋体"/>
          <w:u w:val="single"/>
        </w:rPr>
        <w:tab/>
      </w:r>
      <w:r>
        <w:rPr>
          <w:rFonts w:ascii="宋体" w:hAnsi="宋体"/>
        </w:rPr>
        <w:t>月</w:t>
      </w:r>
      <w:r>
        <w:rPr>
          <w:rFonts w:ascii="宋体" w:hAnsi="宋体"/>
          <w:u w:val="single"/>
        </w:rPr>
        <w:tab/>
      </w:r>
      <w:r>
        <w:rPr>
          <w:rFonts w:ascii="宋体" w:hAnsi="宋体"/>
        </w:rPr>
        <w:t>日</w:t>
      </w:r>
    </w:p>
    <w:p w14:paraId="575CFC7C">
      <w:pPr>
        <w:adjustRightInd w:val="0"/>
        <w:snapToGrid w:val="0"/>
        <w:spacing w:line="360" w:lineRule="auto"/>
        <w:ind w:right="1760"/>
        <w:jc w:val="right"/>
        <w:rPr>
          <w:rFonts w:ascii="宋体" w:hAnsi="宋体"/>
        </w:rPr>
      </w:pPr>
    </w:p>
    <w:p w14:paraId="0B1E9255">
      <w:pPr>
        <w:keepNext/>
        <w:keepLines/>
        <w:widowControl w:val="0"/>
        <w:spacing w:before="120" w:after="120"/>
        <w:jc w:val="left"/>
        <w:outlineLvl w:val="0"/>
        <w:rPr>
          <w:rFonts w:ascii="宋体" w:hAnsi="宋体" w:eastAsia="宋体" w:cs="Times New Roman"/>
          <w:b/>
          <w:bCs/>
          <w:kern w:val="0"/>
          <w:sz w:val="20"/>
          <w:szCs w:val="24"/>
          <w:lang w:val="en-US" w:eastAsia="zh-CN" w:bidi="ar-SA"/>
        </w:rPr>
      </w:pPr>
      <w:bookmarkStart w:id="385" w:name="_Toc11162"/>
      <w:bookmarkStart w:id="386" w:name="_Toc118445299"/>
      <w:r>
        <w:rPr>
          <w:rFonts w:hint="eastAsia" w:ascii="宋体" w:hAnsi="宋体" w:eastAsia="宋体" w:cs="Times New Roman"/>
          <w:b/>
          <w:bCs/>
          <w:kern w:val="0"/>
          <w:sz w:val="20"/>
          <w:szCs w:val="24"/>
          <w:lang w:val="en-US" w:eastAsia="zh-CN" w:bidi="ar-SA"/>
        </w:rPr>
        <w:t>目录</w:t>
      </w:r>
      <w:r>
        <w:rPr>
          <w:rFonts w:ascii="宋体" w:hAnsi="宋体" w:eastAsia="宋体" w:cs="Times New Roman"/>
          <w:b/>
          <w:bCs/>
          <w:kern w:val="0"/>
          <w:sz w:val="20"/>
          <w:szCs w:val="24"/>
          <w:lang w:val="en-US" w:eastAsia="zh-CN" w:bidi="ar-SA"/>
        </w:rPr>
        <w:t>十</w:t>
      </w:r>
      <w:r>
        <w:rPr>
          <w:rFonts w:hint="eastAsia" w:ascii="宋体" w:hAnsi="宋体" w:eastAsia="宋体" w:cs="Times New Roman"/>
          <w:b/>
          <w:bCs/>
          <w:kern w:val="0"/>
          <w:sz w:val="20"/>
          <w:szCs w:val="24"/>
          <w:lang w:val="en-US" w:eastAsia="zh-CN" w:bidi="ar-SA"/>
        </w:rPr>
        <w:t>二</w:t>
      </w:r>
      <w:r>
        <w:rPr>
          <w:rFonts w:ascii="宋体" w:hAnsi="宋体" w:eastAsia="宋体" w:cs="Times New Roman"/>
          <w:b/>
          <w:bCs/>
          <w:kern w:val="0"/>
          <w:sz w:val="20"/>
          <w:szCs w:val="24"/>
          <w:lang w:val="en-US" w:eastAsia="zh-CN" w:bidi="ar-SA"/>
        </w:rPr>
        <w:t>、具备履行合同所必需的设备和专业技术能力的声明格式及证明材料</w:t>
      </w:r>
      <w:bookmarkEnd w:id="385"/>
      <w:bookmarkEnd w:id="386"/>
    </w:p>
    <w:p w14:paraId="1769F948">
      <w:pPr>
        <w:adjustRightInd w:val="0"/>
        <w:snapToGrid w:val="0"/>
        <w:spacing w:line="360" w:lineRule="auto"/>
        <w:rPr>
          <w:rFonts w:ascii="宋体" w:hAnsi="宋体"/>
        </w:rPr>
      </w:pPr>
    </w:p>
    <w:p w14:paraId="494A2EF0">
      <w:pPr>
        <w:adjustRightInd w:val="0"/>
        <w:snapToGrid w:val="0"/>
        <w:spacing w:line="360" w:lineRule="auto"/>
        <w:jc w:val="center"/>
        <w:outlineLvl w:val="0"/>
        <w:rPr>
          <w:rFonts w:ascii="宋体" w:hAnsi="宋体" w:cs="宋体"/>
          <w:sz w:val="36"/>
          <w:szCs w:val="36"/>
        </w:rPr>
      </w:pPr>
      <w:bookmarkStart w:id="387" w:name="_Toc10525"/>
      <w:r>
        <w:rPr>
          <w:rFonts w:ascii="宋体" w:hAnsi="宋体" w:cs="宋体"/>
          <w:sz w:val="36"/>
          <w:szCs w:val="36"/>
        </w:rPr>
        <w:t>具备履行合同所必需的设备和专业技术能力的声明</w:t>
      </w:r>
      <w:bookmarkEnd w:id="387"/>
    </w:p>
    <w:p w14:paraId="6092B7A5">
      <w:pPr>
        <w:adjustRightInd w:val="0"/>
        <w:snapToGrid w:val="0"/>
        <w:spacing w:line="360" w:lineRule="auto"/>
        <w:rPr>
          <w:rFonts w:ascii="宋体" w:hAnsi="宋体"/>
        </w:rPr>
      </w:pPr>
    </w:p>
    <w:p w14:paraId="7596F30B">
      <w:pPr>
        <w:adjustRightInd w:val="0"/>
        <w:snapToGrid w:val="0"/>
        <w:spacing w:line="360" w:lineRule="auto"/>
        <w:rPr>
          <w:rFonts w:ascii="宋体" w:hAnsi="宋体"/>
        </w:rPr>
      </w:pPr>
      <w:r>
        <w:rPr>
          <w:rFonts w:ascii="宋体" w:hAnsi="宋体"/>
        </w:rPr>
        <w:t>致：</w:t>
      </w:r>
    </w:p>
    <w:p w14:paraId="5B15DDAB">
      <w:pPr>
        <w:tabs>
          <w:tab w:val="left" w:pos="4180"/>
        </w:tabs>
        <w:adjustRightInd w:val="0"/>
        <w:snapToGrid w:val="0"/>
        <w:spacing w:line="360" w:lineRule="auto"/>
        <w:ind w:firstLine="420" w:firstLineChars="200"/>
        <w:rPr>
          <w:rFonts w:ascii="宋体" w:hAnsi="宋体"/>
        </w:rPr>
      </w:pPr>
      <w:r>
        <w:rPr>
          <w:rFonts w:ascii="宋体" w:hAnsi="宋体"/>
        </w:rPr>
        <w:t>我单位</w:t>
      </w:r>
      <w:r>
        <w:rPr>
          <w:rFonts w:ascii="宋体" w:hAnsi="宋体"/>
          <w:u w:val="single"/>
        </w:rPr>
        <w:tab/>
      </w:r>
      <w:r>
        <w:rPr>
          <w:rFonts w:ascii="宋体" w:hAnsi="宋体"/>
        </w:rPr>
        <w:t>（供应商名称）郑重声明：我公司具备履行本项采购合同所必需的设备和专业技术能力，为履行本项采购合同我单位具备如下主要设备和主要专业技术能力：</w:t>
      </w:r>
    </w:p>
    <w:p w14:paraId="66365624">
      <w:pPr>
        <w:tabs>
          <w:tab w:val="left" w:pos="4460"/>
        </w:tabs>
        <w:adjustRightInd w:val="0"/>
        <w:snapToGrid w:val="0"/>
        <w:spacing w:line="360" w:lineRule="auto"/>
        <w:ind w:firstLine="420" w:firstLineChars="200"/>
        <w:rPr>
          <w:rFonts w:ascii="宋体" w:hAnsi="宋体"/>
        </w:rPr>
      </w:pPr>
      <w:r>
        <w:rPr>
          <w:rFonts w:ascii="宋体" w:hAnsi="宋体"/>
        </w:rPr>
        <w:t>主要设备有：</w:t>
      </w:r>
      <w:r>
        <w:rPr>
          <w:rFonts w:ascii="宋体" w:hAnsi="宋体"/>
          <w:u w:val="single"/>
        </w:rPr>
        <w:tab/>
      </w:r>
      <w:r>
        <w:rPr>
          <w:rFonts w:ascii="宋体" w:hAnsi="宋体"/>
        </w:rPr>
        <w:t>。</w:t>
      </w:r>
      <w:r>
        <w:rPr>
          <w:rFonts w:hint="eastAsia" w:ascii="宋体" w:hAnsi="宋体" w:cs="宋体"/>
        </w:rPr>
        <w:t>（</w:t>
      </w:r>
      <w:r>
        <w:rPr>
          <w:rFonts w:ascii="宋体" w:hAnsi="宋体"/>
        </w:rPr>
        <w:t xml:space="preserve"> 若有 </w:t>
      </w:r>
      <w:r>
        <w:rPr>
          <w:rFonts w:hint="eastAsia" w:ascii="宋体" w:hAnsi="宋体" w:cs="宋体"/>
        </w:rPr>
        <w:t>）</w:t>
      </w:r>
    </w:p>
    <w:p w14:paraId="75CD35E0">
      <w:pPr>
        <w:tabs>
          <w:tab w:val="left" w:pos="4460"/>
        </w:tabs>
        <w:adjustRightInd w:val="0"/>
        <w:snapToGrid w:val="0"/>
        <w:spacing w:line="360" w:lineRule="auto"/>
        <w:ind w:firstLine="420" w:firstLineChars="200"/>
        <w:rPr>
          <w:rFonts w:ascii="宋体" w:hAnsi="宋体"/>
        </w:rPr>
      </w:pPr>
      <w:r>
        <w:rPr>
          <w:rFonts w:ascii="宋体" w:hAnsi="宋体"/>
        </w:rPr>
        <w:t>主要专业技术能力有：</w:t>
      </w:r>
      <w:r>
        <w:rPr>
          <w:rFonts w:ascii="宋体" w:hAnsi="宋体"/>
          <w:u w:val="single"/>
        </w:rPr>
        <w:tab/>
      </w:r>
      <w:r>
        <w:rPr>
          <w:rFonts w:ascii="宋体" w:hAnsi="宋体"/>
        </w:rPr>
        <w:t>。</w:t>
      </w:r>
      <w:r>
        <w:rPr>
          <w:rFonts w:hint="eastAsia" w:ascii="宋体" w:hAnsi="宋体" w:cs="宋体"/>
        </w:rPr>
        <w:t>（</w:t>
      </w:r>
      <w:r>
        <w:rPr>
          <w:rFonts w:ascii="宋体" w:hAnsi="宋体"/>
        </w:rPr>
        <w:t xml:space="preserve"> 若有 </w:t>
      </w:r>
      <w:r>
        <w:rPr>
          <w:rFonts w:hint="eastAsia" w:ascii="宋体" w:hAnsi="宋体" w:cs="宋体"/>
        </w:rPr>
        <w:t>）</w:t>
      </w:r>
    </w:p>
    <w:p w14:paraId="5E919D51">
      <w:pPr>
        <w:adjustRightInd w:val="0"/>
        <w:snapToGrid w:val="0"/>
        <w:spacing w:line="360" w:lineRule="auto"/>
        <w:rPr>
          <w:rFonts w:ascii="宋体" w:hAnsi="宋体"/>
        </w:rPr>
      </w:pPr>
    </w:p>
    <w:p w14:paraId="633CE6E6">
      <w:pPr>
        <w:adjustRightInd w:val="0"/>
        <w:snapToGrid w:val="0"/>
        <w:spacing w:line="360" w:lineRule="auto"/>
        <w:rPr>
          <w:rFonts w:ascii="宋体" w:hAnsi="宋体"/>
        </w:rPr>
      </w:pPr>
    </w:p>
    <w:p w14:paraId="507B84C0">
      <w:pPr>
        <w:adjustRightInd w:val="0"/>
        <w:snapToGrid w:val="0"/>
        <w:spacing w:line="360" w:lineRule="auto"/>
        <w:ind w:left="4520"/>
        <w:rPr>
          <w:rFonts w:ascii="宋体" w:hAnsi="宋体"/>
        </w:rPr>
      </w:pPr>
      <w:r>
        <w:rPr>
          <w:rFonts w:ascii="宋体" w:hAnsi="宋体"/>
        </w:rPr>
        <w:t>声明人：（公章）</w:t>
      </w:r>
    </w:p>
    <w:p w14:paraId="74584C86">
      <w:pPr>
        <w:adjustRightInd w:val="0"/>
        <w:snapToGrid w:val="0"/>
        <w:spacing w:line="360" w:lineRule="auto"/>
        <w:rPr>
          <w:rFonts w:ascii="宋体" w:hAnsi="宋体"/>
        </w:rPr>
      </w:pPr>
    </w:p>
    <w:p w14:paraId="1C713498">
      <w:pPr>
        <w:tabs>
          <w:tab w:val="left" w:pos="6300"/>
          <w:tab w:val="left" w:pos="6940"/>
        </w:tabs>
        <w:adjustRightInd w:val="0"/>
        <w:snapToGrid w:val="0"/>
        <w:spacing w:line="360" w:lineRule="auto"/>
        <w:ind w:left="4440"/>
        <w:rPr>
          <w:rFonts w:ascii="宋体" w:hAnsi="宋体"/>
        </w:rPr>
      </w:pPr>
      <w:r>
        <w:rPr>
          <w:rFonts w:ascii="宋体" w:hAnsi="宋体"/>
        </w:rPr>
        <w:t>日期：______年</w:t>
      </w:r>
      <w:r>
        <w:rPr>
          <w:rFonts w:ascii="宋体" w:hAnsi="宋体"/>
          <w:u w:val="single"/>
        </w:rPr>
        <w:tab/>
      </w:r>
      <w:r>
        <w:rPr>
          <w:rFonts w:ascii="宋体" w:hAnsi="宋体"/>
        </w:rPr>
        <w:t>月</w:t>
      </w:r>
      <w:r>
        <w:rPr>
          <w:rFonts w:ascii="宋体" w:hAnsi="宋体"/>
          <w:u w:val="single"/>
        </w:rPr>
        <w:tab/>
      </w:r>
      <w:r>
        <w:rPr>
          <w:rFonts w:ascii="宋体" w:hAnsi="宋体"/>
        </w:rPr>
        <w:t>日</w:t>
      </w:r>
    </w:p>
    <w:p w14:paraId="17ADF45B">
      <w:pPr>
        <w:adjustRightInd w:val="0"/>
        <w:snapToGrid w:val="0"/>
        <w:spacing w:line="360" w:lineRule="auto"/>
        <w:rPr>
          <w:rFonts w:ascii="宋体" w:hAnsi="宋体"/>
        </w:rPr>
      </w:pPr>
    </w:p>
    <w:p w14:paraId="50E24FF0">
      <w:pPr>
        <w:adjustRightInd w:val="0"/>
        <w:snapToGrid w:val="0"/>
        <w:spacing w:line="360" w:lineRule="auto"/>
        <w:ind w:left="500"/>
        <w:rPr>
          <w:rFonts w:ascii="宋体" w:hAnsi="宋体"/>
        </w:rPr>
        <w:sectPr>
          <w:pgSz w:w="11900" w:h="16838"/>
          <w:pgMar w:top="1440" w:right="1380" w:bottom="404" w:left="1420" w:header="0" w:footer="992" w:gutter="0"/>
          <w:cols w:space="720" w:num="1"/>
          <w:docGrid w:linePitch="360" w:charSpace="0"/>
        </w:sectPr>
      </w:pPr>
      <w:r>
        <w:rPr>
          <w:rFonts w:ascii="宋体" w:hAnsi="宋体"/>
        </w:rPr>
        <w:t>其他证明材料及文件：（如果</w:t>
      </w:r>
      <w:r>
        <w:rPr>
          <w:rFonts w:hint="eastAsia" w:ascii="宋体" w:hAnsi="宋体"/>
        </w:rPr>
        <w:t>供应商</w:t>
      </w:r>
      <w:r>
        <w:rPr>
          <w:rFonts w:ascii="宋体" w:hAnsi="宋体"/>
        </w:rPr>
        <w:t>认为需要提供的话）</w:t>
      </w:r>
    </w:p>
    <w:p w14:paraId="5BF8C3CF">
      <w:pPr>
        <w:adjustRightInd w:val="0"/>
        <w:snapToGrid w:val="0"/>
        <w:spacing w:line="360" w:lineRule="auto"/>
        <w:rPr>
          <w:rFonts w:ascii="宋体" w:hAnsi="宋体"/>
        </w:rPr>
      </w:pPr>
    </w:p>
    <w:p w14:paraId="0B1F2B7E">
      <w:pPr>
        <w:widowControl/>
        <w:shd w:val="clear" w:color="auto" w:fill="FFFFFF"/>
        <w:autoSpaceDE w:val="0"/>
        <w:autoSpaceDN w:val="0"/>
        <w:adjustRightInd/>
        <w:snapToGrid/>
        <w:spacing w:line="360" w:lineRule="auto"/>
        <w:jc w:val="left"/>
        <w:outlineLvl w:val="0"/>
        <w:rPr>
          <w:rFonts w:ascii="宋体" w:hAnsi="宋体" w:cs="Arial"/>
          <w:b/>
          <w:spacing w:val="8"/>
          <w:kern w:val="0"/>
          <w:szCs w:val="21"/>
        </w:rPr>
      </w:pPr>
      <w:bookmarkStart w:id="388" w:name="_Toc118445300"/>
      <w:bookmarkStart w:id="389" w:name="_Toc15650"/>
      <w:r>
        <w:rPr>
          <w:rFonts w:hint="eastAsia"/>
          <w:bCs/>
        </w:rPr>
        <w:t>目录十</w:t>
      </w:r>
      <w:bookmarkStart w:id="390" w:name="_Toc80801348"/>
      <w:r>
        <w:rPr>
          <w:rFonts w:hint="eastAsia"/>
          <w:bCs/>
        </w:rPr>
        <w:t>三、</w:t>
      </w:r>
      <w:bookmarkEnd w:id="388"/>
      <w:bookmarkEnd w:id="390"/>
      <w:r>
        <w:rPr>
          <w:rFonts w:hint="eastAsia" w:ascii="宋体" w:hAnsi="宋体" w:cs="Arial"/>
          <w:b/>
          <w:spacing w:val="8"/>
          <w:kern w:val="0"/>
          <w:szCs w:val="21"/>
        </w:rPr>
        <w:t>南京市政府采购供应商信用记录表暨信用承诺书</w:t>
      </w:r>
      <w:r>
        <w:rPr>
          <w:rFonts w:ascii="宋体" w:hAnsi="宋体" w:cs="Arial"/>
          <w:b/>
          <w:spacing w:val="8"/>
          <w:kern w:val="0"/>
          <w:szCs w:val="21"/>
        </w:rPr>
        <w:t>(在线打印)</w:t>
      </w:r>
      <w:bookmarkEnd w:id="389"/>
    </w:p>
    <w:p w14:paraId="6D71CDCF">
      <w:pPr>
        <w:adjustRightInd/>
        <w:snapToGrid/>
        <w:spacing w:line="360" w:lineRule="auto"/>
        <w:rPr>
          <w:rFonts w:ascii="宋体" w:hAnsi="宋体"/>
          <w:szCs w:val="21"/>
        </w:rPr>
      </w:pPr>
    </w:p>
    <w:p w14:paraId="0A86069E">
      <w:pPr>
        <w:adjustRightInd/>
        <w:snapToGrid/>
        <w:spacing w:line="360" w:lineRule="auto"/>
        <w:jc w:val="center"/>
        <w:outlineLvl w:val="0"/>
        <w:rPr>
          <w:rFonts w:ascii="宋体" w:hAnsi="宋体"/>
          <w:szCs w:val="21"/>
        </w:rPr>
      </w:pPr>
      <w:bookmarkStart w:id="391" w:name="_Toc4311"/>
      <w:r>
        <w:rPr>
          <w:rFonts w:hint="eastAsia" w:ascii="宋体" w:hAnsi="宋体" w:cs="Arial"/>
          <w:b/>
          <w:spacing w:val="8"/>
          <w:kern w:val="0"/>
          <w:szCs w:val="21"/>
        </w:rPr>
        <w:t>南京市政府采购供应商信用记录表暨信用承诺书</w:t>
      </w:r>
      <w:bookmarkEnd w:id="391"/>
    </w:p>
    <w:p w14:paraId="2323855E">
      <w:pPr>
        <w:adjustRightInd/>
        <w:snapToGrid/>
        <w:spacing w:line="360" w:lineRule="auto"/>
        <w:jc w:val="center"/>
        <w:rPr>
          <w:rFonts w:ascii="宋体" w:hAnsi="宋体"/>
        </w:rPr>
      </w:pPr>
      <w:r>
        <w:rPr>
          <w:rFonts w:ascii="宋体" w:hAnsi="宋体"/>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hint="eastAsia" w:ascii="宋体" w:hAnsi="宋体" w:cs="Arial"/>
          <w:sz w:val="24"/>
        </w:rPr>
        <w:t>月</w:t>
      </w:r>
      <w:r>
        <w:rPr>
          <w:rFonts w:ascii="宋体" w:hAnsi="宋体" w:cs="Arial"/>
          <w:sz w:val="24"/>
        </w:rPr>
        <w:t xml:space="preserve">   </w:t>
      </w:r>
      <w:r>
        <w:rPr>
          <w:rFonts w:hint="eastAsia" w:ascii="宋体" w:hAnsi="宋体" w:cs="Arial"/>
          <w:sz w:val="24"/>
        </w:rPr>
        <w:t>日</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2169"/>
        <w:gridCol w:w="2326"/>
        <w:gridCol w:w="1961"/>
      </w:tblGrid>
      <w:tr w14:paraId="7C39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14:paraId="0C9F5EEF">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单位名称</w:t>
            </w:r>
          </w:p>
        </w:tc>
        <w:tc>
          <w:tcPr>
            <w:tcW w:w="2169" w:type="dxa"/>
            <w:vAlign w:val="center"/>
          </w:tcPr>
          <w:p w14:paraId="0372093C">
            <w:pPr>
              <w:widowControl/>
              <w:adjustRightInd w:val="0"/>
              <w:snapToGrid/>
              <w:spacing w:line="360" w:lineRule="auto"/>
              <w:jc w:val="center"/>
              <w:rPr>
                <w:rFonts w:ascii="宋体" w:hAnsi="宋体" w:cs="宋体"/>
                <w:kern w:val="0"/>
                <w:szCs w:val="21"/>
                <w:lang w:val="zh-CN"/>
              </w:rPr>
            </w:pPr>
          </w:p>
        </w:tc>
        <w:tc>
          <w:tcPr>
            <w:tcW w:w="2326" w:type="dxa"/>
            <w:vAlign w:val="center"/>
          </w:tcPr>
          <w:p w14:paraId="21D8CF63">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统一社会信用代码</w:t>
            </w:r>
          </w:p>
        </w:tc>
        <w:tc>
          <w:tcPr>
            <w:tcW w:w="1961" w:type="dxa"/>
            <w:vAlign w:val="center"/>
          </w:tcPr>
          <w:p w14:paraId="1B554B33">
            <w:pPr>
              <w:widowControl/>
              <w:adjustRightInd w:val="0"/>
              <w:snapToGrid/>
              <w:spacing w:line="360" w:lineRule="auto"/>
              <w:jc w:val="center"/>
              <w:rPr>
                <w:rFonts w:ascii="宋体" w:hAnsi="宋体" w:cs="宋体"/>
                <w:kern w:val="0"/>
                <w:szCs w:val="21"/>
                <w:lang w:val="zh-CN"/>
              </w:rPr>
            </w:pPr>
          </w:p>
        </w:tc>
      </w:tr>
      <w:tr w14:paraId="39D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14:paraId="522EC350">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法定代表人</w:t>
            </w:r>
          </w:p>
        </w:tc>
        <w:tc>
          <w:tcPr>
            <w:tcW w:w="2169" w:type="dxa"/>
            <w:vAlign w:val="center"/>
          </w:tcPr>
          <w:p w14:paraId="0EDB79FC">
            <w:pPr>
              <w:widowControl/>
              <w:adjustRightInd w:val="0"/>
              <w:snapToGrid/>
              <w:spacing w:line="360" w:lineRule="auto"/>
              <w:jc w:val="center"/>
              <w:rPr>
                <w:rFonts w:ascii="宋体" w:hAnsi="宋体" w:cs="宋体"/>
                <w:kern w:val="0"/>
                <w:szCs w:val="21"/>
                <w:lang w:val="zh-CN"/>
              </w:rPr>
            </w:pPr>
          </w:p>
        </w:tc>
        <w:tc>
          <w:tcPr>
            <w:tcW w:w="2326" w:type="dxa"/>
            <w:vAlign w:val="center"/>
          </w:tcPr>
          <w:p w14:paraId="6E11638A">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联系人</w:t>
            </w:r>
          </w:p>
        </w:tc>
        <w:tc>
          <w:tcPr>
            <w:tcW w:w="1961" w:type="dxa"/>
            <w:vAlign w:val="center"/>
          </w:tcPr>
          <w:p w14:paraId="11C557BE">
            <w:pPr>
              <w:widowControl/>
              <w:adjustRightInd w:val="0"/>
              <w:snapToGrid/>
              <w:spacing w:line="360" w:lineRule="auto"/>
              <w:jc w:val="center"/>
              <w:rPr>
                <w:rFonts w:ascii="宋体" w:hAnsi="宋体" w:cs="宋体"/>
                <w:kern w:val="0"/>
                <w:szCs w:val="21"/>
                <w:lang w:val="zh-CN"/>
              </w:rPr>
            </w:pPr>
          </w:p>
        </w:tc>
      </w:tr>
      <w:tr w14:paraId="570B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14:paraId="041597E5">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联系地址</w:t>
            </w:r>
          </w:p>
        </w:tc>
        <w:tc>
          <w:tcPr>
            <w:tcW w:w="2169" w:type="dxa"/>
            <w:vAlign w:val="center"/>
          </w:tcPr>
          <w:p w14:paraId="5FF9B3ED">
            <w:pPr>
              <w:widowControl/>
              <w:adjustRightInd w:val="0"/>
              <w:snapToGrid/>
              <w:spacing w:line="360" w:lineRule="auto"/>
              <w:jc w:val="center"/>
              <w:rPr>
                <w:rFonts w:ascii="宋体" w:hAnsi="宋体" w:cs="宋体"/>
                <w:kern w:val="0"/>
                <w:szCs w:val="21"/>
                <w:lang w:val="zh-CN"/>
              </w:rPr>
            </w:pPr>
          </w:p>
        </w:tc>
        <w:tc>
          <w:tcPr>
            <w:tcW w:w="2326" w:type="dxa"/>
            <w:vAlign w:val="center"/>
          </w:tcPr>
          <w:p w14:paraId="04F5909B">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联系电话</w:t>
            </w:r>
          </w:p>
        </w:tc>
        <w:tc>
          <w:tcPr>
            <w:tcW w:w="1961" w:type="dxa"/>
            <w:vAlign w:val="center"/>
          </w:tcPr>
          <w:p w14:paraId="57407058">
            <w:pPr>
              <w:widowControl/>
              <w:adjustRightInd w:val="0"/>
              <w:snapToGrid/>
              <w:spacing w:line="360" w:lineRule="auto"/>
              <w:jc w:val="center"/>
              <w:rPr>
                <w:rFonts w:ascii="宋体" w:hAnsi="宋体" w:cs="宋体"/>
                <w:kern w:val="0"/>
                <w:szCs w:val="21"/>
                <w:lang w:val="zh-CN"/>
              </w:rPr>
            </w:pPr>
          </w:p>
        </w:tc>
      </w:tr>
      <w:tr w14:paraId="2F3F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987" w:type="dxa"/>
            <w:tcBorders>
              <w:bottom w:val="single" w:color="auto" w:sz="4" w:space="0"/>
            </w:tcBorders>
            <w:vAlign w:val="center"/>
          </w:tcPr>
          <w:p w14:paraId="06936545">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诚信档案记录情况</w:t>
            </w:r>
          </w:p>
        </w:tc>
        <w:tc>
          <w:tcPr>
            <w:tcW w:w="6456" w:type="dxa"/>
            <w:gridSpan w:val="3"/>
            <w:tcBorders>
              <w:bottom w:val="single" w:color="auto" w:sz="4" w:space="0"/>
            </w:tcBorders>
            <w:vAlign w:val="center"/>
          </w:tcPr>
          <w:p w14:paraId="67853EC7">
            <w:pPr>
              <w:widowControl/>
              <w:adjustRightInd w:val="0"/>
              <w:snapToGrid/>
              <w:spacing w:line="360" w:lineRule="auto"/>
              <w:jc w:val="center"/>
              <w:rPr>
                <w:rFonts w:ascii="宋体" w:hAnsi="宋体" w:cs="宋体"/>
                <w:kern w:val="0"/>
                <w:szCs w:val="21"/>
                <w:lang w:val="zh-CN"/>
              </w:rPr>
            </w:pPr>
          </w:p>
        </w:tc>
      </w:tr>
      <w:tr w14:paraId="17DB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tcBorders>
              <w:bottom w:val="single" w:color="auto" w:sz="4" w:space="0"/>
            </w:tcBorders>
            <w:vAlign w:val="center"/>
          </w:tcPr>
          <w:p w14:paraId="45C8C88D">
            <w:pPr>
              <w:widowControl/>
              <w:adjustRightInd w:val="0"/>
              <w:snapToGrid/>
              <w:spacing w:line="360" w:lineRule="auto"/>
              <w:jc w:val="center"/>
              <w:rPr>
                <w:rFonts w:ascii="宋体" w:hAnsi="宋体" w:cs="宋体"/>
                <w:kern w:val="0"/>
                <w:szCs w:val="21"/>
                <w:lang w:val="zh-CN"/>
              </w:rPr>
            </w:pPr>
            <w:r>
              <w:rPr>
                <w:rFonts w:hint="eastAsia" w:ascii="宋体" w:hAnsi="宋体" w:cs="宋体"/>
                <w:kern w:val="0"/>
                <w:szCs w:val="21"/>
                <w:lang w:val="zh-CN"/>
              </w:rPr>
              <w:t>信用承诺</w:t>
            </w:r>
          </w:p>
        </w:tc>
        <w:tc>
          <w:tcPr>
            <w:tcW w:w="6456" w:type="dxa"/>
            <w:gridSpan w:val="3"/>
            <w:tcBorders>
              <w:bottom w:val="single" w:color="auto" w:sz="4" w:space="0"/>
            </w:tcBorders>
            <w:vAlign w:val="center"/>
          </w:tcPr>
          <w:p w14:paraId="01D99BFC">
            <w:pPr>
              <w:widowControl/>
              <w:adjustRightInd w:val="0"/>
              <w:snapToGrid/>
              <w:spacing w:line="360" w:lineRule="auto"/>
              <w:jc w:val="left"/>
              <w:rPr>
                <w:rFonts w:ascii="宋体" w:hAnsi="宋体" w:cs="宋体"/>
                <w:kern w:val="0"/>
                <w:szCs w:val="21"/>
                <w:lang w:val="zh-CN"/>
              </w:rPr>
            </w:pPr>
            <w:r>
              <w:rPr>
                <w:rFonts w:hint="eastAsia" w:ascii="宋体" w:hAnsi="宋体" w:cs="宋体"/>
                <w:kern w:val="0"/>
                <w:szCs w:val="21"/>
                <w:lang w:val="zh-CN"/>
              </w:rPr>
              <w:t>我公司自愿参加贵中心（公司）组织的本次采购活动，</w:t>
            </w:r>
            <w:r>
              <w:rPr>
                <w:rFonts w:ascii="宋体" w:hAnsi="宋体" w:cs="宋体"/>
                <w:kern w:val="0"/>
                <w:szCs w:val="21"/>
                <w:lang w:val="zh-CN"/>
              </w:rPr>
              <w:t xml:space="preserve"> </w:t>
            </w:r>
            <w:r>
              <w:rPr>
                <w:rFonts w:hint="eastAsia" w:ascii="宋体" w:hAnsi="宋体" w:cs="宋体"/>
                <w:kern w:val="0"/>
                <w:szCs w:val="21"/>
                <w:lang w:val="zh-CN"/>
              </w:rPr>
              <w:t>严格遵守《中华人民政府采购法》及相关法律法规，坚守公开、公平、公正和诚实信用的原则，依法诚信经营，</w:t>
            </w:r>
            <w:r>
              <w:rPr>
                <w:rFonts w:ascii="宋体" w:hAnsi="宋体" w:cs="宋体"/>
                <w:kern w:val="0"/>
                <w:szCs w:val="21"/>
                <w:lang w:val="zh-CN"/>
              </w:rPr>
              <w:t xml:space="preserve"> </w:t>
            </w:r>
            <w:r>
              <w:rPr>
                <w:rFonts w:hint="eastAsia" w:ascii="宋体" w:hAnsi="宋体" w:cs="宋体"/>
                <w:kern w:val="0"/>
                <w:szCs w:val="21"/>
                <w:lang w:val="zh-CN"/>
              </w:rPr>
              <w:t>无条件遵守本次政府采购活动的各项规定。</w:t>
            </w:r>
            <w:r>
              <w:rPr>
                <w:rFonts w:ascii="宋体" w:hAnsi="宋体" w:cs="宋体"/>
                <w:kern w:val="0"/>
                <w:szCs w:val="21"/>
                <w:lang w:val="zh-CN"/>
              </w:rPr>
              <w:t xml:space="preserve"> </w:t>
            </w:r>
            <w:r>
              <w:rPr>
                <w:rFonts w:hint="eastAsia" w:ascii="宋体" w:hAnsi="宋体" w:cs="宋体"/>
                <w:kern w:val="0"/>
                <w:szCs w:val="21"/>
                <w:lang w:val="zh-CN"/>
              </w:rPr>
              <w:t>我们郑重承诺，</w:t>
            </w:r>
            <w:r>
              <w:rPr>
                <w:rFonts w:ascii="宋体" w:hAnsi="宋体" w:cs="宋体"/>
                <w:kern w:val="0"/>
                <w:szCs w:val="21"/>
                <w:lang w:val="zh-CN"/>
              </w:rPr>
              <w:t xml:space="preserve"> </w:t>
            </w:r>
            <w:r>
              <w:rPr>
                <w:rFonts w:hint="eastAsia" w:ascii="宋体" w:hAnsi="宋体" w:cs="宋体"/>
                <w:kern w:val="0"/>
                <w:szCs w:val="21"/>
                <w:lang w:val="zh-CN"/>
              </w:rPr>
              <w:t>本公司符合《政府采购法》第二十二条规定的条件，</w:t>
            </w:r>
            <w:r>
              <w:rPr>
                <w:rFonts w:ascii="宋体" w:hAnsi="宋体" w:cs="宋体"/>
                <w:kern w:val="0"/>
                <w:szCs w:val="21"/>
                <w:lang w:val="zh-CN"/>
              </w:rPr>
              <w:t xml:space="preserve"> </w:t>
            </w:r>
            <w:r>
              <w:rPr>
                <w:rFonts w:hint="eastAsia" w:ascii="宋体" w:hAnsi="宋体" w:cs="宋体"/>
                <w:kern w:val="0"/>
                <w:szCs w:val="21"/>
                <w:lang w:val="zh-CN"/>
              </w:rPr>
              <w:t>包括：</w:t>
            </w:r>
            <w:r>
              <w:rPr>
                <w:rFonts w:ascii="宋体" w:hAnsi="宋体" w:cs="宋体"/>
                <w:kern w:val="0"/>
                <w:szCs w:val="21"/>
                <w:lang w:val="zh-CN"/>
              </w:rPr>
              <w:t xml:space="preserve"> </w:t>
            </w:r>
            <w:r>
              <w:rPr>
                <w:rFonts w:hint="eastAsia" w:ascii="宋体" w:hAnsi="宋体" w:cs="宋体"/>
                <w:kern w:val="0"/>
                <w:szCs w:val="21"/>
                <w:lang w:val="zh-CN"/>
              </w:rPr>
              <w:t>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2F486E19">
            <w:pPr>
              <w:widowControl/>
              <w:adjustRightInd w:val="0"/>
              <w:snapToGrid/>
              <w:spacing w:line="360" w:lineRule="auto"/>
              <w:jc w:val="left"/>
              <w:rPr>
                <w:rFonts w:ascii="宋体" w:hAnsi="宋体" w:cs="宋体"/>
                <w:kern w:val="0"/>
                <w:szCs w:val="21"/>
                <w:lang w:val="zh-CN"/>
              </w:rPr>
            </w:pPr>
          </w:p>
          <w:p w14:paraId="5E5BCBFB">
            <w:pPr>
              <w:widowControl/>
              <w:adjustRightInd w:val="0"/>
              <w:snapToGrid/>
              <w:spacing w:line="360" w:lineRule="auto"/>
              <w:jc w:val="left"/>
              <w:rPr>
                <w:rFonts w:ascii="宋体" w:hAnsi="宋体" w:cs="宋体"/>
                <w:kern w:val="0"/>
                <w:szCs w:val="21"/>
                <w:lang w:val="zh-CN"/>
              </w:rPr>
            </w:pPr>
          </w:p>
          <w:p w14:paraId="768577C8">
            <w:pPr>
              <w:widowControl/>
              <w:adjustRightInd w:val="0"/>
              <w:snapToGrid/>
              <w:spacing w:line="360" w:lineRule="auto"/>
              <w:ind w:firstLine="3360" w:firstLineChars="1600"/>
              <w:jc w:val="left"/>
              <w:rPr>
                <w:rFonts w:ascii="宋体" w:hAnsi="宋体" w:cs="宋体"/>
                <w:kern w:val="0"/>
                <w:szCs w:val="21"/>
                <w:lang w:val="zh-CN"/>
              </w:rPr>
            </w:pPr>
            <w:r>
              <w:rPr>
                <w:rFonts w:hint="eastAsia" w:ascii="宋体" w:hAnsi="宋体" w:cs="宋体"/>
                <w:kern w:val="0"/>
                <w:szCs w:val="21"/>
                <w:lang w:val="zh-CN"/>
              </w:rPr>
              <w:t>供应商名称（盖章）：</w:t>
            </w:r>
          </w:p>
          <w:p w14:paraId="525DB934">
            <w:pPr>
              <w:widowControl/>
              <w:adjustRightInd w:val="0"/>
              <w:snapToGrid/>
              <w:spacing w:line="360" w:lineRule="auto"/>
              <w:ind w:firstLine="3360" w:firstLineChars="1600"/>
              <w:jc w:val="left"/>
              <w:rPr>
                <w:rFonts w:ascii="宋体" w:hAnsi="宋体" w:cs="宋体"/>
                <w:kern w:val="0"/>
                <w:szCs w:val="21"/>
                <w:lang w:val="zh-CN"/>
              </w:rPr>
            </w:pPr>
            <w:r>
              <w:rPr>
                <w:rFonts w:hint="eastAsia" w:ascii="宋体" w:hAnsi="宋体" w:cs="宋体"/>
                <w:kern w:val="0"/>
                <w:szCs w:val="21"/>
                <w:lang w:val="zh-CN"/>
              </w:rPr>
              <w:t>法定代表人</w:t>
            </w:r>
            <w:r>
              <w:rPr>
                <w:rFonts w:ascii="宋体" w:hAnsi="宋体" w:cs="宋体"/>
                <w:kern w:val="0"/>
                <w:szCs w:val="21"/>
                <w:lang w:val="zh-CN"/>
              </w:rPr>
              <w:t>(签字)</w:t>
            </w:r>
            <w:r>
              <w:rPr>
                <w:rFonts w:hint="eastAsia" w:ascii="宋体" w:hAnsi="宋体" w:cs="宋体"/>
                <w:kern w:val="0"/>
                <w:szCs w:val="21"/>
                <w:lang w:val="zh-CN"/>
              </w:rPr>
              <w:t>：</w:t>
            </w:r>
          </w:p>
          <w:p w14:paraId="2A2595F4">
            <w:pPr>
              <w:widowControl/>
              <w:adjustRightInd w:val="0"/>
              <w:snapToGrid/>
              <w:spacing w:line="360" w:lineRule="auto"/>
              <w:ind w:firstLine="3600" w:firstLineChars="1500"/>
              <w:jc w:val="left"/>
              <w:rPr>
                <w:rFonts w:ascii="宋体" w:hAnsi="宋体" w:cs="宋体"/>
                <w:kern w:val="0"/>
                <w:szCs w:val="21"/>
                <w:lang w:val="zh-CN"/>
              </w:rPr>
            </w:pPr>
            <w:r>
              <w:rPr>
                <w:rFonts w:hint="eastAsia" w:ascii="宋体" w:hAnsi="宋体" w:cs="Arial"/>
                <w:sz w:val="24"/>
              </w:rPr>
              <w:t>年</w:t>
            </w:r>
            <w:r>
              <w:rPr>
                <w:rFonts w:ascii="宋体" w:hAnsi="宋体" w:cs="Arial"/>
                <w:sz w:val="24"/>
              </w:rPr>
              <w:t xml:space="preserve">   </w:t>
            </w:r>
            <w:r>
              <w:rPr>
                <w:rFonts w:hint="eastAsia" w:ascii="宋体" w:hAnsi="宋体" w:cs="Arial"/>
                <w:sz w:val="24"/>
              </w:rPr>
              <w:t>月</w:t>
            </w:r>
            <w:r>
              <w:rPr>
                <w:rFonts w:ascii="宋体" w:hAnsi="宋体" w:cs="Arial"/>
                <w:sz w:val="24"/>
              </w:rPr>
              <w:t xml:space="preserve">   </w:t>
            </w:r>
            <w:r>
              <w:rPr>
                <w:rFonts w:hint="eastAsia" w:ascii="宋体" w:hAnsi="宋体" w:cs="Arial"/>
                <w:sz w:val="24"/>
              </w:rPr>
              <w:t>日</w:t>
            </w:r>
            <w:r>
              <w:rPr>
                <w:rFonts w:ascii="宋体" w:hAnsi="宋体" w:cs="Arial"/>
                <w:sz w:val="24"/>
              </w:rPr>
              <w:t xml:space="preserve"> </w:t>
            </w:r>
          </w:p>
        </w:tc>
      </w:tr>
      <w:tr w14:paraId="33E2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tcBorders>
              <w:top w:val="single" w:color="auto" w:sz="4" w:space="0"/>
              <w:left w:val="nil"/>
              <w:bottom w:val="nil"/>
              <w:right w:val="nil"/>
            </w:tcBorders>
            <w:vAlign w:val="center"/>
          </w:tcPr>
          <w:p w14:paraId="50572E65">
            <w:pPr>
              <w:widowControl/>
              <w:adjustRightInd w:val="0"/>
              <w:snapToGrid/>
              <w:spacing w:line="360" w:lineRule="auto"/>
              <w:jc w:val="center"/>
              <w:rPr>
                <w:rFonts w:ascii="宋体" w:hAnsi="宋体" w:cs="宋体"/>
                <w:kern w:val="0"/>
                <w:szCs w:val="21"/>
                <w:lang w:val="zh-CN"/>
              </w:rPr>
            </w:pPr>
          </w:p>
          <w:p w14:paraId="2767AAED">
            <w:pPr>
              <w:widowControl/>
              <w:adjustRightInd w:val="0"/>
              <w:snapToGrid/>
              <w:spacing w:line="360" w:lineRule="auto"/>
              <w:jc w:val="center"/>
              <w:rPr>
                <w:rFonts w:ascii="宋体" w:hAnsi="宋体" w:cs="宋体"/>
                <w:kern w:val="0"/>
                <w:szCs w:val="21"/>
                <w:lang w:val="zh-CN"/>
              </w:rPr>
            </w:pPr>
          </w:p>
        </w:tc>
        <w:tc>
          <w:tcPr>
            <w:tcW w:w="6456" w:type="dxa"/>
            <w:gridSpan w:val="3"/>
            <w:tcBorders>
              <w:top w:val="single" w:color="auto" w:sz="4" w:space="0"/>
              <w:left w:val="nil"/>
              <w:bottom w:val="nil"/>
              <w:right w:val="nil"/>
            </w:tcBorders>
            <w:vAlign w:val="center"/>
          </w:tcPr>
          <w:p w14:paraId="23556878">
            <w:pPr>
              <w:widowControl/>
              <w:adjustRightInd w:val="0"/>
              <w:snapToGrid/>
              <w:spacing w:line="360" w:lineRule="auto"/>
              <w:jc w:val="left"/>
              <w:rPr>
                <w:rFonts w:ascii="宋体" w:hAnsi="宋体" w:cs="宋体"/>
                <w:kern w:val="0"/>
                <w:szCs w:val="21"/>
                <w:lang w:val="zh-CN"/>
              </w:rPr>
            </w:pPr>
          </w:p>
        </w:tc>
      </w:tr>
    </w:tbl>
    <w:p w14:paraId="429A63F9">
      <w:pPr>
        <w:widowControl/>
        <w:shd w:val="clear" w:color="auto" w:fill="FFFFFF"/>
        <w:autoSpaceDE w:val="0"/>
        <w:autoSpaceDN w:val="0"/>
        <w:adjustRightInd/>
        <w:snapToGrid/>
        <w:spacing w:line="360" w:lineRule="auto"/>
        <w:jc w:val="left"/>
        <w:outlineLvl w:val="9"/>
        <w:rPr>
          <w:rFonts w:ascii="宋体" w:hAnsi="宋体" w:cs="Arial"/>
          <w:b/>
          <w:spacing w:val="8"/>
          <w:kern w:val="0"/>
          <w:sz w:val="24"/>
          <w:szCs w:val="24"/>
        </w:rPr>
      </w:pPr>
    </w:p>
    <w:p w14:paraId="3AC00B38">
      <w:pPr>
        <w:widowControl/>
        <w:shd w:val="clear" w:color="auto" w:fill="FFFFFF"/>
        <w:autoSpaceDE w:val="0"/>
        <w:autoSpaceDN w:val="0"/>
        <w:adjustRightInd/>
        <w:snapToGrid/>
        <w:spacing w:line="360" w:lineRule="auto"/>
        <w:jc w:val="left"/>
        <w:outlineLvl w:val="9"/>
        <w:rPr>
          <w:rFonts w:ascii="宋体" w:hAnsi="宋体" w:cs="Arial"/>
          <w:b/>
          <w:spacing w:val="8"/>
          <w:kern w:val="0"/>
          <w:sz w:val="24"/>
          <w:szCs w:val="24"/>
        </w:rPr>
      </w:pPr>
    </w:p>
    <w:p w14:paraId="47B8EF65">
      <w:pPr>
        <w:adjustRightInd w:val="0"/>
        <w:snapToGrid w:val="0"/>
        <w:spacing w:line="360" w:lineRule="auto"/>
        <w:rPr>
          <w:rFonts w:ascii="宋体" w:hAnsi="宋体"/>
        </w:rPr>
      </w:pPr>
    </w:p>
    <w:p w14:paraId="2AE1C053">
      <w:pPr>
        <w:adjustRightInd w:val="0"/>
        <w:snapToGrid w:val="0"/>
        <w:spacing w:line="360" w:lineRule="auto"/>
        <w:rPr>
          <w:rFonts w:ascii="宋体" w:hAnsi="宋体"/>
        </w:rPr>
        <w:sectPr>
          <w:footerReference r:id="rId5" w:type="default"/>
          <w:pgSz w:w="11900" w:h="16838"/>
          <w:pgMar w:top="851" w:right="1378" w:bottom="851" w:left="1378" w:header="0" w:footer="992" w:gutter="0"/>
          <w:cols w:space="720" w:num="1"/>
          <w:docGrid w:linePitch="360" w:charSpace="0"/>
        </w:sectPr>
      </w:pPr>
    </w:p>
    <w:p w14:paraId="370A849F">
      <w:pPr>
        <w:pStyle w:val="4"/>
      </w:pPr>
    </w:p>
    <w:p w14:paraId="6597703B">
      <w:pPr>
        <w:keepNext/>
        <w:keepLines/>
        <w:widowControl w:val="0"/>
        <w:spacing w:before="120" w:after="120"/>
        <w:jc w:val="left"/>
        <w:outlineLvl w:val="0"/>
        <w:rPr>
          <w:rFonts w:ascii="宋体" w:hAnsi="宋体" w:eastAsia="宋体" w:cs="Times New Roman"/>
          <w:b/>
          <w:bCs/>
          <w:kern w:val="0"/>
          <w:sz w:val="20"/>
          <w:szCs w:val="24"/>
          <w:lang w:val="en-US" w:eastAsia="zh-CN" w:bidi="ar-SA"/>
        </w:rPr>
      </w:pPr>
      <w:bookmarkStart w:id="392" w:name="_Toc118445301"/>
      <w:bookmarkStart w:id="393" w:name="_Toc1563"/>
      <w:r>
        <w:rPr>
          <w:rFonts w:hint="eastAsia" w:ascii="宋体" w:hAnsi="宋体" w:eastAsia="宋体" w:cs="Times New Roman"/>
          <w:b/>
          <w:bCs/>
          <w:kern w:val="0"/>
          <w:sz w:val="20"/>
          <w:szCs w:val="24"/>
          <w:lang w:val="en-US" w:eastAsia="zh-CN" w:bidi="ar-SA"/>
        </w:rPr>
        <w:t>目录十四、供应商</w:t>
      </w:r>
      <w:r>
        <w:rPr>
          <w:rFonts w:ascii="宋体" w:hAnsi="宋体" w:eastAsia="宋体" w:cs="Times New Roman"/>
          <w:b/>
          <w:bCs/>
          <w:kern w:val="0"/>
          <w:sz w:val="20"/>
          <w:szCs w:val="24"/>
          <w:lang w:val="en-US" w:eastAsia="zh-CN" w:bidi="ar-SA"/>
        </w:rPr>
        <w:t>认为需要提供的其他材料</w:t>
      </w:r>
      <w:bookmarkEnd w:id="392"/>
      <w:bookmarkEnd w:id="393"/>
    </w:p>
    <w:p w14:paraId="50BF373A">
      <w:pPr>
        <w:adjustRightInd w:val="0"/>
        <w:snapToGrid w:val="0"/>
        <w:spacing w:line="360" w:lineRule="auto"/>
        <w:rPr>
          <w:rFonts w:ascii="宋体" w:hAnsi="宋体"/>
          <w:sz w:val="17"/>
        </w:rPr>
      </w:pPr>
    </w:p>
    <w:p w14:paraId="0C1D6F0C">
      <w:pPr>
        <w:rPr>
          <w:rFonts w:ascii="宋体" w:hAnsi="宋体"/>
          <w:b/>
          <w:sz w:val="24"/>
          <w:szCs w:val="24"/>
          <w:highlight w:val="none"/>
        </w:rPr>
      </w:pPr>
      <w:r>
        <w:rPr>
          <w:rFonts w:hint="eastAsia" w:ascii="宋体" w:hAnsi="宋体" w:cs="宋体"/>
          <w:sz w:val="36"/>
          <w:szCs w:val="36"/>
        </w:rPr>
        <w:t>供应商</w:t>
      </w:r>
      <w:r>
        <w:rPr>
          <w:rFonts w:ascii="宋体" w:hAnsi="宋体" w:cs="宋体"/>
          <w:sz w:val="36"/>
          <w:szCs w:val="36"/>
        </w:rPr>
        <w:t>认为需要提供的其他材料</w:t>
      </w:r>
      <w:r>
        <w:rPr>
          <w:rFonts w:hint="eastAsia" w:ascii="宋体" w:hAnsi="宋体" w:cs="宋体"/>
          <w:sz w:val="36"/>
          <w:szCs w:val="36"/>
        </w:rPr>
        <w:t>（若有）</w:t>
      </w:r>
    </w:p>
    <w:sectPr>
      <w:pgSz w:w="11900" w:h="16838"/>
      <w:pgMar w:top="851" w:right="1378" w:bottom="851" w:left="1378" w:header="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HYDaHeiJ">
    <w:altName w:val="宋体"/>
    <w:panose1 w:val="00000000000000000000"/>
    <w:charset w:val="86"/>
    <w:family w:val="auto"/>
    <w:pitch w:val="default"/>
    <w:sig w:usb0="00000000" w:usb1="00000000" w:usb2="00000010" w:usb3="00000000" w:csb0="00040000" w:csb1="00000000"/>
  </w:font>
  <w:font w:name="knle">
    <w:altName w:val="宋体"/>
    <w:panose1 w:val="00000000000000000000"/>
    <w:charset w:val="86"/>
    <w:family w:val="auto"/>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BC3C">
    <w:pPr>
      <w:pStyle w:val="2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14:paraId="5707C9C3">
                          <w:pPr>
                            <w:pStyle w:val="33"/>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&#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Q3lE0gAAAAQBAAAPAAAAAAAAAAEAIAAAACIAAABk&#10;cnMvZG93bnJldi54bWxQSwECFAAUAAAACACHTuJA612bxQwCAAADBAAADgAAAAAAAAABACAAAAAh&#10;AQAAZHJzL2Uyb0RvYy54bWxQSwUGAAAAAAYABgBZAQAAnwUAAAAA&#10;">
              <v:fill on="f" focussize="0,0"/>
              <v:stroke on="f"/>
              <v:imagedata o:title=""/>
              <o:lock v:ext="edit" aspectratio="f"/>
              <v:textbox inset="0mm,0mm,0mm,0mm" style="mso-fit-shape-to-text:t;">
                <w:txbxContent>
                  <w:p w14:paraId="5707C9C3">
                    <w:pPr>
                      <w:pStyle w:val="33"/>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8"/>
      <w:lvlText w:val="%1.%2.%3.%4"/>
      <w:lvlJc w:val="left"/>
      <w:pPr>
        <w:tabs>
          <w:tab w:val="left" w:pos="4409"/>
        </w:tabs>
        <w:ind w:left="4409"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0620658"/>
    <w:multiLevelType w:val="multilevel"/>
    <w:tmpl w:val="20620658"/>
    <w:lvl w:ilvl="0" w:tentative="0">
      <w:start w:val="1"/>
      <w:numFmt w:val="bullet"/>
      <w:pStyle w:val="30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3C6A51"/>
    <w:multiLevelType w:val="multilevel"/>
    <w:tmpl w:val="363C6A51"/>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44121AA6"/>
    <w:multiLevelType w:val="multilevel"/>
    <w:tmpl w:val="44121AA6"/>
    <w:lvl w:ilvl="0" w:tentative="0">
      <w:start w:val="1"/>
      <w:numFmt w:val="decimal"/>
      <w:pStyle w:val="369"/>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6F4C56"/>
    <w:multiLevelType w:val="singleLevel"/>
    <w:tmpl w:val="4C6F4C56"/>
    <w:lvl w:ilvl="0" w:tentative="0">
      <w:start w:val="5"/>
      <w:numFmt w:val="chineseCounting"/>
      <w:suff w:val="space"/>
      <w:lvlText w:val="第%1章"/>
      <w:lvlJc w:val="left"/>
      <w:rPr>
        <w:rFonts w:hint="eastAsia"/>
      </w:rPr>
    </w:lvl>
  </w:abstractNum>
  <w:abstractNum w:abstractNumId="5">
    <w:nsid w:val="51002338"/>
    <w:multiLevelType w:val="singleLevel"/>
    <w:tmpl w:val="51002338"/>
    <w:lvl w:ilvl="0" w:tentative="0">
      <w:start w:val="1"/>
      <w:numFmt w:val="bullet"/>
      <w:pStyle w:val="366"/>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403"/>
      <w:lvlText w:val="%1"/>
      <w:lvlJc w:val="left"/>
      <w:pPr>
        <w:tabs>
          <w:tab w:val="left" w:pos="567"/>
        </w:tabs>
        <w:ind w:left="567" w:hanging="567"/>
      </w:pPr>
      <w:rPr>
        <w:rFonts w:hint="eastAsia"/>
      </w:rPr>
    </w:lvl>
    <w:lvl w:ilvl="1" w:tentative="0">
      <w:start w:val="1"/>
      <w:numFmt w:val="decimal"/>
      <w:pStyle w:val="305"/>
      <w:lvlText w:val="%1.%2"/>
      <w:lvlJc w:val="left"/>
      <w:pPr>
        <w:tabs>
          <w:tab w:val="left" w:pos="1004"/>
        </w:tabs>
        <w:ind w:left="567" w:hanging="283"/>
      </w:pPr>
      <w:rPr>
        <w:rFonts w:hint="eastAsia"/>
      </w:rPr>
    </w:lvl>
    <w:lvl w:ilvl="2" w:tentative="0">
      <w:start w:val="1"/>
      <w:numFmt w:val="decimal"/>
      <w:pStyle w:val="30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Dk4YTAxMWIzMTdkODdhOTZlYzA2YmFjNzE5NjUifQ=="/>
    <w:docVar w:name="KGWebUrl" w:val="http://jszfcg.jscz.gov.cn/jszc/gateWay/joffice/office?access_token=3e11c74d-6a43-46bf-9b4b-8afacf000269"/>
  </w:docVars>
  <w:rsids>
    <w:rsidRoot w:val="00F8630E"/>
    <w:rsid w:val="00020E88"/>
    <w:rsid w:val="000E399B"/>
    <w:rsid w:val="001517DB"/>
    <w:rsid w:val="00197DC4"/>
    <w:rsid w:val="001B4A21"/>
    <w:rsid w:val="001E73B6"/>
    <w:rsid w:val="00253DBD"/>
    <w:rsid w:val="00281AF3"/>
    <w:rsid w:val="00281E18"/>
    <w:rsid w:val="002F1811"/>
    <w:rsid w:val="00361B90"/>
    <w:rsid w:val="003A02F4"/>
    <w:rsid w:val="003C3793"/>
    <w:rsid w:val="00402494"/>
    <w:rsid w:val="004771A0"/>
    <w:rsid w:val="00483314"/>
    <w:rsid w:val="00486EA4"/>
    <w:rsid w:val="004975F7"/>
    <w:rsid w:val="005134A9"/>
    <w:rsid w:val="005A0FB6"/>
    <w:rsid w:val="005B298E"/>
    <w:rsid w:val="005F2DAC"/>
    <w:rsid w:val="005F7143"/>
    <w:rsid w:val="00613D81"/>
    <w:rsid w:val="0062694B"/>
    <w:rsid w:val="00632202"/>
    <w:rsid w:val="00637B17"/>
    <w:rsid w:val="006943F1"/>
    <w:rsid w:val="006D4856"/>
    <w:rsid w:val="00781557"/>
    <w:rsid w:val="0078267F"/>
    <w:rsid w:val="007E2A7A"/>
    <w:rsid w:val="008210AD"/>
    <w:rsid w:val="0083529E"/>
    <w:rsid w:val="008A7025"/>
    <w:rsid w:val="008C4DBE"/>
    <w:rsid w:val="008E5621"/>
    <w:rsid w:val="008F7348"/>
    <w:rsid w:val="009224FE"/>
    <w:rsid w:val="00984104"/>
    <w:rsid w:val="0099456D"/>
    <w:rsid w:val="009B1E5A"/>
    <w:rsid w:val="009C6F18"/>
    <w:rsid w:val="009D5177"/>
    <w:rsid w:val="00A178F5"/>
    <w:rsid w:val="00A3304F"/>
    <w:rsid w:val="00A53B5E"/>
    <w:rsid w:val="00A73986"/>
    <w:rsid w:val="00AB1812"/>
    <w:rsid w:val="00AF61DE"/>
    <w:rsid w:val="00B064BC"/>
    <w:rsid w:val="00B3592C"/>
    <w:rsid w:val="00B40164"/>
    <w:rsid w:val="00B715EC"/>
    <w:rsid w:val="00B74D03"/>
    <w:rsid w:val="00BB2D62"/>
    <w:rsid w:val="00BC7125"/>
    <w:rsid w:val="00BE32F3"/>
    <w:rsid w:val="00BF338F"/>
    <w:rsid w:val="00C41F87"/>
    <w:rsid w:val="00C60075"/>
    <w:rsid w:val="00C979F1"/>
    <w:rsid w:val="00CB3F8B"/>
    <w:rsid w:val="00D07954"/>
    <w:rsid w:val="00D21B7A"/>
    <w:rsid w:val="00D34C7B"/>
    <w:rsid w:val="00D43B06"/>
    <w:rsid w:val="00D6495B"/>
    <w:rsid w:val="00D700F8"/>
    <w:rsid w:val="00D96700"/>
    <w:rsid w:val="00DB7D81"/>
    <w:rsid w:val="00DD3CED"/>
    <w:rsid w:val="00E06277"/>
    <w:rsid w:val="00E50610"/>
    <w:rsid w:val="00EF57EA"/>
    <w:rsid w:val="00F048FB"/>
    <w:rsid w:val="00F3771D"/>
    <w:rsid w:val="00F446AB"/>
    <w:rsid w:val="00F8156A"/>
    <w:rsid w:val="00F8630E"/>
    <w:rsid w:val="00FF2CA5"/>
    <w:rsid w:val="01290A06"/>
    <w:rsid w:val="016D0D5C"/>
    <w:rsid w:val="01CE3CD7"/>
    <w:rsid w:val="023E353D"/>
    <w:rsid w:val="029D1055"/>
    <w:rsid w:val="02C62933"/>
    <w:rsid w:val="02EB149D"/>
    <w:rsid w:val="032D650E"/>
    <w:rsid w:val="033755DF"/>
    <w:rsid w:val="039B3DC0"/>
    <w:rsid w:val="03AA4003"/>
    <w:rsid w:val="03E06B90"/>
    <w:rsid w:val="043438CC"/>
    <w:rsid w:val="04390EE3"/>
    <w:rsid w:val="047A5783"/>
    <w:rsid w:val="04983E5B"/>
    <w:rsid w:val="049C7DEF"/>
    <w:rsid w:val="04A15406"/>
    <w:rsid w:val="04B50EB1"/>
    <w:rsid w:val="04D37942"/>
    <w:rsid w:val="05143B80"/>
    <w:rsid w:val="057743B8"/>
    <w:rsid w:val="059E1945"/>
    <w:rsid w:val="05A14F91"/>
    <w:rsid w:val="0631739F"/>
    <w:rsid w:val="06A33CF2"/>
    <w:rsid w:val="06CB0518"/>
    <w:rsid w:val="06DB44D3"/>
    <w:rsid w:val="07017F76"/>
    <w:rsid w:val="075C1AB8"/>
    <w:rsid w:val="07857223"/>
    <w:rsid w:val="07AF3996"/>
    <w:rsid w:val="07E55609"/>
    <w:rsid w:val="087E13DD"/>
    <w:rsid w:val="093A3733"/>
    <w:rsid w:val="09AF2373"/>
    <w:rsid w:val="09B172BE"/>
    <w:rsid w:val="09C3197A"/>
    <w:rsid w:val="09C33728"/>
    <w:rsid w:val="09CA0F5B"/>
    <w:rsid w:val="09E338F4"/>
    <w:rsid w:val="0AE3143A"/>
    <w:rsid w:val="0B5B4F86"/>
    <w:rsid w:val="0BC27A86"/>
    <w:rsid w:val="0BD032C7"/>
    <w:rsid w:val="0C0A0B50"/>
    <w:rsid w:val="0D5B587D"/>
    <w:rsid w:val="0D7476B8"/>
    <w:rsid w:val="0D9F26FE"/>
    <w:rsid w:val="0DAA1B8D"/>
    <w:rsid w:val="0DDB26A9"/>
    <w:rsid w:val="0E36129F"/>
    <w:rsid w:val="0EAE0E4B"/>
    <w:rsid w:val="0F2509E1"/>
    <w:rsid w:val="103C5FE2"/>
    <w:rsid w:val="10A02A15"/>
    <w:rsid w:val="11535CDA"/>
    <w:rsid w:val="11812847"/>
    <w:rsid w:val="11C34DFD"/>
    <w:rsid w:val="11EF23E0"/>
    <w:rsid w:val="126616E8"/>
    <w:rsid w:val="12881C51"/>
    <w:rsid w:val="12922832"/>
    <w:rsid w:val="12B037A6"/>
    <w:rsid w:val="130F3E82"/>
    <w:rsid w:val="13192A55"/>
    <w:rsid w:val="134D3EAA"/>
    <w:rsid w:val="134F7037"/>
    <w:rsid w:val="13596FCB"/>
    <w:rsid w:val="13A04ADA"/>
    <w:rsid w:val="14074B59"/>
    <w:rsid w:val="14D40EDF"/>
    <w:rsid w:val="14D810DC"/>
    <w:rsid w:val="14D94748"/>
    <w:rsid w:val="159005AC"/>
    <w:rsid w:val="16005926"/>
    <w:rsid w:val="161672D6"/>
    <w:rsid w:val="163B0AEA"/>
    <w:rsid w:val="16777D74"/>
    <w:rsid w:val="16A754B9"/>
    <w:rsid w:val="16C805D0"/>
    <w:rsid w:val="16DA6555"/>
    <w:rsid w:val="16DF591A"/>
    <w:rsid w:val="17BF5E77"/>
    <w:rsid w:val="181A7A9B"/>
    <w:rsid w:val="183D0B4A"/>
    <w:rsid w:val="18700F1F"/>
    <w:rsid w:val="18C179CD"/>
    <w:rsid w:val="18C63235"/>
    <w:rsid w:val="192F4936"/>
    <w:rsid w:val="1A141D7E"/>
    <w:rsid w:val="1A1A3838"/>
    <w:rsid w:val="1A613B56"/>
    <w:rsid w:val="1AAB4490"/>
    <w:rsid w:val="1B835408"/>
    <w:rsid w:val="1B961762"/>
    <w:rsid w:val="1B965141"/>
    <w:rsid w:val="1BDE538A"/>
    <w:rsid w:val="1BF260EF"/>
    <w:rsid w:val="1C066B51"/>
    <w:rsid w:val="1C3A1F70"/>
    <w:rsid w:val="1C3A5DDF"/>
    <w:rsid w:val="1C414647"/>
    <w:rsid w:val="1C490AB2"/>
    <w:rsid w:val="1C5A616E"/>
    <w:rsid w:val="1C821221"/>
    <w:rsid w:val="1E26187F"/>
    <w:rsid w:val="1E4744D0"/>
    <w:rsid w:val="1E5B441F"/>
    <w:rsid w:val="1E864523"/>
    <w:rsid w:val="1EBE40AA"/>
    <w:rsid w:val="1F8D6C42"/>
    <w:rsid w:val="1F925C1F"/>
    <w:rsid w:val="1FA24E77"/>
    <w:rsid w:val="1FA601F3"/>
    <w:rsid w:val="1FBA11E2"/>
    <w:rsid w:val="1FCA360B"/>
    <w:rsid w:val="1FCD30FB"/>
    <w:rsid w:val="1FEC17D3"/>
    <w:rsid w:val="20322F5E"/>
    <w:rsid w:val="210A7A37"/>
    <w:rsid w:val="213E5FDF"/>
    <w:rsid w:val="2181419D"/>
    <w:rsid w:val="2190742B"/>
    <w:rsid w:val="21997739"/>
    <w:rsid w:val="21D4060F"/>
    <w:rsid w:val="22851D3F"/>
    <w:rsid w:val="2302130E"/>
    <w:rsid w:val="23566F63"/>
    <w:rsid w:val="23A423C5"/>
    <w:rsid w:val="23C85D86"/>
    <w:rsid w:val="24806DFB"/>
    <w:rsid w:val="256516E0"/>
    <w:rsid w:val="25B30F86"/>
    <w:rsid w:val="25F26B26"/>
    <w:rsid w:val="2609650F"/>
    <w:rsid w:val="266E3502"/>
    <w:rsid w:val="26F947D6"/>
    <w:rsid w:val="26FA200A"/>
    <w:rsid w:val="27191E51"/>
    <w:rsid w:val="27343A60"/>
    <w:rsid w:val="279A1B15"/>
    <w:rsid w:val="28153891"/>
    <w:rsid w:val="283006CB"/>
    <w:rsid w:val="284D6B87"/>
    <w:rsid w:val="285A51E4"/>
    <w:rsid w:val="28961527"/>
    <w:rsid w:val="28C657CB"/>
    <w:rsid w:val="292E4C0A"/>
    <w:rsid w:val="293608D4"/>
    <w:rsid w:val="294066EC"/>
    <w:rsid w:val="297939AC"/>
    <w:rsid w:val="2987256D"/>
    <w:rsid w:val="2A5F7045"/>
    <w:rsid w:val="2A8F75D3"/>
    <w:rsid w:val="2A975780"/>
    <w:rsid w:val="2AFA2584"/>
    <w:rsid w:val="2B3808F6"/>
    <w:rsid w:val="2B4C50FE"/>
    <w:rsid w:val="2B593A95"/>
    <w:rsid w:val="2B6B091B"/>
    <w:rsid w:val="2BCE7FDF"/>
    <w:rsid w:val="2BF832AE"/>
    <w:rsid w:val="2C35005E"/>
    <w:rsid w:val="2C57495C"/>
    <w:rsid w:val="2C9F197B"/>
    <w:rsid w:val="2D506AF9"/>
    <w:rsid w:val="2D5E35E4"/>
    <w:rsid w:val="2D8523A4"/>
    <w:rsid w:val="2D9D235F"/>
    <w:rsid w:val="2DEA30CA"/>
    <w:rsid w:val="2ED81174"/>
    <w:rsid w:val="2EED4C20"/>
    <w:rsid w:val="2F10090E"/>
    <w:rsid w:val="2F126BEA"/>
    <w:rsid w:val="2F1E185A"/>
    <w:rsid w:val="2F22363B"/>
    <w:rsid w:val="2F2F348A"/>
    <w:rsid w:val="301601A6"/>
    <w:rsid w:val="30316D8E"/>
    <w:rsid w:val="3049232A"/>
    <w:rsid w:val="305556AB"/>
    <w:rsid w:val="305F7D9F"/>
    <w:rsid w:val="30872E52"/>
    <w:rsid w:val="30963095"/>
    <w:rsid w:val="30AC28B9"/>
    <w:rsid w:val="30D64AF3"/>
    <w:rsid w:val="30F405EA"/>
    <w:rsid w:val="310149B3"/>
    <w:rsid w:val="3135465C"/>
    <w:rsid w:val="31741628"/>
    <w:rsid w:val="31796C3F"/>
    <w:rsid w:val="31D25E0E"/>
    <w:rsid w:val="31E97CED"/>
    <w:rsid w:val="3239371B"/>
    <w:rsid w:val="32485625"/>
    <w:rsid w:val="32A6358C"/>
    <w:rsid w:val="32B617CD"/>
    <w:rsid w:val="32C71C2C"/>
    <w:rsid w:val="336254B1"/>
    <w:rsid w:val="33A8380B"/>
    <w:rsid w:val="33AD0E22"/>
    <w:rsid w:val="340C3D9A"/>
    <w:rsid w:val="34272982"/>
    <w:rsid w:val="345B087E"/>
    <w:rsid w:val="34BB0D59"/>
    <w:rsid w:val="35040F15"/>
    <w:rsid w:val="35132A9E"/>
    <w:rsid w:val="351A24E7"/>
    <w:rsid w:val="351D3D85"/>
    <w:rsid w:val="356814A4"/>
    <w:rsid w:val="35C7122E"/>
    <w:rsid w:val="36145394"/>
    <w:rsid w:val="36A82E83"/>
    <w:rsid w:val="36D3294D"/>
    <w:rsid w:val="37294C63"/>
    <w:rsid w:val="37AE6F16"/>
    <w:rsid w:val="37E34E12"/>
    <w:rsid w:val="380B6117"/>
    <w:rsid w:val="381E5E4A"/>
    <w:rsid w:val="38317D77"/>
    <w:rsid w:val="39730417"/>
    <w:rsid w:val="398713FC"/>
    <w:rsid w:val="39B12CEE"/>
    <w:rsid w:val="3ABE56C2"/>
    <w:rsid w:val="3AC3717D"/>
    <w:rsid w:val="3AE2430B"/>
    <w:rsid w:val="3B556027"/>
    <w:rsid w:val="3B700E9C"/>
    <w:rsid w:val="3BAC7C11"/>
    <w:rsid w:val="3BC9431F"/>
    <w:rsid w:val="3C125CC6"/>
    <w:rsid w:val="3C4A1903"/>
    <w:rsid w:val="3C6F4605"/>
    <w:rsid w:val="3C6F4CE4"/>
    <w:rsid w:val="3CA64660"/>
    <w:rsid w:val="3CCA034E"/>
    <w:rsid w:val="3CE04016"/>
    <w:rsid w:val="3CF31DA7"/>
    <w:rsid w:val="3CF47AC1"/>
    <w:rsid w:val="3D121C40"/>
    <w:rsid w:val="3D8627CD"/>
    <w:rsid w:val="3D9D5A63"/>
    <w:rsid w:val="3DEE4511"/>
    <w:rsid w:val="3DF129A0"/>
    <w:rsid w:val="3DFA009E"/>
    <w:rsid w:val="3E6428F2"/>
    <w:rsid w:val="3E8409D1"/>
    <w:rsid w:val="3ED41958"/>
    <w:rsid w:val="3ED5122D"/>
    <w:rsid w:val="3ED90164"/>
    <w:rsid w:val="3F315E13"/>
    <w:rsid w:val="3F415265"/>
    <w:rsid w:val="3F422D66"/>
    <w:rsid w:val="3FC90D91"/>
    <w:rsid w:val="402B37FA"/>
    <w:rsid w:val="404365AC"/>
    <w:rsid w:val="405A40DF"/>
    <w:rsid w:val="406051B0"/>
    <w:rsid w:val="408A49C4"/>
    <w:rsid w:val="41067DC3"/>
    <w:rsid w:val="412D5350"/>
    <w:rsid w:val="41330217"/>
    <w:rsid w:val="41A01FC6"/>
    <w:rsid w:val="42A41642"/>
    <w:rsid w:val="42B51AA1"/>
    <w:rsid w:val="42C93627"/>
    <w:rsid w:val="42FF4ACA"/>
    <w:rsid w:val="43234C5C"/>
    <w:rsid w:val="4348021F"/>
    <w:rsid w:val="436B215F"/>
    <w:rsid w:val="437E1E93"/>
    <w:rsid w:val="43E268C5"/>
    <w:rsid w:val="43F403A7"/>
    <w:rsid w:val="43F565F9"/>
    <w:rsid w:val="44894F93"/>
    <w:rsid w:val="44913E48"/>
    <w:rsid w:val="44B87626"/>
    <w:rsid w:val="45061404"/>
    <w:rsid w:val="4562713E"/>
    <w:rsid w:val="45A55DFD"/>
    <w:rsid w:val="45A61FC8"/>
    <w:rsid w:val="45BF0116"/>
    <w:rsid w:val="45E61DF8"/>
    <w:rsid w:val="46105C44"/>
    <w:rsid w:val="46601D24"/>
    <w:rsid w:val="47766280"/>
    <w:rsid w:val="47D550F2"/>
    <w:rsid w:val="47EA7AF7"/>
    <w:rsid w:val="4876582E"/>
    <w:rsid w:val="48790E7B"/>
    <w:rsid w:val="48855315"/>
    <w:rsid w:val="48E629B4"/>
    <w:rsid w:val="49177011"/>
    <w:rsid w:val="49347455"/>
    <w:rsid w:val="497A6D30"/>
    <w:rsid w:val="49E450A1"/>
    <w:rsid w:val="4A064990"/>
    <w:rsid w:val="4A381A7F"/>
    <w:rsid w:val="4A3E05CE"/>
    <w:rsid w:val="4A4C4A99"/>
    <w:rsid w:val="4AC02E42"/>
    <w:rsid w:val="4AF64A04"/>
    <w:rsid w:val="4B63653E"/>
    <w:rsid w:val="4B885FA4"/>
    <w:rsid w:val="4BD07CEC"/>
    <w:rsid w:val="4BD50ABE"/>
    <w:rsid w:val="4C442C82"/>
    <w:rsid w:val="4C7327B1"/>
    <w:rsid w:val="4CD15729"/>
    <w:rsid w:val="4D4922CC"/>
    <w:rsid w:val="4D52686A"/>
    <w:rsid w:val="4D773B0C"/>
    <w:rsid w:val="4DAE5A6A"/>
    <w:rsid w:val="4DD51249"/>
    <w:rsid w:val="4E0910A4"/>
    <w:rsid w:val="4EB64BD7"/>
    <w:rsid w:val="4EC70B92"/>
    <w:rsid w:val="4ED93BAD"/>
    <w:rsid w:val="4F2D3557"/>
    <w:rsid w:val="4F4E4E0F"/>
    <w:rsid w:val="4F6B07B9"/>
    <w:rsid w:val="4F7B30F4"/>
    <w:rsid w:val="4FD86DCF"/>
    <w:rsid w:val="4FE86896"/>
    <w:rsid w:val="50850D04"/>
    <w:rsid w:val="508F1B83"/>
    <w:rsid w:val="50BE7D72"/>
    <w:rsid w:val="50F33EC0"/>
    <w:rsid w:val="513149E8"/>
    <w:rsid w:val="517A638F"/>
    <w:rsid w:val="517C2B64"/>
    <w:rsid w:val="52754DA9"/>
    <w:rsid w:val="52AC0371"/>
    <w:rsid w:val="52FB52AE"/>
    <w:rsid w:val="53122FAD"/>
    <w:rsid w:val="53206AC2"/>
    <w:rsid w:val="53656BCB"/>
    <w:rsid w:val="53760DD8"/>
    <w:rsid w:val="53B86CFB"/>
    <w:rsid w:val="541A5C08"/>
    <w:rsid w:val="54495E44"/>
    <w:rsid w:val="54507A48"/>
    <w:rsid w:val="54DA0EF3"/>
    <w:rsid w:val="55287EB0"/>
    <w:rsid w:val="552F7491"/>
    <w:rsid w:val="5543118E"/>
    <w:rsid w:val="561C5C67"/>
    <w:rsid w:val="5637484F"/>
    <w:rsid w:val="563D3E2F"/>
    <w:rsid w:val="56460357"/>
    <w:rsid w:val="56BC4D54"/>
    <w:rsid w:val="56C77377"/>
    <w:rsid w:val="572E0367"/>
    <w:rsid w:val="57517E54"/>
    <w:rsid w:val="57724205"/>
    <w:rsid w:val="57F0687F"/>
    <w:rsid w:val="580963E4"/>
    <w:rsid w:val="581E2A86"/>
    <w:rsid w:val="582E3A30"/>
    <w:rsid w:val="58B21E57"/>
    <w:rsid w:val="58BC728D"/>
    <w:rsid w:val="59130B84"/>
    <w:rsid w:val="59172716"/>
    <w:rsid w:val="592A70B5"/>
    <w:rsid w:val="59A541C5"/>
    <w:rsid w:val="59EC032B"/>
    <w:rsid w:val="5A184997"/>
    <w:rsid w:val="5A41735E"/>
    <w:rsid w:val="5A513A05"/>
    <w:rsid w:val="5A851901"/>
    <w:rsid w:val="5AA91A93"/>
    <w:rsid w:val="5AAC3332"/>
    <w:rsid w:val="5ACC7971"/>
    <w:rsid w:val="5B386973"/>
    <w:rsid w:val="5B5419FF"/>
    <w:rsid w:val="5B6F6839"/>
    <w:rsid w:val="5B8B7DF5"/>
    <w:rsid w:val="5B8D6CBF"/>
    <w:rsid w:val="5BAD7361"/>
    <w:rsid w:val="5C163215"/>
    <w:rsid w:val="5CB74A4B"/>
    <w:rsid w:val="5D4927F7"/>
    <w:rsid w:val="5DB201DC"/>
    <w:rsid w:val="5E604B5F"/>
    <w:rsid w:val="5E9E0A52"/>
    <w:rsid w:val="5EBD5B0D"/>
    <w:rsid w:val="5EE97FC2"/>
    <w:rsid w:val="5F1216B0"/>
    <w:rsid w:val="5F73441E"/>
    <w:rsid w:val="5F7E529D"/>
    <w:rsid w:val="5F8E075A"/>
    <w:rsid w:val="5FDA3778"/>
    <w:rsid w:val="60365B77"/>
    <w:rsid w:val="60813F75"/>
    <w:rsid w:val="60AE0D63"/>
    <w:rsid w:val="61386D43"/>
    <w:rsid w:val="616D55C9"/>
    <w:rsid w:val="61A45FF4"/>
    <w:rsid w:val="61C01A62"/>
    <w:rsid w:val="61F93300"/>
    <w:rsid w:val="6211064A"/>
    <w:rsid w:val="62CE1116"/>
    <w:rsid w:val="63F83144"/>
    <w:rsid w:val="640F1DD7"/>
    <w:rsid w:val="64656A2B"/>
    <w:rsid w:val="64A31301"/>
    <w:rsid w:val="64F8164D"/>
    <w:rsid w:val="65022450"/>
    <w:rsid w:val="650417B4"/>
    <w:rsid w:val="65591ACA"/>
    <w:rsid w:val="657354C4"/>
    <w:rsid w:val="65A90EBC"/>
    <w:rsid w:val="65B80DDC"/>
    <w:rsid w:val="65BB311D"/>
    <w:rsid w:val="65FF6867"/>
    <w:rsid w:val="6622709E"/>
    <w:rsid w:val="66246472"/>
    <w:rsid w:val="667769F2"/>
    <w:rsid w:val="674C3ED2"/>
    <w:rsid w:val="677B6565"/>
    <w:rsid w:val="67916E73"/>
    <w:rsid w:val="679A4C3E"/>
    <w:rsid w:val="67CE5C2A"/>
    <w:rsid w:val="6809289A"/>
    <w:rsid w:val="68367E14"/>
    <w:rsid w:val="68CD76D9"/>
    <w:rsid w:val="69164798"/>
    <w:rsid w:val="692F7608"/>
    <w:rsid w:val="6942558D"/>
    <w:rsid w:val="698536CB"/>
    <w:rsid w:val="6A1D1B56"/>
    <w:rsid w:val="6A325601"/>
    <w:rsid w:val="6A372C18"/>
    <w:rsid w:val="6A90057A"/>
    <w:rsid w:val="6B574BF4"/>
    <w:rsid w:val="6B69316D"/>
    <w:rsid w:val="6BE50451"/>
    <w:rsid w:val="6BFD22D5"/>
    <w:rsid w:val="6BFF1513"/>
    <w:rsid w:val="6C2E58E7"/>
    <w:rsid w:val="6C566895"/>
    <w:rsid w:val="6C8E2897"/>
    <w:rsid w:val="6CDC3602"/>
    <w:rsid w:val="6CEA0179"/>
    <w:rsid w:val="6D196C52"/>
    <w:rsid w:val="6D362832"/>
    <w:rsid w:val="6D5D4ED8"/>
    <w:rsid w:val="6DB12CE1"/>
    <w:rsid w:val="6DB225B5"/>
    <w:rsid w:val="6DDF784E"/>
    <w:rsid w:val="6DE76703"/>
    <w:rsid w:val="6ED24CBD"/>
    <w:rsid w:val="6EDA1633"/>
    <w:rsid w:val="6F4656AB"/>
    <w:rsid w:val="6F963333"/>
    <w:rsid w:val="6FD131C7"/>
    <w:rsid w:val="6FDF4021"/>
    <w:rsid w:val="6FFB6BE9"/>
    <w:rsid w:val="700417EE"/>
    <w:rsid w:val="70545BA6"/>
    <w:rsid w:val="70903082"/>
    <w:rsid w:val="70B52EEC"/>
    <w:rsid w:val="70C40F7D"/>
    <w:rsid w:val="70DA254F"/>
    <w:rsid w:val="71071860"/>
    <w:rsid w:val="713F7934"/>
    <w:rsid w:val="71A16BC9"/>
    <w:rsid w:val="720A29C0"/>
    <w:rsid w:val="72275320"/>
    <w:rsid w:val="726F4F19"/>
    <w:rsid w:val="729F0A57"/>
    <w:rsid w:val="732F685F"/>
    <w:rsid w:val="7366631C"/>
    <w:rsid w:val="746E79C9"/>
    <w:rsid w:val="748C590E"/>
    <w:rsid w:val="74962C31"/>
    <w:rsid w:val="74AC4202"/>
    <w:rsid w:val="74BF6C55"/>
    <w:rsid w:val="75273889"/>
    <w:rsid w:val="753C2D5C"/>
    <w:rsid w:val="75622B13"/>
    <w:rsid w:val="75792336"/>
    <w:rsid w:val="758573B7"/>
    <w:rsid w:val="75B570E6"/>
    <w:rsid w:val="75D27C98"/>
    <w:rsid w:val="76402E54"/>
    <w:rsid w:val="76442365"/>
    <w:rsid w:val="76832D41"/>
    <w:rsid w:val="768E0063"/>
    <w:rsid w:val="769B62DC"/>
    <w:rsid w:val="76DA32A9"/>
    <w:rsid w:val="77130569"/>
    <w:rsid w:val="771B2E80"/>
    <w:rsid w:val="78370287"/>
    <w:rsid w:val="785E2FF7"/>
    <w:rsid w:val="78886D34"/>
    <w:rsid w:val="78DB50B6"/>
    <w:rsid w:val="78F30652"/>
    <w:rsid w:val="78F9553C"/>
    <w:rsid w:val="79277007"/>
    <w:rsid w:val="79493E29"/>
    <w:rsid w:val="79773031"/>
    <w:rsid w:val="79B53B59"/>
    <w:rsid w:val="79F847C7"/>
    <w:rsid w:val="7A0F3269"/>
    <w:rsid w:val="7ABE6A3D"/>
    <w:rsid w:val="7ACF355A"/>
    <w:rsid w:val="7BBC2F7D"/>
    <w:rsid w:val="7BF00E78"/>
    <w:rsid w:val="7C0E71C5"/>
    <w:rsid w:val="7C877BAE"/>
    <w:rsid w:val="7C887303"/>
    <w:rsid w:val="7CA73C2D"/>
    <w:rsid w:val="7CB65C1E"/>
    <w:rsid w:val="7CE3278B"/>
    <w:rsid w:val="7CF25884"/>
    <w:rsid w:val="7D0270B5"/>
    <w:rsid w:val="7D4E5941"/>
    <w:rsid w:val="7D6B5267"/>
    <w:rsid w:val="7D957F29"/>
    <w:rsid w:val="7DD547CA"/>
    <w:rsid w:val="7DEC2CA5"/>
    <w:rsid w:val="7DF06F0E"/>
    <w:rsid w:val="7E2766A8"/>
    <w:rsid w:val="7E837D82"/>
    <w:rsid w:val="7EA37921"/>
    <w:rsid w:val="7F250E39"/>
    <w:rsid w:val="7F8738A2"/>
    <w:rsid w:val="7FB729B0"/>
    <w:rsid w:val="7FB87426"/>
    <w:rsid w:val="7FBB79EF"/>
    <w:rsid w:val="7FCA19E0"/>
    <w:rsid w:val="7FDB1657"/>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link w:val="70"/>
    <w:qFormat/>
    <w:uiPriority w:val="0"/>
    <w:pPr>
      <w:keepNext/>
      <w:tabs>
        <w:tab w:val="left" w:pos="1440"/>
        <w:tab w:val="left" w:pos="5670"/>
      </w:tabs>
      <w:spacing w:before="100" w:beforeLines="100" w:after="100" w:afterLines="100"/>
      <w:ind w:firstLine="2890" w:firstLineChars="1203"/>
      <w:outlineLvl w:val="0"/>
    </w:pPr>
    <w:rPr>
      <w:rFonts w:ascii="黑体" w:hAnsi="黑体"/>
      <w:b/>
      <w:kern w:val="44"/>
      <w:sz w:val="28"/>
      <w:szCs w:val="28"/>
    </w:rPr>
  </w:style>
  <w:style w:type="paragraph" w:styleId="4">
    <w:name w:val="heading 2"/>
    <w:basedOn w:val="1"/>
    <w:next w:val="1"/>
    <w:link w:val="71"/>
    <w:qFormat/>
    <w:uiPriority w:val="0"/>
    <w:pPr>
      <w:keepNext/>
      <w:keepLines/>
      <w:jc w:val="left"/>
      <w:outlineLvl w:val="1"/>
    </w:pPr>
    <w:rPr>
      <w:rFonts w:ascii="宋体" w:hAnsi="宋体"/>
      <w:b/>
      <w:sz w:val="24"/>
      <w:szCs w:val="24"/>
    </w:rPr>
  </w:style>
  <w:style w:type="paragraph" w:styleId="5">
    <w:name w:val="heading 3"/>
    <w:basedOn w:val="1"/>
    <w:next w:val="1"/>
    <w:link w:val="72"/>
    <w:qFormat/>
    <w:uiPriority w:val="0"/>
    <w:pPr>
      <w:shd w:val="clear" w:color="auto" w:fill="FFFFFF"/>
      <w:wordWrap w:val="0"/>
      <w:spacing w:line="390" w:lineRule="atLeast"/>
      <w:outlineLvl w:val="2"/>
    </w:pPr>
    <w:rPr>
      <w:rFonts w:ascii="宋体" w:hAnsi="宋体"/>
      <w:b/>
      <w:szCs w:val="21"/>
    </w:rPr>
  </w:style>
  <w:style w:type="paragraph" w:styleId="6">
    <w:name w:val="heading 4"/>
    <w:basedOn w:val="1"/>
    <w:next w:val="1"/>
    <w:link w:val="73"/>
    <w:qFormat/>
    <w:uiPriority w:val="0"/>
    <w:pPr>
      <w:keepNext/>
      <w:keepLines/>
      <w:spacing w:before="120" w:after="120"/>
      <w:outlineLvl w:val="3"/>
    </w:pPr>
    <w:rPr>
      <w:rFonts w:ascii="Arial" w:hAnsi="Arial" w:eastAsia="黑体"/>
      <w:b/>
      <w:sz w:val="28"/>
    </w:rPr>
  </w:style>
  <w:style w:type="paragraph" w:styleId="7">
    <w:name w:val="heading 5"/>
    <w:basedOn w:val="1"/>
    <w:next w:val="1"/>
    <w:link w:val="74"/>
    <w:qFormat/>
    <w:uiPriority w:val="0"/>
    <w:pPr>
      <w:keepNext/>
      <w:autoSpaceDE w:val="0"/>
      <w:autoSpaceDN w:val="0"/>
      <w:spacing w:beforeLines="50" w:afterLines="50"/>
      <w:outlineLvl w:val="4"/>
    </w:pPr>
    <w:rPr>
      <w:rFonts w:ascii="黑体" w:eastAsia="黑体"/>
      <w:b/>
      <w:color w:val="000000"/>
      <w:kern w:val="0"/>
      <w:sz w:val="28"/>
    </w:rPr>
  </w:style>
  <w:style w:type="paragraph" w:styleId="8">
    <w:name w:val="heading 6"/>
    <w:basedOn w:val="1"/>
    <w:next w:val="1"/>
    <w:link w:val="75"/>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6"/>
    <w:qFormat/>
    <w:uiPriority w:val="0"/>
    <w:pPr>
      <w:keepNext/>
      <w:keepLines/>
      <w:spacing w:before="240" w:after="64" w:line="320" w:lineRule="auto"/>
      <w:outlineLvl w:val="6"/>
    </w:pPr>
    <w:rPr>
      <w:b/>
      <w:bCs/>
      <w:sz w:val="24"/>
      <w:szCs w:val="24"/>
    </w:rPr>
  </w:style>
  <w:style w:type="paragraph" w:styleId="10">
    <w:name w:val="heading 8"/>
    <w:basedOn w:val="1"/>
    <w:next w:val="1"/>
    <w:link w:val="77"/>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78"/>
    <w:qFormat/>
    <w:uiPriority w:val="0"/>
    <w:pPr>
      <w:keepNext/>
      <w:keepLines/>
      <w:spacing w:before="240" w:after="64" w:line="320" w:lineRule="auto"/>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pPr>
    <w:rPr>
      <w:rFonts w:ascii="宋体" w:hAnsi="宋体"/>
      <w:sz w:val="24"/>
      <w:szCs w:val="24"/>
    </w:rPr>
  </w:style>
  <w:style w:type="paragraph" w:styleId="12">
    <w:name w:val="List 3"/>
    <w:basedOn w:val="1"/>
    <w:qFormat/>
    <w:uiPriority w:val="0"/>
    <w:pPr>
      <w:ind w:left="1260" w:hanging="420"/>
    </w:pPr>
  </w:style>
  <w:style w:type="paragraph" w:styleId="13">
    <w:name w:val="List Number 2"/>
    <w:basedOn w:val="1"/>
    <w:qFormat/>
    <w:uiPriority w:val="0"/>
    <w:pPr>
      <w:tabs>
        <w:tab w:val="left" w:pos="1440"/>
      </w:tabs>
      <w:ind w:left="1440" w:hanging="1440"/>
    </w:pPr>
    <w:rPr>
      <w:sz w:val="24"/>
      <w:szCs w:val="24"/>
    </w:rPr>
  </w:style>
  <w:style w:type="paragraph" w:styleId="14">
    <w:name w:val="index 8"/>
    <w:basedOn w:val="1"/>
    <w:next w:val="1"/>
    <w:semiHidden/>
    <w:qFormat/>
    <w:uiPriority w:val="0"/>
    <w:pPr>
      <w:ind w:left="2940"/>
    </w:pPr>
  </w:style>
  <w:style w:type="paragraph" w:styleId="15">
    <w:name w:val="List Number"/>
    <w:basedOn w:val="1"/>
    <w:qFormat/>
    <w:uiPriority w:val="0"/>
    <w:pPr>
      <w:tabs>
        <w:tab w:val="left" w:pos="2952"/>
      </w:tabs>
      <w:ind w:left="2952" w:hanging="432"/>
    </w:pPr>
    <w:rPr>
      <w:szCs w:val="24"/>
    </w:rPr>
  </w:style>
  <w:style w:type="paragraph" w:styleId="16">
    <w:name w:val="Normal Indent"/>
    <w:basedOn w:val="1"/>
    <w:qFormat/>
    <w:uiPriority w:val="0"/>
    <w:pPr>
      <w:ind w:firstLine="420"/>
    </w:pPr>
  </w:style>
  <w:style w:type="paragraph" w:styleId="17">
    <w:name w:val="caption"/>
    <w:basedOn w:val="1"/>
    <w:next w:val="1"/>
    <w:qFormat/>
    <w:uiPriority w:val="0"/>
    <w:rPr>
      <w:rFonts w:ascii="Cambria" w:hAnsi="Cambria" w:eastAsia="黑体"/>
      <w:sz w:val="20"/>
    </w:rPr>
  </w:style>
  <w:style w:type="paragraph" w:styleId="18">
    <w:name w:val="index 5"/>
    <w:basedOn w:val="1"/>
    <w:next w:val="1"/>
    <w:semiHidden/>
    <w:qFormat/>
    <w:uiPriority w:val="0"/>
    <w:pPr>
      <w:ind w:left="1680"/>
    </w:pPr>
  </w:style>
  <w:style w:type="paragraph" w:styleId="19">
    <w:name w:val="Document Map"/>
    <w:basedOn w:val="1"/>
    <w:link w:val="79"/>
    <w:qFormat/>
    <w:uiPriority w:val="0"/>
    <w:pPr>
      <w:shd w:val="clear" w:color="auto" w:fill="000080"/>
    </w:pPr>
    <w:rPr>
      <w:rFonts w:ascii="等线" w:hAnsi="等线"/>
      <w:szCs w:val="22"/>
    </w:rPr>
  </w:style>
  <w:style w:type="paragraph" w:styleId="20">
    <w:name w:val="annotation text"/>
    <w:basedOn w:val="1"/>
    <w:link w:val="80"/>
    <w:unhideWhenUsed/>
    <w:qFormat/>
    <w:uiPriority w:val="0"/>
    <w:pPr>
      <w:jc w:val="left"/>
    </w:pPr>
  </w:style>
  <w:style w:type="paragraph" w:styleId="21">
    <w:name w:val="index 6"/>
    <w:basedOn w:val="1"/>
    <w:next w:val="1"/>
    <w:semiHidden/>
    <w:qFormat/>
    <w:uiPriority w:val="0"/>
    <w:pPr>
      <w:ind w:left="2100"/>
    </w:pPr>
  </w:style>
  <w:style w:type="paragraph" w:styleId="22">
    <w:name w:val="Salutation"/>
    <w:basedOn w:val="1"/>
    <w:next w:val="1"/>
    <w:link w:val="81"/>
    <w:qFormat/>
    <w:uiPriority w:val="0"/>
    <w:rPr>
      <w:rFonts w:ascii="仿宋_GB2312" w:eastAsia="仿宋_GB2312"/>
      <w:sz w:val="28"/>
    </w:rPr>
  </w:style>
  <w:style w:type="paragraph" w:styleId="23">
    <w:name w:val="Body Text 3"/>
    <w:basedOn w:val="1"/>
    <w:link w:val="82"/>
    <w:qFormat/>
    <w:uiPriority w:val="0"/>
    <w:rPr>
      <w:rFonts w:ascii="仿宋_GB2312" w:hAnsi="Arial" w:eastAsia="仿宋_GB2312"/>
      <w:sz w:val="32"/>
    </w:rPr>
  </w:style>
  <w:style w:type="paragraph" w:styleId="24">
    <w:name w:val="Body Text"/>
    <w:basedOn w:val="1"/>
    <w:link w:val="83"/>
    <w:qFormat/>
    <w:uiPriority w:val="0"/>
    <w:rPr>
      <w:rFonts w:ascii="楷体_GB2312" w:hAnsi="Arial" w:eastAsia="楷体_GB2312"/>
      <w:sz w:val="28"/>
    </w:rPr>
  </w:style>
  <w:style w:type="paragraph" w:styleId="25">
    <w:name w:val="Body Text Indent"/>
    <w:basedOn w:val="1"/>
    <w:next w:val="1"/>
    <w:link w:val="84"/>
    <w:qFormat/>
    <w:uiPriority w:val="0"/>
    <w:pPr>
      <w:ind w:firstLine="645"/>
    </w:pPr>
    <w:rPr>
      <w:rFonts w:ascii="楷体_GB2312" w:hAnsi="等线" w:eastAsia="楷体_GB2312"/>
      <w:sz w:val="32"/>
      <w:szCs w:val="22"/>
    </w:rPr>
  </w:style>
  <w:style w:type="paragraph" w:styleId="26">
    <w:name w:val="index 4"/>
    <w:basedOn w:val="1"/>
    <w:next w:val="1"/>
    <w:qFormat/>
    <w:uiPriority w:val="0"/>
    <w:pPr>
      <w:ind w:left="1260"/>
    </w:pPr>
  </w:style>
  <w:style w:type="paragraph" w:styleId="27">
    <w:name w:val="Plain Text"/>
    <w:basedOn w:val="1"/>
    <w:link w:val="85"/>
    <w:qFormat/>
    <w:uiPriority w:val="0"/>
    <w:rPr>
      <w:rFonts w:ascii="宋体" w:hAnsi="Courier New"/>
      <w:szCs w:val="22"/>
    </w:rPr>
  </w:style>
  <w:style w:type="paragraph" w:styleId="28">
    <w:name w:val="index 3"/>
    <w:basedOn w:val="1"/>
    <w:next w:val="1"/>
    <w:semiHidden/>
    <w:qFormat/>
    <w:uiPriority w:val="0"/>
    <w:pPr>
      <w:ind w:left="840"/>
    </w:pPr>
  </w:style>
  <w:style w:type="paragraph" w:styleId="29">
    <w:name w:val="Date"/>
    <w:basedOn w:val="1"/>
    <w:next w:val="1"/>
    <w:link w:val="86"/>
    <w:qFormat/>
    <w:uiPriority w:val="0"/>
    <w:pPr>
      <w:ind w:left="100" w:leftChars="2500"/>
    </w:pPr>
    <w:rPr>
      <w:sz w:val="28"/>
    </w:rPr>
  </w:style>
  <w:style w:type="paragraph" w:styleId="30">
    <w:name w:val="Body Text Indent 2"/>
    <w:basedOn w:val="1"/>
    <w:link w:val="87"/>
    <w:qFormat/>
    <w:uiPriority w:val="0"/>
    <w:pPr>
      <w:ind w:left="630" w:firstLine="645"/>
    </w:pPr>
    <w:rPr>
      <w:rFonts w:ascii="Arial" w:hAnsi="Arial" w:eastAsia="仿宋_GB2312"/>
      <w:sz w:val="32"/>
      <w:szCs w:val="22"/>
    </w:rPr>
  </w:style>
  <w:style w:type="paragraph" w:styleId="31">
    <w:name w:val="endnote text"/>
    <w:basedOn w:val="1"/>
    <w:link w:val="88"/>
    <w:qFormat/>
    <w:uiPriority w:val="0"/>
    <w:pPr>
      <w:jc w:val="left"/>
    </w:pPr>
    <w:rPr>
      <w:kern w:val="0"/>
      <w:sz w:val="20"/>
      <w:szCs w:val="24"/>
    </w:rPr>
  </w:style>
  <w:style w:type="paragraph" w:styleId="32">
    <w:name w:val="Balloon Text"/>
    <w:basedOn w:val="1"/>
    <w:link w:val="89"/>
    <w:qFormat/>
    <w:uiPriority w:val="0"/>
    <w:rPr>
      <w:sz w:val="18"/>
      <w:szCs w:val="18"/>
    </w:rPr>
  </w:style>
  <w:style w:type="paragraph" w:styleId="33">
    <w:name w:val="footer"/>
    <w:basedOn w:val="1"/>
    <w:link w:val="90"/>
    <w:qFormat/>
    <w:uiPriority w:val="0"/>
    <w:pPr>
      <w:tabs>
        <w:tab w:val="center" w:pos="4153"/>
        <w:tab w:val="right" w:pos="8306"/>
      </w:tabs>
      <w:jc w:val="left"/>
    </w:pPr>
    <w:rPr>
      <w:rFonts w:ascii="等线" w:hAnsi="等线" w:eastAsia="等线"/>
      <w:sz w:val="18"/>
      <w:szCs w:val="22"/>
    </w:rPr>
  </w:style>
  <w:style w:type="paragraph" w:styleId="34">
    <w:name w:val="header"/>
    <w:basedOn w:val="1"/>
    <w:link w:val="91"/>
    <w:qFormat/>
    <w:uiPriority w:val="0"/>
    <w:pPr>
      <w:pBdr>
        <w:bottom w:val="single" w:color="auto" w:sz="6" w:space="1"/>
      </w:pBdr>
      <w:tabs>
        <w:tab w:val="center" w:pos="4153"/>
        <w:tab w:val="right" w:pos="8306"/>
      </w:tabs>
      <w:jc w:val="center"/>
    </w:pPr>
    <w:rPr>
      <w:sz w:val="18"/>
    </w:rPr>
  </w:style>
  <w:style w:type="paragraph" w:styleId="35">
    <w:name w:val="Signature"/>
    <w:basedOn w:val="1"/>
    <w:link w:val="92"/>
    <w:qFormat/>
    <w:uiPriority w:val="0"/>
    <w:pPr>
      <w:spacing w:after="600" w:line="312" w:lineRule="atLeast"/>
      <w:jc w:val="center"/>
      <w:textAlignment w:val="baseline"/>
    </w:pPr>
    <w:rPr>
      <w:rFonts w:eastAsia="仿宋_GB2312"/>
      <w:kern w:val="0"/>
      <w:sz w:val="24"/>
    </w:rPr>
  </w:style>
  <w:style w:type="paragraph" w:styleId="36">
    <w:name w:val="toc 1"/>
    <w:basedOn w:val="1"/>
    <w:next w:val="1"/>
    <w:unhideWhenUsed/>
    <w:qFormat/>
    <w:uiPriority w:val="39"/>
  </w:style>
  <w:style w:type="paragraph" w:styleId="37">
    <w:name w:val="index heading"/>
    <w:basedOn w:val="1"/>
    <w:next w:val="38"/>
    <w:semiHidden/>
    <w:qFormat/>
    <w:uiPriority w:val="0"/>
  </w:style>
  <w:style w:type="paragraph" w:styleId="38">
    <w:name w:val="index 1"/>
    <w:basedOn w:val="1"/>
    <w:next w:val="1"/>
    <w:qFormat/>
    <w:uiPriority w:val="0"/>
    <w:rPr>
      <w:rFonts w:ascii="仿宋_GB2312" w:hAnsi="宋体" w:eastAsia="仿宋_GB2312"/>
      <w:sz w:val="30"/>
      <w:szCs w:val="24"/>
    </w:rPr>
  </w:style>
  <w:style w:type="paragraph" w:styleId="39">
    <w:name w:val="Subtitle"/>
    <w:basedOn w:val="1"/>
    <w:next w:val="1"/>
    <w:link w:val="93"/>
    <w:qFormat/>
    <w:uiPriority w:val="11"/>
    <w:pPr>
      <w:widowControl/>
      <w:spacing w:after="600" w:line="276" w:lineRule="auto"/>
      <w:jc w:val="left"/>
    </w:pPr>
    <w:rPr>
      <w:rFonts w:ascii="Cambria" w:hAnsi="Cambria"/>
      <w:i/>
      <w:iCs/>
      <w:spacing w:val="13"/>
      <w:kern w:val="0"/>
      <w:sz w:val="24"/>
      <w:szCs w:val="24"/>
      <w:lang w:eastAsia="en-US" w:bidi="en-US"/>
    </w:rPr>
  </w:style>
  <w:style w:type="paragraph" w:styleId="40">
    <w:name w:val="footnote text"/>
    <w:basedOn w:val="1"/>
    <w:link w:val="94"/>
    <w:qFormat/>
    <w:uiPriority w:val="0"/>
    <w:pPr>
      <w:jc w:val="left"/>
    </w:pPr>
    <w:rPr>
      <w:sz w:val="18"/>
      <w:szCs w:val="18"/>
    </w:rPr>
  </w:style>
  <w:style w:type="paragraph" w:styleId="41">
    <w:name w:val="Body Text Indent 3"/>
    <w:basedOn w:val="1"/>
    <w:link w:val="95"/>
    <w:qFormat/>
    <w:uiPriority w:val="0"/>
    <w:pPr>
      <w:ind w:left="645" w:firstLine="645"/>
    </w:pPr>
    <w:rPr>
      <w:rFonts w:ascii="Arial" w:hAnsi="Arial" w:eastAsia="仿宋_GB2312"/>
      <w:color w:val="FFFF00"/>
      <w:sz w:val="32"/>
      <w:szCs w:val="22"/>
    </w:rPr>
  </w:style>
  <w:style w:type="paragraph" w:styleId="42">
    <w:name w:val="index 7"/>
    <w:basedOn w:val="1"/>
    <w:next w:val="1"/>
    <w:semiHidden/>
    <w:qFormat/>
    <w:uiPriority w:val="0"/>
    <w:pPr>
      <w:ind w:left="2520"/>
    </w:pPr>
  </w:style>
  <w:style w:type="paragraph" w:styleId="43">
    <w:name w:val="index 9"/>
    <w:basedOn w:val="1"/>
    <w:next w:val="1"/>
    <w:semiHidden/>
    <w:qFormat/>
    <w:uiPriority w:val="0"/>
    <w:pPr>
      <w:ind w:left="3360"/>
    </w:pPr>
  </w:style>
  <w:style w:type="paragraph" w:styleId="44">
    <w:name w:val="table of figures"/>
    <w:basedOn w:val="1"/>
    <w:next w:val="1"/>
    <w:semiHidden/>
    <w:qFormat/>
    <w:uiPriority w:val="0"/>
    <w:pPr>
      <w:ind w:left="840" w:hanging="420"/>
    </w:pPr>
  </w:style>
  <w:style w:type="paragraph" w:styleId="45">
    <w:name w:val="toc 2"/>
    <w:basedOn w:val="1"/>
    <w:next w:val="1"/>
    <w:unhideWhenUsed/>
    <w:qFormat/>
    <w:uiPriority w:val="39"/>
    <w:pPr>
      <w:ind w:left="420" w:leftChars="200"/>
    </w:pPr>
  </w:style>
  <w:style w:type="paragraph" w:styleId="46">
    <w:name w:val="Body Text 2"/>
    <w:basedOn w:val="1"/>
    <w:link w:val="96"/>
    <w:qFormat/>
    <w:uiPriority w:val="0"/>
    <w:pPr>
      <w:widowControl/>
      <w:jc w:val="center"/>
    </w:pPr>
    <w:rPr>
      <w:rFonts w:ascii="楷体_GB2312" w:eastAsia="楷体_GB2312"/>
      <w:sz w:val="28"/>
    </w:rPr>
  </w:style>
  <w:style w:type="paragraph" w:styleId="47">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48">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49">
    <w:name w:val="index 2"/>
    <w:basedOn w:val="1"/>
    <w:next w:val="1"/>
    <w:semiHidden/>
    <w:qFormat/>
    <w:uiPriority w:val="0"/>
    <w:pPr>
      <w:ind w:left="420"/>
    </w:pPr>
  </w:style>
  <w:style w:type="paragraph" w:styleId="50">
    <w:name w:val="Title"/>
    <w:basedOn w:val="1"/>
    <w:link w:val="98"/>
    <w:qFormat/>
    <w:uiPriority w:val="0"/>
    <w:pPr>
      <w:widowControl/>
      <w:overflowPunct w:val="0"/>
      <w:autoSpaceDE w:val="0"/>
      <w:autoSpaceDN w:val="0"/>
      <w:spacing w:line="420" w:lineRule="exact"/>
      <w:jc w:val="center"/>
      <w:textAlignment w:val="baseline"/>
    </w:pPr>
    <w:rPr>
      <w:rFonts w:ascii="等线" w:hAnsi="等线" w:eastAsia="黑体"/>
      <w:b/>
      <w:sz w:val="28"/>
      <w:szCs w:val="22"/>
      <w:lang w:val="en-GB"/>
    </w:rPr>
  </w:style>
  <w:style w:type="paragraph" w:styleId="51">
    <w:name w:val="annotation subject"/>
    <w:basedOn w:val="20"/>
    <w:next w:val="20"/>
    <w:link w:val="99"/>
    <w:qFormat/>
    <w:uiPriority w:val="0"/>
    <w:rPr>
      <w:rFonts w:ascii="等线" w:hAnsi="等线"/>
      <w:b/>
      <w:bCs/>
      <w:szCs w:val="22"/>
    </w:rPr>
  </w:style>
  <w:style w:type="paragraph" w:styleId="52">
    <w:name w:val="Body Text First Indent"/>
    <w:basedOn w:val="24"/>
    <w:link w:val="100"/>
    <w:unhideWhenUsed/>
    <w:qFormat/>
    <w:uiPriority w:val="99"/>
    <w:pPr>
      <w:spacing w:after="120"/>
      <w:ind w:firstLine="420" w:firstLineChars="100"/>
    </w:pPr>
    <w:rPr>
      <w:rFonts w:ascii="Times New Roman" w:hAnsi="Times New Roman" w:eastAsia="宋体"/>
      <w:sz w:val="21"/>
    </w:rPr>
  </w:style>
  <w:style w:type="paragraph" w:styleId="53">
    <w:name w:val="Body Text First Indent 2"/>
    <w:basedOn w:val="25"/>
    <w:next w:val="1"/>
    <w:qFormat/>
    <w:uiPriority w:val="0"/>
    <w:pPr>
      <w:ind w:firstLine="420" w:firstLineChars="200"/>
    </w:p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qFormat/>
    <w:uiPriority w:val="0"/>
  </w:style>
  <w:style w:type="character" w:styleId="60">
    <w:name w:val="Emphasis"/>
    <w:qFormat/>
    <w:uiPriority w:val="0"/>
    <w:rPr>
      <w:b/>
      <w:bCs/>
      <w:i/>
      <w:iCs/>
      <w:spacing w:val="10"/>
      <w:shd w:val="clear" w:color="auto" w:fill="auto"/>
    </w:rPr>
  </w:style>
  <w:style w:type="character" w:styleId="61">
    <w:name w:val="line number"/>
    <w:qFormat/>
    <w:uiPriority w:val="0"/>
  </w:style>
  <w:style w:type="character" w:styleId="62">
    <w:name w:val="HTML Typewriter"/>
    <w:qFormat/>
    <w:uiPriority w:val="0"/>
    <w:rPr>
      <w:rFonts w:ascii="宋体" w:hAnsi="宋体" w:eastAsia="宋体" w:cs="宋体"/>
      <w:sz w:val="24"/>
      <w:szCs w:val="24"/>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styleId="66">
    <w:name w:val="HTML Sample"/>
    <w:qFormat/>
    <w:uiPriority w:val="0"/>
    <w:rPr>
      <w:rFonts w:ascii="Courier New" w:hAnsi="宋体" w:eastAsia="宋体" w:cs="Courier New"/>
    </w:rPr>
  </w:style>
  <w:style w:type="paragraph" w:customStyle="1" w:styleId="67">
    <w:name w:val="列表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68">
    <w:name w:val="标题 41"/>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9">
    <w:name w:val="List Paragraph"/>
    <w:basedOn w:val="1"/>
    <w:qFormat/>
    <w:uiPriority w:val="34"/>
    <w:pPr>
      <w:ind w:firstLine="420" w:firstLineChars="200"/>
    </w:pPr>
  </w:style>
  <w:style w:type="character" w:customStyle="1" w:styleId="70">
    <w:name w:val="标题 1 Char"/>
    <w:link w:val="3"/>
    <w:qFormat/>
    <w:uiPriority w:val="0"/>
    <w:rPr>
      <w:rFonts w:ascii="黑体" w:hAnsi="黑体" w:eastAsia="宋体" w:cs="Times New Roman"/>
      <w:b/>
      <w:kern w:val="44"/>
      <w:sz w:val="28"/>
      <w:szCs w:val="28"/>
    </w:rPr>
  </w:style>
  <w:style w:type="character" w:customStyle="1" w:styleId="71">
    <w:name w:val="标题 2 Char"/>
    <w:link w:val="4"/>
    <w:qFormat/>
    <w:uiPriority w:val="0"/>
    <w:rPr>
      <w:rFonts w:ascii="宋体" w:hAnsi="宋体" w:eastAsia="宋体" w:cs="Times New Roman"/>
      <w:b/>
      <w:sz w:val="24"/>
      <w:szCs w:val="24"/>
    </w:rPr>
  </w:style>
  <w:style w:type="character" w:customStyle="1" w:styleId="72">
    <w:name w:val="标题 3 Char1"/>
    <w:link w:val="5"/>
    <w:qFormat/>
    <w:uiPriority w:val="0"/>
    <w:rPr>
      <w:rFonts w:ascii="宋体" w:hAnsi="宋体"/>
      <w:b/>
      <w:kern w:val="2"/>
      <w:sz w:val="21"/>
      <w:szCs w:val="21"/>
      <w:shd w:val="clear" w:color="auto" w:fill="FFFFFF"/>
    </w:rPr>
  </w:style>
  <w:style w:type="character" w:customStyle="1" w:styleId="73">
    <w:name w:val="标题 4 Char"/>
    <w:link w:val="6"/>
    <w:qFormat/>
    <w:uiPriority w:val="0"/>
    <w:rPr>
      <w:rFonts w:ascii="Arial" w:hAnsi="Arial" w:eastAsia="黑体" w:cs="Times New Roman"/>
      <w:b/>
      <w:sz w:val="28"/>
      <w:szCs w:val="20"/>
    </w:rPr>
  </w:style>
  <w:style w:type="character" w:customStyle="1" w:styleId="74">
    <w:name w:val="标题 5 Char"/>
    <w:link w:val="7"/>
    <w:qFormat/>
    <w:uiPriority w:val="0"/>
    <w:rPr>
      <w:rFonts w:ascii="黑体" w:hAnsi="Times New Roman" w:eastAsia="黑体" w:cs="Times New Roman"/>
      <w:b/>
      <w:color w:val="000000"/>
      <w:kern w:val="0"/>
      <w:sz w:val="28"/>
      <w:szCs w:val="20"/>
    </w:rPr>
  </w:style>
  <w:style w:type="character" w:customStyle="1" w:styleId="75">
    <w:name w:val="标题 6 Char"/>
    <w:link w:val="8"/>
    <w:qFormat/>
    <w:uiPriority w:val="0"/>
    <w:rPr>
      <w:rFonts w:ascii="Arial" w:hAnsi="Arial" w:eastAsia="黑体" w:cs="Times New Roman"/>
      <w:b/>
      <w:bCs/>
      <w:sz w:val="24"/>
      <w:szCs w:val="24"/>
    </w:rPr>
  </w:style>
  <w:style w:type="character" w:customStyle="1" w:styleId="76">
    <w:name w:val="标题 7 Char"/>
    <w:link w:val="9"/>
    <w:qFormat/>
    <w:uiPriority w:val="0"/>
    <w:rPr>
      <w:rFonts w:ascii="Times New Roman" w:hAnsi="Times New Roman" w:eastAsia="宋体" w:cs="Times New Roman"/>
      <w:b/>
      <w:bCs/>
      <w:sz w:val="24"/>
      <w:szCs w:val="24"/>
    </w:rPr>
  </w:style>
  <w:style w:type="character" w:customStyle="1" w:styleId="77">
    <w:name w:val="标题 8 Char"/>
    <w:link w:val="10"/>
    <w:qFormat/>
    <w:uiPriority w:val="0"/>
    <w:rPr>
      <w:rFonts w:ascii="Arial" w:hAnsi="Arial" w:eastAsia="黑体" w:cs="Times New Roman"/>
      <w:sz w:val="24"/>
      <w:szCs w:val="24"/>
    </w:rPr>
  </w:style>
  <w:style w:type="character" w:customStyle="1" w:styleId="78">
    <w:name w:val="标题 9 Char"/>
    <w:link w:val="11"/>
    <w:qFormat/>
    <w:uiPriority w:val="0"/>
    <w:rPr>
      <w:rFonts w:ascii="Arial" w:hAnsi="Arial" w:eastAsia="黑体" w:cs="Times New Roman"/>
      <w:szCs w:val="21"/>
    </w:rPr>
  </w:style>
  <w:style w:type="character" w:customStyle="1" w:styleId="79">
    <w:name w:val="文档结构图 Char"/>
    <w:link w:val="19"/>
    <w:qFormat/>
    <w:uiPriority w:val="0"/>
    <w:rPr>
      <w:rFonts w:eastAsia="宋体"/>
      <w:shd w:val="clear" w:color="auto" w:fill="000080"/>
    </w:rPr>
  </w:style>
  <w:style w:type="character" w:customStyle="1" w:styleId="80">
    <w:name w:val="批注文字 Char3"/>
    <w:link w:val="20"/>
    <w:qFormat/>
    <w:uiPriority w:val="0"/>
    <w:rPr>
      <w:rFonts w:ascii="Times New Roman" w:hAnsi="Times New Roman" w:eastAsia="宋体" w:cs="Times New Roman"/>
      <w:szCs w:val="20"/>
    </w:rPr>
  </w:style>
  <w:style w:type="character" w:customStyle="1" w:styleId="81">
    <w:name w:val="称呼 Char"/>
    <w:link w:val="22"/>
    <w:qFormat/>
    <w:uiPriority w:val="0"/>
    <w:rPr>
      <w:rFonts w:ascii="仿宋_GB2312" w:hAnsi="Times New Roman" w:eastAsia="仿宋_GB2312" w:cs="Times New Roman"/>
      <w:sz w:val="28"/>
      <w:szCs w:val="20"/>
    </w:rPr>
  </w:style>
  <w:style w:type="character" w:customStyle="1" w:styleId="82">
    <w:name w:val="正文文本 3 Char"/>
    <w:link w:val="23"/>
    <w:qFormat/>
    <w:uiPriority w:val="0"/>
    <w:rPr>
      <w:rFonts w:ascii="仿宋_GB2312" w:hAnsi="Arial" w:eastAsia="仿宋_GB2312" w:cs="Times New Roman"/>
      <w:sz w:val="32"/>
      <w:szCs w:val="20"/>
    </w:rPr>
  </w:style>
  <w:style w:type="character" w:customStyle="1" w:styleId="83">
    <w:name w:val="正文文本 Char"/>
    <w:link w:val="24"/>
    <w:qFormat/>
    <w:uiPriority w:val="0"/>
    <w:rPr>
      <w:rFonts w:ascii="楷体_GB2312" w:hAnsi="Arial" w:eastAsia="楷体_GB2312" w:cs="Times New Roman"/>
      <w:sz w:val="28"/>
      <w:szCs w:val="20"/>
    </w:rPr>
  </w:style>
  <w:style w:type="character" w:customStyle="1" w:styleId="84">
    <w:name w:val="正文文本缩进 Char"/>
    <w:link w:val="25"/>
    <w:qFormat/>
    <w:uiPriority w:val="0"/>
    <w:rPr>
      <w:rFonts w:ascii="楷体_GB2312" w:eastAsia="楷体_GB2312"/>
      <w:sz w:val="32"/>
    </w:rPr>
  </w:style>
  <w:style w:type="character" w:customStyle="1" w:styleId="85">
    <w:name w:val="纯文本 Char"/>
    <w:link w:val="27"/>
    <w:qFormat/>
    <w:uiPriority w:val="0"/>
    <w:rPr>
      <w:rFonts w:ascii="宋体" w:hAnsi="Courier New" w:eastAsia="宋体"/>
    </w:rPr>
  </w:style>
  <w:style w:type="character" w:customStyle="1" w:styleId="86">
    <w:name w:val="日期 Char"/>
    <w:link w:val="29"/>
    <w:qFormat/>
    <w:uiPriority w:val="0"/>
    <w:rPr>
      <w:rFonts w:ascii="Times New Roman" w:hAnsi="Times New Roman" w:eastAsia="宋体" w:cs="Times New Roman"/>
      <w:sz w:val="28"/>
      <w:szCs w:val="20"/>
    </w:rPr>
  </w:style>
  <w:style w:type="character" w:customStyle="1" w:styleId="87">
    <w:name w:val="正文文本缩进 2 Char"/>
    <w:link w:val="30"/>
    <w:qFormat/>
    <w:uiPriority w:val="0"/>
    <w:rPr>
      <w:rFonts w:ascii="Arial" w:hAnsi="Arial" w:eastAsia="仿宋_GB2312"/>
      <w:sz w:val="32"/>
    </w:rPr>
  </w:style>
  <w:style w:type="character" w:customStyle="1" w:styleId="88">
    <w:name w:val="尾注文本 Char"/>
    <w:link w:val="31"/>
    <w:qFormat/>
    <w:uiPriority w:val="0"/>
    <w:rPr>
      <w:rFonts w:ascii="Times New Roman" w:hAnsi="Times New Roman" w:eastAsia="宋体" w:cs="Times New Roman"/>
      <w:kern w:val="0"/>
      <w:sz w:val="20"/>
      <w:szCs w:val="24"/>
    </w:rPr>
  </w:style>
  <w:style w:type="character" w:customStyle="1" w:styleId="89">
    <w:name w:val="批注框文本 Char"/>
    <w:link w:val="32"/>
    <w:qFormat/>
    <w:uiPriority w:val="0"/>
    <w:rPr>
      <w:rFonts w:ascii="Times New Roman" w:hAnsi="Times New Roman" w:eastAsia="宋体" w:cs="Times New Roman"/>
      <w:sz w:val="18"/>
      <w:szCs w:val="18"/>
    </w:rPr>
  </w:style>
  <w:style w:type="character" w:customStyle="1" w:styleId="90">
    <w:name w:val="页脚 Char"/>
    <w:link w:val="33"/>
    <w:qFormat/>
    <w:uiPriority w:val="0"/>
    <w:rPr>
      <w:sz w:val="18"/>
    </w:rPr>
  </w:style>
  <w:style w:type="character" w:customStyle="1" w:styleId="91">
    <w:name w:val="页眉 Char"/>
    <w:link w:val="34"/>
    <w:qFormat/>
    <w:uiPriority w:val="0"/>
    <w:rPr>
      <w:rFonts w:ascii="Times New Roman" w:hAnsi="Times New Roman" w:eastAsia="宋体" w:cs="Times New Roman"/>
      <w:sz w:val="18"/>
      <w:szCs w:val="20"/>
    </w:rPr>
  </w:style>
  <w:style w:type="character" w:customStyle="1" w:styleId="92">
    <w:name w:val="签名 Char"/>
    <w:link w:val="35"/>
    <w:qFormat/>
    <w:uiPriority w:val="0"/>
    <w:rPr>
      <w:rFonts w:ascii="Times New Roman" w:hAnsi="Times New Roman" w:eastAsia="仿宋_GB2312" w:cs="Times New Roman"/>
      <w:kern w:val="0"/>
      <w:sz w:val="24"/>
      <w:szCs w:val="20"/>
    </w:rPr>
  </w:style>
  <w:style w:type="character" w:customStyle="1" w:styleId="93">
    <w:name w:val="副标题 Char1"/>
    <w:link w:val="39"/>
    <w:qFormat/>
    <w:uiPriority w:val="11"/>
    <w:rPr>
      <w:rFonts w:ascii="Cambria" w:hAnsi="Cambria" w:eastAsia="宋体" w:cs="Times New Roman"/>
      <w:i/>
      <w:iCs/>
      <w:spacing w:val="13"/>
      <w:kern w:val="0"/>
      <w:sz w:val="24"/>
      <w:szCs w:val="24"/>
      <w:lang w:eastAsia="en-US" w:bidi="en-US"/>
    </w:rPr>
  </w:style>
  <w:style w:type="character" w:customStyle="1" w:styleId="94">
    <w:name w:val="脚注文本 Char"/>
    <w:link w:val="40"/>
    <w:qFormat/>
    <w:uiPriority w:val="0"/>
    <w:rPr>
      <w:rFonts w:ascii="Times New Roman" w:hAnsi="Times New Roman" w:eastAsia="宋体" w:cs="Times New Roman"/>
      <w:sz w:val="18"/>
      <w:szCs w:val="18"/>
    </w:rPr>
  </w:style>
  <w:style w:type="character" w:customStyle="1" w:styleId="95">
    <w:name w:val="正文文本缩进 3 Char"/>
    <w:link w:val="41"/>
    <w:qFormat/>
    <w:uiPriority w:val="0"/>
    <w:rPr>
      <w:rFonts w:ascii="Arial" w:hAnsi="Arial" w:eastAsia="仿宋_GB2312"/>
      <w:color w:val="FFFF00"/>
      <w:sz w:val="32"/>
    </w:rPr>
  </w:style>
  <w:style w:type="character" w:customStyle="1" w:styleId="96">
    <w:name w:val="正文文本 2 Char"/>
    <w:link w:val="46"/>
    <w:qFormat/>
    <w:uiPriority w:val="0"/>
    <w:rPr>
      <w:rFonts w:ascii="楷体_GB2312" w:hAnsi="Times New Roman" w:eastAsia="楷体_GB2312" w:cs="Times New Roman"/>
      <w:sz w:val="28"/>
      <w:szCs w:val="20"/>
    </w:rPr>
  </w:style>
  <w:style w:type="character" w:customStyle="1" w:styleId="97">
    <w:name w:val="HTML 预设格式 Char"/>
    <w:link w:val="47"/>
    <w:qFormat/>
    <w:uiPriority w:val="99"/>
    <w:rPr>
      <w:rFonts w:ascii="黑体" w:hAnsi="Courier New" w:eastAsia="黑体" w:cs="Courier New"/>
    </w:rPr>
  </w:style>
  <w:style w:type="character" w:customStyle="1" w:styleId="98">
    <w:name w:val="标题 Char"/>
    <w:link w:val="50"/>
    <w:qFormat/>
    <w:uiPriority w:val="0"/>
    <w:rPr>
      <w:rFonts w:eastAsia="黑体"/>
      <w:b/>
      <w:sz w:val="28"/>
      <w:lang w:val="en-GB"/>
    </w:rPr>
  </w:style>
  <w:style w:type="character" w:customStyle="1" w:styleId="99">
    <w:name w:val="批注主题 Char"/>
    <w:link w:val="51"/>
    <w:qFormat/>
    <w:uiPriority w:val="0"/>
    <w:rPr>
      <w:rFonts w:eastAsia="宋体"/>
      <w:b/>
      <w:bCs/>
    </w:rPr>
  </w:style>
  <w:style w:type="character" w:customStyle="1" w:styleId="100">
    <w:name w:val="正文首行缩进 Char"/>
    <w:link w:val="52"/>
    <w:semiHidden/>
    <w:qFormat/>
    <w:uiPriority w:val="99"/>
    <w:rPr>
      <w:rFonts w:ascii="Times New Roman" w:hAnsi="Times New Roman" w:eastAsia="宋体" w:cs="Times New Roman"/>
      <w:sz w:val="28"/>
      <w:szCs w:val="20"/>
    </w:rPr>
  </w:style>
  <w:style w:type="character" w:customStyle="1" w:styleId="101">
    <w:name w:val="访问过的超链接1"/>
    <w:unhideWhenUsed/>
    <w:qFormat/>
    <w:uiPriority w:val="99"/>
    <w:rPr>
      <w:color w:val="954F72"/>
      <w:u w:val="single"/>
    </w:rPr>
  </w:style>
  <w:style w:type="character" w:customStyle="1" w:styleId="102">
    <w:name w:val="标题 1 字符"/>
    <w:qFormat/>
    <w:uiPriority w:val="9"/>
    <w:rPr>
      <w:rFonts w:ascii="Times New Roman" w:hAnsi="Times New Roman" w:eastAsia="宋体" w:cs="Times New Roman"/>
      <w:b/>
      <w:bCs/>
      <w:kern w:val="44"/>
      <w:sz w:val="44"/>
      <w:szCs w:val="44"/>
    </w:rPr>
  </w:style>
  <w:style w:type="character" w:customStyle="1" w:styleId="103">
    <w:name w:val="标题 2 字符"/>
    <w:semiHidden/>
    <w:qFormat/>
    <w:uiPriority w:val="9"/>
    <w:rPr>
      <w:rFonts w:ascii="等线 Light" w:hAnsi="等线 Light" w:eastAsia="等线 Light" w:cs="Times New Roman"/>
      <w:b/>
      <w:bCs/>
      <w:sz w:val="32"/>
      <w:szCs w:val="32"/>
    </w:rPr>
  </w:style>
  <w:style w:type="character" w:customStyle="1" w:styleId="104">
    <w:name w:val="标题 3 字符"/>
    <w:semiHidden/>
    <w:qFormat/>
    <w:uiPriority w:val="9"/>
    <w:rPr>
      <w:rFonts w:ascii="Times New Roman" w:hAnsi="Times New Roman" w:eastAsia="宋体" w:cs="Times New Roman"/>
      <w:b/>
      <w:bCs/>
      <w:sz w:val="32"/>
      <w:szCs w:val="32"/>
    </w:rPr>
  </w:style>
  <w:style w:type="character" w:customStyle="1" w:styleId="105">
    <w:name w:val="标题 4 字符"/>
    <w:semiHidden/>
    <w:qFormat/>
    <w:uiPriority w:val="9"/>
    <w:rPr>
      <w:rFonts w:ascii="等线 Light" w:hAnsi="等线 Light" w:eastAsia="等线 Light" w:cs="Times New Roman"/>
      <w:b/>
      <w:bCs/>
      <w:sz w:val="28"/>
      <w:szCs w:val="28"/>
    </w:rPr>
  </w:style>
  <w:style w:type="character" w:customStyle="1" w:styleId="106">
    <w:name w:val="标题 5 字符"/>
    <w:semiHidden/>
    <w:qFormat/>
    <w:uiPriority w:val="9"/>
    <w:rPr>
      <w:rFonts w:ascii="Times New Roman" w:hAnsi="Times New Roman" w:eastAsia="宋体" w:cs="Times New Roman"/>
      <w:b/>
      <w:bCs/>
      <w:sz w:val="28"/>
      <w:szCs w:val="28"/>
    </w:rPr>
  </w:style>
  <w:style w:type="character" w:customStyle="1" w:styleId="107">
    <w:name w:val="标题 6 字符"/>
    <w:semiHidden/>
    <w:qFormat/>
    <w:uiPriority w:val="9"/>
    <w:rPr>
      <w:rFonts w:ascii="等线 Light" w:hAnsi="等线 Light" w:eastAsia="等线 Light" w:cs="Times New Roman"/>
      <w:b/>
      <w:bCs/>
      <w:sz w:val="24"/>
      <w:szCs w:val="24"/>
    </w:rPr>
  </w:style>
  <w:style w:type="character" w:customStyle="1" w:styleId="108">
    <w:name w:val="标题 7 字符"/>
    <w:semiHidden/>
    <w:qFormat/>
    <w:uiPriority w:val="9"/>
    <w:rPr>
      <w:rFonts w:ascii="Times New Roman" w:hAnsi="Times New Roman" w:eastAsia="宋体" w:cs="Times New Roman"/>
      <w:b/>
      <w:bCs/>
      <w:sz w:val="24"/>
      <w:szCs w:val="24"/>
    </w:rPr>
  </w:style>
  <w:style w:type="character" w:customStyle="1" w:styleId="109">
    <w:name w:val="标题 8 字符"/>
    <w:semiHidden/>
    <w:qFormat/>
    <w:uiPriority w:val="9"/>
    <w:rPr>
      <w:rFonts w:ascii="等线 Light" w:hAnsi="等线 Light" w:eastAsia="等线 Light" w:cs="Times New Roman"/>
      <w:sz w:val="24"/>
      <w:szCs w:val="24"/>
    </w:rPr>
  </w:style>
  <w:style w:type="character" w:customStyle="1" w:styleId="110">
    <w:name w:val="标题 9 字符"/>
    <w:semiHidden/>
    <w:qFormat/>
    <w:uiPriority w:val="9"/>
    <w:rPr>
      <w:rFonts w:ascii="等线 Light" w:hAnsi="等线 Light" w:eastAsia="等线 Light" w:cs="Times New Roman"/>
      <w:szCs w:val="21"/>
    </w:rPr>
  </w:style>
  <w:style w:type="paragraph" w:customStyle="1" w:styleId="111">
    <w:name w:val="_Style 36"/>
    <w:basedOn w:val="1"/>
    <w:next w:val="69"/>
    <w:qFormat/>
    <w:uiPriority w:val="99"/>
    <w:pPr>
      <w:ind w:firstLine="420" w:firstLineChars="200"/>
    </w:pPr>
    <w:rPr>
      <w:szCs w:val="24"/>
    </w:rPr>
  </w:style>
  <w:style w:type="character" w:customStyle="1" w:styleId="112">
    <w:name w:val="华宇段落1 Char Char Char"/>
    <w:qFormat/>
    <w:uiPriority w:val="0"/>
    <w:rPr>
      <w:rFonts w:eastAsia="宋体"/>
      <w:bCs/>
      <w:kern w:val="2"/>
      <w:sz w:val="24"/>
      <w:szCs w:val="24"/>
      <w:lang w:val="en-US" w:eastAsia="zh-CN" w:bidi="ar-SA"/>
    </w:rPr>
  </w:style>
  <w:style w:type="character" w:customStyle="1" w:styleId="113">
    <w:name w:val="标题 3 Char Char"/>
    <w:qFormat/>
    <w:uiPriority w:val="0"/>
    <w:rPr>
      <w:rFonts w:eastAsia="仿宋_GB2312"/>
      <w:b/>
      <w:bCs/>
      <w:kern w:val="2"/>
      <w:sz w:val="28"/>
      <w:szCs w:val="32"/>
      <w:lang w:val="en-US" w:eastAsia="zh-CN" w:bidi="ar-SA"/>
    </w:rPr>
  </w:style>
  <w:style w:type="character" w:customStyle="1" w:styleId="114">
    <w:name w:val="页脚 字符"/>
    <w:qFormat/>
    <w:uiPriority w:val="99"/>
    <w:rPr>
      <w:rFonts w:ascii="Times New Roman" w:hAnsi="Times New Roman" w:eastAsia="宋体" w:cs="Times New Roman"/>
      <w:sz w:val="18"/>
      <w:szCs w:val="18"/>
    </w:rPr>
  </w:style>
  <w:style w:type="character" w:customStyle="1" w:styleId="115">
    <w:name w:val="subtitle1"/>
    <w:qFormat/>
    <w:uiPriority w:val="0"/>
    <w:rPr>
      <w:rFonts w:hint="default" w:ascii="Georgia" w:hAnsi="Georgia"/>
      <w:b/>
      <w:bCs/>
      <w:color w:val="666666"/>
      <w:sz w:val="18"/>
      <w:szCs w:val="18"/>
    </w:rPr>
  </w:style>
  <w:style w:type="character" w:customStyle="1" w:styleId="116">
    <w:name w:val="Char Char26"/>
    <w:qFormat/>
    <w:uiPriority w:val="0"/>
    <w:rPr>
      <w:b/>
      <w:bCs/>
      <w:kern w:val="2"/>
      <w:sz w:val="32"/>
      <w:szCs w:val="32"/>
    </w:rPr>
  </w:style>
  <w:style w:type="character" w:customStyle="1" w:styleId="117">
    <w:name w:val="表格抬头 Char"/>
    <w:link w:val="118"/>
    <w:qFormat/>
    <w:locked/>
    <w:uiPriority w:val="0"/>
    <w:rPr>
      <w:rFonts w:ascii="黑体" w:eastAsia="黑体"/>
      <w:b/>
    </w:rPr>
  </w:style>
  <w:style w:type="paragraph" w:customStyle="1" w:styleId="118">
    <w:name w:val="表格抬头"/>
    <w:basedOn w:val="1"/>
    <w:link w:val="117"/>
    <w:qFormat/>
    <w:uiPriority w:val="0"/>
    <w:pPr>
      <w:jc w:val="center"/>
    </w:pPr>
    <w:rPr>
      <w:rFonts w:ascii="黑体" w:hAnsi="等线" w:eastAsia="黑体"/>
      <w:b/>
      <w:szCs w:val="22"/>
    </w:rPr>
  </w:style>
  <w:style w:type="character" w:customStyle="1" w:styleId="119">
    <w:name w:val="content"/>
    <w:qFormat/>
    <w:uiPriority w:val="0"/>
  </w:style>
  <w:style w:type="character" w:customStyle="1" w:styleId="120">
    <w:name w:val="小四 段落 宋体 Char Char Char Char1"/>
    <w:qFormat/>
    <w:uiPriority w:val="0"/>
    <w:rPr>
      <w:rFonts w:eastAsia="宋体"/>
      <w:kern w:val="2"/>
      <w:sz w:val="24"/>
      <w:szCs w:val="24"/>
      <w:lang w:val="en-US" w:eastAsia="zh-CN" w:bidi="ar-SA"/>
    </w:rPr>
  </w:style>
  <w:style w:type="character" w:customStyle="1" w:styleId="121">
    <w:name w:val="content_lineheight1"/>
    <w:qFormat/>
    <w:uiPriority w:val="0"/>
  </w:style>
  <w:style w:type="character" w:customStyle="1" w:styleId="122">
    <w:name w:val="文档结构图 字符"/>
    <w:semiHidden/>
    <w:qFormat/>
    <w:uiPriority w:val="99"/>
    <w:rPr>
      <w:rFonts w:ascii="Microsoft YaHei UI" w:hAnsi="Times New Roman" w:eastAsia="Microsoft YaHei UI" w:cs="Times New Roman"/>
      <w:sz w:val="18"/>
      <w:szCs w:val="18"/>
    </w:rPr>
  </w:style>
  <w:style w:type="character" w:customStyle="1" w:styleId="123">
    <w:name w:val="2nd level Char"/>
    <w:qFormat/>
    <w:uiPriority w:val="0"/>
    <w:rPr>
      <w:rFonts w:ascii="Arial" w:hAnsi="Arial" w:eastAsia="黑体"/>
      <w:b/>
      <w:bCs/>
      <w:kern w:val="2"/>
      <w:sz w:val="32"/>
      <w:szCs w:val="32"/>
      <w:lang w:val="en-US" w:eastAsia="zh-CN" w:bidi="ar-SA"/>
    </w:rPr>
  </w:style>
  <w:style w:type="character" w:customStyle="1" w:styleId="124">
    <w:name w:val="Char Char29"/>
    <w:qFormat/>
    <w:uiPriority w:val="0"/>
    <w:rPr>
      <w:rFonts w:ascii="Times New Roman" w:hAnsi="Times New Roman" w:eastAsia="宋体" w:cs="Times New Roman"/>
      <w:b/>
      <w:bCs/>
      <w:kern w:val="44"/>
      <w:sz w:val="44"/>
      <w:szCs w:val="44"/>
    </w:rPr>
  </w:style>
  <w:style w:type="character" w:customStyle="1" w:styleId="125">
    <w:name w:val="不明显参考1"/>
    <w:qFormat/>
    <w:uiPriority w:val="0"/>
    <w:rPr>
      <w:smallCaps/>
    </w:rPr>
  </w:style>
  <w:style w:type="character" w:customStyle="1" w:styleId="126">
    <w:name w:val="小四 段落 宋体 Char Char Char1"/>
    <w:qFormat/>
    <w:uiPriority w:val="0"/>
    <w:rPr>
      <w:rFonts w:ascii="宋体" w:hAnsi="宋体" w:eastAsia="宋体"/>
      <w:kern w:val="2"/>
      <w:sz w:val="24"/>
      <w:szCs w:val="24"/>
      <w:lang w:val="en-US" w:eastAsia="zh-CN" w:bidi="ar-SA"/>
    </w:rPr>
  </w:style>
  <w:style w:type="character" w:customStyle="1" w:styleId="127">
    <w:name w:val="textcontents"/>
    <w:qFormat/>
    <w:uiPriority w:val="0"/>
  </w:style>
  <w:style w:type="character" w:customStyle="1" w:styleId="128">
    <w:name w:val="h Char Char"/>
    <w:qFormat/>
    <w:uiPriority w:val="0"/>
    <w:rPr>
      <w:rFonts w:eastAsia="宋体"/>
      <w:kern w:val="2"/>
      <w:sz w:val="18"/>
      <w:szCs w:val="18"/>
      <w:lang w:val="en-US" w:eastAsia="zh-CN" w:bidi="ar-SA"/>
    </w:rPr>
  </w:style>
  <w:style w:type="character" w:customStyle="1" w:styleId="129">
    <w:name w:val="Char Char2"/>
    <w:qFormat/>
    <w:uiPriority w:val="0"/>
    <w:rPr>
      <w:rFonts w:ascii="宋体" w:hAnsi="Courier New" w:eastAsia="宋体"/>
      <w:kern w:val="2"/>
      <w:sz w:val="21"/>
      <w:szCs w:val="21"/>
      <w:lang w:val="en-US" w:eastAsia="zh-CN" w:bidi="ar-SA"/>
    </w:rPr>
  </w:style>
  <w:style w:type="character" w:customStyle="1" w:styleId="130">
    <w:name w:val="标准文本 Char"/>
    <w:qFormat/>
    <w:uiPriority w:val="0"/>
    <w:rPr>
      <w:rFonts w:eastAsia="宋体" w:cs="宋体"/>
      <w:kern w:val="2"/>
      <w:sz w:val="24"/>
      <w:szCs w:val="24"/>
      <w:lang w:val="en-US" w:eastAsia="zh-CN" w:bidi="ar-SA"/>
    </w:rPr>
  </w:style>
  <w:style w:type="character" w:customStyle="1" w:styleId="131">
    <w:name w:val="para_small"/>
    <w:qFormat/>
    <w:uiPriority w:val="0"/>
  </w:style>
  <w:style w:type="character" w:customStyle="1" w:styleId="132">
    <w:name w:val="t1"/>
    <w:qFormat/>
    <w:uiPriority w:val="0"/>
  </w:style>
  <w:style w:type="character" w:customStyle="1" w:styleId="133">
    <w:name w:val="Char Char28"/>
    <w:qFormat/>
    <w:uiPriority w:val="0"/>
    <w:rPr>
      <w:rFonts w:ascii="Arial" w:hAnsi="Arial" w:eastAsia="黑体" w:cs="Arial"/>
      <w:b/>
      <w:bCs/>
      <w:sz w:val="32"/>
      <w:szCs w:val="32"/>
    </w:rPr>
  </w:style>
  <w:style w:type="character" w:customStyle="1" w:styleId="134">
    <w:name w:val="正文缩进 Char1"/>
    <w:link w:val="135"/>
    <w:qFormat/>
    <w:uiPriority w:val="0"/>
    <w:rPr>
      <w:rFonts w:eastAsia="宋体"/>
    </w:rPr>
  </w:style>
  <w:style w:type="paragraph" w:customStyle="1" w:styleId="135">
    <w:name w:val="正文缩进1"/>
    <w:basedOn w:val="1"/>
    <w:link w:val="134"/>
    <w:qFormat/>
    <w:uiPriority w:val="0"/>
    <w:pPr>
      <w:ind w:firstLine="420"/>
    </w:pPr>
    <w:rPr>
      <w:rFonts w:ascii="等线" w:hAnsi="等线"/>
      <w:szCs w:val="22"/>
    </w:rPr>
  </w:style>
  <w:style w:type="character" w:customStyle="1" w:styleId="136">
    <w:name w:val="title_emph1"/>
    <w:qFormat/>
    <w:uiPriority w:val="0"/>
    <w:rPr>
      <w:rFonts w:ascii="Arial" w:cs="Arial"/>
      <w:b/>
      <w:bCs/>
      <w:sz w:val="18"/>
      <w:szCs w:val="18"/>
    </w:rPr>
  </w:style>
  <w:style w:type="character" w:customStyle="1" w:styleId="137">
    <w:name w:val="标准小四 Char Char"/>
    <w:qFormat/>
    <w:uiPriority w:val="0"/>
    <w:rPr>
      <w:rFonts w:ascii="Arial" w:hAnsi="Arial" w:eastAsia="宋体"/>
      <w:kern w:val="2"/>
      <w:sz w:val="24"/>
      <w:szCs w:val="21"/>
      <w:lang w:val="en-US" w:eastAsia="zh-CN" w:bidi="ar-SA"/>
    </w:rPr>
  </w:style>
  <w:style w:type="character" w:customStyle="1" w:styleId="138">
    <w:name w:val="concon"/>
    <w:qFormat/>
    <w:uiPriority w:val="0"/>
  </w:style>
  <w:style w:type="character" w:customStyle="1" w:styleId="139">
    <w:name w:val="正文文本缩进 2 字符"/>
    <w:semiHidden/>
    <w:qFormat/>
    <w:uiPriority w:val="99"/>
    <w:rPr>
      <w:rFonts w:ascii="Times New Roman" w:hAnsi="Times New Roman" w:eastAsia="宋体" w:cs="Times New Roman"/>
      <w:szCs w:val="20"/>
    </w:rPr>
  </w:style>
  <w:style w:type="character" w:customStyle="1" w:styleId="140">
    <w:name w:val="明显强调1"/>
    <w:qFormat/>
    <w:uiPriority w:val="0"/>
    <w:rPr>
      <w:b/>
      <w:bCs/>
    </w:rPr>
  </w:style>
  <w:style w:type="character" w:customStyle="1" w:styleId="141">
    <w:name w:val="引用 Char"/>
    <w:link w:val="142"/>
    <w:qFormat/>
    <w:uiPriority w:val="0"/>
    <w:rPr>
      <w:rFonts w:ascii="Calibri" w:hAnsi="Calibri" w:eastAsia="宋体"/>
      <w:i/>
      <w:iCs/>
      <w:sz w:val="22"/>
      <w:lang w:eastAsia="en-US" w:bidi="en-US"/>
    </w:rPr>
  </w:style>
  <w:style w:type="paragraph" w:styleId="142">
    <w:name w:val="Quote"/>
    <w:basedOn w:val="1"/>
    <w:next w:val="1"/>
    <w:link w:val="141"/>
    <w:qFormat/>
    <w:uiPriority w:val="0"/>
    <w:pPr>
      <w:widowControl/>
      <w:spacing w:before="200" w:line="276" w:lineRule="auto"/>
      <w:ind w:left="360" w:right="360"/>
      <w:jc w:val="left"/>
    </w:pPr>
    <w:rPr>
      <w:rFonts w:ascii="Calibri" w:hAnsi="Calibri"/>
      <w:i/>
      <w:iCs/>
      <w:sz w:val="22"/>
      <w:szCs w:val="22"/>
      <w:lang w:eastAsia="en-US" w:bidi="en-US"/>
    </w:rPr>
  </w:style>
  <w:style w:type="character" w:customStyle="1" w:styleId="143">
    <w:name w:val="引用 字符"/>
    <w:qFormat/>
    <w:uiPriority w:val="29"/>
    <w:rPr>
      <w:rFonts w:ascii="Times New Roman" w:hAnsi="Times New Roman" w:eastAsia="宋体" w:cs="Times New Roman"/>
      <w:i/>
      <w:iCs/>
      <w:color w:val="404040"/>
      <w:szCs w:val="20"/>
    </w:rPr>
  </w:style>
  <w:style w:type="character" w:customStyle="1" w:styleId="144">
    <w:name w:val="纯文本 Char Char"/>
    <w:qFormat/>
    <w:uiPriority w:val="0"/>
    <w:rPr>
      <w:rFonts w:ascii="宋体" w:hAnsi="Courier New" w:eastAsia="宋体"/>
      <w:kern w:val="2"/>
      <w:sz w:val="21"/>
      <w:szCs w:val="21"/>
      <w:lang w:val="en-US" w:eastAsia="zh-CN" w:bidi="ar-SA"/>
    </w:rPr>
  </w:style>
  <w:style w:type="character" w:customStyle="1" w:styleId="145">
    <w:name w:val="标题 Char1"/>
    <w:qFormat/>
    <w:uiPriority w:val="10"/>
    <w:rPr>
      <w:rFonts w:ascii="Cambria" w:eastAsia="宋体" w:cs="Times New Roman"/>
      <w:b/>
      <w:bCs/>
      <w:sz w:val="32"/>
      <w:szCs w:val="32"/>
    </w:rPr>
  </w:style>
  <w:style w:type="character" w:customStyle="1" w:styleId="146">
    <w:name w:val="normalfont1"/>
    <w:qFormat/>
    <w:uiPriority w:val="0"/>
    <w:rPr>
      <w:rFonts w:hint="default" w:ascii="ˎ̥" w:hAnsi="ˎ̥"/>
      <w:sz w:val="18"/>
      <w:szCs w:val="18"/>
      <w:u w:val="none"/>
    </w:rPr>
  </w:style>
  <w:style w:type="character" w:customStyle="1" w:styleId="147">
    <w:name w:val="批注主题 字符"/>
    <w:qFormat/>
    <w:uiPriority w:val="0"/>
    <w:rPr>
      <w:rFonts w:ascii="Times New Roman" w:hAnsi="Times New Roman" w:eastAsia="宋体" w:cs="Times New Roman"/>
      <w:b/>
      <w:bCs/>
      <w:szCs w:val="20"/>
    </w:rPr>
  </w:style>
  <w:style w:type="character" w:customStyle="1" w:styleId="148">
    <w:name w:val="批注文字 Char"/>
    <w:qFormat/>
    <w:uiPriority w:val="0"/>
    <w:rPr>
      <w:rFonts w:eastAsia="宋体"/>
      <w:kern w:val="2"/>
      <w:sz w:val="21"/>
      <w:lang w:val="en-US" w:eastAsia="zh-CN" w:bidi="ar-SA"/>
    </w:rPr>
  </w:style>
  <w:style w:type="character" w:customStyle="1" w:styleId="149">
    <w:name w:val="A2"/>
    <w:qFormat/>
    <w:uiPriority w:val="0"/>
    <w:rPr>
      <w:rFonts w:cs="Helvetica"/>
      <w:color w:val="000000"/>
      <w:sz w:val="18"/>
      <w:szCs w:val="18"/>
    </w:rPr>
  </w:style>
  <w:style w:type="character" w:customStyle="1" w:styleId="150">
    <w:name w:val="纯文本 Char Char Char1"/>
    <w:qFormat/>
    <w:uiPriority w:val="0"/>
    <w:rPr>
      <w:rFonts w:ascii="宋体" w:hAnsi="Courier New" w:eastAsia="宋体"/>
      <w:kern w:val="2"/>
      <w:sz w:val="21"/>
      <w:szCs w:val="21"/>
      <w:lang w:val="en-US" w:eastAsia="zh-CN" w:bidi="ar-SA"/>
    </w:rPr>
  </w:style>
  <w:style w:type="character" w:customStyle="1" w:styleId="151">
    <w:name w:val="Char Char24"/>
    <w:qFormat/>
    <w:uiPriority w:val="0"/>
    <w:rPr>
      <w:b/>
      <w:bCs/>
      <w:kern w:val="2"/>
      <w:sz w:val="28"/>
      <w:szCs w:val="28"/>
    </w:rPr>
  </w:style>
  <w:style w:type="character" w:customStyle="1" w:styleId="152">
    <w:name w:val="apple-converted-space"/>
    <w:qFormat/>
    <w:uiPriority w:val="0"/>
  </w:style>
  <w:style w:type="character" w:customStyle="1" w:styleId="153">
    <w:name w:val="标题 3 Char"/>
    <w:qFormat/>
    <w:uiPriority w:val="0"/>
    <w:rPr>
      <w:rFonts w:ascii="宋体" w:hAnsi="宋体" w:eastAsia="宋体"/>
      <w:b/>
      <w:bCs/>
      <w:kern w:val="2"/>
      <w:sz w:val="24"/>
      <w:szCs w:val="32"/>
      <w:lang w:val="en-US" w:eastAsia="zh-CN" w:bidi="ar-SA"/>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case31"/>
    <w:qFormat/>
    <w:uiPriority w:val="0"/>
    <w:rPr>
      <w:sz w:val="21"/>
      <w:szCs w:val="21"/>
    </w:rPr>
  </w:style>
  <w:style w:type="character" w:customStyle="1" w:styleId="156">
    <w:name w:val="Char Char22"/>
    <w:qFormat/>
    <w:uiPriority w:val="0"/>
    <w:rPr>
      <w:b/>
      <w:bCs/>
      <w:kern w:val="2"/>
      <w:sz w:val="24"/>
      <w:szCs w:val="24"/>
    </w:rPr>
  </w:style>
  <w:style w:type="character" w:customStyle="1" w:styleId="157">
    <w:name w:val="样式 非加粗"/>
    <w:qFormat/>
    <w:uiPriority w:val="0"/>
    <w:rPr>
      <w:rFonts w:eastAsia="宋体"/>
      <w:sz w:val="28"/>
    </w:rPr>
  </w:style>
  <w:style w:type="character" w:customStyle="1" w:styleId="158">
    <w:name w:val="param-value"/>
    <w:qFormat/>
    <w:uiPriority w:val="0"/>
  </w:style>
  <w:style w:type="character" w:customStyle="1" w:styleId="159">
    <w:name w:val="不明显强调1"/>
    <w:qFormat/>
    <w:uiPriority w:val="0"/>
    <w:rPr>
      <w:i/>
      <w:iCs/>
    </w:rPr>
  </w:style>
  <w:style w:type="character" w:customStyle="1" w:styleId="160">
    <w:name w:val="Char Char25"/>
    <w:qFormat/>
    <w:uiPriority w:val="0"/>
    <w:rPr>
      <w:rFonts w:ascii="Arial" w:hAnsi="Arial" w:eastAsia="黑体"/>
      <w:b/>
      <w:kern w:val="2"/>
      <w:sz w:val="28"/>
    </w:rPr>
  </w:style>
  <w:style w:type="character" w:customStyle="1" w:styleId="161">
    <w:name w:val="Title1 Char"/>
    <w:qFormat/>
    <w:uiPriority w:val="0"/>
    <w:rPr>
      <w:rFonts w:eastAsia="宋体"/>
      <w:b/>
      <w:bCs/>
      <w:kern w:val="44"/>
      <w:sz w:val="44"/>
      <w:szCs w:val="44"/>
      <w:lang w:val="en-US" w:eastAsia="zh-CN" w:bidi="ar-SA"/>
    </w:rPr>
  </w:style>
  <w:style w:type="character" w:customStyle="1" w:styleId="162">
    <w:name w:val="小四 段落 宋体 Char1"/>
    <w:qFormat/>
    <w:uiPriority w:val="0"/>
    <w:rPr>
      <w:rFonts w:eastAsia="宋体"/>
      <w:kern w:val="2"/>
      <w:sz w:val="24"/>
      <w:szCs w:val="24"/>
      <w:lang w:val="en-US" w:eastAsia="zh-CN" w:bidi="ar-SA"/>
    </w:rPr>
  </w:style>
  <w:style w:type="character" w:customStyle="1" w:styleId="163">
    <w:name w:val="style13"/>
    <w:qFormat/>
    <w:uiPriority w:val="0"/>
    <w:rPr>
      <w:sz w:val="18"/>
      <w:szCs w:val="18"/>
    </w:rPr>
  </w:style>
  <w:style w:type="character" w:customStyle="1" w:styleId="164">
    <w:name w:val="小四 段落 宋体 Char Char Char Char Char Char"/>
    <w:qFormat/>
    <w:uiPriority w:val="0"/>
    <w:rPr>
      <w:rFonts w:eastAsia="宋体"/>
      <w:kern w:val="2"/>
      <w:sz w:val="24"/>
      <w:szCs w:val="24"/>
      <w:lang w:val="en-US" w:eastAsia="zh-CN" w:bidi="ar-SA"/>
    </w:rPr>
  </w:style>
  <w:style w:type="character" w:customStyle="1" w:styleId="165">
    <w:name w:val="小四 段落 宋体 Char Char Char Char Char Char Char Char"/>
    <w:qFormat/>
    <w:uiPriority w:val="0"/>
    <w:rPr>
      <w:rFonts w:eastAsia="宋体"/>
      <w:kern w:val="2"/>
      <w:sz w:val="24"/>
      <w:szCs w:val="24"/>
      <w:lang w:val="en-US" w:eastAsia="zh-CN" w:bidi="ar-SA"/>
    </w:rPr>
  </w:style>
  <w:style w:type="character" w:customStyle="1" w:styleId="166">
    <w:name w:val="3zw"/>
    <w:qFormat/>
    <w:uiPriority w:val="0"/>
  </w:style>
  <w:style w:type="character" w:customStyle="1" w:styleId="167">
    <w:name w:val="无间隔 Char"/>
    <w:link w:val="168"/>
    <w:qFormat/>
    <w:uiPriority w:val="0"/>
    <w:rPr>
      <w:rFonts w:ascii="Calibri" w:hAnsi="Calibri" w:eastAsia="微软雅黑"/>
      <w:sz w:val="24"/>
    </w:rPr>
  </w:style>
  <w:style w:type="paragraph" w:styleId="168">
    <w:name w:val="No Spacing"/>
    <w:link w:val="16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9">
    <w:name w:val="Char Char17"/>
    <w:qFormat/>
    <w:uiPriority w:val="0"/>
    <w:rPr>
      <w:rFonts w:ascii="宋体" w:hAnsi="Courier New"/>
      <w:kern w:val="2"/>
      <w:sz w:val="21"/>
      <w:szCs w:val="21"/>
    </w:rPr>
  </w:style>
  <w:style w:type="character" w:customStyle="1" w:styleId="170">
    <w:name w:val="样式 首行缩进:  2 字符 Char Char"/>
    <w:link w:val="171"/>
    <w:qFormat/>
    <w:uiPriority w:val="0"/>
    <w:rPr>
      <w:rFonts w:eastAsia="宋体" w:cs="宋体"/>
      <w:sz w:val="24"/>
    </w:rPr>
  </w:style>
  <w:style w:type="paragraph" w:customStyle="1" w:styleId="171">
    <w:name w:val="样式 首行缩进:  2 字符"/>
    <w:basedOn w:val="1"/>
    <w:link w:val="170"/>
    <w:qFormat/>
    <w:uiPriority w:val="0"/>
    <w:pPr>
      <w:ind w:firstLine="480" w:firstLineChars="200"/>
    </w:pPr>
    <w:rPr>
      <w:rFonts w:ascii="等线" w:hAnsi="等线" w:cs="宋体"/>
      <w:sz w:val="24"/>
      <w:szCs w:val="22"/>
    </w:rPr>
  </w:style>
  <w:style w:type="character" w:customStyle="1" w:styleId="172">
    <w:name w:val="point_normal1"/>
    <w:qFormat/>
    <w:uiPriority w:val="0"/>
    <w:rPr>
      <w:rFonts w:hint="default" w:ascii="Arial" w:hAnsi="Arial" w:cs="Arial"/>
      <w:sz w:val="18"/>
      <w:szCs w:val="18"/>
    </w:rPr>
  </w:style>
  <w:style w:type="character" w:customStyle="1" w:styleId="173">
    <w:name w:val="样式 首行缩进:  2 字符 Char"/>
    <w:qFormat/>
    <w:uiPriority w:val="0"/>
    <w:rPr>
      <w:rFonts w:eastAsia="宋体" w:cs="宋体"/>
      <w:kern w:val="2"/>
      <w:sz w:val="24"/>
      <w:lang w:val="en-US" w:eastAsia="zh-CN" w:bidi="ar-SA"/>
    </w:rPr>
  </w:style>
  <w:style w:type="character" w:customStyle="1" w:styleId="174">
    <w:name w:val="标准文本 Char Char"/>
    <w:qFormat/>
    <w:uiPriority w:val="0"/>
    <w:rPr>
      <w:rFonts w:eastAsia="宋体" w:cs="宋体"/>
      <w:kern w:val="2"/>
      <w:sz w:val="24"/>
      <w:szCs w:val="24"/>
      <w:lang w:val="en-US" w:eastAsia="zh-CN" w:bidi="ar-SA"/>
    </w:rPr>
  </w:style>
  <w:style w:type="character" w:customStyle="1" w:styleId="175">
    <w:name w:val="纯文本 字符"/>
    <w:qFormat/>
    <w:uiPriority w:val="99"/>
    <w:rPr>
      <w:rFonts w:ascii="等线" w:hAnsi="Courier New" w:cs="Courier New"/>
      <w:szCs w:val="20"/>
    </w:rPr>
  </w:style>
  <w:style w:type="character" w:customStyle="1" w:styleId="176">
    <w:name w:val="小四 段落 宋体 Char Char Char Char Char"/>
    <w:qFormat/>
    <w:uiPriority w:val="0"/>
    <w:rPr>
      <w:rFonts w:eastAsia="宋体"/>
      <w:kern w:val="2"/>
      <w:sz w:val="24"/>
      <w:szCs w:val="24"/>
      <w:lang w:val="en-US" w:eastAsia="zh-CN" w:bidi="ar-SA"/>
    </w:rPr>
  </w:style>
  <w:style w:type="character" w:customStyle="1" w:styleId="177">
    <w:name w:val="华宇段落1 Char Char"/>
    <w:qFormat/>
    <w:uiPriority w:val="0"/>
    <w:rPr>
      <w:rFonts w:eastAsia="宋体"/>
      <w:bCs/>
      <w:kern w:val="2"/>
      <w:sz w:val="24"/>
      <w:szCs w:val="24"/>
      <w:lang w:val="en-US" w:eastAsia="zh-CN" w:bidi="ar-SA"/>
    </w:rPr>
  </w:style>
  <w:style w:type="character" w:customStyle="1" w:styleId="178">
    <w:name w:val="111111 Char"/>
    <w:link w:val="179"/>
    <w:qFormat/>
    <w:uiPriority w:val="0"/>
    <w:rPr>
      <w:rFonts w:ascii="宋体" w:hAnsi="宋体" w:eastAsia="黑体" w:cs="宋体"/>
      <w:b/>
      <w:bCs/>
      <w:szCs w:val="21"/>
    </w:rPr>
  </w:style>
  <w:style w:type="paragraph" w:customStyle="1" w:styleId="179">
    <w:name w:val="111111"/>
    <w:basedOn w:val="1"/>
    <w:link w:val="178"/>
    <w:qFormat/>
    <w:uiPriority w:val="0"/>
    <w:pPr>
      <w:spacing w:before="120" w:after="120"/>
      <w:jc w:val="center"/>
    </w:pPr>
    <w:rPr>
      <w:rFonts w:ascii="宋体" w:hAnsi="宋体" w:eastAsia="黑体" w:cs="宋体"/>
      <w:b/>
      <w:bCs/>
      <w:szCs w:val="21"/>
    </w:rPr>
  </w:style>
  <w:style w:type="character" w:customStyle="1" w:styleId="180">
    <w:name w:val="书籍标题1"/>
    <w:qFormat/>
    <w:uiPriority w:val="0"/>
    <w:rPr>
      <w:i/>
      <w:iCs/>
      <w:smallCaps/>
      <w:spacing w:val="5"/>
    </w:rPr>
  </w:style>
  <w:style w:type="character" w:customStyle="1" w:styleId="181">
    <w:name w:val="普通文字1 Char"/>
    <w:qFormat/>
    <w:uiPriority w:val="0"/>
    <w:rPr>
      <w:rFonts w:ascii="宋体" w:eastAsia="宋体"/>
      <w:kern w:val="2"/>
      <w:sz w:val="21"/>
      <w:szCs w:val="21"/>
      <w:lang w:val="en-US" w:eastAsia="zh-CN" w:bidi="ar-SA"/>
    </w:rPr>
  </w:style>
  <w:style w:type="character" w:customStyle="1" w:styleId="182">
    <w:name w:val="明显参考1"/>
    <w:qFormat/>
    <w:uiPriority w:val="0"/>
    <w:rPr>
      <w:smallCaps/>
      <w:spacing w:val="5"/>
      <w:u w:val="single"/>
    </w:rPr>
  </w:style>
  <w:style w:type="character" w:customStyle="1" w:styleId="183">
    <w:name w:val="已访问的超链接1"/>
    <w:qFormat/>
    <w:uiPriority w:val="0"/>
    <w:rPr>
      <w:color w:val="auto"/>
      <w:u w:val="none"/>
    </w:rPr>
  </w:style>
  <w:style w:type="character" w:customStyle="1" w:styleId="184">
    <w:name w:val="正文文本缩进 字符"/>
    <w:semiHidden/>
    <w:qFormat/>
    <w:uiPriority w:val="99"/>
    <w:rPr>
      <w:rFonts w:ascii="Times New Roman" w:hAnsi="Times New Roman" w:eastAsia="宋体" w:cs="Times New Roman"/>
      <w:szCs w:val="20"/>
    </w:rPr>
  </w:style>
  <w:style w:type="character" w:customStyle="1" w:styleId="185">
    <w:name w:val="标题 字符"/>
    <w:qFormat/>
    <w:uiPriority w:val="10"/>
    <w:rPr>
      <w:rFonts w:ascii="等线 Light" w:hAnsi="等线 Light" w:eastAsia="等线 Light" w:cs="Times New Roman"/>
      <w:b/>
      <w:bCs/>
      <w:sz w:val="32"/>
      <w:szCs w:val="32"/>
    </w:rPr>
  </w:style>
  <w:style w:type="character" w:customStyle="1" w:styleId="186">
    <w:name w:val="样式 宋体 小四"/>
    <w:qFormat/>
    <w:uiPriority w:val="0"/>
    <w:rPr>
      <w:rFonts w:ascii="宋体" w:hAnsi="宋体"/>
      <w:sz w:val="24"/>
    </w:rPr>
  </w:style>
  <w:style w:type="character" w:customStyle="1" w:styleId="187">
    <w:name w:val="标准小四 Char"/>
    <w:qFormat/>
    <w:uiPriority w:val="0"/>
    <w:rPr>
      <w:rFonts w:ascii="Arial" w:hAnsi="Arial" w:eastAsia="宋体"/>
      <w:kern w:val="2"/>
      <w:sz w:val="24"/>
      <w:szCs w:val="21"/>
      <w:lang w:val="en-US" w:eastAsia="zh-CN" w:bidi="ar-SA"/>
    </w:rPr>
  </w:style>
  <w:style w:type="character" w:customStyle="1" w:styleId="188">
    <w:name w:val="style131"/>
    <w:qFormat/>
    <w:uiPriority w:val="0"/>
    <w:rPr>
      <w:rFonts w:cs="Times New Roman"/>
      <w:sz w:val="18"/>
      <w:szCs w:val="18"/>
    </w:rPr>
  </w:style>
  <w:style w:type="character" w:customStyle="1" w:styleId="189">
    <w:name w:val="正文文本缩进 3 字符"/>
    <w:semiHidden/>
    <w:qFormat/>
    <w:uiPriority w:val="99"/>
    <w:rPr>
      <w:rFonts w:ascii="Times New Roman" w:hAnsi="Times New Roman" w:eastAsia="宋体" w:cs="Times New Roman"/>
      <w:sz w:val="16"/>
      <w:szCs w:val="16"/>
    </w:rPr>
  </w:style>
  <w:style w:type="character" w:customStyle="1" w:styleId="190">
    <w:name w:val="特点 Char1"/>
    <w:qFormat/>
    <w:uiPriority w:val="0"/>
    <w:rPr>
      <w:rFonts w:eastAsia="宋体"/>
      <w:kern w:val="2"/>
      <w:sz w:val="21"/>
      <w:lang w:val="en-US" w:eastAsia="zh-CN" w:bidi="ar-SA"/>
    </w:rPr>
  </w:style>
  <w:style w:type="character" w:customStyle="1" w:styleId="191">
    <w:name w:val="纯文本 Char1"/>
    <w:qFormat/>
    <w:uiPriority w:val="0"/>
    <w:rPr>
      <w:rFonts w:ascii="宋体" w:hAnsi="Courier New" w:cs="Courier New"/>
      <w:kern w:val="2"/>
      <w:sz w:val="21"/>
      <w:szCs w:val="21"/>
    </w:rPr>
  </w:style>
  <w:style w:type="character" w:customStyle="1" w:styleId="192">
    <w:name w:val="纯文本 Char Char Char"/>
    <w:qFormat/>
    <w:uiPriority w:val="0"/>
    <w:rPr>
      <w:rFonts w:ascii="宋体" w:hAnsi="Courier New" w:eastAsia="宋体"/>
      <w:kern w:val="2"/>
      <w:sz w:val="21"/>
      <w:szCs w:val="21"/>
      <w:lang w:val="en-US" w:eastAsia="zh-CN" w:bidi="ar-SA"/>
    </w:rPr>
  </w:style>
  <w:style w:type="character" w:customStyle="1" w:styleId="193">
    <w:name w:val="listbenefit"/>
    <w:qFormat/>
    <w:uiPriority w:val="0"/>
  </w:style>
  <w:style w:type="character" w:customStyle="1" w:styleId="194">
    <w:name w:val="Char Char21"/>
    <w:qFormat/>
    <w:uiPriority w:val="0"/>
    <w:rPr>
      <w:rFonts w:ascii="Arial" w:hAnsi="Arial" w:eastAsia="黑体"/>
      <w:kern w:val="2"/>
      <w:sz w:val="24"/>
      <w:szCs w:val="24"/>
    </w:rPr>
  </w:style>
  <w:style w:type="character" w:customStyle="1" w:styleId="195">
    <w:name w:val="明显引用 Char"/>
    <w:link w:val="196"/>
    <w:qFormat/>
    <w:uiPriority w:val="0"/>
    <w:rPr>
      <w:rFonts w:ascii="Calibri" w:hAnsi="Calibri" w:eastAsia="宋体"/>
      <w:b/>
      <w:bCs/>
      <w:i/>
      <w:iCs/>
      <w:sz w:val="22"/>
      <w:lang w:eastAsia="en-US" w:bidi="en-US"/>
    </w:rPr>
  </w:style>
  <w:style w:type="paragraph" w:styleId="196">
    <w:name w:val="Intense Quote"/>
    <w:basedOn w:val="1"/>
    <w:next w:val="1"/>
    <w:link w:val="195"/>
    <w:qFormat/>
    <w:uiPriority w:val="0"/>
    <w:pPr>
      <w:widowControl/>
      <w:pBdr>
        <w:bottom w:val="single" w:color="auto" w:sz="4" w:space="1"/>
      </w:pBdr>
      <w:spacing w:before="200" w:after="280" w:line="276" w:lineRule="auto"/>
      <w:ind w:left="1008" w:right="1152"/>
    </w:pPr>
    <w:rPr>
      <w:rFonts w:ascii="Calibri" w:hAnsi="Calibri"/>
      <w:b/>
      <w:bCs/>
      <w:i/>
      <w:iCs/>
      <w:sz w:val="22"/>
      <w:szCs w:val="22"/>
      <w:lang w:eastAsia="en-US" w:bidi="en-US"/>
    </w:rPr>
  </w:style>
  <w:style w:type="character" w:customStyle="1" w:styleId="197">
    <w:name w:val="明显引用 字符"/>
    <w:qFormat/>
    <w:uiPriority w:val="30"/>
    <w:rPr>
      <w:rFonts w:ascii="Times New Roman" w:hAnsi="Times New Roman" w:eastAsia="宋体" w:cs="Times New Roman"/>
      <w:i/>
      <w:iCs/>
      <w:color w:val="4472C4"/>
      <w:szCs w:val="20"/>
    </w:rPr>
  </w:style>
  <w:style w:type="character" w:customStyle="1" w:styleId="198">
    <w:name w:val="新图表正文 Char Char"/>
    <w:link w:val="199"/>
    <w:qFormat/>
    <w:locked/>
    <w:uiPriority w:val="0"/>
    <w:rPr>
      <w:rFonts w:ascii="宋体" w:hAnsi="宋体"/>
      <w:sz w:val="18"/>
      <w:szCs w:val="21"/>
    </w:rPr>
  </w:style>
  <w:style w:type="paragraph" w:customStyle="1" w:styleId="199">
    <w:name w:val="新图表正文"/>
    <w:link w:val="198"/>
    <w:qFormat/>
    <w:uiPriority w:val="0"/>
    <w:pPr>
      <w:jc w:val="both"/>
    </w:pPr>
    <w:rPr>
      <w:rFonts w:ascii="宋体" w:hAnsi="宋体" w:eastAsia="等线" w:cs="Times New Roman"/>
      <w:kern w:val="2"/>
      <w:sz w:val="18"/>
      <w:szCs w:val="21"/>
      <w:lang w:val="en-US" w:eastAsia="zh-CN" w:bidi="ar-SA"/>
    </w:rPr>
  </w:style>
  <w:style w:type="character" w:customStyle="1" w:styleId="200">
    <w:name w:val="Char Char20"/>
    <w:qFormat/>
    <w:uiPriority w:val="0"/>
    <w:rPr>
      <w:rFonts w:ascii="Arial" w:hAnsi="Arial" w:eastAsia="黑体"/>
      <w:kern w:val="2"/>
      <w:sz w:val="21"/>
      <w:szCs w:val="21"/>
    </w:rPr>
  </w:style>
  <w:style w:type="character" w:customStyle="1" w:styleId="201">
    <w:name w:val="Char Char27"/>
    <w:qFormat/>
    <w:uiPriority w:val="0"/>
    <w:rPr>
      <w:b/>
      <w:bCs/>
      <w:kern w:val="44"/>
      <w:sz w:val="44"/>
      <w:szCs w:val="44"/>
    </w:rPr>
  </w:style>
  <w:style w:type="character" w:customStyle="1" w:styleId="20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03">
    <w:name w:val="HTML 预设格式 字符"/>
    <w:semiHidden/>
    <w:qFormat/>
    <w:uiPriority w:val="99"/>
    <w:rPr>
      <w:rFonts w:ascii="Courier New" w:hAnsi="Courier New" w:eastAsia="宋体" w:cs="Courier New"/>
      <w:sz w:val="20"/>
      <w:szCs w:val="20"/>
    </w:rPr>
  </w:style>
  <w:style w:type="character" w:customStyle="1" w:styleId="204">
    <w:name w:val="ih151"/>
    <w:qFormat/>
    <w:uiPriority w:val="0"/>
    <w:rPr>
      <w:color w:val="666666"/>
      <w:sz w:val="18"/>
      <w:szCs w:val="18"/>
      <w:u w:val="none"/>
    </w:rPr>
  </w:style>
  <w:style w:type="character" w:customStyle="1" w:styleId="205">
    <w:name w:val="Char Char23"/>
    <w:qFormat/>
    <w:uiPriority w:val="0"/>
    <w:rPr>
      <w:rFonts w:ascii="Arial" w:hAnsi="Arial" w:eastAsia="黑体"/>
      <w:b/>
      <w:bCs/>
      <w:kern w:val="2"/>
      <w:sz w:val="24"/>
      <w:szCs w:val="24"/>
    </w:rPr>
  </w:style>
  <w:style w:type="character" w:customStyle="1" w:styleId="206">
    <w:name w:val="页眉 字符"/>
    <w:qFormat/>
    <w:uiPriority w:val="99"/>
    <w:rPr>
      <w:rFonts w:ascii="Times New Roman" w:hAnsi="Times New Roman" w:eastAsia="宋体" w:cs="Times New Roman"/>
      <w:sz w:val="18"/>
      <w:szCs w:val="18"/>
    </w:rPr>
  </w:style>
  <w:style w:type="character" w:customStyle="1" w:styleId="207">
    <w:name w:val="批注框文本 字符"/>
    <w:qFormat/>
    <w:uiPriority w:val="0"/>
    <w:rPr>
      <w:rFonts w:ascii="Times New Roman" w:hAnsi="Times New Roman" w:eastAsia="宋体" w:cs="Times New Roman"/>
      <w:sz w:val="18"/>
      <w:szCs w:val="18"/>
    </w:rPr>
  </w:style>
  <w:style w:type="character" w:customStyle="1" w:styleId="208">
    <w:name w:val="日期 字符"/>
    <w:semiHidden/>
    <w:qFormat/>
    <w:uiPriority w:val="99"/>
    <w:rPr>
      <w:rFonts w:ascii="Times New Roman" w:hAnsi="Times New Roman" w:eastAsia="宋体" w:cs="Times New Roman"/>
      <w:szCs w:val="20"/>
    </w:rPr>
  </w:style>
  <w:style w:type="character" w:customStyle="1" w:styleId="209">
    <w:name w:val="正文文本 字符"/>
    <w:semiHidden/>
    <w:qFormat/>
    <w:uiPriority w:val="99"/>
    <w:rPr>
      <w:rFonts w:ascii="Times New Roman" w:hAnsi="Times New Roman" w:eastAsia="宋体" w:cs="Times New Roman"/>
      <w:szCs w:val="20"/>
    </w:rPr>
  </w:style>
  <w:style w:type="character" w:customStyle="1" w:styleId="210">
    <w:name w:val="正文文本 3 字符"/>
    <w:semiHidden/>
    <w:qFormat/>
    <w:uiPriority w:val="99"/>
    <w:rPr>
      <w:rFonts w:ascii="Times New Roman" w:hAnsi="Times New Roman" w:eastAsia="宋体" w:cs="Times New Roman"/>
      <w:sz w:val="16"/>
      <w:szCs w:val="16"/>
    </w:rPr>
  </w:style>
  <w:style w:type="character" w:customStyle="1" w:styleId="211">
    <w:name w:val="副标题 字符"/>
    <w:qFormat/>
    <w:uiPriority w:val="11"/>
    <w:rPr>
      <w:b/>
      <w:bCs/>
      <w:kern w:val="28"/>
      <w:sz w:val="32"/>
      <w:szCs w:val="32"/>
    </w:rPr>
  </w:style>
  <w:style w:type="paragraph" w:customStyle="1" w:styleId="212">
    <w:name w:val="_Style 42"/>
    <w:basedOn w:val="1"/>
    <w:next w:val="24"/>
    <w:qFormat/>
    <w:uiPriority w:val="0"/>
    <w:rPr>
      <w:rFonts w:ascii="楷体_GB2312" w:hAnsi="Arial" w:eastAsia="楷体_GB2312"/>
      <w:sz w:val="28"/>
    </w:rPr>
  </w:style>
  <w:style w:type="paragraph" w:customStyle="1" w:styleId="213">
    <w:name w:val="Char Char1"/>
    <w:basedOn w:val="1"/>
    <w:qFormat/>
    <w:uiPriority w:val="0"/>
    <w:rPr>
      <w:rFonts w:ascii="Tahoma" w:hAnsi="Tahoma" w:cs="Tahoma"/>
      <w:sz w:val="24"/>
    </w:rPr>
  </w:style>
  <w:style w:type="paragraph" w:customStyle="1" w:styleId="21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15">
    <w:name w:val="retrait3"/>
    <w:basedOn w:val="1"/>
    <w:qFormat/>
    <w:uiPriority w:val="0"/>
    <w:pPr>
      <w:widowControl/>
      <w:spacing w:before="20" w:after="20"/>
      <w:ind w:left="851"/>
      <w:jc w:val="left"/>
    </w:pPr>
    <w:rPr>
      <w:rFonts w:ascii="Arial" w:hAnsi="Arial"/>
      <w:kern w:val="0"/>
      <w:sz w:val="24"/>
      <w:lang w:val="en-GB"/>
    </w:rPr>
  </w:style>
  <w:style w:type="paragraph" w:customStyle="1" w:styleId="216">
    <w:name w:val="正文缩进2字符"/>
    <w:basedOn w:val="1"/>
    <w:qFormat/>
    <w:uiPriority w:val="0"/>
    <w:pPr>
      <w:spacing w:line="300" w:lineRule="auto"/>
      <w:ind w:firstLine="200" w:firstLineChars="200"/>
    </w:pPr>
    <w:rPr>
      <w:rFonts w:ascii="仿宋_GB2312" w:eastAsia="仿宋_GB2312"/>
      <w:sz w:val="32"/>
      <w:szCs w:val="32"/>
    </w:rPr>
  </w:style>
  <w:style w:type="paragraph" w:customStyle="1" w:styleId="217">
    <w:name w:val="项目符号：一级"/>
    <w:basedOn w:val="218"/>
    <w:next w:val="218"/>
    <w:qFormat/>
    <w:uiPriority w:val="0"/>
    <w:pPr>
      <w:ind w:right="-134" w:rightChars="-64"/>
    </w:pPr>
    <w:rPr>
      <w:bCs w:val="0"/>
    </w:rPr>
  </w:style>
  <w:style w:type="paragraph" w:customStyle="1" w:styleId="218">
    <w:name w:val="正文格式"/>
    <w:basedOn w:val="1"/>
    <w:qFormat/>
    <w:uiPriority w:val="0"/>
    <w:pPr>
      <w:widowControl/>
      <w:spacing w:beforeLines="25"/>
      <w:ind w:left="178" w:right="44" w:rightChars="21" w:hanging="178" w:hangingChars="85"/>
      <w:jc w:val="left"/>
      <w:textAlignment w:val="baseline"/>
    </w:pPr>
    <w:rPr>
      <w:rFonts w:ascii="宋体" w:hAnsi="宋体"/>
      <w:bCs/>
      <w:kern w:val="0"/>
      <w:szCs w:val="21"/>
    </w:rPr>
  </w:style>
  <w:style w:type="paragraph" w:customStyle="1" w:styleId="219">
    <w:name w:val="正文 首行缩进:  2 字符 Char"/>
    <w:basedOn w:val="1"/>
    <w:qFormat/>
    <w:uiPriority w:val="0"/>
    <w:pPr>
      <w:ind w:firstLine="480"/>
    </w:pPr>
    <w:rPr>
      <w:rFonts w:cs="宋体"/>
      <w:sz w:val="24"/>
    </w:rPr>
  </w:style>
  <w:style w:type="paragraph" w:customStyle="1" w:styleId="220">
    <w:name w:val="插图"/>
    <w:basedOn w:val="1"/>
    <w:qFormat/>
    <w:uiPriority w:val="0"/>
    <w:pPr>
      <w:tabs>
        <w:tab w:val="left" w:pos="1620"/>
      </w:tabs>
      <w:jc w:val="center"/>
    </w:pPr>
    <w:rPr>
      <w:bCs/>
      <w:color w:val="000000"/>
      <w:szCs w:val="22"/>
    </w:rPr>
  </w:style>
  <w:style w:type="paragraph" w:customStyle="1" w:styleId="221">
    <w:name w:val="大标题"/>
    <w:basedOn w:val="1"/>
    <w:next w:val="1"/>
    <w:qFormat/>
    <w:uiPriority w:val="0"/>
    <w:pPr>
      <w:pageBreakBefore/>
      <w:tabs>
        <w:tab w:val="left" w:pos="420"/>
      </w:tabs>
      <w:ind w:hanging="420" w:firstLineChars="200"/>
      <w:outlineLvl w:val="0"/>
    </w:pPr>
    <w:rPr>
      <w:b/>
      <w:iCs/>
      <w:sz w:val="44"/>
      <w:szCs w:val="24"/>
    </w:rPr>
  </w:style>
  <w:style w:type="paragraph" w:customStyle="1" w:styleId="222">
    <w:name w:val="符号与编号"/>
    <w:basedOn w:val="1"/>
    <w:qFormat/>
    <w:uiPriority w:val="0"/>
    <w:pPr>
      <w:tabs>
        <w:tab w:val="left" w:pos="900"/>
      </w:tabs>
      <w:spacing w:afterLines="50" w:line="400" w:lineRule="atLeast"/>
      <w:ind w:left="900" w:hanging="420"/>
    </w:pPr>
    <w:rPr>
      <w:sz w:val="24"/>
      <w:szCs w:val="24"/>
    </w:rPr>
  </w:style>
  <w:style w:type="paragraph" w:customStyle="1" w:styleId="22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24">
    <w:name w:val="符号与编号 Char"/>
    <w:basedOn w:val="1"/>
    <w:qFormat/>
    <w:uiPriority w:val="0"/>
    <w:pPr>
      <w:tabs>
        <w:tab w:val="left" w:pos="720"/>
      </w:tabs>
      <w:spacing w:afterLines="50" w:line="400" w:lineRule="atLeast"/>
      <w:ind w:left="720"/>
    </w:pPr>
    <w:rPr>
      <w:sz w:val="24"/>
      <w:szCs w:val="24"/>
    </w:rPr>
  </w:style>
  <w:style w:type="paragraph" w:customStyle="1" w:styleId="225">
    <w:name w:val="修订1"/>
    <w:qFormat/>
    <w:uiPriority w:val="0"/>
    <w:rPr>
      <w:rFonts w:ascii="Times New Roman" w:hAnsi="Times New Roman" w:eastAsia="宋体" w:cs="Times New Roman"/>
      <w:kern w:val="2"/>
      <w:sz w:val="21"/>
      <w:szCs w:val="24"/>
      <w:lang w:val="en-US" w:eastAsia="zh-CN" w:bidi="ar-SA"/>
    </w:rPr>
  </w:style>
  <w:style w:type="paragraph" w:customStyle="1" w:styleId="226">
    <w:name w:val="标准小四"/>
    <w:basedOn w:val="1"/>
    <w:qFormat/>
    <w:uiPriority w:val="0"/>
    <w:pPr>
      <w:ind w:firstLine="480" w:firstLineChars="200"/>
    </w:pPr>
    <w:rPr>
      <w:rFonts w:ascii="Arial" w:hAnsi="Arial"/>
      <w:sz w:val="24"/>
      <w:szCs w:val="21"/>
    </w:rPr>
  </w:style>
  <w:style w:type="paragraph" w:customStyle="1" w:styleId="227">
    <w:name w:val="Body Text 21"/>
    <w:basedOn w:val="1"/>
    <w:qFormat/>
    <w:uiPriority w:val="0"/>
    <w:pPr>
      <w:widowControl/>
      <w:overflowPunct w:val="0"/>
      <w:autoSpaceDE w:val="0"/>
      <w:autoSpaceDN w:val="0"/>
      <w:ind w:left="720" w:hanging="720"/>
      <w:textAlignment w:val="baseline"/>
    </w:pPr>
    <w:rPr>
      <w:kern w:val="0"/>
      <w:sz w:val="24"/>
      <w:lang w:val="en-GB"/>
    </w:rPr>
  </w:style>
  <w:style w:type="paragraph" w:customStyle="1" w:styleId="22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9">
    <w:name w:val="正文lzq"/>
    <w:basedOn w:val="1"/>
    <w:qFormat/>
    <w:uiPriority w:val="0"/>
    <w:pPr>
      <w:ind w:firstLine="480"/>
      <w:textAlignment w:val="baseline"/>
    </w:pPr>
    <w:rPr>
      <w:kern w:val="0"/>
      <w:sz w:val="24"/>
    </w:rPr>
  </w:style>
  <w:style w:type="paragraph" w:customStyle="1" w:styleId="230">
    <w:name w:val="样式 样式 首行缩进:  0.74 厘米 行距: 1.5 倍行距 + 段后: 0.5 行"/>
    <w:basedOn w:val="1"/>
    <w:qFormat/>
    <w:uiPriority w:val="0"/>
    <w:pPr>
      <w:ind w:firstLine="420"/>
    </w:pPr>
    <w:rPr>
      <w:rFonts w:ascii="楷体_GB2312" w:eastAsia="楷体_GB2312"/>
      <w:bCs/>
      <w:sz w:val="24"/>
    </w:rPr>
  </w:style>
  <w:style w:type="paragraph" w:customStyle="1" w:styleId="231">
    <w:name w:val="部分1"/>
    <w:basedOn w:val="1"/>
    <w:qFormat/>
    <w:uiPriority w:val="0"/>
    <w:pPr>
      <w:keepNext/>
      <w:pageBreakBefore/>
      <w:tabs>
        <w:tab w:val="left" w:pos="360"/>
      </w:tabs>
      <w:jc w:val="center"/>
      <w:outlineLvl w:val="0"/>
    </w:pPr>
    <w:rPr>
      <w:rFonts w:eastAsia="黑体"/>
      <w:b/>
      <w:kern w:val="44"/>
      <w:sz w:val="36"/>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33">
    <w:name w:val="样式 标题 2第一章 标题 2Heading 2 HiddenHeading 2 CCBSheading 2H2h2..."/>
    <w:basedOn w:val="4"/>
    <w:qFormat/>
    <w:uiPriority w:val="0"/>
    <w:pPr>
      <w:keepLines w:val="0"/>
      <w:tabs>
        <w:tab w:val="left" w:pos="360"/>
      </w:tabs>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234">
    <w:name w:val="表蕊"/>
    <w:basedOn w:val="1"/>
    <w:qFormat/>
    <w:uiPriority w:val="0"/>
    <w:pPr>
      <w:spacing w:line="320" w:lineRule="atLeast"/>
      <w:jc w:val="left"/>
      <w:textAlignment w:val="baseline"/>
    </w:pPr>
    <w:rPr>
      <w:rFonts w:eastAsia="楷体_GB2312"/>
      <w:spacing w:val="-10"/>
      <w:kern w:val="0"/>
    </w:rPr>
  </w:style>
  <w:style w:type="paragraph" w:customStyle="1" w:styleId="235">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3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37">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39">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40">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241">
    <w:name w:val="项目符号，一级"/>
    <w:basedOn w:val="218"/>
    <w:next w:val="218"/>
    <w:qFormat/>
    <w:uiPriority w:val="0"/>
    <w:pPr>
      <w:tabs>
        <w:tab w:val="left" w:pos="1320"/>
      </w:tabs>
      <w:spacing w:line="240" w:lineRule="atLeast"/>
      <w:ind w:left="376" w:leftChars="179" w:firstLine="0"/>
    </w:pPr>
    <w:rPr>
      <w:bCs w:val="0"/>
      <w:color w:val="000000"/>
      <w:szCs w:val="24"/>
    </w:rPr>
  </w:style>
  <w:style w:type="paragraph" w:customStyle="1" w:styleId="2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3">
    <w:name w:val="Char Char Char Char"/>
    <w:basedOn w:val="19"/>
    <w:qFormat/>
    <w:uiPriority w:val="0"/>
    <w:rPr>
      <w:rFonts w:ascii="Tahoma" w:hAnsi="Tahoma"/>
      <w:sz w:val="24"/>
      <w:szCs w:val="24"/>
    </w:rPr>
  </w:style>
  <w:style w:type="paragraph" w:customStyle="1" w:styleId="244">
    <w:name w:val="标准文本"/>
    <w:basedOn w:val="1"/>
    <w:qFormat/>
    <w:uiPriority w:val="0"/>
    <w:pPr>
      <w:ind w:firstLine="480" w:firstLineChars="200"/>
    </w:pPr>
    <w:rPr>
      <w:rFonts w:cs="宋体"/>
      <w:sz w:val="24"/>
      <w:szCs w:val="24"/>
    </w:rPr>
  </w:style>
  <w:style w:type="paragraph" w:customStyle="1" w:styleId="245">
    <w:name w:val="正文文本 New New"/>
    <w:basedOn w:val="1"/>
    <w:qFormat/>
    <w:uiPriority w:val="0"/>
    <w:pPr>
      <w:widowControl/>
      <w:spacing w:before="60" w:after="60"/>
      <w:ind w:firstLine="200" w:firstLineChars="200"/>
    </w:pPr>
    <w:rPr>
      <w:rFonts w:eastAsia="华文楷体"/>
      <w:sz w:val="24"/>
      <w:szCs w:val="24"/>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47">
    <w:name w:val="样式 段后: 0.5 行 左  0.75 字符"/>
    <w:basedOn w:val="1"/>
    <w:qFormat/>
    <w:uiPriority w:val="0"/>
    <w:pPr>
      <w:widowControl/>
      <w:ind w:firstLine="420" w:firstLineChars="200"/>
    </w:pPr>
    <w:rPr>
      <w:rFonts w:hAnsi="Arial" w:cs="Arial"/>
      <w:kern w:val="0"/>
      <w:szCs w:val="21"/>
    </w:rPr>
  </w:style>
  <w:style w:type="paragraph" w:customStyle="1" w:styleId="248">
    <w:name w:val="方案正文"/>
    <w:basedOn w:val="1"/>
    <w:qFormat/>
    <w:uiPriority w:val="0"/>
    <w:pPr>
      <w:spacing w:before="156"/>
      <w:ind w:firstLine="359" w:firstLineChars="171"/>
      <w:jc w:val="left"/>
    </w:pPr>
    <w:rPr>
      <w:rFonts w:ascii="Arial" w:hAnsi="Arial" w:cs="宋体"/>
      <w:sz w:val="24"/>
      <w:szCs w:val="21"/>
    </w:rPr>
  </w:style>
  <w:style w:type="paragraph" w:customStyle="1" w:styleId="249">
    <w:name w:val="font13"/>
    <w:basedOn w:val="1"/>
    <w:qFormat/>
    <w:uiPriority w:val="0"/>
    <w:pPr>
      <w:widowControl/>
      <w:spacing w:before="100" w:beforeAutospacing="1" w:after="100" w:afterAutospacing="1"/>
      <w:jc w:val="left"/>
    </w:pPr>
    <w:rPr>
      <w:i/>
      <w:iCs/>
      <w:kern w:val="0"/>
      <w:sz w:val="36"/>
      <w:szCs w:val="36"/>
    </w:rPr>
  </w:style>
  <w:style w:type="paragraph" w:customStyle="1" w:styleId="25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51">
    <w:name w:val="论文正文"/>
    <w:basedOn w:val="30"/>
    <w:qFormat/>
    <w:uiPriority w:val="0"/>
    <w:pPr>
      <w:ind w:left="0" w:firstLine="200" w:firstLineChars="200"/>
      <w:jc w:val="left"/>
    </w:pPr>
    <w:rPr>
      <w:rFonts w:ascii="Times New Roman" w:hAnsi="Times New Roman"/>
      <w:sz w:val="28"/>
      <w:szCs w:val="24"/>
    </w:rPr>
  </w:style>
  <w:style w:type="paragraph" w:customStyle="1" w:styleId="252">
    <w:name w:val="正文文本 21"/>
    <w:basedOn w:val="1"/>
    <w:qFormat/>
    <w:uiPriority w:val="0"/>
    <w:pPr>
      <w:widowControl/>
      <w:overflowPunct w:val="0"/>
      <w:autoSpaceDE w:val="0"/>
      <w:autoSpaceDN w:val="0"/>
      <w:ind w:left="720" w:hanging="720"/>
      <w:textAlignment w:val="baseline"/>
    </w:pPr>
    <w:rPr>
      <w:kern w:val="0"/>
      <w:sz w:val="24"/>
      <w:lang w:val="en-GB"/>
    </w:rPr>
  </w:style>
  <w:style w:type="paragraph" w:customStyle="1" w:styleId="253">
    <w:name w:val="Char Char Char Char Char Char Char Char Char"/>
    <w:basedOn w:val="1"/>
    <w:qFormat/>
    <w:uiPriority w:val="0"/>
    <w:pPr>
      <w:tabs>
        <w:tab w:val="left" w:pos="360"/>
      </w:tabs>
      <w:ind w:left="200" w:hanging="200" w:hangingChars="200"/>
    </w:pPr>
    <w:rPr>
      <w:sz w:val="24"/>
      <w:szCs w:val="24"/>
    </w:rPr>
  </w:style>
  <w:style w:type="paragraph" w:customStyle="1" w:styleId="254">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55">
    <w:name w:val="正文 居中"/>
    <w:basedOn w:val="1"/>
    <w:qFormat/>
    <w:uiPriority w:val="0"/>
    <w:pPr>
      <w:jc w:val="center"/>
    </w:pPr>
    <w:rPr>
      <w:sz w:val="24"/>
    </w:rPr>
  </w:style>
  <w:style w:type="paragraph" w:customStyle="1" w:styleId="256">
    <w:name w:val="flName"/>
    <w:basedOn w:val="257"/>
    <w:qFormat/>
    <w:uiPriority w:val="0"/>
    <w:pPr>
      <w:spacing w:before="0" w:line="113" w:lineRule="atLeast"/>
    </w:pPr>
  </w:style>
  <w:style w:type="paragraph" w:customStyle="1" w:styleId="257">
    <w:name w:val="flNote"/>
    <w:basedOn w:val="1"/>
    <w:qFormat/>
    <w:uiPriority w:val="0"/>
    <w:pPr>
      <w:spacing w:before="567" w:line="360" w:lineRule="atLeast"/>
      <w:jc w:val="center"/>
      <w:textAlignment w:val="baseline"/>
    </w:pPr>
    <w:rPr>
      <w:rFonts w:eastAsia="黑体"/>
      <w:b/>
      <w:kern w:val="0"/>
      <w:sz w:val="24"/>
    </w:rPr>
  </w:style>
  <w:style w:type="paragraph" w:customStyle="1" w:styleId="2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60">
    <w:name w:val="TOC 标题1"/>
    <w:basedOn w:val="3"/>
    <w:next w:val="1"/>
    <w:qFormat/>
    <w:uiPriority w:val="39"/>
    <w:pPr>
      <w:outlineLvl w:val="9"/>
    </w:pPr>
  </w:style>
  <w:style w:type="paragraph" w:customStyle="1" w:styleId="261">
    <w:name w:val="小四 段落 宋体"/>
    <w:basedOn w:val="15"/>
    <w:qFormat/>
    <w:uiPriority w:val="0"/>
    <w:pPr>
      <w:tabs>
        <w:tab w:val="clear" w:pos="2952"/>
      </w:tabs>
      <w:ind w:left="113" w:right="113" w:firstLine="425"/>
      <w:jc w:val="left"/>
    </w:pPr>
    <w:rPr>
      <w:sz w:val="24"/>
    </w:rPr>
  </w:style>
  <w:style w:type="paragraph" w:customStyle="1" w:styleId="262">
    <w:name w:val="Default Text"/>
    <w:basedOn w:val="1"/>
    <w:qFormat/>
    <w:uiPriority w:val="99"/>
    <w:pPr>
      <w:widowControl/>
      <w:jc w:val="left"/>
    </w:pPr>
    <w:rPr>
      <w:kern w:val="0"/>
      <w:sz w:val="24"/>
      <w:lang w:eastAsia="en-US"/>
    </w:rPr>
  </w:style>
  <w:style w:type="paragraph" w:customStyle="1" w:styleId="263">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公文正文"/>
    <w:basedOn w:val="25"/>
    <w:qFormat/>
    <w:uiPriority w:val="0"/>
    <w:pPr>
      <w:ind w:firstLine="200" w:firstLineChars="200"/>
    </w:pPr>
    <w:rPr>
      <w:rFonts w:ascii="仿宋_GB2312" w:hAnsi="宋体" w:eastAsia="仿宋_GB2312"/>
      <w:kern w:val="28"/>
      <w:sz w:val="28"/>
      <w:szCs w:val="24"/>
    </w:rPr>
  </w:style>
  <w:style w:type="paragraph" w:customStyle="1" w:styleId="265">
    <w:name w:val="默认段落字体 Para Char Char Char Char Char Char Char Char Char1 Char Char Char Char Char Char Char"/>
    <w:basedOn w:val="19"/>
    <w:qFormat/>
    <w:uiPriority w:val="0"/>
  </w:style>
  <w:style w:type="paragraph" w:customStyle="1" w:styleId="266">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67">
    <w:name w:val="小四 段落 宋体 Char Char"/>
    <w:basedOn w:val="1"/>
    <w:qFormat/>
    <w:uiPriority w:val="0"/>
    <w:pPr>
      <w:ind w:firstLine="480" w:firstLineChars="200"/>
    </w:pPr>
    <w:rPr>
      <w:rFonts w:ascii="宋体" w:hAnsi="宋体"/>
      <w:sz w:val="24"/>
      <w:szCs w:val="24"/>
    </w:rPr>
  </w:style>
  <w:style w:type="paragraph" w:customStyle="1" w:styleId="268">
    <w:name w:val="Char Char"/>
    <w:basedOn w:val="1"/>
    <w:qFormat/>
    <w:uiPriority w:val="0"/>
    <w:rPr>
      <w:rFonts w:ascii="Tahoma" w:hAnsi="Tahoma" w:cs="Tahoma"/>
      <w:sz w:val="24"/>
    </w:rPr>
  </w:style>
  <w:style w:type="paragraph" w:customStyle="1" w:styleId="269">
    <w:name w:val="我的正文"/>
    <w:basedOn w:val="1"/>
    <w:qFormat/>
    <w:uiPriority w:val="0"/>
    <w:pPr>
      <w:widowControl/>
      <w:ind w:firstLine="420"/>
      <w:jc w:val="left"/>
    </w:pPr>
    <w:rPr>
      <w:rFonts w:ascii="宋体" w:hAnsi="宋体" w:cs="宋体"/>
      <w:kern w:val="0"/>
      <w:szCs w:val="21"/>
    </w:rPr>
  </w:style>
  <w:style w:type="paragraph" w:customStyle="1" w:styleId="270">
    <w:name w:val="Char1 Char Char Char"/>
    <w:basedOn w:val="1"/>
    <w:qFormat/>
    <w:uiPriority w:val="0"/>
    <w:rPr>
      <w:rFonts w:ascii="Tahoma" w:hAnsi="Tahoma"/>
      <w:sz w:val="24"/>
    </w:rPr>
  </w:style>
  <w:style w:type="paragraph" w:customStyle="1" w:styleId="271">
    <w:name w:val="表头_5"/>
    <w:basedOn w:val="1"/>
    <w:qFormat/>
    <w:uiPriority w:val="0"/>
    <w:pPr>
      <w:textAlignment w:val="baseline"/>
    </w:pPr>
    <w:rPr>
      <w:b/>
      <w:bCs/>
      <w:sz w:val="28"/>
      <w:szCs w:val="21"/>
    </w:rPr>
  </w:style>
  <w:style w:type="paragraph" w:customStyle="1" w:styleId="272">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3">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27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5">
    <w:name w:val="Char"/>
    <w:basedOn w:val="1"/>
    <w:qFormat/>
    <w:uiPriority w:val="0"/>
    <w:pPr>
      <w:spacing w:afterLines="50"/>
    </w:pPr>
    <w:rPr>
      <w:rFonts w:ascii="Tahoma" w:hAnsi="Tahoma"/>
      <w:sz w:val="24"/>
    </w:rPr>
  </w:style>
  <w:style w:type="paragraph" w:customStyle="1" w:styleId="276">
    <w:name w:val="普通文字"/>
    <w:basedOn w:val="1"/>
    <w:next w:val="1"/>
    <w:qFormat/>
    <w:uiPriority w:val="0"/>
    <w:rPr>
      <w:rFonts w:ascii="宋体" w:hAnsi="宋体" w:cs="宋体"/>
      <w:kern w:val="0"/>
      <w:sz w:val="24"/>
      <w:u w:color="000000"/>
    </w:rPr>
  </w:style>
  <w:style w:type="paragraph" w:customStyle="1" w:styleId="277">
    <w:name w:val="Test2"/>
    <w:basedOn w:val="4"/>
    <w:qFormat/>
    <w:uiPriority w:val="0"/>
    <w:pPr>
      <w:widowControl/>
      <w:spacing w:beforeLines="50" w:afterLines="50" w:line="480" w:lineRule="exact"/>
      <w:jc w:val="center"/>
    </w:pPr>
    <w:rPr>
      <w:rFonts w:ascii="黑体" w:hAnsi="Arial" w:eastAsia="黑体"/>
      <w:bCs/>
      <w:kern w:val="0"/>
      <w:sz w:val="24"/>
    </w:rPr>
  </w:style>
  <w:style w:type="paragraph" w:customStyle="1" w:styleId="278">
    <w:name w:val="列出段落1"/>
    <w:basedOn w:val="1"/>
    <w:qFormat/>
    <w:uiPriority w:val="99"/>
    <w:pPr>
      <w:widowControl/>
      <w:ind w:left="720"/>
      <w:contextualSpacing/>
      <w:jc w:val="left"/>
    </w:pPr>
    <w:rPr>
      <w:rFonts w:ascii="Arial" w:hAnsi="Arial" w:eastAsia="黑体"/>
      <w:kern w:val="0"/>
      <w:sz w:val="24"/>
      <w:szCs w:val="24"/>
      <w:lang w:eastAsia="en-US"/>
    </w:rPr>
  </w:style>
  <w:style w:type="paragraph" w:customStyle="1" w:styleId="27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0">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81">
    <w:name w:val="1"/>
    <w:basedOn w:val="1"/>
    <w:next w:val="46"/>
    <w:qFormat/>
    <w:uiPriority w:val="0"/>
    <w:rPr>
      <w:rFonts w:eastAsia="仿宋_GB2312"/>
      <w:sz w:val="24"/>
      <w:szCs w:val="24"/>
    </w:rPr>
  </w:style>
  <w:style w:type="paragraph" w:customStyle="1" w:styleId="282">
    <w:name w:val="正文1"/>
    <w:basedOn w:val="1"/>
    <w:next w:val="1"/>
    <w:qFormat/>
    <w:uiPriority w:val="0"/>
    <w:pPr>
      <w:spacing w:before="156"/>
      <w:ind w:firstLine="510" w:firstLineChars="200"/>
    </w:pPr>
    <w:rPr>
      <w:sz w:val="24"/>
    </w:rPr>
  </w:style>
  <w:style w:type="paragraph" w:customStyle="1" w:styleId="28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8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6">
    <w:name w:val="丁华正文"/>
    <w:basedOn w:val="41"/>
    <w:qFormat/>
    <w:uiPriority w:val="0"/>
    <w:pPr>
      <w:ind w:left="0" w:firstLine="510"/>
    </w:pPr>
    <w:rPr>
      <w:rFonts w:ascii="Times New Roman" w:hAnsi="Times New Roman" w:eastAsia="宋体"/>
      <w:color w:val="auto"/>
      <w:sz w:val="24"/>
      <w:szCs w:val="16"/>
    </w:rPr>
  </w:style>
  <w:style w:type="paragraph" w:customStyle="1" w:styleId="287">
    <w:name w:val="马刚标题1"/>
    <w:basedOn w:val="3"/>
    <w:next w:val="1"/>
    <w:qFormat/>
    <w:uiPriority w:val="0"/>
    <w:pPr>
      <w:keepLines/>
      <w:tabs>
        <w:tab w:val="left" w:pos="315"/>
        <w:tab w:val="left" w:pos="567"/>
        <w:tab w:val="clear" w:pos="1440"/>
        <w:tab w:val="clear" w:pos="5670"/>
      </w:tabs>
      <w:spacing w:beforeLines="0" w:afterLines="0" w:line="576" w:lineRule="auto"/>
      <w:ind w:left="567" w:hanging="567" w:firstLineChars="0"/>
      <w:jc w:val="left"/>
    </w:pPr>
    <w:rPr>
      <w:rFonts w:ascii="Times New Roman"/>
      <w:b w:val="0"/>
      <w:sz w:val="32"/>
      <w:szCs w:val="20"/>
    </w:rPr>
  </w:style>
  <w:style w:type="paragraph" w:customStyle="1" w:styleId="28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89">
    <w:name w:val="表格内文字"/>
    <w:basedOn w:val="1"/>
    <w:qFormat/>
    <w:uiPriority w:val="0"/>
    <w:pPr>
      <w:spacing w:line="300" w:lineRule="atLeast"/>
    </w:pPr>
    <w:rPr>
      <w:sz w:val="18"/>
      <w:szCs w:val="24"/>
    </w:rPr>
  </w:style>
  <w:style w:type="paragraph" w:customStyle="1" w:styleId="290">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3">
    <w:name w:val="Char2"/>
    <w:basedOn w:val="1"/>
    <w:semiHidden/>
    <w:qFormat/>
    <w:uiPriority w:val="0"/>
    <w:rPr>
      <w:rFonts w:ascii="Tahoma" w:hAnsi="Tahoma" w:cs="仿宋_GB2312"/>
      <w:sz w:val="24"/>
      <w:szCs w:val="28"/>
    </w:rPr>
  </w:style>
  <w:style w:type="paragraph" w:customStyle="1" w:styleId="294">
    <w:name w:val="标题 4宋体"/>
    <w:basedOn w:val="6"/>
    <w:qFormat/>
    <w:uiPriority w:val="0"/>
    <w:pPr>
      <w:keepLines w:val="0"/>
      <w:autoSpaceDE w:val="0"/>
      <w:autoSpaceDN w:val="0"/>
      <w:spacing w:before="0" w:after="0"/>
      <w:jc w:val="left"/>
    </w:pPr>
    <w:rPr>
      <w:rFonts w:ascii="宋体" w:hAnsi="宋体" w:eastAsia="宋体"/>
      <w:bCs/>
      <w:color w:val="000000"/>
      <w:kern w:val="0"/>
      <w:sz w:val="24"/>
    </w:rPr>
  </w:style>
  <w:style w:type="paragraph" w:customStyle="1" w:styleId="295">
    <w:name w:val="公文标题 2"/>
    <w:basedOn w:val="1"/>
    <w:next w:val="264"/>
    <w:qFormat/>
    <w:uiPriority w:val="0"/>
    <w:pPr>
      <w:outlineLvl w:val="1"/>
    </w:pPr>
    <w:rPr>
      <w:rFonts w:ascii="仿宋_GB2312" w:hAnsi="宋体" w:eastAsia="仿宋_GB2312"/>
      <w:kern w:val="28"/>
      <w:sz w:val="28"/>
      <w:szCs w:val="24"/>
    </w:rPr>
  </w:style>
  <w:style w:type="paragraph" w:customStyle="1" w:styleId="296">
    <w:name w:val="正文表标题"/>
    <w:next w:val="29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Char Char Char Char Char"/>
    <w:basedOn w:val="1"/>
    <w:qFormat/>
    <w:uiPriority w:val="0"/>
    <w:rPr>
      <w:rFonts w:ascii="Tahoma" w:hAnsi="Tahoma"/>
      <w:sz w:val="24"/>
    </w:rPr>
  </w:style>
  <w:style w:type="paragraph" w:customStyle="1" w:styleId="299">
    <w:name w:val="标题2，章节第二层"/>
    <w:basedOn w:val="1"/>
    <w:next w:val="218"/>
    <w:qFormat/>
    <w:uiPriority w:val="0"/>
    <w:pPr>
      <w:numPr>
        <w:ilvl w:val="4"/>
        <w:numId w:val="2"/>
      </w:numPr>
      <w:tabs>
        <w:tab w:val="left" w:pos="630"/>
        <w:tab w:val="left" w:pos="992"/>
      </w:tabs>
      <w:spacing w:beforeLines="100" w:afterLines="100" w:line="300" w:lineRule="auto"/>
      <w:ind w:left="992" w:hanging="567"/>
      <w:outlineLvl w:val="1"/>
    </w:pPr>
    <w:rPr>
      <w:rFonts w:ascii="Arial" w:hAnsi="Arial" w:eastAsia="黑体"/>
      <w:sz w:val="32"/>
      <w:szCs w:val="24"/>
    </w:rPr>
  </w:style>
  <w:style w:type="paragraph" w:customStyle="1" w:styleId="300">
    <w:name w:val="表格1"/>
    <w:basedOn w:val="1"/>
    <w:qFormat/>
    <w:uiPriority w:val="0"/>
    <w:pPr>
      <w:textAlignment w:val="baseline"/>
    </w:pPr>
    <w:rPr>
      <w:rFonts w:ascii="宋体"/>
      <w:kern w:val="24"/>
      <w:szCs w:val="21"/>
    </w:rPr>
  </w:style>
  <w:style w:type="paragraph" w:customStyle="1" w:styleId="30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0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03">
    <w:name w:val="样式 加点正文 + 段前: 0.5 行 段后: 0.5 行1"/>
    <w:basedOn w:val="1"/>
    <w:qFormat/>
    <w:uiPriority w:val="0"/>
    <w:pPr>
      <w:numPr>
        <w:ilvl w:val="0"/>
        <w:numId w:val="3"/>
      </w:numPr>
      <w:tabs>
        <w:tab w:val="left" w:pos="1268"/>
      </w:tabs>
      <w:spacing w:beforeLines="50" w:afterLines="50" w:line="300" w:lineRule="auto"/>
      <w:ind w:left="1268"/>
    </w:pPr>
    <w:rPr>
      <w:sz w:val="24"/>
    </w:rPr>
  </w:style>
  <w:style w:type="paragraph" w:customStyle="1" w:styleId="304">
    <w:name w:val="丁华标题3"/>
    <w:basedOn w:val="305"/>
    <w:next w:val="28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05">
    <w:name w:val="丁华标题2"/>
    <w:basedOn w:val="4"/>
    <w:next w:val="286"/>
    <w:qFormat/>
    <w:uiPriority w:val="0"/>
    <w:pPr>
      <w:numPr>
        <w:ilvl w:val="1"/>
        <w:numId w:val="4"/>
      </w:numPr>
      <w:spacing w:line="415" w:lineRule="auto"/>
    </w:pPr>
    <w:rPr>
      <w:rFonts w:ascii="Arial" w:hAnsi="Arial" w:eastAsia="黑体"/>
      <w:b w:val="0"/>
      <w:sz w:val="28"/>
      <w:szCs w:val="20"/>
    </w:rPr>
  </w:style>
  <w:style w:type="paragraph" w:customStyle="1" w:styleId="306">
    <w:name w:val="小四 段落 宋体 Char Char Char Char"/>
    <w:basedOn w:val="1"/>
    <w:qFormat/>
    <w:uiPriority w:val="0"/>
    <w:pPr>
      <w:ind w:right="-33" w:firstLine="480" w:firstLineChars="200"/>
      <w:jc w:val="left"/>
    </w:pPr>
    <w:rPr>
      <w:sz w:val="24"/>
      <w:szCs w:val="24"/>
    </w:rPr>
  </w:style>
  <w:style w:type="paragraph" w:customStyle="1" w:styleId="30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Char11"/>
    <w:basedOn w:val="1"/>
    <w:qFormat/>
    <w:uiPriority w:val="0"/>
    <w:rPr>
      <w:rFonts w:ascii="仿宋_GB2312" w:hAnsi="宋体" w:eastAsia="仿宋_GB2312" w:cs="宋体"/>
      <w:b/>
      <w:sz w:val="32"/>
      <w:szCs w:val="32"/>
    </w:rPr>
  </w:style>
  <w:style w:type="paragraph" w:customStyle="1" w:styleId="31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2">
    <w:name w:val="Char Char Char Char Char Char Char"/>
    <w:basedOn w:val="1"/>
    <w:qFormat/>
    <w:uiPriority w:val="0"/>
    <w:rPr>
      <w:rFonts w:ascii="Tahoma" w:hAnsi="Tahoma"/>
      <w:sz w:val="24"/>
    </w:rPr>
  </w:style>
  <w:style w:type="paragraph" w:customStyle="1" w:styleId="313">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15">
    <w:name w:val="表格内容"/>
    <w:basedOn w:val="1"/>
    <w:qFormat/>
    <w:uiPriority w:val="0"/>
    <w:pPr>
      <w:widowControl/>
      <w:autoSpaceDE w:val="0"/>
      <w:autoSpaceDN w:val="0"/>
      <w:spacing w:before="60" w:line="300" w:lineRule="auto"/>
      <w:jc w:val="center"/>
      <w:textAlignment w:val="bottom"/>
    </w:pPr>
    <w:rPr>
      <w:kern w:val="0"/>
    </w:rPr>
  </w:style>
  <w:style w:type="paragraph" w:customStyle="1" w:styleId="31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flType"/>
    <w:basedOn w:val="256"/>
    <w:qFormat/>
    <w:uiPriority w:val="0"/>
    <w:pPr>
      <w:spacing w:after="284"/>
    </w:pPr>
    <w:rPr>
      <w:rFonts w:eastAsia="宋体"/>
      <w:b w:val="0"/>
    </w:rPr>
  </w:style>
  <w:style w:type="paragraph" w:customStyle="1" w:styleId="318">
    <w:name w:val="Char Char Char Char Char Char Char Char Char1"/>
    <w:basedOn w:val="1"/>
    <w:qFormat/>
    <w:uiPriority w:val="0"/>
    <w:pPr>
      <w:tabs>
        <w:tab w:val="left" w:pos="360"/>
      </w:tabs>
      <w:ind w:left="360" w:hanging="360" w:hangingChars="200"/>
    </w:pPr>
    <w:rPr>
      <w:sz w:val="24"/>
      <w:szCs w:val="24"/>
    </w:rPr>
  </w:style>
  <w:style w:type="paragraph" w:customStyle="1" w:styleId="319">
    <w:name w:val="Char Char Char Char Char Char Char Char Char Char Char"/>
    <w:basedOn w:val="1"/>
    <w:qFormat/>
    <w:uiPriority w:val="0"/>
    <w:rPr>
      <w:rFonts w:ascii="Tahoma" w:hAnsi="Tahoma"/>
      <w:sz w:val="24"/>
    </w:rPr>
  </w:style>
  <w:style w:type="paragraph" w:customStyle="1" w:styleId="32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25">
    <w:name w:val="greytypebeni"/>
    <w:basedOn w:val="1"/>
    <w:qFormat/>
    <w:uiPriority w:val="0"/>
    <w:pPr>
      <w:widowControl/>
      <w:jc w:val="left"/>
    </w:pPr>
    <w:rPr>
      <w:rFonts w:ascii="宋体" w:hAnsi="宋体" w:cs="宋体"/>
      <w:kern w:val="0"/>
      <w:sz w:val="24"/>
      <w:szCs w:val="24"/>
    </w:rPr>
  </w:style>
  <w:style w:type="paragraph" w:customStyle="1" w:styleId="326">
    <w:name w:val="Char Char11"/>
    <w:basedOn w:val="1"/>
    <w:qFormat/>
    <w:uiPriority w:val="0"/>
    <w:rPr>
      <w:rFonts w:ascii="Tahoma" w:hAnsi="Tahoma"/>
      <w:sz w:val="24"/>
    </w:rPr>
  </w:style>
  <w:style w:type="paragraph" w:customStyle="1" w:styleId="327">
    <w:name w:val="Char Char1 Char Char Char Char1 Char Char Char Char Char Char"/>
    <w:basedOn w:val="1"/>
    <w:qFormat/>
    <w:uiPriority w:val="0"/>
    <w:rPr>
      <w:rFonts w:ascii="Tahoma" w:hAnsi="Tahoma"/>
      <w:sz w:val="24"/>
    </w:rPr>
  </w:style>
  <w:style w:type="paragraph" w:customStyle="1" w:styleId="328">
    <w:name w:val="中等深浅网格 1 - 强调文字颜色 21"/>
    <w:basedOn w:val="1"/>
    <w:qFormat/>
    <w:uiPriority w:val="0"/>
    <w:pPr>
      <w:ind w:firstLine="420" w:firstLineChars="200"/>
    </w:pPr>
    <w:rPr>
      <w:rFonts w:ascii="Calibri" w:hAnsi="Calibri"/>
      <w:szCs w:val="22"/>
    </w:rPr>
  </w:style>
  <w:style w:type="paragraph" w:customStyle="1" w:styleId="329">
    <w:name w:val="列表内容"/>
    <w:basedOn w:val="1"/>
    <w:next w:val="1"/>
    <w:qFormat/>
    <w:uiPriority w:val="0"/>
    <w:pPr>
      <w:widowControl/>
      <w:tabs>
        <w:tab w:val="left" w:pos="840"/>
      </w:tabs>
      <w:ind w:left="840" w:hanging="420"/>
      <w:jc w:val="left"/>
    </w:pPr>
    <w:rPr>
      <w:kern w:val="0"/>
      <w:sz w:val="18"/>
      <w:szCs w:val="24"/>
    </w:rPr>
  </w:style>
  <w:style w:type="paragraph" w:customStyle="1" w:styleId="3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1">
    <w:name w:val="Char Char Char Char Char Char Char Char Char Char Char Char Char Char Char Char Char Char Char Char Char Char Char"/>
    <w:basedOn w:val="1"/>
    <w:qFormat/>
    <w:uiPriority w:val="0"/>
    <w:rPr>
      <w:rFonts w:ascii="Tahoma" w:hAnsi="Tahoma"/>
      <w:sz w:val="24"/>
    </w:rPr>
  </w:style>
  <w:style w:type="paragraph" w:customStyle="1" w:styleId="33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33">
    <w:name w:val="标题3，章节第三层"/>
    <w:basedOn w:val="1"/>
    <w:next w:val="218"/>
    <w:qFormat/>
    <w:uiPriority w:val="0"/>
    <w:pPr>
      <w:spacing w:before="78" w:line="300" w:lineRule="auto"/>
      <w:outlineLvl w:val="2"/>
    </w:pPr>
    <w:rPr>
      <w:rFonts w:ascii="Arial" w:hAnsi="Arial" w:eastAsia="华文细黑"/>
      <w:sz w:val="30"/>
      <w:szCs w:val="24"/>
    </w:rPr>
  </w:style>
  <w:style w:type="paragraph" w:customStyle="1" w:styleId="334">
    <w:name w:val="文档正文"/>
    <w:basedOn w:val="1"/>
    <w:qFormat/>
    <w:uiPriority w:val="0"/>
    <w:rPr>
      <w:rFonts w:ascii="宋体" w:hAnsi="宋体"/>
      <w:b/>
      <w:bCs/>
      <w:szCs w:val="24"/>
    </w:rPr>
  </w:style>
  <w:style w:type="paragraph" w:customStyle="1" w:styleId="335">
    <w:name w:val="Char Char Char Char Char Char Char Char"/>
    <w:basedOn w:val="1"/>
    <w:qFormat/>
    <w:uiPriority w:val="0"/>
    <w:rPr>
      <w:rFonts w:ascii="Tahoma" w:hAnsi="Tahoma"/>
      <w:sz w:val="24"/>
    </w:rPr>
  </w:style>
  <w:style w:type="paragraph" w:customStyle="1" w:styleId="3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37">
    <w:name w:val="Char Char Char"/>
    <w:basedOn w:val="19"/>
    <w:qFormat/>
    <w:uiPriority w:val="0"/>
    <w:pPr>
      <w:spacing w:line="436" w:lineRule="exact"/>
    </w:pPr>
    <w:rPr>
      <w:szCs w:val="24"/>
    </w:rPr>
  </w:style>
  <w:style w:type="paragraph" w:customStyle="1" w:styleId="338">
    <w:name w:val="font11"/>
    <w:basedOn w:val="1"/>
    <w:qFormat/>
    <w:uiPriority w:val="0"/>
    <w:pPr>
      <w:widowControl/>
      <w:spacing w:before="100" w:beforeAutospacing="1" w:after="100" w:afterAutospacing="1"/>
      <w:jc w:val="left"/>
    </w:pPr>
    <w:rPr>
      <w:b/>
      <w:bCs/>
      <w:kern w:val="0"/>
      <w:sz w:val="18"/>
      <w:szCs w:val="18"/>
    </w:rPr>
  </w:style>
  <w:style w:type="paragraph" w:customStyle="1" w:styleId="339">
    <w:name w:val="Char Char Char Char Char Char Char Char Char Char Char Char Char Char"/>
    <w:basedOn w:val="1"/>
    <w:qFormat/>
    <w:uiPriority w:val="0"/>
    <w:rPr>
      <w:rFonts w:ascii="Tahoma" w:hAnsi="Tahoma"/>
      <w:sz w:val="24"/>
    </w:rPr>
  </w:style>
  <w:style w:type="paragraph" w:customStyle="1" w:styleId="34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41">
    <w:name w:val="Char Char1 Char Char Char Char"/>
    <w:basedOn w:val="19"/>
    <w:qFormat/>
    <w:uiPriority w:val="0"/>
    <w:pPr>
      <w:spacing w:line="436" w:lineRule="exact"/>
      <w:ind w:left="357"/>
      <w:jc w:val="left"/>
      <w:outlineLvl w:val="3"/>
    </w:pPr>
    <w:rPr>
      <w:rFonts w:ascii="Tahoma" w:hAnsi="Tahoma" w:cs="Tahoma"/>
      <w:b/>
      <w:kern w:val="0"/>
      <w:sz w:val="24"/>
      <w:szCs w:val="24"/>
    </w:rPr>
  </w:style>
  <w:style w:type="paragraph" w:customStyle="1" w:styleId="3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4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44">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345">
    <w:name w:val="表格"/>
    <w:basedOn w:val="1"/>
    <w:qFormat/>
    <w:uiPriority w:val="0"/>
    <w:pPr>
      <w:ind w:firstLine="21" w:firstLineChars="21"/>
    </w:pPr>
    <w:rPr>
      <w:rFonts w:ascii="宋体" w:hAnsi="宋体" w:cs="宋体"/>
      <w:kern w:val="0"/>
      <w:sz w:val="20"/>
    </w:rPr>
  </w:style>
  <w:style w:type="paragraph" w:customStyle="1" w:styleId="346">
    <w:name w:val="条1"/>
    <w:basedOn w:val="1"/>
    <w:qFormat/>
    <w:uiPriority w:val="0"/>
    <w:pPr>
      <w:tabs>
        <w:tab w:val="left" w:pos="780"/>
      </w:tabs>
      <w:spacing w:before="156"/>
      <w:ind w:left="780" w:hanging="360"/>
    </w:pPr>
    <w:rPr>
      <w:rFonts w:eastAsia="黑体"/>
      <w:sz w:val="24"/>
    </w:rPr>
  </w:style>
  <w:style w:type="paragraph" w:customStyle="1" w:styleId="3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50">
    <w:name w:val="样式4 Char"/>
    <w:basedOn w:val="1"/>
    <w:qFormat/>
    <w:uiPriority w:val="0"/>
    <w:pPr>
      <w:widowControl/>
      <w:ind w:firstLine="480"/>
      <w:jc w:val="left"/>
    </w:pPr>
    <w:rPr>
      <w:rFonts w:cs="宋体"/>
      <w:color w:val="000000"/>
      <w:kern w:val="0"/>
      <w:sz w:val="24"/>
      <w:szCs w:val="24"/>
    </w:rPr>
  </w:style>
  <w:style w:type="paragraph" w:customStyle="1" w:styleId="351">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52">
    <w:name w:val="二级条标题"/>
    <w:basedOn w:val="1"/>
    <w:next w:val="297"/>
    <w:qFormat/>
    <w:uiPriority w:val="0"/>
    <w:pPr>
      <w:widowControl/>
      <w:tabs>
        <w:tab w:val="left" w:pos="2240"/>
      </w:tabs>
      <w:ind w:hanging="420"/>
      <w:outlineLvl w:val="3"/>
    </w:pPr>
    <w:rPr>
      <w:rFonts w:eastAsia="黑体"/>
      <w:kern w:val="0"/>
    </w:rPr>
  </w:style>
  <w:style w:type="paragraph" w:customStyle="1" w:styleId="353">
    <w:name w:val="font14"/>
    <w:basedOn w:val="1"/>
    <w:qFormat/>
    <w:uiPriority w:val="0"/>
    <w:pPr>
      <w:widowControl/>
      <w:spacing w:before="100" w:beforeAutospacing="1" w:after="100" w:afterAutospacing="1"/>
      <w:jc w:val="left"/>
    </w:pPr>
    <w:rPr>
      <w:kern w:val="0"/>
      <w:sz w:val="36"/>
      <w:szCs w:val="36"/>
    </w:rPr>
  </w:style>
  <w:style w:type="paragraph" w:customStyle="1" w:styleId="354">
    <w:name w:val="段落"/>
    <w:basedOn w:val="1"/>
    <w:qFormat/>
    <w:uiPriority w:val="0"/>
    <w:pPr>
      <w:spacing w:line="460" w:lineRule="exact"/>
      <w:ind w:firstLine="480"/>
    </w:pPr>
    <w:rPr>
      <w:sz w:val="24"/>
    </w:rPr>
  </w:style>
  <w:style w:type="paragraph" w:customStyle="1" w:styleId="35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马刚标题4"/>
    <w:basedOn w:val="357"/>
    <w:next w:val="1"/>
    <w:qFormat/>
    <w:uiPriority w:val="0"/>
    <w:pPr>
      <w:tabs>
        <w:tab w:val="left" w:pos="567"/>
        <w:tab w:val="left" w:pos="735"/>
        <w:tab w:val="left" w:pos="1050"/>
      </w:tabs>
      <w:spacing w:before="100" w:after="40"/>
      <w:outlineLvl w:val="3"/>
    </w:pPr>
    <w:rPr>
      <w:b w:val="0"/>
    </w:rPr>
  </w:style>
  <w:style w:type="paragraph" w:customStyle="1" w:styleId="35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8">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59">
    <w:name w:val="默认段落字体 Para Char Char Char Char Char Char Char"/>
    <w:basedOn w:val="1"/>
    <w:qFormat/>
    <w:uiPriority w:val="0"/>
  </w:style>
  <w:style w:type="paragraph" w:customStyle="1" w:styleId="360">
    <w:name w:val="正文 + 宋体"/>
    <w:basedOn w:val="1"/>
    <w:qFormat/>
    <w:uiPriority w:val="0"/>
    <w:pPr>
      <w:ind w:firstLine="420" w:firstLineChars="200"/>
    </w:pPr>
    <w:rPr>
      <w:szCs w:val="24"/>
    </w:rPr>
  </w:style>
  <w:style w:type="paragraph" w:customStyle="1" w:styleId="3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62">
    <w:name w:val="Char Char Char1"/>
    <w:basedOn w:val="1"/>
    <w:qFormat/>
    <w:uiPriority w:val="0"/>
    <w:rPr>
      <w:rFonts w:ascii="Tahoma" w:hAnsi="Tahoma"/>
      <w:sz w:val="24"/>
    </w:rPr>
  </w:style>
  <w:style w:type="paragraph" w:customStyle="1" w:styleId="363">
    <w:name w:val="Char1 Char Char Char1"/>
    <w:basedOn w:val="1"/>
    <w:qFormat/>
    <w:uiPriority w:val="0"/>
    <w:rPr>
      <w:rFonts w:ascii="Tahoma" w:hAnsi="Tahoma" w:cs="Tahoma"/>
      <w:sz w:val="24"/>
    </w:rPr>
  </w:style>
  <w:style w:type="paragraph" w:customStyle="1" w:styleId="364">
    <w:name w:val="正文2"/>
    <w:basedOn w:val="1"/>
    <w:qFormat/>
    <w:uiPriority w:val="0"/>
    <w:rPr>
      <w:rFonts w:ascii="Calibri" w:hAnsi="Calibri" w:eastAsia="Calibri" w:cs="宋体"/>
      <w:kern w:val="0"/>
      <w:lang w:val="zh-CN"/>
    </w:rPr>
  </w:style>
  <w:style w:type="paragraph" w:customStyle="1" w:styleId="365">
    <w:name w:val="标题3"/>
    <w:basedOn w:val="5"/>
    <w:qFormat/>
    <w:uiPriority w:val="0"/>
    <w:pPr>
      <w:spacing w:line="360" w:lineRule="auto"/>
    </w:pPr>
    <w:rPr>
      <w:rFonts w:eastAsia="仿宋_GB2312"/>
      <w:b w:val="0"/>
      <w:bCs/>
      <w:kern w:val="0"/>
      <w:sz w:val="30"/>
      <w:szCs w:val="32"/>
    </w:rPr>
  </w:style>
  <w:style w:type="paragraph" w:customStyle="1" w:styleId="366">
    <w:name w:val="Bullets L1"/>
    <w:basedOn w:val="1"/>
    <w:qFormat/>
    <w:uiPriority w:val="0"/>
    <w:pPr>
      <w:widowControl/>
      <w:numPr>
        <w:ilvl w:val="0"/>
        <w:numId w:val="5"/>
      </w:numPr>
      <w:spacing w:before="60" w:after="60"/>
      <w:jc w:val="left"/>
    </w:pPr>
    <w:rPr>
      <w:rFonts w:ascii="Arial" w:hAnsi="Arial"/>
      <w:kern w:val="0"/>
      <w:sz w:val="20"/>
    </w:rPr>
  </w:style>
  <w:style w:type="paragraph" w:customStyle="1" w:styleId="3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8">
    <w:name w:val="Char Char Char Char Char Char Char Char Char Char Char Char Char Char Char Char Char Char Char Char Char"/>
    <w:basedOn w:val="1"/>
    <w:qFormat/>
    <w:uiPriority w:val="0"/>
    <w:rPr>
      <w:rFonts w:ascii="Tahoma" w:hAnsi="Tahoma" w:cs="Tahoma"/>
      <w:sz w:val="24"/>
    </w:rPr>
  </w:style>
  <w:style w:type="paragraph" w:customStyle="1" w:styleId="369">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70">
    <w:name w:val="Pa6"/>
    <w:basedOn w:val="1"/>
    <w:next w:val="1"/>
    <w:qFormat/>
    <w:uiPriority w:val="0"/>
    <w:pPr>
      <w:autoSpaceDE w:val="0"/>
      <w:autoSpaceDN w:val="0"/>
      <w:spacing w:line="241" w:lineRule="atLeast"/>
      <w:jc w:val="left"/>
    </w:pPr>
    <w:rPr>
      <w:rFonts w:ascii="HYDaHeiJ" w:eastAsia="HYDaHeiJ"/>
      <w:kern w:val="0"/>
      <w:sz w:val="24"/>
      <w:szCs w:val="24"/>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华宇段落1 Char"/>
    <w:basedOn w:val="1"/>
    <w:qFormat/>
    <w:uiPriority w:val="0"/>
    <w:pPr>
      <w:ind w:firstLine="200" w:firstLineChars="200"/>
    </w:pPr>
    <w:rPr>
      <w:bCs/>
      <w:sz w:val="24"/>
      <w:szCs w:val="24"/>
    </w:rPr>
  </w:style>
  <w:style w:type="paragraph" w:customStyle="1" w:styleId="373">
    <w:name w:val="Char Char Char Char Char Char Char Char Char Char Char Char Char Char1"/>
    <w:basedOn w:val="1"/>
    <w:qFormat/>
    <w:uiPriority w:val="0"/>
    <w:rPr>
      <w:rFonts w:ascii="Tahoma" w:hAnsi="Tahoma" w:cs="Tahoma"/>
      <w:sz w:val="24"/>
    </w:rPr>
  </w:style>
  <w:style w:type="paragraph" w:customStyle="1" w:styleId="37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75">
    <w:name w:val="样式 标题 3H3sect1.2.3BOD 0Heading 3 - oldh3l3CTLevel 3 Head..."/>
    <w:basedOn w:val="5"/>
    <w:qFormat/>
    <w:uiPriority w:val="0"/>
    <w:pPr>
      <w:spacing w:beforeLines="50" w:afterLines="50"/>
      <w:jc w:val="left"/>
    </w:pPr>
    <w:rPr>
      <w:rFonts w:cs="宋体"/>
      <w:bCs/>
      <w:sz w:val="30"/>
    </w:rPr>
  </w:style>
  <w:style w:type="paragraph" w:customStyle="1" w:styleId="376">
    <w:name w:val="Char Char Char Char Char1"/>
    <w:basedOn w:val="1"/>
    <w:qFormat/>
    <w:uiPriority w:val="0"/>
    <w:rPr>
      <w:rFonts w:ascii="Tahoma" w:hAnsi="Tahoma" w:cs="Tahoma"/>
      <w:sz w:val="24"/>
    </w:rPr>
  </w:style>
  <w:style w:type="paragraph" w:customStyle="1" w:styleId="377">
    <w:name w:val="Char Char1 Char Char Char Char Char Char Char"/>
    <w:basedOn w:val="1"/>
    <w:qFormat/>
    <w:uiPriority w:val="0"/>
    <w:rPr>
      <w:rFonts w:ascii="Tahoma" w:hAnsi="Tahoma" w:cs="Tahoma"/>
      <w:sz w:val="24"/>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79">
    <w:name w:val="小四 段落 宋体 Char Char Char"/>
    <w:basedOn w:val="15"/>
    <w:qFormat/>
    <w:uiPriority w:val="0"/>
    <w:pPr>
      <w:tabs>
        <w:tab w:val="clear" w:pos="2952"/>
      </w:tabs>
      <w:ind w:left="0" w:right="-33" w:firstLine="545" w:firstLineChars="227"/>
      <w:jc w:val="left"/>
    </w:pPr>
    <w:rPr>
      <w:sz w:val="24"/>
    </w:rPr>
  </w:style>
  <w:style w:type="paragraph" w:customStyle="1" w:styleId="38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81">
    <w:name w:val="章标题"/>
    <w:next w:val="29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82">
    <w:name w:val="Char Char Char Char Char Char Char Char Char Char Char Char Char"/>
    <w:basedOn w:val="19"/>
    <w:qFormat/>
    <w:uiPriority w:val="0"/>
    <w:rPr>
      <w:rFonts w:ascii="Tahoma" w:hAnsi="Tahoma"/>
      <w:sz w:val="24"/>
      <w:szCs w:val="24"/>
    </w:rPr>
  </w:style>
  <w:style w:type="paragraph" w:customStyle="1" w:styleId="383">
    <w:name w:val="Char Char Char Char Char Char Char Char Char Char Char Char Char1"/>
    <w:basedOn w:val="1"/>
    <w:qFormat/>
    <w:uiPriority w:val="0"/>
    <w:pPr>
      <w:widowControl/>
      <w:spacing w:after="160" w:line="240" w:lineRule="exact"/>
      <w:jc w:val="left"/>
    </w:pPr>
    <w:rPr>
      <w:szCs w:val="24"/>
    </w:rPr>
  </w:style>
  <w:style w:type="paragraph" w:customStyle="1" w:styleId="38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385">
    <w:name w:val="font9"/>
    <w:basedOn w:val="1"/>
    <w:qFormat/>
    <w:uiPriority w:val="0"/>
    <w:pPr>
      <w:widowControl/>
      <w:spacing w:before="100" w:beforeAutospacing="1" w:after="100" w:afterAutospacing="1"/>
      <w:jc w:val="left"/>
    </w:pPr>
    <w:rPr>
      <w:b/>
      <w:bCs/>
      <w:kern w:val="0"/>
      <w:sz w:val="20"/>
    </w:rPr>
  </w:style>
  <w:style w:type="paragraph" w:customStyle="1" w:styleId="386">
    <w:name w:val="Char Char Char Char Char Char Char Char Char Char Char1"/>
    <w:basedOn w:val="1"/>
    <w:qFormat/>
    <w:uiPriority w:val="0"/>
    <w:rPr>
      <w:rFonts w:ascii="Tahoma" w:hAnsi="Tahoma" w:cs="Tahoma"/>
      <w:sz w:val="24"/>
    </w:rPr>
  </w:style>
  <w:style w:type="paragraph" w:customStyle="1" w:styleId="387">
    <w:name w:val="样式3"/>
    <w:basedOn w:val="1"/>
    <w:next w:val="1"/>
    <w:qFormat/>
    <w:uiPriority w:val="0"/>
  </w:style>
  <w:style w:type="paragraph" w:customStyle="1" w:styleId="388">
    <w:name w:val="样式2"/>
    <w:basedOn w:val="1"/>
    <w:qFormat/>
    <w:uiPriority w:val="0"/>
    <w:pPr>
      <w:ind w:left="200" w:leftChars="200"/>
    </w:pPr>
    <w:rPr>
      <w:rFonts w:ascii="宋体" w:hAnsi="宋体"/>
      <w:b/>
      <w:sz w:val="24"/>
      <w:szCs w:val="24"/>
    </w:rPr>
  </w:style>
  <w:style w:type="paragraph" w:customStyle="1" w:styleId="389">
    <w:name w:val="Char Char Char Char Char Char Char Char1"/>
    <w:basedOn w:val="1"/>
    <w:qFormat/>
    <w:uiPriority w:val="0"/>
    <w:rPr>
      <w:rFonts w:ascii="Tahoma" w:hAnsi="Tahoma" w:cs="Tahoma"/>
      <w:sz w:val="24"/>
    </w:rPr>
  </w:style>
  <w:style w:type="paragraph" w:customStyle="1" w:styleId="390">
    <w:name w:val="正文文本 211"/>
    <w:basedOn w:val="1"/>
    <w:qFormat/>
    <w:uiPriority w:val="0"/>
    <w:pPr>
      <w:widowControl/>
      <w:overflowPunct w:val="0"/>
      <w:autoSpaceDE w:val="0"/>
      <w:autoSpaceDN w:val="0"/>
      <w:ind w:left="720" w:hanging="720"/>
      <w:textAlignment w:val="baseline"/>
    </w:pPr>
    <w:rPr>
      <w:kern w:val="0"/>
      <w:sz w:val="24"/>
      <w:lang w:val="en-GB"/>
    </w:rPr>
  </w:style>
  <w:style w:type="paragraph" w:customStyle="1" w:styleId="391">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92">
    <w:name w:val="纯文本1"/>
    <w:basedOn w:val="1"/>
    <w:qFormat/>
    <w:uiPriority w:val="0"/>
    <w:pPr>
      <w:textAlignment w:val="baseline"/>
    </w:pPr>
    <w:rPr>
      <w:rFonts w:ascii="宋体" w:hAnsi="宋体" w:eastAsia="楷体_GB2312" w:cs="宋体"/>
      <w:sz w:val="28"/>
    </w:rPr>
  </w:style>
  <w:style w:type="paragraph" w:customStyle="1" w:styleId="393">
    <w:name w:val="Char Char Char Char Char Char Char1"/>
    <w:basedOn w:val="1"/>
    <w:qFormat/>
    <w:uiPriority w:val="0"/>
    <w:pPr>
      <w:jc w:val="left"/>
    </w:pPr>
    <w:rPr>
      <w:rFonts w:ascii="Tahoma" w:hAnsi="Tahoma"/>
      <w:sz w:val="24"/>
    </w:rPr>
  </w:style>
  <w:style w:type="paragraph" w:customStyle="1" w:styleId="394">
    <w:name w:val="Char Char Char Char Char Char Char1 Char"/>
    <w:basedOn w:val="1"/>
    <w:qFormat/>
    <w:uiPriority w:val="0"/>
    <w:rPr>
      <w:rFonts w:ascii="Tahoma" w:hAnsi="Tahoma" w:cs="Tahoma"/>
      <w:sz w:val="24"/>
    </w:rPr>
  </w:style>
  <w:style w:type="paragraph" w:customStyle="1" w:styleId="395">
    <w:name w:val="Char Char Char Char Char Char Char Char Char Char Char Char Char Char Char Char Char Char Char Char Char1"/>
    <w:basedOn w:val="1"/>
    <w:qFormat/>
    <w:uiPriority w:val="0"/>
    <w:rPr>
      <w:rFonts w:ascii="Tahoma" w:hAnsi="Tahoma"/>
      <w:sz w:val="24"/>
    </w:rPr>
  </w:style>
  <w:style w:type="paragraph" w:customStyle="1" w:styleId="396">
    <w:name w:val="7"/>
    <w:basedOn w:val="1"/>
    <w:next w:val="48"/>
    <w:qFormat/>
    <w:uiPriority w:val="0"/>
    <w:pPr>
      <w:widowControl/>
      <w:spacing w:before="100" w:beforeAutospacing="1" w:after="100" w:afterAutospacing="1"/>
      <w:jc w:val="left"/>
    </w:pPr>
    <w:rPr>
      <w:rFonts w:ascii="宋体" w:hAnsi="宋体"/>
      <w:kern w:val="0"/>
      <w:sz w:val="24"/>
    </w:rPr>
  </w:style>
  <w:style w:type="paragraph" w:customStyle="1" w:styleId="397">
    <w:name w:val="Pa5"/>
    <w:basedOn w:val="1"/>
    <w:next w:val="1"/>
    <w:qFormat/>
    <w:uiPriority w:val="0"/>
    <w:pPr>
      <w:autoSpaceDE w:val="0"/>
      <w:autoSpaceDN w:val="0"/>
      <w:spacing w:line="241" w:lineRule="atLeast"/>
      <w:jc w:val="left"/>
    </w:pPr>
    <w:rPr>
      <w:rFonts w:ascii="HYDaHeiJ" w:eastAsia="HYDaHeiJ"/>
      <w:kern w:val="0"/>
      <w:sz w:val="24"/>
      <w:szCs w:val="24"/>
    </w:rPr>
  </w:style>
  <w:style w:type="paragraph" w:customStyle="1" w:styleId="398">
    <w:name w:val="正文文本缩进1"/>
    <w:basedOn w:val="1"/>
    <w:qFormat/>
    <w:uiPriority w:val="0"/>
    <w:pPr>
      <w:spacing w:after="120"/>
      <w:ind w:left="420" w:leftChars="200"/>
    </w:pPr>
    <w:rPr>
      <w:szCs w:val="24"/>
    </w:rPr>
  </w:style>
  <w:style w:type="paragraph" w:customStyle="1" w:styleId="399">
    <w:name w:val="标题1，章节第一层"/>
    <w:basedOn w:val="218"/>
    <w:next w:val="218"/>
    <w:qFormat/>
    <w:uiPriority w:val="0"/>
    <w:pPr>
      <w:tabs>
        <w:tab w:val="left" w:pos="693"/>
      </w:tabs>
      <w:spacing w:beforeLines="0"/>
      <w:ind w:left="482"/>
      <w:outlineLvl w:val="0"/>
    </w:pPr>
    <w:rPr>
      <w:color w:val="000000"/>
      <w:sz w:val="24"/>
      <w:szCs w:val="24"/>
    </w:rPr>
  </w:style>
  <w:style w:type="paragraph" w:customStyle="1" w:styleId="400">
    <w:name w:val="Char Char Char Char Char Char"/>
    <w:basedOn w:val="1"/>
    <w:qFormat/>
    <w:uiPriority w:val="0"/>
    <w:rPr>
      <w:rFonts w:ascii="Tahoma" w:hAnsi="Tahoma" w:cs="Tahoma"/>
      <w:sz w:val="24"/>
    </w:rPr>
  </w:style>
  <w:style w:type="paragraph" w:customStyle="1" w:styleId="401">
    <w:name w:val="一级标题"/>
    <w:basedOn w:val="1"/>
    <w:qFormat/>
    <w:uiPriority w:val="0"/>
    <w:pPr>
      <w:tabs>
        <w:tab w:val="left" w:pos="903"/>
      </w:tabs>
      <w:ind w:left="900" w:hanging="420"/>
    </w:pPr>
    <w:rPr>
      <w:rFonts w:ascii="Arial" w:hAnsi="Arial" w:cs="Arial"/>
      <w:sz w:val="24"/>
    </w:rPr>
  </w:style>
  <w:style w:type="paragraph" w:customStyle="1" w:styleId="402">
    <w:name w:val="标题4，章节第四层"/>
    <w:basedOn w:val="1"/>
    <w:next w:val="1"/>
    <w:qFormat/>
    <w:uiPriority w:val="0"/>
    <w:pPr>
      <w:tabs>
        <w:tab w:val="left" w:pos="0"/>
      </w:tabs>
      <w:outlineLvl w:val="3"/>
    </w:pPr>
    <w:rPr>
      <w:rFonts w:ascii="宋体" w:hAnsi="宋体"/>
      <w:b/>
      <w:sz w:val="24"/>
      <w:szCs w:val="24"/>
    </w:rPr>
  </w:style>
  <w:style w:type="paragraph" w:customStyle="1" w:styleId="403">
    <w:name w:val="项目符号，二级"/>
    <w:basedOn w:val="218"/>
    <w:next w:val="218"/>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404">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405">
    <w:name w:val="zw"/>
    <w:basedOn w:val="1"/>
    <w:qFormat/>
    <w:uiPriority w:val="0"/>
    <w:pPr>
      <w:widowControl/>
      <w:ind w:firstLine="480" w:firstLineChars="200"/>
      <w:jc w:val="left"/>
    </w:pPr>
    <w:rPr>
      <w:rFonts w:ascii="宋体" w:hAnsi="宋体"/>
      <w:bCs/>
      <w:kern w:val="0"/>
      <w:sz w:val="24"/>
    </w:rPr>
  </w:style>
  <w:style w:type="paragraph" w:customStyle="1" w:styleId="406">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407">
    <w:name w:val="Normal1"/>
    <w:basedOn w:val="1"/>
    <w:qFormat/>
    <w:uiPriority w:val="0"/>
    <w:rPr>
      <w:rFonts w:ascii="Calibri" w:hAnsi="Calibri" w:eastAsia="Calibri" w:cs="宋体"/>
      <w:kern w:val="0"/>
      <w:lang w:val="zh-CN"/>
    </w:rPr>
  </w:style>
  <w:style w:type="paragraph" w:customStyle="1" w:styleId="408">
    <w:name w:val="表格文字"/>
    <w:basedOn w:val="1"/>
    <w:qFormat/>
    <w:uiPriority w:val="0"/>
    <w:pPr>
      <w:ind w:firstLine="200" w:firstLineChars="200"/>
      <w:jc w:val="left"/>
      <w:textAlignment w:val="baseline"/>
    </w:pPr>
    <w:rPr>
      <w:rFonts w:ascii="Arial" w:hAnsi="Arial"/>
      <w:kern w:val="0"/>
      <w:sz w:val="24"/>
    </w:rPr>
  </w:style>
  <w:style w:type="paragraph" w:customStyle="1" w:styleId="409">
    <w:name w:val="Char Char3"/>
    <w:basedOn w:val="1"/>
    <w:qFormat/>
    <w:uiPriority w:val="0"/>
    <w:rPr>
      <w:rFonts w:ascii="Tahoma" w:hAnsi="Tahoma"/>
      <w:sz w:val="24"/>
    </w:rPr>
  </w:style>
  <w:style w:type="paragraph" w:customStyle="1" w:styleId="410">
    <w:name w:val="Char2 Char Char Char Char Char Char"/>
    <w:basedOn w:val="1"/>
    <w:qFormat/>
    <w:uiPriority w:val="0"/>
    <w:rPr>
      <w:sz w:val="24"/>
      <w:szCs w:val="24"/>
    </w:rPr>
  </w:style>
  <w:style w:type="paragraph" w:customStyle="1" w:styleId="411">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2">
    <w:name w:val="正文21"/>
    <w:basedOn w:val="1"/>
    <w:qFormat/>
    <w:uiPriority w:val="0"/>
    <w:pPr>
      <w:spacing w:before="156"/>
      <w:ind w:firstLine="510" w:firstLineChars="200"/>
    </w:pPr>
    <w:rPr>
      <w:sz w:val="24"/>
    </w:rPr>
  </w:style>
  <w:style w:type="paragraph" w:customStyle="1" w:styleId="41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样式"/>
    <w:basedOn w:val="1"/>
    <w:qFormat/>
    <w:uiPriority w:val="0"/>
    <w:pPr>
      <w:autoSpaceDE w:val="0"/>
      <w:autoSpaceDN w:val="0"/>
      <w:spacing w:before="120" w:after="120"/>
    </w:pPr>
    <w:rPr>
      <w:rFonts w:ascii="宋体"/>
      <w:sz w:val="24"/>
    </w:rPr>
  </w:style>
  <w:style w:type="paragraph" w:customStyle="1" w:styleId="415">
    <w:name w:val="样式1"/>
    <w:basedOn w:val="1"/>
    <w:qFormat/>
    <w:uiPriority w:val="0"/>
    <w:pPr>
      <w:spacing w:line="300" w:lineRule="auto"/>
      <w:ind w:firstLine="480" w:firstLineChars="200"/>
    </w:pPr>
    <w:rPr>
      <w:sz w:val="24"/>
      <w:szCs w:val="24"/>
    </w:rPr>
  </w:style>
  <w:style w:type="paragraph" w:customStyle="1" w:styleId="416">
    <w:name w:val="Char2 Char Char Char Char Char Char1"/>
    <w:basedOn w:val="1"/>
    <w:qFormat/>
    <w:uiPriority w:val="0"/>
    <w:pPr>
      <w:keepNext/>
      <w:widowControl/>
      <w:tabs>
        <w:tab w:val="left" w:pos="425"/>
      </w:tabs>
      <w:autoSpaceDE w:val="0"/>
      <w:autoSpaceDN w:val="0"/>
      <w:spacing w:before="80" w:after="80"/>
      <w:ind w:hanging="425"/>
    </w:pPr>
    <w:rPr>
      <w:rFonts w:ascii="Arial" w:hAnsi="Arial" w:cs="Arial"/>
      <w:sz w:val="20"/>
    </w:rPr>
  </w:style>
  <w:style w:type="paragraph" w:customStyle="1" w:styleId="417">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4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19">
    <w:name w:val="tableau"/>
    <w:basedOn w:val="1"/>
    <w:qFormat/>
    <w:uiPriority w:val="0"/>
    <w:pPr>
      <w:widowControl/>
      <w:spacing w:before="20" w:after="20"/>
      <w:jc w:val="center"/>
    </w:pPr>
    <w:rPr>
      <w:rFonts w:ascii="Arial" w:hAnsi="Arial"/>
      <w:kern w:val="0"/>
      <w:sz w:val="16"/>
      <w:lang w:val="en-GB" w:eastAsia="en-US"/>
    </w:rPr>
  </w:style>
  <w:style w:type="paragraph" w:customStyle="1" w:styleId="420">
    <w:name w:val="默认段落字体 Para Char"/>
    <w:basedOn w:val="1"/>
    <w:qFormat/>
    <w:uiPriority w:val="0"/>
    <w:rPr>
      <w:sz w:val="24"/>
      <w:szCs w:val="24"/>
    </w:rPr>
  </w:style>
  <w:style w:type="paragraph" w:customStyle="1" w:styleId="4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23">
    <w:name w:val="样式 样式 首行缩进:  2 字符 + 行距: 1.5 倍行距"/>
    <w:basedOn w:val="1"/>
    <w:qFormat/>
    <w:uiPriority w:val="0"/>
    <w:pPr>
      <w:ind w:firstLine="470" w:firstLineChars="196"/>
    </w:pPr>
    <w:rPr>
      <w:sz w:val="24"/>
    </w:rPr>
  </w:style>
  <w:style w:type="paragraph" w:customStyle="1" w:styleId="424">
    <w:name w:val="丁华标题1"/>
    <w:basedOn w:val="3"/>
    <w:next w:val="286"/>
    <w:qFormat/>
    <w:uiPriority w:val="0"/>
    <w:pPr>
      <w:keepLines/>
      <w:tabs>
        <w:tab w:val="left" w:pos="567"/>
        <w:tab w:val="clear" w:pos="5670"/>
      </w:tabs>
      <w:spacing w:beforeLines="0" w:afterLines="0" w:line="578" w:lineRule="auto"/>
      <w:ind w:left="567" w:firstLine="0" w:firstLineChars="0"/>
      <w:jc w:val="left"/>
    </w:pPr>
    <w:rPr>
      <w:rFonts w:ascii="Times New Roman"/>
      <w:b w:val="0"/>
      <w:sz w:val="32"/>
      <w:szCs w:val="20"/>
    </w:rPr>
  </w:style>
  <w:style w:type="paragraph" w:customStyle="1" w:styleId="425">
    <w:name w:val="正文 首行缩进:  2 字符 Char Char"/>
    <w:basedOn w:val="1"/>
    <w:qFormat/>
    <w:uiPriority w:val="0"/>
    <w:pPr>
      <w:ind w:firstLine="480"/>
    </w:pPr>
    <w:rPr>
      <w:rFonts w:ascii="楷体_GB2312" w:eastAsia="楷体_GB2312"/>
      <w:bCs/>
      <w:sz w:val="24"/>
      <w:szCs w:val="24"/>
    </w:rPr>
  </w:style>
  <w:style w:type="character" w:customStyle="1" w:styleId="426">
    <w:name w:val="正文文本 Char2"/>
    <w:semiHidden/>
    <w:qFormat/>
    <w:uiPriority w:val="99"/>
    <w:rPr>
      <w:rFonts w:ascii="Calibri" w:hAnsi="Calibri" w:eastAsia="宋体" w:cs="Times New Roman"/>
    </w:rPr>
  </w:style>
  <w:style w:type="character" w:customStyle="1" w:styleId="427">
    <w:name w:val="副标题 Char"/>
    <w:qFormat/>
    <w:uiPriority w:val="0"/>
    <w:rPr>
      <w:rFonts w:ascii="Cambria" w:hAnsi="Cambria"/>
      <w:b/>
      <w:bCs/>
      <w:kern w:val="28"/>
      <w:sz w:val="32"/>
      <w:szCs w:val="32"/>
    </w:rPr>
  </w:style>
  <w:style w:type="character" w:customStyle="1" w:styleId="428">
    <w:name w:val="标题5 Char Char"/>
    <w:link w:val="429"/>
    <w:qFormat/>
    <w:uiPriority w:val="0"/>
    <w:rPr>
      <w:rFonts w:ascii="Arial" w:hAnsi="Arial"/>
      <w:b/>
      <w:bCs/>
      <w:sz w:val="24"/>
      <w:szCs w:val="32"/>
    </w:rPr>
  </w:style>
  <w:style w:type="paragraph" w:customStyle="1" w:styleId="429">
    <w:name w:val="标题5"/>
    <w:basedOn w:val="5"/>
    <w:link w:val="428"/>
    <w:qFormat/>
    <w:uiPriority w:val="0"/>
    <w:pPr>
      <w:shd w:val="clear" w:color="auto" w:fill="auto"/>
      <w:wordWrap/>
      <w:spacing w:before="260" w:after="260" w:line="413" w:lineRule="auto"/>
    </w:pPr>
    <w:rPr>
      <w:rFonts w:ascii="Arial" w:hAnsi="Arial" w:eastAsia="等线"/>
      <w:bCs/>
      <w:sz w:val="24"/>
      <w:szCs w:val="32"/>
    </w:rPr>
  </w:style>
  <w:style w:type="character" w:customStyle="1" w:styleId="430">
    <w:name w:val="页脚 Char1"/>
    <w:semiHidden/>
    <w:qFormat/>
    <w:uiPriority w:val="99"/>
    <w:rPr>
      <w:rFonts w:ascii="Calibri" w:hAnsi="Calibri" w:eastAsia="宋体" w:cs="Times New Roman"/>
      <w:sz w:val="18"/>
      <w:szCs w:val="18"/>
    </w:rPr>
  </w:style>
  <w:style w:type="character" w:customStyle="1" w:styleId="431">
    <w:name w:val="文档结构图 Char2"/>
    <w:semiHidden/>
    <w:qFormat/>
    <w:uiPriority w:val="99"/>
    <w:rPr>
      <w:rFonts w:ascii="宋体" w:hAnsi="Calibri" w:eastAsia="宋体" w:cs="Times New Roman"/>
      <w:sz w:val="18"/>
      <w:szCs w:val="18"/>
    </w:rPr>
  </w:style>
  <w:style w:type="character" w:customStyle="1" w:styleId="432">
    <w:name w:val="bookmark"/>
    <w:qFormat/>
    <w:uiPriority w:val="0"/>
  </w:style>
  <w:style w:type="character" w:customStyle="1" w:styleId="433">
    <w:name w:val="批注框文本 Char1"/>
    <w:qFormat/>
    <w:uiPriority w:val="0"/>
    <w:rPr>
      <w:kern w:val="2"/>
      <w:sz w:val="18"/>
      <w:szCs w:val="18"/>
    </w:rPr>
  </w:style>
  <w:style w:type="character" w:customStyle="1" w:styleId="434">
    <w:name w:val="正文文本 Char1"/>
    <w:qFormat/>
    <w:uiPriority w:val="0"/>
    <w:rPr>
      <w:rFonts w:ascii="Calibri" w:hAnsi="Calibri" w:eastAsia="宋体" w:cs="Times New Roman"/>
    </w:rPr>
  </w:style>
  <w:style w:type="character" w:customStyle="1" w:styleId="435">
    <w:name w:val="未处理的提及"/>
    <w:unhideWhenUsed/>
    <w:qFormat/>
    <w:uiPriority w:val="99"/>
    <w:rPr>
      <w:color w:val="605E5C"/>
      <w:shd w:val="clear" w:color="auto" w:fill="E1DFDD"/>
    </w:rPr>
  </w:style>
  <w:style w:type="character" w:customStyle="1" w:styleId="436">
    <w:name w:val="批注文字 Char1"/>
    <w:qFormat/>
    <w:uiPriority w:val="99"/>
    <w:rPr>
      <w:rFonts w:ascii="Calibri" w:hAnsi="Calibri" w:eastAsia="宋体" w:cs="Times New Roman"/>
    </w:rPr>
  </w:style>
  <w:style w:type="character" w:customStyle="1" w:styleId="437">
    <w:name w:val="明显引用 Char1"/>
    <w:qFormat/>
    <w:uiPriority w:val="30"/>
    <w:rPr>
      <w:b/>
      <w:bCs/>
      <w:i/>
      <w:iCs/>
      <w:color w:val="4F81BD"/>
    </w:rPr>
  </w:style>
  <w:style w:type="character" w:customStyle="1" w:styleId="438">
    <w:name w:val="页眉 Char1"/>
    <w:semiHidden/>
    <w:qFormat/>
    <w:uiPriority w:val="99"/>
    <w:rPr>
      <w:rFonts w:ascii="Calibri" w:hAnsi="Calibri" w:eastAsia="宋体" w:cs="Times New Roman"/>
      <w:sz w:val="18"/>
      <w:szCs w:val="18"/>
    </w:rPr>
  </w:style>
  <w:style w:type="character" w:customStyle="1" w:styleId="439">
    <w:name w:val="日期 Char2"/>
    <w:semiHidden/>
    <w:qFormat/>
    <w:uiPriority w:val="99"/>
    <w:rPr>
      <w:rFonts w:ascii="Calibri" w:hAnsi="Calibri" w:eastAsia="宋体" w:cs="Times New Roman"/>
    </w:rPr>
  </w:style>
  <w:style w:type="character" w:customStyle="1" w:styleId="440">
    <w:name w:val="引用 Char1"/>
    <w:qFormat/>
    <w:uiPriority w:val="29"/>
    <w:rPr>
      <w:i/>
      <w:iCs/>
      <w:color w:val="000000"/>
    </w:rPr>
  </w:style>
  <w:style w:type="character" w:customStyle="1" w:styleId="441">
    <w:name w:val="批注文字 Char2"/>
    <w:qFormat/>
    <w:uiPriority w:val="0"/>
    <w:rPr>
      <w:kern w:val="2"/>
      <w:sz w:val="21"/>
    </w:rPr>
  </w:style>
  <w:style w:type="character" w:customStyle="1" w:styleId="442">
    <w:name w:val="文档结构图 Char1"/>
    <w:qFormat/>
    <w:uiPriority w:val="0"/>
    <w:rPr>
      <w:rFonts w:ascii="宋体" w:hAnsi="Calibri" w:eastAsia="宋体" w:cs="Times New Roman"/>
      <w:sz w:val="18"/>
      <w:szCs w:val="18"/>
    </w:rPr>
  </w:style>
  <w:style w:type="character" w:customStyle="1" w:styleId="443">
    <w:name w:val="标题4 Char Char"/>
    <w:link w:val="444"/>
    <w:qFormat/>
    <w:uiPriority w:val="0"/>
    <w:rPr>
      <w:rFonts w:ascii="Arial" w:hAnsi="Arial"/>
      <w:b/>
      <w:bCs/>
      <w:sz w:val="24"/>
      <w:szCs w:val="32"/>
    </w:rPr>
  </w:style>
  <w:style w:type="paragraph" w:customStyle="1" w:styleId="444">
    <w:name w:val="标题4"/>
    <w:basedOn w:val="4"/>
    <w:next w:val="26"/>
    <w:link w:val="443"/>
    <w:qFormat/>
    <w:uiPriority w:val="0"/>
    <w:pPr>
      <w:spacing w:before="260" w:after="260" w:line="413" w:lineRule="auto"/>
      <w:jc w:val="both"/>
    </w:pPr>
    <w:rPr>
      <w:rFonts w:ascii="Arial" w:hAnsi="Arial" w:eastAsia="等线"/>
      <w:bCs/>
      <w:sz w:val="24"/>
      <w:szCs w:val="32"/>
    </w:rPr>
  </w:style>
  <w:style w:type="character" w:customStyle="1" w:styleId="445">
    <w:name w:val="批注框文本 Char2"/>
    <w:semiHidden/>
    <w:qFormat/>
    <w:uiPriority w:val="99"/>
    <w:rPr>
      <w:rFonts w:ascii="Calibri" w:hAnsi="Calibri" w:eastAsia="宋体" w:cs="Times New Roman"/>
      <w:sz w:val="18"/>
      <w:szCs w:val="18"/>
    </w:rPr>
  </w:style>
  <w:style w:type="character" w:customStyle="1" w:styleId="446">
    <w:name w:val="批注主题 Char1"/>
    <w:qFormat/>
    <w:uiPriority w:val="0"/>
    <w:rPr>
      <w:b/>
      <w:bCs/>
      <w:kern w:val="2"/>
      <w:sz w:val="21"/>
      <w:szCs w:val="22"/>
    </w:rPr>
  </w:style>
  <w:style w:type="character" w:customStyle="1" w:styleId="447">
    <w:name w:val="批注主题 Char2"/>
    <w:qFormat/>
    <w:uiPriority w:val="99"/>
    <w:rPr>
      <w:rFonts w:ascii="Times New Roman" w:hAnsi="Times New Roman" w:eastAsia="宋体" w:cs="Times New Roman"/>
      <w:b/>
      <w:bCs/>
      <w:kern w:val="2"/>
      <w:sz w:val="21"/>
      <w:lang w:val="en-US" w:eastAsia="zh-CN" w:bidi="ar-SA"/>
    </w:rPr>
  </w:style>
  <w:style w:type="character" w:customStyle="1" w:styleId="448">
    <w:name w:val="日期 Char1"/>
    <w:qFormat/>
    <w:uiPriority w:val="0"/>
    <w:rPr>
      <w:rFonts w:ascii="Calibri" w:hAnsi="Calibri" w:eastAsia="宋体" w:cs="Times New Roman"/>
    </w:rPr>
  </w:style>
  <w:style w:type="character" w:customStyle="1" w:styleId="449">
    <w:name w:val="font161"/>
    <w:qFormat/>
    <w:uiPriority w:val="0"/>
    <w:rPr>
      <w:b/>
      <w:sz w:val="32"/>
    </w:rPr>
  </w:style>
  <w:style w:type="paragraph" w:customStyle="1" w:styleId="450">
    <w:name w:val="空半行"/>
    <w:basedOn w:val="1"/>
    <w:qFormat/>
    <w:uiPriority w:val="0"/>
    <w:pPr>
      <w:spacing w:line="120" w:lineRule="exact"/>
      <w:textAlignment w:val="baseline"/>
    </w:pPr>
    <w:rPr>
      <w:rFonts w:eastAsia="仿宋_GB2312"/>
      <w:color w:val="FFFFFF"/>
      <w:kern w:val="0"/>
      <w:sz w:val="30"/>
    </w:rPr>
  </w:style>
  <w:style w:type="paragraph" w:customStyle="1" w:styleId="451">
    <w:name w:val="样式 标题 3 + (中文) 黑体 小四 非加粗 段前: 7.8 磅 段后: 0 磅 行距: 固定值 20 磅"/>
    <w:basedOn w:val="5"/>
    <w:qFormat/>
    <w:uiPriority w:val="0"/>
    <w:pPr>
      <w:shd w:val="clear" w:color="auto" w:fill="auto"/>
      <w:wordWrap/>
      <w:spacing w:line="400" w:lineRule="exact"/>
    </w:pPr>
    <w:rPr>
      <w:rFonts w:ascii="Times New Roman" w:hAnsi="Times New Roman" w:eastAsia="黑体"/>
      <w:b w:val="0"/>
      <w:sz w:val="24"/>
      <w:szCs w:val="20"/>
    </w:rPr>
  </w:style>
  <w:style w:type="paragraph" w:customStyle="1" w:styleId="452">
    <w:name w:val="Blockquote"/>
    <w:basedOn w:val="1"/>
    <w:qFormat/>
    <w:uiPriority w:val="0"/>
    <w:pPr>
      <w:autoSpaceDE w:val="0"/>
      <w:autoSpaceDN w:val="0"/>
      <w:spacing w:before="100" w:after="100"/>
      <w:ind w:left="360" w:right="360"/>
      <w:jc w:val="left"/>
    </w:pPr>
    <w:rPr>
      <w:kern w:val="0"/>
      <w:sz w:val="24"/>
    </w:rPr>
  </w:style>
  <w:style w:type="paragraph" w:customStyle="1" w:styleId="453">
    <w:name w:val="_Style 13"/>
    <w:next w:val="1"/>
    <w:qFormat/>
    <w:uiPriority w:val="0"/>
    <w:rPr>
      <w:rFonts w:ascii="Times New Roman" w:hAnsi="Times New Roman" w:eastAsia="宋体" w:cs="Times New Roman"/>
      <w:lang w:val="en-US" w:eastAsia="zh-CN" w:bidi="ar-SA"/>
    </w:rPr>
  </w:style>
  <w:style w:type="paragraph" w:customStyle="1" w:styleId="454">
    <w:name w:val="6'"/>
    <w:basedOn w:val="1"/>
    <w:qFormat/>
    <w:uiPriority w:val="0"/>
    <w:pPr>
      <w:autoSpaceDE w:val="0"/>
      <w:autoSpaceDN w:val="0"/>
      <w:spacing w:line="320" w:lineRule="exact"/>
      <w:jc w:val="center"/>
      <w:textAlignment w:val="baseline"/>
    </w:pPr>
    <w:rPr>
      <w:spacing w:val="20"/>
      <w:kern w:val="28"/>
    </w:rPr>
  </w:style>
  <w:style w:type="paragraph" w:customStyle="1" w:styleId="455">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b w:val="0"/>
      <w:sz w:val="28"/>
      <w:szCs w:val="20"/>
    </w:rPr>
  </w:style>
  <w:style w:type="paragraph" w:customStyle="1" w:styleId="456">
    <w:name w:val="样式 标题 1 + 黑体 三号 非加粗 居中 段前: 6 磅 段后: 6 磅 行距: 固定值 20 磅"/>
    <w:basedOn w:val="3"/>
    <w:qFormat/>
    <w:uiPriority w:val="0"/>
    <w:pPr>
      <w:keepLines/>
      <w:tabs>
        <w:tab w:val="clear" w:pos="1440"/>
        <w:tab w:val="clear" w:pos="5670"/>
      </w:tabs>
      <w:spacing w:beforeLines="0" w:afterLines="0" w:line="400" w:lineRule="exact"/>
      <w:ind w:firstLine="0" w:firstLineChars="0"/>
      <w:jc w:val="center"/>
    </w:pPr>
    <w:rPr>
      <w:rFonts w:hAnsi="黑体"/>
      <w:b w:val="0"/>
      <w:sz w:val="32"/>
      <w:szCs w:val="20"/>
    </w:rPr>
  </w:style>
  <w:style w:type="character" w:customStyle="1" w:styleId="457">
    <w:name w:val="NormalCharacter"/>
    <w:semiHidden/>
    <w:qFormat/>
    <w:uiPriority w:val="0"/>
  </w:style>
  <w:style w:type="character" w:customStyle="1" w:styleId="458">
    <w:name w:val="标题 3 Char Char Char"/>
    <w:qFormat/>
    <w:uiPriority w:val="0"/>
    <w:rPr>
      <w:rFonts w:eastAsia="宋体"/>
      <w:b/>
      <w:kern w:val="2"/>
      <w:sz w:val="32"/>
      <w:lang w:val="en-US" w:eastAsia="zh-CN" w:bidi="ar-SA"/>
    </w:rPr>
  </w:style>
  <w:style w:type="paragraph" w:customStyle="1" w:styleId="459">
    <w:name w:val="ѹʽ ꌢ 2 + Times New Roman ˄ŠǼӴ֠·: 5 󜺠0 ܺ ̶ֵ 20..."/>
    <w:basedOn w:val="1"/>
    <w:qFormat/>
    <w:uiPriority w:val="0"/>
    <w:pPr>
      <w:keepNext/>
      <w:widowControl/>
      <w:spacing w:before="100" w:line="400" w:lineRule="atLeast"/>
    </w:pPr>
    <w:rPr>
      <w:kern w:val="0"/>
      <w:sz w:val="28"/>
      <w:szCs w:val="28"/>
    </w:rPr>
  </w:style>
  <w:style w:type="character" w:customStyle="1" w:styleId="460">
    <w:name w:val="Char Char16"/>
    <w:qFormat/>
    <w:uiPriority w:val="0"/>
    <w:rPr>
      <w:b/>
      <w:bCs/>
      <w:kern w:val="2"/>
      <w:sz w:val="32"/>
      <w:szCs w:val="32"/>
    </w:rPr>
  </w:style>
  <w:style w:type="character" w:customStyle="1" w:styleId="461">
    <w:name w:val="Char Char9"/>
    <w:qFormat/>
    <w:uiPriority w:val="0"/>
    <w:rPr>
      <w:kern w:val="2"/>
      <w:sz w:val="18"/>
      <w:szCs w:val="18"/>
    </w:rPr>
  </w:style>
  <w:style w:type="paragraph" w:customStyle="1" w:styleId="462">
    <w:name w:val="引用1"/>
    <w:basedOn w:val="1"/>
    <w:next w:val="1"/>
    <w:qFormat/>
    <w:uiPriority w:val="0"/>
    <w:rPr>
      <w:i/>
      <w:iCs/>
      <w:color w:val="000000"/>
      <w:kern w:val="0"/>
      <w:sz w:val="20"/>
    </w:rPr>
  </w:style>
  <w:style w:type="character" w:customStyle="1" w:styleId="463">
    <w:name w:val="Char Char171"/>
    <w:qFormat/>
    <w:uiPriority w:val="0"/>
    <w:rPr>
      <w:rFonts w:ascii="Cambria" w:hAnsi="Cambria" w:eastAsia="宋体" w:cs="Times New Roman"/>
      <w:b/>
      <w:bCs/>
      <w:kern w:val="2"/>
      <w:sz w:val="32"/>
      <w:szCs w:val="32"/>
    </w:rPr>
  </w:style>
  <w:style w:type="paragraph" w:customStyle="1" w:styleId="464">
    <w:name w:val="明显引用1"/>
    <w:basedOn w:val="1"/>
    <w:next w:val="1"/>
    <w:qFormat/>
    <w:uiPriority w:val="0"/>
    <w:pPr>
      <w:pBdr>
        <w:bottom w:val="single" w:color="4F81BD" w:sz="4" w:space="4"/>
      </w:pBdr>
      <w:spacing w:before="200" w:after="280"/>
      <w:ind w:left="936" w:right="936"/>
    </w:pPr>
    <w:rPr>
      <w:b/>
      <w:bCs/>
      <w:i/>
      <w:iCs/>
      <w:color w:val="4F81BD"/>
      <w:kern w:val="0"/>
      <w:sz w:val="20"/>
    </w:rPr>
  </w:style>
  <w:style w:type="character" w:customStyle="1" w:styleId="465">
    <w:name w:val="rvts56"/>
    <w:qFormat/>
    <w:uiPriority w:val="0"/>
    <w:rPr>
      <w:rFonts w:hint="default" w:ascii="knle" w:hAnsi="knle"/>
      <w:color w:val="000000"/>
      <w:sz w:val="24"/>
      <w:szCs w:val="24"/>
    </w:rPr>
  </w:style>
  <w:style w:type="character" w:customStyle="1" w:styleId="466">
    <w:name w:val="rvts12"/>
    <w:qFormat/>
    <w:uiPriority w:val="0"/>
    <w:rPr>
      <w:rFonts w:hint="default" w:ascii="knle" w:hAnsi="knle"/>
      <w:color w:val="000000"/>
      <w:sz w:val="24"/>
      <w:szCs w:val="24"/>
    </w:rPr>
  </w:style>
  <w:style w:type="character" w:customStyle="1" w:styleId="467">
    <w:name w:val="批注主题 Char3"/>
    <w:qFormat/>
    <w:uiPriority w:val="0"/>
    <w:rPr>
      <w:kern w:val="2"/>
      <w:sz w:val="21"/>
    </w:rPr>
  </w:style>
  <w:style w:type="paragraph" w:customStyle="1" w:styleId="468">
    <w:name w:val="_Style 33"/>
    <w:next w:v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69">
    <w:name w:val="批注主题 Char4"/>
    <w:qFormat/>
    <w:uiPriority w:val="0"/>
  </w:style>
  <w:style w:type="character" w:customStyle="1" w:styleId="470">
    <w:name w:val="批注文字 Char Char"/>
    <w:qFormat/>
    <w:uiPriority w:val="0"/>
    <w:rPr>
      <w:rFonts w:ascii="宋体" w:hAnsi="Times New Roman" w:eastAsia="宋体" w:cs="Times New Roman"/>
      <w:sz w:val="28"/>
      <w:szCs w:val="20"/>
    </w:rPr>
  </w:style>
  <w:style w:type="paragraph" w:customStyle="1" w:styleId="471">
    <w:name w:val="普通正文"/>
    <w:basedOn w:val="1"/>
    <w:qFormat/>
    <w:uiPriority w:val="0"/>
    <w:pPr>
      <w:spacing w:before="120" w:after="120"/>
      <w:ind w:firstLine="480"/>
      <w:jc w:val="left"/>
      <w:textAlignment w:val="baseline"/>
    </w:pPr>
    <w:rPr>
      <w:rFonts w:ascii="Arial" w:hAnsi="Arial"/>
      <w:kern w:val="0"/>
      <w:sz w:val="24"/>
      <w:szCs w:val="24"/>
    </w:rPr>
  </w:style>
  <w:style w:type="character" w:customStyle="1" w:styleId="472">
    <w:name w:val="标题 1 字符2"/>
    <w:qFormat/>
    <w:uiPriority w:val="0"/>
    <w:rPr>
      <w:rFonts w:ascii="宋体" w:hAnsi="Times New Roman" w:eastAsia="宋体" w:cs="Times New Roman"/>
      <w:b/>
      <w:bCs/>
      <w:kern w:val="44"/>
      <w:sz w:val="44"/>
      <w:szCs w:val="44"/>
    </w:rPr>
  </w:style>
  <w:style w:type="character" w:customStyle="1" w:styleId="473">
    <w:name w:val="页眉 字符2"/>
    <w:qFormat/>
    <w:uiPriority w:val="0"/>
    <w:rPr>
      <w:rFonts w:ascii="Times New Roman" w:hAnsi="Times New Roman" w:eastAsia="宋体" w:cs="Times New Roman"/>
      <w:color w:val="000000"/>
      <w:kern w:val="0"/>
      <w:sz w:val="18"/>
      <w:szCs w:val="18"/>
    </w:rPr>
  </w:style>
  <w:style w:type="character" w:customStyle="1" w:styleId="474">
    <w:name w:val="页脚 字符2"/>
    <w:qFormat/>
    <w:uiPriority w:val="99"/>
    <w:rPr>
      <w:rFonts w:ascii="Times New Roman" w:hAnsi="Times New Roman" w:eastAsia="宋体" w:cs="Times New Roman"/>
      <w:color w:val="000000"/>
      <w:kern w:val="0"/>
      <w:sz w:val="18"/>
      <w:szCs w:val="18"/>
    </w:rPr>
  </w:style>
  <w:style w:type="character" w:customStyle="1" w:styleId="475">
    <w:name w:val="标题 2 字符2"/>
    <w:qFormat/>
    <w:uiPriority w:val="0"/>
    <w:rPr>
      <w:rFonts w:ascii="新宋体" w:hAnsi="新宋体" w:eastAsia="新宋体" w:cs="Times New Roman"/>
      <w:b/>
      <w:bCs/>
      <w:sz w:val="32"/>
      <w:szCs w:val="32"/>
      <w:lang w:val="zh-CN"/>
    </w:rPr>
  </w:style>
  <w:style w:type="character" w:customStyle="1" w:styleId="476">
    <w:name w:val="标题 3 字符2"/>
    <w:qFormat/>
    <w:uiPriority w:val="0"/>
    <w:rPr>
      <w:rFonts w:ascii="宋体" w:hAnsi="Times New Roman" w:eastAsia="宋体" w:cs="Times New Roman"/>
      <w:b/>
      <w:bCs/>
      <w:sz w:val="32"/>
      <w:szCs w:val="32"/>
    </w:rPr>
  </w:style>
  <w:style w:type="character" w:customStyle="1" w:styleId="477">
    <w:name w:val="标题 字符2"/>
    <w:qFormat/>
    <w:uiPriority w:val="0"/>
    <w:rPr>
      <w:rFonts w:ascii="Cambria" w:hAnsi="Cambria" w:eastAsia="宋体" w:cs="Times New Roman"/>
      <w:b/>
      <w:bCs/>
      <w:sz w:val="32"/>
      <w:szCs w:val="32"/>
    </w:rPr>
  </w:style>
  <w:style w:type="paragraph" w:customStyle="1" w:styleId="478">
    <w:name w:val="_Style 30"/>
    <w:basedOn w:val="1"/>
    <w:next w:val="69"/>
    <w:qFormat/>
    <w:uiPriority w:val="34"/>
    <w:pPr>
      <w:ind w:firstLine="420" w:firstLineChars="200"/>
    </w:pPr>
    <w:rPr>
      <w:szCs w:val="22"/>
    </w:rPr>
  </w:style>
  <w:style w:type="paragraph" w:customStyle="1" w:styleId="479">
    <w:name w:val="列表段落11"/>
    <w:basedOn w:val="1"/>
    <w:qFormat/>
    <w:uiPriority w:val="0"/>
    <w:pPr>
      <w:ind w:firstLine="420" w:firstLineChars="200"/>
    </w:pPr>
    <w:rPr>
      <w:rFonts w:ascii="Calibri" w:hAnsi="Calibri"/>
      <w:szCs w:val="21"/>
    </w:rPr>
  </w:style>
  <w:style w:type="character" w:customStyle="1" w:styleId="480">
    <w:name w:val="正文文本 3 字符2"/>
    <w:qFormat/>
    <w:uiPriority w:val="0"/>
    <w:rPr>
      <w:rFonts w:ascii="宋体" w:eastAsia="宋体"/>
      <w:sz w:val="24"/>
    </w:rPr>
  </w:style>
  <w:style w:type="character" w:customStyle="1" w:styleId="481">
    <w:name w:val="不明显强调12"/>
    <w:qFormat/>
    <w:uiPriority w:val="0"/>
    <w:rPr>
      <w:i/>
      <w:iCs/>
      <w:color w:val="808080"/>
    </w:rPr>
  </w:style>
  <w:style w:type="character" w:customStyle="1" w:styleId="482">
    <w:name w:val="书籍标题12"/>
    <w:qFormat/>
    <w:uiPriority w:val="0"/>
    <w:rPr>
      <w:b/>
      <w:bCs/>
      <w:smallCaps/>
      <w:spacing w:val="5"/>
    </w:rPr>
  </w:style>
  <w:style w:type="character" w:customStyle="1" w:styleId="483">
    <w:name w:val="明显引用 字符2"/>
    <w:qFormat/>
    <w:uiPriority w:val="0"/>
    <w:rPr>
      <w:b/>
      <w:bCs/>
      <w:i/>
      <w:iCs/>
      <w:color w:val="4F81BD"/>
    </w:rPr>
  </w:style>
  <w:style w:type="character" w:customStyle="1" w:styleId="484">
    <w:name w:val="标题 5 字符2"/>
    <w:qFormat/>
    <w:uiPriority w:val="0"/>
    <w:rPr>
      <w:rFonts w:ascii="Times New Roman" w:hAnsi="Times New Roman" w:eastAsia="宋体" w:cs="Times New Roman"/>
      <w:b/>
      <w:bCs/>
      <w:sz w:val="28"/>
      <w:szCs w:val="28"/>
    </w:rPr>
  </w:style>
  <w:style w:type="character" w:customStyle="1" w:styleId="485">
    <w:name w:val="标题 7 字符2"/>
    <w:qFormat/>
    <w:uiPriority w:val="0"/>
    <w:rPr>
      <w:rFonts w:ascii="Times New Roman" w:hAnsi="Times New Roman" w:eastAsia="宋体" w:cs="Times New Roman"/>
      <w:b/>
      <w:bCs/>
      <w:sz w:val="24"/>
      <w:szCs w:val="24"/>
    </w:rPr>
  </w:style>
  <w:style w:type="character" w:customStyle="1" w:styleId="486">
    <w:name w:val="明显参考12"/>
    <w:qFormat/>
    <w:uiPriority w:val="0"/>
    <w:rPr>
      <w:b/>
      <w:bCs/>
      <w:smallCaps/>
      <w:color w:val="C0504D"/>
      <w:spacing w:val="5"/>
      <w:u w:val="single"/>
    </w:rPr>
  </w:style>
  <w:style w:type="character" w:customStyle="1" w:styleId="487">
    <w:name w:val="文档结构图 字符2"/>
    <w:qFormat/>
    <w:uiPriority w:val="0"/>
    <w:rPr>
      <w:rFonts w:ascii="Times New Roman" w:hAnsi="Times New Roman"/>
      <w:szCs w:val="24"/>
      <w:shd w:val="clear" w:color="auto" w:fill="000080"/>
    </w:rPr>
  </w:style>
  <w:style w:type="character" w:customStyle="1" w:styleId="488">
    <w:name w:val="日期 字符2"/>
    <w:qFormat/>
    <w:uiPriority w:val="0"/>
    <w:rPr>
      <w:rFonts w:ascii="宋体" w:hAnsi="Times New Roman"/>
      <w:sz w:val="28"/>
    </w:rPr>
  </w:style>
  <w:style w:type="character" w:customStyle="1" w:styleId="489">
    <w:name w:val="引用 字符2"/>
    <w:qFormat/>
    <w:uiPriority w:val="0"/>
    <w:rPr>
      <w:i/>
      <w:iCs/>
      <w:color w:val="000000"/>
    </w:rPr>
  </w:style>
  <w:style w:type="character" w:customStyle="1" w:styleId="490">
    <w:name w:val="正文文本 字符2"/>
    <w:qFormat/>
    <w:uiPriority w:val="0"/>
    <w:rPr>
      <w:rFonts w:ascii="Times New Roman" w:hAnsi="Times New Roman"/>
    </w:rPr>
  </w:style>
  <w:style w:type="character" w:customStyle="1" w:styleId="491">
    <w:name w:val="标题 8 字符2"/>
    <w:qFormat/>
    <w:uiPriority w:val="0"/>
    <w:rPr>
      <w:rFonts w:ascii="Cambria" w:hAnsi="Cambria" w:eastAsia="宋体" w:cs="Times New Roman"/>
      <w:sz w:val="24"/>
      <w:szCs w:val="24"/>
    </w:rPr>
  </w:style>
  <w:style w:type="character" w:customStyle="1" w:styleId="492">
    <w:name w:val="标题 4 字符2"/>
    <w:qFormat/>
    <w:uiPriority w:val="0"/>
    <w:rPr>
      <w:rFonts w:ascii="Cambria" w:hAnsi="Cambria" w:eastAsia="宋体" w:cs="Times New Roman"/>
      <w:b/>
      <w:bCs/>
      <w:sz w:val="28"/>
      <w:szCs w:val="28"/>
    </w:rPr>
  </w:style>
  <w:style w:type="character" w:customStyle="1" w:styleId="493">
    <w:name w:val="明显强调12"/>
    <w:qFormat/>
    <w:uiPriority w:val="0"/>
    <w:rPr>
      <w:b/>
      <w:bCs/>
      <w:i/>
      <w:iCs/>
      <w:color w:val="4F81BD"/>
    </w:rPr>
  </w:style>
  <w:style w:type="character" w:customStyle="1" w:styleId="494">
    <w:name w:val="不明显参考12"/>
    <w:qFormat/>
    <w:uiPriority w:val="0"/>
    <w:rPr>
      <w:smallCaps/>
      <w:color w:val="C0504D"/>
      <w:u w:val="single"/>
    </w:rPr>
  </w:style>
  <w:style w:type="character" w:customStyle="1" w:styleId="495">
    <w:name w:val="标题 9 字符2"/>
    <w:qFormat/>
    <w:uiPriority w:val="0"/>
    <w:rPr>
      <w:rFonts w:ascii="Cambria" w:hAnsi="Cambria" w:eastAsia="宋体" w:cs="Times New Roman"/>
      <w:szCs w:val="21"/>
    </w:rPr>
  </w:style>
  <w:style w:type="character" w:customStyle="1" w:styleId="496">
    <w:name w:val="标题 6 字符2"/>
    <w:qFormat/>
    <w:uiPriority w:val="0"/>
    <w:rPr>
      <w:rFonts w:ascii="Cambria" w:hAnsi="Cambria" w:eastAsia="宋体" w:cs="Times New Roman"/>
      <w:b/>
      <w:bCs/>
      <w:sz w:val="24"/>
      <w:szCs w:val="24"/>
    </w:rPr>
  </w:style>
  <w:style w:type="character" w:customStyle="1" w:styleId="497">
    <w:name w:val="副标题 字符2"/>
    <w:qFormat/>
    <w:uiPriority w:val="0"/>
    <w:rPr>
      <w:rFonts w:ascii="Cambria" w:hAnsi="Cambria" w:cs="Times New Roman"/>
      <w:b/>
      <w:bCs/>
      <w:kern w:val="28"/>
      <w:sz w:val="32"/>
      <w:szCs w:val="32"/>
    </w:rPr>
  </w:style>
  <w:style w:type="paragraph" w:customStyle="1" w:styleId="498">
    <w:name w:val="修订12"/>
    <w:qFormat/>
    <w:uiPriority w:val="0"/>
    <w:rPr>
      <w:rFonts w:ascii="Times New Roman" w:hAnsi="Times New Roman" w:eastAsia="宋体" w:cs="Times New Roman"/>
      <w:kern w:val="2"/>
      <w:sz w:val="21"/>
      <w:szCs w:val="24"/>
      <w:lang w:val="en-US" w:eastAsia="zh-CN" w:bidi="ar-SA"/>
    </w:rPr>
  </w:style>
  <w:style w:type="paragraph" w:customStyle="1" w:styleId="499">
    <w:name w:val="TOC 标题12"/>
    <w:basedOn w:val="3"/>
    <w:next w:val="1"/>
    <w:qFormat/>
    <w:uiPriority w:val="0"/>
    <w:pPr>
      <w:keepLines/>
      <w:tabs>
        <w:tab w:val="clear" w:pos="1440"/>
        <w:tab w:val="clear" w:pos="5670"/>
      </w:tabs>
      <w:spacing w:beforeLines="0" w:afterLines="0" w:line="576" w:lineRule="auto"/>
      <w:ind w:firstLine="0" w:firstLineChars="0"/>
      <w:outlineLvl w:val="9"/>
    </w:pPr>
    <w:rPr>
      <w:rFonts w:ascii="Times New Roman" w:eastAsia="宋体"/>
      <w:bCs/>
      <w:sz w:val="44"/>
      <w:szCs w:val="44"/>
    </w:rPr>
  </w:style>
  <w:style w:type="character" w:customStyle="1" w:styleId="500">
    <w:name w:val="标题 1 字符1"/>
    <w:qFormat/>
    <w:uiPriority w:val="0"/>
    <w:rPr>
      <w:rFonts w:ascii="宋体" w:hAnsi="Times New Roman" w:eastAsia="宋体" w:cs="Times New Roman"/>
      <w:b/>
      <w:bCs/>
      <w:kern w:val="44"/>
      <w:sz w:val="44"/>
      <w:szCs w:val="44"/>
    </w:rPr>
  </w:style>
  <w:style w:type="character" w:customStyle="1" w:styleId="501">
    <w:name w:val="页眉 字符1"/>
    <w:qFormat/>
    <w:uiPriority w:val="0"/>
    <w:rPr>
      <w:rFonts w:ascii="Times New Roman" w:hAnsi="Times New Roman" w:eastAsia="宋体" w:cs="Times New Roman"/>
      <w:color w:val="000000"/>
      <w:kern w:val="0"/>
      <w:sz w:val="18"/>
      <w:szCs w:val="18"/>
    </w:rPr>
  </w:style>
  <w:style w:type="character" w:customStyle="1" w:styleId="502">
    <w:name w:val="页脚 字符1"/>
    <w:qFormat/>
    <w:uiPriority w:val="99"/>
    <w:rPr>
      <w:rFonts w:ascii="Times New Roman" w:hAnsi="Times New Roman" w:eastAsia="宋体" w:cs="Times New Roman"/>
      <w:color w:val="000000"/>
      <w:kern w:val="0"/>
      <w:sz w:val="18"/>
      <w:szCs w:val="18"/>
    </w:rPr>
  </w:style>
  <w:style w:type="character" w:customStyle="1" w:styleId="503">
    <w:name w:val="标题 2 字符1"/>
    <w:qFormat/>
    <w:uiPriority w:val="0"/>
    <w:rPr>
      <w:rFonts w:ascii="新宋体" w:hAnsi="新宋体" w:eastAsia="新宋体" w:cs="Times New Roman"/>
      <w:b/>
      <w:bCs/>
      <w:sz w:val="32"/>
      <w:szCs w:val="32"/>
      <w:lang w:val="zh-CN"/>
    </w:rPr>
  </w:style>
  <w:style w:type="character" w:customStyle="1" w:styleId="504">
    <w:name w:val="标题 3 字符1"/>
    <w:qFormat/>
    <w:uiPriority w:val="0"/>
    <w:rPr>
      <w:rFonts w:ascii="宋体" w:hAnsi="Times New Roman" w:eastAsia="宋体" w:cs="Times New Roman"/>
      <w:b/>
      <w:bCs/>
      <w:sz w:val="32"/>
      <w:szCs w:val="32"/>
    </w:rPr>
  </w:style>
  <w:style w:type="character" w:customStyle="1" w:styleId="505">
    <w:name w:val="标题 字符1"/>
    <w:qFormat/>
    <w:uiPriority w:val="0"/>
    <w:rPr>
      <w:rFonts w:ascii="Cambria" w:hAnsi="Cambria" w:eastAsia="宋体" w:cs="Times New Roman"/>
      <w:b/>
      <w:bCs/>
      <w:sz w:val="32"/>
      <w:szCs w:val="32"/>
    </w:rPr>
  </w:style>
  <w:style w:type="character" w:customStyle="1" w:styleId="506">
    <w:name w:val="批注文字 字符1"/>
    <w:qFormat/>
    <w:uiPriority w:val="0"/>
    <w:rPr>
      <w:rFonts w:ascii="Times New Roman" w:hAnsi="Times New Roman" w:eastAsia="宋体" w:cs="Times New Roman"/>
      <w:szCs w:val="20"/>
    </w:rPr>
  </w:style>
  <w:style w:type="character" w:customStyle="1" w:styleId="507">
    <w:name w:val="批注主题 字符1"/>
    <w:qFormat/>
    <w:uiPriority w:val="0"/>
  </w:style>
  <w:style w:type="character" w:customStyle="1" w:styleId="508">
    <w:name w:val="批注框文本 字符1"/>
    <w:semiHidden/>
    <w:qFormat/>
    <w:uiPriority w:val="99"/>
    <w:rPr>
      <w:rFonts w:ascii="Times New Roman" w:hAnsi="Times New Roman" w:eastAsia="宋体" w:cs="Times New Roman"/>
      <w:sz w:val="18"/>
      <w:szCs w:val="18"/>
    </w:rPr>
  </w:style>
  <w:style w:type="character" w:customStyle="1" w:styleId="509">
    <w:name w:val="正文文本 3 字符1"/>
    <w:qFormat/>
    <w:uiPriority w:val="0"/>
    <w:rPr>
      <w:rFonts w:ascii="宋体"/>
      <w:sz w:val="24"/>
    </w:rPr>
  </w:style>
  <w:style w:type="character" w:customStyle="1" w:styleId="510">
    <w:name w:val="明显引用 字符1"/>
    <w:qFormat/>
    <w:uiPriority w:val="0"/>
    <w:rPr>
      <w:b/>
      <w:bCs/>
      <w:i/>
      <w:iCs/>
      <w:color w:val="4F81BD"/>
    </w:rPr>
  </w:style>
  <w:style w:type="character" w:customStyle="1" w:styleId="511">
    <w:name w:val="标题 5 字符1"/>
    <w:qFormat/>
    <w:uiPriority w:val="0"/>
    <w:rPr>
      <w:rFonts w:ascii="Times New Roman" w:hAnsi="Times New Roman" w:eastAsia="宋体" w:cs="Times New Roman"/>
      <w:b/>
      <w:bCs/>
      <w:sz w:val="28"/>
      <w:szCs w:val="28"/>
    </w:rPr>
  </w:style>
  <w:style w:type="character" w:customStyle="1" w:styleId="512">
    <w:name w:val="标题 7 字符1"/>
    <w:qFormat/>
    <w:uiPriority w:val="0"/>
    <w:rPr>
      <w:rFonts w:ascii="Times New Roman" w:hAnsi="Times New Roman" w:eastAsia="宋体" w:cs="Times New Roman"/>
      <w:b/>
      <w:bCs/>
      <w:sz w:val="24"/>
      <w:szCs w:val="24"/>
    </w:rPr>
  </w:style>
  <w:style w:type="character" w:customStyle="1" w:styleId="513">
    <w:name w:val="文档结构图 字符1"/>
    <w:qFormat/>
    <w:uiPriority w:val="0"/>
    <w:rPr>
      <w:rFonts w:ascii="Times New Roman" w:hAnsi="Times New Roman"/>
      <w:szCs w:val="24"/>
      <w:shd w:val="clear" w:color="auto" w:fill="000080"/>
    </w:rPr>
  </w:style>
  <w:style w:type="character" w:customStyle="1" w:styleId="514">
    <w:name w:val="日期 字符1"/>
    <w:qFormat/>
    <w:uiPriority w:val="0"/>
    <w:rPr>
      <w:rFonts w:ascii="宋体" w:hAnsi="Times New Roman"/>
      <w:sz w:val="28"/>
    </w:rPr>
  </w:style>
  <w:style w:type="character" w:customStyle="1" w:styleId="515">
    <w:name w:val="引用 字符1"/>
    <w:qFormat/>
    <w:uiPriority w:val="0"/>
    <w:rPr>
      <w:i/>
      <w:iCs/>
      <w:color w:val="000000"/>
    </w:rPr>
  </w:style>
  <w:style w:type="character" w:customStyle="1" w:styleId="516">
    <w:name w:val="正文文本 字符1"/>
    <w:qFormat/>
    <w:uiPriority w:val="0"/>
    <w:rPr>
      <w:rFonts w:ascii="Times New Roman" w:hAnsi="Times New Roman"/>
    </w:rPr>
  </w:style>
  <w:style w:type="character" w:customStyle="1" w:styleId="517">
    <w:name w:val="标题 8 字符1"/>
    <w:qFormat/>
    <w:uiPriority w:val="0"/>
    <w:rPr>
      <w:rFonts w:ascii="Cambria" w:hAnsi="Cambria" w:eastAsia="宋体" w:cs="Times New Roman"/>
      <w:sz w:val="24"/>
      <w:szCs w:val="24"/>
    </w:rPr>
  </w:style>
  <w:style w:type="character" w:customStyle="1" w:styleId="518">
    <w:name w:val="标题 4 字符1"/>
    <w:qFormat/>
    <w:uiPriority w:val="0"/>
    <w:rPr>
      <w:rFonts w:ascii="Cambria" w:hAnsi="Cambria" w:eastAsia="宋体" w:cs="Times New Roman"/>
      <w:b/>
      <w:bCs/>
      <w:sz w:val="28"/>
      <w:szCs w:val="28"/>
    </w:rPr>
  </w:style>
  <w:style w:type="character" w:customStyle="1" w:styleId="519">
    <w:name w:val="标题 9 字符1"/>
    <w:qFormat/>
    <w:uiPriority w:val="0"/>
    <w:rPr>
      <w:rFonts w:ascii="Cambria" w:hAnsi="Cambria" w:eastAsia="宋体" w:cs="Times New Roman"/>
      <w:szCs w:val="21"/>
    </w:rPr>
  </w:style>
  <w:style w:type="character" w:customStyle="1" w:styleId="520">
    <w:name w:val="标题 6 字符1"/>
    <w:qFormat/>
    <w:uiPriority w:val="0"/>
    <w:rPr>
      <w:rFonts w:ascii="Cambria" w:hAnsi="Cambria" w:eastAsia="宋体" w:cs="Times New Roman"/>
      <w:b/>
      <w:bCs/>
      <w:sz w:val="24"/>
      <w:szCs w:val="24"/>
    </w:rPr>
  </w:style>
  <w:style w:type="character" w:customStyle="1" w:styleId="521">
    <w:name w:val="副标题 字符1"/>
    <w:qFormat/>
    <w:uiPriority w:val="0"/>
    <w:rPr>
      <w:rFonts w:ascii="Cambria" w:hAnsi="Cambria" w:cs="Times New Roman"/>
      <w:b/>
      <w:bCs/>
      <w:kern w:val="28"/>
      <w:sz w:val="32"/>
      <w:szCs w:val="32"/>
    </w:rPr>
  </w:style>
  <w:style w:type="character" w:customStyle="1" w:styleId="522">
    <w:name w:val="未处理的提及1"/>
    <w:unhideWhenUsed/>
    <w:qFormat/>
    <w:uiPriority w:val="99"/>
    <w:rPr>
      <w:color w:val="605E5C"/>
      <w:shd w:val="clear" w:color="auto" w:fill="E1DFDD"/>
    </w:rPr>
  </w:style>
  <w:style w:type="character" w:customStyle="1" w:styleId="523">
    <w:name w:val="正文文本缩进 字符1"/>
    <w:qFormat/>
    <w:uiPriority w:val="0"/>
    <w:rPr>
      <w:rFonts w:ascii="Times New Roman" w:hAnsi="Times New Roman" w:eastAsia="宋体" w:cs="Times New Roman"/>
      <w:szCs w:val="20"/>
      <w:lang w:val="zh-CN"/>
    </w:rPr>
  </w:style>
  <w:style w:type="character" w:customStyle="1" w:styleId="524">
    <w:name w:val="正文文本缩进 3 字符1"/>
    <w:qFormat/>
    <w:uiPriority w:val="0"/>
    <w:rPr>
      <w:rFonts w:ascii="Times New Roman" w:hAnsi="Times New Roman" w:eastAsia="宋体" w:cs="Times New Roman"/>
      <w:sz w:val="16"/>
      <w:szCs w:val="20"/>
      <w:lang w:val="zh-CN"/>
    </w:rPr>
  </w:style>
  <w:style w:type="paragraph" w:customStyle="1" w:styleId="525">
    <w:name w:val="_Style 2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6">
    <w:name w:val="不明显强调11"/>
    <w:qFormat/>
    <w:uiPriority w:val="0"/>
    <w:rPr>
      <w:i/>
      <w:iCs/>
      <w:color w:val="808080"/>
    </w:rPr>
  </w:style>
  <w:style w:type="character" w:customStyle="1" w:styleId="527">
    <w:name w:val="书籍标题11"/>
    <w:qFormat/>
    <w:uiPriority w:val="0"/>
    <w:rPr>
      <w:b/>
      <w:bCs/>
      <w:smallCaps/>
      <w:spacing w:val="5"/>
    </w:rPr>
  </w:style>
  <w:style w:type="character" w:customStyle="1" w:styleId="528">
    <w:name w:val="明显参考11"/>
    <w:qFormat/>
    <w:uiPriority w:val="0"/>
    <w:rPr>
      <w:b/>
      <w:bCs/>
      <w:smallCaps/>
      <w:color w:val="C0504D"/>
      <w:spacing w:val="5"/>
      <w:u w:val="single"/>
    </w:rPr>
  </w:style>
  <w:style w:type="character" w:customStyle="1" w:styleId="529">
    <w:name w:val="明显强调11"/>
    <w:qFormat/>
    <w:uiPriority w:val="0"/>
    <w:rPr>
      <w:b/>
      <w:bCs/>
      <w:i/>
      <w:iCs/>
      <w:color w:val="4F81BD"/>
    </w:rPr>
  </w:style>
  <w:style w:type="character" w:customStyle="1" w:styleId="530">
    <w:name w:val="不明显参考11"/>
    <w:qFormat/>
    <w:uiPriority w:val="0"/>
    <w:rPr>
      <w:smallCaps/>
      <w:color w:val="C0504D"/>
      <w:u w:val="single"/>
    </w:rPr>
  </w:style>
  <w:style w:type="paragraph" w:customStyle="1" w:styleId="531">
    <w:name w:val="修订11"/>
    <w:qFormat/>
    <w:uiPriority w:val="0"/>
    <w:rPr>
      <w:rFonts w:ascii="Times New Roman" w:hAnsi="Times New Roman" w:eastAsia="宋体" w:cs="Times New Roman"/>
      <w:kern w:val="2"/>
      <w:sz w:val="21"/>
      <w:szCs w:val="24"/>
      <w:lang w:val="en-US" w:eastAsia="zh-CN" w:bidi="ar-SA"/>
    </w:rPr>
  </w:style>
  <w:style w:type="paragraph" w:customStyle="1" w:styleId="532">
    <w:name w:val="TOC 标题11"/>
    <w:basedOn w:val="3"/>
    <w:next w:val="1"/>
    <w:qFormat/>
    <w:uiPriority w:val="0"/>
    <w:pPr>
      <w:keepLines/>
      <w:tabs>
        <w:tab w:val="clear" w:pos="1440"/>
        <w:tab w:val="clear" w:pos="5670"/>
      </w:tabs>
      <w:spacing w:beforeLines="0" w:afterLines="0" w:line="576" w:lineRule="auto"/>
      <w:ind w:firstLine="0" w:firstLineChars="0"/>
      <w:outlineLvl w:val="9"/>
    </w:pPr>
    <w:rPr>
      <w:rFonts w:ascii="Times New Roman" w:eastAsia="宋体"/>
      <w:bCs/>
      <w:sz w:val="44"/>
      <w:szCs w:val="44"/>
      <w:lang w:val="zh-CN"/>
    </w:rPr>
  </w:style>
  <w:style w:type="character" w:customStyle="1" w:styleId="533">
    <w:name w:val="未处理的提及2"/>
    <w:unhideWhenUsed/>
    <w:qFormat/>
    <w:uiPriority w:val="99"/>
    <w:rPr>
      <w:color w:val="605E5C"/>
      <w:shd w:val="clear" w:color="auto" w:fill="E1DFDD"/>
    </w:rPr>
  </w:style>
  <w:style w:type="paragraph" w:customStyle="1" w:styleId="534">
    <w:name w:val="_Style 183"/>
    <w:basedOn w:val="1"/>
    <w:next w:val="69"/>
    <w:qFormat/>
    <w:uiPriority w:val="34"/>
    <w:pPr>
      <w:ind w:firstLine="420" w:firstLineChars="200"/>
    </w:pPr>
    <w:rPr>
      <w:szCs w:val="22"/>
    </w:rPr>
  </w:style>
  <w:style w:type="table" w:customStyle="1" w:styleId="535">
    <w:name w:val="网格型1"/>
    <w:basedOn w:val="5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36">
    <w:name w:val="15"/>
    <w:qFormat/>
    <w:uiPriority w:val="0"/>
    <w:rPr>
      <w:rFonts w:hint="eastAsia" w:ascii="宋体" w:hAnsi="宋体" w:eastAsia="宋体"/>
      <w:b/>
      <w:bCs/>
      <w:kern w:val="2"/>
      <w:sz w:val="21"/>
      <w:szCs w:val="21"/>
    </w:rPr>
  </w:style>
  <w:style w:type="character" w:customStyle="1" w:styleId="537">
    <w:name w:val="标题 2 字符3"/>
    <w:qFormat/>
    <w:uiPriority w:val="0"/>
    <w:rPr>
      <w:rFonts w:ascii="宋体" w:hAnsi="宋体" w:eastAsia="宋体"/>
      <w:b/>
      <w:kern w:val="2"/>
      <w:sz w:val="21"/>
      <w:szCs w:val="24"/>
      <w:lang w:val="en-US" w:eastAsia="zh-CN" w:bidi="ar-SA"/>
    </w:rPr>
  </w:style>
  <w:style w:type="character" w:customStyle="1" w:styleId="538">
    <w:name w:val="批注文字 字符2"/>
    <w:qFormat/>
    <w:uiPriority w:val="0"/>
    <w:rPr>
      <w:rFonts w:eastAsia="宋体"/>
      <w:kern w:val="2"/>
      <w:sz w:val="21"/>
      <w:lang w:val="en-US" w:eastAsia="zh-CN" w:bidi="ar-SA"/>
    </w:rPr>
  </w:style>
  <w:style w:type="character" w:customStyle="1" w:styleId="539">
    <w:name w:val="纯文本 字符1"/>
    <w:qFormat/>
    <w:uiPriority w:val="0"/>
    <w:rPr>
      <w:rFonts w:ascii="宋体" w:hAnsi="Courier New" w:eastAsia="宋体"/>
      <w:kern w:val="2"/>
      <w:sz w:val="21"/>
      <w:lang w:val="en-US" w:eastAsia="zh-CN" w:bidi="ar-SA"/>
    </w:rPr>
  </w:style>
  <w:style w:type="paragraph" w:customStyle="1" w:styleId="540">
    <w:name w:val="Table Paragraph"/>
    <w:basedOn w:val="1"/>
    <w:qFormat/>
    <w:uiPriority w:val="1"/>
    <w:rPr>
      <w:rFonts w:ascii="宋体" w:hAnsi="宋体"/>
      <w:lang w:val="zh-CN" w:bidi="zh-CN"/>
    </w:rPr>
  </w:style>
  <w:style w:type="paragraph" w:customStyle="1" w:styleId="541">
    <w:name w:val="标题 21"/>
    <w:basedOn w:val="1"/>
    <w:next w:val="1"/>
    <w:qFormat/>
    <w:uiPriority w:val="0"/>
    <w:pPr>
      <w:keepNext/>
      <w:jc w:val="center"/>
      <w:outlineLvl w:val="1"/>
    </w:pPr>
    <w:rPr>
      <w:rFonts w:ascii="仿宋_GB2312" w:hAnsi="宋体" w:eastAsia="黑体"/>
      <w:bCs/>
      <w:sz w:val="44"/>
      <w:szCs w:val="30"/>
    </w:rPr>
  </w:style>
  <w:style w:type="table" w:customStyle="1" w:styleId="542">
    <w:name w:val="Table Normal"/>
    <w:qFormat/>
    <w:uiPriority w:val="0"/>
    <w:tblPr>
      <w:tblCellMar>
        <w:top w:w="0" w:type="dxa"/>
        <w:left w:w="0" w:type="dxa"/>
        <w:bottom w:w="0" w:type="dxa"/>
        <w:right w:w="0" w:type="dxa"/>
      </w:tblCellMar>
    </w:tblPr>
  </w:style>
  <w:style w:type="paragraph" w:customStyle="1" w:styleId="543">
    <w:name w:val="Table Text"/>
    <w:basedOn w:val="1"/>
    <w:semiHidden/>
    <w:qFormat/>
    <w:uiPriority w:val="0"/>
    <w:rPr>
      <w:rFonts w:ascii="宋体" w:hAnsi="宋体" w:cs="宋体"/>
      <w:szCs w:val="21"/>
      <w:lang w:eastAsia="en-US"/>
    </w:rPr>
  </w:style>
  <w:style w:type="paragraph" w:customStyle="1" w:styleId="544">
    <w:name w:val="索引 41"/>
    <w:basedOn w:val="1"/>
    <w:next w:val="1"/>
    <w:semiHidden/>
    <w:qFormat/>
    <w:uiPriority w:val="0"/>
    <w:pPr>
      <w:ind w:left="1260"/>
    </w:pPr>
    <w:rPr>
      <w:rFonts w:ascii="Calibri" w:hAnsi="Calibri" w:eastAsia="Calibri" w:cs="宋体"/>
      <w:sz w:val="20"/>
      <w:lang w:val="zh-CN"/>
    </w:rPr>
  </w:style>
  <w:style w:type="paragraph" w:customStyle="1" w:styleId="545">
    <w:name w:val="正文文本缩进11"/>
    <w:basedOn w:val="1"/>
    <w:next w:val="546"/>
    <w:unhideWhenUsed/>
    <w:qFormat/>
    <w:uiPriority w:val="0"/>
    <w:pPr>
      <w:spacing w:after="120"/>
      <w:ind w:left="420"/>
    </w:pPr>
  </w:style>
  <w:style w:type="paragraph" w:customStyle="1" w:styleId="546">
    <w:name w:val="寄信人地址1"/>
    <w:basedOn w:val="1"/>
    <w:qFormat/>
    <w:uiPriority w:val="0"/>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39529</Words>
  <Characters>41562</Characters>
  <Lines>163</Lines>
  <Paragraphs>45</Paragraphs>
  <TotalTime>5</TotalTime>
  <ScaleCrop>false</ScaleCrop>
  <LinksUpToDate>false</LinksUpToDate>
  <CharactersWithSpaces>42085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2024-08-08T06:43:00Z</dcterms:created>
  <dc:creator>夏 目</dc:creator>
  <cp:lastModifiedBy>luooo</cp:lastModifiedBy>
  <cp:lastPrinted>2025-03-06T04:48:00Z</cp:lastPrinted>
  <dcterms:modified xsi:type="dcterms:W3CDTF">2025-09-04T01:44:16Z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602C03E65675480D9BAB2F8BCA22213B_13</vt:lpwstr>
  </property>
  <property fmtid="{D5CDD505-2E9C-101B-9397-08002B2CF9AE}" pid="4" name="KSOTemplateDocerSaveRecord">
    <vt:lpwstr>eyJoZGlkIjoiMDE3OGI4OGVlZjk4ZmJiMzZhZjk4NzI3M2ZhMTI3NTEiLCJ1c2VySWQiOiI5NjI4NzgwNjIifQ==</vt:lpwstr>
  </property>
</Properties>
</file>