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DC64A">
      <w:pPr>
        <w:shd w:val="clear"/>
        <w:autoSpaceDE/>
        <w:autoSpaceDN/>
        <w:ind w:firstLine="0" w:firstLineChars="0"/>
        <w:jc w:val="center"/>
        <w:rPr>
          <w:rFonts w:hint="eastAsia" w:ascii="宋体" w:hAnsi="宋体" w:eastAsia="宋体" w:cs="宋体"/>
          <w:b/>
          <w:color w:val="000000" w:themeColor="text1"/>
          <w:kern w:val="2"/>
          <w:sz w:val="48"/>
          <w:szCs w:val="48"/>
          <w:highlight w:val="none"/>
          <w:lang w:val="en-US" w:eastAsia="zh-CN" w:bidi="ar-SA"/>
          <w14:textFill>
            <w14:solidFill>
              <w14:schemeClr w14:val="tx1"/>
            </w14:solidFill>
          </w14:textFill>
        </w:rPr>
      </w:pPr>
      <w:bookmarkStart w:id="43" w:name="_GoBack"/>
      <w:r>
        <w:rPr>
          <w:rFonts w:hint="eastAsia" w:cs="宋体"/>
          <w:b/>
          <w:color w:val="000000" w:themeColor="text1"/>
          <w:kern w:val="2"/>
          <w:sz w:val="48"/>
          <w:szCs w:val="48"/>
          <w:highlight w:val="none"/>
          <w:lang w:val="en-US" w:eastAsia="zh-CN" w:bidi="ar-SA"/>
          <w14:textFill>
            <w14:solidFill>
              <w14:schemeClr w14:val="tx1"/>
            </w14:solidFill>
          </w14:textFill>
        </w:rPr>
        <w:t>南京市栖霞区市政设施综合养护管理所</w:t>
      </w:r>
    </w:p>
    <w:p w14:paraId="247CEB76">
      <w:pPr>
        <w:shd w:val="clear"/>
        <w:autoSpaceDE/>
        <w:autoSpaceDN/>
        <w:ind w:firstLine="0" w:firstLineChars="0"/>
        <w:jc w:val="center"/>
        <w:rPr>
          <w:rFonts w:hint="eastAsia" w:ascii="宋体" w:hAnsi="宋体" w:eastAsia="宋体" w:cs="宋体"/>
          <w:b/>
          <w:color w:val="000000" w:themeColor="text1"/>
          <w:kern w:val="2"/>
          <w:sz w:val="48"/>
          <w:szCs w:val="48"/>
          <w:highlight w:val="none"/>
          <w:lang w:val="en-US" w:eastAsia="zh-CN" w:bidi="ar-SA"/>
          <w14:textFill>
            <w14:solidFill>
              <w14:schemeClr w14:val="tx1"/>
            </w14:solidFill>
          </w14:textFill>
        </w:rPr>
      </w:pPr>
      <w:r>
        <w:rPr>
          <w:rFonts w:hint="eastAsia" w:cs="宋体"/>
          <w:b/>
          <w:color w:val="000000" w:themeColor="text1"/>
          <w:kern w:val="2"/>
          <w:sz w:val="48"/>
          <w:szCs w:val="48"/>
          <w:highlight w:val="none"/>
          <w:lang w:val="en-US" w:eastAsia="zh-CN" w:bidi="ar-SA"/>
          <w14:textFill>
            <w14:solidFill>
              <w14:schemeClr w14:val="tx1"/>
            </w14:solidFill>
          </w14:textFill>
        </w:rPr>
        <w:t>栖霞区市政所2025年-2026年（1年）市政绿化提升养护审计服务项目</w:t>
      </w:r>
    </w:p>
    <w:p w14:paraId="6761DAE4">
      <w:pPr>
        <w:shd w:val="clear"/>
        <w:ind w:firstLine="480"/>
        <w:rPr>
          <w:rFonts w:hint="eastAsia" w:ascii="宋体" w:hAnsi="宋体" w:eastAsia="宋体" w:cs="宋体"/>
          <w:color w:val="000000" w:themeColor="text1"/>
          <w:highlight w:val="none"/>
          <w:lang w:val="en-US"/>
          <w14:textFill>
            <w14:solidFill>
              <w14:schemeClr w14:val="tx1"/>
            </w14:solidFill>
          </w14:textFill>
        </w:rPr>
      </w:pPr>
    </w:p>
    <w:p w14:paraId="3017528B">
      <w:pPr>
        <w:shd w:val="clear"/>
        <w:ind w:firstLine="420"/>
        <w:jc w:val="center"/>
        <w:rPr>
          <w:rFonts w:hint="eastAsia" w:ascii="宋体" w:hAnsi="宋体" w:eastAsia="宋体" w:cs="宋体"/>
          <w:color w:val="000000" w:themeColor="text1"/>
          <w:sz w:val="21"/>
          <w:szCs w:val="21"/>
          <w:highlight w:val="none"/>
          <w:lang w:val="en-US" w:bidi="ar-SA"/>
          <w14:textFill>
            <w14:solidFill>
              <w14:schemeClr w14:val="tx1"/>
            </w14:solidFill>
          </w14:textFill>
        </w:rPr>
      </w:pPr>
    </w:p>
    <w:p w14:paraId="4A24A1A0">
      <w:pPr>
        <w:shd w:val="clear"/>
        <w:ind w:firstLine="420"/>
        <w:jc w:val="center"/>
        <w:rPr>
          <w:rFonts w:hint="eastAsia" w:ascii="宋体" w:hAnsi="宋体" w:eastAsia="宋体" w:cs="宋体"/>
          <w:color w:val="000000" w:themeColor="text1"/>
          <w:sz w:val="21"/>
          <w:szCs w:val="21"/>
          <w:highlight w:val="none"/>
          <w:lang w:val="en-US" w:bidi="ar-SA"/>
          <w14:textFill>
            <w14:solidFill>
              <w14:schemeClr w14:val="tx1"/>
            </w14:solidFill>
          </w14:textFill>
        </w:rPr>
      </w:pPr>
    </w:p>
    <w:p w14:paraId="6356F02D">
      <w:pPr>
        <w:shd w:val="clear"/>
        <w:ind w:firstLine="420"/>
        <w:jc w:val="center"/>
        <w:rPr>
          <w:rFonts w:hint="eastAsia" w:ascii="宋体" w:hAnsi="宋体" w:eastAsia="宋体" w:cs="宋体"/>
          <w:color w:val="000000" w:themeColor="text1"/>
          <w:sz w:val="21"/>
          <w:szCs w:val="21"/>
          <w:highlight w:val="none"/>
          <w:lang w:val="en-US" w:bidi="ar-SA"/>
          <w14:textFill>
            <w14:solidFill>
              <w14:schemeClr w14:val="tx1"/>
            </w14:solidFill>
          </w14:textFill>
        </w:rPr>
      </w:pPr>
    </w:p>
    <w:p w14:paraId="4B1A9B41">
      <w:pPr>
        <w:shd w:val="clear"/>
        <w:ind w:firstLine="420"/>
        <w:jc w:val="center"/>
        <w:rPr>
          <w:rFonts w:hint="eastAsia" w:ascii="宋体" w:hAnsi="宋体" w:eastAsia="宋体" w:cs="宋体"/>
          <w:color w:val="000000" w:themeColor="text1"/>
          <w:sz w:val="21"/>
          <w:szCs w:val="21"/>
          <w:highlight w:val="none"/>
          <w:lang w:val="en-US" w:bidi="ar-SA"/>
          <w14:textFill>
            <w14:solidFill>
              <w14:schemeClr w14:val="tx1"/>
            </w14:solidFill>
          </w14:textFill>
        </w:rPr>
      </w:pPr>
    </w:p>
    <w:p w14:paraId="56F9BB6D">
      <w:pPr>
        <w:shd w:val="clear"/>
        <w:ind w:firstLine="420"/>
        <w:jc w:val="center"/>
        <w:rPr>
          <w:rFonts w:hint="eastAsia" w:ascii="宋体" w:hAnsi="宋体" w:eastAsia="宋体" w:cs="宋体"/>
          <w:color w:val="000000" w:themeColor="text1"/>
          <w:sz w:val="21"/>
          <w:szCs w:val="21"/>
          <w:highlight w:val="none"/>
          <w:lang w:val="en-US" w:bidi="ar-SA"/>
          <w14:textFill>
            <w14:solidFill>
              <w14:schemeClr w14:val="tx1"/>
            </w14:solidFill>
          </w14:textFill>
        </w:rPr>
      </w:pPr>
    </w:p>
    <w:p w14:paraId="09C65FB0">
      <w:pPr>
        <w:shd w:val="clear"/>
        <w:autoSpaceDE/>
        <w:autoSpaceDN/>
        <w:ind w:firstLine="0" w:firstLineChars="0"/>
        <w:jc w:val="center"/>
        <w:rPr>
          <w:rFonts w:hint="eastAsia" w:ascii="宋体" w:hAnsi="宋体" w:eastAsia="宋体" w:cs="宋体"/>
          <w:color w:val="000000" w:themeColor="text1"/>
          <w:kern w:val="2"/>
          <w:sz w:val="72"/>
          <w:szCs w:val="72"/>
          <w:highlight w:val="none"/>
          <w:lang w:val="en-US" w:bidi="ar-SA"/>
          <w14:textFill>
            <w14:solidFill>
              <w14:schemeClr w14:val="tx1"/>
            </w14:solidFill>
          </w14:textFill>
        </w:rPr>
      </w:pPr>
      <w:r>
        <w:rPr>
          <w:rFonts w:hint="eastAsia" w:ascii="宋体" w:hAnsi="宋体" w:eastAsia="宋体" w:cs="宋体"/>
          <w:color w:val="000000" w:themeColor="text1"/>
          <w:kern w:val="2"/>
          <w:sz w:val="72"/>
          <w:szCs w:val="72"/>
          <w:highlight w:val="none"/>
          <w:lang w:val="en-US" w:bidi="ar-SA"/>
          <w14:textFill>
            <w14:solidFill>
              <w14:schemeClr w14:val="tx1"/>
            </w14:solidFill>
          </w14:textFill>
        </w:rPr>
        <w:t>招 标 文 件</w:t>
      </w:r>
    </w:p>
    <w:p w14:paraId="1A519777">
      <w:pPr>
        <w:shd w:val="clear"/>
        <w:autoSpaceDE/>
        <w:autoSpaceDN/>
        <w:ind w:firstLine="0" w:firstLineChars="0"/>
        <w:jc w:val="center"/>
        <w:rPr>
          <w:rFonts w:hint="eastAsia" w:ascii="宋体" w:hAnsi="宋体" w:eastAsia="宋体" w:cs="宋体"/>
          <w:color w:val="000000" w:themeColor="text1"/>
          <w:kern w:val="2"/>
          <w:sz w:val="40"/>
          <w:szCs w:val="4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40"/>
          <w:szCs w:val="40"/>
          <w:highlight w:val="none"/>
          <w:lang w:val="en-US" w:bidi="ar-SA"/>
          <w14:textFill>
            <w14:solidFill>
              <w14:schemeClr w14:val="tx1"/>
            </w14:solidFill>
          </w14:textFill>
        </w:rPr>
        <w:t>项目编号：</w:t>
      </w:r>
      <w:r>
        <w:rPr>
          <w:rFonts w:hint="eastAsia" w:cs="宋体"/>
          <w:color w:val="000000" w:themeColor="text1"/>
          <w:kern w:val="2"/>
          <w:sz w:val="40"/>
          <w:szCs w:val="40"/>
          <w:highlight w:val="none"/>
          <w:lang w:val="en-US" w:eastAsia="zh-CN" w:bidi="ar-SA"/>
          <w14:textFill>
            <w14:solidFill>
              <w14:schemeClr w14:val="tx1"/>
            </w14:solidFill>
          </w14:textFill>
        </w:rPr>
        <w:t>NJKJ-20250710-2</w:t>
      </w:r>
    </w:p>
    <w:p w14:paraId="472C705E">
      <w:pPr>
        <w:shd w:val="clear"/>
        <w:autoSpaceDE/>
        <w:autoSpaceDN/>
        <w:ind w:firstLine="0" w:firstLineChars="0"/>
        <w:jc w:val="center"/>
        <w:rPr>
          <w:rFonts w:hint="eastAsia" w:ascii="宋体" w:hAnsi="宋体" w:eastAsia="宋体" w:cs="宋体"/>
          <w:color w:val="000000" w:themeColor="text1"/>
          <w:kern w:val="2"/>
          <w:sz w:val="40"/>
          <w:szCs w:val="40"/>
          <w:highlight w:val="none"/>
          <w:lang w:val="en-US" w:bidi="ar-SA"/>
          <w14:textFill>
            <w14:solidFill>
              <w14:schemeClr w14:val="tx1"/>
            </w14:solidFill>
          </w14:textFill>
        </w:rPr>
      </w:pPr>
    </w:p>
    <w:p w14:paraId="0EDFB293">
      <w:pPr>
        <w:shd w:val="clear"/>
        <w:ind w:firstLine="480"/>
        <w:rPr>
          <w:rFonts w:hint="eastAsia" w:ascii="宋体" w:hAnsi="宋体" w:eastAsia="宋体" w:cs="宋体"/>
          <w:color w:val="000000" w:themeColor="text1"/>
          <w:highlight w:val="none"/>
          <w:lang w:val="en-US"/>
          <w14:textFill>
            <w14:solidFill>
              <w14:schemeClr w14:val="tx1"/>
            </w14:solidFill>
          </w14:textFill>
        </w:rPr>
      </w:pPr>
    </w:p>
    <w:p w14:paraId="36D25E83">
      <w:pPr>
        <w:shd w:val="clear"/>
        <w:autoSpaceDE/>
        <w:autoSpaceDN/>
        <w:ind w:firstLine="720"/>
        <w:rPr>
          <w:rFonts w:hint="eastAsia" w:ascii="宋体" w:hAnsi="宋体" w:eastAsia="宋体" w:cs="宋体"/>
          <w:color w:val="000000" w:themeColor="text1"/>
          <w:kern w:val="2"/>
          <w:sz w:val="36"/>
          <w:szCs w:val="36"/>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36"/>
          <w:szCs w:val="36"/>
          <w:highlight w:val="none"/>
          <w:lang w:val="en-US" w:bidi="ar-SA"/>
          <w14:textFill>
            <w14:solidFill>
              <w14:schemeClr w14:val="tx1"/>
            </w14:solidFill>
          </w14:textFill>
        </w:rPr>
        <w:t>采购人：</w:t>
      </w:r>
      <w:r>
        <w:rPr>
          <w:rFonts w:hint="eastAsia" w:cs="宋体"/>
          <w:color w:val="000000" w:themeColor="text1"/>
          <w:kern w:val="2"/>
          <w:sz w:val="36"/>
          <w:szCs w:val="36"/>
          <w:highlight w:val="none"/>
          <w:lang w:val="en-US" w:eastAsia="zh-CN" w:bidi="ar-SA"/>
          <w14:textFill>
            <w14:solidFill>
              <w14:schemeClr w14:val="tx1"/>
            </w14:solidFill>
          </w14:textFill>
        </w:rPr>
        <w:t>南京市栖霞区市政设施综合养护管理所</w:t>
      </w:r>
    </w:p>
    <w:p w14:paraId="3F808867">
      <w:pPr>
        <w:shd w:val="clear"/>
        <w:autoSpaceDE/>
        <w:autoSpaceDN/>
        <w:ind w:firstLine="720"/>
        <w:rPr>
          <w:rFonts w:hint="eastAsia" w:ascii="宋体" w:hAnsi="宋体" w:eastAsia="宋体" w:cs="宋体"/>
          <w:color w:val="000000" w:themeColor="text1"/>
          <w:kern w:val="2"/>
          <w:sz w:val="36"/>
          <w:szCs w:val="36"/>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36"/>
          <w:szCs w:val="36"/>
          <w:highlight w:val="none"/>
          <w:lang w:val="en-US" w:bidi="ar-SA"/>
          <w14:textFill>
            <w14:solidFill>
              <w14:schemeClr w14:val="tx1"/>
            </w14:solidFill>
          </w14:textFill>
        </w:rPr>
        <w:t>采购代理机构：</w:t>
      </w:r>
      <w:r>
        <w:rPr>
          <w:rFonts w:hint="eastAsia" w:cs="宋体"/>
          <w:color w:val="000000" w:themeColor="text1"/>
          <w:kern w:val="2"/>
          <w:sz w:val="36"/>
          <w:szCs w:val="36"/>
          <w:highlight w:val="none"/>
          <w:lang w:val="en-US" w:eastAsia="zh-CN" w:bidi="ar-SA"/>
          <w14:textFill>
            <w14:solidFill>
              <w14:schemeClr w14:val="tx1"/>
            </w14:solidFill>
          </w14:textFill>
        </w:rPr>
        <w:t>南京科谨工程管理咨询有限责任公司</w:t>
      </w:r>
    </w:p>
    <w:p w14:paraId="40FDB5D4">
      <w:pPr>
        <w:shd w:val="clear"/>
        <w:autoSpaceDE/>
        <w:autoSpaceDN/>
        <w:ind w:firstLine="720"/>
        <w:rPr>
          <w:rFonts w:hint="eastAsia" w:ascii="宋体" w:hAnsi="宋体" w:eastAsia="宋体" w:cs="宋体"/>
          <w:color w:val="000000" w:themeColor="text1"/>
          <w:spacing w:val="-10"/>
          <w:sz w:val="36"/>
          <w:szCs w:val="36"/>
          <w:highlight w:val="none"/>
          <w:lang w:val="en-US"/>
          <w14:textFill>
            <w14:solidFill>
              <w14:schemeClr w14:val="tx1"/>
            </w14:solidFill>
          </w14:textFill>
        </w:rPr>
      </w:pPr>
      <w:r>
        <w:rPr>
          <w:rFonts w:hint="eastAsia" w:ascii="宋体" w:hAnsi="宋体" w:eastAsia="宋体" w:cs="宋体"/>
          <w:color w:val="000000" w:themeColor="text1"/>
          <w:kern w:val="2"/>
          <w:sz w:val="36"/>
          <w:szCs w:val="36"/>
          <w:highlight w:val="none"/>
          <w:lang w:val="en-US" w:bidi="ar-SA"/>
          <w14:textFill>
            <w14:solidFill>
              <w14:schemeClr w14:val="tx1"/>
            </w14:solidFill>
          </w14:textFill>
        </w:rPr>
        <w:t>日期：</w:t>
      </w:r>
      <w:r>
        <w:rPr>
          <w:rFonts w:hint="eastAsia" w:ascii="宋体" w:hAnsi="宋体" w:eastAsia="宋体" w:cs="宋体"/>
          <w:color w:val="000000" w:themeColor="text1"/>
          <w:kern w:val="2"/>
          <w:sz w:val="36"/>
          <w:szCs w:val="36"/>
          <w:highlight w:val="none"/>
          <w14:textFill>
            <w14:solidFill>
              <w14:schemeClr w14:val="tx1"/>
            </w14:solidFill>
          </w14:textFill>
        </w:rPr>
        <w:t>二〇二</w:t>
      </w:r>
      <w:r>
        <w:rPr>
          <w:rFonts w:hint="eastAsia" w:ascii="宋体" w:hAnsi="宋体" w:eastAsia="宋体" w:cs="宋体"/>
          <w:color w:val="000000" w:themeColor="text1"/>
          <w:kern w:val="2"/>
          <w:sz w:val="36"/>
          <w:szCs w:val="36"/>
          <w:highlight w:val="none"/>
          <w:lang w:val="en-US"/>
          <w14:textFill>
            <w14:solidFill>
              <w14:schemeClr w14:val="tx1"/>
            </w14:solidFill>
          </w14:textFill>
        </w:rPr>
        <w:t>五</w:t>
      </w:r>
      <w:r>
        <w:rPr>
          <w:rFonts w:hint="eastAsia" w:ascii="宋体" w:hAnsi="宋体" w:eastAsia="宋体" w:cs="宋体"/>
          <w:color w:val="000000" w:themeColor="text1"/>
          <w:kern w:val="2"/>
          <w:sz w:val="36"/>
          <w:szCs w:val="36"/>
          <w:highlight w:val="none"/>
          <w14:textFill>
            <w14:solidFill>
              <w14:schemeClr w14:val="tx1"/>
            </w14:solidFill>
          </w14:textFill>
        </w:rPr>
        <w:t>年</w:t>
      </w:r>
      <w:r>
        <w:rPr>
          <w:rFonts w:hint="eastAsia" w:cs="宋体"/>
          <w:color w:val="000000" w:themeColor="text1"/>
          <w:kern w:val="2"/>
          <w:sz w:val="36"/>
          <w:szCs w:val="36"/>
          <w:highlight w:val="none"/>
          <w:lang w:eastAsia="zh-CN"/>
          <w14:textFill>
            <w14:solidFill>
              <w14:schemeClr w14:val="tx1"/>
            </w14:solidFill>
          </w14:textFill>
        </w:rPr>
        <w:t>七</w:t>
      </w:r>
      <w:r>
        <w:rPr>
          <w:rFonts w:hint="eastAsia" w:ascii="宋体" w:hAnsi="宋体" w:eastAsia="宋体" w:cs="宋体"/>
          <w:color w:val="000000" w:themeColor="text1"/>
          <w:kern w:val="2"/>
          <w:sz w:val="36"/>
          <w:szCs w:val="36"/>
          <w:highlight w:val="none"/>
          <w14:textFill>
            <w14:solidFill>
              <w14:schemeClr w14:val="tx1"/>
            </w14:solidFill>
          </w14:textFill>
        </w:rPr>
        <w:t>月</w:t>
      </w:r>
      <w:r>
        <w:rPr>
          <w:rFonts w:hint="eastAsia" w:ascii="宋体" w:hAnsi="宋体" w:eastAsia="宋体" w:cs="宋体"/>
          <w:color w:val="000000" w:themeColor="text1"/>
          <w:spacing w:val="-10"/>
          <w:sz w:val="36"/>
          <w:szCs w:val="36"/>
          <w:highlight w:val="none"/>
          <w:lang w:val="en-US"/>
          <w14:textFill>
            <w14:solidFill>
              <w14:schemeClr w14:val="tx1"/>
            </w14:solidFill>
          </w14:textFill>
        </w:rPr>
        <w:br w:type="page"/>
      </w:r>
    </w:p>
    <w:p w14:paraId="60355AC2">
      <w:pPr>
        <w:pStyle w:val="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第一章  招标公告</w:t>
      </w:r>
    </w:p>
    <w:tbl>
      <w:tblPr>
        <w:tblStyle w:val="29"/>
        <w:tblW w:w="966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7"/>
      </w:tblGrid>
      <w:tr w14:paraId="4F56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9667" w:type="dxa"/>
          </w:tcPr>
          <w:p w14:paraId="79E7AF05">
            <w:pPr>
              <w:keepNext w:val="0"/>
              <w:keepLines w:val="0"/>
              <w:pageBreakBefore w:val="0"/>
              <w:widowControl w:val="0"/>
              <w:shd w:val="clear"/>
              <w:kinsoku/>
              <w:wordWrap/>
              <w:overflowPunct/>
              <w:topLinePunct w:val="0"/>
              <w:autoSpaceDE w:val="0"/>
              <w:autoSpaceDN w:val="0"/>
              <w:bidi w:val="0"/>
              <w:adjustRightInd/>
              <w:snapToGrid/>
              <w:spacing w:after="0" w:line="360" w:lineRule="auto"/>
              <w:ind w:firstLine="480"/>
              <w:jc w:val="both"/>
              <w:textAlignment w:val="auto"/>
              <w:rPr>
                <w:rFonts w:hint="eastAsia" w:ascii="宋体" w:hAnsi="宋体" w:eastAsia="宋体" w:cs="宋体"/>
                <w:color w:val="000000" w:themeColor="text1"/>
                <w:highlight w:val="none"/>
                <w14:textFill>
                  <w14:solidFill>
                    <w14:schemeClr w14:val="tx1"/>
                  </w14:solidFill>
                </w14:textFill>
              </w:rPr>
            </w:pPr>
            <w:bookmarkStart w:id="0" w:name="_Toc35393621"/>
            <w:bookmarkStart w:id="1" w:name="_Toc28359002"/>
            <w:bookmarkStart w:id="2" w:name="_Toc35393790"/>
            <w:bookmarkStart w:id="3" w:name="_Toc28359079"/>
            <w:bookmarkStart w:id="4" w:name="_Hlk24379207"/>
            <w:bookmarkStart w:id="5" w:name="_Toc28358998"/>
            <w:bookmarkStart w:id="6" w:name="_Toc28359075"/>
            <w:bookmarkStart w:id="7" w:name="_Toc35393786"/>
            <w:bookmarkStart w:id="8" w:name="_Toc35393617"/>
            <w:r>
              <w:rPr>
                <w:rFonts w:hint="eastAsia" w:ascii="宋体" w:hAnsi="宋体" w:eastAsia="宋体" w:cs="宋体"/>
                <w:color w:val="000000" w:themeColor="text1"/>
                <w:highlight w:val="none"/>
                <w14:textFill>
                  <w14:solidFill>
                    <w14:schemeClr w14:val="tx1"/>
                  </w14:solidFill>
                </w14:textFill>
              </w:rPr>
              <w:t>项目概况：</w:t>
            </w:r>
          </w:p>
          <w:p w14:paraId="48325E42">
            <w:pPr>
              <w:keepNext w:val="0"/>
              <w:keepLines w:val="0"/>
              <w:pageBreakBefore w:val="0"/>
              <w:widowControl w:val="0"/>
              <w:shd w:val="clear"/>
              <w:kinsoku/>
              <w:wordWrap/>
              <w:overflowPunct/>
              <w:topLinePunct w:val="0"/>
              <w:autoSpaceDE w:val="0"/>
              <w:autoSpaceDN w:val="0"/>
              <w:bidi w:val="0"/>
              <w:adjustRightInd/>
              <w:snapToGrid/>
              <w:spacing w:after="0" w:line="360" w:lineRule="auto"/>
              <w:ind w:firstLine="48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u w:val="single"/>
                <w:lang w:eastAsia="zh-CN"/>
                <w14:textFill>
                  <w14:solidFill>
                    <w14:schemeClr w14:val="tx1"/>
                  </w14:solidFill>
                </w14:textFill>
              </w:rPr>
              <w:t>栖霞区市政所2025年-2026年（1年）市政绿化提升养护审计服务项目</w:t>
            </w:r>
            <w:r>
              <w:rPr>
                <w:rFonts w:hint="eastAsia" w:ascii="宋体" w:hAnsi="宋体" w:eastAsia="宋体" w:cs="宋体"/>
                <w:color w:val="000000" w:themeColor="text1"/>
                <w:highlight w:val="none"/>
                <w:u w:val="single"/>
                <w:lang w:val="en-US"/>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招标项目的潜在投标人应在</w:t>
            </w:r>
            <w:r>
              <w:rPr>
                <w:rFonts w:hint="eastAsia" w:cs="宋体"/>
                <w:color w:val="000000" w:themeColor="text1"/>
                <w:highlight w:val="none"/>
                <w:u w:val="single"/>
                <w:lang w:val="en-US" w:eastAsia="zh-CN"/>
                <w14:textFill>
                  <w14:solidFill>
                    <w14:schemeClr w14:val="tx1"/>
                  </w14:solidFill>
                </w14:textFill>
              </w:rPr>
              <w:t xml:space="preserve">南京市建邺区广聚路33号2505室 </w:t>
            </w:r>
            <w:r>
              <w:rPr>
                <w:rFonts w:hint="eastAsia" w:ascii="宋体" w:hAnsi="宋体" w:eastAsia="宋体" w:cs="宋体"/>
                <w:color w:val="000000" w:themeColor="text1"/>
                <w:highlight w:val="none"/>
                <w14:textFill>
                  <w14:solidFill>
                    <w14:schemeClr w14:val="tx1"/>
                  </w14:solidFill>
                </w14:textFill>
              </w:rPr>
              <w:t>获取招标文件，并于</w:t>
            </w:r>
            <w:r>
              <w:rPr>
                <w:rFonts w:hint="eastAsia" w:cs="宋体"/>
                <w:color w:val="000000" w:themeColor="text1"/>
                <w:highlight w:val="none"/>
                <w:u w:val="single"/>
                <w:lang w:eastAsia="zh-CN"/>
                <w14:textFill>
                  <w14:solidFill>
                    <w14:schemeClr w14:val="tx1"/>
                  </w14:solidFill>
                </w14:textFill>
              </w:rPr>
              <w:t>2025年</w:t>
            </w:r>
            <w:r>
              <w:rPr>
                <w:rFonts w:hint="eastAsia" w:cs="宋体"/>
                <w:color w:val="000000" w:themeColor="text1"/>
                <w:highlight w:val="none"/>
                <w:u w:val="single"/>
                <w:lang w:val="en-US" w:eastAsia="zh-CN"/>
                <w14:textFill>
                  <w14:solidFill>
                    <w14:schemeClr w14:val="tx1"/>
                  </w14:solidFill>
                </w14:textFill>
              </w:rPr>
              <w:t>7</w:t>
            </w:r>
            <w:r>
              <w:rPr>
                <w:rFonts w:hint="eastAsia" w:cs="宋体"/>
                <w:color w:val="000000" w:themeColor="text1"/>
                <w:highlight w:val="none"/>
                <w:u w:val="single"/>
                <w:lang w:eastAsia="zh-CN"/>
                <w14:textFill>
                  <w14:solidFill>
                    <w14:schemeClr w14:val="tx1"/>
                  </w14:solidFill>
                </w14:textFill>
              </w:rPr>
              <w:t>月</w:t>
            </w:r>
            <w:r>
              <w:rPr>
                <w:rFonts w:hint="eastAsia" w:cs="宋体"/>
                <w:color w:val="000000" w:themeColor="text1"/>
                <w:highlight w:val="none"/>
                <w:u w:val="single"/>
                <w:lang w:val="en-US" w:eastAsia="zh-CN"/>
                <w14:textFill>
                  <w14:solidFill>
                    <w14:schemeClr w14:val="tx1"/>
                  </w14:solidFill>
                </w14:textFill>
              </w:rPr>
              <w:t>31</w:t>
            </w:r>
            <w:r>
              <w:rPr>
                <w:rFonts w:hint="eastAsia" w:cs="宋体"/>
                <w:color w:val="000000" w:themeColor="text1"/>
                <w:highlight w:val="none"/>
                <w:u w:val="single"/>
                <w:lang w:eastAsia="zh-CN"/>
                <w14:textFill>
                  <w14:solidFill>
                    <w14:schemeClr w14:val="tx1"/>
                  </w14:solidFill>
                </w14:textFill>
              </w:rPr>
              <w:t>日</w:t>
            </w:r>
            <w:r>
              <w:rPr>
                <w:rFonts w:hint="eastAsia" w:cs="宋体"/>
                <w:color w:val="000000" w:themeColor="text1"/>
                <w:highlight w:val="none"/>
                <w:u w:val="single"/>
                <w:lang w:val="en-US" w:eastAsia="zh-CN"/>
                <w14:textFill>
                  <w14:solidFill>
                    <w14:schemeClr w14:val="tx1"/>
                  </w14:solidFill>
                </w14:textFill>
              </w:rPr>
              <w:t>9</w:t>
            </w:r>
            <w:r>
              <w:rPr>
                <w:rFonts w:hint="eastAsia" w:cs="宋体"/>
                <w:color w:val="000000" w:themeColor="text1"/>
                <w:highlight w:val="none"/>
                <w:u w:val="single"/>
                <w:lang w:eastAsia="zh-CN"/>
                <w14:textFill>
                  <w14:solidFill>
                    <w14:schemeClr w14:val="tx1"/>
                  </w14:solidFill>
                </w14:textFill>
              </w:rPr>
              <w:t>时</w:t>
            </w:r>
            <w:r>
              <w:rPr>
                <w:rFonts w:hint="eastAsia" w:cs="宋体"/>
                <w:color w:val="000000" w:themeColor="text1"/>
                <w:highlight w:val="none"/>
                <w:u w:val="single"/>
                <w:lang w:val="en-US" w:eastAsia="zh-CN"/>
                <w14:textFill>
                  <w14:solidFill>
                    <w14:schemeClr w14:val="tx1"/>
                  </w14:solidFill>
                </w14:textFill>
              </w:rPr>
              <w:t>30</w:t>
            </w:r>
            <w:r>
              <w:rPr>
                <w:rFonts w:hint="eastAsia" w:cs="宋体"/>
                <w:color w:val="000000" w:themeColor="text1"/>
                <w:highlight w:val="none"/>
                <w:u w:val="single"/>
                <w:lang w:eastAsia="zh-CN"/>
                <w14:textFill>
                  <w14:solidFill>
                    <w14:schemeClr w14:val="tx1"/>
                  </w14:solidFill>
                </w14:textFill>
              </w:rPr>
              <w:t>分</w:t>
            </w:r>
            <w:r>
              <w:rPr>
                <w:rFonts w:hint="eastAsia" w:ascii="宋体" w:hAnsi="宋体" w:eastAsia="宋体" w:cs="宋体"/>
                <w:color w:val="000000" w:themeColor="text1"/>
                <w:highlight w:val="none"/>
                <w14:textFill>
                  <w14:solidFill>
                    <w14:schemeClr w14:val="tx1"/>
                  </w14:solidFill>
                </w14:textFill>
              </w:rPr>
              <w:t>（北京时间）前递交投标文件。</w:t>
            </w:r>
          </w:p>
        </w:tc>
      </w:tr>
    </w:tbl>
    <w:p w14:paraId="53A25845">
      <w:pPr>
        <w:pStyle w:val="3"/>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一、</w:t>
      </w:r>
      <w:r>
        <w:rPr>
          <w:rFonts w:hint="eastAsia" w:ascii="宋体" w:hAnsi="宋体" w:eastAsia="宋体" w:cs="宋体"/>
          <w:color w:val="000000" w:themeColor="text1"/>
          <w:highlight w:val="none"/>
          <w14:textFill>
            <w14:solidFill>
              <w14:schemeClr w14:val="tx1"/>
            </w14:solidFill>
          </w14:textFill>
        </w:rPr>
        <w:t>项目基本情况</w:t>
      </w:r>
      <w:bookmarkEnd w:id="0"/>
      <w:bookmarkEnd w:id="1"/>
      <w:bookmarkEnd w:id="2"/>
      <w:bookmarkEnd w:id="3"/>
    </w:p>
    <w:p w14:paraId="16212B02">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项目编号：</w:t>
      </w:r>
      <w:r>
        <w:rPr>
          <w:rFonts w:hint="eastAsia" w:cs="宋体"/>
          <w:color w:val="000000" w:themeColor="text1"/>
          <w:highlight w:val="none"/>
          <w:lang w:eastAsia="zh-CN"/>
          <w14:textFill>
            <w14:solidFill>
              <w14:schemeClr w14:val="tx1"/>
            </w14:solidFill>
          </w14:textFill>
        </w:rPr>
        <w:t>NJKJ-20250710-2</w:t>
      </w:r>
    </w:p>
    <w:p w14:paraId="117B9A56">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项目名称：</w:t>
      </w:r>
      <w:r>
        <w:rPr>
          <w:rFonts w:hint="eastAsia" w:cs="宋体"/>
          <w:color w:val="000000" w:themeColor="text1"/>
          <w:highlight w:val="none"/>
          <w:lang w:eastAsia="zh-CN"/>
          <w14:textFill>
            <w14:solidFill>
              <w14:schemeClr w14:val="tx1"/>
            </w14:solidFill>
          </w14:textFill>
        </w:rPr>
        <w:t>栖霞区市政所2025年-2026年（1年）市政绿化提升养护审计服务项目</w:t>
      </w:r>
    </w:p>
    <w:bookmarkEnd w:id="4"/>
    <w:p w14:paraId="4DDC87F8">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预算金额：</w:t>
      </w:r>
      <w:r>
        <w:rPr>
          <w:rFonts w:hint="eastAsia"/>
          <w:color w:val="000000" w:themeColor="text1"/>
          <w:sz w:val="24"/>
          <w:szCs w:val="24"/>
          <w:highlight w:val="none"/>
          <w:u w:val="none"/>
          <w:lang w:val="en-US" w:eastAsia="zh-CN"/>
          <w14:textFill>
            <w14:solidFill>
              <w14:schemeClr w14:val="tx1"/>
            </w14:solidFill>
          </w14:textFill>
        </w:rPr>
        <w:t>14.7</w:t>
      </w:r>
      <w:r>
        <w:rPr>
          <w:rFonts w:hint="eastAsia" w:ascii="宋体" w:hAnsi="宋体" w:eastAsia="宋体" w:cs="宋体"/>
          <w:color w:val="000000" w:themeColor="text1"/>
          <w:highlight w:val="none"/>
          <w14:textFill>
            <w14:solidFill>
              <w14:schemeClr w14:val="tx1"/>
            </w14:solidFill>
          </w14:textFill>
        </w:rPr>
        <w:t>万元</w:t>
      </w:r>
    </w:p>
    <w:p w14:paraId="1221B1EE">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最高限价：</w:t>
      </w:r>
      <w:r>
        <w:rPr>
          <w:rFonts w:hint="eastAsia" w:ascii="宋体" w:hAnsi="宋体" w:eastAsia="宋体" w:cs="宋体"/>
          <w:color w:val="000000" w:themeColor="text1"/>
          <w:highlight w:val="none"/>
          <w:lang w:eastAsia="zh-CN"/>
          <w14:textFill>
            <w14:solidFill>
              <w14:schemeClr w14:val="tx1"/>
            </w14:solidFill>
          </w14:textFill>
        </w:rPr>
        <w:t>《苏价服[2014]383号》文件收费标准的</w:t>
      </w:r>
      <w:r>
        <w:rPr>
          <w:rFonts w:hint="eastAsia" w:cs="宋体"/>
          <w:color w:val="000000" w:themeColor="text1"/>
          <w:highlight w:val="none"/>
          <w:lang w:val="en-US" w:eastAsia="zh-CN"/>
          <w14:textFill>
            <w14:solidFill>
              <w14:schemeClr w14:val="tx1"/>
            </w14:solidFill>
          </w14:textFill>
        </w:rPr>
        <w:t>60</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计费</w:t>
      </w:r>
    </w:p>
    <w:p w14:paraId="660155EB">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采购需求： 承担南京市栖霞区市政设施综合养护管理所2025-2026年度</w:t>
      </w:r>
      <w:r>
        <w:rPr>
          <w:rFonts w:hint="eastAsia" w:cs="宋体"/>
          <w:color w:val="000000" w:themeColor="text1"/>
          <w:highlight w:val="none"/>
          <w:lang w:eastAsia="zh-CN"/>
          <w14:textFill>
            <w14:solidFill>
              <w14:schemeClr w14:val="tx1"/>
            </w14:solidFill>
          </w14:textFill>
        </w:rPr>
        <w:t>提升养护</w:t>
      </w:r>
      <w:r>
        <w:rPr>
          <w:rFonts w:hint="eastAsia" w:ascii="宋体" w:hAnsi="宋体" w:eastAsia="宋体" w:cs="宋体"/>
          <w:color w:val="000000" w:themeColor="text1"/>
          <w:highlight w:val="none"/>
          <w:lang w:eastAsia="zh-CN"/>
          <w14:textFill>
            <w14:solidFill>
              <w14:schemeClr w14:val="tx1"/>
            </w14:solidFill>
          </w14:textFill>
        </w:rPr>
        <w:t>的结算审计及其他有关工程审计咨询服务工作。严格按照标准化流程提供工程审计服务，确保交文件符合相关规范文件要求，</w:t>
      </w:r>
      <w:r>
        <w:rPr>
          <w:rFonts w:hint="eastAsia" w:cs="宋体"/>
          <w:color w:val="000000" w:themeColor="text1"/>
          <w:highlight w:val="none"/>
          <w:lang w:eastAsia="zh-CN"/>
          <w14:textFill>
            <w14:solidFill>
              <w14:schemeClr w14:val="tx1"/>
            </w14:solidFill>
          </w14:textFill>
        </w:rPr>
        <w:t>工程计费基数暂按</w:t>
      </w:r>
      <w:r>
        <w:rPr>
          <w:rFonts w:hint="eastAsia" w:cs="宋体"/>
          <w:color w:val="000000" w:themeColor="text1"/>
          <w:highlight w:val="none"/>
          <w:lang w:val="en-US" w:eastAsia="zh-CN"/>
          <w14:textFill>
            <w14:solidFill>
              <w14:schemeClr w14:val="tx1"/>
            </w14:solidFill>
          </w14:textFill>
        </w:rPr>
        <w:t>2000万元，效益收费计费基数暂按10%即200万元，</w:t>
      </w:r>
      <w:r>
        <w:rPr>
          <w:rFonts w:hint="eastAsia" w:ascii="宋体" w:hAnsi="宋体" w:eastAsia="宋体" w:cs="宋体"/>
          <w:color w:val="000000" w:themeColor="text1"/>
          <w:highlight w:val="none"/>
          <w:lang w:val="en-US" w:eastAsia="zh-CN"/>
          <w14:textFill>
            <w14:solidFill>
              <w14:schemeClr w14:val="tx1"/>
            </w14:solidFill>
          </w14:textFill>
        </w:rPr>
        <w:t>具体详见采购文件</w:t>
      </w:r>
      <w:r>
        <w:rPr>
          <w:rFonts w:hint="eastAsia" w:ascii="宋体" w:hAnsi="宋体" w:eastAsia="宋体" w:cs="宋体"/>
          <w:color w:val="000000" w:themeColor="text1"/>
          <w:highlight w:val="none"/>
          <w:lang w:eastAsia="zh-CN"/>
          <w14:textFill>
            <w14:solidFill>
              <w14:schemeClr w14:val="tx1"/>
            </w14:solidFill>
          </w14:textFill>
        </w:rPr>
        <w:t>。</w:t>
      </w:r>
    </w:p>
    <w:p w14:paraId="4E3A60AB">
      <w:pPr>
        <w:pStyle w:val="12"/>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szCs w:val="24"/>
          <w:highlight w:val="none"/>
          <w:lang w:eastAsia="zh-CN"/>
          <w14:textFill>
            <w14:solidFill>
              <w14:schemeClr w14:val="tx1"/>
            </w14:solidFill>
          </w14:textFill>
        </w:rPr>
      </w:pPr>
      <w:bookmarkStart w:id="9" w:name="OLE_LINK13"/>
      <w:r>
        <w:rPr>
          <w:rFonts w:hint="eastAsia" w:ascii="宋体" w:hAnsi="宋体" w:eastAsia="宋体" w:cs="宋体"/>
          <w:color w:val="000000" w:themeColor="text1"/>
          <w:sz w:val="24"/>
          <w:highlight w:val="none"/>
          <w14:textFill>
            <w14:solidFill>
              <w14:schemeClr w14:val="tx1"/>
            </w14:solidFill>
          </w14:textFill>
        </w:rPr>
        <w:t>合同履行期限：</w:t>
      </w:r>
      <w:bookmarkStart w:id="10" w:name="OLE_LINK6"/>
      <w:r>
        <w:rPr>
          <w:rFonts w:hint="eastAsia" w:cs="宋体"/>
          <w:color w:val="000000" w:themeColor="text1"/>
          <w:sz w:val="24"/>
          <w:highlight w:val="none"/>
          <w:lang w:eastAsia="zh-CN"/>
          <w14:textFill>
            <w14:solidFill>
              <w14:schemeClr w14:val="tx1"/>
            </w14:solidFill>
          </w14:textFill>
        </w:rPr>
        <w:t>自合同签订之日起一年</w:t>
      </w:r>
    </w:p>
    <w:bookmarkEnd w:id="9"/>
    <w:bookmarkEnd w:id="10"/>
    <w:p w14:paraId="309B6B45">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本项目（是/否）接受联合体投标：否</w:t>
      </w:r>
    </w:p>
    <w:p w14:paraId="556F062A">
      <w:pPr>
        <w:pStyle w:val="3"/>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bookmarkStart w:id="11" w:name="_Toc35393622"/>
      <w:bookmarkStart w:id="12" w:name="_Toc35393791"/>
      <w:bookmarkStart w:id="13" w:name="_Toc28359003"/>
      <w:bookmarkStart w:id="14" w:name="_Toc28359080"/>
      <w:r>
        <w:rPr>
          <w:rFonts w:hint="eastAsia" w:ascii="宋体" w:hAnsi="宋体" w:eastAsia="宋体" w:cs="宋体"/>
          <w:color w:val="000000" w:themeColor="text1"/>
          <w:highlight w:val="none"/>
          <w:lang w:val="zh-CN"/>
          <w14:textFill>
            <w14:solidFill>
              <w14:schemeClr w14:val="tx1"/>
            </w14:solidFill>
          </w14:textFill>
        </w:rPr>
        <w:t>二、</w:t>
      </w:r>
      <w:r>
        <w:rPr>
          <w:rFonts w:hint="eastAsia" w:ascii="宋体" w:hAnsi="宋体" w:eastAsia="宋体" w:cs="宋体"/>
          <w:color w:val="000000" w:themeColor="text1"/>
          <w:highlight w:val="none"/>
          <w14:textFill>
            <w14:solidFill>
              <w14:schemeClr w14:val="tx1"/>
            </w14:solidFill>
          </w14:textFill>
        </w:rPr>
        <w:t>申请人的资格要求</w:t>
      </w:r>
      <w:bookmarkEnd w:id="11"/>
      <w:bookmarkEnd w:id="12"/>
      <w:bookmarkEnd w:id="13"/>
      <w:bookmarkEnd w:id="14"/>
    </w:p>
    <w:p w14:paraId="1F4C59C5">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（一）满足《中华人民共和国政府采购法》第二十二条规定：</w:t>
      </w:r>
    </w:p>
    <w:p w14:paraId="3E8FCE47">
      <w:pPr>
        <w:shd w:val="clear"/>
        <w:spacing w:line="360" w:lineRule="auto"/>
        <w:ind w:firstLine="480" w:firstLineChars="20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bookmarkStart w:id="15" w:name="_Hlk139306384"/>
      <w:bookmarkStart w:id="16" w:name="_Toc28359081"/>
      <w:bookmarkStart w:id="17" w:name="_Toc28359004"/>
      <w:r>
        <w:rPr>
          <w:rFonts w:hint="eastAsia" w:ascii="宋体" w:hAnsi="宋体" w:eastAsia="宋体" w:cs="宋体"/>
          <w:color w:val="000000" w:themeColor="text1"/>
          <w:sz w:val="24"/>
          <w:szCs w:val="24"/>
          <w:highlight w:val="none"/>
          <w:lang w:eastAsia="zh-CN"/>
          <w14:textFill>
            <w14:solidFill>
              <w14:schemeClr w14:val="tx1"/>
            </w14:solidFill>
          </w14:textFill>
        </w:rPr>
        <w:t>1.具有独立承担民事责任的能力（提供法人或者其他组织的营业执照，自然人的身份证）</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50206A7">
      <w:pPr>
        <w:shd w:val="clear"/>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具有良好的商业信誉和健全的财务会计制度（提供评审前六个月内银行出具的资信证明，或评审前六个月内任意一个月的财务状况报告（至少包括资产负债表和利润表），或上一年度经审计的财务报告）（法人或者其他组织成立未满一年的可以不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58619712">
      <w:pPr>
        <w:shd w:val="clear"/>
        <w:spacing w:line="360" w:lineRule="auto"/>
        <w:ind w:firstLine="480" w:firstLineChars="20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3.具有履行合同所必需的设备和专业技术能力（根据项目需求提供履行合同所必需的设备和专业技术能力的声明及证明材料）；</w:t>
      </w:r>
    </w:p>
    <w:p w14:paraId="062CC326">
      <w:pPr>
        <w:shd w:val="clear"/>
        <w:spacing w:line="36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4.有依法缴纳税收和社会保障资金的良好记录（供应商需要提供评审前六个月内任意一个月的依法缴纳税收</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依法免缴的应提供相应文件说明</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和社会保障资金的记录</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依法不需要缴纳社会保障资金的应提供相应文件说明</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A42A972">
      <w:pPr>
        <w:shd w:val="clear"/>
        <w:spacing w:line="36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5.加政府采购活动前三年内，在经营活动中没有重大违法记录（提供参加本次政府采购活动前三年内在经营活动中没有重大违法记录的书面声明）（格式见后附件）</w:t>
      </w:r>
    </w:p>
    <w:p w14:paraId="0ECCAFF8">
      <w:pPr>
        <w:shd w:val="clear"/>
        <w:spacing w:line="36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6.法律、行政法规规定的其他条件</w:t>
      </w:r>
    </w:p>
    <w:p w14:paraId="5FD0725D">
      <w:pPr>
        <w:shd w:val="clear"/>
        <w:spacing w:line="36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7.注：①第5条所称重大违法记录，是指供应商因违法经营受到刑事处罚或者责令停产停业、吊销许可证或者执照、较大数额罚款等行政处罚。 ②供应商在参加政府采购活动前3年内因违法经营被禁止在一定期限内参加政府采购活动，期限届满的，可以参加政府采购活动</w:t>
      </w:r>
    </w:p>
    <w:p w14:paraId="652A1F4A">
      <w:pPr>
        <w:pStyle w:val="23"/>
        <w:keepNext w:val="0"/>
        <w:keepLines w:val="0"/>
        <w:widowControl/>
        <w:suppressLineNumbers w:val="0"/>
        <w:shd w:val="clear"/>
        <w:spacing w:before="0" w:beforeAutospacing="0" w:after="0" w:afterAutospacing="0" w:line="36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落实政府采购政策需满足的资格要求：</w:t>
      </w:r>
      <w:bookmarkEnd w:id="15"/>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本项目整体专门面向中小企业采购服务</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非中小型企业参与本采购项目，将做无效响应文件处理（须提供中小企业声明函）。</w:t>
      </w:r>
    </w:p>
    <w:p w14:paraId="627288AB">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（三）本项目的特定资格要求：无。</w:t>
      </w:r>
    </w:p>
    <w:p w14:paraId="24EAE17D">
      <w:pPr>
        <w:pStyle w:val="3"/>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bookmarkStart w:id="18" w:name="_Toc35393792"/>
      <w:bookmarkStart w:id="19" w:name="_Toc35393623"/>
      <w:r>
        <w:rPr>
          <w:rFonts w:hint="eastAsia" w:ascii="宋体" w:hAnsi="宋体" w:eastAsia="宋体" w:cs="宋体"/>
          <w:color w:val="000000" w:themeColor="text1"/>
          <w:highlight w:val="none"/>
          <w:lang w:val="zh-CN"/>
          <w14:textFill>
            <w14:solidFill>
              <w14:schemeClr w14:val="tx1"/>
            </w14:solidFill>
          </w14:textFill>
        </w:rPr>
        <w:t>三、</w:t>
      </w:r>
      <w:r>
        <w:rPr>
          <w:rFonts w:hint="eastAsia" w:ascii="宋体" w:hAnsi="宋体" w:eastAsia="宋体" w:cs="宋体"/>
          <w:color w:val="000000" w:themeColor="text1"/>
          <w:highlight w:val="none"/>
          <w14:textFill>
            <w14:solidFill>
              <w14:schemeClr w14:val="tx1"/>
            </w14:solidFill>
          </w14:textFill>
        </w:rPr>
        <w:t>获取招标文件</w:t>
      </w:r>
      <w:bookmarkEnd w:id="16"/>
      <w:bookmarkEnd w:id="17"/>
      <w:bookmarkEnd w:id="18"/>
      <w:bookmarkEnd w:id="19"/>
    </w:p>
    <w:p w14:paraId="58209C9F">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lang w:val="en-US"/>
          <w14:textFill>
            <w14:solidFill>
              <w14:schemeClr w14:val="tx1"/>
            </w14:solidFill>
          </w14:textFill>
        </w:rPr>
      </w:pPr>
      <w:bookmarkStart w:id="20" w:name="_Toc28359082"/>
      <w:bookmarkStart w:id="21" w:name="_Toc28359005"/>
      <w:bookmarkStart w:id="22" w:name="_Toc35393793"/>
      <w:bookmarkStart w:id="23" w:name="_Toc35393624"/>
      <w:r>
        <w:rPr>
          <w:rFonts w:hint="eastAsia" w:ascii="宋体" w:hAnsi="宋体" w:eastAsia="宋体" w:cs="宋体"/>
          <w:color w:val="000000" w:themeColor="text1"/>
          <w:highlight w:val="none"/>
          <w14:textFill>
            <w14:solidFill>
              <w14:schemeClr w14:val="tx1"/>
            </w14:solidFill>
          </w14:textFill>
        </w:rPr>
        <w:t>时间：2025年</w:t>
      </w:r>
      <w:r>
        <w:rPr>
          <w:rFonts w:hint="eastAsia"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月</w:t>
      </w:r>
      <w:r>
        <w:rPr>
          <w:rFonts w:hint="eastAsia" w:cs="宋体"/>
          <w:color w:val="000000" w:themeColor="text1"/>
          <w:highlight w:val="none"/>
          <w:lang w:val="en-US" w:eastAsia="zh-CN"/>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t>日至2025年</w:t>
      </w:r>
      <w:r>
        <w:rPr>
          <w:rFonts w:hint="eastAsia"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月</w:t>
      </w:r>
      <w:r>
        <w:rPr>
          <w:rFonts w:hint="eastAsia" w:cs="宋体"/>
          <w:color w:val="000000" w:themeColor="text1"/>
          <w:highlight w:val="none"/>
          <w:lang w:val="en-US" w:eastAsia="zh-CN"/>
          <w14:textFill>
            <w14:solidFill>
              <w14:schemeClr w14:val="tx1"/>
            </w14:solidFill>
          </w14:textFill>
        </w:rPr>
        <w:t>17</w:t>
      </w:r>
      <w:r>
        <w:rPr>
          <w:rFonts w:hint="eastAsia" w:ascii="宋体" w:hAnsi="宋体" w:eastAsia="宋体" w:cs="宋体"/>
          <w:color w:val="000000" w:themeColor="text1"/>
          <w:highlight w:val="none"/>
          <w14:textFill>
            <w14:solidFill>
              <w14:schemeClr w14:val="tx1"/>
            </w14:solidFill>
          </w14:textFill>
        </w:rPr>
        <w:t>日，每天上午9:00至11:30，下午14:00至17:00（北京时间，法定节假日除外）</w:t>
      </w:r>
    </w:p>
    <w:p w14:paraId="66EE2B76">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地点：</w:t>
      </w:r>
      <w:r>
        <w:rPr>
          <w:rFonts w:hint="eastAsia" w:cs="宋体"/>
          <w:color w:val="000000" w:themeColor="text1"/>
          <w:highlight w:val="none"/>
          <w:lang w:eastAsia="zh-CN"/>
          <w14:textFill>
            <w14:solidFill>
              <w14:schemeClr w14:val="tx1"/>
            </w14:solidFill>
          </w14:textFill>
        </w:rPr>
        <w:t xml:space="preserve">南京市建邺区广聚路33号2505室 </w:t>
      </w:r>
    </w:p>
    <w:p w14:paraId="41E0989B">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方式：请各潜在供应商将以附件形式提供以下文件：</w:t>
      </w:r>
    </w:p>
    <w:p w14:paraId="23DFBE74">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（1）投标供应商授权委托书原件和委托代理人的身份证复印件。</w:t>
      </w:r>
    </w:p>
    <w:p w14:paraId="09DF3B02">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将【（1）投标供应商授权委托书原件和委托代理人的身份证复印件加盖公章扫描件。】以附件形式上传发送至代理机构邮箱3691323609@qq.com，邮件主题须标明项目编号和项目名称+申请人名称，邮件正文须包含申请人名称（全称）、授权委托人、授权委托人联系电话。交纳费用后，代理机构将会提供纸质版（纸质版文件提供地址以便邮寄）与电子版采购文件。</w:t>
      </w:r>
    </w:p>
    <w:p w14:paraId="1C2735EB">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采购文件费缴纳支付宝账户如下（请备注供应商名称+项目编号）：15651712525</w:t>
      </w:r>
      <w:r>
        <w:rPr>
          <w:rFonts w:hint="eastAsia" w:cs="宋体"/>
          <w:color w:val="000000" w:themeColor="text1"/>
          <w:highlight w:val="none"/>
          <w:lang w:eastAsia="zh-CN"/>
          <w14:textFill>
            <w14:solidFill>
              <w14:schemeClr w14:val="tx1"/>
            </w14:solidFill>
          </w14:textFill>
        </w:rPr>
        <w:t>。</w:t>
      </w:r>
    </w:p>
    <w:p w14:paraId="188E09AB">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未按照上述要求合法获取招标（采购）文件的，招标（采购）人将不予受理其投标（响应）。</w:t>
      </w:r>
    </w:p>
    <w:p w14:paraId="60D7D27A">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售价：</w:t>
      </w:r>
      <w:r>
        <w:rPr>
          <w:rFonts w:hint="eastAsia"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val="en-US"/>
          <w14:textFill>
            <w14:solidFill>
              <w14:schemeClr w14:val="tx1"/>
            </w14:solidFill>
          </w14:textFill>
        </w:rPr>
        <w:t>00.00元</w:t>
      </w:r>
    </w:p>
    <w:p w14:paraId="1FB80A1A">
      <w:pPr>
        <w:pStyle w:val="3"/>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四、</w:t>
      </w:r>
      <w:r>
        <w:rPr>
          <w:rFonts w:hint="eastAsia" w:ascii="宋体" w:hAnsi="宋体" w:eastAsia="宋体" w:cs="宋体"/>
          <w:color w:val="000000" w:themeColor="text1"/>
          <w:highlight w:val="none"/>
          <w14:textFill>
            <w14:solidFill>
              <w14:schemeClr w14:val="tx1"/>
            </w14:solidFill>
          </w14:textFill>
        </w:rPr>
        <w:t>提交投标文件</w:t>
      </w:r>
      <w:bookmarkEnd w:id="20"/>
      <w:bookmarkEnd w:id="21"/>
      <w:r>
        <w:rPr>
          <w:rFonts w:hint="eastAsia" w:ascii="宋体" w:hAnsi="宋体" w:eastAsia="宋体" w:cs="宋体"/>
          <w:color w:val="000000" w:themeColor="text1"/>
          <w:highlight w:val="none"/>
          <w14:textFill>
            <w14:solidFill>
              <w14:schemeClr w14:val="tx1"/>
            </w14:solidFill>
          </w14:textFill>
        </w:rPr>
        <w:t>截止时间、开标时间和地点</w:t>
      </w:r>
      <w:bookmarkEnd w:id="22"/>
      <w:bookmarkEnd w:id="23"/>
    </w:p>
    <w:p w14:paraId="72685BD0">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提交投标文件截止时间、开标时间：</w:t>
      </w:r>
      <w:r>
        <w:rPr>
          <w:rFonts w:hint="eastAsia" w:cs="宋体"/>
          <w:color w:val="000000" w:themeColor="text1"/>
          <w:highlight w:val="none"/>
          <w:u w:val="single"/>
          <w:lang w:eastAsia="zh-CN"/>
          <w14:textFill>
            <w14:solidFill>
              <w14:schemeClr w14:val="tx1"/>
            </w14:solidFill>
          </w14:textFill>
        </w:rPr>
        <w:t>2025年</w:t>
      </w:r>
      <w:r>
        <w:rPr>
          <w:rFonts w:hint="eastAsia" w:cs="宋体"/>
          <w:color w:val="000000" w:themeColor="text1"/>
          <w:highlight w:val="none"/>
          <w:u w:val="single"/>
          <w:lang w:val="en-US" w:eastAsia="zh-CN"/>
          <w14:textFill>
            <w14:solidFill>
              <w14:schemeClr w14:val="tx1"/>
            </w14:solidFill>
          </w14:textFill>
        </w:rPr>
        <w:t>7</w:t>
      </w:r>
      <w:r>
        <w:rPr>
          <w:rFonts w:hint="eastAsia" w:cs="宋体"/>
          <w:color w:val="000000" w:themeColor="text1"/>
          <w:highlight w:val="none"/>
          <w:u w:val="single"/>
          <w:lang w:eastAsia="zh-CN"/>
          <w14:textFill>
            <w14:solidFill>
              <w14:schemeClr w14:val="tx1"/>
            </w14:solidFill>
          </w14:textFill>
        </w:rPr>
        <w:t>月</w:t>
      </w:r>
      <w:r>
        <w:rPr>
          <w:rFonts w:hint="eastAsia" w:cs="宋体"/>
          <w:color w:val="000000" w:themeColor="text1"/>
          <w:highlight w:val="none"/>
          <w:u w:val="single"/>
          <w:lang w:val="en-US" w:eastAsia="zh-CN"/>
          <w14:textFill>
            <w14:solidFill>
              <w14:schemeClr w14:val="tx1"/>
            </w14:solidFill>
          </w14:textFill>
        </w:rPr>
        <w:t>31</w:t>
      </w:r>
      <w:r>
        <w:rPr>
          <w:rFonts w:hint="eastAsia" w:cs="宋体"/>
          <w:color w:val="000000" w:themeColor="text1"/>
          <w:highlight w:val="none"/>
          <w:u w:val="single"/>
          <w:lang w:eastAsia="zh-CN"/>
          <w14:textFill>
            <w14:solidFill>
              <w14:schemeClr w14:val="tx1"/>
            </w14:solidFill>
          </w14:textFill>
        </w:rPr>
        <w:t>日</w:t>
      </w:r>
      <w:r>
        <w:rPr>
          <w:rFonts w:hint="eastAsia" w:cs="宋体"/>
          <w:color w:val="000000" w:themeColor="text1"/>
          <w:highlight w:val="none"/>
          <w:u w:val="single"/>
          <w:lang w:val="en-US" w:eastAsia="zh-CN"/>
          <w14:textFill>
            <w14:solidFill>
              <w14:schemeClr w14:val="tx1"/>
            </w14:solidFill>
          </w14:textFill>
        </w:rPr>
        <w:t>9</w:t>
      </w:r>
      <w:r>
        <w:rPr>
          <w:rFonts w:hint="eastAsia" w:cs="宋体"/>
          <w:color w:val="000000" w:themeColor="text1"/>
          <w:highlight w:val="none"/>
          <w:u w:val="single"/>
          <w:lang w:eastAsia="zh-CN"/>
          <w14:textFill>
            <w14:solidFill>
              <w14:schemeClr w14:val="tx1"/>
            </w14:solidFill>
          </w14:textFill>
        </w:rPr>
        <w:t>时</w:t>
      </w:r>
      <w:r>
        <w:rPr>
          <w:rFonts w:hint="eastAsia" w:cs="宋体"/>
          <w:color w:val="000000" w:themeColor="text1"/>
          <w:highlight w:val="none"/>
          <w:u w:val="single"/>
          <w:lang w:val="en-US" w:eastAsia="zh-CN"/>
          <w14:textFill>
            <w14:solidFill>
              <w14:schemeClr w14:val="tx1"/>
            </w14:solidFill>
          </w14:textFill>
        </w:rPr>
        <w:t>30</w:t>
      </w:r>
      <w:r>
        <w:rPr>
          <w:rFonts w:hint="eastAsia" w:cs="宋体"/>
          <w:color w:val="000000" w:themeColor="text1"/>
          <w:highlight w:val="none"/>
          <w:u w:val="single"/>
          <w:lang w:eastAsia="zh-CN"/>
          <w14:textFill>
            <w14:solidFill>
              <w14:schemeClr w14:val="tx1"/>
            </w14:solidFill>
          </w14:textFill>
        </w:rPr>
        <w:t>分</w:t>
      </w:r>
      <w:r>
        <w:rPr>
          <w:rFonts w:hint="eastAsia" w:ascii="宋体" w:hAnsi="宋体" w:eastAsia="宋体" w:cs="宋体"/>
          <w:color w:val="000000" w:themeColor="text1"/>
          <w:highlight w:val="none"/>
          <w14:textFill>
            <w14:solidFill>
              <w14:schemeClr w14:val="tx1"/>
            </w14:solidFill>
          </w14:textFill>
        </w:rPr>
        <w:t>（北京时间）</w:t>
      </w:r>
    </w:p>
    <w:p w14:paraId="289728A2">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地点：</w:t>
      </w:r>
      <w:r>
        <w:rPr>
          <w:rFonts w:hint="eastAsia" w:cs="宋体"/>
          <w:color w:val="000000" w:themeColor="text1"/>
          <w:highlight w:val="none"/>
          <w:u w:val="single"/>
          <w:lang w:eastAsia="zh-CN"/>
          <w14:textFill>
            <w14:solidFill>
              <w14:schemeClr w14:val="tx1"/>
            </w14:solidFill>
          </w14:textFill>
        </w:rPr>
        <w:t>南京市建邺区广聚路33号2505室</w:t>
      </w:r>
    </w:p>
    <w:p w14:paraId="49FEA23F">
      <w:pPr>
        <w:pStyle w:val="3"/>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bookmarkStart w:id="24" w:name="_Toc35393625"/>
      <w:bookmarkStart w:id="25" w:name="_Toc28359007"/>
      <w:bookmarkStart w:id="26" w:name="_Toc35393794"/>
      <w:bookmarkStart w:id="27" w:name="_Toc28359084"/>
      <w:r>
        <w:rPr>
          <w:rFonts w:hint="eastAsia" w:ascii="宋体" w:hAnsi="宋体" w:eastAsia="宋体" w:cs="宋体"/>
          <w:color w:val="000000" w:themeColor="text1"/>
          <w:highlight w:val="none"/>
          <w:lang w:val="zh-CN"/>
          <w14:textFill>
            <w14:solidFill>
              <w14:schemeClr w14:val="tx1"/>
            </w14:solidFill>
          </w14:textFill>
        </w:rPr>
        <w:t>五、</w:t>
      </w:r>
      <w:r>
        <w:rPr>
          <w:rFonts w:hint="eastAsia" w:ascii="宋体" w:hAnsi="宋体" w:eastAsia="宋体" w:cs="宋体"/>
          <w:color w:val="000000" w:themeColor="text1"/>
          <w:highlight w:val="none"/>
          <w14:textFill>
            <w14:solidFill>
              <w14:schemeClr w14:val="tx1"/>
            </w14:solidFill>
          </w14:textFill>
        </w:rPr>
        <w:t>公告期限</w:t>
      </w:r>
      <w:bookmarkEnd w:id="24"/>
      <w:bookmarkEnd w:id="25"/>
      <w:bookmarkEnd w:id="26"/>
      <w:bookmarkEnd w:id="27"/>
    </w:p>
    <w:p w14:paraId="48A32B18">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自本公告发布之日起5个工作日。</w:t>
      </w:r>
    </w:p>
    <w:p w14:paraId="36B91A40">
      <w:pPr>
        <w:pStyle w:val="3"/>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bookmarkStart w:id="28" w:name="_Toc35393626"/>
      <w:bookmarkStart w:id="29" w:name="_Toc35393795"/>
      <w:r>
        <w:rPr>
          <w:rFonts w:hint="eastAsia" w:ascii="宋体" w:hAnsi="宋体" w:eastAsia="宋体" w:cs="宋体"/>
          <w:color w:val="000000" w:themeColor="text1"/>
          <w:highlight w:val="none"/>
          <w:lang w:val="zh-CN"/>
          <w14:textFill>
            <w14:solidFill>
              <w14:schemeClr w14:val="tx1"/>
            </w14:solidFill>
          </w14:textFill>
        </w:rPr>
        <w:t>六、</w:t>
      </w:r>
      <w:r>
        <w:rPr>
          <w:rFonts w:hint="eastAsia" w:ascii="宋体" w:hAnsi="宋体" w:eastAsia="宋体" w:cs="宋体"/>
          <w:color w:val="000000" w:themeColor="text1"/>
          <w:highlight w:val="none"/>
          <w14:textFill>
            <w14:solidFill>
              <w14:schemeClr w14:val="tx1"/>
            </w14:solidFill>
          </w14:textFill>
        </w:rPr>
        <w:t>其他补充事宜</w:t>
      </w:r>
      <w:bookmarkEnd w:id="28"/>
      <w:bookmarkEnd w:id="29"/>
    </w:p>
    <w:p w14:paraId="1577DEE6">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（一）本项目采购标的所属行业为：其他未列明行业。</w:t>
      </w:r>
    </w:p>
    <w:p w14:paraId="4F713666">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（二）本项目不接受转包。</w:t>
      </w:r>
    </w:p>
    <w:p w14:paraId="42184B16">
      <w:pPr>
        <w:shd w:val="clear"/>
        <w:spacing w:line="36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三）集中考察或答疑：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057D5BFB">
      <w:pPr>
        <w:shd w:val="clear"/>
        <w:spacing w:line="36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(四）拒绝下述供应商参加本次采购活动：</w:t>
      </w:r>
    </w:p>
    <w:p w14:paraId="70750BD3">
      <w:pPr>
        <w:shd w:val="clear"/>
        <w:spacing w:line="36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（1）供应商单位负责人为同一人或者存在直接控股、管理关系的不同供应商，不得参加同一合同项下的采购活动。</w:t>
      </w:r>
    </w:p>
    <w:p w14:paraId="75DBA23F">
      <w:pPr>
        <w:shd w:val="clear"/>
        <w:spacing w:line="36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（2）凡为采购项目提供整体设计、规范编制或者项目管理、监理、检测等服务的供应商，不得再参加本项目的采购活动。</w:t>
      </w:r>
    </w:p>
    <w:p w14:paraId="18879DF6">
      <w:pPr>
        <w:shd w:val="clear"/>
        <w:spacing w:line="36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（3）拒绝列入失信被执行人、重大税收违法失信主体、政府采购严重违法失信行为记录名单中的供应商参加本项目的采购活动。</w:t>
      </w:r>
    </w:p>
    <w:p w14:paraId="4EAE07BF">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）公告媒体</w:t>
      </w:r>
    </w:p>
    <w:p w14:paraId="4E4B00E0">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1.本公告在南京公共采购信息网（https://njgc.jfh.com/）公示发布，敬请各投标人关注；</w:t>
      </w:r>
    </w:p>
    <w:p w14:paraId="13AA93B3">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2.若有关本次采购存在变动或修改，敬请各投标人及时关注南京公共采购信息网（https://njgc.jfh.com/）发布的关于本项目的信息更正公告。</w:t>
      </w:r>
    </w:p>
    <w:p w14:paraId="4F37ABCC">
      <w:pPr>
        <w:keepNext w:val="0"/>
        <w:keepLines w:val="0"/>
        <w:widowControl/>
        <w:suppressLineNumbers w:val="0"/>
        <w:shd w:val="clear"/>
        <w:spacing w:before="0" w:beforeAutospacing="0" w:after="0" w:afterAutospacing="0"/>
        <w:ind w:left="0" w:right="0" w:firstLine="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）需要落实的政府采购政策：</w:t>
      </w:r>
    </w:p>
    <w:p w14:paraId="35AE05BC">
      <w:pPr>
        <w:shd w:val="clear"/>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（1）政府采购促进中小企业发展</w:t>
      </w:r>
    </w:p>
    <w:p w14:paraId="0239AF0D">
      <w:pPr>
        <w:shd w:val="clear"/>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（2）政府采购支持监狱企业发展</w:t>
      </w:r>
    </w:p>
    <w:p w14:paraId="12320DA6">
      <w:pPr>
        <w:shd w:val="clear"/>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（3）政府采购促进残疾人就业</w:t>
      </w:r>
    </w:p>
    <w:p w14:paraId="2B8C7A61">
      <w:pPr>
        <w:shd w:val="clear"/>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（4）政府采购鼓励采购节能环保产品</w:t>
      </w:r>
    </w:p>
    <w:p w14:paraId="0F3CA0C4">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color w:val="000000" w:themeColor="text1"/>
          <w:sz w:val="24"/>
          <w:szCs w:val="24"/>
          <w:highlight w:val="none"/>
          <w14:textFill>
            <w14:solidFill>
              <w14:schemeClr w14:val="tx1"/>
            </w14:solidFill>
          </w14:textFill>
        </w:rPr>
        <w:t>）根据《关于在政府采购活动中推行信用承诺制的通知》宁财购通〔2021〕5号规定，参加南京地区政府采购活动的供应商，应以书面形式向采购人或政府采购代理机构作出信用承诺。供应商应尽早做好承诺工作，点击‘南京公共采购信息网’首页（https://njgc.jfh.com/）‘南京市政府采购供应商诚信档案’系统链接打开系统页面（http://180.101.238.212：8280/hodeframe2018_cxda/index.action;jsessionid=769BA9C8E1729422E7173B991C8EC1E5）登录（未注册的供应商应先点击‘供应商注册点这里’并按要求完成注册），然后在“信用记录”模块页面点击“信用记录打印”下载本单位《南京市政府采购供应商信用记录表暨信用承诺书》，由法人签字并盖单位公章，随响应文件一并递交。</w:t>
      </w:r>
    </w:p>
    <w:p w14:paraId="61FEE229">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在政府采购资格审查环节，供应商只需提供书面《南京市政府采购供应商信用记录表暨信用承诺书》，即可替代以下证明材料：</w:t>
      </w:r>
    </w:p>
    <w:p w14:paraId="0AD1F1FB">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1.符合国家相关规定的财务状况报告；</w:t>
      </w:r>
    </w:p>
    <w:p w14:paraId="3E77E4AE">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2.依法缴纳税收的证明材料；</w:t>
      </w:r>
    </w:p>
    <w:p w14:paraId="354D374A">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3.依法缴纳社会保障资金的证明材料；</w:t>
      </w:r>
    </w:p>
    <w:p w14:paraId="418E81CB">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4.具备履行政府采购合同所必需的设备和专业技术能力的证明材料；</w:t>
      </w:r>
    </w:p>
    <w:p w14:paraId="2DEE617D">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5.参加政府采购活动前三年内在经营活动中没有重大违法记录的证明材料；</w:t>
      </w:r>
    </w:p>
    <w:p w14:paraId="713041C4">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6.未被列入失信被执行人、重大税收违法失信主体、政府采购严重违法失信行为记录名单的证明材料。</w:t>
      </w:r>
    </w:p>
    <w:p w14:paraId="47BB6485">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供应商在中标（成交）后，应按采购文件要求，将上述由信用承诺书替代的证明材料提交采购人或采购代理机构核验。经核验无误后，由采购人或采购代理机构发出中标（成交）通知书。</w:t>
      </w:r>
    </w:p>
    <w:p w14:paraId="4C1C7E50">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供应商涉及以下情形的，不适用信用承诺：</w:t>
      </w:r>
    </w:p>
    <w:p w14:paraId="523C0ADC">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1.供应商被列入严重失信主体名单；</w:t>
      </w:r>
    </w:p>
    <w:p w14:paraId="4D9FD00C">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2.被相关监管部门作出行政处罚且尚在处罚有效期内；</w:t>
      </w:r>
    </w:p>
    <w:p w14:paraId="165456B8">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3.其他法律、行政法规规定的不适用信用承诺的情形。</w:t>
      </w:r>
    </w:p>
    <w:p w14:paraId="3DC7DC38">
      <w:pPr>
        <w:shd w:val="clear"/>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供应商对信用承诺内容的真实性、合法性、有效性负责。如作出虚假信用承诺，视同为“提供虚假材料谋取中标、成交”的违法行为。</w:t>
      </w:r>
    </w:p>
    <w:p w14:paraId="6F9FC89E">
      <w:pPr>
        <w:pStyle w:val="3"/>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bookmarkStart w:id="30" w:name="_Toc28359008"/>
      <w:bookmarkStart w:id="31" w:name="_Toc28359085"/>
      <w:bookmarkStart w:id="32" w:name="_Toc35393627"/>
      <w:bookmarkStart w:id="33" w:name="_Toc35393796"/>
      <w:r>
        <w:rPr>
          <w:rFonts w:hint="eastAsia" w:ascii="宋体" w:hAnsi="宋体" w:eastAsia="宋体" w:cs="宋体"/>
          <w:color w:val="000000" w:themeColor="text1"/>
          <w:highlight w:val="none"/>
          <w:lang w:val="zh-CN"/>
          <w14:textFill>
            <w14:solidFill>
              <w14:schemeClr w14:val="tx1"/>
            </w14:solidFill>
          </w14:textFill>
        </w:rPr>
        <w:t>七、</w:t>
      </w:r>
      <w:r>
        <w:rPr>
          <w:rFonts w:hint="eastAsia" w:ascii="宋体" w:hAnsi="宋体" w:eastAsia="宋体" w:cs="宋体"/>
          <w:color w:val="000000" w:themeColor="text1"/>
          <w:highlight w:val="none"/>
          <w14:textFill>
            <w14:solidFill>
              <w14:schemeClr w14:val="tx1"/>
            </w14:solidFill>
          </w14:textFill>
        </w:rPr>
        <w:t>对本次招标提出询问，请按以下方式联系。</w:t>
      </w:r>
      <w:bookmarkEnd w:id="30"/>
      <w:bookmarkEnd w:id="31"/>
      <w:bookmarkEnd w:id="32"/>
      <w:bookmarkEnd w:id="33"/>
    </w:p>
    <w:bookmarkEnd w:id="5"/>
    <w:bookmarkEnd w:id="6"/>
    <w:bookmarkEnd w:id="7"/>
    <w:bookmarkEnd w:id="8"/>
    <w:p w14:paraId="655E80AE">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1.采购人信息</w:t>
      </w:r>
    </w:p>
    <w:p w14:paraId="0440CC3A">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名 称：南京市栖霞区市政设施综合养护管理所</w:t>
      </w:r>
    </w:p>
    <w:p w14:paraId="3C73C375">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地址：南京市栖霞区仙林大学城文成路1号</w:t>
      </w:r>
    </w:p>
    <w:p w14:paraId="077E821C">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联系方式：</w:t>
      </w:r>
      <w:r>
        <w:rPr>
          <w:rFonts w:hint="eastAsia" w:cs="宋体"/>
          <w:color w:val="000000" w:themeColor="text1"/>
          <w:highlight w:val="none"/>
          <w:lang w:val="en-US" w:eastAsia="zh-CN"/>
          <w14:textFill>
            <w14:solidFill>
              <w14:schemeClr w14:val="tx1"/>
            </w14:solidFill>
          </w14:textFill>
        </w:rPr>
        <w:t>戴</w:t>
      </w:r>
      <w:r>
        <w:rPr>
          <w:rFonts w:hint="eastAsia" w:ascii="宋体" w:hAnsi="宋体" w:eastAsia="宋体" w:cs="宋体"/>
          <w:color w:val="000000" w:themeColor="text1"/>
          <w:highlight w:val="none"/>
          <w14:textFill>
            <w14:solidFill>
              <w14:schemeClr w14:val="tx1"/>
            </w14:solidFill>
          </w14:textFill>
        </w:rPr>
        <w:t>工025-85580265</w:t>
      </w:r>
    </w:p>
    <w:p w14:paraId="6C4D10D3">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2.采购代理机构信息</w:t>
      </w:r>
    </w:p>
    <w:p w14:paraId="075C07E6">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名 称：</w:t>
      </w:r>
      <w:r>
        <w:rPr>
          <w:rFonts w:hint="eastAsia" w:cs="宋体"/>
          <w:color w:val="000000" w:themeColor="text1"/>
          <w:highlight w:val="none"/>
          <w:lang w:eastAsia="zh-CN"/>
          <w14:textFill>
            <w14:solidFill>
              <w14:schemeClr w14:val="tx1"/>
            </w14:solidFill>
          </w14:textFill>
        </w:rPr>
        <w:t>南京科谨工程管理咨询有限责任公司</w:t>
      </w:r>
    </w:p>
    <w:p w14:paraId="65BF7409">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　址：</w:t>
      </w:r>
      <w:r>
        <w:rPr>
          <w:rFonts w:hint="eastAsia" w:cs="宋体"/>
          <w:color w:val="000000" w:themeColor="text1"/>
          <w:highlight w:val="none"/>
          <w:lang w:eastAsia="zh-CN"/>
          <w14:textFill>
            <w14:solidFill>
              <w14:schemeClr w14:val="tx1"/>
            </w14:solidFill>
          </w14:textFill>
        </w:rPr>
        <w:t xml:space="preserve">南京市建邺区广聚路33号2505室 </w:t>
      </w:r>
    </w:p>
    <w:p w14:paraId="76A1F867">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联系方式：</w:t>
      </w:r>
      <w:r>
        <w:rPr>
          <w:rFonts w:hint="eastAsia" w:cs="宋体"/>
          <w:color w:val="000000" w:themeColor="text1"/>
          <w:highlight w:val="none"/>
          <w:lang w:eastAsia="zh-CN"/>
          <w14:textFill>
            <w14:solidFill>
              <w14:schemeClr w14:val="tx1"/>
            </w14:solidFill>
          </w14:textFill>
        </w:rPr>
        <w:t>潘工 15651712525</w:t>
      </w:r>
    </w:p>
    <w:p w14:paraId="1310DACD">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3.项目联系方式</w:t>
      </w:r>
    </w:p>
    <w:p w14:paraId="15C40D89">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项目联系人：</w:t>
      </w:r>
      <w:r>
        <w:rPr>
          <w:rFonts w:hint="eastAsia" w:cs="宋体"/>
          <w:color w:val="000000" w:themeColor="text1"/>
          <w:highlight w:val="none"/>
          <w:lang w:eastAsia="zh-CN"/>
          <w14:textFill>
            <w14:solidFill>
              <w14:schemeClr w14:val="tx1"/>
            </w14:solidFill>
          </w14:textFill>
        </w:rPr>
        <w:t>潘工</w:t>
      </w:r>
    </w:p>
    <w:p w14:paraId="14827BEB">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电　话：</w:t>
      </w:r>
      <w:r>
        <w:rPr>
          <w:rFonts w:hint="eastAsia" w:cs="宋体"/>
          <w:color w:val="000000" w:themeColor="text1"/>
          <w:highlight w:val="none"/>
          <w:lang w:eastAsia="zh-CN"/>
          <w14:textFill>
            <w14:solidFill>
              <w14:schemeClr w14:val="tx1"/>
            </w14:solidFill>
          </w14:textFill>
        </w:rPr>
        <w:t>15651712525</w:t>
      </w:r>
    </w:p>
    <w:p w14:paraId="4071EEB2">
      <w:pPr>
        <w:shd w:val="clear"/>
        <w:ind w:firstLine="720"/>
        <w:rPr>
          <w:rFonts w:hint="eastAsia" w:ascii="宋体" w:hAnsi="宋体" w:eastAsia="宋体" w:cs="宋体"/>
          <w:color w:val="000000" w:themeColor="text1"/>
          <w:sz w:val="36"/>
          <w:highlight w:val="none"/>
          <w14:textFill>
            <w14:solidFill>
              <w14:schemeClr w14:val="tx1"/>
            </w14:solidFill>
          </w14:textFill>
        </w:rPr>
      </w:pPr>
      <w:r>
        <w:rPr>
          <w:rFonts w:hint="eastAsia" w:ascii="宋体" w:hAnsi="宋体" w:eastAsia="宋体" w:cs="宋体"/>
          <w:color w:val="000000" w:themeColor="text1"/>
          <w:sz w:val="36"/>
          <w:highlight w:val="none"/>
          <w14:textFill>
            <w14:solidFill>
              <w14:schemeClr w14:val="tx1"/>
            </w14:solidFill>
          </w14:textFill>
        </w:rPr>
        <w:br w:type="page"/>
      </w:r>
    </w:p>
    <w:p w14:paraId="6DDEE892">
      <w:pPr>
        <w:pStyle w:val="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第二章  投标人须知</w:t>
      </w:r>
    </w:p>
    <w:p w14:paraId="1B8D14F0">
      <w:pPr>
        <w:pStyle w:val="3"/>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一、</w:t>
      </w:r>
      <w:r>
        <w:rPr>
          <w:rFonts w:hint="eastAsia" w:ascii="宋体" w:hAnsi="宋体" w:eastAsia="宋体" w:cs="宋体"/>
          <w:color w:val="000000" w:themeColor="text1"/>
          <w:highlight w:val="none"/>
          <w14:textFill>
            <w14:solidFill>
              <w14:schemeClr w14:val="tx1"/>
            </w14:solidFill>
          </w14:textFill>
        </w:rPr>
        <w:t>总则</w:t>
      </w:r>
    </w:p>
    <w:p w14:paraId="0E69043F">
      <w:pPr>
        <w:pStyle w:val="4"/>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适用</w:t>
      </w:r>
      <w:r>
        <w:rPr>
          <w:rFonts w:hint="eastAsia" w:ascii="宋体" w:hAnsi="宋体" w:cs="宋体"/>
          <w:color w:val="000000" w:themeColor="text1"/>
          <w:highlight w:val="none"/>
          <w:lang w:val="en-US" w:eastAsia="zh-CN"/>
          <w14:textFill>
            <w14:solidFill>
              <w14:schemeClr w14:val="tx1"/>
            </w14:solidFill>
          </w14:textFill>
        </w:rPr>
        <w:t>范围</w:t>
      </w:r>
    </w:p>
    <w:p w14:paraId="6DD49C2E">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w:t>
      </w:r>
      <w:r>
        <w:rPr>
          <w:rFonts w:hint="eastAsia" w:cs="宋体"/>
          <w:color w:val="000000" w:themeColor="text1"/>
          <w:highlight w:val="none"/>
          <w:lang w:val="en-US" w:eastAsia="zh-CN"/>
          <w14:textFill>
            <w14:solidFill>
              <w14:schemeClr w14:val="tx1"/>
            </w14:solidFill>
          </w14:textFill>
        </w:rPr>
        <w:t>本招标文件仅适用于本项目</w:t>
      </w:r>
      <w:r>
        <w:rPr>
          <w:rFonts w:hint="eastAsia" w:ascii="宋体" w:hAnsi="宋体" w:eastAsia="宋体" w:cs="宋体"/>
          <w:color w:val="000000" w:themeColor="text1"/>
          <w:highlight w:val="none"/>
          <w14:textFill>
            <w14:solidFill>
              <w14:schemeClr w14:val="tx1"/>
            </w14:solidFill>
          </w14:textFill>
        </w:rPr>
        <w:t>。</w:t>
      </w:r>
    </w:p>
    <w:p w14:paraId="107892DD">
      <w:pPr>
        <w:pStyle w:val="4"/>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定义</w:t>
      </w:r>
    </w:p>
    <w:p w14:paraId="7CA6EF64">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2.1“采购人”是指南京市栖霞区市政设施综合养护管理所。</w:t>
      </w:r>
    </w:p>
    <w:p w14:paraId="2B3AB7A1">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2.2“使用单位”是指使用服务的单位。</w:t>
      </w:r>
    </w:p>
    <w:p w14:paraId="06A36F56">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2.3“采购代理”是指</w:t>
      </w:r>
      <w:r>
        <w:rPr>
          <w:rFonts w:hint="eastAsia" w:cs="宋体"/>
          <w:color w:val="000000" w:themeColor="text1"/>
          <w:highlight w:val="none"/>
          <w:lang w:eastAsia="zh-CN"/>
          <w14:textFill>
            <w14:solidFill>
              <w14:schemeClr w14:val="tx1"/>
            </w14:solidFill>
          </w14:textFill>
        </w:rPr>
        <w:t>南京科谨工程管理咨询有限责任公司</w:t>
      </w:r>
      <w:r>
        <w:rPr>
          <w:rFonts w:hint="eastAsia" w:ascii="宋体" w:hAnsi="宋体" w:eastAsia="宋体" w:cs="宋体"/>
          <w:color w:val="000000" w:themeColor="text1"/>
          <w:highlight w:val="none"/>
          <w14:textFill>
            <w14:solidFill>
              <w14:schemeClr w14:val="tx1"/>
            </w14:solidFill>
          </w14:textFill>
        </w:rPr>
        <w:t>。</w:t>
      </w:r>
    </w:p>
    <w:p w14:paraId="46F2F389">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2.4“投标人”“供应商”是指向采购人提供服务的法人、其他组织或者自然人。</w:t>
      </w:r>
    </w:p>
    <w:p w14:paraId="71759892">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w:t>
      </w:r>
      <w:r>
        <w:rPr>
          <w:rFonts w:hint="eastAsia" w:cs="宋体"/>
          <w:color w:val="000000" w:themeColor="text1"/>
          <w:highlight w:val="none"/>
          <w:lang w:val="en-US" w:eastAsia="zh-CN"/>
          <w14:textFill>
            <w14:solidFill>
              <w14:schemeClr w14:val="tx1"/>
            </w14:solidFill>
          </w14:textFill>
        </w:rPr>
        <w:t>服务</w:t>
      </w:r>
      <w:r>
        <w:rPr>
          <w:rFonts w:hint="eastAsia" w:ascii="宋体" w:hAnsi="宋体" w:eastAsia="宋体" w:cs="宋体"/>
          <w:color w:val="000000" w:themeColor="text1"/>
          <w:highlight w:val="none"/>
          <w14:textFill>
            <w14:solidFill>
              <w14:schemeClr w14:val="tx1"/>
            </w14:solidFill>
          </w14:textFill>
        </w:rPr>
        <w:t>”指本招标文件中所述服务。</w:t>
      </w:r>
    </w:p>
    <w:p w14:paraId="476B1605">
      <w:pPr>
        <w:pStyle w:val="4"/>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政策功能</w:t>
      </w:r>
    </w:p>
    <w:p w14:paraId="175C94A0">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无</w:t>
      </w:r>
    </w:p>
    <w:p w14:paraId="55BE696F">
      <w:pPr>
        <w:pStyle w:val="3"/>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二、</w:t>
      </w:r>
      <w:r>
        <w:rPr>
          <w:rFonts w:hint="eastAsia" w:ascii="宋体" w:hAnsi="宋体" w:eastAsia="宋体" w:cs="宋体"/>
          <w:color w:val="000000" w:themeColor="text1"/>
          <w:highlight w:val="none"/>
          <w14:textFill>
            <w14:solidFill>
              <w14:schemeClr w14:val="tx1"/>
            </w14:solidFill>
          </w14:textFill>
        </w:rPr>
        <w:t>招标文件</w:t>
      </w:r>
    </w:p>
    <w:p w14:paraId="04DFA0B8">
      <w:pPr>
        <w:pStyle w:val="4"/>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招标文件组成</w:t>
      </w:r>
    </w:p>
    <w:p w14:paraId="12255AB5">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4.1招标文件组成：招标公告、投标人须知、评分标准、采购需求、合同主要条款及格式、投标文件格式及附件等。</w:t>
      </w:r>
    </w:p>
    <w:p w14:paraId="3E159D82">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4.2招标的最小单位是包。招标服务数量及技术要求中未分</w:t>
      </w:r>
      <w:r>
        <w:rPr>
          <w:rFonts w:hint="eastAsia" w:ascii="宋体" w:hAnsi="宋体" w:eastAsia="宋体" w:cs="宋体"/>
          <w:color w:val="000000" w:themeColor="text1"/>
          <w:highlight w:val="none"/>
          <w:lang w:val="en-US"/>
          <w14:textFill>
            <w14:solidFill>
              <w14:schemeClr w14:val="tx1"/>
            </w14:solidFill>
          </w14:textFill>
        </w:rPr>
        <w:t>采购</w:t>
      </w:r>
      <w:r>
        <w:rPr>
          <w:rFonts w:hint="eastAsia" w:ascii="宋体" w:hAnsi="宋体" w:eastAsia="宋体" w:cs="宋体"/>
          <w:color w:val="000000" w:themeColor="text1"/>
          <w:highlight w:val="none"/>
          <w14:textFill>
            <w14:solidFill>
              <w14:schemeClr w14:val="tx1"/>
            </w14:solidFill>
          </w14:textFill>
        </w:rPr>
        <w:t>包的，投标人对要求提供的服务不得部分投标；招标服务数量及技术要求中已经分</w:t>
      </w:r>
      <w:r>
        <w:rPr>
          <w:rFonts w:hint="eastAsia" w:ascii="宋体" w:hAnsi="宋体" w:eastAsia="宋体" w:cs="宋体"/>
          <w:color w:val="000000" w:themeColor="text1"/>
          <w:highlight w:val="none"/>
          <w:lang w:val="en-US"/>
          <w14:textFill>
            <w14:solidFill>
              <w14:schemeClr w14:val="tx1"/>
            </w14:solidFill>
          </w14:textFill>
        </w:rPr>
        <w:t>采购</w:t>
      </w:r>
      <w:r>
        <w:rPr>
          <w:rFonts w:hint="eastAsia" w:ascii="宋体" w:hAnsi="宋体" w:eastAsia="宋体" w:cs="宋体"/>
          <w:color w:val="000000" w:themeColor="text1"/>
          <w:highlight w:val="none"/>
          <w14:textFill>
            <w14:solidFill>
              <w14:schemeClr w14:val="tx1"/>
            </w14:solidFill>
          </w14:textFill>
        </w:rPr>
        <w:t>包的，应当以包为单位投标。</w:t>
      </w:r>
    </w:p>
    <w:p w14:paraId="5E485034">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4.3招标文件如果要求投标人提交备选投标方案的，投标人可以提交备选方案；否则，备选方案将被拒绝。</w:t>
      </w:r>
    </w:p>
    <w:p w14:paraId="1739BBC7">
      <w:pPr>
        <w:pStyle w:val="4"/>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招标文件的澄清、修改</w:t>
      </w:r>
    </w:p>
    <w:p w14:paraId="1CE56F74">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5.1采购代理机构对已发出的招标文件进行必要澄清或者修改的，将在招标文件要求提交投标文件截止时间前，在原招标公告媒体发布更正公告，该澄清或者修改的内容为招标文件的组成部分。</w:t>
      </w:r>
    </w:p>
    <w:p w14:paraId="28F1646C">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5.2采购代理机构在招标文件要求提交投标文件截止时间前，有权决定延长投标截止时间和开标时间，并在原采购信息发布媒体上发布变更公告。</w:t>
      </w:r>
    </w:p>
    <w:p w14:paraId="4FA64E50">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5.3投标人应在投标截止时间前关注原采购信息发布媒体上有关本招标项目有无变更公告。</w:t>
      </w:r>
    </w:p>
    <w:p w14:paraId="3A172D0D">
      <w:pPr>
        <w:pStyle w:val="3"/>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三、</w:t>
      </w:r>
      <w:r>
        <w:rPr>
          <w:rFonts w:hint="eastAsia" w:ascii="宋体" w:hAnsi="宋体" w:eastAsia="宋体" w:cs="宋体"/>
          <w:color w:val="000000" w:themeColor="text1"/>
          <w:highlight w:val="none"/>
          <w14:textFill>
            <w14:solidFill>
              <w14:schemeClr w14:val="tx1"/>
            </w14:solidFill>
          </w14:textFill>
        </w:rPr>
        <w:t>投标</w:t>
      </w:r>
    </w:p>
    <w:p w14:paraId="26282B55">
      <w:pPr>
        <w:pStyle w:val="4"/>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投标文件的语言、计量单位、货币和编制</w:t>
      </w:r>
    </w:p>
    <w:p w14:paraId="6E132D06">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6.1投标人提交的投标文件、技术文件和资料，包括图纸中的说明，以及投标人与采购代理机构就有关投标的所有来往函电均应使用中文。投标文件中若有英文或其他语言文字的资料，应提供相应的中文翻译资料。对不同文本投标文件的解释发生异议的，以中文文本为准。</w:t>
      </w:r>
    </w:p>
    <w:p w14:paraId="70B33484">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6.2投标人所使用的计量单位应为国家法定计量单位。</w:t>
      </w:r>
    </w:p>
    <w:p w14:paraId="25F2972D">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6.3投标人应用人民币报价。</w:t>
      </w:r>
    </w:p>
    <w:p w14:paraId="669E707D">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6.4投标文件应字迹清楚、内容齐全、不得涂改。如有修改，修改处须有投标人公章和法定代表人或其授权的投标人代表签字。</w:t>
      </w:r>
    </w:p>
    <w:p w14:paraId="674E4EC3">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6.5投标文件应按照招标文件规定，统一用 A4 规格幅面双面打印、装订成册并编制目录，由于编排混乱导致投标文件被误读或查找不到，责任由投标人承担。</w:t>
      </w:r>
    </w:p>
    <w:p w14:paraId="4230897F">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6.6投标文件应逐页编码，不得跳页（包括但不限于证明材料、声明及产品介绍、彩页等）。</w:t>
      </w:r>
    </w:p>
    <w:p w14:paraId="5B17B43D">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6.7投标人应在投标文件中写清相应的项目编号、项目名称、投标人全称、地址、电话、传真等。</w:t>
      </w:r>
    </w:p>
    <w:p w14:paraId="376A5F9A">
      <w:pPr>
        <w:pStyle w:val="4"/>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联合体及分包：</w:t>
      </w:r>
    </w:p>
    <w:p w14:paraId="06E26FD0">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7.1本项目不接受联合体投标；不接受分包、转包。</w:t>
      </w:r>
    </w:p>
    <w:p w14:paraId="37E84260">
      <w:pPr>
        <w:pStyle w:val="4"/>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投标费用</w:t>
      </w:r>
    </w:p>
    <w:p w14:paraId="64471F1C">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8.1无论采购结果如何，投标人应自行承担所有与参加投标有关的费用。</w:t>
      </w:r>
    </w:p>
    <w:p w14:paraId="0DF8C64E">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8.2采购代理服务费：代理服务费以</w:t>
      </w:r>
      <w:r>
        <w:rPr>
          <w:rFonts w:hint="eastAsia" w:cs="宋体"/>
          <w:color w:val="000000" w:themeColor="text1"/>
          <w:highlight w:val="none"/>
          <w:lang w:val="en-US" w:eastAsia="zh-CN"/>
          <w14:textFill>
            <w14:solidFill>
              <w14:schemeClr w14:val="tx1"/>
            </w14:solidFill>
          </w14:textFill>
        </w:rPr>
        <w:t>中标人</w:t>
      </w:r>
      <w:r>
        <w:rPr>
          <w:rFonts w:hint="eastAsia" w:ascii="宋体" w:hAnsi="宋体" w:eastAsia="宋体" w:cs="宋体"/>
          <w:color w:val="000000" w:themeColor="text1"/>
          <w:highlight w:val="none"/>
          <w14:textFill>
            <w14:solidFill>
              <w14:schemeClr w14:val="tx1"/>
            </w14:solidFill>
          </w14:textFill>
        </w:rPr>
        <w:t>的最终报价金额作为计算基数，按国家计委(计价格【2002】1980号)文件规定的80%计取。中标人领取《中标通知书》时向招标代理机构缴纳，中标人凭《中标通知书》与采购方签订合同。评委费：本项目评委费由代理人先行垫付，最终由中标人在领取中标通知书前向招标代理机构支付评委费。</w:t>
      </w:r>
    </w:p>
    <w:p w14:paraId="5A0851FF">
      <w:pPr>
        <w:pStyle w:val="4"/>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投标文件组成</w:t>
      </w:r>
    </w:p>
    <w:p w14:paraId="0C3E954E">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9.1投标人应当根据招标文件要求编制投标文件，投标文件应对招标文件提出的要求和条件作出实质性响应，并在《商务条款偏离表》和《技术条款偏离表》《资格性检查响应对照表》等处逐条标明满足与否。</w:t>
      </w:r>
    </w:p>
    <w:p w14:paraId="57F299DE">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9.2投标文件由商务部分、技术部分、价格部分，以及其他部分组成。</w:t>
      </w:r>
    </w:p>
    <w:p w14:paraId="1105ACE6">
      <w:pPr>
        <w:pStyle w:val="4"/>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投标文件的商务部分</w:t>
      </w:r>
    </w:p>
    <w:p w14:paraId="124486BB">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10.1</w:t>
      </w:r>
      <w:r>
        <w:rPr>
          <w:rFonts w:hint="eastAsia" w:ascii="宋体" w:hAnsi="宋体"/>
          <w:bCs/>
          <w:color w:val="000000" w:themeColor="text1"/>
          <w:sz w:val="24"/>
          <w:szCs w:val="24"/>
          <w:highlight w:val="none"/>
          <w14:textFill>
            <w14:solidFill>
              <w14:schemeClr w14:val="tx1"/>
            </w14:solidFill>
          </w14:textFill>
        </w:rPr>
        <w:t>商务部分是证明供应商有资格参加投标和中标后有能力履行合同的文件，这些文件应能满足招标的要</w:t>
      </w:r>
      <w:r>
        <w:rPr>
          <w:rFonts w:hint="eastAsia" w:ascii="宋体" w:hAnsi="宋体" w:eastAsia="宋体" w:cs="宋体"/>
          <w:color w:val="000000" w:themeColor="text1"/>
          <w:highlight w:val="none"/>
          <w14:textFill>
            <w14:solidFill>
              <w14:schemeClr w14:val="tx1"/>
            </w14:solidFill>
          </w14:textFill>
        </w:rPr>
        <w:t>求，包括但不限于下列文件，其中加“★”项目不得有缺失或无效：</w:t>
      </w:r>
    </w:p>
    <w:p w14:paraId="12457D68">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（1）★投标函（投标申请及声明）；</w:t>
      </w:r>
    </w:p>
    <w:p w14:paraId="55A84EE8">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（2）★法定代表人授权委托书及授权委托人的身份证复印件（有授权委托的），或法定代表人身份证复印件（无授权委托的）；</w:t>
      </w:r>
    </w:p>
    <w:p w14:paraId="2254FBEF">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（3）★第一章投标邀请中二、申请人的资格要求：</w:t>
      </w:r>
      <w:r>
        <w:rPr>
          <w:rFonts w:hint="eastAsia" w:ascii="宋体" w:hAnsi="宋体" w:eastAsia="宋体" w:cs="宋体"/>
          <w:color w:val="000000" w:themeColor="text1"/>
          <w:highlight w:val="none"/>
          <w:lang w:eastAsia="zh-CN"/>
          <w14:textFill>
            <w14:solidFill>
              <w14:schemeClr w14:val="tx1"/>
            </w14:solidFill>
          </w14:textFill>
        </w:rPr>
        <w:t>（一）</w:t>
      </w:r>
      <w:r>
        <w:rPr>
          <w:rFonts w:hint="eastAsia" w:ascii="宋体" w:hAnsi="宋体" w:eastAsia="宋体" w:cs="宋体"/>
          <w:color w:val="000000" w:themeColor="text1"/>
          <w:highlight w:val="none"/>
          <w14:textFill>
            <w14:solidFill>
              <w14:schemeClr w14:val="tx1"/>
            </w14:solidFill>
          </w14:textFill>
        </w:rPr>
        <w:t>《中华人民共和国政府采购法》规定的资格条件证明文件；</w:t>
      </w:r>
    </w:p>
    <w:p w14:paraId="5E2C1039">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（4）★第一章投标邀请中二、申请人的资格要求：</w:t>
      </w:r>
      <w:r>
        <w:rPr>
          <w:rFonts w:hint="eastAsia" w:ascii="宋体" w:hAnsi="宋体" w:eastAsia="宋体" w:cs="宋体"/>
          <w:color w:val="000000" w:themeColor="text1"/>
          <w:highlight w:val="none"/>
          <w:lang w:eastAsia="zh-CN"/>
          <w14:textFill>
            <w14:solidFill>
              <w14:schemeClr w14:val="tx1"/>
            </w14:solidFill>
          </w14:textFill>
        </w:rPr>
        <w:t>（三）</w:t>
      </w:r>
      <w:r>
        <w:rPr>
          <w:rFonts w:hint="eastAsia" w:ascii="宋体" w:hAnsi="宋体" w:eastAsia="宋体" w:cs="宋体"/>
          <w:color w:val="000000" w:themeColor="text1"/>
          <w:highlight w:val="none"/>
          <w14:textFill>
            <w14:solidFill>
              <w14:schemeClr w14:val="tx1"/>
            </w14:solidFill>
          </w14:textFill>
        </w:rPr>
        <w:t>采购人根据采购项目的特殊要求规定的特定条件证明文件；</w:t>
      </w:r>
    </w:p>
    <w:p w14:paraId="1A640AC3">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lang w:val="zh-CN"/>
          <w14:textFill>
            <w14:solidFill>
              <w14:schemeClr w14:val="tx1"/>
            </w14:solidFill>
          </w14:textFill>
        </w:rPr>
        <w:t>）★《南京市政府采购供应商信用记录表暨信用承诺书》；</w:t>
      </w:r>
    </w:p>
    <w:p w14:paraId="0C291CB7">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）《商务条款偏离表》；</w:t>
      </w:r>
    </w:p>
    <w:p w14:paraId="10549715">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）合同条款；</w:t>
      </w:r>
    </w:p>
    <w:p w14:paraId="22B03A1A">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）供应商认为需要提供的其他资格证明文件和商务资料。</w:t>
      </w:r>
    </w:p>
    <w:p w14:paraId="5BE05CA3">
      <w:pPr>
        <w:pStyle w:val="4"/>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t>投标文件的技术部分</w:t>
      </w:r>
    </w:p>
    <w:p w14:paraId="345286B1">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11.1 技术部分是证明供应商提供的服务是合格的、并符合招标文件要求的证明文件，以及对投标报价表中的服务的详细说明，这些文件可以是文字资料、图纸和数据等。</w:t>
      </w:r>
    </w:p>
    <w:p w14:paraId="16581B09">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11.2 若提供的服务与招标文件要求有不符之处，应说明其差别之所在。</w:t>
      </w:r>
    </w:p>
    <w:p w14:paraId="7C50F7EF">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11.3 投标文件应按照招标文件要求提供服务说明，技术资料、文件和有关证明，包括但不限于以下材料，其中加“★”项目不得有缺失或无效：</w:t>
      </w:r>
    </w:p>
    <w:p w14:paraId="165D1807">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（1）★服务内容的详细说明；</w:t>
      </w:r>
    </w:p>
    <w:p w14:paraId="3DE93ED7">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（2）</w:t>
      </w:r>
      <w:r>
        <w:rPr>
          <w:rFonts w:hint="eastAsia" w:ascii="宋体" w:hAnsi="宋体" w:eastAsia="宋体" w:cs="宋体"/>
          <w:color w:val="000000" w:themeColor="text1"/>
          <w:highlight w:val="none"/>
          <w:lang w:val="zh-CN" w:eastAsia="zh-CN"/>
          <w14:textFill>
            <w14:solidFill>
              <w14:schemeClr w14:val="tx1"/>
            </w14:solidFill>
          </w14:textFill>
        </w:rPr>
        <w:t>《</w:t>
      </w:r>
      <w:r>
        <w:rPr>
          <w:rFonts w:hint="eastAsia" w:ascii="宋体" w:hAnsi="宋体" w:eastAsia="宋体" w:cs="宋体"/>
          <w:color w:val="000000" w:themeColor="text1"/>
          <w:highlight w:val="none"/>
          <w:lang w:val="zh-CN"/>
          <w14:textFill>
            <w14:solidFill>
              <w14:schemeClr w14:val="tx1"/>
            </w14:solidFill>
          </w14:textFill>
        </w:rPr>
        <w:t>技术条款偏离表</w:t>
      </w:r>
      <w:r>
        <w:rPr>
          <w:rFonts w:hint="eastAsia" w:ascii="宋体" w:hAnsi="宋体" w:eastAsia="宋体" w:cs="宋体"/>
          <w:color w:val="000000" w:themeColor="text1"/>
          <w:highlight w:val="none"/>
          <w:lang w:val="zh-CN" w:eastAsia="zh-CN"/>
          <w14:textFill>
            <w14:solidFill>
              <w14:schemeClr w14:val="tx1"/>
            </w14:solidFill>
          </w14:textFill>
        </w:rPr>
        <w:t>》</w:t>
      </w:r>
      <w:r>
        <w:rPr>
          <w:rFonts w:hint="eastAsia" w:ascii="宋体" w:hAnsi="宋体" w:eastAsia="宋体" w:cs="宋体"/>
          <w:color w:val="000000" w:themeColor="text1"/>
          <w:highlight w:val="none"/>
          <w:lang w:val="zh-CN"/>
          <w14:textFill>
            <w14:solidFill>
              <w14:schemeClr w14:val="tx1"/>
            </w14:solidFill>
          </w14:textFill>
        </w:rPr>
        <w:t>；</w:t>
      </w:r>
    </w:p>
    <w:p w14:paraId="39A68685">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（3）项目实施、集成、实施方案；</w:t>
      </w:r>
    </w:p>
    <w:p w14:paraId="3876D29E">
      <w:pPr>
        <w:pStyle w:val="4"/>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w:t>
      </w:r>
      <w:r>
        <w:rPr>
          <w:rFonts w:hint="eastAsia" w:ascii="宋体" w:hAnsi="宋体"/>
          <w:bCs/>
          <w:color w:val="000000" w:themeColor="text1"/>
          <w:sz w:val="24"/>
          <w:szCs w:val="24"/>
          <w:highlight w:val="none"/>
          <w:lang w:val="en-US" w:eastAsia="zh-CN"/>
          <w14:textFill>
            <w14:solidFill>
              <w14:schemeClr w14:val="tx1"/>
            </w14:solidFill>
          </w14:textFill>
        </w:rPr>
        <w:t>4</w:t>
      </w:r>
      <w:r>
        <w:rPr>
          <w:rFonts w:hint="eastAsia" w:ascii="宋体" w:hAnsi="宋体"/>
          <w:bCs/>
          <w:color w:val="000000" w:themeColor="text1"/>
          <w:sz w:val="24"/>
          <w:szCs w:val="24"/>
          <w:highlight w:val="none"/>
          <w14:textFill>
            <w14:solidFill>
              <w14:schemeClr w14:val="tx1"/>
            </w14:solidFill>
          </w14:textFill>
        </w:rPr>
        <w:t>）供应商认为需要提供的其他技术资料。</w:t>
      </w:r>
    </w:p>
    <w:p w14:paraId="77EDC82A">
      <w:pPr>
        <w:pStyle w:val="4"/>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t>投标文件的价格部分</w:t>
      </w:r>
    </w:p>
    <w:p w14:paraId="6208813D">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12.1价格部分是对投标服务价格构成的说明，</w:t>
      </w:r>
      <w:r>
        <w:rPr>
          <w:rFonts w:hint="eastAsia" w:ascii="宋体" w:hAnsi="宋体" w:eastAsia="宋体" w:cs="宋体"/>
          <w:b/>
          <w:bCs/>
          <w:color w:val="000000" w:themeColor="text1"/>
          <w:highlight w:val="none"/>
          <w14:textFill>
            <w14:solidFill>
              <w14:schemeClr w14:val="tx1"/>
            </w14:solidFill>
          </w14:textFill>
        </w:rPr>
        <w:t>每一项服务仅接受一个价格，任何有选择的报价将不予接受</w:t>
      </w:r>
      <w:r>
        <w:rPr>
          <w:rFonts w:hint="eastAsia" w:ascii="宋体" w:hAnsi="宋体" w:eastAsia="宋体" w:cs="宋体"/>
          <w:color w:val="000000" w:themeColor="text1"/>
          <w:highlight w:val="none"/>
          <w14:textFill>
            <w14:solidFill>
              <w14:schemeClr w14:val="tx1"/>
            </w14:solidFill>
          </w14:textFill>
        </w:rPr>
        <w:t>，将作为无效投标文件处理；格式见招标文件第六章《投标文件格式》包括但不限于：《开标一览表》《投标分项报价》等。</w:t>
      </w:r>
    </w:p>
    <w:p w14:paraId="3CA2875B">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12.2报价应包括为完成本项目所发生的一切费用和税费，除招标文件规定外，采购人将不再支付报价以外的任何费用。如发生漏缺、少项，都被视为投标人的让利行为。投标人估算错误的风险一律由投标人自行承担。</w:t>
      </w:r>
    </w:p>
    <w:p w14:paraId="422F8640">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12.3投标人的任何错漏、优惠、竞争性报价不得作为减轻责任、减少服务、增加收费、降低质量的理由。</w:t>
      </w:r>
    </w:p>
    <w:p w14:paraId="343E1713">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12.4投标人应在《开标一览表》《投标分项报价》等标明提供</w:t>
      </w:r>
      <w:r>
        <w:rPr>
          <w:rFonts w:hint="eastAsia" w:ascii="宋体" w:hAnsi="宋体" w:eastAsia="宋体" w:cs="宋体"/>
          <w:color w:val="000000" w:themeColor="text1"/>
          <w:highlight w:val="none"/>
          <w:lang w:val="en-US"/>
          <w14:textFill>
            <w14:solidFill>
              <w14:schemeClr w14:val="tx1"/>
            </w14:solidFill>
          </w14:textFill>
        </w:rPr>
        <w:t>服务</w:t>
      </w:r>
      <w:r>
        <w:rPr>
          <w:rFonts w:hint="eastAsia" w:ascii="宋体" w:hAnsi="宋体" w:eastAsia="宋体" w:cs="宋体"/>
          <w:color w:val="000000" w:themeColor="text1"/>
          <w:highlight w:val="none"/>
          <w14:textFill>
            <w14:solidFill>
              <w14:schemeClr w14:val="tx1"/>
            </w14:solidFill>
          </w14:textFill>
        </w:rPr>
        <w:t>的单价、总价以及分项报价。</w:t>
      </w:r>
      <w:r>
        <w:rPr>
          <w:rFonts w:hint="eastAsia" w:ascii="宋体" w:hAnsi="宋体" w:eastAsia="宋体" w:cs="宋体"/>
          <w:color w:val="000000" w:themeColor="text1"/>
          <w:highlight w:val="none"/>
          <w:lang w:val="en-US"/>
          <w14:textFill>
            <w14:solidFill>
              <w14:schemeClr w14:val="tx1"/>
            </w14:solidFill>
          </w14:textFill>
        </w:rPr>
        <w:t>承接服务的供应商</w:t>
      </w:r>
      <w:r>
        <w:rPr>
          <w:rFonts w:hint="eastAsia" w:ascii="宋体" w:hAnsi="宋体" w:eastAsia="宋体" w:cs="宋体"/>
          <w:color w:val="000000" w:themeColor="text1"/>
          <w:highlight w:val="none"/>
          <w14:textFill>
            <w14:solidFill>
              <w14:schemeClr w14:val="tx1"/>
            </w14:solidFill>
          </w14:textFill>
        </w:rPr>
        <w:t>系</w:t>
      </w:r>
      <w:r>
        <w:rPr>
          <w:rFonts w:hint="eastAsia" w:ascii="宋体" w:hAnsi="宋体" w:eastAsia="宋体" w:cs="宋体"/>
          <w:color w:val="000000" w:themeColor="text1"/>
          <w:highlight w:val="none"/>
          <w:lang w:val="en-US"/>
          <w14:textFill>
            <w14:solidFill>
              <w14:schemeClr w14:val="tx1"/>
            </w14:solidFill>
          </w14:textFill>
        </w:rPr>
        <w:t>中</w:t>
      </w:r>
      <w:r>
        <w:rPr>
          <w:rFonts w:hint="eastAsia" w:ascii="宋体" w:hAnsi="宋体" w:eastAsia="宋体" w:cs="宋体"/>
          <w:color w:val="000000" w:themeColor="text1"/>
          <w:highlight w:val="none"/>
          <w14:textFill>
            <w14:solidFill>
              <w14:schemeClr w14:val="tx1"/>
            </w14:solidFill>
          </w14:textFill>
        </w:rPr>
        <w:t>小企业（含</w:t>
      </w:r>
      <w:r>
        <w:rPr>
          <w:rFonts w:hint="eastAsia" w:ascii="宋体" w:hAnsi="宋体" w:eastAsia="宋体" w:cs="宋体"/>
          <w:color w:val="000000" w:themeColor="text1"/>
          <w:highlight w:val="none"/>
          <w:lang w:val="en-US"/>
          <w14:textFill>
            <w14:solidFill>
              <w14:schemeClr w14:val="tx1"/>
            </w14:solidFill>
          </w14:textFill>
        </w:rPr>
        <w:t>中型、</w:t>
      </w:r>
      <w:r>
        <w:rPr>
          <w:rFonts w:hint="eastAsia" w:ascii="宋体" w:hAnsi="宋体" w:eastAsia="宋体" w:cs="宋体"/>
          <w:color w:val="000000" w:themeColor="text1"/>
          <w:highlight w:val="none"/>
          <w14:textFill>
            <w14:solidFill>
              <w14:schemeClr w14:val="tx1"/>
            </w14:solidFill>
          </w14:textFill>
        </w:rPr>
        <w:t>小型、微型企业），须在《开标一览表》《投标分项报价》中注明，投标人应当如实申报，否则评标委员会有权取消其</w:t>
      </w:r>
      <w:r>
        <w:rPr>
          <w:rFonts w:hint="eastAsia" w:ascii="宋体" w:hAnsi="宋体" w:eastAsia="宋体" w:cs="宋体"/>
          <w:color w:val="000000" w:themeColor="text1"/>
          <w:highlight w:val="none"/>
          <w:lang w:val="en-US"/>
          <w14:textFill>
            <w14:solidFill>
              <w14:schemeClr w14:val="tx1"/>
            </w14:solidFill>
          </w14:textFill>
        </w:rPr>
        <w:t>享受中小</w:t>
      </w:r>
      <w:r>
        <w:rPr>
          <w:rFonts w:hint="eastAsia" w:ascii="宋体" w:hAnsi="宋体" w:eastAsia="宋体" w:cs="宋体"/>
          <w:color w:val="000000" w:themeColor="text1"/>
          <w:highlight w:val="none"/>
          <w14:textFill>
            <w14:solidFill>
              <w14:schemeClr w14:val="tx1"/>
            </w14:solidFill>
          </w14:textFill>
        </w:rPr>
        <w:t>企业</w:t>
      </w:r>
      <w:r>
        <w:rPr>
          <w:rFonts w:hint="eastAsia" w:ascii="宋体" w:hAnsi="宋体" w:eastAsia="宋体" w:cs="宋体"/>
          <w:color w:val="000000" w:themeColor="text1"/>
          <w:highlight w:val="none"/>
          <w:lang w:val="en-US"/>
          <w14:textFill>
            <w14:solidFill>
              <w14:schemeClr w14:val="tx1"/>
            </w14:solidFill>
          </w14:textFill>
        </w:rPr>
        <w:t>扶持</w:t>
      </w:r>
      <w:r>
        <w:rPr>
          <w:rFonts w:hint="eastAsia" w:ascii="宋体" w:hAnsi="宋体" w:eastAsia="宋体" w:cs="宋体"/>
          <w:color w:val="000000" w:themeColor="text1"/>
          <w:highlight w:val="none"/>
          <w14:textFill>
            <w14:solidFill>
              <w14:schemeClr w14:val="tx1"/>
            </w14:solidFill>
          </w14:textFill>
        </w:rPr>
        <w:t>政策。</w:t>
      </w:r>
    </w:p>
    <w:p w14:paraId="4D07F4DD">
      <w:pPr>
        <w:pStyle w:val="4"/>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13、</w:t>
      </w:r>
      <w:r>
        <w:rPr>
          <w:rFonts w:hint="eastAsia" w:ascii="宋体" w:hAnsi="宋体" w:eastAsia="宋体" w:cs="宋体"/>
          <w:color w:val="000000" w:themeColor="text1"/>
          <w:highlight w:val="none"/>
          <w14:textFill>
            <w14:solidFill>
              <w14:schemeClr w14:val="tx1"/>
            </w14:solidFill>
          </w14:textFill>
        </w:rPr>
        <w:t>投标文件的其他部分</w:t>
      </w:r>
    </w:p>
    <w:p w14:paraId="4549AEA2">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13.1 其他部分由投标人根据编制投标文件需要提供的其他相关文件。</w:t>
      </w:r>
    </w:p>
    <w:p w14:paraId="36BD495B">
      <w:pPr>
        <w:pStyle w:val="4"/>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t>投标保证金：无</w:t>
      </w:r>
    </w:p>
    <w:p w14:paraId="16B3ECFF">
      <w:pPr>
        <w:pStyle w:val="4"/>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t>投标有效期</w:t>
      </w:r>
    </w:p>
    <w:p w14:paraId="0F97AA50">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15.1自开标之日起</w:t>
      </w:r>
      <w:r>
        <w:rPr>
          <w:rFonts w:hint="eastAsia" w:ascii="宋体" w:hAnsi="宋体" w:eastAsia="宋体" w:cs="宋体"/>
          <w:b/>
          <w:bCs/>
          <w:color w:val="000000" w:themeColor="text1"/>
          <w:highlight w:val="none"/>
          <w14:textFill>
            <w14:solidFill>
              <w14:schemeClr w14:val="tx1"/>
            </w14:solidFill>
          </w14:textFill>
        </w:rPr>
        <w:t>90天</w:t>
      </w:r>
      <w:r>
        <w:rPr>
          <w:rFonts w:hint="eastAsia" w:ascii="宋体" w:hAnsi="宋体" w:eastAsia="宋体" w:cs="宋体"/>
          <w:color w:val="000000" w:themeColor="text1"/>
          <w:highlight w:val="none"/>
          <w14:textFill>
            <w14:solidFill>
              <w14:schemeClr w14:val="tx1"/>
            </w14:solidFill>
          </w14:textFill>
        </w:rPr>
        <w:t>内投标有效。</w:t>
      </w:r>
    </w:p>
    <w:p w14:paraId="486D70F7">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15.2在特殊情况下，在原投标有效期截止之前，</w:t>
      </w:r>
      <w:r>
        <w:rPr>
          <w:rFonts w:hint="eastAsia" w:ascii="宋体" w:hAnsi="宋体" w:eastAsia="宋体" w:cs="宋体"/>
          <w:color w:val="000000" w:themeColor="text1"/>
          <w:highlight w:val="none"/>
          <w:lang w:val="en-US"/>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可要求投标人同意延长投标有效期，这种要求与答复均以书面形式提交，投标人可拒绝这种要求。接受延长投标有效期的投标人将不会要求和允许修正其投标。</w:t>
      </w:r>
    </w:p>
    <w:p w14:paraId="29938C86">
      <w:pPr>
        <w:pStyle w:val="4"/>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16、</w:t>
      </w:r>
      <w:r>
        <w:rPr>
          <w:rFonts w:hint="eastAsia" w:ascii="宋体" w:hAnsi="宋体" w:eastAsia="宋体" w:cs="宋体"/>
          <w:color w:val="000000" w:themeColor="text1"/>
          <w:highlight w:val="none"/>
          <w14:textFill>
            <w14:solidFill>
              <w14:schemeClr w14:val="tx1"/>
            </w14:solidFill>
          </w14:textFill>
        </w:rPr>
        <w:t>投标文件的份数、签署</w:t>
      </w:r>
    </w:p>
    <w:p w14:paraId="1C82AD86">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16.1投标人应严格按照招标文件要求的份数准备投标文件，每份投标文件须清楚地标明“正本”或“副本”字样。一旦正本和副本不符，以正本为准。</w:t>
      </w:r>
    </w:p>
    <w:p w14:paraId="5C47B409">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16.2投标文件正本中，除招标文件规定的可提交复印件外，其他文件均须提交原件，文字材料需打印或用不褪色墨水书写。投标文件的正本须经法定代表人或经正式授权并对投标人有约束力的委托代理人签字和加盖投标人公章。本招标文件所表述（指定）的公章是指法定名称章，不包括合同专用章、业务专用章等印章。</w:t>
      </w:r>
    </w:p>
    <w:p w14:paraId="45D2AC9D">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16.3除投标人对错处做必要修改外，投标文件不得行间插字、涂改或增删。如有修改错漏处，必须由投标文件签署人签字或盖章。</w:t>
      </w:r>
    </w:p>
    <w:p w14:paraId="3E34D9BA">
      <w:pPr>
        <w:pStyle w:val="4"/>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17、</w:t>
      </w:r>
      <w:r>
        <w:rPr>
          <w:rFonts w:hint="eastAsia" w:ascii="宋体" w:hAnsi="宋体" w:eastAsia="宋体" w:cs="宋体"/>
          <w:color w:val="000000" w:themeColor="text1"/>
          <w:highlight w:val="none"/>
          <w14:textFill>
            <w14:solidFill>
              <w14:schemeClr w14:val="tx1"/>
            </w14:solidFill>
          </w14:textFill>
        </w:rPr>
        <w:t>投标文件的密封和递交</w:t>
      </w:r>
    </w:p>
    <w:p w14:paraId="0C91947B">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17.1投标人应当将投标文件密封；</w:t>
      </w:r>
    </w:p>
    <w:p w14:paraId="47F9F957">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17.2投标人应当在招标文件要求提交投标文件的截止时间前，将密封的投标文件送达投标地点。</w:t>
      </w:r>
    </w:p>
    <w:p w14:paraId="5BDF6375">
      <w:pPr>
        <w:pStyle w:val="4"/>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18、</w:t>
      </w:r>
      <w:r>
        <w:rPr>
          <w:rFonts w:hint="eastAsia" w:ascii="宋体" w:hAnsi="宋体" w:eastAsia="宋体" w:cs="宋体"/>
          <w:color w:val="000000" w:themeColor="text1"/>
          <w:highlight w:val="none"/>
          <w14:textFill>
            <w14:solidFill>
              <w14:schemeClr w14:val="tx1"/>
            </w14:solidFill>
          </w14:textFill>
        </w:rPr>
        <w:t>有下列情形之一的投标文件将拒收：</w:t>
      </w:r>
    </w:p>
    <w:p w14:paraId="23F76C14">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18.1在招标文件要求提交投标文件的截止时间之后送达的。</w:t>
      </w:r>
    </w:p>
    <w:p w14:paraId="65F9F64F">
      <w:pPr>
        <w:pStyle w:val="4"/>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t>投标文件的修改和撤回</w:t>
      </w:r>
    </w:p>
    <w:p w14:paraId="416B13A2">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19.1投标人在投标截止时间前，可以对所递交的投标文件进行补充、修改或撤回，并书面通知采购代理机构。补充、修改的内容应当按照招标文件要求签署、盖章，并作为投标文件的组成部分。</w:t>
      </w:r>
    </w:p>
    <w:p w14:paraId="43DD0D03">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19.2投标截止时间之后，投标文件不得撤回。</w:t>
      </w:r>
    </w:p>
    <w:p w14:paraId="1248F9CB">
      <w:pPr>
        <w:pStyle w:val="3"/>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四、</w:t>
      </w:r>
      <w:r>
        <w:rPr>
          <w:rFonts w:hint="eastAsia" w:ascii="宋体" w:hAnsi="宋体" w:eastAsia="宋体" w:cs="宋体"/>
          <w:color w:val="000000" w:themeColor="text1"/>
          <w:highlight w:val="none"/>
          <w14:textFill>
            <w14:solidFill>
              <w14:schemeClr w14:val="tx1"/>
            </w14:solidFill>
          </w14:textFill>
        </w:rPr>
        <w:t>开标、评标与确定中标人</w:t>
      </w:r>
    </w:p>
    <w:p w14:paraId="14A3A216">
      <w:pPr>
        <w:pStyle w:val="4"/>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20、</w:t>
      </w:r>
      <w:r>
        <w:rPr>
          <w:rFonts w:hint="eastAsia" w:ascii="宋体" w:hAnsi="宋体" w:eastAsia="宋体" w:cs="宋体"/>
          <w:color w:val="000000" w:themeColor="text1"/>
          <w:highlight w:val="none"/>
          <w14:textFill>
            <w14:solidFill>
              <w14:schemeClr w14:val="tx1"/>
            </w14:solidFill>
          </w14:textFill>
        </w:rPr>
        <w:t>开标</w:t>
      </w:r>
    </w:p>
    <w:p w14:paraId="648DE874">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20.1采购代理机构将在招标文件确定的时间和地点进行公开开标。投标人应委派代表准时参加，参加开标的代表须签名报到以证明其出席。</w:t>
      </w:r>
    </w:p>
    <w:p w14:paraId="331B8867">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20.2开标时，采购代理机构将邀请投标人代表检查投标文件的密封情况，经确认无误后，由采购代理机构工作人员当众拆封，宣读投标人名称、投标价格、价格折扣、招标文件允许提供的备选投标方案和投标文件规定的其他主要内容。</w:t>
      </w:r>
    </w:p>
    <w:p w14:paraId="424C9E3A">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20.3未宣读的投标价格、价格折扣和招标文件允许提供的备选投标方案等实质性内容，评标时不予承认。</w:t>
      </w:r>
    </w:p>
    <w:p w14:paraId="105EE380">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20.4开标时，《开标一览表》（报价表）内容与投标文件中相应内容不一致的，以《开标一览表》（报价表）为准。</w:t>
      </w:r>
    </w:p>
    <w:p w14:paraId="234A6378">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20.5投标文件、《开标一览表》（报价表）中报价的大写金额与小写金额不一致的，以大写金额为准。</w:t>
      </w:r>
    </w:p>
    <w:p w14:paraId="77D6AE62">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20.6单价金额小数点或者百分比有明显错位的，以《开标一览表》（报价表）的总价为准，并修改单价；</w:t>
      </w:r>
    </w:p>
    <w:p w14:paraId="01ECE3DC">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20.7总价金额与按单价汇总金额不一致的，以单价金额计算结果为准；</w:t>
      </w:r>
    </w:p>
    <w:p w14:paraId="77EE24F1">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20.8同时出现 20.4-20.7 中两种以上不一致的，按照 20.4-20.7 的顺序修正。修正后的报价由法定代表人或其授权的代表签字确认后产生约束力，投标人不确认的，投标无效。</w:t>
      </w:r>
    </w:p>
    <w:p w14:paraId="060C3056">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20.9对不同文字文本投标文件的解释发生异议的，以中文文本为准。</w:t>
      </w:r>
    </w:p>
    <w:p w14:paraId="1CA70453">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20.10如出现投标截止时间结束后参加投标的投标人不足三家的情况，不得开标。此采购项目</w:t>
      </w:r>
      <w:r>
        <w:rPr>
          <w:rFonts w:hint="eastAsia" w:ascii="宋体" w:hAnsi="宋体" w:eastAsia="宋体" w:cs="宋体"/>
          <w:color w:val="000000" w:themeColor="text1"/>
          <w:highlight w:val="none"/>
          <w:lang w:val="en-US"/>
          <w14:textFill>
            <w14:solidFill>
              <w14:schemeClr w14:val="tx1"/>
            </w14:solidFill>
          </w14:textFill>
        </w:rPr>
        <w:t>或采购包</w:t>
      </w:r>
      <w:r>
        <w:rPr>
          <w:rFonts w:hint="eastAsia" w:ascii="宋体" w:hAnsi="宋体" w:eastAsia="宋体" w:cs="宋体"/>
          <w:color w:val="000000" w:themeColor="text1"/>
          <w:highlight w:val="none"/>
          <w14:textFill>
            <w14:solidFill>
              <w14:schemeClr w14:val="tx1"/>
            </w14:solidFill>
          </w14:textFill>
        </w:rPr>
        <w:t>应予以废标。废标后，除采购任务取消情形外，应当重新组织招标；如果需要采用其他方式采购，根据需要，应当在采购活动开始前获得设区的市、自治州以上人民政府采购监督管理部门或者政府有关部门批准（不需要获得批准的除外）。</w:t>
      </w:r>
    </w:p>
    <w:p w14:paraId="4E5D96A7">
      <w:pPr>
        <w:pStyle w:val="4"/>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21、</w:t>
      </w:r>
      <w:r>
        <w:rPr>
          <w:rFonts w:hint="eastAsia" w:ascii="宋体" w:hAnsi="宋体" w:eastAsia="宋体" w:cs="宋体"/>
          <w:color w:val="000000" w:themeColor="text1"/>
          <w:highlight w:val="none"/>
          <w14:textFill>
            <w14:solidFill>
              <w14:schemeClr w14:val="tx1"/>
            </w14:solidFill>
          </w14:textFill>
        </w:rPr>
        <w:t>评标</w:t>
      </w:r>
    </w:p>
    <w:p w14:paraId="77696ED7">
      <w:pPr>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21.1评标组织</w:t>
      </w:r>
    </w:p>
    <w:p w14:paraId="22CE16B5">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21.1.1评标工作由采购代理机构负责组织，具体评标事务由依法组建的评标委员会负责，并独立履行下列职责：</w:t>
      </w:r>
    </w:p>
    <w:p w14:paraId="5749E71C">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（1）审查、评价投标文件是否符合招标文件的商务、技术等实质性要求；</w:t>
      </w:r>
    </w:p>
    <w:p w14:paraId="4933F058">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（2）要求投标人对投标文件有关事项作出澄清或者说明；</w:t>
      </w:r>
    </w:p>
    <w:p w14:paraId="68982B45">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（3）对投标文件进行比较和评价；</w:t>
      </w:r>
    </w:p>
    <w:p w14:paraId="30C0E4F6">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（4）根据采购人委托协议直接确定中标人；</w:t>
      </w:r>
    </w:p>
    <w:p w14:paraId="731C849C">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（5）向采购人报告评标中发现的违法行为。</w:t>
      </w:r>
    </w:p>
    <w:p w14:paraId="28184D4F">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21.1.2评标委员会由采购人代表和有关技术、经济等方面的专家组成，独立开展评审工作。</w:t>
      </w:r>
    </w:p>
    <w:p w14:paraId="475A9442">
      <w:pPr>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21.2评标程序</w:t>
      </w:r>
    </w:p>
    <w:p w14:paraId="78F68988">
      <w:pPr>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21.2.1投标文件的资格审查。</w:t>
      </w:r>
    </w:p>
    <w:p w14:paraId="25071347">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21.2.1.1采购人代表</w:t>
      </w:r>
      <w:r>
        <w:rPr>
          <w:rFonts w:hint="eastAsia" w:ascii="宋体" w:hAnsi="宋体" w:eastAsia="宋体" w:cs="宋体"/>
          <w:color w:val="000000" w:themeColor="text1"/>
          <w:highlight w:val="none"/>
          <w:lang w:val="en-US"/>
          <w14:textFill>
            <w14:solidFill>
              <w14:schemeClr w14:val="tx1"/>
            </w14:solidFill>
          </w14:textFill>
        </w:rPr>
        <w:t>或采购代理机构</w:t>
      </w:r>
      <w:r>
        <w:rPr>
          <w:rFonts w:hint="eastAsia" w:ascii="宋体" w:hAnsi="宋体" w:eastAsia="宋体" w:cs="宋体"/>
          <w:color w:val="000000" w:themeColor="text1"/>
          <w:highlight w:val="none"/>
          <w14:textFill>
            <w14:solidFill>
              <w14:schemeClr w14:val="tx1"/>
            </w14:solidFill>
          </w14:textFill>
        </w:rPr>
        <w:t>将依法对投标人的资格进行审查。</w:t>
      </w:r>
    </w:p>
    <w:p w14:paraId="1B7B61CA">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21.2.1.2资格审查：依据法律法规和招标文件的规定，对投标文件中的资格证明文件进行审查，以确定投标人是否具备投标资格。</w:t>
      </w:r>
    </w:p>
    <w:p w14:paraId="67633170">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21.2.1.3在进行资格性审查的同时，将在“信用中国”网站（</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"http://www.creditchina.gov.cn/"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www.creditchina.gov.cn</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t>）、“中国政府采购网”（www.ccgp.gov.cn）对投标人是否被列入失信被执行人、重大税收违法失信主体、政府采购严重违法失信行为记录名单的情况进行查询，以确定投标人是否具备投标资格。查询结果将以网页打印的形式留存并归档。</w:t>
      </w:r>
    </w:p>
    <w:p w14:paraId="636C7239">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21.2.1.4投标文件有下列情况之一的，在资格审查时按照</w:t>
      </w:r>
      <w:r>
        <w:rPr>
          <w:rFonts w:hint="eastAsia" w:ascii="宋体" w:hAnsi="宋体" w:eastAsia="宋体" w:cs="宋体"/>
          <w:b/>
          <w:bCs/>
          <w:color w:val="000000" w:themeColor="text1"/>
          <w:highlight w:val="none"/>
          <w14:textFill>
            <w14:solidFill>
              <w14:schemeClr w14:val="tx1"/>
            </w14:solidFill>
          </w14:textFill>
        </w:rPr>
        <w:t>无效投标</w:t>
      </w:r>
      <w:r>
        <w:rPr>
          <w:rFonts w:hint="eastAsia" w:ascii="宋体" w:hAnsi="宋体" w:eastAsia="宋体" w:cs="宋体"/>
          <w:color w:val="000000" w:themeColor="text1"/>
          <w:highlight w:val="none"/>
          <w14:textFill>
            <w14:solidFill>
              <w14:schemeClr w14:val="tx1"/>
            </w14:solidFill>
          </w14:textFill>
        </w:rPr>
        <w:t>处理：</w:t>
      </w:r>
    </w:p>
    <w:p w14:paraId="5266DB0F">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（1）不具备招标文件中规定的资格条件的；</w:t>
      </w:r>
    </w:p>
    <w:p w14:paraId="4EEEACEF">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供应商被“信用中国”网站（www.creditchina.gov.cn）、“中国政府采购网”（www.ccgp.gov.cn）列入失信被执行人、重大税收违法失信主体、政府采购严重违法失信行为记录名单的。接受联合体的项目，两个以上的自然人、法人或者其他组织组成一个联合体，以一个供应商的身份共同参加采购活动的，联合体成员存在不良信用记录的，视同联合体存在不良信用记录。</w:t>
      </w:r>
    </w:p>
    <w:p w14:paraId="356D288A">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21.2.2投标文件的符合性审查。</w:t>
      </w:r>
    </w:p>
    <w:p w14:paraId="37B8F633">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21.2.2.1评标委员会将依据法律法规和招标文件的规定，对投标文件的有效性、完整性和对招标文件的响应程度进行审查，以确定是否对招标文件的实质性要求作出响应。</w:t>
      </w:r>
    </w:p>
    <w:p w14:paraId="4DC9C19E">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21.2.2.2实质性要求是指本招标文件中用带星号（“★”）的商务和技术要求。</w:t>
      </w:r>
    </w:p>
    <w:p w14:paraId="5015A1FD">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21.2.2.3如果投标文件实质上没有响应招标文件的要求，评标委员会将予以拒绝，投标人不得通过修改或撤销不符合要求的偏离或保留而使其投标成为实质性响应的投标。</w:t>
      </w:r>
    </w:p>
    <w:p w14:paraId="68F44DB6">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21.2.2.4投标文件有下列情况之一的，在符合性审查时按照</w:t>
      </w:r>
      <w:r>
        <w:rPr>
          <w:rFonts w:hint="eastAsia" w:ascii="宋体" w:hAnsi="宋体" w:eastAsia="宋体" w:cs="宋体"/>
          <w:b/>
          <w:bCs/>
          <w:color w:val="000000" w:themeColor="text1"/>
          <w:highlight w:val="none"/>
          <w14:textFill>
            <w14:solidFill>
              <w14:schemeClr w14:val="tx1"/>
            </w14:solidFill>
          </w14:textFill>
        </w:rPr>
        <w:t>无效投标</w:t>
      </w:r>
      <w:r>
        <w:rPr>
          <w:rFonts w:hint="eastAsia" w:ascii="宋体" w:hAnsi="宋体" w:eastAsia="宋体" w:cs="宋体"/>
          <w:color w:val="000000" w:themeColor="text1"/>
          <w:highlight w:val="none"/>
          <w14:textFill>
            <w14:solidFill>
              <w14:schemeClr w14:val="tx1"/>
            </w14:solidFill>
          </w14:textFill>
        </w:rPr>
        <w:t>处理：</w:t>
      </w:r>
    </w:p>
    <w:p w14:paraId="7F56210C">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（1）未按照招标文件规定要求密封、签署、盖章的；</w:t>
      </w:r>
    </w:p>
    <w:p w14:paraId="263EB2B6">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（2）投标总价高于采购预算金额或者最高限价的；</w:t>
      </w:r>
    </w:p>
    <w:p w14:paraId="4E5AB294">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（3）不同投标人的投标文件由同一单位或者个人编制；</w:t>
      </w:r>
    </w:p>
    <w:p w14:paraId="0881B607">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（4）不同投标人委托同一单位或者个人办理投标事宜；</w:t>
      </w:r>
    </w:p>
    <w:p w14:paraId="7330F159">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（5）不同投标人的投标文件载明的项目管理成员或者联系人员为同一人；</w:t>
      </w:r>
    </w:p>
    <w:p w14:paraId="37A7D61F">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（6）不同投标人的投标文件异常一致或者投标报价呈规律性差异；</w:t>
      </w:r>
    </w:p>
    <w:p w14:paraId="3CCE4797">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（7）不同投标人的投标文件相互混装；</w:t>
      </w:r>
    </w:p>
    <w:p w14:paraId="509D4E03">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（8）不同投标人的负责人为同一人或者存在控股、管理关系的；</w:t>
      </w:r>
    </w:p>
    <w:p w14:paraId="3DC6A0FB">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（9）没有逐一说明投标产品响应，而是直接拷贝招标文件技术要求的；</w:t>
      </w:r>
    </w:p>
    <w:p w14:paraId="081A9980">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（10）实质性要求未响应招标文件要求的；</w:t>
      </w:r>
    </w:p>
    <w:p w14:paraId="7F7F6E95">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（11）投标文件含有采购人不能接受的附加条件的；</w:t>
      </w:r>
    </w:p>
    <w:p w14:paraId="56C234FA">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（12）评标委员会认为投标人的报价明显低于其他通过符合性审查投标人的报价，有可能影响服务质量或者不能诚信履约的，未在评标现场合理的时间内提供书面说明或相关证明材料，不能证明其报价合理的；</w:t>
      </w:r>
    </w:p>
    <w:p w14:paraId="7377358E">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（13）不符合法律、法规或招标文件规定的其他无效情形。</w:t>
      </w:r>
    </w:p>
    <w:p w14:paraId="3F4E8784">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21.2.2.5有下列情形之一的</w:t>
      </w:r>
      <w:r>
        <w:rPr>
          <w:rFonts w:hint="eastAsia" w:ascii="宋体" w:hAnsi="宋体" w:eastAsia="宋体" w:cs="宋体"/>
          <w:color w:val="000000" w:themeColor="text1"/>
          <w:highlight w:val="none"/>
          <w:lang w:val="en-US"/>
          <w14:textFill>
            <w14:solidFill>
              <w14:schemeClr w14:val="tx1"/>
            </w14:solidFill>
          </w14:textFill>
        </w:rPr>
        <w:t>采购包</w:t>
      </w:r>
      <w:r>
        <w:rPr>
          <w:rFonts w:hint="eastAsia" w:ascii="宋体" w:hAnsi="宋体" w:eastAsia="宋体" w:cs="宋体"/>
          <w:color w:val="000000" w:themeColor="text1"/>
          <w:highlight w:val="none"/>
          <w14:textFill>
            <w14:solidFill>
              <w14:schemeClr w14:val="tx1"/>
            </w14:solidFill>
          </w14:textFill>
        </w:rPr>
        <w:t>予以废标，同时将废标理由通知所有投标人：</w:t>
      </w:r>
    </w:p>
    <w:p w14:paraId="42B1A167">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（1）符合专业条件的投标人或者对招标文件作实质性响应的投标人不足三家的；</w:t>
      </w:r>
    </w:p>
    <w:p w14:paraId="3389CD14">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（2）出现影响采购公正的违法、违规行为的；</w:t>
      </w:r>
    </w:p>
    <w:p w14:paraId="488D37E1">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（3）投标人的报价均高于采购预算或最高限价的，采购人不能支付的；</w:t>
      </w:r>
    </w:p>
    <w:p w14:paraId="6CA594BE">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（4）因重大变故，采购任务取消的；</w:t>
      </w:r>
    </w:p>
    <w:p w14:paraId="27482D58">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（5）招标文件存在歧义、重大缺陷，或者招标文件内容违反国家有关强制性规定的。</w:t>
      </w:r>
    </w:p>
    <w:p w14:paraId="1700473D">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（6）预留份额的采购项目或采购包，通过发布公告方式邀请供应商后，符合资格条件的中小企业数量不足3家的。</w:t>
      </w:r>
    </w:p>
    <w:p w14:paraId="00B9A078">
      <w:pPr>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21.2.3投标文件的进一步评审。</w:t>
      </w:r>
    </w:p>
    <w:p w14:paraId="6C4DBCA2">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21.2.3.1评标委员会将对确定为实质性响应的投标文件进行进一步评审，看其是否有计算上或累加上的算术错误，修正错误的原则如下：</w:t>
      </w:r>
    </w:p>
    <w:p w14:paraId="7D4A9706">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（1）如果用数字表示的金额和用文字表示的金额不一致时，应以文字表示的金额为准进行修正；</w:t>
      </w:r>
    </w:p>
    <w:p w14:paraId="3190B672">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（2）当单价与数量的乘积和总价不一致时，以单价为准进行修正。只有在评标委员会认为单价有明显的小数点错误时，才能以标出的总价为准，并修改单价。</w:t>
      </w:r>
    </w:p>
    <w:p w14:paraId="17B3F13C">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21.2.3.2评标委员会将按上述修正错误的方法调整投标文件中的投标价，调整后的价格应对投标人具有约束力。如果投标人不接受修正后的价格，则其投标将被拒绝。</w:t>
      </w:r>
    </w:p>
    <w:p w14:paraId="6D3A38A7">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21.2.3.3评标委员会将允许修正投标文件中不构成重大偏离的、微小的、非正规的、不一致的或不规则的地方，但这些修改不能影响任何投标人相应的名次排列。</w:t>
      </w:r>
    </w:p>
    <w:p w14:paraId="6D9C3ECC">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21.2.3.4澄清有关问题。对投标文件中含义不明确、同类问题表述不一致或者明显文字错误的内容，评标委员会可以要求投标人作出必要的澄清、说明或者补正。投标人的澄清、说明、补正应当采用书面形式，由其授权代表签字，但不得超出投标文件的范围或者改变投标文件的实质性内容。</w:t>
      </w:r>
    </w:p>
    <w:p w14:paraId="1E221A1D">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21.2.3.5比较与评价。按照招标文件中规定的评标方法和标准，对资格性检查和符合性检查合格的投标文件进行商务和技术评估，综合比较与评价。</w:t>
      </w:r>
    </w:p>
    <w:p w14:paraId="1D5083B5">
      <w:pPr>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21.3评标方法和标准</w:t>
      </w:r>
    </w:p>
    <w:p w14:paraId="34D980EF">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21.3.1采用</w:t>
      </w:r>
      <w:r>
        <w:rPr>
          <w:rFonts w:hint="eastAsia" w:ascii="宋体" w:hAnsi="宋体" w:eastAsia="宋体" w:cs="宋体"/>
          <w:b/>
          <w:bCs/>
          <w:color w:val="000000" w:themeColor="text1"/>
          <w:highlight w:val="none"/>
          <w14:textFill>
            <w14:solidFill>
              <w14:schemeClr w14:val="tx1"/>
            </w14:solidFill>
          </w14:textFill>
        </w:rPr>
        <w:t>综合评分法</w:t>
      </w:r>
      <w:r>
        <w:rPr>
          <w:rFonts w:hint="eastAsia" w:ascii="宋体" w:hAnsi="宋体" w:eastAsia="宋体" w:cs="宋体"/>
          <w:color w:val="000000" w:themeColor="text1"/>
          <w:highlight w:val="none"/>
          <w14:textFill>
            <w14:solidFill>
              <w14:schemeClr w14:val="tx1"/>
            </w14:solidFill>
          </w14:textFill>
        </w:rPr>
        <w:t>。即在投标文件满足招标文件全部实质性要求前提下，且按照评审因素的量化指标评审得分最高的投标人为中标人的评标方法。</w:t>
      </w:r>
    </w:p>
    <w:p w14:paraId="173423EC">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21.3.2评分标准详见文件第三章。</w:t>
      </w:r>
    </w:p>
    <w:p w14:paraId="4652D912">
      <w:pPr>
        <w:pStyle w:val="4"/>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22、</w:t>
      </w:r>
      <w:r>
        <w:rPr>
          <w:rFonts w:hint="eastAsia" w:ascii="宋体" w:hAnsi="宋体" w:eastAsia="宋体" w:cs="宋体"/>
          <w:color w:val="000000" w:themeColor="text1"/>
          <w:highlight w:val="none"/>
          <w14:textFill>
            <w14:solidFill>
              <w14:schemeClr w14:val="tx1"/>
            </w14:solidFill>
          </w14:textFill>
        </w:rPr>
        <w:t>确定中标人</w:t>
      </w:r>
    </w:p>
    <w:p w14:paraId="64CAD04D">
      <w:pPr>
        <w:shd w:val="clear"/>
        <w:ind w:firstLine="480" w:firstLineChars="200"/>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22.确定中标供应商</w:t>
      </w:r>
    </w:p>
    <w:p w14:paraId="5850B61D">
      <w:pPr>
        <w:shd w:val="clear"/>
        <w:ind w:firstLine="480" w:firstLineChars="200"/>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22.1 在综合比较与评价后按照得分由高到低顺序对供应商进行排序。评标委员会按综合得分排名推荐3名中标候选人。得分相同的，按投标报价由低到高顺序排列。得分且报价相同的，按技术指标（</w:t>
      </w:r>
      <w:r>
        <w:rPr>
          <w:rFonts w:hint="eastAsia" w:ascii="宋体" w:hAnsi="宋体" w:eastAsia="宋体" w:cs="Times New Roman"/>
          <w:color w:val="000000" w:themeColor="text1"/>
          <w:sz w:val="24"/>
          <w:szCs w:val="24"/>
          <w:highlight w:val="none"/>
          <w:lang w:val="zh-CN" w:eastAsia="zh-CN" w:bidi="ar-SA"/>
          <w14:textFill>
            <w14:solidFill>
              <w14:schemeClr w14:val="tx1"/>
            </w14:solidFill>
          </w14:textFill>
        </w:rPr>
        <w:t>服务方案</w:t>
      </w:r>
      <w:r>
        <w:rPr>
          <w:rFonts w:hint="eastAsia" w:ascii="宋体" w:hAnsi="宋体" w:cs="宋体"/>
          <w:color w:val="000000" w:themeColor="text1"/>
          <w:sz w:val="24"/>
          <w:szCs w:val="24"/>
          <w:highlight w:val="none"/>
          <w:lang w:val="zh-CN"/>
          <w14:textFill>
            <w14:solidFill>
              <w14:schemeClr w14:val="tx1"/>
            </w14:solidFill>
          </w14:textFill>
        </w:rPr>
        <w:t>）优劣顺序排列。</w:t>
      </w:r>
    </w:p>
    <w:p w14:paraId="06FBCF0B">
      <w:pPr>
        <w:shd w:val="clear"/>
        <w:ind w:firstLine="480" w:firstLineChars="200"/>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22.2 按以下第</w:t>
      </w:r>
      <w:r>
        <w:rPr>
          <w:rFonts w:hint="eastAsia" w:ascii="宋体" w:hAnsi="宋体" w:cs="宋体"/>
          <w:color w:val="000000" w:themeColor="text1"/>
          <w:sz w:val="24"/>
          <w:szCs w:val="24"/>
          <w:highlight w:val="none"/>
          <w:u w:val="single"/>
          <w:lang w:val="zh-CN"/>
          <w14:textFill>
            <w14:solidFill>
              <w14:schemeClr w14:val="tx1"/>
            </w14:solidFill>
          </w14:textFill>
        </w:rPr>
        <w:t>（1）</w:t>
      </w:r>
      <w:r>
        <w:rPr>
          <w:rFonts w:hint="eastAsia" w:ascii="宋体" w:hAnsi="宋体" w:cs="宋体"/>
          <w:color w:val="000000" w:themeColor="text1"/>
          <w:sz w:val="24"/>
          <w:szCs w:val="24"/>
          <w:highlight w:val="none"/>
          <w:lang w:val="zh-CN"/>
          <w14:textFill>
            <w14:solidFill>
              <w14:schemeClr w14:val="tx1"/>
            </w14:solidFill>
          </w14:textFill>
        </w:rPr>
        <w:t>种方式确定中标供应商</w:t>
      </w:r>
    </w:p>
    <w:p w14:paraId="483A1665">
      <w:pPr>
        <w:shd w:val="clear"/>
        <w:ind w:firstLine="480" w:firstLineChars="200"/>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（1）评标委员会直接确定排名第一的中标候选人为中标供应商；</w:t>
      </w:r>
    </w:p>
    <w:p w14:paraId="11C7DAED">
      <w:pPr>
        <w:shd w:val="clear"/>
        <w:ind w:firstLine="480" w:firstLineChars="200"/>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（2）采购人在评标委员会推荐的中标候选人中按顺序确定中标供应商。</w:t>
      </w:r>
    </w:p>
    <w:p w14:paraId="1BB08686">
      <w:pPr>
        <w:shd w:val="clear"/>
        <w:ind w:firstLine="480" w:firstLineChars="200"/>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按第二种方式确定中标供应商的，代理机构自评审结束之日起两个工作日内将评审报告送交采购人，采购人应当自收到评审报告之日起五个工作日内在评审报告推荐的中标候选人中按顺序确定中标供应商。</w:t>
      </w:r>
    </w:p>
    <w:p w14:paraId="638BB6AE">
      <w:pPr>
        <w:shd w:val="clear"/>
        <w:ind w:firstLine="480" w:firstLineChars="200"/>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22.3 中标供应商确定之日起两个工作日内，将在财政部门指定的政府采购信息发布媒体上公告。</w:t>
      </w:r>
    </w:p>
    <w:p w14:paraId="598B8609">
      <w:pPr>
        <w:shd w:val="clear"/>
        <w:ind w:firstLine="480" w:firstLineChars="200"/>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22.4 《中标通知书》对采购人和中标供应商具有同等法律效力。</w:t>
      </w:r>
    </w:p>
    <w:p w14:paraId="67D7754E">
      <w:pPr>
        <w:shd w:val="clear"/>
        <w:ind w:firstLine="480" w:firstLineChars="200"/>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22.5 《中标通知书》发出后，中标供应商无正当理由不与采购人签订合同的，应当依法承担法律责任。</w:t>
      </w:r>
    </w:p>
    <w:p w14:paraId="48364B70">
      <w:pPr>
        <w:shd w:val="clear"/>
        <w:ind w:firstLine="480" w:firstLineChars="200"/>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22.6代理机构和评标委员会对未中标的供应商不作未中标原因的解释。</w:t>
      </w:r>
    </w:p>
    <w:p w14:paraId="718BEE45">
      <w:pPr>
        <w:pStyle w:val="4"/>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23、</w:t>
      </w:r>
      <w:r>
        <w:rPr>
          <w:rFonts w:hint="eastAsia" w:ascii="宋体" w:hAnsi="宋体" w:eastAsia="宋体" w:cs="宋体"/>
          <w:color w:val="000000" w:themeColor="text1"/>
          <w:highlight w:val="none"/>
          <w14:textFill>
            <w14:solidFill>
              <w14:schemeClr w14:val="tx1"/>
            </w14:solidFill>
          </w14:textFill>
        </w:rPr>
        <w:t>编写评标报告</w:t>
      </w:r>
    </w:p>
    <w:p w14:paraId="2040BCB6">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23.1 评标委员会根据全体评标成员签字的原始评标记录和评标结果编写评标报告。</w:t>
      </w:r>
    </w:p>
    <w:p w14:paraId="6E945E77">
      <w:pPr>
        <w:pStyle w:val="4"/>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24、</w:t>
      </w:r>
      <w:r>
        <w:rPr>
          <w:rFonts w:hint="eastAsia" w:ascii="宋体" w:hAnsi="宋体" w:eastAsia="宋体" w:cs="宋体"/>
          <w:color w:val="000000" w:themeColor="text1"/>
          <w:highlight w:val="none"/>
          <w14:textFill>
            <w14:solidFill>
              <w14:schemeClr w14:val="tx1"/>
            </w14:solidFill>
          </w14:textFill>
        </w:rPr>
        <w:t>评标过程的保密性</w:t>
      </w:r>
    </w:p>
    <w:p w14:paraId="4CF8FEF4">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24.1采购代理机构将采取必要措施，保证评标在严格保密的情况下进行。</w:t>
      </w:r>
    </w:p>
    <w:p w14:paraId="0759BD12">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24.2任何单位和个人不得非法干预、影响评标办法的确定，以及评标过程和结果。</w:t>
      </w:r>
    </w:p>
    <w:p w14:paraId="18B71AA2">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24.3凡是与审查、澄清、评价和比较投标的有关资料等，均不向投标人及与评标无关的其他人员透露。</w:t>
      </w:r>
    </w:p>
    <w:p w14:paraId="43856A14">
      <w:pPr>
        <w:pStyle w:val="3"/>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五、</w:t>
      </w:r>
      <w:r>
        <w:rPr>
          <w:rFonts w:hint="eastAsia" w:ascii="宋体" w:hAnsi="宋体" w:eastAsia="宋体" w:cs="宋体"/>
          <w:color w:val="000000" w:themeColor="text1"/>
          <w:highlight w:val="none"/>
          <w14:textFill>
            <w14:solidFill>
              <w14:schemeClr w14:val="tx1"/>
            </w14:solidFill>
          </w14:textFill>
        </w:rPr>
        <w:t>签订合同</w:t>
      </w:r>
    </w:p>
    <w:p w14:paraId="70436811">
      <w:pPr>
        <w:pStyle w:val="4"/>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25、签订合同</w:t>
      </w:r>
    </w:p>
    <w:p w14:paraId="64FC361B">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25.1采购人应当自中标通知书发出之日起 30 日内，按照招标文件和中标人投标文件的规定与中标人签订书面合同。所签订的合同不得对招标文件确定事项和中标人投标文件作实质性修改。</w:t>
      </w:r>
    </w:p>
    <w:p w14:paraId="3AB4933C">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25.2采购人不得向中标人提出任何不合理的要求作为签订合同的条件，不得与中标人私下订立背离合同实质性内容的协议。</w:t>
      </w:r>
    </w:p>
    <w:p w14:paraId="3C812E14">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25.3中标人拒绝与采购人签订合同，或因不可抗力或者自身原因不能履行采购合同的，采购人可以按照评审报告推荐的中标候选人名单排序，确定下一候选人为中标人，也可以重新开展采购活动。</w:t>
      </w:r>
    </w:p>
    <w:p w14:paraId="42D18178">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25.4采购合同履行中，采购人需追加与合同标的相同货物的，在不改变合同其他条款的前提下，可以与投标人协商签订补充合同，但所有补充合同的采购金额不得超过原合同采购金额的百分之十。</w:t>
      </w:r>
    </w:p>
    <w:p w14:paraId="7A60A804">
      <w:pPr>
        <w:pStyle w:val="3"/>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六、</w:t>
      </w:r>
      <w:r>
        <w:rPr>
          <w:rFonts w:hint="eastAsia" w:ascii="宋体" w:hAnsi="宋体" w:eastAsia="宋体" w:cs="宋体"/>
          <w:color w:val="000000" w:themeColor="text1"/>
          <w:highlight w:val="none"/>
          <w14:textFill>
            <w14:solidFill>
              <w14:schemeClr w14:val="tx1"/>
            </w14:solidFill>
          </w14:textFill>
        </w:rPr>
        <w:t>询问、质疑、投诉和诚实信用</w:t>
      </w:r>
    </w:p>
    <w:p w14:paraId="691A8FF8">
      <w:pPr>
        <w:pStyle w:val="4"/>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26、</w:t>
      </w:r>
      <w:r>
        <w:rPr>
          <w:rFonts w:hint="eastAsia" w:ascii="宋体" w:hAnsi="宋体" w:eastAsia="宋体" w:cs="宋体"/>
          <w:color w:val="000000" w:themeColor="text1"/>
          <w:highlight w:val="none"/>
          <w14:textFill>
            <w14:solidFill>
              <w14:schemeClr w14:val="tx1"/>
            </w14:solidFill>
          </w14:textFill>
        </w:rPr>
        <w:t>询问</w:t>
      </w:r>
    </w:p>
    <w:p w14:paraId="3B121A4D">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26.1投标人对招标活动事项有疑问的，可以向采购代理机构或采购人提出询问，采购代理机构或采购人将在两个工作日内作出答复，但答复的内容不涉及商业秘密。</w:t>
      </w:r>
    </w:p>
    <w:p w14:paraId="4087C374">
      <w:pPr>
        <w:pStyle w:val="4"/>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27、</w:t>
      </w:r>
      <w:r>
        <w:rPr>
          <w:rFonts w:hint="eastAsia" w:ascii="宋体" w:hAnsi="宋体" w:eastAsia="宋体" w:cs="宋体"/>
          <w:color w:val="000000" w:themeColor="text1"/>
          <w:highlight w:val="none"/>
          <w14:textFill>
            <w14:solidFill>
              <w14:schemeClr w14:val="tx1"/>
            </w14:solidFill>
          </w14:textFill>
        </w:rPr>
        <w:t>质疑</w:t>
      </w:r>
    </w:p>
    <w:p w14:paraId="33621DEC">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27.1投标人认为采购文件、采购过程和中标结果使自己的合法权益受到损害的，可以在知道或者应当知道其权益受到损害之日起七个工作日内，将质疑文件原件以书面形式送达采购代理机构。</w:t>
      </w:r>
    </w:p>
    <w:p w14:paraId="5622A5F9">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27.2投标人质疑行为应符合财政部94号令相关规定，不同的采购包参与的供应商的条件是独立的，未参加采购包采购活动的供应商或在采购包采购活动中自身权益未受到损害的供应商所提出的质疑不予受理。</w:t>
      </w:r>
    </w:p>
    <w:p w14:paraId="0A4626FD">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27.3上述应知其权益受到损害之日是指：</w:t>
      </w:r>
    </w:p>
    <w:p w14:paraId="4052701B">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（1）对招标文件提出质疑的，自收到招标文件之日或者招标文件公告期限届满之日起计算；</w:t>
      </w:r>
    </w:p>
    <w:p w14:paraId="35A39E7D">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（2）对采购过程提出质疑的，自采购程序环节结束之日起计算；</w:t>
      </w:r>
    </w:p>
    <w:p w14:paraId="610403B7">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（3）对中标结果提出质疑的，自中标结果公告期限届满之日起计算。</w:t>
      </w:r>
    </w:p>
    <w:p w14:paraId="720F694E">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27.4质疑投标人在法定质疑期内应当一次性提出针对同一招标环节的质疑事项。投标人如在法定期限内对同一采购程序环节提出多次质疑的，采购人或采购代理机构将只对投标人第一次质疑作出答复。</w:t>
      </w:r>
    </w:p>
    <w:p w14:paraId="5447CFC5">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27.5代理机构在收到投标人的质疑后将及时组织调查核实，在七个工作日内作出答复，答复的内容不涉及商业秘密。</w:t>
      </w:r>
    </w:p>
    <w:p w14:paraId="61FA8AE9">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27.6代理机构遵循“谁过错谁负担”的原则，有过错的一方承担调查论证费用。</w:t>
      </w:r>
    </w:p>
    <w:p w14:paraId="63AFFE62">
      <w:pPr>
        <w:pStyle w:val="4"/>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28、</w:t>
      </w:r>
      <w:r>
        <w:rPr>
          <w:rFonts w:hint="eastAsia" w:ascii="宋体" w:hAnsi="宋体" w:eastAsia="宋体" w:cs="宋体"/>
          <w:color w:val="000000" w:themeColor="text1"/>
          <w:highlight w:val="none"/>
          <w14:textFill>
            <w14:solidFill>
              <w14:schemeClr w14:val="tx1"/>
            </w14:solidFill>
          </w14:textFill>
        </w:rPr>
        <w:t>投诉</w:t>
      </w:r>
    </w:p>
    <w:p w14:paraId="71BEEB76">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28.1 质疑投标人对采购代理机构的答复不满意，或采购代理机构未在规定的时间内作出答复的，可以在答复期满后</w:t>
      </w:r>
      <w:r>
        <w:rPr>
          <w:rFonts w:hint="eastAsia" w:ascii="宋体" w:hAnsi="宋体" w:eastAsia="宋体" w:cs="宋体"/>
          <w:b/>
          <w:bCs/>
          <w:color w:val="000000" w:themeColor="text1"/>
          <w:highlight w:val="none"/>
          <w14:textFill>
            <w14:solidFill>
              <w14:schemeClr w14:val="tx1"/>
            </w14:solidFill>
          </w14:textFill>
        </w:rPr>
        <w:t>十五个工作日内</w:t>
      </w:r>
      <w:r>
        <w:rPr>
          <w:rFonts w:hint="eastAsia" w:ascii="宋体" w:hAnsi="宋体" w:eastAsia="宋体" w:cs="宋体"/>
          <w:color w:val="000000" w:themeColor="text1"/>
          <w:highlight w:val="none"/>
          <w14:textFill>
            <w14:solidFill>
              <w14:schemeClr w14:val="tx1"/>
            </w14:solidFill>
          </w14:textFill>
        </w:rPr>
        <w:t>向采购项目采购部门投诉。</w:t>
      </w:r>
    </w:p>
    <w:p w14:paraId="445C035B">
      <w:pPr>
        <w:pStyle w:val="4"/>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29、</w:t>
      </w:r>
      <w:r>
        <w:rPr>
          <w:rFonts w:hint="eastAsia" w:ascii="宋体" w:hAnsi="宋体" w:eastAsia="宋体" w:cs="宋体"/>
          <w:color w:val="000000" w:themeColor="text1"/>
          <w:highlight w:val="none"/>
          <w14:textFill>
            <w14:solidFill>
              <w14:schemeClr w14:val="tx1"/>
            </w14:solidFill>
          </w14:textFill>
        </w:rPr>
        <w:t>诚实信用</w:t>
      </w:r>
    </w:p>
    <w:p w14:paraId="18F98CB5">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29.1投标人之间不得相互串通投标报价，不得妨碍其他投标人的公平竞争，不得损害采购人和其他投标人的合法权益。</w:t>
      </w:r>
    </w:p>
    <w:p w14:paraId="3897BCA5">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29.2投标人不得以向采购代理机构工作人员、评标委员会成员行贿或者采取其他不正当手段谋取中标。经查实投标人有此行为的，</w:t>
      </w:r>
      <w:r>
        <w:rPr>
          <w:rFonts w:hint="eastAsia" w:cs="宋体"/>
          <w:color w:val="000000" w:themeColor="text1"/>
          <w:highlight w:val="none"/>
          <w:lang w:val="en-US" w:eastAsia="zh-CN"/>
          <w14:textFill>
            <w14:solidFill>
              <w14:schemeClr w14:val="tx1"/>
            </w14:solidFill>
          </w14:textFill>
        </w:rPr>
        <w:t>相关</w:t>
      </w:r>
      <w:r>
        <w:rPr>
          <w:rFonts w:hint="eastAsia" w:ascii="宋体" w:hAnsi="宋体" w:eastAsia="宋体" w:cs="宋体"/>
          <w:color w:val="000000" w:themeColor="text1"/>
          <w:highlight w:val="none"/>
          <w14:textFill>
            <w14:solidFill>
              <w14:schemeClr w14:val="tx1"/>
            </w14:solidFill>
          </w14:textFill>
        </w:rPr>
        <w:t>管理部门将投标人列入不良行为记录名单，按照有关规定处理。</w:t>
      </w:r>
    </w:p>
    <w:p w14:paraId="302CC4F5">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29.3投标人提出书面质疑必须有理、有据，不得虚假质疑和恶意质疑，并对质疑内容的真实性承担责任。一经查实，采购代理机构有权依据有关规定，报请监管部门对该投标人进行相应的行政处罚并在网站上予以公示。如果投标人或者其他利害关系人通过捏造事实、伪造证明材料等方式提出质疑，干扰采购活动正常进行的，属于严重不良行为，采购代理机构将提请相关部门将其列入不良行为记录名单，并依法予以处罚。</w:t>
      </w:r>
    </w:p>
    <w:p w14:paraId="408CBBA1">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29.4投标人不得虚假承诺，否则，按照提供虚假材料谋取中标成交处理。</w:t>
      </w:r>
    </w:p>
    <w:p w14:paraId="7206D40C">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29.5投标人应自觉遵守开标、评标纪律，扰乱开标评标现场秩序的，属于失信行为，，失信行为将被记入投标人诚信档案。</w:t>
      </w:r>
    </w:p>
    <w:p w14:paraId="0B01B1EB">
      <w:pPr>
        <w:shd w:val="clear"/>
        <w:ind w:firstLine="723"/>
        <w:rPr>
          <w:rFonts w:hint="eastAsia" w:ascii="宋体" w:hAnsi="宋体" w:eastAsia="宋体" w:cs="宋体"/>
          <w:b/>
          <w:color w:val="000000" w:themeColor="text1"/>
          <w:sz w:val="36"/>
          <w:highlight w:val="none"/>
          <w14:textFill>
            <w14:solidFill>
              <w14:schemeClr w14:val="tx1"/>
            </w14:solidFill>
          </w14:textFill>
        </w:rPr>
      </w:pPr>
      <w:r>
        <w:rPr>
          <w:rFonts w:hint="eastAsia" w:ascii="宋体" w:hAnsi="宋体" w:eastAsia="宋体" w:cs="宋体"/>
          <w:b/>
          <w:color w:val="000000" w:themeColor="text1"/>
          <w:sz w:val="36"/>
          <w:highlight w:val="none"/>
          <w14:textFill>
            <w14:solidFill>
              <w14:schemeClr w14:val="tx1"/>
            </w14:solidFill>
          </w14:textFill>
        </w:rPr>
        <w:br w:type="page"/>
      </w:r>
    </w:p>
    <w:p w14:paraId="5B134B07">
      <w:pPr>
        <w:pStyle w:val="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第三章  评标标准</w:t>
      </w:r>
    </w:p>
    <w:p w14:paraId="2E7A46C1">
      <w:pPr>
        <w:shd w:val="clear"/>
        <w:spacing w:line="360" w:lineRule="auto"/>
        <w:ind w:firstLine="480" w:firstLineChars="200"/>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本次评审采用综合评标法，是指投标文件满足招标文件全部实质性要求，且按照评审因素的量化指标评审得分最高的供应商为中标候选人的评标方法，评审因素详见评分标准。评分统计方法采用百分制（满分100分），将全部评委评分直接进行算术平均，小数点后保留2位。评标委员会遵循公平、公正、择优原则</w:t>
      </w:r>
      <w:r>
        <w:rPr>
          <w:rFonts w:hint="eastAsia" w:ascii="宋体" w:hAnsi="宋体" w:cs="宋体"/>
          <w:color w:val="000000" w:themeColor="text1"/>
          <w:szCs w:val="21"/>
          <w:highlight w:val="none"/>
          <w:lang w:val="zh-CN"/>
          <w14:textFill>
            <w14:solidFill>
              <w14:schemeClr w14:val="tx1"/>
            </w14:solidFill>
          </w14:textFill>
        </w:rPr>
        <w:t>，独立按照评分标准分别评定供应商的分值；各供应商的最终得分为各评委所评定分值的平均值，按照得分高低顺序对供应商进行排列。得分相同的，按报价由低到高顺序排列。得分且报价相同的，按技术指标（</w:t>
      </w:r>
      <w:r>
        <w:rPr>
          <w:rFonts w:hint="eastAsia" w:ascii="宋体" w:hAnsi="宋体" w:eastAsia="宋体" w:cs="Times New Roman"/>
          <w:color w:val="000000" w:themeColor="text1"/>
          <w:sz w:val="24"/>
          <w:szCs w:val="24"/>
          <w:highlight w:val="none"/>
          <w:lang w:val="zh-CN" w:eastAsia="zh-CN" w:bidi="ar-SA"/>
          <w14:textFill>
            <w14:solidFill>
              <w14:schemeClr w14:val="tx1"/>
            </w14:solidFill>
          </w14:textFill>
        </w:rPr>
        <w:t>服务方案</w:t>
      </w:r>
      <w:r>
        <w:rPr>
          <w:rFonts w:hint="eastAsia" w:ascii="宋体" w:hAnsi="宋体" w:cs="宋体"/>
          <w:color w:val="000000" w:themeColor="text1"/>
          <w:szCs w:val="21"/>
          <w:highlight w:val="none"/>
          <w:lang w:val="zh-CN"/>
          <w14:textFill>
            <w14:solidFill>
              <w14:schemeClr w14:val="tx1"/>
            </w14:solidFill>
          </w14:textFill>
        </w:rPr>
        <w:t>）优劣顺序排列。评标委员会直接确定排名第一的中标候选人为中标供应商。</w:t>
      </w:r>
    </w:p>
    <w:tbl>
      <w:tblPr>
        <w:tblStyle w:val="28"/>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1219"/>
        <w:gridCol w:w="6560"/>
        <w:gridCol w:w="953"/>
      </w:tblGrid>
      <w:tr w14:paraId="190DF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07" w:type="dxa"/>
            <w:vAlign w:val="center"/>
          </w:tcPr>
          <w:p w14:paraId="74320260">
            <w:pPr>
              <w:widowControl w:val="0"/>
              <w:numPr>
                <w:ilvl w:val="0"/>
                <w:numId w:val="0"/>
              </w:numPr>
              <w:shd w:val="clear"/>
              <w:tabs>
                <w:tab w:val="left" w:pos="0"/>
              </w:tabs>
              <w:autoSpaceDE/>
              <w:autoSpaceDN/>
              <w:adjustRightInd/>
              <w:spacing w:line="420" w:lineRule="exact"/>
              <w:jc w:val="both"/>
              <w:rPr>
                <w:rFonts w:ascii="宋体" w:hAnsi="宋体" w:eastAsia="宋体" w:cs="宋体"/>
                <w:b/>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
                <w:color w:val="000000" w:themeColor="text1"/>
                <w:kern w:val="2"/>
                <w:sz w:val="21"/>
                <w:szCs w:val="21"/>
                <w:highlight w:val="none"/>
                <w:lang w:val="zh-CN" w:eastAsia="zh-CN" w:bidi="ar-SA"/>
                <w14:textFill>
                  <w14:solidFill>
                    <w14:schemeClr w14:val="tx1"/>
                  </w14:solidFill>
                </w14:textFill>
              </w:rPr>
              <w:t>序号</w:t>
            </w:r>
          </w:p>
        </w:tc>
        <w:tc>
          <w:tcPr>
            <w:tcW w:w="1220" w:type="dxa"/>
            <w:vAlign w:val="center"/>
          </w:tcPr>
          <w:p w14:paraId="002D9CFB">
            <w:pPr>
              <w:widowControl w:val="0"/>
              <w:numPr>
                <w:ilvl w:val="0"/>
                <w:numId w:val="0"/>
              </w:numPr>
              <w:shd w:val="clear"/>
              <w:tabs>
                <w:tab w:val="left" w:pos="0"/>
              </w:tabs>
              <w:autoSpaceDE/>
              <w:autoSpaceDN/>
              <w:adjustRightInd/>
              <w:spacing w:line="420" w:lineRule="exact"/>
              <w:jc w:val="both"/>
              <w:rPr>
                <w:rFonts w:ascii="宋体" w:hAnsi="宋体" w:eastAsia="宋体" w:cs="宋体"/>
                <w:b/>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
                <w:color w:val="000000" w:themeColor="text1"/>
                <w:kern w:val="2"/>
                <w:sz w:val="21"/>
                <w:szCs w:val="21"/>
                <w:highlight w:val="none"/>
                <w:lang w:val="zh-CN" w:eastAsia="zh-CN" w:bidi="ar-SA"/>
                <w14:textFill>
                  <w14:solidFill>
                    <w14:schemeClr w14:val="tx1"/>
                  </w14:solidFill>
                </w14:textFill>
              </w:rPr>
              <w:t>评分因素</w:t>
            </w:r>
          </w:p>
        </w:tc>
        <w:tc>
          <w:tcPr>
            <w:tcW w:w="6575" w:type="dxa"/>
            <w:vAlign w:val="center"/>
          </w:tcPr>
          <w:p w14:paraId="5ED00925">
            <w:pPr>
              <w:widowControl w:val="0"/>
              <w:numPr>
                <w:ilvl w:val="0"/>
                <w:numId w:val="1"/>
              </w:numPr>
              <w:shd w:val="clear"/>
              <w:autoSpaceDE/>
              <w:autoSpaceDN/>
              <w:adjustRightInd/>
              <w:spacing w:line="420" w:lineRule="exact"/>
              <w:ind w:left="0" w:firstLine="0"/>
              <w:jc w:val="center"/>
              <w:rPr>
                <w:rFonts w:ascii="宋体" w:hAnsi="宋体" w:eastAsia="宋体" w:cs="宋体"/>
                <w:b/>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
                <w:color w:val="000000" w:themeColor="text1"/>
                <w:kern w:val="2"/>
                <w:sz w:val="21"/>
                <w:szCs w:val="21"/>
                <w:highlight w:val="none"/>
                <w:lang w:val="zh-CN" w:eastAsia="zh-CN" w:bidi="ar-SA"/>
                <w14:textFill>
                  <w14:solidFill>
                    <w14:schemeClr w14:val="tx1"/>
                  </w14:solidFill>
                </w14:textFill>
              </w:rPr>
              <w:t>评分项目</w:t>
            </w:r>
          </w:p>
        </w:tc>
        <w:tc>
          <w:tcPr>
            <w:tcW w:w="936" w:type="dxa"/>
            <w:vAlign w:val="center"/>
          </w:tcPr>
          <w:p w14:paraId="0E8B6F10">
            <w:pPr>
              <w:widowControl w:val="0"/>
              <w:numPr>
                <w:ilvl w:val="0"/>
                <w:numId w:val="0"/>
              </w:numPr>
              <w:shd w:val="clear"/>
              <w:tabs>
                <w:tab w:val="left" w:pos="0"/>
              </w:tabs>
              <w:autoSpaceDE/>
              <w:autoSpaceDN/>
              <w:adjustRightInd/>
              <w:spacing w:line="420" w:lineRule="exact"/>
              <w:jc w:val="both"/>
              <w:rPr>
                <w:rFonts w:ascii="宋体" w:hAnsi="宋体" w:eastAsia="宋体" w:cs="宋体"/>
                <w:b/>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
                <w:color w:val="000000" w:themeColor="text1"/>
                <w:kern w:val="2"/>
                <w:sz w:val="21"/>
                <w:szCs w:val="21"/>
                <w:highlight w:val="none"/>
                <w:lang w:val="zh-CN" w:eastAsia="zh-CN" w:bidi="ar-SA"/>
                <w14:textFill>
                  <w14:solidFill>
                    <w14:schemeClr w14:val="tx1"/>
                  </w14:solidFill>
                </w14:textFill>
              </w:rPr>
              <w:t>分值</w:t>
            </w:r>
          </w:p>
        </w:tc>
      </w:tr>
      <w:tr w14:paraId="55637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jc w:val="center"/>
        </w:trPr>
        <w:tc>
          <w:tcPr>
            <w:tcW w:w="907" w:type="dxa"/>
            <w:vAlign w:val="center"/>
          </w:tcPr>
          <w:p w14:paraId="45492679">
            <w:pPr>
              <w:pStyle w:val="51"/>
              <w:shd w:val="clear"/>
              <w:spacing w:before="49" w:line="360" w:lineRule="auto"/>
              <w:ind w:left="17" w:leftChars="0" w:firstLine="480" w:firstLineChars="200"/>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1</w:t>
            </w:r>
          </w:p>
        </w:tc>
        <w:tc>
          <w:tcPr>
            <w:tcW w:w="1220" w:type="dxa"/>
            <w:shd w:val="clear" w:color="auto" w:fill="auto"/>
            <w:vAlign w:val="center"/>
          </w:tcPr>
          <w:p w14:paraId="33239B09">
            <w:pPr>
              <w:pStyle w:val="51"/>
              <w:shd w:val="clear"/>
              <w:spacing w:before="49" w:line="360" w:lineRule="auto"/>
              <w:ind w:left="0" w:leftChars="0" w:firstLine="0" w:firstLineChars="0"/>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价格</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w:t>
            </w:r>
            <w:r>
              <w:rPr>
                <w:rFonts w:hint="eastAsia" w:cs="Times New Roman"/>
                <w:color w:val="000000" w:themeColor="text1"/>
                <w:sz w:val="24"/>
                <w:szCs w:val="24"/>
                <w:highlight w:val="none"/>
                <w:lang w:val="en-US" w:eastAsia="zh-CN" w:bidi="ar-SA"/>
                <w14:textFill>
                  <w14:solidFill>
                    <w14:schemeClr w14:val="tx1"/>
                  </w14:solidFill>
                </w14:textFill>
              </w:rPr>
              <w:t>16</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分）</w:t>
            </w:r>
          </w:p>
        </w:tc>
        <w:tc>
          <w:tcPr>
            <w:tcW w:w="6575" w:type="dxa"/>
            <w:shd w:val="clear" w:color="auto" w:fill="auto"/>
            <w:vAlign w:val="center"/>
          </w:tcPr>
          <w:p w14:paraId="5331A352">
            <w:pPr>
              <w:pStyle w:val="51"/>
              <w:shd w:val="clear"/>
              <w:spacing w:before="49" w:line="360" w:lineRule="auto"/>
              <w:ind w:left="17" w:leftChars="0" w:firstLine="480" w:firstLineChars="200"/>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采用低价优先法计算，即满足招标文件要求且投标价格最低的投标报价为评标基准价，其价格分为满分。</w:t>
            </w:r>
            <w:r>
              <w:rPr>
                <w:rFonts w:hint="eastAsia" w:ascii="宋体" w:hAnsi="宋体" w:eastAsia="宋体" w:cs="宋体"/>
                <w:color w:val="000000" w:themeColor="text1"/>
                <w:szCs w:val="21"/>
                <w:highlight w:val="none"/>
                <w14:textFill>
                  <w14:solidFill>
                    <w14:schemeClr w14:val="tx1"/>
                  </w14:solidFill>
                </w14:textFill>
              </w:rPr>
              <w:t>其他投标人的价格分统一按照以下公式计算：投标人评标价得分=（</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评标基准价</w:t>
            </w:r>
            <w:r>
              <w:rPr>
                <w:rFonts w:hint="eastAsia" w:ascii="宋体" w:hAnsi="宋体" w:eastAsia="宋体" w:cs="宋体"/>
                <w:color w:val="000000" w:themeColor="text1"/>
                <w:szCs w:val="21"/>
                <w:highlight w:val="none"/>
                <w14:textFill>
                  <w14:solidFill>
                    <w14:schemeClr w14:val="tx1"/>
                  </w14:solidFill>
                </w14:textFill>
              </w:rPr>
              <w:t>／该投标人评标价）×</w:t>
            </w:r>
            <w:r>
              <w:rPr>
                <w:rFonts w:hint="eastAsia" w:cs="宋体"/>
                <w:color w:val="000000" w:themeColor="text1"/>
                <w:szCs w:val="21"/>
                <w:highlight w:val="none"/>
                <w:lang w:val="en-US" w:eastAsia="zh-CN"/>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t>。（保留小数点后两位）</w:t>
            </w:r>
          </w:p>
        </w:tc>
        <w:tc>
          <w:tcPr>
            <w:tcW w:w="936" w:type="dxa"/>
            <w:vAlign w:val="center"/>
          </w:tcPr>
          <w:p w14:paraId="61266DA2">
            <w:pPr>
              <w:pStyle w:val="51"/>
              <w:shd w:val="clear"/>
              <w:spacing w:before="49" w:line="360" w:lineRule="auto"/>
              <w:ind w:left="17" w:leftChars="0" w:firstLine="480" w:firstLineChars="200"/>
              <w:rPr>
                <w:rFonts w:hint="default"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cs="Times New Roman"/>
                <w:color w:val="000000" w:themeColor="text1"/>
                <w:sz w:val="24"/>
                <w:szCs w:val="24"/>
                <w:highlight w:val="none"/>
                <w:lang w:val="en-US" w:eastAsia="zh-CN" w:bidi="ar-SA"/>
                <w14:textFill>
                  <w14:solidFill>
                    <w14:schemeClr w14:val="tx1"/>
                  </w14:solidFill>
                </w14:textFill>
              </w:rPr>
              <w:t>16</w:t>
            </w:r>
          </w:p>
        </w:tc>
      </w:tr>
      <w:tr w14:paraId="168C5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907" w:type="dxa"/>
            <w:vMerge w:val="restart"/>
            <w:vAlign w:val="center"/>
          </w:tcPr>
          <w:p w14:paraId="4F2A62AF">
            <w:pPr>
              <w:pStyle w:val="51"/>
              <w:shd w:val="clear"/>
              <w:spacing w:before="49" w:line="360" w:lineRule="auto"/>
              <w:ind w:left="17" w:leftChars="0" w:firstLine="480" w:firstLineChars="200"/>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2</w:t>
            </w:r>
          </w:p>
        </w:tc>
        <w:tc>
          <w:tcPr>
            <w:tcW w:w="1220" w:type="dxa"/>
            <w:vMerge w:val="restart"/>
            <w:shd w:val="clear" w:color="auto" w:fill="auto"/>
            <w:vAlign w:val="center"/>
          </w:tcPr>
          <w:p w14:paraId="5E367A60">
            <w:pPr>
              <w:pStyle w:val="51"/>
              <w:shd w:val="clear"/>
              <w:spacing w:before="49" w:line="360" w:lineRule="auto"/>
              <w:ind w:left="0" w:leftChars="0" w:firstLine="0" w:firstLineChars="0"/>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项目负责人资历（</w:t>
            </w:r>
            <w:r>
              <w:rPr>
                <w:rFonts w:hint="eastAsia" w:cs="Times New Roman"/>
                <w:color w:val="000000" w:themeColor="text1"/>
                <w:sz w:val="24"/>
                <w:szCs w:val="24"/>
                <w:highlight w:val="none"/>
                <w:lang w:val="en-US" w:eastAsia="zh-CN" w:bidi="ar-SA"/>
                <w14:textFill>
                  <w14:solidFill>
                    <w14:schemeClr w14:val="tx1"/>
                  </w14:solidFill>
                </w14:textFill>
              </w:rPr>
              <w:t>10</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分）</w:t>
            </w:r>
          </w:p>
        </w:tc>
        <w:tc>
          <w:tcPr>
            <w:tcW w:w="6575" w:type="dxa"/>
            <w:shd w:val="clear" w:color="auto" w:fill="auto"/>
            <w:vAlign w:val="center"/>
          </w:tcPr>
          <w:p w14:paraId="56A405B6">
            <w:pPr>
              <w:pStyle w:val="23"/>
              <w:keepNext w:val="0"/>
              <w:keepLines w:val="0"/>
              <w:widowControl/>
              <w:suppressLineNumbers w:val="0"/>
              <w:shd w:val="clear"/>
              <w:spacing w:before="0" w:beforeAutospacing="0" w:after="0" w:afterAutospacing="0" w:line="360" w:lineRule="auto"/>
              <w:ind w:left="0" w:right="0" w:firstLine="480"/>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项目负责人具有国家注册一级造价工程师（土建专业）（旧版为注册造价工程师）执业资格并且执业十年</w:t>
            </w:r>
            <w:r>
              <w:rPr>
                <w:rFonts w:hint="eastAsia" w:cs="Times New Roman"/>
                <w:color w:val="000000" w:themeColor="text1"/>
                <w:sz w:val="24"/>
                <w:szCs w:val="24"/>
                <w:highlight w:val="none"/>
                <w:lang w:val="en-US" w:eastAsia="zh-CN" w:bidi="ar-SA"/>
                <w14:textFill>
                  <w14:solidFill>
                    <w14:schemeClr w14:val="tx1"/>
                  </w14:solidFill>
                </w14:textFill>
              </w:rPr>
              <w:t>（含）</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及以上</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得</w:t>
            </w:r>
            <w:r>
              <w:rPr>
                <w:rFonts w:hint="eastAsia" w:cs="Times New Roman"/>
                <w:color w:val="000000" w:themeColor="text1"/>
                <w:sz w:val="24"/>
                <w:szCs w:val="24"/>
                <w:highlight w:val="none"/>
                <w:lang w:val="en-US" w:eastAsia="zh-CN" w:bidi="ar-SA"/>
                <w14:textFill>
                  <w14:solidFill>
                    <w14:schemeClr w14:val="tx1"/>
                  </w14:solidFill>
                </w14:textFill>
              </w:rPr>
              <w:t>6</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分</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；项目负责人具有国家注册一级造价工程师（土建专业）（旧版为注册造价工程师）执业资格并且执业五年</w:t>
            </w:r>
            <w:r>
              <w:rPr>
                <w:rFonts w:hint="eastAsia" w:cs="Times New Roman"/>
                <w:color w:val="000000" w:themeColor="text1"/>
                <w:sz w:val="24"/>
                <w:szCs w:val="24"/>
                <w:highlight w:val="none"/>
                <w:lang w:val="en-US" w:eastAsia="zh-CN" w:bidi="ar-SA"/>
                <w14:textFill>
                  <w14:solidFill>
                    <w14:schemeClr w14:val="tx1"/>
                  </w14:solidFill>
                </w14:textFill>
              </w:rPr>
              <w:t>（含）</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及以上</w:t>
            </w:r>
            <w:r>
              <w:rPr>
                <w:rFonts w:hint="eastAsia" w:cs="Times New Roman"/>
                <w:color w:val="000000" w:themeColor="text1"/>
                <w:sz w:val="24"/>
                <w:szCs w:val="24"/>
                <w:highlight w:val="none"/>
                <w:lang w:val="en-US" w:eastAsia="zh-CN" w:bidi="ar-SA"/>
                <w14:textFill>
                  <w14:solidFill>
                    <w14:schemeClr w14:val="tx1"/>
                  </w14:solidFill>
                </w14:textFill>
              </w:rPr>
              <w:t>不足十年的</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得</w:t>
            </w:r>
            <w:r>
              <w:rPr>
                <w:rFonts w:hint="eastAsia" w:cs="Times New Roman"/>
                <w:color w:val="000000" w:themeColor="text1"/>
                <w:sz w:val="24"/>
                <w:szCs w:val="24"/>
                <w:highlight w:val="none"/>
                <w:lang w:val="en-US" w:eastAsia="zh-CN" w:bidi="ar-SA"/>
                <w14:textFill>
                  <w14:solidFill>
                    <w14:schemeClr w14:val="tx1"/>
                  </w14:solidFill>
                </w14:textFill>
              </w:rPr>
              <w:t>4</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分</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，其余不得分；（执业年限以注册造价师执业资格证书签发日期开始计算，提供证书复印件</w:t>
            </w:r>
            <w:r>
              <w:rPr>
                <w:rFonts w:hint="eastAsia" w:cs="Times New Roman"/>
                <w:color w:val="000000" w:themeColor="text1"/>
                <w:sz w:val="24"/>
                <w:szCs w:val="24"/>
                <w:highlight w:val="none"/>
                <w:lang w:val="en-US" w:eastAsia="zh-CN" w:bidi="ar-SA"/>
                <w14:textFill>
                  <w14:solidFill>
                    <w14:schemeClr w14:val="tx1"/>
                  </w14:solidFill>
                </w14:textFill>
              </w:rPr>
              <w:t>加盖投标人公章</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以</w:t>
            </w:r>
            <w:r>
              <w:rPr>
                <w:rFonts w:hint="eastAsia" w:cs="Times New Roman"/>
                <w:color w:val="000000" w:themeColor="text1"/>
                <w:sz w:val="24"/>
                <w:szCs w:val="24"/>
                <w:highlight w:val="none"/>
                <w:lang w:val="en-US" w:eastAsia="zh-CN" w:bidi="ar-SA"/>
                <w14:textFill>
                  <w14:solidFill>
                    <w14:schemeClr w14:val="tx1"/>
                  </w14:solidFill>
                </w14:textFill>
              </w:rPr>
              <w:t>及投标人为其缴纳的</w:t>
            </w:r>
            <w:r>
              <w:rPr>
                <w:rFonts w:hint="eastAsia" w:ascii="宋体" w:hAnsi="宋体" w:eastAsia="宋体" w:cs="宋体"/>
                <w:color w:val="000000" w:themeColor="text1"/>
                <w:sz w:val="24"/>
                <w:szCs w:val="24"/>
                <w:highlight w:val="none"/>
                <w:u w:val="none"/>
                <w:lang w:val="en-US"/>
                <w14:textFill>
                  <w14:solidFill>
                    <w14:schemeClr w14:val="tx1"/>
                  </w14:solidFill>
                </w14:textFill>
              </w:rPr>
              <w:t>近半年（20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w:t>
            </w:r>
            <w:r>
              <w:rPr>
                <w:rFonts w:hint="eastAsia" w:ascii="宋体" w:hAnsi="宋体" w:cs="宋体"/>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lang w:val="en-US"/>
                <w14:textFill>
                  <w14:solidFill>
                    <w14:schemeClr w14:val="tx1"/>
                  </w14:solidFill>
                </w14:textFill>
              </w:rPr>
              <w:t>年</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u w:val="none"/>
                <w:lang w:val="en-US"/>
                <w14:textFill>
                  <w14:solidFill>
                    <w14:schemeClr w14:val="tx1"/>
                  </w14:solidFill>
                </w14:textFill>
              </w:rPr>
              <w:t>月-202</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lang w:val="en-US"/>
                <w14:textFill>
                  <w14:solidFill>
                    <w14:schemeClr w14:val="tx1"/>
                  </w14:solidFill>
                </w14:textFill>
              </w:rPr>
              <w:t>年</w:t>
            </w:r>
            <w:r>
              <w:rPr>
                <w:rFonts w:hint="eastAsia" w:ascii="宋体" w:hAnsi="宋体" w:cs="宋体"/>
                <w:color w:val="000000" w:themeColor="text1"/>
                <w:sz w:val="24"/>
                <w:szCs w:val="24"/>
                <w:highlight w:val="none"/>
                <w:u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u w:val="none"/>
                <w:lang w:val="en-US"/>
                <w14:textFill>
                  <w14:solidFill>
                    <w14:schemeClr w14:val="tx1"/>
                  </w14:solidFill>
                </w14:textFill>
              </w:rPr>
              <w:t>月）</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任意一个月</w:t>
            </w:r>
            <w:r>
              <w:rPr>
                <w:rFonts w:hint="eastAsia" w:ascii="宋体" w:hAnsi="宋体" w:eastAsia="宋体" w:cs="宋体"/>
                <w:color w:val="000000" w:themeColor="text1"/>
                <w:sz w:val="24"/>
                <w:szCs w:val="24"/>
                <w:highlight w:val="none"/>
                <w:u w:val="none"/>
                <w:lang w:val="en-US"/>
                <w14:textFill>
                  <w14:solidFill>
                    <w14:schemeClr w14:val="tx1"/>
                  </w14:solidFill>
                </w14:textFill>
              </w:rPr>
              <w:t>的社保证明</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，提供</w:t>
            </w:r>
            <w:r>
              <w:rPr>
                <w:rFonts w:hint="eastAsia" w:ascii="宋体" w:hAnsi="宋体" w:eastAsia="宋体" w:cs="宋体"/>
                <w:color w:val="000000" w:themeColor="text1"/>
                <w:sz w:val="24"/>
                <w:szCs w:val="24"/>
                <w:highlight w:val="none"/>
                <w:u w:val="none"/>
                <w:lang w:val="en-US"/>
                <w14:textFill>
                  <w14:solidFill>
                    <w14:schemeClr w14:val="tx1"/>
                  </w14:solidFill>
                </w14:textFill>
              </w:rPr>
              <w:t>社保机构出具的养老保险缴费证明材料，且加盖社保中心章或社保中心参保缴费证明电子专用章；若</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项目负责人属退休人员无需提供社保证明，但必须提供相关部门开具项目负责人本人的有效退休证明材料复印件加盖公章，否则一律按未提供养老保险金缴费证明材料处理。</w:t>
            </w:r>
          </w:p>
        </w:tc>
        <w:tc>
          <w:tcPr>
            <w:tcW w:w="936" w:type="dxa"/>
            <w:vAlign w:val="center"/>
          </w:tcPr>
          <w:p w14:paraId="5852B50B">
            <w:pPr>
              <w:pStyle w:val="51"/>
              <w:shd w:val="clear"/>
              <w:spacing w:before="49" w:line="360" w:lineRule="auto"/>
              <w:ind w:left="17" w:leftChars="0" w:firstLine="480" w:firstLineChars="200"/>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cs="Times New Roman"/>
                <w:color w:val="000000" w:themeColor="text1"/>
                <w:sz w:val="24"/>
                <w:szCs w:val="24"/>
                <w:highlight w:val="none"/>
                <w:lang w:val="en-US" w:eastAsia="zh-CN" w:bidi="ar-SA"/>
                <w14:textFill>
                  <w14:solidFill>
                    <w14:schemeClr w14:val="tx1"/>
                  </w14:solidFill>
                </w14:textFill>
              </w:rPr>
              <w:t>6</w:t>
            </w:r>
          </w:p>
        </w:tc>
      </w:tr>
      <w:tr w14:paraId="62D8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07" w:type="dxa"/>
            <w:vMerge w:val="continue"/>
            <w:vAlign w:val="center"/>
          </w:tcPr>
          <w:p w14:paraId="4D8AD39F">
            <w:pPr>
              <w:pStyle w:val="51"/>
              <w:shd w:val="clear"/>
              <w:spacing w:before="49" w:line="360" w:lineRule="auto"/>
              <w:ind w:left="17" w:leftChars="0" w:firstLine="480" w:firstLineChars="200"/>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pPr>
          </w:p>
        </w:tc>
        <w:tc>
          <w:tcPr>
            <w:tcW w:w="1220" w:type="dxa"/>
            <w:vMerge w:val="continue"/>
            <w:shd w:val="clear" w:color="auto" w:fill="auto"/>
            <w:vAlign w:val="center"/>
          </w:tcPr>
          <w:p w14:paraId="211C4E6E">
            <w:pPr>
              <w:pStyle w:val="51"/>
              <w:shd w:val="clear"/>
              <w:spacing w:before="49" w:line="360" w:lineRule="auto"/>
              <w:ind w:left="17" w:leftChars="0" w:firstLine="480" w:firstLineChars="200"/>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pPr>
          </w:p>
        </w:tc>
        <w:tc>
          <w:tcPr>
            <w:tcW w:w="6575" w:type="dxa"/>
            <w:shd w:val="clear" w:color="auto" w:fill="auto"/>
            <w:vAlign w:val="center"/>
          </w:tcPr>
          <w:p w14:paraId="06E8ABB8">
            <w:pPr>
              <w:pStyle w:val="51"/>
              <w:shd w:val="clear"/>
              <w:spacing w:before="49" w:line="360" w:lineRule="auto"/>
              <w:ind w:left="17" w:leftChars="0" w:firstLine="480" w:firstLineChars="200"/>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lang w:val="zh-TW" w:eastAsia="zh-TW" w:bidi="ar-SA"/>
                <w14:textFill>
                  <w14:solidFill>
                    <w14:schemeClr w14:val="tx1"/>
                  </w14:solidFill>
                </w14:textFill>
              </w:rPr>
              <w:t>拟派项目负责人为高级职称</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及以上</w:t>
            </w:r>
            <w:r>
              <w:rPr>
                <w:rFonts w:hint="eastAsia" w:ascii="宋体" w:hAnsi="宋体" w:eastAsia="宋体" w:cs="Times New Roman"/>
                <w:color w:val="000000" w:themeColor="text1"/>
                <w:sz w:val="24"/>
                <w:szCs w:val="24"/>
                <w:highlight w:val="none"/>
                <w:lang w:val="zh-TW" w:eastAsia="zh-TW" w:bidi="ar-SA"/>
                <w14:textFill>
                  <w14:solidFill>
                    <w14:schemeClr w14:val="tx1"/>
                  </w14:solidFill>
                </w14:textFill>
              </w:rPr>
              <w:t>得</w:t>
            </w:r>
            <w:r>
              <w:rPr>
                <w:rFonts w:hint="eastAsia" w:cs="Times New Roman"/>
                <w:color w:val="000000" w:themeColor="text1"/>
                <w:sz w:val="24"/>
                <w:szCs w:val="24"/>
                <w:highlight w:val="none"/>
                <w:lang w:val="en-US" w:eastAsia="zh-CN" w:bidi="ar-SA"/>
                <w14:textFill>
                  <w14:solidFill>
                    <w14:schemeClr w14:val="tx1"/>
                  </w14:solidFill>
                </w14:textFill>
              </w:rPr>
              <w:t>4</w:t>
            </w:r>
            <w:r>
              <w:rPr>
                <w:rFonts w:hint="eastAsia" w:ascii="宋体" w:hAnsi="宋体" w:eastAsia="宋体" w:cs="Times New Roman"/>
                <w:color w:val="000000" w:themeColor="text1"/>
                <w:sz w:val="24"/>
                <w:szCs w:val="24"/>
                <w:highlight w:val="none"/>
                <w:lang w:val="zh-TW" w:eastAsia="zh-TW" w:bidi="ar-SA"/>
                <w14:textFill>
                  <w14:solidFill>
                    <w14:schemeClr w14:val="tx1"/>
                  </w14:solidFill>
                </w14:textFill>
              </w:rPr>
              <w:t>分</w:t>
            </w:r>
            <w:r>
              <w:rPr>
                <w:rFonts w:hint="eastAsia" w:ascii="宋体" w:hAnsi="宋体" w:eastAsia="宋体" w:cs="Times New Roman"/>
                <w:color w:val="000000" w:themeColor="text1"/>
                <w:sz w:val="24"/>
                <w:szCs w:val="24"/>
                <w:highlight w:val="none"/>
                <w:lang w:val="zh-TW" w:eastAsia="zh-TW" w:bidi="ar-SA"/>
                <w14:textFill>
                  <w14:solidFill>
                    <w14:schemeClr w14:val="tx1"/>
                  </w14:solidFill>
                </w14:textFill>
              </w:rPr>
              <w:t>；拟派项目负责人为中级职称得</w:t>
            </w:r>
            <w:r>
              <w:rPr>
                <w:rFonts w:hint="eastAsia" w:cs="Times New Roman"/>
                <w:color w:val="000000" w:themeColor="text1"/>
                <w:sz w:val="24"/>
                <w:szCs w:val="24"/>
                <w:highlight w:val="none"/>
                <w:lang w:val="en-US" w:eastAsia="zh-CN" w:bidi="ar-SA"/>
                <w14:textFill>
                  <w14:solidFill>
                    <w14:schemeClr w14:val="tx1"/>
                  </w14:solidFill>
                </w14:textFill>
              </w:rPr>
              <w:t>2</w:t>
            </w:r>
            <w:r>
              <w:rPr>
                <w:rFonts w:hint="eastAsia" w:ascii="宋体" w:hAnsi="宋体" w:eastAsia="宋体" w:cs="Times New Roman"/>
                <w:color w:val="000000" w:themeColor="text1"/>
                <w:sz w:val="24"/>
                <w:szCs w:val="24"/>
                <w:highlight w:val="none"/>
                <w:lang w:val="zh-TW" w:eastAsia="zh-TW" w:bidi="ar-SA"/>
                <w14:textFill>
                  <w14:solidFill>
                    <w14:schemeClr w14:val="tx1"/>
                  </w14:solidFill>
                </w14:textFill>
              </w:rPr>
              <w:t>分</w:t>
            </w:r>
            <w:r>
              <w:rPr>
                <w:rFonts w:hint="eastAsia" w:ascii="宋体" w:hAnsi="宋体" w:eastAsia="宋体" w:cs="Times New Roman"/>
                <w:color w:val="000000" w:themeColor="text1"/>
                <w:sz w:val="24"/>
                <w:szCs w:val="24"/>
                <w:highlight w:val="none"/>
                <w:lang w:val="zh-TW" w:eastAsia="zh-TW" w:bidi="ar-SA"/>
                <w14:textFill>
                  <w14:solidFill>
                    <w14:schemeClr w14:val="tx1"/>
                  </w14:solidFill>
                </w14:textFill>
              </w:rPr>
              <w:t>；其</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余</w:t>
            </w:r>
            <w:r>
              <w:rPr>
                <w:rFonts w:hint="eastAsia" w:ascii="宋体" w:hAnsi="宋体" w:eastAsia="宋体" w:cs="Times New Roman"/>
                <w:color w:val="000000" w:themeColor="text1"/>
                <w:sz w:val="24"/>
                <w:szCs w:val="24"/>
                <w:highlight w:val="none"/>
                <w:lang w:val="zh-TW" w:eastAsia="zh-TW" w:bidi="ar-SA"/>
                <w14:textFill>
                  <w14:solidFill>
                    <w14:schemeClr w14:val="tx1"/>
                  </w14:solidFill>
                </w14:textFill>
              </w:rPr>
              <w:t>不得分。</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（提供</w:t>
            </w:r>
            <w:r>
              <w:rPr>
                <w:rFonts w:hint="eastAsia" w:cs="Times New Roman"/>
                <w:color w:val="000000" w:themeColor="text1"/>
                <w:sz w:val="24"/>
                <w:szCs w:val="24"/>
                <w:highlight w:val="none"/>
                <w:lang w:val="en-US" w:eastAsia="zh-CN" w:bidi="ar-SA"/>
                <w14:textFill>
                  <w14:solidFill>
                    <w14:schemeClr w14:val="tx1"/>
                  </w14:solidFill>
                </w14:textFill>
              </w:rPr>
              <w:t>职称</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证书复印件加盖公章</w:t>
            </w:r>
            <w:r>
              <w:rPr>
                <w:rFonts w:hint="eastAsia" w:cs="Times New Roman"/>
                <w:color w:val="000000" w:themeColor="text1"/>
                <w:sz w:val="24"/>
                <w:szCs w:val="24"/>
                <w:highlight w:val="none"/>
                <w:lang w:val="en-US" w:eastAsia="zh-CN" w:bidi="ar-SA"/>
                <w14:textFill>
                  <w14:solidFill>
                    <w14:schemeClr w14:val="tx1"/>
                  </w14:solidFill>
                </w14:textFill>
              </w:rPr>
              <w:t>及投标人为其缴纳的</w:t>
            </w:r>
            <w:r>
              <w:rPr>
                <w:rFonts w:hint="eastAsia" w:ascii="宋体" w:hAnsi="宋体" w:eastAsia="宋体" w:cs="宋体"/>
                <w:color w:val="000000" w:themeColor="text1"/>
                <w:sz w:val="24"/>
                <w:szCs w:val="24"/>
                <w:highlight w:val="none"/>
                <w:u w:val="none"/>
                <w:lang w:val="en-US"/>
                <w14:textFill>
                  <w14:solidFill>
                    <w14:schemeClr w14:val="tx1"/>
                  </w14:solidFill>
                </w14:textFill>
              </w:rPr>
              <w:t>近半年（20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w:t>
            </w:r>
            <w:r>
              <w:rPr>
                <w:rFonts w:hint="eastAsia" w:ascii="宋体" w:hAnsi="宋体" w:cs="宋体"/>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lang w:val="en-US"/>
                <w14:textFill>
                  <w14:solidFill>
                    <w14:schemeClr w14:val="tx1"/>
                  </w14:solidFill>
                </w14:textFill>
              </w:rPr>
              <w:t>年</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u w:val="none"/>
                <w:lang w:val="en-US"/>
                <w14:textFill>
                  <w14:solidFill>
                    <w14:schemeClr w14:val="tx1"/>
                  </w14:solidFill>
                </w14:textFill>
              </w:rPr>
              <w:t>月-202</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lang w:val="en-US"/>
                <w14:textFill>
                  <w14:solidFill>
                    <w14:schemeClr w14:val="tx1"/>
                  </w14:solidFill>
                </w14:textFill>
              </w:rPr>
              <w:t>年</w:t>
            </w:r>
            <w:r>
              <w:rPr>
                <w:rFonts w:hint="eastAsia" w:ascii="宋体" w:hAnsi="宋体" w:cs="宋体"/>
                <w:color w:val="000000" w:themeColor="text1"/>
                <w:sz w:val="24"/>
                <w:szCs w:val="24"/>
                <w:highlight w:val="none"/>
                <w:u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u w:val="none"/>
                <w:lang w:val="en-US"/>
                <w14:textFill>
                  <w14:solidFill>
                    <w14:schemeClr w14:val="tx1"/>
                  </w14:solidFill>
                </w14:textFill>
              </w:rPr>
              <w:t>月）</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任意一个月</w:t>
            </w:r>
            <w:r>
              <w:rPr>
                <w:rFonts w:hint="eastAsia" w:ascii="宋体" w:hAnsi="宋体" w:eastAsia="宋体" w:cs="宋体"/>
                <w:color w:val="000000" w:themeColor="text1"/>
                <w:sz w:val="24"/>
                <w:szCs w:val="24"/>
                <w:highlight w:val="none"/>
                <w:u w:val="none"/>
                <w:lang w:val="en-US"/>
                <w14:textFill>
                  <w14:solidFill>
                    <w14:schemeClr w14:val="tx1"/>
                  </w14:solidFill>
                </w14:textFill>
              </w:rPr>
              <w:t>的社保证明</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，提供</w:t>
            </w:r>
            <w:r>
              <w:rPr>
                <w:rFonts w:hint="eastAsia" w:ascii="宋体" w:hAnsi="宋体" w:eastAsia="宋体" w:cs="宋体"/>
                <w:color w:val="000000" w:themeColor="text1"/>
                <w:sz w:val="24"/>
                <w:szCs w:val="24"/>
                <w:highlight w:val="none"/>
                <w:u w:val="none"/>
                <w:lang w:val="en-US"/>
                <w14:textFill>
                  <w14:solidFill>
                    <w14:schemeClr w14:val="tx1"/>
                  </w14:solidFill>
                </w14:textFill>
              </w:rPr>
              <w:t>社保机构出具的养老保险缴费证明材料，且加盖社保中心章或社保中心参保缴费证明电子专用章；若</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项目负责人属退休人员无需提供社保证明，但必须提供相关部门开具项目负责人本人的有效退休证明材料复印件加盖公章，否则一律按未提供养老保险金缴费证明材料处理。</w:t>
            </w:r>
          </w:p>
        </w:tc>
        <w:tc>
          <w:tcPr>
            <w:tcW w:w="936" w:type="dxa"/>
            <w:vAlign w:val="center"/>
          </w:tcPr>
          <w:p w14:paraId="3A89D493">
            <w:pPr>
              <w:pStyle w:val="51"/>
              <w:shd w:val="clear"/>
              <w:spacing w:before="49" w:line="360" w:lineRule="auto"/>
              <w:ind w:left="17" w:leftChars="0" w:firstLine="480" w:firstLineChars="200"/>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cs="Times New Roman"/>
                <w:color w:val="000000" w:themeColor="text1"/>
                <w:sz w:val="24"/>
                <w:szCs w:val="24"/>
                <w:highlight w:val="none"/>
                <w:lang w:val="en-US" w:eastAsia="zh-CN" w:bidi="ar-SA"/>
                <w14:textFill>
                  <w14:solidFill>
                    <w14:schemeClr w14:val="tx1"/>
                  </w14:solidFill>
                </w14:textFill>
              </w:rPr>
              <w:t>4</w:t>
            </w:r>
          </w:p>
        </w:tc>
      </w:tr>
      <w:tr w14:paraId="291B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907" w:type="dxa"/>
            <w:vAlign w:val="center"/>
          </w:tcPr>
          <w:p w14:paraId="57A45FE1">
            <w:pPr>
              <w:pStyle w:val="51"/>
              <w:shd w:val="clear"/>
              <w:spacing w:before="49" w:line="360" w:lineRule="auto"/>
              <w:ind w:left="17" w:leftChars="0" w:firstLine="480" w:firstLineChars="200"/>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3</w:t>
            </w:r>
          </w:p>
        </w:tc>
        <w:tc>
          <w:tcPr>
            <w:tcW w:w="1220" w:type="dxa"/>
            <w:shd w:val="clear" w:color="auto" w:fill="auto"/>
            <w:vAlign w:val="center"/>
          </w:tcPr>
          <w:p w14:paraId="6FDD7BC6">
            <w:pPr>
              <w:pStyle w:val="51"/>
              <w:shd w:val="clear"/>
              <w:spacing w:before="49" w:line="360" w:lineRule="auto"/>
              <w:ind w:left="0" w:leftChars="0" w:firstLine="0" w:firstLineChars="0"/>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项目组成员（不含项目负责人）</w:t>
            </w:r>
          </w:p>
          <w:p w14:paraId="37072815">
            <w:pPr>
              <w:pStyle w:val="51"/>
              <w:shd w:val="clear"/>
              <w:spacing w:before="49" w:line="360" w:lineRule="auto"/>
              <w:ind w:left="17" w:leftChars="0" w:firstLine="480" w:firstLineChars="200"/>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pPr>
          </w:p>
        </w:tc>
        <w:tc>
          <w:tcPr>
            <w:tcW w:w="6575" w:type="dxa"/>
            <w:shd w:val="clear" w:color="auto" w:fill="auto"/>
            <w:vAlign w:val="center"/>
          </w:tcPr>
          <w:p w14:paraId="7DD3C330">
            <w:pPr>
              <w:pStyle w:val="51"/>
              <w:shd w:val="clear"/>
              <w:spacing w:before="49" w:line="360" w:lineRule="auto"/>
              <w:ind w:left="17" w:leftChars="0" w:firstLine="480" w:firstLineChars="200"/>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1.具有国家注册一级造价工程师（土建专业）的每人得</w:t>
            </w:r>
            <w:r>
              <w:rPr>
                <w:rFonts w:hint="eastAsia" w:cs="Times New Roman"/>
                <w:color w:val="000000" w:themeColor="text1"/>
                <w:sz w:val="24"/>
                <w:szCs w:val="24"/>
                <w:highlight w:val="none"/>
                <w:lang w:val="en-US" w:eastAsia="zh-CN" w:bidi="ar-SA"/>
                <w14:textFill>
                  <w14:solidFill>
                    <w14:schemeClr w14:val="tx1"/>
                  </w14:solidFill>
                </w14:textFill>
              </w:rPr>
              <w:t>3</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分，满分</w:t>
            </w:r>
            <w:r>
              <w:rPr>
                <w:rFonts w:hint="eastAsia" w:cs="Times New Roman"/>
                <w:color w:val="000000" w:themeColor="text1"/>
                <w:sz w:val="24"/>
                <w:szCs w:val="24"/>
                <w:highlight w:val="none"/>
                <w:lang w:val="en-US" w:eastAsia="zh-CN" w:bidi="ar-SA"/>
                <w14:textFill>
                  <w14:solidFill>
                    <w14:schemeClr w14:val="tx1"/>
                  </w14:solidFill>
                </w14:textFill>
              </w:rPr>
              <w:t>6</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分</w:t>
            </w:r>
            <w:r>
              <w:rPr>
                <w:rFonts w:hint="eastAsia" w:cs="Times New Roman"/>
                <w:color w:val="000000" w:themeColor="text1"/>
                <w:sz w:val="24"/>
                <w:szCs w:val="24"/>
                <w:highlight w:val="none"/>
                <w:lang w:val="en-US" w:eastAsia="zh-CN" w:bidi="ar-SA"/>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提供证书复印件</w:t>
            </w:r>
            <w:r>
              <w:rPr>
                <w:rFonts w:hint="eastAsia" w:cs="Times New Roman"/>
                <w:color w:val="000000" w:themeColor="text1"/>
                <w:sz w:val="24"/>
                <w:szCs w:val="24"/>
                <w:highlight w:val="none"/>
                <w:lang w:val="en-US" w:eastAsia="zh-CN" w:bidi="ar-SA"/>
                <w14:textFill>
                  <w14:solidFill>
                    <w14:schemeClr w14:val="tx1"/>
                  </w14:solidFill>
                </w14:textFill>
              </w:rPr>
              <w:t>加盖公章及投标人为其缴纳的</w:t>
            </w:r>
            <w:r>
              <w:rPr>
                <w:rFonts w:hint="eastAsia" w:ascii="宋体" w:hAnsi="宋体" w:eastAsia="宋体" w:cs="宋体"/>
                <w:color w:val="000000" w:themeColor="text1"/>
                <w:sz w:val="24"/>
                <w:szCs w:val="24"/>
                <w:highlight w:val="none"/>
                <w:u w:val="none"/>
                <w:lang w:val="en-US"/>
                <w14:textFill>
                  <w14:solidFill>
                    <w14:schemeClr w14:val="tx1"/>
                  </w14:solidFill>
                </w14:textFill>
              </w:rPr>
              <w:t>近半年（20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w:t>
            </w:r>
            <w:r>
              <w:rPr>
                <w:rFonts w:hint="eastAsia" w:ascii="宋体" w:hAnsi="宋体" w:cs="宋体"/>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lang w:val="en-US"/>
                <w14:textFill>
                  <w14:solidFill>
                    <w14:schemeClr w14:val="tx1"/>
                  </w14:solidFill>
                </w14:textFill>
              </w:rPr>
              <w:t>年</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u w:val="none"/>
                <w:lang w:val="en-US"/>
                <w14:textFill>
                  <w14:solidFill>
                    <w14:schemeClr w14:val="tx1"/>
                  </w14:solidFill>
                </w14:textFill>
              </w:rPr>
              <w:t>月-202</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lang w:val="en-US"/>
                <w14:textFill>
                  <w14:solidFill>
                    <w14:schemeClr w14:val="tx1"/>
                  </w14:solidFill>
                </w14:textFill>
              </w:rPr>
              <w:t>年</w:t>
            </w:r>
            <w:r>
              <w:rPr>
                <w:rFonts w:hint="eastAsia" w:ascii="宋体" w:hAnsi="宋体" w:cs="宋体"/>
                <w:color w:val="000000" w:themeColor="text1"/>
                <w:sz w:val="24"/>
                <w:szCs w:val="24"/>
                <w:highlight w:val="none"/>
                <w:u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u w:val="none"/>
                <w:lang w:val="en-US"/>
                <w14:textFill>
                  <w14:solidFill>
                    <w14:schemeClr w14:val="tx1"/>
                  </w14:solidFill>
                </w14:textFill>
              </w:rPr>
              <w:t>月）</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任意一个月</w:t>
            </w:r>
            <w:r>
              <w:rPr>
                <w:rFonts w:hint="eastAsia" w:ascii="宋体" w:hAnsi="宋体" w:eastAsia="宋体" w:cs="宋体"/>
                <w:color w:val="000000" w:themeColor="text1"/>
                <w:sz w:val="24"/>
                <w:szCs w:val="24"/>
                <w:highlight w:val="none"/>
                <w:u w:val="none"/>
                <w:lang w:val="en-US"/>
                <w14:textFill>
                  <w14:solidFill>
                    <w14:schemeClr w14:val="tx1"/>
                  </w14:solidFill>
                </w14:textFill>
              </w:rPr>
              <w:t>的社保证明</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，提供</w:t>
            </w:r>
            <w:r>
              <w:rPr>
                <w:rFonts w:hint="eastAsia" w:ascii="宋体" w:hAnsi="宋体" w:eastAsia="宋体" w:cs="宋体"/>
                <w:color w:val="000000" w:themeColor="text1"/>
                <w:sz w:val="24"/>
                <w:szCs w:val="24"/>
                <w:highlight w:val="none"/>
                <w:u w:val="none"/>
                <w:lang w:val="en-US"/>
                <w14:textFill>
                  <w14:solidFill>
                    <w14:schemeClr w14:val="tx1"/>
                  </w14:solidFill>
                </w14:textFill>
              </w:rPr>
              <w:t>社保机构出具的养老保险缴费证明材料，且加盖社保中心章或社保中心参保缴费证明电子专用章；若</w:t>
            </w:r>
            <w:r>
              <w:rPr>
                <w:rFonts w:hint="eastAsia" w:cs="宋体"/>
                <w:color w:val="000000" w:themeColor="text1"/>
                <w:sz w:val="24"/>
                <w:szCs w:val="24"/>
                <w:highlight w:val="none"/>
                <w:u w:val="none"/>
                <w:lang w:val="en-US" w:eastAsia="zh-CN"/>
                <w14:textFill>
                  <w14:solidFill>
                    <w14:schemeClr w14:val="tx1"/>
                  </w14:solidFill>
                </w14:textFill>
              </w:rPr>
              <w:t>该人员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属退休人员无需提供社保证明，但必须提供相关部门开具项目负责人本人的有效退休证明材料复印件加盖公章，否则一律按未提供养老保险金缴费证明材料处理。</w:t>
            </w:r>
          </w:p>
          <w:p w14:paraId="53D37A03">
            <w:pPr>
              <w:pStyle w:val="51"/>
              <w:shd w:val="clear"/>
              <w:spacing w:before="49" w:line="360" w:lineRule="auto"/>
              <w:ind w:left="17" w:leftChars="0" w:firstLine="480" w:firstLineChars="200"/>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2.具有国家注册一级造价工程师（安装专业）的每人得</w:t>
            </w:r>
            <w:r>
              <w:rPr>
                <w:rFonts w:hint="eastAsia" w:cs="Times New Roman"/>
                <w:color w:val="000000" w:themeColor="text1"/>
                <w:sz w:val="24"/>
                <w:szCs w:val="24"/>
                <w:highlight w:val="none"/>
                <w:lang w:val="en-US" w:eastAsia="zh-CN" w:bidi="ar-SA"/>
                <w14:textFill>
                  <w14:solidFill>
                    <w14:schemeClr w14:val="tx1"/>
                  </w14:solidFill>
                </w14:textFill>
              </w:rPr>
              <w:t>3</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分，满分</w:t>
            </w:r>
            <w:r>
              <w:rPr>
                <w:rFonts w:hint="eastAsia" w:cs="Times New Roman"/>
                <w:color w:val="000000" w:themeColor="text1"/>
                <w:sz w:val="24"/>
                <w:szCs w:val="24"/>
                <w:highlight w:val="none"/>
                <w:lang w:val="en-US" w:eastAsia="zh-CN" w:bidi="ar-SA"/>
                <w14:textFill>
                  <w14:solidFill>
                    <w14:schemeClr w14:val="tx1"/>
                  </w14:solidFill>
                </w14:textFill>
              </w:rPr>
              <w:t>3</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分。</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提供证书复印件</w:t>
            </w:r>
            <w:r>
              <w:rPr>
                <w:rFonts w:hint="eastAsia" w:cs="Times New Roman"/>
                <w:color w:val="000000" w:themeColor="text1"/>
                <w:sz w:val="24"/>
                <w:szCs w:val="24"/>
                <w:highlight w:val="none"/>
                <w:lang w:val="en-US" w:eastAsia="zh-CN" w:bidi="ar-SA"/>
                <w14:textFill>
                  <w14:solidFill>
                    <w14:schemeClr w14:val="tx1"/>
                  </w14:solidFill>
                </w14:textFill>
              </w:rPr>
              <w:t>加盖公章及投标人为其缴纳的</w:t>
            </w:r>
            <w:r>
              <w:rPr>
                <w:rFonts w:hint="eastAsia" w:ascii="宋体" w:hAnsi="宋体" w:eastAsia="宋体" w:cs="宋体"/>
                <w:color w:val="000000" w:themeColor="text1"/>
                <w:sz w:val="24"/>
                <w:szCs w:val="24"/>
                <w:highlight w:val="none"/>
                <w:u w:val="none"/>
                <w:lang w:val="en-US"/>
                <w14:textFill>
                  <w14:solidFill>
                    <w14:schemeClr w14:val="tx1"/>
                  </w14:solidFill>
                </w14:textFill>
              </w:rPr>
              <w:t>近半年（20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w:t>
            </w:r>
            <w:r>
              <w:rPr>
                <w:rFonts w:hint="eastAsia" w:ascii="宋体" w:hAnsi="宋体" w:cs="宋体"/>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lang w:val="en-US"/>
                <w14:textFill>
                  <w14:solidFill>
                    <w14:schemeClr w14:val="tx1"/>
                  </w14:solidFill>
                </w14:textFill>
              </w:rPr>
              <w:t>年</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u w:val="none"/>
                <w:lang w:val="en-US"/>
                <w14:textFill>
                  <w14:solidFill>
                    <w14:schemeClr w14:val="tx1"/>
                  </w14:solidFill>
                </w14:textFill>
              </w:rPr>
              <w:t>月-202</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lang w:val="en-US"/>
                <w14:textFill>
                  <w14:solidFill>
                    <w14:schemeClr w14:val="tx1"/>
                  </w14:solidFill>
                </w14:textFill>
              </w:rPr>
              <w:t>年</w:t>
            </w:r>
            <w:r>
              <w:rPr>
                <w:rFonts w:hint="eastAsia" w:ascii="宋体" w:hAnsi="宋体" w:cs="宋体"/>
                <w:color w:val="000000" w:themeColor="text1"/>
                <w:sz w:val="24"/>
                <w:szCs w:val="24"/>
                <w:highlight w:val="none"/>
                <w:u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u w:val="none"/>
                <w:lang w:val="en-US"/>
                <w14:textFill>
                  <w14:solidFill>
                    <w14:schemeClr w14:val="tx1"/>
                  </w14:solidFill>
                </w14:textFill>
              </w:rPr>
              <w:t>月）</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任意一个月</w:t>
            </w:r>
            <w:r>
              <w:rPr>
                <w:rFonts w:hint="eastAsia" w:ascii="宋体" w:hAnsi="宋体" w:eastAsia="宋体" w:cs="宋体"/>
                <w:color w:val="000000" w:themeColor="text1"/>
                <w:sz w:val="24"/>
                <w:szCs w:val="24"/>
                <w:highlight w:val="none"/>
                <w:u w:val="none"/>
                <w:lang w:val="en-US"/>
                <w14:textFill>
                  <w14:solidFill>
                    <w14:schemeClr w14:val="tx1"/>
                  </w14:solidFill>
                </w14:textFill>
              </w:rPr>
              <w:t>的社保证明</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，提供</w:t>
            </w:r>
            <w:r>
              <w:rPr>
                <w:rFonts w:hint="eastAsia" w:ascii="宋体" w:hAnsi="宋体" w:eastAsia="宋体" w:cs="宋体"/>
                <w:color w:val="000000" w:themeColor="text1"/>
                <w:sz w:val="24"/>
                <w:szCs w:val="24"/>
                <w:highlight w:val="none"/>
                <w:u w:val="none"/>
                <w:lang w:val="en-US"/>
                <w14:textFill>
                  <w14:solidFill>
                    <w14:schemeClr w14:val="tx1"/>
                  </w14:solidFill>
                </w14:textFill>
              </w:rPr>
              <w:t>社保机构出具的养老保险缴费证明材料，且加盖社保中心章或社保中心参保缴费证明电子专用章；若</w:t>
            </w:r>
            <w:r>
              <w:rPr>
                <w:rFonts w:hint="eastAsia" w:cs="宋体"/>
                <w:color w:val="000000" w:themeColor="text1"/>
                <w:sz w:val="24"/>
                <w:szCs w:val="24"/>
                <w:highlight w:val="none"/>
                <w:u w:val="none"/>
                <w:lang w:val="en-US" w:eastAsia="zh-CN"/>
                <w14:textFill>
                  <w14:solidFill>
                    <w14:schemeClr w14:val="tx1"/>
                  </w14:solidFill>
                </w14:textFill>
              </w:rPr>
              <w:t>该人员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属退休人员无需提供社保证明，但必须提供相关部门开具项目负责人本人的有效退休证明材料复印件加盖公章，否则一律按未提供养老保险金缴费证明材料处理。</w:t>
            </w:r>
          </w:p>
        </w:tc>
        <w:tc>
          <w:tcPr>
            <w:tcW w:w="936" w:type="dxa"/>
            <w:vAlign w:val="center"/>
          </w:tcPr>
          <w:p w14:paraId="66FEEFD0">
            <w:pPr>
              <w:pStyle w:val="51"/>
              <w:shd w:val="clear"/>
              <w:spacing w:before="49" w:line="360" w:lineRule="auto"/>
              <w:ind w:left="17" w:leftChars="0" w:firstLine="480" w:firstLineChars="200"/>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cs="Times New Roman"/>
                <w:color w:val="000000" w:themeColor="text1"/>
                <w:sz w:val="24"/>
                <w:szCs w:val="24"/>
                <w:highlight w:val="none"/>
                <w:lang w:val="en-US" w:eastAsia="zh-CN" w:bidi="ar-SA"/>
                <w14:textFill>
                  <w14:solidFill>
                    <w14:schemeClr w14:val="tx1"/>
                  </w14:solidFill>
                </w14:textFill>
              </w:rPr>
              <w:t>9</w:t>
            </w:r>
          </w:p>
        </w:tc>
      </w:tr>
      <w:tr w14:paraId="2811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jc w:val="center"/>
        </w:trPr>
        <w:tc>
          <w:tcPr>
            <w:tcW w:w="907" w:type="dxa"/>
            <w:vAlign w:val="center"/>
          </w:tcPr>
          <w:p w14:paraId="02AB4184">
            <w:pPr>
              <w:pStyle w:val="51"/>
              <w:shd w:val="clear"/>
              <w:spacing w:before="49" w:line="360" w:lineRule="auto"/>
              <w:ind w:left="17" w:leftChars="0" w:firstLine="480" w:firstLineChars="200"/>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4</w:t>
            </w:r>
          </w:p>
        </w:tc>
        <w:tc>
          <w:tcPr>
            <w:tcW w:w="1220" w:type="dxa"/>
            <w:vAlign w:val="center"/>
          </w:tcPr>
          <w:p w14:paraId="3C1E2964">
            <w:pPr>
              <w:pStyle w:val="51"/>
              <w:shd w:val="clear"/>
              <w:spacing w:before="49" w:line="360" w:lineRule="auto"/>
              <w:ind w:left="0" w:leftChars="0" w:firstLine="0" w:firstLineChars="0"/>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企业业绩</w:t>
            </w:r>
          </w:p>
          <w:p w14:paraId="461095FD">
            <w:pPr>
              <w:pStyle w:val="51"/>
              <w:shd w:val="clear"/>
              <w:spacing w:before="49" w:line="360" w:lineRule="auto"/>
              <w:ind w:left="0" w:leftChars="0" w:firstLine="0" w:firstLineChars="0"/>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w:t>
            </w:r>
            <w:r>
              <w:rPr>
                <w:rFonts w:hint="eastAsia" w:cs="Times New Roman"/>
                <w:color w:val="000000" w:themeColor="text1"/>
                <w:sz w:val="24"/>
                <w:szCs w:val="24"/>
                <w:highlight w:val="none"/>
                <w:lang w:val="en-US" w:eastAsia="zh-CN" w:bidi="ar-SA"/>
                <w14:textFill>
                  <w14:solidFill>
                    <w14:schemeClr w14:val="tx1"/>
                  </w14:solidFill>
                </w14:textFill>
              </w:rPr>
              <w:t>9</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分）</w:t>
            </w:r>
          </w:p>
        </w:tc>
        <w:tc>
          <w:tcPr>
            <w:tcW w:w="6575" w:type="dxa"/>
            <w:vAlign w:val="center"/>
          </w:tcPr>
          <w:p w14:paraId="471A20C7">
            <w:pPr>
              <w:pStyle w:val="51"/>
              <w:shd w:val="clear"/>
              <w:spacing w:before="49" w:line="360" w:lineRule="auto"/>
              <w:ind w:left="17" w:leftChars="0" w:firstLine="480" w:firstLineChars="200"/>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2020年6月1日（含）以来，企业承担过市政类工程审计项目，每个业绩得</w:t>
            </w:r>
            <w:r>
              <w:rPr>
                <w:rFonts w:hint="eastAsia" w:cs="Times New Roman"/>
                <w:color w:val="000000" w:themeColor="text1"/>
                <w:sz w:val="24"/>
                <w:szCs w:val="24"/>
                <w:highlight w:val="none"/>
                <w:lang w:val="en-US" w:eastAsia="zh-CN" w:bidi="ar-SA"/>
                <w14:textFill>
                  <w14:solidFill>
                    <w14:schemeClr w14:val="tx1"/>
                  </w14:solidFill>
                </w14:textFill>
              </w:rPr>
              <w:t>3</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分，满分</w:t>
            </w:r>
            <w:r>
              <w:rPr>
                <w:rFonts w:hint="eastAsia" w:cs="Times New Roman"/>
                <w:color w:val="000000" w:themeColor="text1"/>
                <w:sz w:val="24"/>
                <w:szCs w:val="24"/>
                <w:highlight w:val="none"/>
                <w:lang w:val="en-US" w:eastAsia="zh-CN" w:bidi="ar-SA"/>
                <w14:textFill>
                  <w14:solidFill>
                    <w14:schemeClr w14:val="tx1"/>
                  </w14:solidFill>
                </w14:textFill>
              </w:rPr>
              <w:t>9</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分</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。（提供成果（或报告）及合同复印件，时间以合同签订时间为准；若提供的证明材料不能反映相关数据及信息则不得分）。注：企业业绩与项目负责人业绩不可兼得。</w:t>
            </w:r>
          </w:p>
        </w:tc>
        <w:tc>
          <w:tcPr>
            <w:tcW w:w="936" w:type="dxa"/>
            <w:vAlign w:val="center"/>
          </w:tcPr>
          <w:p w14:paraId="2C34742D">
            <w:pPr>
              <w:pStyle w:val="51"/>
              <w:shd w:val="clear"/>
              <w:spacing w:before="49" w:line="360" w:lineRule="auto"/>
              <w:ind w:left="17" w:leftChars="0" w:firstLine="480" w:firstLineChars="200"/>
              <w:rPr>
                <w:rFonts w:hint="default"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cs="Times New Roman"/>
                <w:color w:val="000000" w:themeColor="text1"/>
                <w:sz w:val="24"/>
                <w:szCs w:val="24"/>
                <w:highlight w:val="none"/>
                <w:lang w:val="en-US" w:eastAsia="zh-CN" w:bidi="ar-SA"/>
                <w14:textFill>
                  <w14:solidFill>
                    <w14:schemeClr w14:val="tx1"/>
                  </w14:solidFill>
                </w14:textFill>
              </w:rPr>
              <w:t>9</w:t>
            </w:r>
          </w:p>
        </w:tc>
      </w:tr>
      <w:tr w14:paraId="2831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jc w:val="center"/>
        </w:trPr>
        <w:tc>
          <w:tcPr>
            <w:tcW w:w="907" w:type="dxa"/>
            <w:vAlign w:val="center"/>
          </w:tcPr>
          <w:p w14:paraId="3EDDA386">
            <w:pPr>
              <w:pStyle w:val="51"/>
              <w:shd w:val="clear"/>
              <w:spacing w:before="49" w:line="360" w:lineRule="auto"/>
              <w:ind w:left="17" w:leftChars="0" w:firstLine="480" w:firstLineChars="200"/>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5</w:t>
            </w:r>
          </w:p>
        </w:tc>
        <w:tc>
          <w:tcPr>
            <w:tcW w:w="1220" w:type="dxa"/>
            <w:vAlign w:val="center"/>
          </w:tcPr>
          <w:p w14:paraId="219FBFF4">
            <w:pPr>
              <w:pStyle w:val="51"/>
              <w:shd w:val="clear"/>
              <w:spacing w:before="49" w:line="360" w:lineRule="auto"/>
              <w:ind w:left="0" w:leftChars="0" w:firstLine="0" w:firstLineChars="0"/>
              <w:rPr>
                <w:rFonts w:hint="eastAsia" w:ascii="宋体" w:hAnsi="宋体" w:eastAsia="宋体" w:cs="Times New Roman"/>
                <w:color w:val="000000" w:themeColor="text1"/>
                <w:sz w:val="24"/>
                <w:szCs w:val="24"/>
                <w:highlight w:val="none"/>
                <w:lang w:val="zh-TW" w:eastAsia="zh-TW" w:bidi="ar-SA"/>
                <w14:textFill>
                  <w14:solidFill>
                    <w14:schemeClr w14:val="tx1"/>
                  </w14:solidFill>
                </w14:textFill>
              </w:rPr>
            </w:pPr>
            <w:r>
              <w:rPr>
                <w:rFonts w:hint="eastAsia" w:ascii="宋体" w:hAnsi="宋体" w:eastAsia="宋体" w:cs="Times New Roman"/>
                <w:color w:val="000000" w:themeColor="text1"/>
                <w:sz w:val="24"/>
                <w:szCs w:val="24"/>
                <w:highlight w:val="none"/>
                <w:lang w:val="zh-TW" w:eastAsia="zh-CN" w:bidi="ar-SA"/>
                <w14:textFill>
                  <w14:solidFill>
                    <w14:schemeClr w14:val="tx1"/>
                  </w14:solidFill>
                </w14:textFill>
              </w:rPr>
              <w:t>项目负责人业绩（</w:t>
            </w:r>
            <w:r>
              <w:rPr>
                <w:rFonts w:hint="eastAsia" w:cs="Times New Roman"/>
                <w:color w:val="000000" w:themeColor="text1"/>
                <w:sz w:val="24"/>
                <w:szCs w:val="24"/>
                <w:highlight w:val="none"/>
                <w:lang w:val="en-US" w:eastAsia="zh-CN" w:bidi="ar-SA"/>
                <w14:textFill>
                  <w14:solidFill>
                    <w14:schemeClr w14:val="tx1"/>
                  </w14:solidFill>
                </w14:textFill>
              </w:rPr>
              <w:t>6</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分</w:t>
            </w:r>
            <w:r>
              <w:rPr>
                <w:rFonts w:hint="eastAsia" w:ascii="宋体" w:hAnsi="宋体" w:eastAsia="宋体" w:cs="Times New Roman"/>
                <w:color w:val="000000" w:themeColor="text1"/>
                <w:sz w:val="24"/>
                <w:szCs w:val="24"/>
                <w:highlight w:val="none"/>
                <w:lang w:val="zh-TW" w:eastAsia="zh-CN" w:bidi="ar-SA"/>
                <w14:textFill>
                  <w14:solidFill>
                    <w14:schemeClr w14:val="tx1"/>
                  </w14:solidFill>
                </w14:textFill>
              </w:rPr>
              <w:t>）</w:t>
            </w:r>
          </w:p>
        </w:tc>
        <w:tc>
          <w:tcPr>
            <w:tcW w:w="6575" w:type="dxa"/>
            <w:vAlign w:val="center"/>
          </w:tcPr>
          <w:p w14:paraId="6F5BCCAA">
            <w:pPr>
              <w:pStyle w:val="51"/>
              <w:shd w:val="clear"/>
              <w:spacing w:before="49" w:line="360" w:lineRule="auto"/>
              <w:ind w:left="17" w:leftChars="0" w:firstLine="480" w:firstLineChars="200"/>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拟派项目负责人自2020年6月1日（含）以来，作为项目负责人承担过市政类工程审计项目，每个业</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绩得</w:t>
            </w:r>
            <w:r>
              <w:rPr>
                <w:rFonts w:hint="eastAsia" w:cs="Times New Roman"/>
                <w:color w:val="000000" w:themeColor="text1"/>
                <w:sz w:val="24"/>
                <w:szCs w:val="24"/>
                <w:highlight w:val="none"/>
                <w:lang w:val="en-US" w:eastAsia="zh-CN" w:bidi="ar-SA"/>
                <w14:textFill>
                  <w14:solidFill>
                    <w14:schemeClr w14:val="tx1"/>
                  </w14:solidFill>
                </w14:textFill>
              </w:rPr>
              <w:t>3</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分</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满分</w:t>
            </w:r>
            <w:r>
              <w:rPr>
                <w:rFonts w:hint="eastAsia" w:cs="Times New Roman"/>
                <w:color w:val="000000" w:themeColor="text1"/>
                <w:sz w:val="24"/>
                <w:szCs w:val="24"/>
                <w:highlight w:val="none"/>
                <w:lang w:val="en-US" w:eastAsia="zh-CN" w:bidi="ar-SA"/>
                <w14:textFill>
                  <w14:solidFill>
                    <w14:schemeClr w14:val="tx1"/>
                  </w14:solidFill>
                </w14:textFill>
              </w:rPr>
              <w:t>6</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分</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。（提供成果（或报告）及合同复印件，时间以合同签订时间为准；若提供的证明材料不能反映相关数据及信息则不得分）。注：企业业绩与项目负责人业绩不可兼得。</w:t>
            </w:r>
          </w:p>
        </w:tc>
        <w:tc>
          <w:tcPr>
            <w:tcW w:w="936" w:type="dxa"/>
            <w:vAlign w:val="center"/>
          </w:tcPr>
          <w:p w14:paraId="5B0D1E7A">
            <w:pPr>
              <w:pStyle w:val="51"/>
              <w:shd w:val="clear"/>
              <w:spacing w:before="49" w:line="360" w:lineRule="auto"/>
              <w:ind w:left="17" w:leftChars="0" w:firstLine="480" w:firstLineChars="200"/>
              <w:rPr>
                <w:rFonts w:hint="default"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cs="Times New Roman"/>
                <w:color w:val="000000" w:themeColor="text1"/>
                <w:sz w:val="24"/>
                <w:szCs w:val="24"/>
                <w:highlight w:val="none"/>
                <w:lang w:val="en-US" w:eastAsia="zh-CN" w:bidi="ar-SA"/>
                <w14:textFill>
                  <w14:solidFill>
                    <w14:schemeClr w14:val="tx1"/>
                  </w14:solidFill>
                </w14:textFill>
              </w:rPr>
              <w:t>6</w:t>
            </w:r>
          </w:p>
        </w:tc>
      </w:tr>
      <w:tr w14:paraId="7FBB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907" w:type="dxa"/>
            <w:vMerge w:val="restart"/>
            <w:vAlign w:val="center"/>
          </w:tcPr>
          <w:p w14:paraId="35CEF091">
            <w:pPr>
              <w:pStyle w:val="51"/>
              <w:shd w:val="clear"/>
              <w:spacing w:before="49" w:line="360" w:lineRule="auto"/>
              <w:ind w:left="17" w:leftChars="0" w:firstLine="480" w:firstLineChars="200"/>
              <w:rPr>
                <w:rFonts w:hint="eastAsia" w:ascii="宋体" w:hAnsi="宋体" w:eastAsia="宋体" w:cs="Times New Roman"/>
                <w:color w:val="000000" w:themeColor="text1"/>
                <w:sz w:val="24"/>
                <w:szCs w:val="24"/>
                <w:highlight w:val="none"/>
                <w:lang w:val="zh-CN" w:eastAsia="zh-CN" w:bidi="ar-SA"/>
                <w14:textFill>
                  <w14:solidFill>
                    <w14:schemeClr w14:val="tx1"/>
                  </w14:solidFill>
                </w14:textFill>
              </w:rPr>
            </w:pPr>
            <w:r>
              <w:rPr>
                <w:rFonts w:hint="eastAsia" w:ascii="宋体" w:hAnsi="宋体" w:eastAsia="宋体" w:cs="Times New Roman"/>
                <w:color w:val="000000" w:themeColor="text1"/>
                <w:sz w:val="24"/>
                <w:szCs w:val="24"/>
                <w:highlight w:val="none"/>
                <w:lang w:val="zh-CN" w:eastAsia="zh-CN" w:bidi="ar-SA"/>
                <w14:textFill>
                  <w14:solidFill>
                    <w14:schemeClr w14:val="tx1"/>
                  </w14:solidFill>
                </w14:textFill>
              </w:rPr>
              <w:t>7</w:t>
            </w:r>
          </w:p>
        </w:tc>
        <w:tc>
          <w:tcPr>
            <w:tcW w:w="1220" w:type="dxa"/>
            <w:vMerge w:val="restart"/>
            <w:vAlign w:val="center"/>
          </w:tcPr>
          <w:p w14:paraId="334CD4D5">
            <w:pPr>
              <w:pStyle w:val="51"/>
              <w:shd w:val="clear"/>
              <w:spacing w:before="49" w:line="360" w:lineRule="auto"/>
              <w:ind w:left="0" w:leftChars="0" w:firstLine="0" w:firstLineChars="0"/>
              <w:rPr>
                <w:rFonts w:hint="eastAsia" w:ascii="宋体" w:hAnsi="宋体" w:eastAsia="宋体" w:cs="Times New Roman"/>
                <w:color w:val="000000" w:themeColor="text1"/>
                <w:sz w:val="24"/>
                <w:szCs w:val="24"/>
                <w:highlight w:val="none"/>
                <w:lang w:val="zh-CN" w:eastAsia="zh-CN" w:bidi="ar-SA"/>
                <w14:textFill>
                  <w14:solidFill>
                    <w14:schemeClr w14:val="tx1"/>
                  </w14:solidFill>
                </w14:textFill>
              </w:rPr>
            </w:pPr>
            <w:r>
              <w:rPr>
                <w:rFonts w:hint="eastAsia" w:ascii="宋体" w:hAnsi="宋体" w:eastAsia="宋体" w:cs="Times New Roman"/>
                <w:color w:val="000000" w:themeColor="text1"/>
                <w:sz w:val="24"/>
                <w:szCs w:val="24"/>
                <w:highlight w:val="none"/>
                <w:lang w:val="zh-CN" w:eastAsia="zh-CN" w:bidi="ar-SA"/>
                <w14:textFill>
                  <w14:solidFill>
                    <w14:schemeClr w14:val="tx1"/>
                  </w14:solidFill>
                </w14:textFill>
              </w:rPr>
              <w:t>服务方案（</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50</w:t>
            </w:r>
            <w:r>
              <w:rPr>
                <w:rFonts w:hint="eastAsia" w:ascii="宋体" w:hAnsi="宋体" w:eastAsia="宋体" w:cs="Times New Roman"/>
                <w:color w:val="000000" w:themeColor="text1"/>
                <w:sz w:val="24"/>
                <w:szCs w:val="24"/>
                <w:highlight w:val="none"/>
                <w:lang w:val="zh-CN" w:eastAsia="zh-CN" w:bidi="ar-SA"/>
                <w14:textFill>
                  <w14:solidFill>
                    <w14:schemeClr w14:val="tx1"/>
                  </w14:solidFill>
                </w14:textFill>
              </w:rPr>
              <w:t>分）</w:t>
            </w:r>
          </w:p>
        </w:tc>
        <w:tc>
          <w:tcPr>
            <w:tcW w:w="6575" w:type="dxa"/>
            <w:vAlign w:val="center"/>
          </w:tcPr>
          <w:p w14:paraId="78AC1D0D">
            <w:pPr>
              <w:pStyle w:val="51"/>
              <w:shd w:val="clear"/>
              <w:spacing w:before="49" w:line="360" w:lineRule="auto"/>
              <w:ind w:left="17" w:leftChars="0" w:firstLine="480" w:firstLineChars="200"/>
              <w:rPr>
                <w:rFonts w:hint="eastAsia" w:ascii="宋体" w:hAnsi="宋体" w:eastAsia="宋体" w:cs="Times New Roman"/>
                <w:color w:val="000000" w:themeColor="text1"/>
                <w:sz w:val="24"/>
                <w:szCs w:val="24"/>
                <w:highlight w:val="none"/>
                <w:lang w:val="en-US" w:eastAsia="zh-TW" w:bidi="ar-SA"/>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针对本项目审计的服务方案：评委根据供应商针对本项目方案的科学性、全面性、合理性、可靠性、先进性，结构完整性、表达清晰性及功能性等方面酌情评分：思路清晰、定位准确、理解透彻、全面者得10分；思路基本清楚者得7分；思路一般者得4分；方案简单、粗糙的得1分；未提供者得0分。</w:t>
            </w:r>
          </w:p>
        </w:tc>
        <w:tc>
          <w:tcPr>
            <w:tcW w:w="936" w:type="dxa"/>
            <w:vAlign w:val="center"/>
          </w:tcPr>
          <w:p w14:paraId="3F62E555">
            <w:pPr>
              <w:pStyle w:val="51"/>
              <w:shd w:val="clear"/>
              <w:spacing w:before="49" w:line="360" w:lineRule="auto"/>
              <w:ind w:left="17" w:leftChars="0" w:firstLine="480" w:firstLineChars="200"/>
              <w:rPr>
                <w:rFonts w:hint="default"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10</w:t>
            </w:r>
          </w:p>
        </w:tc>
      </w:tr>
      <w:tr w14:paraId="2A0C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07" w:type="dxa"/>
            <w:vMerge w:val="continue"/>
            <w:vAlign w:val="center"/>
          </w:tcPr>
          <w:p w14:paraId="249DAF01">
            <w:pPr>
              <w:pStyle w:val="51"/>
              <w:shd w:val="clear"/>
              <w:spacing w:before="49" w:line="360" w:lineRule="auto"/>
              <w:ind w:left="17" w:leftChars="0" w:firstLine="480" w:firstLineChars="200"/>
              <w:rPr>
                <w:rFonts w:hint="eastAsia" w:ascii="宋体" w:hAnsi="宋体" w:eastAsia="宋体" w:cs="Times New Roman"/>
                <w:color w:val="000000" w:themeColor="text1"/>
                <w:sz w:val="24"/>
                <w:szCs w:val="24"/>
                <w:highlight w:val="none"/>
                <w:lang w:val="zh-CN" w:eastAsia="zh-CN" w:bidi="ar-SA"/>
                <w14:textFill>
                  <w14:solidFill>
                    <w14:schemeClr w14:val="tx1"/>
                  </w14:solidFill>
                </w14:textFill>
              </w:rPr>
            </w:pPr>
          </w:p>
        </w:tc>
        <w:tc>
          <w:tcPr>
            <w:tcW w:w="1220" w:type="dxa"/>
            <w:vMerge w:val="continue"/>
            <w:vAlign w:val="center"/>
          </w:tcPr>
          <w:p w14:paraId="78B050F1">
            <w:pPr>
              <w:pStyle w:val="51"/>
              <w:shd w:val="clear"/>
              <w:spacing w:before="49" w:line="360" w:lineRule="auto"/>
              <w:ind w:left="17" w:leftChars="0" w:firstLine="480" w:firstLineChars="200"/>
              <w:rPr>
                <w:rFonts w:hint="eastAsia" w:ascii="宋体" w:hAnsi="宋体" w:eastAsia="宋体" w:cs="Times New Roman"/>
                <w:color w:val="000000" w:themeColor="text1"/>
                <w:sz w:val="24"/>
                <w:szCs w:val="24"/>
                <w:highlight w:val="none"/>
                <w:lang w:val="zh-CN" w:eastAsia="zh-CN" w:bidi="ar-SA"/>
                <w14:textFill>
                  <w14:solidFill>
                    <w14:schemeClr w14:val="tx1"/>
                  </w14:solidFill>
                </w14:textFill>
              </w:rPr>
            </w:pPr>
          </w:p>
        </w:tc>
        <w:tc>
          <w:tcPr>
            <w:tcW w:w="6575" w:type="dxa"/>
            <w:vAlign w:val="center"/>
          </w:tcPr>
          <w:p w14:paraId="0ED46D89">
            <w:pPr>
              <w:pStyle w:val="51"/>
              <w:shd w:val="clear"/>
              <w:spacing w:before="49" w:line="360" w:lineRule="auto"/>
              <w:ind w:left="17" w:leftChars="0" w:firstLine="480" w:firstLineChars="200"/>
              <w:rPr>
                <w:rFonts w:hint="eastAsia" w:ascii="宋体" w:hAnsi="宋体" w:eastAsia="宋体" w:cs="Times New Roman"/>
                <w:color w:val="000000" w:themeColor="text1"/>
                <w:sz w:val="24"/>
                <w:szCs w:val="24"/>
                <w:highlight w:val="none"/>
                <w:lang w:val="zh-TW" w:eastAsia="zh-TW" w:bidi="ar-SA"/>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针对本项目审计的实施技术路线与工作流程：评委根据供应商方案编制的技术路线和工作流程的合理性及针对性等方面酌情评分：思路清晰、定位准确、理解透彻、全面者得10分；思路基本清楚者得7分；思路一般者得4分；方案简单、粗糙的得1分；未提供者得0分。</w:t>
            </w:r>
          </w:p>
        </w:tc>
        <w:tc>
          <w:tcPr>
            <w:tcW w:w="936" w:type="dxa"/>
            <w:vAlign w:val="center"/>
          </w:tcPr>
          <w:p w14:paraId="746A8739">
            <w:pPr>
              <w:pStyle w:val="51"/>
              <w:shd w:val="clear"/>
              <w:spacing w:before="49" w:line="360" w:lineRule="auto"/>
              <w:ind w:left="17" w:leftChars="0" w:firstLine="480" w:firstLineChars="200"/>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10</w:t>
            </w:r>
          </w:p>
        </w:tc>
      </w:tr>
      <w:tr w14:paraId="04F0A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907" w:type="dxa"/>
            <w:vMerge w:val="continue"/>
            <w:vAlign w:val="center"/>
          </w:tcPr>
          <w:p w14:paraId="01343B35">
            <w:pPr>
              <w:pStyle w:val="51"/>
              <w:shd w:val="clear"/>
              <w:spacing w:before="49" w:line="360" w:lineRule="auto"/>
              <w:ind w:left="17" w:leftChars="0" w:firstLine="480" w:firstLineChars="200"/>
              <w:rPr>
                <w:rFonts w:hint="eastAsia" w:ascii="宋体" w:hAnsi="宋体" w:eastAsia="宋体" w:cs="Times New Roman"/>
                <w:color w:val="000000" w:themeColor="text1"/>
                <w:sz w:val="24"/>
                <w:szCs w:val="24"/>
                <w:highlight w:val="none"/>
                <w:lang w:val="zh-CN" w:eastAsia="zh-CN" w:bidi="ar-SA"/>
                <w14:textFill>
                  <w14:solidFill>
                    <w14:schemeClr w14:val="tx1"/>
                  </w14:solidFill>
                </w14:textFill>
              </w:rPr>
            </w:pPr>
          </w:p>
        </w:tc>
        <w:tc>
          <w:tcPr>
            <w:tcW w:w="1220" w:type="dxa"/>
            <w:vMerge w:val="continue"/>
            <w:vAlign w:val="center"/>
          </w:tcPr>
          <w:p w14:paraId="2A1A6F94">
            <w:pPr>
              <w:pStyle w:val="51"/>
              <w:shd w:val="clear"/>
              <w:spacing w:before="49" w:line="360" w:lineRule="auto"/>
              <w:ind w:left="17" w:leftChars="0" w:firstLine="480" w:firstLineChars="200"/>
              <w:rPr>
                <w:rFonts w:hint="eastAsia" w:ascii="宋体" w:hAnsi="宋体" w:eastAsia="宋体" w:cs="Times New Roman"/>
                <w:color w:val="000000" w:themeColor="text1"/>
                <w:sz w:val="24"/>
                <w:szCs w:val="24"/>
                <w:highlight w:val="none"/>
                <w:lang w:val="zh-CN" w:eastAsia="zh-CN" w:bidi="ar-SA"/>
                <w14:textFill>
                  <w14:solidFill>
                    <w14:schemeClr w14:val="tx1"/>
                  </w14:solidFill>
                </w14:textFill>
              </w:rPr>
            </w:pPr>
          </w:p>
        </w:tc>
        <w:tc>
          <w:tcPr>
            <w:tcW w:w="6575" w:type="dxa"/>
            <w:vAlign w:val="center"/>
          </w:tcPr>
          <w:p w14:paraId="2362267C">
            <w:pPr>
              <w:pStyle w:val="51"/>
              <w:shd w:val="clear"/>
              <w:spacing w:before="49" w:line="360" w:lineRule="auto"/>
              <w:ind w:left="17" w:leftChars="0" w:firstLine="480" w:firstLineChars="200"/>
              <w:rPr>
                <w:rFonts w:hint="eastAsia" w:ascii="宋体" w:hAnsi="宋体" w:eastAsia="宋体" w:cs="Times New Roman"/>
                <w:color w:val="000000" w:themeColor="text1"/>
                <w:sz w:val="24"/>
                <w:szCs w:val="24"/>
                <w:highlight w:val="none"/>
                <w:lang w:val="zh-TW" w:eastAsia="zh-TW" w:bidi="ar-SA"/>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针对本项目审计的进度安排及质量保障措施：评委根据供应商针对本项目编制进度计划、各阶段进度及方案编制质量的保证措施等酌情评分：思路清晰、定位准确、理解透彻、全面者得10分；思路基本清楚者得7分；思路一般者得4分；方案简单、粗糙的得1分；未提供者得0分。</w:t>
            </w:r>
          </w:p>
        </w:tc>
        <w:tc>
          <w:tcPr>
            <w:tcW w:w="936" w:type="dxa"/>
            <w:vAlign w:val="center"/>
          </w:tcPr>
          <w:p w14:paraId="10413ADE">
            <w:pPr>
              <w:pStyle w:val="51"/>
              <w:shd w:val="clear"/>
              <w:spacing w:before="49" w:line="360" w:lineRule="auto"/>
              <w:ind w:left="17" w:leftChars="0" w:firstLine="480" w:firstLineChars="200"/>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10</w:t>
            </w:r>
          </w:p>
        </w:tc>
      </w:tr>
      <w:tr w14:paraId="2694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907" w:type="dxa"/>
            <w:vMerge w:val="continue"/>
            <w:vAlign w:val="center"/>
          </w:tcPr>
          <w:p w14:paraId="02DA3C03">
            <w:pPr>
              <w:pStyle w:val="51"/>
              <w:shd w:val="clear"/>
              <w:spacing w:before="49" w:line="360" w:lineRule="auto"/>
              <w:ind w:left="17" w:leftChars="0" w:firstLine="480" w:firstLineChars="200"/>
              <w:rPr>
                <w:rFonts w:hint="eastAsia" w:ascii="宋体" w:hAnsi="宋体" w:eastAsia="宋体" w:cs="Times New Roman"/>
                <w:color w:val="000000" w:themeColor="text1"/>
                <w:sz w:val="24"/>
                <w:szCs w:val="24"/>
                <w:highlight w:val="none"/>
                <w:lang w:val="zh-CN" w:eastAsia="zh-CN" w:bidi="ar-SA"/>
                <w14:textFill>
                  <w14:solidFill>
                    <w14:schemeClr w14:val="tx1"/>
                  </w14:solidFill>
                </w14:textFill>
              </w:rPr>
            </w:pPr>
          </w:p>
        </w:tc>
        <w:tc>
          <w:tcPr>
            <w:tcW w:w="1220" w:type="dxa"/>
            <w:vMerge w:val="continue"/>
            <w:vAlign w:val="center"/>
          </w:tcPr>
          <w:p w14:paraId="5B918938">
            <w:pPr>
              <w:pStyle w:val="51"/>
              <w:shd w:val="clear"/>
              <w:spacing w:before="49" w:line="360" w:lineRule="auto"/>
              <w:ind w:left="17" w:leftChars="0" w:firstLine="480" w:firstLineChars="200"/>
              <w:rPr>
                <w:rFonts w:hint="eastAsia" w:ascii="宋体" w:hAnsi="宋体" w:eastAsia="宋体" w:cs="Times New Roman"/>
                <w:color w:val="000000" w:themeColor="text1"/>
                <w:sz w:val="24"/>
                <w:szCs w:val="24"/>
                <w:highlight w:val="none"/>
                <w:lang w:val="zh-CN" w:eastAsia="zh-CN" w:bidi="ar-SA"/>
                <w14:textFill>
                  <w14:solidFill>
                    <w14:schemeClr w14:val="tx1"/>
                  </w14:solidFill>
                </w14:textFill>
              </w:rPr>
            </w:pPr>
          </w:p>
        </w:tc>
        <w:tc>
          <w:tcPr>
            <w:tcW w:w="6575" w:type="dxa"/>
            <w:vAlign w:val="center"/>
          </w:tcPr>
          <w:p w14:paraId="36D1D6A0">
            <w:pPr>
              <w:pStyle w:val="51"/>
              <w:shd w:val="clear"/>
              <w:spacing w:before="49" w:line="360" w:lineRule="auto"/>
              <w:ind w:left="17" w:leftChars="0" w:firstLine="480" w:firstLineChars="200"/>
              <w:rPr>
                <w:rFonts w:hint="eastAsia" w:ascii="宋体" w:hAnsi="宋体" w:eastAsia="宋体" w:cs="Times New Roman"/>
                <w:color w:val="000000" w:themeColor="text1"/>
                <w:sz w:val="24"/>
                <w:szCs w:val="24"/>
                <w:highlight w:val="none"/>
                <w:lang w:val="zh-TW" w:eastAsia="zh-TW" w:bidi="ar-SA"/>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针对本项目审计的实施重点、难点及关键过程分析：评委根据供应商对项目方案编制的重点及难点的认识、关键过程分析、解决思路及合理化建议等方面酌情评分：思路清晰、定位准确、理解透彻、全面者得10分；思路基本清楚者得7分；思路一般者得4分；方案简单、粗糙的得1分；未提供者得0分。</w:t>
            </w:r>
          </w:p>
        </w:tc>
        <w:tc>
          <w:tcPr>
            <w:tcW w:w="936" w:type="dxa"/>
            <w:vAlign w:val="center"/>
          </w:tcPr>
          <w:p w14:paraId="54085577">
            <w:pPr>
              <w:pStyle w:val="51"/>
              <w:shd w:val="clear"/>
              <w:spacing w:before="49" w:line="360" w:lineRule="auto"/>
              <w:ind w:left="17" w:leftChars="0" w:firstLine="480" w:firstLineChars="200"/>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10</w:t>
            </w:r>
          </w:p>
        </w:tc>
      </w:tr>
      <w:tr w14:paraId="21AD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jc w:val="center"/>
        </w:trPr>
        <w:tc>
          <w:tcPr>
            <w:tcW w:w="907" w:type="dxa"/>
            <w:vMerge w:val="continue"/>
            <w:vAlign w:val="center"/>
          </w:tcPr>
          <w:p w14:paraId="3072981D">
            <w:pPr>
              <w:pStyle w:val="51"/>
              <w:shd w:val="clear"/>
              <w:spacing w:before="49" w:line="360" w:lineRule="auto"/>
              <w:ind w:left="17" w:leftChars="0" w:firstLine="480" w:firstLineChars="200"/>
              <w:rPr>
                <w:rFonts w:hint="eastAsia" w:ascii="宋体" w:hAnsi="宋体" w:eastAsia="宋体" w:cs="Times New Roman"/>
                <w:color w:val="000000" w:themeColor="text1"/>
                <w:sz w:val="24"/>
                <w:szCs w:val="24"/>
                <w:highlight w:val="none"/>
                <w:lang w:val="zh-CN" w:eastAsia="zh-CN" w:bidi="ar-SA"/>
                <w14:textFill>
                  <w14:solidFill>
                    <w14:schemeClr w14:val="tx1"/>
                  </w14:solidFill>
                </w14:textFill>
              </w:rPr>
            </w:pPr>
          </w:p>
        </w:tc>
        <w:tc>
          <w:tcPr>
            <w:tcW w:w="1220" w:type="dxa"/>
            <w:vMerge w:val="continue"/>
            <w:vAlign w:val="center"/>
          </w:tcPr>
          <w:p w14:paraId="7110873B">
            <w:pPr>
              <w:pStyle w:val="51"/>
              <w:shd w:val="clear"/>
              <w:spacing w:before="49" w:line="360" w:lineRule="auto"/>
              <w:ind w:left="17" w:leftChars="0" w:firstLine="480" w:firstLineChars="200"/>
              <w:rPr>
                <w:rFonts w:hint="eastAsia" w:ascii="宋体" w:hAnsi="宋体" w:eastAsia="宋体" w:cs="Times New Roman"/>
                <w:color w:val="000000" w:themeColor="text1"/>
                <w:sz w:val="24"/>
                <w:szCs w:val="24"/>
                <w:highlight w:val="none"/>
                <w:lang w:val="zh-CN" w:eastAsia="zh-CN" w:bidi="ar-SA"/>
                <w14:textFill>
                  <w14:solidFill>
                    <w14:schemeClr w14:val="tx1"/>
                  </w14:solidFill>
                </w14:textFill>
              </w:rPr>
            </w:pPr>
          </w:p>
        </w:tc>
        <w:tc>
          <w:tcPr>
            <w:tcW w:w="6575" w:type="dxa"/>
            <w:vAlign w:val="center"/>
          </w:tcPr>
          <w:p w14:paraId="7EECF505">
            <w:pPr>
              <w:pStyle w:val="51"/>
              <w:shd w:val="clear"/>
              <w:spacing w:before="49" w:line="360" w:lineRule="auto"/>
              <w:ind w:left="17" w:leftChars="0" w:firstLine="480" w:firstLineChars="200"/>
              <w:rPr>
                <w:rFonts w:hint="eastAsia" w:ascii="宋体" w:hAnsi="宋体" w:eastAsia="宋体" w:cs="Times New Roman"/>
                <w:color w:val="000000" w:themeColor="text1"/>
                <w:sz w:val="24"/>
                <w:szCs w:val="24"/>
                <w:highlight w:val="none"/>
                <w:lang w:val="zh-TW" w:eastAsia="zh-TW" w:bidi="ar-SA"/>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针对本项目审计的资料管理方案：评委根据供应商对资料管理方案酌情评分：思路清晰、定位准确、理解透彻、全面者得10分；思路基本清楚者得7分；思路一般者得4分；方案简单、粗糙的得1分；未提供者得0分。</w:t>
            </w:r>
          </w:p>
        </w:tc>
        <w:tc>
          <w:tcPr>
            <w:tcW w:w="936" w:type="dxa"/>
            <w:vAlign w:val="center"/>
          </w:tcPr>
          <w:p w14:paraId="1FEB4A87">
            <w:pPr>
              <w:pStyle w:val="51"/>
              <w:shd w:val="clear"/>
              <w:spacing w:before="49" w:line="360" w:lineRule="auto"/>
              <w:ind w:left="17" w:leftChars="0" w:firstLine="480" w:firstLineChars="200"/>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10</w:t>
            </w:r>
          </w:p>
        </w:tc>
      </w:tr>
    </w:tbl>
    <w:p w14:paraId="71DA86E1">
      <w:pPr>
        <w:shd w:val="clear"/>
        <w:spacing w:line="360" w:lineRule="auto"/>
        <w:ind w:firstLine="480" w:firstLineChars="200"/>
        <w:rPr>
          <w:rFonts w:hint="eastAsia" w:ascii="宋体" w:hAnsi="宋体" w:cs="宋体"/>
          <w:color w:val="000000" w:themeColor="text1"/>
          <w:szCs w:val="21"/>
          <w:highlight w:val="none"/>
          <w:lang w:val="zh-CN"/>
          <w14:textFill>
            <w14:solidFill>
              <w14:schemeClr w14:val="tx1"/>
            </w14:solidFill>
          </w14:textFill>
        </w:rPr>
      </w:pPr>
    </w:p>
    <w:p w14:paraId="3FEAECF3">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评标委员会将按下列评分具体办法和标准进行打分，总分值为100分。</w:t>
      </w:r>
    </w:p>
    <w:p w14:paraId="1207BC01">
      <w:pPr>
        <w:keepNext w:val="0"/>
        <w:keepLines w:val="0"/>
        <w:pageBreakBefore w:val="0"/>
        <w:widowControl w:val="0"/>
        <w:shd w:val="clear"/>
        <w:kinsoku/>
        <w:wordWrap/>
        <w:overflowPunct/>
        <w:topLinePunct w:val="0"/>
        <w:autoSpaceDE w:val="0"/>
        <w:autoSpaceDN w:val="0"/>
        <w:bidi w:val="0"/>
        <w:adjustRightInd/>
        <w:snapToGrid/>
        <w:spacing w:after="0"/>
        <w:ind w:firstLine="482"/>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说明：</w:t>
      </w:r>
    </w:p>
    <w:p w14:paraId="23CA57CE">
      <w:pPr>
        <w:widowControl/>
        <w:shd w:val="clear"/>
        <w:spacing w:line="360" w:lineRule="auto"/>
        <w:ind w:firstLine="480" w:firstLineChars="200"/>
        <w:jc w:val="lef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一、小微企业的价格扣除</w:t>
      </w:r>
    </w:p>
    <w:p w14:paraId="69B0680D">
      <w:pPr>
        <w:widowControl/>
        <w:shd w:val="clear"/>
        <w:spacing w:line="360" w:lineRule="auto"/>
        <w:ind w:firstLine="480" w:firstLineChars="200"/>
        <w:jc w:val="lef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1.对于未预留份额专门面向中小企业采购的采购项目或预留份额项目中的非预留部分采购包，给予小微企业报价10%的扣除，用扣除后的价格参加评审。其中，接</w:t>
      </w:r>
      <w:r>
        <w:rPr>
          <w:rFonts w:hint="eastAsia" w:ascii="宋体" w:hAnsi="宋体" w:cs="宋体"/>
          <w:bCs/>
          <w:color w:val="000000" w:themeColor="text1"/>
          <w:highlight w:val="none"/>
          <w14:textFill>
            <w14:solidFill>
              <w14:schemeClr w14:val="tx1"/>
            </w14:solidFill>
          </w14:textFill>
        </w:rPr>
        <w:t>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联合体各方均为小微企业的，联合体视同为小微企业，享受10%的价格扣除。</w:t>
      </w:r>
    </w:p>
    <w:p w14:paraId="22F3FDF7">
      <w:pPr>
        <w:widowControl/>
        <w:shd w:val="clear"/>
        <w:spacing w:line="360" w:lineRule="auto"/>
        <w:ind w:firstLine="480" w:firstLineChars="200"/>
        <w:jc w:val="lef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2.价格扣除比例或者价格分加分比例对小型企业和微型企业同等对待，不作区分。</w:t>
      </w:r>
    </w:p>
    <w:p w14:paraId="6E67F88E">
      <w:pPr>
        <w:widowControl/>
        <w:shd w:val="clear"/>
        <w:spacing w:line="360" w:lineRule="auto"/>
        <w:ind w:firstLine="480" w:firstLineChars="200"/>
        <w:jc w:val="lef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 二、监狱和戒毒企业的价格扣除</w:t>
      </w:r>
    </w:p>
    <w:p w14:paraId="6AB5DDD9">
      <w:pPr>
        <w:widowControl/>
        <w:shd w:val="clear"/>
        <w:spacing w:line="360" w:lineRule="auto"/>
        <w:ind w:firstLine="480" w:firstLineChars="200"/>
        <w:jc w:val="lef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1.本项目对监狱和戒毒企业（简称监狱企业）视同小型、微型企业，享受相同的价格扣除优惠政策。</w:t>
      </w:r>
    </w:p>
    <w:p w14:paraId="57FA66FF">
      <w:pPr>
        <w:widowControl/>
        <w:shd w:val="clear"/>
        <w:spacing w:line="360" w:lineRule="auto"/>
        <w:ind w:firstLine="480" w:firstLineChars="200"/>
        <w:jc w:val="lef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2.监狱企业需提供由省级以上监狱管理局、戒毒管理局（含新疆生产建设兵团）出具的属于监狱企业的证明文件。</w:t>
      </w:r>
    </w:p>
    <w:p w14:paraId="73944356">
      <w:pPr>
        <w:widowControl/>
        <w:shd w:val="clear"/>
        <w:spacing w:line="360" w:lineRule="auto"/>
        <w:ind w:firstLine="480" w:firstLineChars="200"/>
        <w:jc w:val="lef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3.监狱企业标准请参照《关于政府采购支持监狱企业发展有关问题的通知》（财库〔2014〕68号）。</w:t>
      </w:r>
    </w:p>
    <w:p w14:paraId="5AABC174">
      <w:pPr>
        <w:widowControl/>
        <w:shd w:val="clear"/>
        <w:spacing w:line="360" w:lineRule="auto"/>
        <w:ind w:firstLine="480" w:firstLineChars="200"/>
        <w:jc w:val="lef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三、残疾人福利性单位的价格扣除</w:t>
      </w:r>
    </w:p>
    <w:p w14:paraId="58741B84">
      <w:pPr>
        <w:widowControl/>
        <w:shd w:val="clear"/>
        <w:spacing w:line="360" w:lineRule="auto"/>
        <w:ind w:firstLine="480" w:firstLineChars="200"/>
        <w:jc w:val="lef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1.本项目对残疾人福利性单位视同小型、微型企业，享受相同的价格扣除优惠政策。</w:t>
      </w:r>
    </w:p>
    <w:p w14:paraId="7B6667AF">
      <w:pPr>
        <w:widowControl/>
        <w:shd w:val="clear"/>
        <w:spacing w:line="360" w:lineRule="auto"/>
        <w:ind w:firstLine="480" w:firstLineChars="200"/>
        <w:jc w:val="lef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2.残疾人福利性单位需按照招标文件的要求提供《残疾人福利性单位声明函》。</w:t>
      </w:r>
    </w:p>
    <w:p w14:paraId="6DE3441D">
      <w:pPr>
        <w:widowControl/>
        <w:shd w:val="clear"/>
        <w:spacing w:line="360" w:lineRule="auto"/>
        <w:ind w:firstLine="480" w:firstLineChars="200"/>
        <w:jc w:val="lef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3.残疾人福利性单位标准请参照《关于促进残疾人就业政府采购政策的通知》（财库〔2017〕141号）。</w:t>
      </w:r>
    </w:p>
    <w:p w14:paraId="73F00978">
      <w:pPr>
        <w:widowControl/>
        <w:shd w:val="clear"/>
        <w:spacing w:line="360" w:lineRule="auto"/>
        <w:ind w:firstLine="480" w:firstLineChars="200"/>
        <w:jc w:val="lef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四、监狱企业、残疾人福利性单位属于小型、微型企业的，不重复享受政策。</w:t>
      </w:r>
    </w:p>
    <w:p w14:paraId="0D9E103D">
      <w:pPr>
        <w:widowControl/>
        <w:shd w:val="clear"/>
        <w:spacing w:line="360" w:lineRule="auto"/>
        <w:ind w:firstLine="480" w:firstLineChars="200"/>
        <w:jc w:val="left"/>
        <w:rPr>
          <w:rFonts w:ascii="宋体" w:hAnsi="宋体" w:cs="宋体"/>
          <w:bCs/>
          <w:color w:val="000000" w:themeColor="text1"/>
          <w:sz w:val="22"/>
          <w:szCs w:val="22"/>
          <w:highlight w:val="none"/>
          <w14:textFill>
            <w14:solidFill>
              <w14:schemeClr w14:val="tx1"/>
            </w14:solidFill>
          </w14:textFill>
        </w:rPr>
        <w:sectPr>
          <w:headerReference r:id="rId5" w:type="default"/>
          <w:footerReference r:id="rId6" w:type="default"/>
          <w:pgSz w:w="11906" w:h="16838"/>
          <w:pgMar w:top="850" w:right="850" w:bottom="850" w:left="1418" w:header="170" w:footer="397" w:gutter="0"/>
          <w:cols w:space="720" w:num="1"/>
          <w:docGrid w:type="lines" w:linePitch="312" w:charSpace="0"/>
        </w:sectPr>
      </w:pPr>
      <w:r>
        <w:rPr>
          <w:rFonts w:hint="eastAsia" w:ascii="宋体" w:hAnsi="宋体" w:cs="宋体"/>
          <w:bCs/>
          <w:color w:val="000000" w:themeColor="text1"/>
          <w:highlight w:val="none"/>
          <w14:textFill>
            <w14:solidFill>
              <w14:schemeClr w14:val="tx1"/>
            </w14:solidFill>
          </w14:textFill>
        </w:rPr>
        <w:t>五、除评分标准中另有说明外，所有认证、证明和业绩均以有效的证明文件的复印件为依据。</w:t>
      </w:r>
    </w:p>
    <w:p w14:paraId="06B220BF">
      <w:pPr>
        <w:pStyle w:val="2"/>
        <w:shd w:val="clear"/>
        <w:rPr>
          <w:rFonts w:hint="eastAsia" w:ascii="宋体" w:hAnsi="宋体" w:eastAsia="宋体" w:cs="宋体"/>
          <w:color w:val="000000" w:themeColor="text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第四章  项目需求</w:t>
      </w:r>
    </w:p>
    <w:p w14:paraId="3DC9F3EA">
      <w:pPr>
        <w:shd w:val="clear"/>
        <w:tabs>
          <w:tab w:val="left" w:pos="567"/>
        </w:tabs>
        <w:spacing w:line="360" w:lineRule="auto"/>
        <w:rPr>
          <w:rFonts w:ascii="Times New Roman" w:hAnsi="Times New Roman" w:cs="Times New Roman"/>
          <w:b/>
          <w:bCs/>
          <w:color w:val="000000" w:themeColor="text1"/>
          <w:szCs w:val="21"/>
          <w:highlight w:val="none"/>
          <w14:textFill>
            <w14:solidFill>
              <w14:schemeClr w14:val="tx1"/>
            </w14:solidFill>
          </w14:textFill>
        </w:rPr>
      </w:pPr>
      <w:r>
        <w:rPr>
          <w:rFonts w:ascii="Times New Roman" w:hAnsi="Times New Roman" w:cs="Times New Roman"/>
          <w:b/>
          <w:bCs/>
          <w:color w:val="000000" w:themeColor="text1"/>
          <w:szCs w:val="21"/>
          <w:highlight w:val="none"/>
          <w14:textFill>
            <w14:solidFill>
              <w14:schemeClr w14:val="tx1"/>
            </w14:solidFill>
          </w14:textFill>
        </w:rPr>
        <w:t>一、</w:t>
      </w:r>
      <w:r>
        <w:rPr>
          <w:rFonts w:hint="eastAsia" w:ascii="Times New Roman" w:hAnsi="Times New Roman" w:cs="Times New Roman"/>
          <w:b/>
          <w:bCs/>
          <w:color w:val="000000" w:themeColor="text1"/>
          <w:szCs w:val="21"/>
          <w:highlight w:val="none"/>
          <w14:textFill>
            <w14:solidFill>
              <w14:schemeClr w14:val="tx1"/>
            </w14:solidFill>
          </w14:textFill>
        </w:rPr>
        <w:t>项目内容</w:t>
      </w:r>
    </w:p>
    <w:p w14:paraId="3CD682D7">
      <w:pPr>
        <w:shd w:val="clear"/>
        <w:tabs>
          <w:tab w:val="left" w:pos="567"/>
        </w:tabs>
        <w:spacing w:line="360" w:lineRule="auto"/>
        <w:ind w:firstLine="480" w:firstLineChars="20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本次采购服务内容为：依据国家政府部门颁发的有关工程审计相关规定、地方政府有关部门颁发的工程有关的法律性文件、根据</w:t>
      </w:r>
      <w:r>
        <w:rPr>
          <w:rFonts w:hint="eastAsia" w:ascii="Times New Roman" w:hAnsi="Times New Roman" w:cs="Times New Roman"/>
          <w:color w:val="000000" w:themeColor="text1"/>
          <w:szCs w:val="21"/>
          <w:highlight w:val="none"/>
          <w:lang w:eastAsia="zh-CN"/>
          <w14:textFill>
            <w14:solidFill>
              <w14:schemeClr w14:val="tx1"/>
            </w14:solidFill>
          </w14:textFill>
        </w:rPr>
        <w:t>甲方指令性任务要求，依据市政绿化专项内容</w:t>
      </w:r>
      <w:r>
        <w:rPr>
          <w:rFonts w:hint="eastAsia" w:ascii="Times New Roman" w:hAnsi="Times New Roman" w:cs="Times New Roman"/>
          <w:color w:val="000000" w:themeColor="text1"/>
          <w:szCs w:val="21"/>
          <w:highlight w:val="none"/>
          <w14:textFill>
            <w14:solidFill>
              <w14:schemeClr w14:val="tx1"/>
            </w14:solidFill>
          </w14:textFill>
        </w:rPr>
        <w:t>、招投标文件、图纸等送审资料</w:t>
      </w:r>
      <w:r>
        <w:rPr>
          <w:rFonts w:hint="eastAsia" w:ascii="Times New Roman" w:hAnsi="Times New Roman" w:cs="Times New Roman"/>
          <w:color w:val="000000" w:themeColor="text1"/>
          <w:szCs w:val="21"/>
          <w:highlight w:val="none"/>
          <w:lang w:eastAsia="zh-CN"/>
          <w14:textFill>
            <w14:solidFill>
              <w14:schemeClr w14:val="tx1"/>
            </w14:solidFill>
          </w14:textFill>
        </w:rPr>
        <w:t>等</w:t>
      </w:r>
      <w:r>
        <w:rPr>
          <w:rFonts w:hint="eastAsia" w:ascii="Times New Roman" w:hAnsi="Times New Roman" w:cs="Times New Roman"/>
          <w:color w:val="000000" w:themeColor="text1"/>
          <w:szCs w:val="21"/>
          <w:highlight w:val="none"/>
          <w14:textFill>
            <w14:solidFill>
              <w14:schemeClr w14:val="tx1"/>
            </w14:solidFill>
          </w14:textFill>
        </w:rPr>
        <w:t>相关资料、对</w:t>
      </w:r>
      <w:r>
        <w:rPr>
          <w:rFonts w:hint="eastAsia" w:ascii="Times New Roman" w:hAnsi="Times New Roman" w:cs="Times New Roman"/>
          <w:color w:val="000000" w:themeColor="text1"/>
          <w:szCs w:val="21"/>
          <w:highlight w:val="none"/>
          <w:lang w:eastAsia="zh-CN"/>
          <w14:textFill>
            <w14:solidFill>
              <w14:schemeClr w14:val="tx1"/>
            </w14:solidFill>
          </w14:textFill>
        </w:rPr>
        <w:t>市政绿化提升养护</w:t>
      </w:r>
      <w:r>
        <w:rPr>
          <w:rFonts w:hint="eastAsia" w:ascii="Times New Roman" w:hAnsi="Times New Roman" w:cs="Times New Roman"/>
          <w:color w:val="000000" w:themeColor="text1"/>
          <w:szCs w:val="21"/>
          <w:highlight w:val="none"/>
          <w14:textFill>
            <w14:solidFill>
              <w14:schemeClr w14:val="tx1"/>
            </w14:solidFill>
          </w14:textFill>
        </w:rPr>
        <w:t>实施</w:t>
      </w:r>
      <w:r>
        <w:rPr>
          <w:rFonts w:hint="eastAsia" w:ascii="Times New Roman" w:hAnsi="Times New Roman" w:cs="Times New Roman"/>
          <w:color w:val="000000" w:themeColor="text1"/>
          <w:szCs w:val="21"/>
          <w:highlight w:val="none"/>
          <w:lang w:eastAsia="zh-CN"/>
          <w14:textFill>
            <w14:solidFill>
              <w14:schemeClr w14:val="tx1"/>
            </w14:solidFill>
          </w14:textFill>
        </w:rPr>
        <w:t>结算</w:t>
      </w:r>
      <w:r>
        <w:rPr>
          <w:rFonts w:hint="eastAsia" w:ascii="Times New Roman" w:hAnsi="Times New Roman" w:cs="Times New Roman"/>
          <w:color w:val="000000" w:themeColor="text1"/>
          <w:szCs w:val="21"/>
          <w:highlight w:val="none"/>
          <w14:textFill>
            <w14:solidFill>
              <w14:schemeClr w14:val="tx1"/>
            </w14:solidFill>
          </w14:textFill>
        </w:rPr>
        <w:t>审计</w:t>
      </w:r>
      <w:r>
        <w:rPr>
          <w:rFonts w:hint="eastAsia" w:ascii="Times New Roman" w:hAnsi="Times New Roman" w:cs="Times New Roman"/>
          <w:color w:val="000000" w:themeColor="text1"/>
          <w:szCs w:val="21"/>
          <w:highlight w:val="none"/>
          <w:lang w:eastAsia="zh-CN"/>
          <w14:textFill>
            <w14:solidFill>
              <w14:schemeClr w14:val="tx1"/>
            </w14:solidFill>
          </w14:textFill>
        </w:rPr>
        <w:t>，出具但不仅限于结算审计报告、结算书等资料。</w:t>
      </w:r>
    </w:p>
    <w:p w14:paraId="47234DB6">
      <w:pPr>
        <w:shd w:val="clear"/>
        <w:tabs>
          <w:tab w:val="left" w:pos="567"/>
        </w:tabs>
        <w:spacing w:line="360" w:lineRule="auto"/>
        <w:rPr>
          <w:rFonts w:ascii="Times New Roman" w:hAnsi="Times New Roman" w:cs="Times New Roman"/>
          <w:b/>
          <w:color w:val="000000" w:themeColor="text1"/>
          <w:szCs w:val="21"/>
          <w:highlight w:val="none"/>
          <w14:textFill>
            <w14:solidFill>
              <w14:schemeClr w14:val="tx1"/>
            </w14:solidFill>
          </w14:textFill>
        </w:rPr>
      </w:pPr>
      <w:r>
        <w:rPr>
          <w:rFonts w:hint="eastAsia" w:ascii="Times New Roman" w:hAnsi="Times New Roman" w:cs="Times New Roman"/>
          <w:b/>
          <w:color w:val="000000" w:themeColor="text1"/>
          <w:szCs w:val="21"/>
          <w:highlight w:val="none"/>
          <w14:textFill>
            <w14:solidFill>
              <w14:schemeClr w14:val="tx1"/>
            </w14:solidFill>
          </w14:textFill>
        </w:rPr>
        <w:t>二、服务要求</w:t>
      </w:r>
    </w:p>
    <w:p w14:paraId="62F24389">
      <w:pPr>
        <w:pStyle w:val="98"/>
        <w:shd w:val="clear"/>
        <w:spacing w:line="360" w:lineRule="auto"/>
        <w:ind w:left="0" w:firstLine="480" w:firstLineChars="200"/>
        <w:rPr>
          <w:rFonts w:hint="eastAsia" w:ascii="宋体" w:hAnsi="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1.中标单位项目负责人接到</w:t>
      </w:r>
      <w:r>
        <w:rPr>
          <w:rFonts w:hint="eastAsia"/>
          <w:color w:val="000000" w:themeColor="text1"/>
          <w:sz w:val="24"/>
          <w:highlight w:val="none"/>
          <w:lang w:eastAsia="zh-CN"/>
          <w14:textFill>
            <w14:solidFill>
              <w14:schemeClr w14:val="tx1"/>
            </w14:solidFill>
          </w14:textFill>
        </w:rPr>
        <w:t>指令性任务</w:t>
      </w:r>
      <w:r>
        <w:rPr>
          <w:rFonts w:hint="eastAsia" w:ascii="宋体" w:hAnsi="宋体"/>
          <w:color w:val="000000" w:themeColor="text1"/>
          <w:sz w:val="24"/>
          <w:highlight w:val="none"/>
          <w:lang w:eastAsia="zh-CN"/>
          <w14:textFill>
            <w14:solidFill>
              <w14:schemeClr w14:val="tx1"/>
            </w14:solidFill>
          </w14:textFill>
        </w:rPr>
        <w:t>项目通知后</w:t>
      </w:r>
      <w:r>
        <w:rPr>
          <w:rFonts w:hint="eastAsia"/>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按照规程及要求提供服务，并在所有成果文件上加盖本人执业印章或签字。执业过程中，项目负责人必须全过程参与并负责所有工作，其他人员只从事辅助性配合工作。</w:t>
      </w:r>
    </w:p>
    <w:p w14:paraId="41A6644F">
      <w:pPr>
        <w:pStyle w:val="98"/>
        <w:shd w:val="clear"/>
        <w:spacing w:line="360" w:lineRule="auto"/>
        <w:ind w:left="0" w:firstLine="480" w:firstLineChars="200"/>
        <w:rPr>
          <w:rFonts w:hint="eastAsia" w:ascii="宋体" w:hAnsi="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2.中标单位及所派人员应当接受考核，对与被审计企业串通损害国家利益、社会公共利益或他人合法权益的；泄露审计活动有关情况和资料的；对有关行政监督部门依法责令改正的决定拒不执行或弄虚作假提供虚假材料隐瞒真相的；因中标单位责任导致项目出现重大过失造成采购人重</w:t>
      </w:r>
      <w:r>
        <w:rPr>
          <w:rFonts w:hint="eastAsia" w:ascii="宋体" w:hAnsi="宋体"/>
          <w:color w:val="000000" w:themeColor="text1"/>
          <w:sz w:val="24"/>
          <w:highlight w:val="none"/>
          <w:lang w:eastAsia="zh-CN"/>
          <w14:textFill>
            <w14:solidFill>
              <w14:schemeClr w14:val="tx1"/>
            </w14:solidFill>
          </w14:textFill>
        </w:rPr>
        <w:t>大经济损失的；明知委托事项违法仍进行服务的等事项实行一票否决，一旦发生立即清除服务资格，记入不良行为记录。</w:t>
      </w:r>
    </w:p>
    <w:p w14:paraId="4D1DD408">
      <w:pPr>
        <w:shd w:val="clear"/>
        <w:tabs>
          <w:tab w:val="left" w:pos="567"/>
        </w:tabs>
        <w:spacing w:line="360" w:lineRule="auto"/>
        <w:ind w:firstLine="480" w:firstLineChars="200"/>
        <w:rPr>
          <w:rFonts w:hint="eastAsia" w:ascii="Times New Roman" w:hAnsi="Times New Roman" w:cs="Times New Roman"/>
          <w:color w:val="000000" w:themeColor="text1"/>
          <w:szCs w:val="21"/>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3.承接</w:t>
      </w:r>
      <w:r>
        <w:rPr>
          <w:rFonts w:hint="eastAsia"/>
          <w:color w:val="000000" w:themeColor="text1"/>
          <w:sz w:val="24"/>
          <w:highlight w:val="none"/>
          <w:lang w:eastAsia="zh-CN"/>
          <w14:textFill>
            <w14:solidFill>
              <w14:schemeClr w14:val="tx1"/>
            </w14:solidFill>
          </w14:textFill>
        </w:rPr>
        <w:t>指令性市政绿化提升养护审计任务</w:t>
      </w:r>
      <w:r>
        <w:rPr>
          <w:rFonts w:hint="eastAsia" w:ascii="宋体" w:hAnsi="宋体"/>
          <w:color w:val="000000" w:themeColor="text1"/>
          <w:sz w:val="24"/>
          <w:highlight w:val="none"/>
          <w:lang w:eastAsia="zh-CN"/>
          <w14:textFill>
            <w14:solidFill>
              <w14:schemeClr w14:val="tx1"/>
            </w14:solidFill>
          </w14:textFill>
        </w:rPr>
        <w:t>过程中中标单位严格按照投标时投标文件中所派人员到场，项目负责人及项目组人员不得中途退场、更换。</w:t>
      </w:r>
      <w:r>
        <w:rPr>
          <w:rFonts w:hint="eastAsia" w:ascii="Times New Roman" w:hAnsi="Times New Roman" w:cs="Times New Roman"/>
          <w:color w:val="000000" w:themeColor="text1"/>
          <w:szCs w:val="21"/>
          <w:highlight w:val="none"/>
          <w:lang w:eastAsia="zh-CN"/>
          <w14:textFill>
            <w14:solidFill>
              <w14:schemeClr w14:val="tx1"/>
            </w14:solidFill>
          </w14:textFill>
        </w:rPr>
        <w:t>中标方需无条件执行甲方要求的合理变更</w:t>
      </w:r>
      <w:r>
        <w:rPr>
          <w:rFonts w:hint="eastAsia" w:ascii="Times New Roman" w:hAnsi="Times New Roman" w:cs="Times New Roman"/>
          <w:color w:val="000000" w:themeColor="text1"/>
          <w:szCs w:val="21"/>
          <w:highlight w:val="none"/>
          <w14:textFill>
            <w14:solidFill>
              <w14:schemeClr w14:val="tx1"/>
            </w14:solidFill>
          </w14:textFill>
        </w:rPr>
        <w:t>。</w:t>
      </w:r>
    </w:p>
    <w:p w14:paraId="6BFD20FD">
      <w:pPr>
        <w:keepNext w:val="0"/>
        <w:keepLines w:val="0"/>
        <w:shd w:val="clear"/>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宋体"/>
          <w:color w:val="000000" w:themeColor="text1"/>
          <w:kern w:val="0"/>
          <w:sz w:val="24"/>
          <w:szCs w:val="24"/>
          <w:highlight w:val="none"/>
          <w:u w:val="singl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 w:val="24"/>
          <w:szCs w:val="22"/>
          <w:highlight w:val="none"/>
          <w:lang w:val="en-US" w:eastAsia="zh-CN" w:bidi="zh-CN"/>
          <w14:textFill>
            <w14:solidFill>
              <w14:schemeClr w14:val="tx1"/>
            </w14:solidFill>
          </w14:textFill>
        </w:rPr>
        <w:t>本项目后期需接受审计局或审计局委托的第三方等机构进行复审，如复审不通过，扣除该项审计费的30%，并保留追究责任的权利。</w:t>
      </w:r>
    </w:p>
    <w:p w14:paraId="2E6B7993">
      <w:pPr>
        <w:pStyle w:val="98"/>
        <w:shd w:val="clear"/>
        <w:spacing w:line="360" w:lineRule="auto"/>
        <w:ind w:left="0" w:firstLine="480" w:firstLineChars="200"/>
        <w:rPr>
          <w:rFonts w:hint="eastAsia" w:ascii="宋体" w:hAnsi="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4.诚实信用</w:t>
      </w:r>
    </w:p>
    <w:p w14:paraId="70061DFB">
      <w:pPr>
        <w:pStyle w:val="98"/>
        <w:shd w:val="clear"/>
        <w:spacing w:line="360" w:lineRule="auto"/>
        <w:ind w:left="0" w:firstLine="480" w:firstLineChars="200"/>
        <w:rPr>
          <w:rFonts w:hint="eastAsia" w:ascii="宋体" w:hAnsi="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投标企业应廉洁自律、诚实信用，严格履行投标承诺，不得向采购人进行商业贿赂或提供不正当利益，自觉接受有关行政监督部门依法实施的监督</w:t>
      </w:r>
      <w:r>
        <w:rPr>
          <w:rFonts w:hint="eastAsia" w:ascii="宋体" w:hAnsi="宋体"/>
          <w:color w:val="000000" w:themeColor="text1"/>
          <w:sz w:val="24"/>
          <w:highlight w:val="none"/>
          <w:lang w:eastAsia="zh-CN"/>
          <w14:textFill>
            <w14:solidFill>
              <w14:schemeClr w14:val="tx1"/>
            </w14:solidFill>
          </w14:textFill>
        </w:rPr>
        <w:t>。</w:t>
      </w:r>
    </w:p>
    <w:p w14:paraId="0B224686">
      <w:pPr>
        <w:shd w:val="clear"/>
        <w:tabs>
          <w:tab w:val="left" w:pos="567"/>
        </w:tabs>
        <w:spacing w:line="360" w:lineRule="auto"/>
        <w:rPr>
          <w:rFonts w:ascii="Times New Roman" w:hAnsi="Times New Roman" w:cs="Times New Roman"/>
          <w:b/>
          <w:color w:val="000000" w:themeColor="text1"/>
          <w:szCs w:val="21"/>
          <w:highlight w:val="none"/>
          <w14:textFill>
            <w14:solidFill>
              <w14:schemeClr w14:val="tx1"/>
            </w14:solidFill>
          </w14:textFill>
        </w:rPr>
      </w:pPr>
      <w:r>
        <w:rPr>
          <w:rFonts w:hint="eastAsia" w:ascii="Times New Roman" w:hAnsi="Times New Roman" w:cs="Times New Roman"/>
          <w:b/>
          <w:color w:val="000000" w:themeColor="text1"/>
          <w:szCs w:val="21"/>
          <w:highlight w:val="none"/>
          <w14:textFill>
            <w14:solidFill>
              <w14:schemeClr w14:val="tx1"/>
            </w14:solidFill>
          </w14:textFill>
        </w:rPr>
        <w:t>三、其他要求</w:t>
      </w:r>
    </w:p>
    <w:p w14:paraId="0ED682F4">
      <w:pPr>
        <w:shd w:val="clear"/>
        <w:tabs>
          <w:tab w:val="left" w:pos="567"/>
        </w:tabs>
        <w:spacing w:line="360" w:lineRule="auto"/>
        <w:ind w:firstLine="480" w:firstLineChars="200"/>
        <w:rPr>
          <w:rFonts w:hint="eastAsia"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1.投标人须承诺：成交后不得将业务转包或分包给其他单位或个人。虽做出</w:t>
      </w:r>
      <w:r>
        <w:rPr>
          <w:rFonts w:hint="eastAsia" w:ascii="Times New Roman" w:hAnsi="Times New Roman" w:cs="Times New Roman"/>
          <w:color w:val="000000" w:themeColor="text1"/>
          <w:szCs w:val="21"/>
          <w:highlight w:val="none"/>
          <w:lang w:val="en-US" w:eastAsia="zh-CN"/>
          <w14:textFill>
            <w14:solidFill>
              <w14:schemeClr w14:val="tx1"/>
            </w14:solidFill>
          </w14:textFill>
        </w:rPr>
        <w:t>响应</w:t>
      </w:r>
      <w:r>
        <w:rPr>
          <w:rFonts w:hint="eastAsia" w:ascii="Times New Roman" w:hAnsi="Times New Roman" w:cs="Times New Roman"/>
          <w:color w:val="000000" w:themeColor="text1"/>
          <w:szCs w:val="21"/>
          <w:highlight w:val="none"/>
          <w14:textFill>
            <w14:solidFill>
              <w14:schemeClr w14:val="tx1"/>
            </w14:solidFill>
          </w14:textFill>
        </w:rPr>
        <w:t>但实际合同履行过程中未遵守承诺的，采购人有权利终止合同，并追究相关单位责任。</w:t>
      </w:r>
    </w:p>
    <w:p w14:paraId="0135A8C0">
      <w:pPr>
        <w:shd w:val="clear"/>
        <w:tabs>
          <w:tab w:val="left" w:pos="567"/>
        </w:tabs>
        <w:spacing w:line="360" w:lineRule="auto"/>
        <w:ind w:firstLine="480" w:firstLineChars="200"/>
        <w:rPr>
          <w:rFonts w:hint="eastAsia"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2.成果文件符</w:t>
      </w:r>
      <w:r>
        <w:rPr>
          <w:rFonts w:hint="eastAsia" w:ascii="Times New Roman" w:hAnsi="Times New Roman" w:cs="Times New Roman"/>
          <w:color w:val="000000" w:themeColor="text1"/>
          <w:szCs w:val="21"/>
          <w:highlight w:val="none"/>
          <w:lang w:val="en-US" w:eastAsia="zh-CN"/>
          <w14:textFill>
            <w14:solidFill>
              <w14:schemeClr w14:val="tx1"/>
            </w14:solidFill>
          </w14:textFill>
        </w:rPr>
        <w:t>合</w:t>
      </w:r>
      <w:r>
        <w:rPr>
          <w:rFonts w:hint="eastAsia" w:ascii="Times New Roman" w:hAnsi="Times New Roman" w:cs="Times New Roman"/>
          <w:color w:val="000000" w:themeColor="text1"/>
          <w:szCs w:val="21"/>
          <w:highlight w:val="none"/>
          <w14:textFill>
            <w14:solidFill>
              <w14:schemeClr w14:val="tx1"/>
            </w14:solidFill>
          </w14:textFill>
        </w:rPr>
        <w:t>技术规范按国家和行业现行的法律、法规及验收规范执行。</w:t>
      </w:r>
    </w:p>
    <w:p w14:paraId="69DC3889">
      <w:pPr>
        <w:shd w:val="clear"/>
        <w:tabs>
          <w:tab w:val="left" w:pos="567"/>
        </w:tabs>
        <w:spacing w:line="360" w:lineRule="auto"/>
        <w:ind w:firstLine="480" w:firstLineChars="200"/>
        <w:rPr>
          <w:rFonts w:hint="eastAsia" w:ascii="Times New Roman" w:hAnsi="Times New Roman" w:cs="Times New Roman"/>
          <w:color w:val="000000" w:themeColor="text1"/>
          <w:szCs w:val="21"/>
          <w:highlight w:val="none"/>
          <w:lang w:eastAsia="zh-CN"/>
          <w14:textFill>
            <w14:solidFill>
              <w14:schemeClr w14:val="tx1"/>
            </w14:solidFill>
          </w14:textFill>
        </w:rPr>
      </w:pPr>
      <w:bookmarkStart w:id="34" w:name="_Toc15420"/>
      <w:r>
        <w:rPr>
          <w:rFonts w:hint="eastAsia" w:ascii="Times New Roman" w:hAnsi="Times New Roman" w:cs="Times New Roman"/>
          <w:color w:val="000000" w:themeColor="text1"/>
          <w:szCs w:val="21"/>
          <w:highlight w:val="none"/>
          <w:lang w:val="en-US" w:eastAsia="zh-CN"/>
          <w14:textFill>
            <w14:solidFill>
              <w14:schemeClr w14:val="tx1"/>
            </w14:solidFill>
          </w14:textFill>
        </w:rPr>
        <w:t>3.</w:t>
      </w:r>
      <w:r>
        <w:rPr>
          <w:rFonts w:hint="eastAsia" w:ascii="Times New Roman" w:hAnsi="Times New Roman" w:cs="Times New Roman"/>
          <w:color w:val="000000" w:themeColor="text1"/>
          <w:szCs w:val="21"/>
          <w:highlight w:val="none"/>
          <w14:textFill>
            <w14:solidFill>
              <w14:schemeClr w14:val="tx1"/>
            </w14:solidFill>
          </w14:textFill>
        </w:rPr>
        <w:t>合同履行期限：</w:t>
      </w:r>
      <w:r>
        <w:rPr>
          <w:rFonts w:hint="eastAsia" w:ascii="Times New Roman" w:hAnsi="Times New Roman" w:cs="Times New Roman"/>
          <w:color w:val="000000" w:themeColor="text1"/>
          <w:szCs w:val="21"/>
          <w:highlight w:val="none"/>
          <w:lang w:eastAsia="zh-CN"/>
          <w14:textFill>
            <w14:solidFill>
              <w14:schemeClr w14:val="tx1"/>
            </w14:solidFill>
          </w14:textFill>
        </w:rPr>
        <w:t>自合同签订之日起一年</w:t>
      </w:r>
    </w:p>
    <w:p w14:paraId="49D82420">
      <w:pPr>
        <w:keepNext w:val="0"/>
        <w:keepLines w:val="0"/>
        <w:shd w:val="clea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4.成果交付时间要求：</w:t>
      </w:r>
      <w:r>
        <w:rPr>
          <w:rFonts w:hint="eastAsia" w:cs="宋体"/>
          <w:color w:val="000000" w:themeColor="text1"/>
          <w:kern w:val="0"/>
          <w:sz w:val="24"/>
          <w:szCs w:val="24"/>
          <w:highlight w:val="none"/>
          <w:u w:val="none"/>
          <w:lang w:val="en-US" w:eastAsia="zh-CN"/>
          <w14:textFill>
            <w14:solidFill>
              <w14:schemeClr w14:val="tx1"/>
            </w14:solidFill>
          </w14:textFill>
        </w:rPr>
        <w:t>结算审计</w:t>
      </w:r>
      <w:r>
        <w:rPr>
          <w:rFonts w:hint="eastAsia" w:ascii="宋体" w:hAnsi="宋体" w:cs="宋体"/>
          <w:color w:val="000000" w:themeColor="text1"/>
          <w:kern w:val="0"/>
          <w:sz w:val="24"/>
          <w:szCs w:val="24"/>
          <w:highlight w:val="none"/>
          <w:u w:val="none"/>
          <w14:textFill>
            <w14:solidFill>
              <w14:schemeClr w14:val="tx1"/>
            </w14:solidFill>
          </w14:textFill>
        </w:rPr>
        <w:t>接受</w:t>
      </w:r>
      <w:r>
        <w:rPr>
          <w:rFonts w:hint="eastAsia" w:ascii="宋体" w:hAnsi="宋体" w:cs="宋体"/>
          <w:color w:val="000000" w:themeColor="text1"/>
          <w:kern w:val="0"/>
          <w:sz w:val="24"/>
          <w:szCs w:val="24"/>
          <w:highlight w:val="none"/>
          <w:u w:val="none"/>
          <w:lang w:eastAsia="zh-CN"/>
          <w14:textFill>
            <w14:solidFill>
              <w14:schemeClr w14:val="tx1"/>
            </w14:solidFill>
          </w14:textFill>
        </w:rPr>
        <w:t>委托</w:t>
      </w:r>
      <w:r>
        <w:rPr>
          <w:rFonts w:hint="eastAsia" w:cs="宋体"/>
          <w:color w:val="000000" w:themeColor="text1"/>
          <w:kern w:val="0"/>
          <w:sz w:val="24"/>
          <w:szCs w:val="24"/>
          <w:highlight w:val="none"/>
          <w:u w:val="none"/>
          <w:lang w:eastAsia="zh-CN"/>
          <w14:textFill>
            <w14:solidFill>
              <w14:schemeClr w14:val="tx1"/>
            </w14:solidFill>
          </w14:textFill>
        </w:rPr>
        <w:t>后</w:t>
      </w:r>
      <w:r>
        <w:rPr>
          <w:rFonts w:hint="eastAsia" w:ascii="宋体" w:hAnsi="宋体" w:eastAsia="宋体" w:cs="宋体"/>
          <w:color w:val="000000" w:themeColor="text1"/>
          <w:kern w:val="0"/>
          <w:sz w:val="24"/>
          <w:szCs w:val="24"/>
          <w:highlight w:val="none"/>
          <w:u w:val="none"/>
          <w:lang w:eastAsia="zh-CN"/>
          <w14:textFill>
            <w14:solidFill>
              <w14:schemeClr w14:val="tx1"/>
            </w14:solidFill>
          </w14:textFill>
        </w:rPr>
        <w:t>，</w:t>
      </w:r>
      <w:r>
        <w:rPr>
          <w:rFonts w:hint="eastAsia" w:cs="宋体"/>
          <w:color w:val="000000" w:themeColor="text1"/>
          <w:kern w:val="0"/>
          <w:sz w:val="24"/>
          <w:szCs w:val="24"/>
          <w:highlight w:val="none"/>
          <w:u w:val="none"/>
          <w:lang w:val="en-US" w:eastAsia="zh-CN"/>
          <w14:textFill>
            <w14:solidFill>
              <w14:schemeClr w14:val="tx1"/>
            </w14:solidFill>
          </w14:textFill>
        </w:rPr>
        <w:t>7个工作日</w:t>
      </w:r>
      <w:r>
        <w:rPr>
          <w:rFonts w:hint="eastAsia" w:cs="宋体"/>
          <w:color w:val="000000" w:themeColor="text1"/>
          <w:kern w:val="0"/>
          <w:sz w:val="24"/>
          <w:szCs w:val="24"/>
          <w:highlight w:val="none"/>
          <w:u w:val="none"/>
          <w:lang w:eastAsia="zh-CN"/>
          <w14:textFill>
            <w14:solidFill>
              <w14:schemeClr w14:val="tx1"/>
            </w14:solidFill>
          </w14:textFill>
        </w:rPr>
        <w:t>内完成结算审计并出具成果文件，</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否则扣除咨询服务费1000元/次。</w:t>
      </w:r>
    </w:p>
    <w:p w14:paraId="34A5A02E">
      <w:pPr>
        <w:shd w:val="clear"/>
        <w:tabs>
          <w:tab w:val="left" w:pos="567"/>
        </w:tabs>
        <w:spacing w:line="360" w:lineRule="auto"/>
        <w:ind w:firstLine="480" w:firstLineChars="200"/>
        <w:rPr>
          <w:rFonts w:hint="eastAsia"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4.报价须知：</w:t>
      </w:r>
    </w:p>
    <w:p w14:paraId="3E3CC12A">
      <w:pPr>
        <w:shd w:val="clear"/>
        <w:tabs>
          <w:tab w:val="left" w:pos="567"/>
        </w:tabs>
        <w:spacing w:line="360" w:lineRule="auto"/>
        <w:ind w:firstLine="480" w:firstLineChars="200"/>
        <w:rPr>
          <w:rFonts w:ascii="Times New Roman" w:hAnsi="Times New Roman" w:cs="Times New Roman"/>
          <w:color w:val="000000" w:themeColor="text1"/>
          <w:szCs w:val="21"/>
          <w:highlight w:val="none"/>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（1）</w:t>
      </w:r>
      <w:r>
        <w:rPr>
          <w:rFonts w:hint="eastAsia" w:ascii="Times New Roman" w:hAnsi="Times New Roman" w:cs="Times New Roman"/>
          <w:color w:val="000000" w:themeColor="text1"/>
          <w:szCs w:val="21"/>
          <w:highlight w:val="none"/>
          <w:lang w:eastAsia="zh-CN"/>
          <w14:textFill>
            <w14:solidFill>
              <w14:schemeClr w14:val="tx1"/>
            </w14:solidFill>
          </w14:textFill>
        </w:rPr>
        <w:t>本项目</w:t>
      </w:r>
      <w:r>
        <w:rPr>
          <w:rFonts w:hint="eastAsia" w:cs="宋体"/>
          <w:color w:val="000000" w:themeColor="text1"/>
          <w:highlight w:val="none"/>
          <w:lang w:eastAsia="zh-CN"/>
          <w14:textFill>
            <w14:solidFill>
              <w14:schemeClr w14:val="tx1"/>
            </w14:solidFill>
          </w14:textFill>
        </w:rPr>
        <w:t>工程计费基数暂按</w:t>
      </w:r>
      <w:r>
        <w:rPr>
          <w:rFonts w:hint="eastAsia" w:cs="宋体"/>
          <w:color w:val="000000" w:themeColor="text1"/>
          <w:highlight w:val="none"/>
          <w:lang w:val="en-US" w:eastAsia="zh-CN"/>
          <w14:textFill>
            <w14:solidFill>
              <w14:schemeClr w14:val="tx1"/>
            </w14:solidFill>
          </w14:textFill>
        </w:rPr>
        <w:t>2000万元，效益收费计费基数暂按10%即200万元。</w:t>
      </w:r>
    </w:p>
    <w:p w14:paraId="2EF3B74E">
      <w:pPr>
        <w:keepNext w:val="0"/>
        <w:keepLines w:val="0"/>
        <w:pageBreakBefore w:val="0"/>
        <w:widowControl w:val="0"/>
        <w:shd w:val="clear"/>
        <w:kinsoku/>
        <w:wordWrap/>
        <w:overflowPunct/>
        <w:topLinePunct w:val="0"/>
        <w:autoSpaceDE w:val="0"/>
        <w:autoSpaceDN w:val="0"/>
        <w:bidi w:val="0"/>
        <w:adjustRightInd/>
        <w:snapToGrid/>
        <w:spacing w:after="0" w:line="360" w:lineRule="auto"/>
        <w:ind w:firstLine="480"/>
        <w:textAlignment w:val="auto"/>
        <w:rPr>
          <w:rFonts w:hint="eastAsia"/>
          <w:color w:val="000000" w:themeColor="text1"/>
          <w:highlight w:val="none"/>
          <w:lang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（2）本项目设有保底收费，不足1000元按1000元计取，最终结算时保底收费=1000*中标费率。</w:t>
      </w:r>
      <w:r>
        <w:rPr>
          <w:rFonts w:hint="eastAsia"/>
          <w:color w:val="000000" w:themeColor="text1"/>
          <w:highlight w:val="none"/>
          <w:lang w:eastAsia="zh-CN"/>
          <w14:textFill>
            <w14:solidFill>
              <w14:schemeClr w14:val="tx1"/>
            </w14:solidFill>
          </w14:textFill>
        </w:rPr>
        <w:t>效益收费按中标费率同比例下浮。</w:t>
      </w:r>
    </w:p>
    <w:p w14:paraId="1E6B0DD8">
      <w:pPr>
        <w:shd w:val="clear"/>
        <w:tabs>
          <w:tab w:val="left" w:pos="567"/>
        </w:tabs>
        <w:spacing w:line="360" w:lineRule="auto"/>
        <w:ind w:firstLine="480" w:firstLineChars="200"/>
        <w:rPr>
          <w:rFonts w:hint="default" w:ascii="Times New Roman" w:hAnsi="Times New Roman" w:cs="Times New Roman"/>
          <w:color w:val="000000" w:themeColor="text1"/>
          <w:szCs w:val="21"/>
          <w:highlight w:val="none"/>
          <w:lang w:val="en-US"/>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5.</w:t>
      </w:r>
      <w:r>
        <w:rPr>
          <w:rFonts w:hint="eastAsia" w:ascii="Times New Roman" w:hAnsi="Times New Roman" w:cs="Times New Roman"/>
          <w:color w:val="000000" w:themeColor="text1"/>
          <w:szCs w:val="21"/>
          <w:highlight w:val="none"/>
          <w14:textFill>
            <w14:solidFill>
              <w14:schemeClr w14:val="tx1"/>
            </w14:solidFill>
          </w14:textFill>
        </w:rPr>
        <w:t>付款条件：</w:t>
      </w:r>
      <w:r>
        <w:rPr>
          <w:rFonts w:hint="eastAsia" w:ascii="Times New Roman" w:hAnsi="Times New Roman" w:cs="Times New Roman"/>
          <w:color w:val="000000" w:themeColor="text1"/>
          <w:szCs w:val="21"/>
          <w:highlight w:val="none"/>
          <w:lang w:eastAsia="zh-CN"/>
          <w14:textFill>
            <w14:solidFill>
              <w14:schemeClr w14:val="tx1"/>
            </w14:solidFill>
          </w14:textFill>
        </w:rPr>
        <w:t>按实结算，每半年</w:t>
      </w:r>
      <w:r>
        <w:rPr>
          <w:rFonts w:hint="eastAsia" w:ascii="Times New Roman" w:hAnsi="Times New Roman" w:cs="Times New Roman"/>
          <w:color w:val="000000" w:themeColor="text1"/>
          <w:szCs w:val="21"/>
          <w:highlight w:val="none"/>
          <w14:textFill>
            <w14:solidFill>
              <w14:schemeClr w14:val="tx1"/>
            </w14:solidFill>
          </w14:textFill>
        </w:rPr>
        <w:t>支付</w:t>
      </w:r>
      <w:r>
        <w:rPr>
          <w:rFonts w:hint="eastAsia" w:ascii="Times New Roman" w:hAnsi="Times New Roman" w:cs="Times New Roman"/>
          <w:color w:val="000000" w:themeColor="text1"/>
          <w:szCs w:val="21"/>
          <w:highlight w:val="none"/>
          <w:lang w:eastAsia="zh-CN"/>
          <w14:textFill>
            <w14:solidFill>
              <w14:schemeClr w14:val="tx1"/>
            </w14:solidFill>
          </w14:textFill>
        </w:rPr>
        <w:t>一次，经双方确认后支付已完工作量审计费。若审计核减额超过</w:t>
      </w:r>
      <w:r>
        <w:rPr>
          <w:rFonts w:hint="eastAsia" w:ascii="Times New Roman" w:hAnsi="Times New Roman" w:cs="Times New Roman"/>
          <w:color w:val="000000" w:themeColor="text1"/>
          <w:szCs w:val="21"/>
          <w:highlight w:val="none"/>
          <w:lang w:val="en-US" w:eastAsia="zh-CN"/>
          <w14:textFill>
            <w14:solidFill>
              <w14:schemeClr w14:val="tx1"/>
            </w14:solidFill>
          </w14:textFill>
        </w:rPr>
        <w:t>10%（不含），该审计费用由被审计单位支付。</w:t>
      </w:r>
    </w:p>
    <w:p w14:paraId="3FCEA6AE">
      <w:pPr>
        <w:shd w:val="clear"/>
        <w:tabs>
          <w:tab w:val="left" w:pos="567"/>
        </w:tabs>
        <w:spacing w:line="360" w:lineRule="auto"/>
        <w:ind w:firstLine="480" w:firstLineChars="200"/>
        <w:rPr>
          <w:rFonts w:hint="eastAsia" w:ascii="Times New Roman" w:hAnsi="Times New Roman" w:cs="Times New Roman"/>
          <w:color w:val="000000" w:themeColor="text1"/>
          <w:szCs w:val="21"/>
          <w:highlight w:val="none"/>
          <w14:textFill>
            <w14:solidFill>
              <w14:schemeClr w14:val="tx1"/>
            </w14:solidFill>
          </w14:textFill>
        </w:rPr>
      </w:pPr>
    </w:p>
    <w:p w14:paraId="73CE1BC8">
      <w:pPr>
        <w:pStyle w:val="36"/>
        <w:shd w:val="clear"/>
        <w:jc w:val="left"/>
        <w:rPr>
          <w:rFonts w:hint="default"/>
          <w:b/>
          <w:bCs/>
          <w:color w:val="000000" w:themeColor="text1"/>
          <w:sz w:val="32"/>
          <w:szCs w:val="32"/>
          <w:highlight w:val="none"/>
          <w:lang w:val="en-US" w:eastAsia="zh-CN"/>
          <w14:textFill>
            <w14:solidFill>
              <w14:schemeClr w14:val="tx1"/>
            </w14:solidFill>
          </w14:textFill>
        </w:rPr>
      </w:pPr>
      <w:r>
        <w:rPr>
          <w:rFonts w:hint="eastAsia"/>
          <w:b/>
          <w:bCs/>
          <w:color w:val="000000" w:themeColor="text1"/>
          <w:sz w:val="32"/>
          <w:szCs w:val="32"/>
          <w:highlight w:val="none"/>
          <w:lang w:val="en-US" w:eastAsia="zh-CN"/>
          <w14:textFill>
            <w14:solidFill>
              <w14:schemeClr w14:val="tx1"/>
            </w14:solidFill>
          </w14:textFill>
        </w:rPr>
        <w:t>本章（第四章）均为实质性要求，投标供应商需在偏离表中逐一响应，否则按废标处理。</w:t>
      </w:r>
    </w:p>
    <w:p w14:paraId="0C277A51">
      <w:pPr>
        <w:shd w:val="clear"/>
        <w:spacing w:line="360" w:lineRule="auto"/>
        <w:ind w:firstLine="482" w:firstLineChars="200"/>
        <w:rPr>
          <w:rFonts w:hint="default" w:ascii="Arial" w:hAnsi="Arial" w:eastAsia="宋体" w:cs="Arial"/>
          <w:b/>
          <w:bCs/>
          <w:color w:val="000000" w:themeColor="text1"/>
          <w:szCs w:val="21"/>
          <w:highlight w:val="none"/>
          <w:lang w:val="en-US" w:eastAsia="zh-CN"/>
          <w14:textFill>
            <w14:solidFill>
              <w14:schemeClr w14:val="tx1"/>
            </w14:solidFill>
          </w14:textFill>
        </w:rPr>
      </w:pPr>
    </w:p>
    <w:p w14:paraId="5A50D47B">
      <w:pPr>
        <w:shd w:val="clea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br w:type="page"/>
      </w:r>
    </w:p>
    <w:bookmarkEnd w:id="34"/>
    <w:p w14:paraId="7859503F">
      <w:pPr>
        <w:pStyle w:val="2"/>
        <w:shd w:val="clear"/>
        <w:rPr>
          <w:rFonts w:hint="eastAsia" w:ascii="宋体" w:hAnsi="宋体" w:eastAsia="宋体" w:cs="宋体"/>
          <w:color w:val="000000" w:themeColor="text1"/>
          <w:highlight w:val="none"/>
          <w14:textFill>
            <w14:solidFill>
              <w14:schemeClr w14:val="tx1"/>
            </w14:solidFill>
          </w14:textFill>
        </w:rPr>
      </w:pPr>
      <w:bookmarkStart w:id="35" w:name="OLE_LINK3"/>
      <w:r>
        <w:rPr>
          <w:rFonts w:hint="eastAsia" w:ascii="宋体" w:hAnsi="宋体" w:eastAsia="宋体" w:cs="宋体"/>
          <w:color w:val="000000" w:themeColor="text1"/>
          <w:highlight w:val="none"/>
          <w14:textFill>
            <w14:solidFill>
              <w14:schemeClr w14:val="tx1"/>
            </w14:solidFill>
          </w14:textFill>
        </w:rPr>
        <w:t>第五章  合同主要条款及格式</w:t>
      </w:r>
    </w:p>
    <w:p w14:paraId="5BFD91F2">
      <w:pPr>
        <w:shd w:val="clear"/>
        <w:ind w:firstLine="480"/>
        <w:rPr>
          <w:rFonts w:hint="eastAsia" w:ascii="宋体" w:hAnsi="宋体" w:eastAsia="宋体" w:cs="宋体"/>
          <w:color w:val="000000" w:themeColor="text1"/>
          <w:highlight w:val="none"/>
          <w14:textFill>
            <w14:solidFill>
              <w14:schemeClr w14:val="tx1"/>
            </w14:solidFill>
          </w14:textFill>
        </w:rPr>
      </w:pPr>
      <w:bookmarkStart w:id="36" w:name="_Toc16938559"/>
      <w:bookmarkStart w:id="37" w:name="_Toc513029243"/>
      <w:bookmarkStart w:id="38" w:name="_Toc20823315"/>
      <w:r>
        <w:rPr>
          <w:rFonts w:hint="eastAsia" w:ascii="宋体" w:hAnsi="宋体" w:eastAsia="宋体" w:cs="宋体"/>
          <w:color w:val="000000" w:themeColor="text1"/>
          <w:highlight w:val="none"/>
          <w14:textFill>
            <w14:solidFill>
              <w14:schemeClr w14:val="tx1"/>
            </w14:solidFill>
          </w14:textFill>
        </w:rPr>
        <w:t>以下为中标后签订本项目合同的通用条款，中标人不得提出实质性的修改，关于专用条款将由采购人与中标人结合本项目具体情况协商后签订。</w:t>
      </w:r>
    </w:p>
    <w:bookmarkEnd w:id="35"/>
    <w:bookmarkEnd w:id="36"/>
    <w:bookmarkEnd w:id="37"/>
    <w:bookmarkEnd w:id="38"/>
    <w:p w14:paraId="048F05A7">
      <w:pPr>
        <w:shd w:val="clear"/>
        <w:ind w:left="0" w:leftChars="0" w:right="19" w:rightChars="8" w:firstLine="0" w:firstLineChars="0"/>
        <w:rPr>
          <w:rFonts w:hint="eastAsia" w:ascii="宋体" w:hAnsi="宋体"/>
          <w:b/>
          <w:color w:val="000000" w:themeColor="text1"/>
          <w:szCs w:val="24"/>
          <w:highlight w:val="none"/>
          <w:u w:val="singl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委托人：</w:t>
      </w:r>
    </w:p>
    <w:p w14:paraId="1190213D">
      <w:pPr>
        <w:shd w:val="clear"/>
        <w:ind w:left="1200" w:right="19" w:rightChars="8" w:hanging="1200" w:hangingChars="500"/>
        <w:rPr>
          <w:rFonts w:hint="eastAsia" w:ascii="宋体" w:hAnsi="宋体"/>
          <w:color w:val="000000" w:themeColor="text1"/>
          <w:szCs w:val="24"/>
          <w:highlight w:val="none"/>
          <w:u w:val="singl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咨询人：</w:t>
      </w:r>
      <w:r>
        <w:rPr>
          <w:rFonts w:hint="eastAsia" w:ascii="宋体" w:hAnsi="宋体"/>
          <w:b/>
          <w:color w:val="000000" w:themeColor="text1"/>
          <w:szCs w:val="24"/>
          <w:highlight w:val="none"/>
          <w:u w:val="single"/>
          <w:lang w:eastAsia="zh-CN"/>
          <w14:textFill>
            <w14:solidFill>
              <w14:schemeClr w14:val="tx1"/>
            </w14:solidFill>
          </w14:textFill>
        </w:rPr>
        <w:t xml:space="preserve">                                    </w:t>
      </w:r>
    </w:p>
    <w:p w14:paraId="67EE3584">
      <w:pPr>
        <w:shd w:val="clear"/>
        <w:ind w:right="19" w:rightChars="8" w:firstLine="480" w:firstLineChars="20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依据《中华人民共和国民法典》及工程造价相关管理规定，经过双方协商一致，签订本合同。</w:t>
      </w:r>
    </w:p>
    <w:p w14:paraId="32D12053">
      <w:pPr>
        <w:shd w:val="clear"/>
        <w:ind w:right="19" w:rightChars="8" w:firstLine="482" w:firstLineChars="20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一、</w:t>
      </w:r>
      <w:r>
        <w:rPr>
          <w:rFonts w:hint="eastAsia" w:ascii="宋体" w:hAnsi="宋体"/>
          <w:color w:val="000000" w:themeColor="text1"/>
          <w:szCs w:val="24"/>
          <w:highlight w:val="none"/>
          <w:lang w:eastAsia="zh-CN"/>
          <w14:textFill>
            <w14:solidFill>
              <w14:schemeClr w14:val="tx1"/>
            </w14:solidFill>
          </w14:textFill>
        </w:rPr>
        <w:t>委托人委托咨询人为以下项目提供建设工程造价咨询服务：</w:t>
      </w:r>
    </w:p>
    <w:p w14:paraId="586E096D">
      <w:pPr>
        <w:shd w:val="clear"/>
        <w:jc w:val="both"/>
        <w:rPr>
          <w:rFonts w:hint="eastAsia" w:ascii="宋体" w:hAnsi="宋体"/>
          <w:color w:val="000000" w:themeColor="text1"/>
          <w:szCs w:val="24"/>
          <w:highlight w:val="none"/>
          <w:u w:val="singl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1．项目名称：</w:t>
      </w:r>
      <w:r>
        <w:rPr>
          <w:rFonts w:hint="eastAsia" w:ascii="宋体" w:hAnsi="宋体"/>
          <w:color w:val="000000" w:themeColor="text1"/>
          <w:szCs w:val="24"/>
          <w:highlight w:val="none"/>
          <w:u w:val="single"/>
          <w:lang w:eastAsia="zh-CN"/>
          <w14:textFill>
            <w14:solidFill>
              <w14:schemeClr w14:val="tx1"/>
            </w14:solidFill>
          </w14:textFill>
        </w:rPr>
        <w:t xml:space="preserve">　         </w:t>
      </w:r>
    </w:p>
    <w:p w14:paraId="6603CA91">
      <w:pPr>
        <w:shd w:val="clear"/>
        <w:ind w:right="19" w:rightChars="8" w:firstLine="480" w:firstLineChars="200"/>
        <w:rPr>
          <w:rFonts w:hint="eastAsia" w:ascii="宋体" w:hAnsi="宋体"/>
          <w:color w:val="000000" w:themeColor="text1"/>
          <w:szCs w:val="24"/>
          <w:highlight w:val="none"/>
          <w:u w:val="singl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2．建设地点：</w:t>
      </w:r>
      <w:r>
        <w:rPr>
          <w:rFonts w:hint="eastAsia" w:ascii="宋体" w:hAnsi="宋体"/>
          <w:color w:val="000000" w:themeColor="text1"/>
          <w:szCs w:val="24"/>
          <w:highlight w:val="none"/>
          <w:u w:val="single"/>
          <w:lang w:eastAsia="zh-CN"/>
          <w14:textFill>
            <w14:solidFill>
              <w14:schemeClr w14:val="tx1"/>
            </w14:solidFill>
          </w14:textFill>
        </w:rPr>
        <w:t xml:space="preserve">　         </w:t>
      </w:r>
    </w:p>
    <w:p w14:paraId="0A02E73D">
      <w:pPr>
        <w:shd w:val="clear"/>
        <w:ind w:right="19" w:rightChars="8" w:firstLine="480" w:firstLineChars="20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3．资金来源：</w:t>
      </w:r>
      <w:r>
        <w:rPr>
          <w:rFonts w:hint="eastAsia" w:ascii="宋体" w:hAnsi="宋体"/>
          <w:color w:val="000000" w:themeColor="text1"/>
          <w:szCs w:val="24"/>
          <w:highlight w:val="none"/>
          <w:u w:val="single"/>
          <w:lang w:eastAsia="zh-CN"/>
          <w14:textFill>
            <w14:solidFill>
              <w14:schemeClr w14:val="tx1"/>
            </w14:solidFill>
          </w14:textFill>
        </w:rPr>
        <w:t xml:space="preserve">　         </w:t>
      </w:r>
    </w:p>
    <w:p w14:paraId="08060925">
      <w:pPr>
        <w:shd w:val="clear"/>
        <w:ind w:right="19" w:rightChars="8" w:firstLine="480" w:firstLineChars="200"/>
        <w:rPr>
          <w:rFonts w:hint="eastAsia" w:ascii="宋体" w:hAnsi="宋体"/>
          <w:color w:val="000000" w:themeColor="text1"/>
          <w:szCs w:val="24"/>
          <w:highlight w:val="none"/>
          <w:u w:val="singl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4．项目规模：</w:t>
      </w:r>
      <w:r>
        <w:rPr>
          <w:rFonts w:hint="eastAsia" w:ascii="宋体" w:hAnsi="宋体"/>
          <w:color w:val="000000" w:themeColor="text1"/>
          <w:szCs w:val="24"/>
          <w:highlight w:val="none"/>
          <w:u w:val="single"/>
          <w:lang w:eastAsia="zh-CN"/>
          <w14:textFill>
            <w14:solidFill>
              <w14:schemeClr w14:val="tx1"/>
            </w14:solidFill>
          </w14:textFill>
        </w:rPr>
        <w:t xml:space="preserve">　         </w:t>
      </w:r>
    </w:p>
    <w:p w14:paraId="76604E2B">
      <w:pPr>
        <w:shd w:val="clear"/>
        <w:ind w:right="19" w:rightChars="8" w:firstLine="480" w:firstLineChars="200"/>
        <w:rPr>
          <w:rFonts w:hint="eastAsia" w:ascii="宋体" w:hAnsi="宋体"/>
          <w:color w:val="000000" w:themeColor="text1"/>
          <w:szCs w:val="24"/>
          <w:highlight w:val="none"/>
          <w:u w:val="singl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5．咨询业务范围及内容：</w:t>
      </w:r>
      <w:r>
        <w:rPr>
          <w:rFonts w:hint="eastAsia" w:ascii="宋体" w:hAnsi="宋体"/>
          <w:color w:val="000000" w:themeColor="text1"/>
          <w:szCs w:val="24"/>
          <w:highlight w:val="none"/>
          <w:u w:val="single"/>
          <w:lang w:eastAsia="zh-CN"/>
          <w14:textFill>
            <w14:solidFill>
              <w14:schemeClr w14:val="tx1"/>
            </w14:solidFill>
          </w14:textFill>
        </w:rPr>
        <w:t xml:space="preserve">　         </w:t>
      </w:r>
    </w:p>
    <w:p w14:paraId="58CB80F1">
      <w:pPr>
        <w:shd w:val="clear"/>
        <w:ind w:right="19" w:rightChars="8" w:firstLine="482" w:firstLineChars="20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二、</w:t>
      </w:r>
      <w:r>
        <w:rPr>
          <w:rFonts w:hint="eastAsia" w:ascii="宋体" w:hAnsi="宋体"/>
          <w:color w:val="000000" w:themeColor="text1"/>
          <w:szCs w:val="24"/>
          <w:highlight w:val="none"/>
          <w:lang w:eastAsia="zh-CN"/>
          <w14:textFill>
            <w14:solidFill>
              <w14:schemeClr w14:val="tx1"/>
            </w14:solidFill>
          </w14:textFill>
        </w:rPr>
        <w:t>本协议书的措词和用语与所属建设工程造价咨询合同通用条款赋予的定义相同。</w:t>
      </w:r>
    </w:p>
    <w:p w14:paraId="03A86BD4">
      <w:pPr>
        <w:shd w:val="clear"/>
        <w:ind w:right="19" w:rightChars="8" w:firstLine="482" w:firstLineChars="20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三、</w:t>
      </w:r>
      <w:r>
        <w:rPr>
          <w:rFonts w:hint="eastAsia" w:ascii="宋体" w:hAnsi="宋体"/>
          <w:color w:val="000000" w:themeColor="text1"/>
          <w:szCs w:val="24"/>
          <w:highlight w:val="none"/>
          <w:lang w:eastAsia="zh-CN"/>
          <w14:textFill>
            <w14:solidFill>
              <w14:schemeClr w14:val="tx1"/>
            </w14:solidFill>
          </w14:textFill>
        </w:rPr>
        <w:t>本合同的组成部分及解释顺序为：</w:t>
      </w:r>
    </w:p>
    <w:p w14:paraId="2A61A7BC">
      <w:pPr>
        <w:shd w:val="clear"/>
        <w:ind w:right="19" w:rightChars="8" w:firstLine="480" w:firstLineChars="20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1、建设工程造价咨询协议书；</w:t>
      </w:r>
    </w:p>
    <w:p w14:paraId="006FF9E1">
      <w:pPr>
        <w:shd w:val="clear"/>
        <w:ind w:right="19" w:rightChars="8" w:firstLine="480" w:firstLineChars="20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2、建设工程造价咨询合同专用条款；</w:t>
      </w:r>
    </w:p>
    <w:p w14:paraId="47DF346D">
      <w:pPr>
        <w:shd w:val="clear"/>
        <w:ind w:right="19" w:rightChars="8" w:firstLine="480" w:firstLineChars="20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3、建设工程造价咨询合同通用条款；</w:t>
      </w:r>
    </w:p>
    <w:p w14:paraId="257E7B69">
      <w:pPr>
        <w:shd w:val="clear"/>
        <w:ind w:right="19" w:rightChars="8" w:firstLine="480" w:firstLineChars="20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4、建设工程造价咨询合同履行中共同签署的补充文件；</w:t>
      </w:r>
    </w:p>
    <w:p w14:paraId="4B0D9860">
      <w:pPr>
        <w:shd w:val="clear"/>
        <w:ind w:right="19" w:rightChars="8" w:firstLine="480" w:firstLineChars="20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5、通过招标方式获得咨询业务的，还包括下列资料：</w:t>
      </w:r>
    </w:p>
    <w:p w14:paraId="0BFC5E9E">
      <w:pPr>
        <w:shd w:val="clear"/>
        <w:ind w:right="19" w:rightChars="8" w:firstLine="480" w:firstLineChars="20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（1）招标文件；</w:t>
      </w:r>
    </w:p>
    <w:p w14:paraId="1295F3D6">
      <w:pPr>
        <w:shd w:val="clear"/>
        <w:ind w:right="19" w:rightChars="8" w:firstLine="480" w:firstLineChars="20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（2）投标书及其附件；</w:t>
      </w:r>
    </w:p>
    <w:p w14:paraId="37A42988">
      <w:pPr>
        <w:shd w:val="clear"/>
        <w:ind w:right="19" w:rightChars="8" w:firstLine="480" w:firstLineChars="20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（3）中标通知书。</w:t>
      </w:r>
    </w:p>
    <w:p w14:paraId="626497E8">
      <w:pPr>
        <w:shd w:val="clear"/>
        <w:ind w:right="19" w:rightChars="8" w:firstLine="472" w:firstLineChars="196"/>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四</w:t>
      </w:r>
      <w:r>
        <w:rPr>
          <w:rFonts w:hint="eastAsia" w:ascii="宋体" w:hAnsi="宋体"/>
          <w:color w:val="000000" w:themeColor="text1"/>
          <w:szCs w:val="24"/>
          <w:highlight w:val="none"/>
          <w:lang w:eastAsia="zh-CN"/>
          <w14:textFill>
            <w14:solidFill>
              <w14:schemeClr w14:val="tx1"/>
            </w14:solidFill>
          </w14:textFill>
        </w:rPr>
        <w:t>、咨询人同意按照本合同的约定，承担本合同专用条款中约定范围内的建设工程造价咨询业务。</w:t>
      </w:r>
    </w:p>
    <w:p w14:paraId="627A9CF9">
      <w:pPr>
        <w:shd w:val="clear"/>
        <w:ind w:right="19" w:rightChars="8" w:firstLine="482" w:firstLineChars="20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五、</w:t>
      </w:r>
      <w:r>
        <w:rPr>
          <w:rFonts w:hint="eastAsia" w:ascii="宋体" w:hAnsi="宋体"/>
          <w:color w:val="000000" w:themeColor="text1"/>
          <w:szCs w:val="24"/>
          <w:highlight w:val="none"/>
          <w:lang w:eastAsia="zh-CN"/>
          <w14:textFill>
            <w14:solidFill>
              <w14:schemeClr w14:val="tx1"/>
            </w14:solidFill>
          </w14:textFill>
        </w:rPr>
        <w:t>委托人同意按照专用条款中约定的期限、方式、币种和额度向咨询人支付酬金。</w:t>
      </w:r>
    </w:p>
    <w:p w14:paraId="46AF6B52">
      <w:pPr>
        <w:shd w:val="clear"/>
        <w:ind w:right="19" w:rightChars="8"/>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 xml:space="preserve">    六、</w:t>
      </w:r>
      <w:r>
        <w:rPr>
          <w:rFonts w:hint="eastAsia" w:ascii="宋体" w:hAnsi="宋体"/>
          <w:color w:val="000000" w:themeColor="text1"/>
          <w:szCs w:val="24"/>
          <w:highlight w:val="none"/>
          <w:lang w:eastAsia="zh-CN"/>
          <w14:textFill>
            <w14:solidFill>
              <w14:schemeClr w14:val="tx1"/>
            </w14:solidFill>
          </w14:textFill>
        </w:rPr>
        <w:t>本合同的建设工程造价咨询业务自</w:t>
      </w:r>
      <w:r>
        <w:rPr>
          <w:rFonts w:hint="eastAsia" w:ascii="宋体" w:hAnsi="宋体"/>
          <w:color w:val="000000" w:themeColor="text1"/>
          <w:szCs w:val="24"/>
          <w:highlight w:val="none"/>
          <w:u w:val="single"/>
          <w:lang w:eastAsia="zh-CN"/>
          <w14:textFill>
            <w14:solidFill>
              <w14:schemeClr w14:val="tx1"/>
            </w14:solidFill>
          </w14:textFill>
        </w:rPr>
        <w:t xml:space="preserve">  </w:t>
      </w:r>
      <w:r>
        <w:rPr>
          <w:rFonts w:hint="eastAsia" w:ascii="宋体" w:hAnsi="宋体"/>
          <w:color w:val="000000" w:themeColor="text1"/>
          <w:szCs w:val="24"/>
          <w:highlight w:val="none"/>
          <w:lang w:eastAsia="zh-CN"/>
          <w14:textFill>
            <w14:solidFill>
              <w14:schemeClr w14:val="tx1"/>
            </w14:solidFill>
          </w14:textFill>
        </w:rPr>
        <w:t>年</w:t>
      </w:r>
      <w:r>
        <w:rPr>
          <w:rFonts w:hint="eastAsia" w:ascii="宋体" w:hAnsi="宋体"/>
          <w:color w:val="000000" w:themeColor="text1"/>
          <w:szCs w:val="24"/>
          <w:highlight w:val="none"/>
          <w:u w:val="single"/>
          <w:lang w:eastAsia="zh-CN"/>
          <w14:textFill>
            <w14:solidFill>
              <w14:schemeClr w14:val="tx1"/>
            </w14:solidFill>
          </w14:textFill>
        </w:rPr>
        <w:t xml:space="preserve">  </w:t>
      </w:r>
      <w:r>
        <w:rPr>
          <w:rFonts w:hint="eastAsia" w:ascii="宋体" w:hAnsi="宋体"/>
          <w:color w:val="000000" w:themeColor="text1"/>
          <w:szCs w:val="24"/>
          <w:highlight w:val="none"/>
          <w:lang w:eastAsia="zh-CN"/>
          <w14:textFill>
            <w14:solidFill>
              <w14:schemeClr w14:val="tx1"/>
            </w14:solidFill>
          </w14:textFill>
        </w:rPr>
        <w:t>月至</w:t>
      </w:r>
      <w:r>
        <w:rPr>
          <w:rFonts w:hint="eastAsia" w:ascii="宋体" w:hAnsi="宋体"/>
          <w:color w:val="000000" w:themeColor="text1"/>
          <w:szCs w:val="24"/>
          <w:highlight w:val="none"/>
          <w:u w:val="single"/>
          <w:lang w:eastAsia="zh-CN"/>
          <w14:textFill>
            <w14:solidFill>
              <w14:schemeClr w14:val="tx1"/>
            </w14:solidFill>
          </w14:textFill>
        </w:rPr>
        <w:t xml:space="preserve"> </w:t>
      </w:r>
      <w:r>
        <w:rPr>
          <w:rFonts w:hint="eastAsia" w:ascii="宋体" w:hAnsi="宋体"/>
          <w:color w:val="000000" w:themeColor="text1"/>
          <w:szCs w:val="24"/>
          <w:highlight w:val="none"/>
          <w:lang w:eastAsia="zh-CN"/>
          <w14:textFill>
            <w14:solidFill>
              <w14:schemeClr w14:val="tx1"/>
            </w14:solidFill>
          </w14:textFill>
        </w:rPr>
        <w:t>年</w:t>
      </w:r>
      <w:r>
        <w:rPr>
          <w:rFonts w:hint="eastAsia" w:ascii="宋体" w:hAnsi="宋体"/>
          <w:color w:val="000000" w:themeColor="text1"/>
          <w:szCs w:val="24"/>
          <w:highlight w:val="none"/>
          <w:u w:val="single"/>
          <w:lang w:eastAsia="zh-CN"/>
          <w14:textFill>
            <w14:solidFill>
              <w14:schemeClr w14:val="tx1"/>
            </w14:solidFill>
          </w14:textFill>
        </w:rPr>
        <w:t xml:space="preserve">   </w:t>
      </w:r>
      <w:r>
        <w:rPr>
          <w:rFonts w:hint="eastAsia" w:ascii="宋体" w:hAnsi="宋体"/>
          <w:color w:val="000000" w:themeColor="text1"/>
          <w:szCs w:val="24"/>
          <w:highlight w:val="none"/>
          <w:lang w:eastAsia="zh-CN"/>
          <w14:textFill>
            <w14:solidFill>
              <w14:schemeClr w14:val="tx1"/>
            </w14:solidFill>
          </w14:textFill>
        </w:rPr>
        <w:t>月。</w:t>
      </w:r>
    </w:p>
    <w:p w14:paraId="0E093D53">
      <w:pPr>
        <w:shd w:val="clear"/>
        <w:ind w:right="19" w:rightChars="8"/>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 xml:space="preserve">   </w:t>
      </w:r>
      <w:r>
        <w:rPr>
          <w:rFonts w:hint="eastAsia" w:ascii="宋体" w:hAnsi="宋体"/>
          <w:b/>
          <w:color w:val="000000" w:themeColor="text1"/>
          <w:szCs w:val="24"/>
          <w:highlight w:val="none"/>
          <w:lang w:eastAsia="zh-CN"/>
          <w14:textFill>
            <w14:solidFill>
              <w14:schemeClr w14:val="tx1"/>
            </w14:solidFill>
          </w14:textFill>
        </w:rPr>
        <w:t xml:space="preserve"> 七、</w:t>
      </w:r>
      <w:r>
        <w:rPr>
          <w:rFonts w:hint="eastAsia" w:ascii="宋体" w:hAnsi="宋体"/>
          <w:color w:val="000000" w:themeColor="text1"/>
          <w:szCs w:val="24"/>
          <w:highlight w:val="none"/>
          <w:lang w:eastAsia="zh-CN"/>
          <w14:textFill>
            <w14:solidFill>
              <w14:schemeClr w14:val="tx1"/>
            </w14:solidFill>
          </w14:textFill>
        </w:rPr>
        <w:t>本合同一式</w:t>
      </w:r>
      <w:r>
        <w:rPr>
          <w:rFonts w:hint="eastAsia" w:ascii="宋体" w:hAnsi="宋体"/>
          <w:color w:val="000000" w:themeColor="text1"/>
          <w:szCs w:val="24"/>
          <w:highlight w:val="none"/>
          <w:u w:val="single"/>
          <w:lang w:eastAsia="zh-CN"/>
          <w14:textFill>
            <w14:solidFill>
              <w14:schemeClr w14:val="tx1"/>
            </w14:solidFill>
          </w14:textFill>
        </w:rPr>
        <w:t>捌</w:t>
      </w:r>
      <w:r>
        <w:rPr>
          <w:rFonts w:hint="eastAsia" w:ascii="宋体" w:hAnsi="宋体"/>
          <w:color w:val="000000" w:themeColor="text1"/>
          <w:szCs w:val="24"/>
          <w:highlight w:val="none"/>
          <w:lang w:eastAsia="zh-CN"/>
          <w14:textFill>
            <w14:solidFill>
              <w14:schemeClr w14:val="tx1"/>
            </w14:solidFill>
          </w14:textFill>
        </w:rPr>
        <w:t>份，委托人</w:t>
      </w:r>
      <w:r>
        <w:rPr>
          <w:rFonts w:hint="eastAsia" w:ascii="宋体" w:hAnsi="宋体"/>
          <w:color w:val="000000" w:themeColor="text1"/>
          <w:szCs w:val="24"/>
          <w:highlight w:val="none"/>
          <w:u w:val="single"/>
          <w:lang w:eastAsia="zh-CN"/>
          <w14:textFill>
            <w14:solidFill>
              <w14:schemeClr w14:val="tx1"/>
            </w14:solidFill>
          </w14:textFill>
        </w:rPr>
        <w:t>伍</w:t>
      </w:r>
      <w:r>
        <w:rPr>
          <w:rFonts w:hint="eastAsia" w:ascii="宋体" w:hAnsi="宋体"/>
          <w:color w:val="000000" w:themeColor="text1"/>
          <w:szCs w:val="24"/>
          <w:highlight w:val="none"/>
          <w:lang w:eastAsia="zh-CN"/>
          <w14:textFill>
            <w14:solidFill>
              <w14:schemeClr w14:val="tx1"/>
            </w14:solidFill>
          </w14:textFill>
        </w:rPr>
        <w:t>份，咨询人</w:t>
      </w:r>
      <w:r>
        <w:rPr>
          <w:rFonts w:hint="eastAsia" w:ascii="宋体" w:hAnsi="宋体"/>
          <w:color w:val="000000" w:themeColor="text1"/>
          <w:szCs w:val="24"/>
          <w:highlight w:val="none"/>
          <w:u w:val="single"/>
          <w:lang w:eastAsia="zh-CN"/>
          <w14:textFill>
            <w14:solidFill>
              <w14:schemeClr w14:val="tx1"/>
            </w14:solidFill>
          </w14:textFill>
        </w:rPr>
        <w:t>叁</w:t>
      </w:r>
      <w:r>
        <w:rPr>
          <w:rFonts w:hint="eastAsia" w:ascii="宋体" w:hAnsi="宋体"/>
          <w:color w:val="000000" w:themeColor="text1"/>
          <w:szCs w:val="24"/>
          <w:highlight w:val="none"/>
          <w:lang w:eastAsia="zh-CN"/>
          <w14:textFill>
            <w14:solidFill>
              <w14:schemeClr w14:val="tx1"/>
            </w14:solidFill>
          </w14:textFill>
        </w:rPr>
        <w:t>份。其他未尽事宜，双方可另签补充协议明确。</w:t>
      </w:r>
    </w:p>
    <w:p w14:paraId="4B1F9D8B">
      <w:pPr>
        <w:shd w:val="clear"/>
        <w:spacing w:line="360" w:lineRule="exact"/>
        <w:ind w:right="19" w:rightChars="8" w:firstLine="240" w:firstLineChars="10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委　托　人：（盖章）　　　　　　　　咨　询　人：（盖章）</w:t>
      </w:r>
    </w:p>
    <w:p w14:paraId="0D5590A7">
      <w:pPr>
        <w:shd w:val="clear"/>
        <w:spacing w:line="360" w:lineRule="exact"/>
        <w:ind w:right="19" w:rightChars="8" w:firstLine="360" w:firstLineChars="15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 xml:space="preserve">  </w:t>
      </w:r>
    </w:p>
    <w:p w14:paraId="1D99328A">
      <w:pPr>
        <w:shd w:val="clear"/>
        <w:spacing w:line="360" w:lineRule="exact"/>
        <w:ind w:right="19" w:rightChars="8" w:firstLine="240" w:firstLineChars="10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法定代表人：（签字或盖章）          法定代表人：（签字或盖章）</w:t>
      </w:r>
    </w:p>
    <w:p w14:paraId="35A89A29">
      <w:pPr>
        <w:shd w:val="clear"/>
        <w:spacing w:line="360" w:lineRule="exact"/>
        <w:ind w:right="19" w:rightChars="8"/>
        <w:rPr>
          <w:rFonts w:hint="eastAsia" w:ascii="宋体" w:hAnsi="宋体"/>
          <w:color w:val="000000" w:themeColor="text1"/>
          <w:szCs w:val="24"/>
          <w:highlight w:val="none"/>
          <w:lang w:eastAsia="zh-CN"/>
          <w14:textFill>
            <w14:solidFill>
              <w14:schemeClr w14:val="tx1"/>
            </w14:solidFill>
          </w14:textFill>
        </w:rPr>
      </w:pPr>
    </w:p>
    <w:p w14:paraId="3D266053">
      <w:pPr>
        <w:shd w:val="clear"/>
        <w:spacing w:line="360" w:lineRule="exact"/>
        <w:ind w:right="19" w:rightChars="8" w:firstLine="240" w:firstLineChars="10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经办人：                            经办人：</w:t>
      </w:r>
    </w:p>
    <w:p w14:paraId="146C3907">
      <w:pPr>
        <w:shd w:val="clear"/>
        <w:spacing w:line="360" w:lineRule="exact"/>
        <w:ind w:right="19" w:rightChars="8" w:firstLine="360" w:firstLineChars="150"/>
        <w:rPr>
          <w:rFonts w:hint="eastAsia" w:ascii="宋体" w:hAnsi="宋体"/>
          <w:color w:val="000000" w:themeColor="text1"/>
          <w:szCs w:val="24"/>
          <w:highlight w:val="none"/>
          <w:lang w:eastAsia="zh-CN"/>
          <w14:textFill>
            <w14:solidFill>
              <w14:schemeClr w14:val="tx1"/>
            </w14:solidFill>
          </w14:textFill>
        </w:rPr>
      </w:pPr>
    </w:p>
    <w:p w14:paraId="27EE0512">
      <w:pPr>
        <w:shd w:val="clear"/>
        <w:spacing w:line="360" w:lineRule="exact"/>
        <w:ind w:right="19" w:rightChars="8" w:firstLine="240" w:firstLineChars="10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住　　所：　　　　　　　　　　　    住　　所：</w:t>
      </w:r>
    </w:p>
    <w:p w14:paraId="01BCAC50">
      <w:pPr>
        <w:shd w:val="clear"/>
        <w:spacing w:line="360" w:lineRule="exact"/>
        <w:ind w:right="19" w:rightChars="8" w:firstLine="240" w:firstLineChars="100"/>
        <w:rPr>
          <w:rFonts w:hint="eastAsia" w:ascii="宋体" w:hAnsi="宋体"/>
          <w:color w:val="000000" w:themeColor="text1"/>
          <w:szCs w:val="24"/>
          <w:highlight w:val="none"/>
          <w:lang w:eastAsia="zh-CN"/>
          <w14:textFill>
            <w14:solidFill>
              <w14:schemeClr w14:val="tx1"/>
            </w14:solidFill>
          </w14:textFill>
        </w:rPr>
      </w:pPr>
    </w:p>
    <w:p w14:paraId="71FEE9F1">
      <w:pPr>
        <w:shd w:val="clear"/>
        <w:spacing w:line="360" w:lineRule="exact"/>
        <w:ind w:right="19" w:rightChars="8" w:firstLine="240" w:firstLineChars="10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开户银行：　　　　　　　　　　　    开户银行：</w:t>
      </w:r>
    </w:p>
    <w:p w14:paraId="078B7FA7">
      <w:pPr>
        <w:shd w:val="clear"/>
        <w:spacing w:line="360" w:lineRule="exact"/>
        <w:ind w:right="19" w:rightChars="8" w:firstLine="360" w:firstLineChars="15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　　</w:t>
      </w:r>
    </w:p>
    <w:p w14:paraId="36C7962F">
      <w:pPr>
        <w:shd w:val="clear"/>
        <w:spacing w:line="360" w:lineRule="exact"/>
        <w:ind w:right="19" w:rightChars="8" w:firstLine="240" w:firstLineChars="10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帐　　号：　　　　　　　　　　　    帐　　号：</w:t>
      </w:r>
    </w:p>
    <w:p w14:paraId="518D273C">
      <w:pPr>
        <w:shd w:val="clear"/>
        <w:spacing w:line="360" w:lineRule="exact"/>
        <w:ind w:right="19" w:rightChars="8" w:firstLine="360" w:firstLineChars="15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　　</w:t>
      </w:r>
    </w:p>
    <w:p w14:paraId="6A2AADA4">
      <w:pPr>
        <w:shd w:val="clear"/>
        <w:spacing w:line="360" w:lineRule="exact"/>
        <w:ind w:right="19" w:rightChars="8" w:firstLine="240" w:firstLineChars="10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电　　话：　　　　　　　　　　　    电　　话：</w:t>
      </w:r>
    </w:p>
    <w:p w14:paraId="48DA8D07">
      <w:pPr>
        <w:shd w:val="clear"/>
        <w:spacing w:line="360" w:lineRule="exact"/>
        <w:ind w:right="19" w:rightChars="8" w:firstLine="360" w:firstLineChars="15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　　</w:t>
      </w:r>
    </w:p>
    <w:p w14:paraId="2A25A83A">
      <w:pPr>
        <w:shd w:val="clear"/>
        <w:spacing w:line="360" w:lineRule="exact"/>
        <w:ind w:right="19" w:rightChars="8" w:firstLine="240" w:firstLineChars="10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传　　真：　　　　　　　　　　　    传　　真：</w:t>
      </w:r>
    </w:p>
    <w:p w14:paraId="2F337EA8">
      <w:pPr>
        <w:shd w:val="clear"/>
        <w:spacing w:line="360" w:lineRule="exact"/>
        <w:ind w:right="19" w:rightChars="8" w:firstLine="360" w:firstLineChars="150"/>
        <w:rPr>
          <w:rFonts w:hint="eastAsia" w:ascii="宋体" w:hAnsi="宋体"/>
          <w:color w:val="000000" w:themeColor="text1"/>
          <w:szCs w:val="24"/>
          <w:highlight w:val="none"/>
          <w:lang w:eastAsia="zh-CN"/>
          <w14:textFill>
            <w14:solidFill>
              <w14:schemeClr w14:val="tx1"/>
            </w14:solidFill>
          </w14:textFill>
        </w:rPr>
      </w:pPr>
    </w:p>
    <w:p w14:paraId="742D7644">
      <w:pPr>
        <w:shd w:val="clear"/>
        <w:spacing w:line="360" w:lineRule="exact"/>
        <w:ind w:right="19" w:rightChars="8" w:firstLine="240" w:firstLineChars="10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电子邮箱：　　　　　　　　　　　    电子邮箱：</w:t>
      </w:r>
    </w:p>
    <w:p w14:paraId="5BA3ED1F">
      <w:pPr>
        <w:shd w:val="clear"/>
        <w:spacing w:line="360" w:lineRule="exact"/>
        <w:ind w:right="19" w:rightChars="8" w:firstLine="360" w:firstLineChars="15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　　</w:t>
      </w:r>
    </w:p>
    <w:p w14:paraId="2E091342">
      <w:pPr>
        <w:shd w:val="clear"/>
        <w:spacing w:line="360" w:lineRule="exact"/>
        <w:ind w:right="19" w:rightChars="8" w:firstLine="240" w:firstLineChars="10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邮政编码：　　　　　　　　　　　    邮政编码：</w:t>
      </w:r>
    </w:p>
    <w:p w14:paraId="351D82A7">
      <w:pPr>
        <w:shd w:val="clear"/>
        <w:spacing w:line="360" w:lineRule="exact"/>
        <w:ind w:right="19" w:rightChars="8" w:firstLine="360" w:firstLineChars="150"/>
        <w:rPr>
          <w:rFonts w:hint="eastAsia" w:ascii="宋体" w:hAnsi="宋体"/>
          <w:color w:val="000000" w:themeColor="text1"/>
          <w:szCs w:val="24"/>
          <w:highlight w:val="none"/>
          <w:lang w:eastAsia="zh-CN"/>
          <w14:textFill>
            <w14:solidFill>
              <w14:schemeClr w14:val="tx1"/>
            </w14:solidFill>
          </w14:textFill>
        </w:rPr>
      </w:pPr>
    </w:p>
    <w:p w14:paraId="029A6B24">
      <w:pPr>
        <w:shd w:val="clear"/>
        <w:spacing w:line="360" w:lineRule="exact"/>
        <w:ind w:right="19" w:rightChars="8" w:firstLine="840" w:firstLineChars="350"/>
        <w:rPr>
          <w:rFonts w:hint="eastAsia"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年　　月　　日　　　　　　　　　　　　　 年　　月　　日</w:t>
      </w:r>
    </w:p>
    <w:p w14:paraId="34FCD43A">
      <w:pPr>
        <w:shd w:val="clear"/>
        <w:ind w:right="19" w:rightChars="8"/>
        <w:rPr>
          <w:rFonts w:hint="eastAsia" w:ascii="宋体" w:hAnsi="宋体"/>
          <w:b/>
          <w:color w:val="000000" w:themeColor="text1"/>
          <w:szCs w:val="24"/>
          <w:highlight w:val="none"/>
          <w14:textFill>
            <w14:solidFill>
              <w14:schemeClr w14:val="tx1"/>
            </w14:solidFill>
          </w14:textFill>
        </w:rPr>
      </w:pPr>
    </w:p>
    <w:p w14:paraId="073B4EB7">
      <w:pPr>
        <w:shd w:val="clear"/>
        <w:ind w:right="19" w:rightChars="8"/>
        <w:jc w:val="center"/>
        <w:rPr>
          <w:rFonts w:hint="eastAsia" w:ascii="宋体" w:hAnsi="宋体"/>
          <w:b/>
          <w:color w:val="000000" w:themeColor="text1"/>
          <w:szCs w:val="24"/>
          <w:highlight w:val="none"/>
          <w:lang w:eastAsia="zh-CN"/>
          <w14:textFill>
            <w14:solidFill>
              <w14:schemeClr w14:val="tx1"/>
            </w14:solidFill>
          </w14:textFill>
        </w:rPr>
      </w:pPr>
      <w:r>
        <w:rPr>
          <w:rFonts w:hint="eastAsia" w:ascii="宋体" w:hAnsi="宋体"/>
          <w:b/>
          <w:color w:val="000000" w:themeColor="text1"/>
          <w:sz w:val="28"/>
          <w:szCs w:val="28"/>
          <w:highlight w:val="none"/>
          <w:lang w:eastAsia="zh-CN"/>
          <w14:textFill>
            <w14:solidFill>
              <w14:schemeClr w14:val="tx1"/>
            </w14:solidFill>
          </w14:textFill>
        </w:rPr>
        <w:t>第二部分　建设工程造价咨询合同通用条款</w:t>
      </w:r>
    </w:p>
    <w:p w14:paraId="672FFBE4">
      <w:pPr>
        <w:shd w:val="clear"/>
        <w:ind w:right="19" w:rightChars="8"/>
        <w:jc w:val="center"/>
        <w:rPr>
          <w:rFonts w:hint="eastAsia" w:ascii="宋体" w:hAnsi="宋体"/>
          <w:b/>
          <w:vanish/>
          <w:color w:val="000000" w:themeColor="text1"/>
          <w:szCs w:val="24"/>
          <w:highlight w:val="none"/>
          <w14:textFill>
            <w14:solidFill>
              <w14:schemeClr w14:val="tx1"/>
            </w14:solidFill>
          </w14:textFill>
        </w:rPr>
      </w:pPr>
    </w:p>
    <w:p w14:paraId="74ED5BAB">
      <w:pPr>
        <w:shd w:val="clear"/>
        <w:ind w:right="19" w:rightChars="8"/>
        <w:jc w:val="center"/>
        <w:rPr>
          <w:rFonts w:hint="eastAsia" w:ascii="宋体" w:hAnsi="宋体"/>
          <w:b/>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词语定义、适用语言和法律、法规</w:t>
      </w:r>
    </w:p>
    <w:p w14:paraId="2D06A017">
      <w:pPr>
        <w:shd w:val="clear"/>
        <w:spacing w:line="440" w:lineRule="exact"/>
        <w:ind w:right="19" w:rightChars="8"/>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　　第一条</w:t>
      </w:r>
      <w:r>
        <w:rPr>
          <w:rFonts w:hint="eastAsia" w:ascii="宋体" w:hAnsi="宋体"/>
          <w:color w:val="000000" w:themeColor="text1"/>
          <w:szCs w:val="24"/>
          <w:highlight w:val="none"/>
          <w:lang w:eastAsia="zh-CN"/>
          <w14:textFill>
            <w14:solidFill>
              <w14:schemeClr w14:val="tx1"/>
            </w14:solidFill>
          </w14:textFill>
        </w:rPr>
        <w:t>　下列名词和用语，除上下文另有规定外具有如下含义。</w:t>
      </w:r>
    </w:p>
    <w:p w14:paraId="7F9547F8">
      <w:pPr>
        <w:shd w:val="clear"/>
        <w:spacing w:line="440" w:lineRule="exact"/>
        <w:ind w:right="19" w:rightChars="8"/>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　　1、“委托人”是指在建设工程造价咨询协议书上指明并与咨询人在该协议书上签字、盖章的当事人。</w:t>
      </w:r>
    </w:p>
    <w:p w14:paraId="25331372">
      <w:pPr>
        <w:shd w:val="clear"/>
        <w:spacing w:line="440" w:lineRule="exact"/>
        <w:ind w:right="19" w:rightChars="8"/>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　　2、“咨询人”是指具有《工程造价咨询企业资质证书》,在建设工程造价咨询协议书上指明并与委托人在该协议书上签字、盖章的当事人。</w:t>
      </w:r>
    </w:p>
    <w:p w14:paraId="3CBFBA8E">
      <w:pPr>
        <w:shd w:val="clear"/>
        <w:spacing w:line="440" w:lineRule="exact"/>
        <w:ind w:right="19" w:rightChars="8"/>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　　3、“第三人”是指除委托人、咨询人以外与本咨询业务有关的当事人。</w:t>
      </w:r>
    </w:p>
    <w:p w14:paraId="178F1E18">
      <w:pPr>
        <w:shd w:val="clear"/>
        <w:spacing w:line="440" w:lineRule="exact"/>
        <w:ind w:right="19" w:rightChars="8" w:firstLine="480" w:firstLineChars="20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4、“日”是指任何一个午夜至下一个午夜的时间段。</w:t>
      </w:r>
    </w:p>
    <w:p w14:paraId="6DCA6800">
      <w:pPr>
        <w:shd w:val="clear"/>
        <w:spacing w:line="440" w:lineRule="exact"/>
        <w:ind w:right="19" w:rightChars="8" w:firstLine="480" w:firstLineChars="20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5、“正常服务”是指双方在专用条款中约定的工程造价咨询工作；</w:t>
      </w:r>
    </w:p>
    <w:p w14:paraId="3BC3D6DD">
      <w:pPr>
        <w:shd w:val="clear"/>
        <w:spacing w:line="440" w:lineRule="exact"/>
        <w:ind w:right="19" w:rightChars="8" w:firstLine="480" w:firstLineChars="20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6、“附加服务”是指在“正常服务”以外，经双方书面协议确定的附加服务；</w:t>
      </w:r>
    </w:p>
    <w:p w14:paraId="580DEF21">
      <w:pPr>
        <w:shd w:val="clear"/>
        <w:spacing w:line="440" w:lineRule="exact"/>
        <w:ind w:right="19" w:rightChars="8" w:firstLine="480" w:firstLineChars="20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7、“额外服务”是指不属于“正常服务”和“附加服务”，咨询人增加的额外工作量。</w:t>
      </w:r>
    </w:p>
    <w:p w14:paraId="68651AD7">
      <w:pPr>
        <w:shd w:val="clear"/>
        <w:spacing w:line="440" w:lineRule="exact"/>
        <w:ind w:right="19" w:rightChars="8"/>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　　第二条</w:t>
      </w:r>
      <w:r>
        <w:rPr>
          <w:rFonts w:hint="eastAsia" w:ascii="宋体" w:hAnsi="宋体"/>
          <w:color w:val="000000" w:themeColor="text1"/>
          <w:szCs w:val="24"/>
          <w:highlight w:val="none"/>
          <w:lang w:eastAsia="zh-CN"/>
          <w14:textFill>
            <w14:solidFill>
              <w14:schemeClr w14:val="tx1"/>
            </w14:solidFill>
          </w14:textFill>
        </w:rPr>
        <w:t>　建设工程造价咨询合同适用的法律、法规是中华人民共和国的法律、法规，以及专用条款中约定的部门规章、工程造价有关计价办法、规定，及项目所在地的地方法规、地方规章。</w:t>
      </w:r>
    </w:p>
    <w:p w14:paraId="2FE664F9">
      <w:pPr>
        <w:shd w:val="clear"/>
        <w:spacing w:line="440" w:lineRule="exact"/>
        <w:ind w:right="19" w:rightChars="8"/>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　</w:t>
      </w:r>
      <w:r>
        <w:rPr>
          <w:rFonts w:hint="eastAsia" w:ascii="宋体" w:hAnsi="宋体"/>
          <w:b/>
          <w:color w:val="000000" w:themeColor="text1"/>
          <w:szCs w:val="24"/>
          <w:highlight w:val="none"/>
          <w:lang w:eastAsia="zh-CN"/>
          <w14:textFill>
            <w14:solidFill>
              <w14:schemeClr w14:val="tx1"/>
            </w14:solidFill>
          </w14:textFill>
        </w:rPr>
        <w:t>　第三条</w:t>
      </w:r>
      <w:r>
        <w:rPr>
          <w:rFonts w:hint="eastAsia" w:ascii="宋体" w:hAnsi="宋体"/>
          <w:color w:val="000000" w:themeColor="text1"/>
          <w:szCs w:val="24"/>
          <w:highlight w:val="none"/>
          <w:lang w:eastAsia="zh-CN"/>
          <w14:textFill>
            <w14:solidFill>
              <w14:schemeClr w14:val="tx1"/>
            </w14:solidFill>
          </w14:textFill>
        </w:rPr>
        <w:t>　建设工程造价咨询合同的书写、解释和说明，以汉语为主导语言。当不同语言文本发生不同解释时，以汉语合同文本为准。</w:t>
      </w:r>
    </w:p>
    <w:p w14:paraId="4F7877D9">
      <w:pPr>
        <w:shd w:val="clear"/>
        <w:ind w:right="19" w:rightChars="8" w:firstLine="472" w:firstLineChars="196"/>
        <w:rPr>
          <w:rFonts w:hint="eastAsia" w:ascii="宋体" w:hAnsi="宋体"/>
          <w:b/>
          <w:color w:val="000000" w:themeColor="text1"/>
          <w:szCs w:val="24"/>
          <w:highlight w:val="none"/>
          <w:lang w:eastAsia="zh-CN"/>
          <w14:textFill>
            <w14:solidFill>
              <w14:schemeClr w14:val="tx1"/>
            </w14:solidFill>
          </w14:textFill>
        </w:rPr>
      </w:pPr>
    </w:p>
    <w:p w14:paraId="01FC2694">
      <w:pPr>
        <w:shd w:val="clear"/>
        <w:ind w:right="19" w:rightChars="8"/>
        <w:jc w:val="center"/>
        <w:rPr>
          <w:rFonts w:hint="eastAsia" w:ascii="宋体" w:hAnsi="宋体"/>
          <w:b/>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咨询人的义务</w:t>
      </w:r>
    </w:p>
    <w:p w14:paraId="1C0078A8">
      <w:pPr>
        <w:shd w:val="clear"/>
        <w:spacing w:line="440" w:lineRule="exact"/>
        <w:ind w:right="19" w:rightChars="8"/>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　　</w:t>
      </w:r>
      <w:r>
        <w:rPr>
          <w:rFonts w:hint="eastAsia" w:ascii="宋体" w:hAnsi="宋体"/>
          <w:b/>
          <w:color w:val="000000" w:themeColor="text1"/>
          <w:szCs w:val="24"/>
          <w:highlight w:val="none"/>
          <w:lang w:eastAsia="zh-CN"/>
          <w14:textFill>
            <w14:solidFill>
              <w14:schemeClr w14:val="tx1"/>
            </w14:solidFill>
          </w14:textFill>
        </w:rPr>
        <w:t>第四条　</w:t>
      </w:r>
      <w:r>
        <w:rPr>
          <w:rFonts w:hint="eastAsia" w:ascii="宋体" w:hAnsi="宋体"/>
          <w:color w:val="000000" w:themeColor="text1"/>
          <w:szCs w:val="24"/>
          <w:highlight w:val="none"/>
          <w:lang w:eastAsia="zh-CN"/>
          <w14:textFill>
            <w14:solidFill>
              <w14:schemeClr w14:val="tx1"/>
            </w14:solidFill>
          </w14:textFill>
        </w:rPr>
        <w:t>向委托人提供与工程造价咨询业务有关的资料，包括工程造价咨询企业资质证书及承担本合同咨询业务的专业人员名单等。</w:t>
      </w:r>
    </w:p>
    <w:p w14:paraId="55725107">
      <w:pPr>
        <w:shd w:val="clear"/>
        <w:spacing w:line="440" w:lineRule="exact"/>
        <w:ind w:right="19" w:rightChars="8"/>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　　</w:t>
      </w:r>
      <w:r>
        <w:rPr>
          <w:rFonts w:hint="eastAsia" w:ascii="宋体" w:hAnsi="宋体"/>
          <w:b/>
          <w:color w:val="000000" w:themeColor="text1"/>
          <w:szCs w:val="24"/>
          <w:highlight w:val="none"/>
          <w:lang w:eastAsia="zh-CN"/>
          <w14:textFill>
            <w14:solidFill>
              <w14:schemeClr w14:val="tx1"/>
            </w14:solidFill>
          </w14:textFill>
        </w:rPr>
        <w:t>第五条</w:t>
      </w:r>
      <w:r>
        <w:rPr>
          <w:rFonts w:hint="eastAsia" w:ascii="宋体" w:hAnsi="宋体"/>
          <w:color w:val="000000" w:themeColor="text1"/>
          <w:szCs w:val="24"/>
          <w:highlight w:val="none"/>
          <w:lang w:eastAsia="zh-CN"/>
          <w14:textFill>
            <w14:solidFill>
              <w14:schemeClr w14:val="tx1"/>
            </w14:solidFill>
          </w14:textFill>
        </w:rPr>
        <w:t>　咨询人按专用条款中约定的工作范围和内容，向委托人提供工程造价咨询专业服务，包括正常服务、附加服务和额外服务。并在合同约定的时间内，提供符合行业管理规定的咨询成果文件。</w:t>
      </w:r>
    </w:p>
    <w:p w14:paraId="5BE2FC3F">
      <w:pPr>
        <w:shd w:val="clear"/>
        <w:spacing w:line="440" w:lineRule="exact"/>
        <w:ind w:right="19" w:rightChars="8" w:firstLine="472" w:firstLineChars="196"/>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第六条</w:t>
      </w:r>
      <w:r>
        <w:rPr>
          <w:rFonts w:hint="eastAsia" w:ascii="宋体" w:hAnsi="宋体"/>
          <w:color w:val="000000" w:themeColor="text1"/>
          <w:szCs w:val="24"/>
          <w:highlight w:val="none"/>
          <w:lang w:eastAsia="zh-CN"/>
          <w14:textFill>
            <w14:solidFill>
              <w14:schemeClr w14:val="tx1"/>
            </w14:solidFill>
          </w14:textFill>
        </w:rPr>
        <w:t xml:space="preserve">  咨询人从事工程造价咨询活动，应当遵循独立、客观、公正、诚实信用的原则，不得损害社会公共利益和他人的合法权益。除委托人书面同意外，咨询人及咨询专业人员不应接受建设工程造价咨询合同约定以外的与本工程造价咨询项目有关的任何报酬。咨询人不得参与可能影响合同规定的委托人利益的任何活动。</w:t>
      </w:r>
    </w:p>
    <w:p w14:paraId="1B1F4342">
      <w:pPr>
        <w:shd w:val="clear"/>
        <w:spacing w:line="440" w:lineRule="exact"/>
        <w:ind w:right="19" w:rightChars="8" w:firstLine="472" w:firstLineChars="196"/>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第七条　</w:t>
      </w:r>
      <w:r>
        <w:rPr>
          <w:rFonts w:hint="eastAsia" w:ascii="宋体" w:hAnsi="宋体"/>
          <w:color w:val="000000" w:themeColor="text1"/>
          <w:szCs w:val="24"/>
          <w:highlight w:val="none"/>
          <w:lang w:eastAsia="zh-CN"/>
          <w14:textFill>
            <w14:solidFill>
              <w14:schemeClr w14:val="tx1"/>
            </w14:solidFill>
          </w14:textFill>
        </w:rPr>
        <w:t>咨询人不得泄露与本合同规定业务活动有关的保密资料。</w:t>
      </w:r>
    </w:p>
    <w:p w14:paraId="636E04E6">
      <w:pPr>
        <w:shd w:val="clear"/>
        <w:ind w:right="19" w:rightChars="8"/>
        <w:rPr>
          <w:rFonts w:hint="eastAsia" w:ascii="宋体" w:hAnsi="宋体"/>
          <w:color w:val="000000" w:themeColor="text1"/>
          <w:szCs w:val="24"/>
          <w:highlight w:val="none"/>
          <w:lang w:eastAsia="zh-CN"/>
          <w14:textFill>
            <w14:solidFill>
              <w14:schemeClr w14:val="tx1"/>
            </w14:solidFill>
          </w14:textFill>
        </w:rPr>
      </w:pPr>
    </w:p>
    <w:p w14:paraId="17D97FF6">
      <w:pPr>
        <w:shd w:val="clear"/>
        <w:ind w:right="19" w:rightChars="8"/>
        <w:jc w:val="center"/>
        <w:rPr>
          <w:rFonts w:hint="eastAsia" w:ascii="宋体" w:hAnsi="宋体"/>
          <w:b/>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委托人的义务</w:t>
      </w:r>
    </w:p>
    <w:p w14:paraId="4BEE6827">
      <w:pPr>
        <w:shd w:val="clear"/>
        <w:ind w:right="19" w:rightChars="8"/>
        <w:rPr>
          <w:rFonts w:hint="eastAsia" w:ascii="宋体" w:hAnsi="宋体"/>
          <w:b/>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　　</w:t>
      </w:r>
      <w:r>
        <w:rPr>
          <w:rFonts w:hint="eastAsia" w:ascii="宋体" w:hAnsi="宋体"/>
          <w:b/>
          <w:color w:val="000000" w:themeColor="text1"/>
          <w:szCs w:val="24"/>
          <w:highlight w:val="none"/>
          <w:lang w:eastAsia="zh-CN"/>
          <w14:textFill>
            <w14:solidFill>
              <w14:schemeClr w14:val="tx1"/>
            </w14:solidFill>
          </w14:textFill>
        </w:rPr>
        <w:t>第八条</w:t>
      </w:r>
      <w:r>
        <w:rPr>
          <w:rFonts w:hint="eastAsia" w:ascii="宋体" w:hAnsi="宋体"/>
          <w:color w:val="000000" w:themeColor="text1"/>
          <w:szCs w:val="24"/>
          <w:highlight w:val="none"/>
          <w:lang w:eastAsia="zh-CN"/>
          <w14:textFill>
            <w14:solidFill>
              <w14:schemeClr w14:val="tx1"/>
            </w14:solidFill>
          </w14:textFill>
        </w:rPr>
        <w:t>　委托人应负责与本建设工程造价咨询业务有关的第三人的协调，为咨询人工作提供外部条件。委托人应当授权胜任本咨询业务的代表，负责与咨询人联系，解决在咨询业务中的委托方问题，并代表委托人签署相关文件。</w:t>
      </w:r>
    </w:p>
    <w:p w14:paraId="67DF6395">
      <w:pPr>
        <w:shd w:val="clear"/>
        <w:ind w:right="19" w:rightChars="8" w:firstLine="482" w:firstLineChars="200"/>
        <w:rPr>
          <w:rFonts w:hint="eastAsia" w:ascii="宋体" w:hAnsi="宋体"/>
          <w:b/>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第九条</w:t>
      </w:r>
      <w:r>
        <w:rPr>
          <w:rFonts w:hint="eastAsia" w:ascii="宋体" w:hAnsi="宋体"/>
          <w:color w:val="000000" w:themeColor="text1"/>
          <w:szCs w:val="24"/>
          <w:highlight w:val="none"/>
          <w:lang w:eastAsia="zh-CN"/>
          <w14:textFill>
            <w14:solidFill>
              <w14:schemeClr w14:val="tx1"/>
            </w14:solidFill>
          </w14:textFill>
        </w:rPr>
        <w:t>　委托人在约定的时间内，免费向咨询人提供与本项目咨询业务有关的资料，并对资料的真实性、完整性负责。</w:t>
      </w:r>
    </w:p>
    <w:p w14:paraId="23817863">
      <w:pPr>
        <w:shd w:val="clear"/>
        <w:ind w:left="120" w:leftChars="50" w:right="19" w:rightChars="8" w:firstLine="361" w:firstLineChars="15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第十条</w:t>
      </w:r>
      <w:r>
        <w:rPr>
          <w:rFonts w:hint="eastAsia" w:ascii="宋体" w:hAnsi="宋体"/>
          <w:color w:val="000000" w:themeColor="text1"/>
          <w:szCs w:val="24"/>
          <w:highlight w:val="none"/>
          <w:lang w:eastAsia="zh-CN"/>
          <w14:textFill>
            <w14:solidFill>
              <w14:schemeClr w14:val="tx1"/>
            </w14:solidFill>
          </w14:textFill>
        </w:rPr>
        <w:t xml:space="preserve">  委托人在约定的时间内就咨询人书面提交并要求做出答复的事宜做出书面答复。　　</w:t>
      </w:r>
    </w:p>
    <w:p w14:paraId="7F426989">
      <w:pPr>
        <w:shd w:val="clear"/>
        <w:ind w:right="19" w:rightChars="8" w:firstLine="482" w:firstLineChars="20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第十一条</w:t>
      </w:r>
      <w:r>
        <w:rPr>
          <w:rFonts w:hint="eastAsia" w:ascii="宋体" w:hAnsi="宋体"/>
          <w:color w:val="000000" w:themeColor="text1"/>
          <w:szCs w:val="24"/>
          <w:highlight w:val="none"/>
          <w:lang w:eastAsia="zh-CN"/>
          <w14:textFill>
            <w14:solidFill>
              <w14:schemeClr w14:val="tx1"/>
            </w14:solidFill>
          </w14:textFill>
        </w:rPr>
        <w:t>　委托人应提供给咨询人合适的办公条件，并按合同条款规定及时支付咨询费用。</w:t>
      </w:r>
    </w:p>
    <w:p w14:paraId="68255BF8">
      <w:pPr>
        <w:shd w:val="clear"/>
        <w:ind w:right="19" w:rightChars="8" w:firstLine="3132" w:firstLineChars="1300"/>
        <w:rPr>
          <w:rFonts w:hint="eastAsia" w:ascii="宋体" w:hAnsi="宋体"/>
          <w:b/>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咨询人的权利</w:t>
      </w:r>
    </w:p>
    <w:p w14:paraId="0FA7F2DF">
      <w:pPr>
        <w:shd w:val="clear"/>
        <w:spacing w:line="440" w:lineRule="exact"/>
        <w:ind w:right="19" w:rightChars="8" w:firstLine="42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第十二条</w:t>
      </w:r>
      <w:r>
        <w:rPr>
          <w:rFonts w:hint="eastAsia" w:ascii="宋体" w:hAnsi="宋体"/>
          <w:color w:val="000000" w:themeColor="text1"/>
          <w:szCs w:val="24"/>
          <w:highlight w:val="none"/>
          <w:lang w:eastAsia="zh-CN"/>
          <w14:textFill>
            <w14:solidFill>
              <w14:schemeClr w14:val="tx1"/>
            </w14:solidFill>
          </w14:textFill>
        </w:rPr>
        <w:t>　咨询人在咨询过程中，如委托人提供的资料不明确时可向委托人提出书面报告。</w:t>
      </w:r>
    </w:p>
    <w:p w14:paraId="47CF5DD5">
      <w:pPr>
        <w:shd w:val="clear"/>
        <w:spacing w:line="440" w:lineRule="exact"/>
        <w:ind w:right="19" w:rightChars="8" w:firstLine="420"/>
        <w:rPr>
          <w:rFonts w:hint="eastAsia" w:ascii="宋体" w:hAnsi="宋体"/>
          <w:b/>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第十三条</w:t>
      </w:r>
      <w:r>
        <w:rPr>
          <w:rFonts w:hint="eastAsia" w:ascii="宋体" w:hAnsi="宋体"/>
          <w:color w:val="000000" w:themeColor="text1"/>
          <w:szCs w:val="24"/>
          <w:highlight w:val="none"/>
          <w:lang w:eastAsia="zh-CN"/>
          <w14:textFill>
            <w14:solidFill>
              <w14:schemeClr w14:val="tx1"/>
            </w14:solidFill>
          </w14:textFill>
        </w:rPr>
        <w:t xml:space="preserve">  咨询人在咨询过程中，有权对与本咨询业务有关的问题进行核对或查问以及到工程现场勘察。</w:t>
      </w:r>
    </w:p>
    <w:p w14:paraId="0B35F9DF">
      <w:pPr>
        <w:shd w:val="clear"/>
        <w:spacing w:line="440" w:lineRule="exact"/>
        <w:ind w:right="19" w:rightChars="8" w:firstLine="42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第十四条</w:t>
      </w:r>
      <w:r>
        <w:rPr>
          <w:rFonts w:hint="eastAsia" w:ascii="宋体" w:hAnsi="宋体"/>
          <w:color w:val="000000" w:themeColor="text1"/>
          <w:szCs w:val="24"/>
          <w:highlight w:val="none"/>
          <w:lang w:eastAsia="zh-CN"/>
          <w14:textFill>
            <w14:solidFill>
              <w14:schemeClr w14:val="tx1"/>
            </w14:solidFill>
          </w14:textFill>
        </w:rPr>
        <w:t xml:space="preserve">  咨询人在咨询过程中，由于委托人原因造成咨询人无法继续履行合同时，咨询人有权解除合同并要求委托人承担相应赔偿。</w:t>
      </w:r>
    </w:p>
    <w:p w14:paraId="104F4C78">
      <w:pPr>
        <w:shd w:val="clear"/>
        <w:spacing w:line="440" w:lineRule="exact"/>
        <w:ind w:right="19" w:rightChars="8" w:firstLine="42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第十五条</w:t>
      </w:r>
      <w:r>
        <w:rPr>
          <w:rFonts w:hint="eastAsia" w:ascii="宋体" w:hAnsi="宋体"/>
          <w:color w:val="000000" w:themeColor="text1"/>
          <w:szCs w:val="24"/>
          <w:highlight w:val="none"/>
          <w:lang w:eastAsia="zh-CN"/>
          <w14:textFill>
            <w14:solidFill>
              <w14:schemeClr w14:val="tx1"/>
            </w14:solidFill>
          </w14:textFill>
        </w:rPr>
        <w:t xml:space="preserve">  咨询人在咨询过程中，有独立执行工程造价咨询业务工作的权利。</w:t>
      </w:r>
    </w:p>
    <w:p w14:paraId="6CBC8F83">
      <w:pPr>
        <w:shd w:val="clear"/>
        <w:spacing w:line="440" w:lineRule="exact"/>
        <w:ind w:right="19" w:rightChars="8" w:firstLine="42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咨询人有权拒绝委托人提出的有失公平、公正及违反法律法规的要求，由此</w:t>
      </w:r>
      <w:r>
        <w:rPr>
          <w:rFonts w:hint="eastAsia" w:ascii="宋体" w:hAnsi="宋体"/>
          <w:color w:val="000000" w:themeColor="text1"/>
          <w:spacing w:val="-4"/>
          <w:szCs w:val="24"/>
          <w:highlight w:val="none"/>
          <w:lang w:eastAsia="zh-CN"/>
          <w14:textFill>
            <w14:solidFill>
              <w14:schemeClr w14:val="tx1"/>
            </w14:solidFill>
          </w14:textFill>
        </w:rPr>
        <w:t>原因造成的咨询合同终止咨询人免责。对于造成咨询人损失的，由委托人给予赔偿</w:t>
      </w:r>
      <w:r>
        <w:rPr>
          <w:rFonts w:hint="eastAsia" w:ascii="宋体" w:hAnsi="宋体"/>
          <w:color w:val="000000" w:themeColor="text1"/>
          <w:szCs w:val="24"/>
          <w:highlight w:val="none"/>
          <w:lang w:eastAsia="zh-CN"/>
          <w14:textFill>
            <w14:solidFill>
              <w14:schemeClr w14:val="tx1"/>
            </w14:solidFill>
          </w14:textFill>
        </w:rPr>
        <w:t>。</w:t>
      </w:r>
    </w:p>
    <w:p w14:paraId="5F5EB52C">
      <w:pPr>
        <w:shd w:val="clear"/>
        <w:ind w:right="19" w:rightChars="8"/>
        <w:jc w:val="center"/>
        <w:rPr>
          <w:rFonts w:hint="eastAsia" w:ascii="宋体" w:hAnsi="宋体"/>
          <w:b/>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委托人的权利</w:t>
      </w:r>
    </w:p>
    <w:p w14:paraId="1A648CF7">
      <w:pPr>
        <w:shd w:val="clear"/>
        <w:spacing w:line="440" w:lineRule="exact"/>
        <w:ind w:right="19" w:rightChars="8" w:firstLine="42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第十六条</w:t>
      </w:r>
      <w:r>
        <w:rPr>
          <w:rFonts w:hint="eastAsia" w:ascii="宋体" w:hAnsi="宋体"/>
          <w:color w:val="000000" w:themeColor="text1"/>
          <w:szCs w:val="24"/>
          <w:highlight w:val="none"/>
          <w:lang w:eastAsia="zh-CN"/>
          <w14:textFill>
            <w14:solidFill>
              <w14:schemeClr w14:val="tx1"/>
            </w14:solidFill>
          </w14:textFill>
        </w:rPr>
        <w:t>　委托人有权向咨询人询问工作进展情况及相关的内容。</w:t>
      </w:r>
    </w:p>
    <w:p w14:paraId="2F8822CC">
      <w:pPr>
        <w:shd w:val="clear"/>
        <w:spacing w:line="440" w:lineRule="exact"/>
        <w:ind w:right="19" w:rightChars="8" w:firstLine="42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第十七条</w:t>
      </w:r>
      <w:r>
        <w:rPr>
          <w:rFonts w:hint="eastAsia" w:ascii="宋体" w:hAnsi="宋体"/>
          <w:color w:val="000000" w:themeColor="text1"/>
          <w:szCs w:val="24"/>
          <w:highlight w:val="none"/>
          <w:lang w:eastAsia="zh-CN"/>
          <w14:textFill>
            <w14:solidFill>
              <w14:schemeClr w14:val="tx1"/>
            </w14:solidFill>
          </w14:textFill>
        </w:rPr>
        <w:t xml:space="preserve">  委托人有权阐述对具体问题的意见和建议。</w:t>
      </w:r>
    </w:p>
    <w:p w14:paraId="264D8647">
      <w:pPr>
        <w:shd w:val="clear"/>
        <w:spacing w:line="440" w:lineRule="exact"/>
        <w:ind w:right="19" w:rightChars="8" w:firstLine="420"/>
        <w:rPr>
          <w:rFonts w:hint="eastAsia" w:ascii="宋体" w:hAnsi="宋体"/>
          <w:b/>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第十八条</w:t>
      </w:r>
      <w:r>
        <w:rPr>
          <w:rFonts w:hint="eastAsia" w:ascii="宋体" w:hAnsi="宋体"/>
          <w:color w:val="000000" w:themeColor="text1"/>
          <w:szCs w:val="24"/>
          <w:highlight w:val="none"/>
          <w:lang w:eastAsia="zh-CN"/>
          <w14:textFill>
            <w14:solidFill>
              <w14:schemeClr w14:val="tx1"/>
            </w14:solidFill>
          </w14:textFill>
        </w:rPr>
        <w:t xml:space="preserve">  当委托人认定咨询专业人员不按咨询合同履行其职责，或与第三人串通给委托人造成经济损失的，委托人有权要求更换咨询专业人员，直至终止合同并要求咨询人承担相应的赔偿责任。</w:t>
      </w:r>
    </w:p>
    <w:p w14:paraId="71D98EE4">
      <w:pPr>
        <w:shd w:val="clear"/>
        <w:spacing w:line="440" w:lineRule="exact"/>
        <w:ind w:right="19" w:rightChars="8" w:firstLine="42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第十九条</w:t>
      </w:r>
      <w:r>
        <w:rPr>
          <w:rFonts w:hint="eastAsia" w:ascii="宋体" w:hAnsi="宋体"/>
          <w:color w:val="000000" w:themeColor="text1"/>
          <w:szCs w:val="24"/>
          <w:highlight w:val="none"/>
          <w:lang w:eastAsia="zh-CN"/>
          <w14:textFill>
            <w14:solidFill>
              <w14:schemeClr w14:val="tx1"/>
            </w14:solidFill>
          </w14:textFill>
        </w:rPr>
        <w:t xml:space="preserve">  当委托人认定咨询人执行的专业咨询业务不符合相关规范时，有向行业主管部门申诉的权利。</w:t>
      </w:r>
    </w:p>
    <w:p w14:paraId="3E710421">
      <w:pPr>
        <w:shd w:val="clear"/>
        <w:ind w:right="19" w:rightChars="8"/>
        <w:jc w:val="center"/>
        <w:rPr>
          <w:rFonts w:hint="eastAsia" w:ascii="宋体" w:hAnsi="宋体"/>
          <w:b/>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咨询人的责任</w:t>
      </w:r>
    </w:p>
    <w:p w14:paraId="3F0B4D3E">
      <w:pPr>
        <w:shd w:val="clear"/>
        <w:spacing w:line="440" w:lineRule="exact"/>
        <w:ind w:right="19" w:rightChars="8"/>
        <w:rPr>
          <w:rFonts w:hint="eastAsia" w:ascii="宋体" w:hAnsi="宋体"/>
          <w:b/>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　　</w:t>
      </w:r>
      <w:r>
        <w:rPr>
          <w:rFonts w:hint="eastAsia" w:ascii="宋体" w:hAnsi="宋体"/>
          <w:b/>
          <w:color w:val="000000" w:themeColor="text1"/>
          <w:szCs w:val="24"/>
          <w:highlight w:val="none"/>
          <w:lang w:eastAsia="zh-CN"/>
          <w14:textFill>
            <w14:solidFill>
              <w14:schemeClr w14:val="tx1"/>
            </w14:solidFill>
          </w14:textFill>
        </w:rPr>
        <w:t>第二十条</w:t>
      </w:r>
      <w:r>
        <w:rPr>
          <w:rFonts w:hint="eastAsia" w:ascii="宋体" w:hAnsi="宋体"/>
          <w:color w:val="000000" w:themeColor="text1"/>
          <w:szCs w:val="24"/>
          <w:highlight w:val="none"/>
          <w:lang w:eastAsia="zh-CN"/>
          <w14:textFill>
            <w14:solidFill>
              <w14:schemeClr w14:val="tx1"/>
            </w14:solidFill>
          </w14:textFill>
        </w:rPr>
        <w:t>　咨询人的责任期即建设工程造价咨询合同有效期。咨询人责任期内，应当履行建设工程造价咨询合同中约定的义务。因咨询人的单方过失造成的经济损失，应当向委托人进行赔偿。累计赔偿总额不应超过建设工程造价咨询酬金总额（除去税金）。</w:t>
      </w:r>
    </w:p>
    <w:p w14:paraId="3FB558D6">
      <w:pPr>
        <w:shd w:val="clear"/>
        <w:spacing w:line="440" w:lineRule="exact"/>
        <w:ind w:right="19" w:rightChars="8"/>
        <w:rPr>
          <w:rFonts w:hint="eastAsia" w:ascii="宋体" w:hAnsi="宋体"/>
          <w:b/>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　　第二十一条</w:t>
      </w:r>
      <w:r>
        <w:rPr>
          <w:rFonts w:hint="eastAsia" w:ascii="宋体" w:hAnsi="宋体"/>
          <w:color w:val="000000" w:themeColor="text1"/>
          <w:szCs w:val="24"/>
          <w:highlight w:val="none"/>
          <w:lang w:eastAsia="zh-CN"/>
          <w14:textFill>
            <w14:solidFill>
              <w14:schemeClr w14:val="tx1"/>
            </w14:solidFill>
          </w14:textFill>
        </w:rPr>
        <w:t>　咨询人对委托人或第三人所提出的咨询业务范围内的问题不能及时核对或答复，导致合同不能全部或部分履行，咨询人应承担相应的责任。</w:t>
      </w:r>
    </w:p>
    <w:p w14:paraId="6D3432A3">
      <w:pPr>
        <w:shd w:val="clear"/>
        <w:spacing w:line="440" w:lineRule="exact"/>
        <w:ind w:right="19" w:rightChars="8"/>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　　第二十二条</w:t>
      </w:r>
      <w:r>
        <w:rPr>
          <w:rFonts w:hint="eastAsia" w:ascii="宋体" w:hAnsi="宋体"/>
          <w:color w:val="000000" w:themeColor="text1"/>
          <w:szCs w:val="24"/>
          <w:highlight w:val="none"/>
          <w:lang w:eastAsia="zh-CN"/>
          <w14:textFill>
            <w14:solidFill>
              <w14:schemeClr w14:val="tx1"/>
            </w14:solidFill>
          </w14:textFill>
        </w:rPr>
        <w:t>　咨询人向委托人提出赔偿要求不能成立时，则应补偿由于该赔偿或其他要求所导致委托人的各种费用的支出。</w:t>
      </w:r>
    </w:p>
    <w:p w14:paraId="770FE206">
      <w:pPr>
        <w:shd w:val="clear"/>
        <w:ind w:right="19" w:rightChars="8"/>
        <w:jc w:val="center"/>
        <w:rPr>
          <w:rFonts w:hint="eastAsia" w:ascii="宋体" w:hAnsi="宋体"/>
          <w:b/>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委托人的责任</w:t>
      </w:r>
    </w:p>
    <w:p w14:paraId="51FB7BAD">
      <w:pPr>
        <w:shd w:val="clear"/>
        <w:spacing w:line="440" w:lineRule="exact"/>
        <w:ind w:right="19" w:rightChars="8"/>
        <w:rPr>
          <w:rFonts w:hint="eastAsia" w:ascii="宋体" w:hAnsi="宋体"/>
          <w:b/>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　　第二十三条</w:t>
      </w:r>
      <w:r>
        <w:rPr>
          <w:rFonts w:hint="eastAsia" w:ascii="宋体" w:hAnsi="宋体"/>
          <w:color w:val="000000" w:themeColor="text1"/>
          <w:szCs w:val="24"/>
          <w:highlight w:val="none"/>
          <w:lang w:eastAsia="zh-CN"/>
          <w14:textFill>
            <w14:solidFill>
              <w14:schemeClr w14:val="tx1"/>
            </w14:solidFill>
          </w14:textFill>
        </w:rPr>
        <w:t>　委托人应当履行建设工程造价咨询合同约定的义务，如有违反则应当承担违约责任，赔偿给咨询人造成的损失。</w:t>
      </w:r>
    </w:p>
    <w:p w14:paraId="5073785F">
      <w:pPr>
        <w:shd w:val="clear"/>
        <w:spacing w:line="440" w:lineRule="exact"/>
        <w:ind w:right="19" w:rightChars="8"/>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　　第二十四条</w:t>
      </w:r>
      <w:r>
        <w:rPr>
          <w:rFonts w:hint="eastAsia" w:ascii="宋体" w:hAnsi="宋体"/>
          <w:color w:val="000000" w:themeColor="text1"/>
          <w:szCs w:val="24"/>
          <w:highlight w:val="none"/>
          <w:lang w:eastAsia="zh-CN"/>
          <w14:textFill>
            <w14:solidFill>
              <w14:schemeClr w14:val="tx1"/>
            </w14:solidFill>
          </w14:textFill>
        </w:rPr>
        <w:t>　委托人如果向咨询人提出赔偿或其他要求不能成立时，则应补偿由于该赔偿或其他要求所导致咨询人的各种费用的支出。</w:t>
      </w:r>
    </w:p>
    <w:p w14:paraId="3F51E4BC">
      <w:pPr>
        <w:shd w:val="clear"/>
        <w:ind w:right="19" w:rightChars="8" w:firstLine="2650" w:firstLineChars="1100"/>
        <w:rPr>
          <w:rFonts w:hint="eastAsia" w:ascii="宋体" w:hAnsi="宋体"/>
          <w:b/>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合同生效、变更与终止</w:t>
      </w:r>
    </w:p>
    <w:p w14:paraId="1F24EA73">
      <w:pPr>
        <w:shd w:val="clear"/>
        <w:spacing w:line="440" w:lineRule="exact"/>
        <w:ind w:right="19" w:rightChars="8"/>
        <w:rPr>
          <w:rFonts w:hint="eastAsia" w:ascii="宋体" w:hAnsi="宋体"/>
          <w:b/>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　　</w:t>
      </w:r>
      <w:r>
        <w:rPr>
          <w:rFonts w:hint="eastAsia" w:ascii="宋体" w:hAnsi="宋体"/>
          <w:b/>
          <w:color w:val="000000" w:themeColor="text1"/>
          <w:szCs w:val="24"/>
          <w:highlight w:val="none"/>
          <w:lang w:eastAsia="zh-CN"/>
          <w14:textFill>
            <w14:solidFill>
              <w14:schemeClr w14:val="tx1"/>
            </w14:solidFill>
          </w14:textFill>
        </w:rPr>
        <w:t>第二十五条</w:t>
      </w:r>
      <w:r>
        <w:rPr>
          <w:rFonts w:hint="eastAsia" w:ascii="宋体" w:hAnsi="宋体"/>
          <w:color w:val="000000" w:themeColor="text1"/>
          <w:szCs w:val="24"/>
          <w:highlight w:val="none"/>
          <w:lang w:eastAsia="zh-CN"/>
          <w14:textFill>
            <w14:solidFill>
              <w14:schemeClr w14:val="tx1"/>
            </w14:solidFill>
          </w14:textFill>
        </w:rPr>
        <w:t>　本合同自双方签字盖章之日起生效。</w:t>
      </w:r>
    </w:p>
    <w:p w14:paraId="02B178DF">
      <w:pPr>
        <w:shd w:val="clear"/>
        <w:spacing w:line="440" w:lineRule="exact"/>
        <w:ind w:right="19" w:rightChars="8"/>
        <w:rPr>
          <w:rFonts w:hint="eastAsia" w:ascii="宋体" w:hAnsi="宋体"/>
          <w:b/>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　　第二十六条</w:t>
      </w:r>
      <w:r>
        <w:rPr>
          <w:rFonts w:hint="eastAsia" w:ascii="宋体" w:hAnsi="宋体"/>
          <w:color w:val="000000" w:themeColor="text1"/>
          <w:szCs w:val="24"/>
          <w:highlight w:val="none"/>
          <w:lang w:eastAsia="zh-CN"/>
          <w14:textFill>
            <w14:solidFill>
              <w14:schemeClr w14:val="tx1"/>
            </w14:solidFill>
          </w14:textFill>
        </w:rPr>
        <w:t>　由于委托人或第三人的原因使咨询人工作受到阻碍或重复以致增加了工作量，则咨询人应当将此情况与可能产生的影响及时书面通知委托人。由此增加的工作量视为额外服务，完成建设工程造价咨询工作的时间应当相应延长。</w:t>
      </w:r>
    </w:p>
    <w:p w14:paraId="58BF6EA9">
      <w:pPr>
        <w:shd w:val="clear"/>
        <w:spacing w:line="440" w:lineRule="exact"/>
        <w:ind w:right="19" w:rightChars="8"/>
        <w:rPr>
          <w:rFonts w:hint="eastAsia" w:ascii="宋体" w:hAnsi="宋体"/>
          <w:b/>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　　第二十七条</w:t>
      </w:r>
      <w:r>
        <w:rPr>
          <w:rFonts w:hint="eastAsia" w:ascii="宋体" w:hAnsi="宋体"/>
          <w:color w:val="000000" w:themeColor="text1"/>
          <w:szCs w:val="24"/>
          <w:highlight w:val="none"/>
          <w:lang w:eastAsia="zh-CN"/>
          <w14:textFill>
            <w14:solidFill>
              <w14:schemeClr w14:val="tx1"/>
            </w14:solidFill>
          </w14:textFill>
        </w:rPr>
        <w:t>　当事人一方要求变更或解除合同时，则应当在7个工作日前通知对方；因变更或解除合同使一方遭受损失的，应由责任方负责赔偿。</w:t>
      </w:r>
    </w:p>
    <w:p w14:paraId="29E28D3F">
      <w:pPr>
        <w:shd w:val="clear"/>
        <w:spacing w:line="440" w:lineRule="exact"/>
        <w:ind w:right="19" w:rightChars="8"/>
        <w:rPr>
          <w:rFonts w:hint="eastAsia" w:ascii="宋体" w:hAnsi="宋体"/>
          <w:b/>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　　第二十八条</w:t>
      </w:r>
      <w:r>
        <w:rPr>
          <w:rFonts w:hint="eastAsia" w:ascii="宋体" w:hAnsi="宋体"/>
          <w:color w:val="000000" w:themeColor="text1"/>
          <w:szCs w:val="24"/>
          <w:highlight w:val="none"/>
          <w:lang w:eastAsia="zh-CN"/>
          <w14:textFill>
            <w14:solidFill>
              <w14:schemeClr w14:val="tx1"/>
            </w14:solidFill>
          </w14:textFill>
        </w:rPr>
        <w:t>　咨询人由于非自身原因暂停或中止执行建设工程造价咨询业务，由此而增加的恢复执行建设工程造价咨询业务的工作，应视为额外服务，有权得到额外的时间。</w:t>
      </w:r>
    </w:p>
    <w:p w14:paraId="4A9902D3">
      <w:pPr>
        <w:shd w:val="clear"/>
        <w:spacing w:line="440" w:lineRule="exact"/>
        <w:ind w:right="19" w:rightChars="8"/>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　　第二十九条</w:t>
      </w:r>
      <w:r>
        <w:rPr>
          <w:rFonts w:hint="eastAsia" w:ascii="宋体" w:hAnsi="宋体"/>
          <w:color w:val="000000" w:themeColor="text1"/>
          <w:szCs w:val="24"/>
          <w:highlight w:val="none"/>
          <w:lang w:eastAsia="zh-CN"/>
          <w14:textFill>
            <w14:solidFill>
              <w14:schemeClr w14:val="tx1"/>
            </w14:solidFill>
          </w14:textFill>
        </w:rPr>
        <w:t>　变更或解除合同的通知或协议应当采取书面形式，新的协议未达成之前，原合同仍然有效。</w:t>
      </w:r>
    </w:p>
    <w:p w14:paraId="44B29874">
      <w:pPr>
        <w:shd w:val="clear"/>
        <w:ind w:right="19" w:rightChars="8" w:firstLine="3373" w:firstLineChars="1400"/>
        <w:rPr>
          <w:rFonts w:hint="eastAsia" w:ascii="宋体" w:hAnsi="宋体"/>
          <w:b/>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咨询业务酬金</w:t>
      </w:r>
    </w:p>
    <w:p w14:paraId="1D00830F">
      <w:pPr>
        <w:shd w:val="clear"/>
        <w:spacing w:line="440" w:lineRule="exact"/>
        <w:ind w:right="19" w:rightChars="8"/>
        <w:rPr>
          <w:rFonts w:hint="eastAsia" w:ascii="宋体" w:hAnsi="宋体"/>
          <w:b/>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　　第三十条</w:t>
      </w:r>
      <w:r>
        <w:rPr>
          <w:rFonts w:hint="eastAsia" w:ascii="宋体" w:hAnsi="宋体"/>
          <w:color w:val="000000" w:themeColor="text1"/>
          <w:szCs w:val="24"/>
          <w:highlight w:val="none"/>
          <w:lang w:eastAsia="zh-CN"/>
          <w14:textFill>
            <w14:solidFill>
              <w14:schemeClr w14:val="tx1"/>
            </w14:solidFill>
          </w14:textFill>
        </w:rPr>
        <w:t>　正常服务，附加服务和额外服务的酬金，按照建设工程造价咨询合同专用条款约定的方法计取，并按约定的时间、数额和币种支付。</w:t>
      </w:r>
    </w:p>
    <w:p w14:paraId="3607CF74">
      <w:pPr>
        <w:shd w:val="clear"/>
        <w:spacing w:line="440" w:lineRule="exact"/>
        <w:ind w:right="19" w:rightChars="8" w:firstLine="495"/>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第三十一条</w:t>
      </w:r>
      <w:r>
        <w:rPr>
          <w:rFonts w:hint="eastAsia" w:ascii="宋体" w:hAnsi="宋体"/>
          <w:color w:val="000000" w:themeColor="text1"/>
          <w:szCs w:val="24"/>
          <w:highlight w:val="none"/>
          <w:lang w:eastAsia="zh-CN"/>
          <w14:textFill>
            <w14:solidFill>
              <w14:schemeClr w14:val="tx1"/>
            </w14:solidFill>
          </w14:textFill>
        </w:rPr>
        <w:t>　如果委托人在规定的支付期限内未支付建设工程造价咨询酬金，应向咨询人说明原因并及时支付。</w:t>
      </w:r>
    </w:p>
    <w:p w14:paraId="73233DA8">
      <w:pPr>
        <w:shd w:val="clear"/>
        <w:spacing w:line="440" w:lineRule="exact"/>
        <w:ind w:right="19" w:rightChars="8"/>
        <w:rPr>
          <w:rFonts w:hint="eastAsia" w:ascii="宋体" w:hAnsi="宋体"/>
          <w:b/>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　　第三十二条</w:t>
      </w:r>
      <w:r>
        <w:rPr>
          <w:rFonts w:hint="eastAsia" w:ascii="宋体" w:hAnsi="宋体"/>
          <w:color w:val="000000" w:themeColor="text1"/>
          <w:szCs w:val="24"/>
          <w:highlight w:val="none"/>
          <w:lang w:eastAsia="zh-CN"/>
          <w14:textFill>
            <w14:solidFill>
              <w14:schemeClr w14:val="tx1"/>
            </w14:solidFill>
          </w14:textFill>
        </w:rPr>
        <w:t>　如果委托人对咨询人提交的支付通知书中酬金或部分酬金项目提出异议，应当在收到支付通知书七日内向咨询人发出异议的通知，但委托人不得拖延其无异议部分酬金的支付。</w:t>
      </w:r>
    </w:p>
    <w:p w14:paraId="3F614093">
      <w:pPr>
        <w:shd w:val="clear"/>
        <w:spacing w:line="440" w:lineRule="exact"/>
        <w:ind w:right="19" w:rightChars="8"/>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　　第三十三条</w:t>
      </w:r>
      <w:r>
        <w:rPr>
          <w:rFonts w:hint="eastAsia" w:ascii="宋体" w:hAnsi="宋体"/>
          <w:color w:val="000000" w:themeColor="text1"/>
          <w:szCs w:val="24"/>
          <w:highlight w:val="none"/>
          <w:lang w:eastAsia="zh-CN"/>
          <w14:textFill>
            <w14:solidFill>
              <w14:schemeClr w14:val="tx1"/>
            </w14:solidFill>
          </w14:textFill>
        </w:rPr>
        <w:t>　支付建设工程造价咨询酬金所采取的货币币种、汇率由合同专用条款约定。</w:t>
      </w:r>
    </w:p>
    <w:p w14:paraId="607DA9A6">
      <w:pPr>
        <w:shd w:val="clear"/>
        <w:ind w:right="19" w:rightChars="8" w:firstLine="3373" w:firstLineChars="1400"/>
        <w:rPr>
          <w:rFonts w:hint="eastAsia" w:ascii="宋体" w:hAnsi="宋体"/>
          <w:b/>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其　　他</w:t>
      </w:r>
    </w:p>
    <w:p w14:paraId="5B91F461">
      <w:pPr>
        <w:shd w:val="clear"/>
        <w:spacing w:line="440" w:lineRule="exact"/>
        <w:ind w:right="19" w:rightChars="8"/>
        <w:rPr>
          <w:rFonts w:hint="eastAsia" w:ascii="宋体" w:hAnsi="宋体"/>
          <w:b/>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　　第三十四条</w:t>
      </w:r>
      <w:r>
        <w:rPr>
          <w:rFonts w:hint="eastAsia" w:ascii="宋体" w:hAnsi="宋体"/>
          <w:color w:val="000000" w:themeColor="text1"/>
          <w:szCs w:val="24"/>
          <w:highlight w:val="none"/>
          <w:lang w:eastAsia="zh-CN"/>
          <w14:textFill>
            <w14:solidFill>
              <w14:schemeClr w14:val="tx1"/>
            </w14:solidFill>
          </w14:textFill>
        </w:rPr>
        <w:t>　因建设工程造价咨询业务的需要，咨询人在合同约定外的外出考察，经委托人同意，其所需费用由委托人负责。</w:t>
      </w:r>
    </w:p>
    <w:p w14:paraId="5A0B9B81">
      <w:pPr>
        <w:shd w:val="clear"/>
        <w:spacing w:line="440" w:lineRule="exact"/>
        <w:ind w:right="19" w:rightChars="8"/>
        <w:rPr>
          <w:rFonts w:hint="eastAsia" w:ascii="宋体" w:hAnsi="宋体"/>
          <w:b/>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　　第三十五条</w:t>
      </w:r>
      <w:r>
        <w:rPr>
          <w:rFonts w:hint="eastAsia" w:ascii="宋体" w:hAnsi="宋体"/>
          <w:color w:val="000000" w:themeColor="text1"/>
          <w:szCs w:val="24"/>
          <w:highlight w:val="none"/>
          <w:lang w:eastAsia="zh-CN"/>
          <w14:textFill>
            <w14:solidFill>
              <w14:schemeClr w14:val="tx1"/>
            </w14:solidFill>
          </w14:textFill>
        </w:rPr>
        <w:t>　咨询人如需外聘专家协助，在委托的建设工程造价咨询业务范围内其费用由咨询人承担；在委托的建设工程造价咨询业务范围以外经委托人认可其费用由委托人承担。</w:t>
      </w:r>
    </w:p>
    <w:p w14:paraId="5EFB95EB">
      <w:pPr>
        <w:shd w:val="clear"/>
        <w:spacing w:line="440" w:lineRule="exact"/>
        <w:ind w:right="19" w:rightChars="8"/>
        <w:rPr>
          <w:rFonts w:hint="eastAsia" w:ascii="宋体" w:hAnsi="宋体"/>
          <w:b/>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　　第三十六条</w:t>
      </w:r>
      <w:r>
        <w:rPr>
          <w:rFonts w:hint="eastAsia" w:ascii="宋体" w:hAnsi="宋体"/>
          <w:color w:val="000000" w:themeColor="text1"/>
          <w:szCs w:val="24"/>
          <w:highlight w:val="none"/>
          <w:lang w:eastAsia="zh-CN"/>
          <w14:textFill>
            <w14:solidFill>
              <w14:schemeClr w14:val="tx1"/>
            </w14:solidFill>
          </w14:textFill>
        </w:rPr>
        <w:t>　未经对方的书面同意，各方均不得转让合同约定的权利和义务。</w:t>
      </w:r>
    </w:p>
    <w:p w14:paraId="43A154C7">
      <w:pPr>
        <w:shd w:val="clear"/>
        <w:spacing w:line="440" w:lineRule="exact"/>
        <w:ind w:right="19" w:rightChars="8"/>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　　第三十七条</w:t>
      </w:r>
      <w:r>
        <w:rPr>
          <w:rFonts w:hint="eastAsia" w:ascii="宋体" w:hAnsi="宋体"/>
          <w:color w:val="000000" w:themeColor="text1"/>
          <w:szCs w:val="24"/>
          <w:highlight w:val="none"/>
          <w:lang w:eastAsia="zh-CN"/>
          <w14:textFill>
            <w14:solidFill>
              <w14:schemeClr w14:val="tx1"/>
            </w14:solidFill>
          </w14:textFill>
        </w:rPr>
        <w:t xml:space="preserve">  咨询人应对咨询报告的质量负责，委托人有对咨询工作和实施效果进行评价的权利。评价时间在咨询成果报告提交后一个月完成，并根据有关规定填写《咨询效果评价意见表》。对评价结果有争议时，以项目所在地造价行业主管部门裁定意见为准。</w:t>
      </w:r>
    </w:p>
    <w:p w14:paraId="4BB5F651">
      <w:pPr>
        <w:shd w:val="clear"/>
        <w:ind w:right="19" w:rightChars="8" w:firstLine="435"/>
        <w:rPr>
          <w:rFonts w:hint="eastAsia" w:ascii="宋体" w:hAnsi="宋体"/>
          <w:color w:val="000000" w:themeColor="text1"/>
          <w:szCs w:val="24"/>
          <w:highlight w:val="none"/>
          <w:lang w:eastAsia="zh-CN"/>
          <w14:textFill>
            <w14:solidFill>
              <w14:schemeClr w14:val="tx1"/>
            </w14:solidFill>
          </w14:textFill>
        </w:rPr>
      </w:pPr>
    </w:p>
    <w:p w14:paraId="73436CDD">
      <w:pPr>
        <w:shd w:val="clear"/>
        <w:ind w:right="19" w:rightChars="8"/>
        <w:jc w:val="center"/>
        <w:rPr>
          <w:rFonts w:hint="eastAsia" w:ascii="宋体" w:hAnsi="宋体"/>
          <w:b/>
          <w:color w:val="000000" w:themeColor="text1"/>
          <w:szCs w:val="24"/>
          <w:highlight w:val="none"/>
          <w:lang w:eastAsia="zh-CN"/>
          <w14:textFill>
            <w14:solidFill>
              <w14:schemeClr w14:val="tx1"/>
            </w14:solidFill>
          </w14:textFill>
        </w:rPr>
      </w:pPr>
    </w:p>
    <w:p w14:paraId="2CEB88C5">
      <w:pPr>
        <w:shd w:val="clear"/>
        <w:ind w:right="19" w:rightChars="8"/>
        <w:jc w:val="center"/>
        <w:rPr>
          <w:rFonts w:hint="eastAsia" w:ascii="宋体" w:hAnsi="宋体"/>
          <w:b/>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合同争议的解决</w:t>
      </w:r>
    </w:p>
    <w:p w14:paraId="65789001">
      <w:pPr>
        <w:shd w:val="clear"/>
        <w:ind w:right="19" w:rightChars="8"/>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　　第三十九条</w:t>
      </w:r>
      <w:r>
        <w:rPr>
          <w:rFonts w:hint="eastAsia" w:ascii="宋体" w:hAnsi="宋体"/>
          <w:color w:val="000000" w:themeColor="text1"/>
          <w:szCs w:val="24"/>
          <w:highlight w:val="none"/>
          <w:lang w:eastAsia="zh-CN"/>
          <w14:textFill>
            <w14:solidFill>
              <w14:schemeClr w14:val="tx1"/>
            </w14:solidFill>
          </w14:textFill>
        </w:rPr>
        <w:t>　因违约或终止合同而引起的损失和损害的赔偿，委托人与咨询人之间应当协商解决；如未能达成一致，可提交有关主管部门调解；协商或调解不成的，根据双方约定提交仲裁机关仲裁，或向人民法院提起诉讼。</w:t>
      </w:r>
    </w:p>
    <w:p w14:paraId="536F0D8E">
      <w:pPr>
        <w:shd w:val="clear"/>
        <w:ind w:right="19" w:rightChars="8"/>
        <w:rPr>
          <w:rFonts w:hint="eastAsia" w:ascii="宋体" w:hAnsi="宋体"/>
          <w:color w:val="000000" w:themeColor="text1"/>
          <w:szCs w:val="24"/>
          <w:highlight w:val="none"/>
          <w:lang w:eastAsia="zh-CN"/>
          <w14:textFill>
            <w14:solidFill>
              <w14:schemeClr w14:val="tx1"/>
            </w14:solidFill>
          </w14:textFill>
        </w:rPr>
      </w:pPr>
    </w:p>
    <w:p w14:paraId="289EA378">
      <w:pPr>
        <w:shd w:val="clear"/>
        <w:ind w:right="19" w:rightChars="8"/>
        <w:jc w:val="center"/>
        <w:rPr>
          <w:rFonts w:hint="eastAsia" w:ascii="宋体" w:hAnsi="宋体"/>
          <w:b/>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第三部分　建设工程造价咨询合同专用条款</w:t>
      </w:r>
    </w:p>
    <w:p w14:paraId="5591F51F">
      <w:pPr>
        <w:shd w:val="clear"/>
        <w:spacing w:line="440" w:lineRule="exact"/>
        <w:ind w:right="19" w:rightChars="8" w:firstLine="482" w:firstLineChars="20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第一条</w:t>
      </w:r>
      <w:r>
        <w:rPr>
          <w:rFonts w:hint="eastAsia" w:ascii="宋体" w:hAnsi="宋体"/>
          <w:color w:val="000000" w:themeColor="text1"/>
          <w:szCs w:val="24"/>
          <w:highlight w:val="none"/>
          <w:lang w:eastAsia="zh-CN"/>
          <w14:textFill>
            <w14:solidFill>
              <w14:schemeClr w14:val="tx1"/>
            </w14:solidFill>
          </w14:textFill>
        </w:rPr>
        <w:t xml:space="preserve">  本合同适用的法律、法规及工程造价计价办法和规定</w:t>
      </w:r>
    </w:p>
    <w:p w14:paraId="0970A78F">
      <w:pPr>
        <w:shd w:val="clear"/>
        <w:spacing w:line="440" w:lineRule="exact"/>
        <w:ind w:right="19" w:rightChars="8" w:firstLine="480" w:firstLineChars="200"/>
        <w:rPr>
          <w:rFonts w:hint="eastAsia" w:ascii="宋体" w:hAnsi="宋体"/>
          <w:color w:val="000000" w:themeColor="text1"/>
          <w:szCs w:val="24"/>
          <w:highlight w:val="none"/>
          <w:u w:val="singl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1．适用法律和法规：</w:t>
      </w:r>
      <w:r>
        <w:rPr>
          <w:rFonts w:hint="eastAsia" w:ascii="宋体" w:hAnsi="宋体"/>
          <w:color w:val="000000" w:themeColor="text1"/>
          <w:szCs w:val="24"/>
          <w:highlight w:val="none"/>
          <w:u w:val="single"/>
          <w:lang w:eastAsia="zh-CN"/>
          <w14:textFill>
            <w14:solidFill>
              <w14:schemeClr w14:val="tx1"/>
            </w14:solidFill>
          </w14:textFill>
        </w:rPr>
        <w:t>《中华人民共和国建筑法》、《中华人民共和国招标投标法》、《中华人民共和国民法典》、《江苏省建筑市场管理条例》、《江苏省工程造价管理办法》及省、市建设主管部门发布的有关现行政策性文件等。</w:t>
      </w:r>
    </w:p>
    <w:p w14:paraId="266E7C8B">
      <w:pPr>
        <w:shd w:val="clear"/>
        <w:spacing w:line="440" w:lineRule="exact"/>
        <w:ind w:right="19" w:rightChars="8" w:firstLine="480" w:firstLineChars="20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2．工程造价计价办法：</w:t>
      </w:r>
      <w:r>
        <w:rPr>
          <w:rFonts w:hint="eastAsia" w:ascii="宋体" w:hAnsi="宋体" w:cs="宋体"/>
          <w:color w:val="000000" w:themeColor="text1"/>
          <w:szCs w:val="24"/>
          <w:highlight w:val="none"/>
          <w:u w:val="single"/>
          <w:lang w:eastAsia="zh-CN"/>
          <w14:textFill>
            <w14:solidFill>
              <w14:schemeClr w14:val="tx1"/>
            </w14:solidFill>
          </w14:textFill>
        </w:rPr>
        <w:t>《中华人民共和国审计法》、《江苏省国家建设项目审计监督办法》、《</w:t>
      </w:r>
      <w:r>
        <w:rPr>
          <w:rFonts w:hint="eastAsia" w:ascii="宋体" w:hAnsi="宋体" w:cs="宋体"/>
          <w:color w:val="000000" w:themeColor="text1"/>
          <w:szCs w:val="24"/>
          <w:highlight w:val="none"/>
          <w:u w:val="single"/>
          <w14:textFill>
            <w14:solidFill>
              <w14:schemeClr w14:val="tx1"/>
            </w14:solidFill>
          </w14:textFill>
        </w:rPr>
        <w:fldChar w:fldCharType="begin"/>
      </w:r>
      <w:r>
        <w:rPr>
          <w:rFonts w:hint="eastAsia" w:ascii="宋体" w:hAnsi="宋体" w:cs="宋体"/>
          <w:color w:val="000000" w:themeColor="text1"/>
          <w:szCs w:val="24"/>
          <w:highlight w:val="none"/>
          <w:u w:val="single"/>
          <w:lang w:eastAsia="zh-CN"/>
          <w14:textFill>
            <w14:solidFill>
              <w14:schemeClr w14:val="tx1"/>
            </w14:solidFill>
          </w14:textFill>
        </w:rPr>
        <w:instrText xml:space="preserve"> HYPERLINK "http://ssjj.nj.gov.cn/cps/site/ssjj/index3-504.htm" </w:instrText>
      </w:r>
      <w:r>
        <w:rPr>
          <w:rFonts w:hint="eastAsia" w:ascii="宋体" w:hAnsi="宋体" w:cs="宋体"/>
          <w:color w:val="000000" w:themeColor="text1"/>
          <w:szCs w:val="24"/>
          <w:highlight w:val="none"/>
          <w:u w:val="single"/>
          <w14:textFill>
            <w14:solidFill>
              <w14:schemeClr w14:val="tx1"/>
            </w14:solidFill>
          </w14:textFill>
        </w:rPr>
        <w:fldChar w:fldCharType="separate"/>
      </w:r>
      <w:r>
        <w:rPr>
          <w:rFonts w:hint="eastAsia" w:ascii="宋体" w:hAnsi="宋体" w:cs="宋体"/>
          <w:color w:val="000000" w:themeColor="text1"/>
          <w:szCs w:val="24"/>
          <w:highlight w:val="none"/>
          <w:u w:val="single"/>
          <w:lang w:eastAsia="zh-CN"/>
          <w14:textFill>
            <w14:solidFill>
              <w14:schemeClr w14:val="tx1"/>
            </w14:solidFill>
          </w14:textFill>
        </w:rPr>
        <w:t>南京市政府投资项目审计监督暂行办法</w:t>
      </w:r>
      <w:r>
        <w:rPr>
          <w:rFonts w:hint="eastAsia" w:ascii="宋体" w:hAnsi="宋体" w:cs="宋体"/>
          <w:color w:val="000000" w:themeColor="text1"/>
          <w:szCs w:val="24"/>
          <w:highlight w:val="none"/>
          <w:u w:val="single"/>
          <w14:textFill>
            <w14:solidFill>
              <w14:schemeClr w14:val="tx1"/>
            </w14:solidFill>
          </w14:textFill>
        </w:rPr>
        <w:fldChar w:fldCharType="end"/>
      </w:r>
      <w:r>
        <w:rPr>
          <w:rFonts w:hint="eastAsia" w:ascii="宋体" w:hAnsi="宋体" w:cs="宋体"/>
          <w:color w:val="000000" w:themeColor="text1"/>
          <w:szCs w:val="24"/>
          <w:highlight w:val="none"/>
          <w:u w:val="single"/>
          <w:lang w:eastAsia="zh-CN"/>
          <w14:textFill>
            <w14:solidFill>
              <w14:schemeClr w14:val="tx1"/>
            </w14:solidFill>
          </w14:textFill>
        </w:rPr>
        <w:t>》、《建设工程工程量清单计价规范》（</w:t>
      </w:r>
      <w:r>
        <w:rPr>
          <w:rFonts w:ascii="宋体" w:hAnsi="宋体" w:cs="宋体"/>
          <w:color w:val="000000" w:themeColor="text1"/>
          <w:szCs w:val="24"/>
          <w:highlight w:val="none"/>
          <w:u w:val="single"/>
          <w:lang w:eastAsia="zh-CN"/>
          <w14:textFill>
            <w14:solidFill>
              <w14:schemeClr w14:val="tx1"/>
            </w14:solidFill>
          </w14:textFill>
        </w:rPr>
        <w:t>GB50500-2013）；《江苏省市政工程计价定额》（2014版）</w:t>
      </w:r>
      <w:r>
        <w:rPr>
          <w:rFonts w:hint="eastAsia" w:ascii="宋体" w:hAnsi="宋体" w:cs="宋体"/>
          <w:color w:val="000000" w:themeColor="text1"/>
          <w:szCs w:val="24"/>
          <w:highlight w:val="none"/>
          <w:u w:val="single"/>
          <w:lang w:eastAsia="zh-CN"/>
          <w14:textFill>
            <w14:solidFill>
              <w14:schemeClr w14:val="tx1"/>
            </w14:solidFill>
          </w14:textFill>
        </w:rPr>
        <w:t>建标[2013]44号文；《江苏省建设工程费用定额》（</w:t>
      </w:r>
      <w:r>
        <w:rPr>
          <w:rFonts w:ascii="宋体" w:hAnsi="宋体" w:cs="宋体"/>
          <w:color w:val="000000" w:themeColor="text1"/>
          <w:szCs w:val="24"/>
          <w:highlight w:val="none"/>
          <w:u w:val="single"/>
          <w:lang w:eastAsia="zh-CN"/>
          <w14:textFill>
            <w14:solidFill>
              <w14:schemeClr w14:val="tx1"/>
            </w14:solidFill>
          </w14:textFill>
        </w:rPr>
        <w:t xml:space="preserve">2014 </w:t>
      </w:r>
      <w:r>
        <w:rPr>
          <w:rFonts w:hint="eastAsia" w:ascii="宋体" w:hAnsi="宋体" w:cs="宋体"/>
          <w:color w:val="000000" w:themeColor="text1"/>
          <w:szCs w:val="24"/>
          <w:highlight w:val="none"/>
          <w:u w:val="single"/>
          <w:lang w:eastAsia="zh-CN"/>
          <w14:textFill>
            <w14:solidFill>
              <w14:schemeClr w14:val="tx1"/>
            </w14:solidFill>
          </w14:textFill>
        </w:rPr>
        <w:t>年）；</w:t>
      </w:r>
      <w:r>
        <w:rPr>
          <w:rFonts w:ascii="宋体" w:hAnsi="宋体" w:cs="宋体"/>
          <w:color w:val="000000" w:themeColor="text1"/>
          <w:szCs w:val="24"/>
          <w:highlight w:val="none"/>
          <w:u w:val="single"/>
          <w:lang w:eastAsia="zh-CN"/>
          <w14:textFill>
            <w14:solidFill>
              <w14:schemeClr w14:val="tx1"/>
            </w14:solidFill>
          </w14:textFill>
        </w:rPr>
        <w:t>《江苏省建筑与装饰工程计价定额》（2014版）；《江苏省安装工程计价定额》（2014）；</w:t>
      </w:r>
      <w:r>
        <w:rPr>
          <w:rFonts w:hint="eastAsia" w:ascii="宋体" w:hAnsi="宋体" w:cs="宋体"/>
          <w:color w:val="000000" w:themeColor="text1"/>
          <w:szCs w:val="24"/>
          <w:highlight w:val="none"/>
          <w:u w:val="single"/>
          <w:lang w:eastAsia="zh-CN"/>
          <w14:textFill>
            <w14:solidFill>
              <w14:schemeClr w14:val="tx1"/>
            </w14:solidFill>
          </w14:textFill>
        </w:rPr>
        <w:t xml:space="preserve">苏建函价[2016]117号及省市建委发布的有关文件及政策规定等现行政策性文件。  </w:t>
      </w:r>
      <w:r>
        <w:rPr>
          <w:rFonts w:hint="eastAsia" w:ascii="宋体" w:hAnsi="宋体"/>
          <w:color w:val="000000" w:themeColor="text1"/>
          <w:szCs w:val="24"/>
          <w:highlight w:val="none"/>
          <w:u w:val="single"/>
          <w:lang w:eastAsia="zh-CN"/>
          <w14:textFill>
            <w14:solidFill>
              <w14:schemeClr w14:val="tx1"/>
            </w14:solidFill>
          </w14:textFill>
        </w:rPr>
        <w:t xml:space="preserve"> </w:t>
      </w:r>
      <w:r>
        <w:rPr>
          <w:rFonts w:hint="eastAsia" w:ascii="宋体" w:hAnsi="宋体"/>
          <w:color w:val="000000" w:themeColor="text1"/>
          <w:szCs w:val="24"/>
          <w:highlight w:val="none"/>
          <w:lang w:eastAsia="zh-CN"/>
          <w14:textFill>
            <w14:solidFill>
              <w14:schemeClr w14:val="tx1"/>
            </w14:solidFill>
          </w14:textFill>
        </w:rPr>
        <w:t xml:space="preserve">         </w:t>
      </w:r>
    </w:p>
    <w:p w14:paraId="4E8F537F">
      <w:pPr>
        <w:shd w:val="clear"/>
        <w:ind w:left="480" w:leftChars="200" w:firstLine="120" w:firstLineChars="50"/>
        <w:rPr>
          <w:rFonts w:hint="eastAsia"/>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3．标准规范：</w:t>
      </w:r>
      <w:r>
        <w:rPr>
          <w:rFonts w:hint="eastAsia" w:ascii="宋体" w:hAnsi="宋体"/>
          <w:color w:val="000000" w:themeColor="text1"/>
          <w:szCs w:val="24"/>
          <w:highlight w:val="none"/>
          <w:u w:val="single"/>
          <w:lang w:eastAsia="zh-CN"/>
          <w14:textFill>
            <w14:solidFill>
              <w14:schemeClr w14:val="tx1"/>
            </w14:solidFill>
          </w14:textFill>
        </w:rPr>
        <w:t>现行标准、规范、图集。</w:t>
      </w:r>
    </w:p>
    <w:p w14:paraId="54AE727A">
      <w:pPr>
        <w:shd w:val="clear"/>
        <w:spacing w:line="440" w:lineRule="exact"/>
        <w:ind w:right="19" w:rightChars="8" w:firstLine="472" w:firstLineChars="196"/>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 xml:space="preserve">第二条 </w:t>
      </w:r>
      <w:r>
        <w:rPr>
          <w:rFonts w:hint="eastAsia" w:ascii="宋体" w:hAnsi="宋体"/>
          <w:color w:val="000000" w:themeColor="text1"/>
          <w:szCs w:val="24"/>
          <w:highlight w:val="none"/>
          <w:lang w:eastAsia="zh-CN"/>
          <w14:textFill>
            <w14:solidFill>
              <w14:schemeClr w14:val="tx1"/>
            </w14:solidFill>
          </w14:textFill>
        </w:rPr>
        <w:t xml:space="preserve"> 本合同咨询项目负责人由</w:t>
      </w:r>
      <w:r>
        <w:rPr>
          <w:rFonts w:hint="eastAsia" w:ascii="宋体" w:hAnsi="宋体"/>
          <w:color w:val="000000" w:themeColor="text1"/>
          <w:szCs w:val="24"/>
          <w:highlight w:val="none"/>
          <w:u w:val="single"/>
          <w:lang w:eastAsia="zh-CN"/>
          <w14:textFill>
            <w14:solidFill>
              <w14:schemeClr w14:val="tx1"/>
            </w14:solidFill>
          </w14:textFill>
        </w:rPr>
        <w:t xml:space="preserve">      </w:t>
      </w:r>
      <w:r>
        <w:rPr>
          <w:rFonts w:hint="eastAsia" w:ascii="宋体" w:hAnsi="宋体"/>
          <w:color w:val="000000" w:themeColor="text1"/>
          <w:szCs w:val="24"/>
          <w:highlight w:val="none"/>
          <w:lang w:eastAsia="zh-CN"/>
          <w14:textFill>
            <w14:solidFill>
              <w14:schemeClr w14:val="tx1"/>
            </w14:solidFill>
          </w14:textFill>
        </w:rPr>
        <w:t>担任，负责本咨询项目的具体实施及与委托方的联系等事宜，跟踪审计小组人员名单如下:</w:t>
      </w:r>
    </w:p>
    <w:p w14:paraId="0BE9EE1D">
      <w:pPr>
        <w:shd w:val="clear"/>
        <w:spacing w:line="440" w:lineRule="exact"/>
        <w:ind w:right="19" w:rightChars="8" w:firstLine="472" w:firstLineChars="196"/>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第三条</w:t>
      </w:r>
      <w:r>
        <w:rPr>
          <w:rFonts w:hint="eastAsia" w:ascii="宋体" w:hAnsi="宋体"/>
          <w:color w:val="000000" w:themeColor="text1"/>
          <w:szCs w:val="24"/>
          <w:highlight w:val="none"/>
          <w:lang w:eastAsia="zh-CN"/>
          <w14:textFill>
            <w14:solidFill>
              <w14:schemeClr w14:val="tx1"/>
            </w14:solidFill>
          </w14:textFill>
        </w:rPr>
        <w:t>　建设工程造价咨询业务范围及内容</w:t>
      </w:r>
    </w:p>
    <w:p w14:paraId="50F8965A">
      <w:pPr>
        <w:shd w:val="clear"/>
        <w:ind w:firstLine="480" w:firstLineChars="200"/>
        <w:jc w:val="both"/>
        <w:rPr>
          <w:rFonts w:hint="eastAsia" w:ascii="宋体" w:hAnsi="宋体"/>
          <w:color w:val="000000" w:themeColor="text1"/>
          <w:szCs w:val="24"/>
          <w:highlight w:val="none"/>
          <w:u w:val="singl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 xml:space="preserve"> 1．委托工程造价咨询的工程范围：</w:t>
      </w:r>
      <w:r>
        <w:rPr>
          <w:rFonts w:hint="eastAsia" w:ascii="宋体" w:hAnsi="宋体"/>
          <w:color w:val="000000" w:themeColor="text1"/>
          <w:szCs w:val="24"/>
          <w:highlight w:val="none"/>
          <w:u w:val="single"/>
          <w:lang w:eastAsia="zh-CN"/>
          <w14:textFill>
            <w14:solidFill>
              <w14:schemeClr w14:val="tx1"/>
            </w14:solidFill>
          </w14:textFill>
        </w:rPr>
        <w:t xml:space="preserve"> 　          </w:t>
      </w:r>
    </w:p>
    <w:p w14:paraId="0AFB97A9">
      <w:pPr>
        <w:shd w:val="clear"/>
        <w:spacing w:line="440" w:lineRule="exact"/>
        <w:ind w:right="19" w:rightChars="8" w:firstLine="480" w:firstLineChars="200"/>
        <w:rPr>
          <w:rFonts w:hint="eastAsia" w:ascii="宋体" w:hAnsi="宋体"/>
          <w:color w:val="000000" w:themeColor="text1"/>
          <w:szCs w:val="24"/>
          <w:highlight w:val="none"/>
          <w:u w:val="singl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2．委托工程造价咨询业务的内容：</w:t>
      </w:r>
      <w:r>
        <w:rPr>
          <w:rFonts w:hint="eastAsia" w:ascii="宋体" w:hAnsi="宋体"/>
          <w:color w:val="000000" w:themeColor="text1"/>
          <w:szCs w:val="24"/>
          <w:highlight w:val="none"/>
          <w:u w:val="single"/>
          <w:lang w:eastAsia="zh-CN"/>
          <w14:textFill>
            <w14:solidFill>
              <w14:schemeClr w14:val="tx1"/>
            </w14:solidFill>
          </w14:textFill>
        </w:rPr>
        <w:t xml:space="preserve"> 　          </w:t>
      </w:r>
    </w:p>
    <w:p w14:paraId="17B079AC">
      <w:pPr>
        <w:shd w:val="clear"/>
        <w:spacing w:line="440" w:lineRule="exact"/>
        <w:ind w:right="19" w:rightChars="8" w:firstLine="482" w:firstLineChars="20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第四条</w:t>
      </w:r>
      <w:r>
        <w:rPr>
          <w:rFonts w:hint="eastAsia" w:ascii="宋体" w:hAnsi="宋体"/>
          <w:color w:val="000000" w:themeColor="text1"/>
          <w:szCs w:val="24"/>
          <w:highlight w:val="none"/>
          <w:lang w:eastAsia="zh-CN"/>
          <w14:textFill>
            <w14:solidFill>
              <w14:schemeClr w14:val="tx1"/>
            </w14:solidFill>
          </w14:textFill>
        </w:rPr>
        <w:t xml:space="preserve">  委托人要求咨询人配备齐专业审计人员，建设过程中不得更换，每周例会按时参加，在关键节点部位必须做到随叫随到，及时出具咨询结论，必要时增加审计力量。</w:t>
      </w:r>
    </w:p>
    <w:p w14:paraId="5E1E82AF">
      <w:pPr>
        <w:shd w:val="clear"/>
        <w:spacing w:line="440" w:lineRule="exact"/>
        <w:ind w:right="19" w:rightChars="8" w:firstLine="472" w:firstLineChars="196"/>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第五条</w:t>
      </w:r>
      <w:r>
        <w:rPr>
          <w:rFonts w:hint="eastAsia" w:ascii="宋体" w:hAnsi="宋体"/>
          <w:color w:val="000000" w:themeColor="text1"/>
          <w:szCs w:val="24"/>
          <w:highlight w:val="none"/>
          <w:lang w:eastAsia="zh-CN"/>
          <w14:textFill>
            <w14:solidFill>
              <w14:schemeClr w14:val="tx1"/>
            </w14:solidFill>
          </w14:textFill>
        </w:rPr>
        <w:t>　双方约定的咨询人应提供的建设工程造价咨询材料及提供时间：</w:t>
      </w:r>
      <w:r>
        <w:rPr>
          <w:rFonts w:hint="eastAsia" w:ascii="宋体" w:hAnsi="宋体"/>
          <w:color w:val="000000" w:themeColor="text1"/>
          <w:szCs w:val="24"/>
          <w:highlight w:val="none"/>
          <w:u w:val="single"/>
          <w:lang w:eastAsia="zh-CN"/>
          <w14:textFill>
            <w14:solidFill>
              <w14:schemeClr w14:val="tx1"/>
            </w14:solidFill>
          </w14:textFill>
        </w:rPr>
        <w:t>按委托人给定的时间要求及时完成。</w:t>
      </w:r>
    </w:p>
    <w:p w14:paraId="7AF9F5A5">
      <w:pPr>
        <w:shd w:val="clear"/>
        <w:spacing w:line="440" w:lineRule="exact"/>
        <w:ind w:right="19" w:rightChars="8" w:firstLine="472" w:firstLineChars="196"/>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第六条</w:t>
      </w:r>
      <w:r>
        <w:rPr>
          <w:rFonts w:hint="eastAsia" w:ascii="宋体" w:hAnsi="宋体"/>
          <w:color w:val="000000" w:themeColor="text1"/>
          <w:szCs w:val="24"/>
          <w:highlight w:val="none"/>
          <w:lang w:eastAsia="zh-CN"/>
          <w14:textFill>
            <w14:solidFill>
              <w14:schemeClr w14:val="tx1"/>
            </w14:solidFill>
          </w14:textFill>
        </w:rPr>
        <w:t>　委托人应在</w:t>
      </w:r>
      <w:r>
        <w:rPr>
          <w:rFonts w:hint="eastAsia" w:ascii="宋体" w:hAnsi="宋体"/>
          <w:color w:val="000000" w:themeColor="text1"/>
          <w:szCs w:val="24"/>
          <w:highlight w:val="none"/>
          <w:u w:val="single"/>
          <w:lang w:eastAsia="zh-CN"/>
          <w14:textFill>
            <w14:solidFill>
              <w14:schemeClr w14:val="tx1"/>
            </w14:solidFill>
          </w14:textFill>
        </w:rPr>
        <w:t xml:space="preserve">　   </w:t>
      </w:r>
      <w:r>
        <w:rPr>
          <w:rFonts w:hint="eastAsia" w:ascii="宋体" w:hAnsi="宋体"/>
          <w:color w:val="000000" w:themeColor="text1"/>
          <w:szCs w:val="24"/>
          <w:highlight w:val="none"/>
          <w:lang w:eastAsia="zh-CN"/>
          <w14:textFill>
            <w14:solidFill>
              <w14:schemeClr w14:val="tx1"/>
            </w14:solidFill>
          </w14:textFill>
        </w:rPr>
        <w:t>日内对咨询人书面提交并要求做出答复的事宜做出书面答复。</w:t>
      </w:r>
    </w:p>
    <w:p w14:paraId="4FD6F66F">
      <w:pPr>
        <w:shd w:val="clear"/>
        <w:spacing w:line="440" w:lineRule="exact"/>
        <w:ind w:right="19" w:rightChars="8" w:firstLine="472" w:firstLineChars="196"/>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第七条</w:t>
      </w:r>
      <w:r>
        <w:rPr>
          <w:rFonts w:hint="eastAsia" w:ascii="宋体" w:hAnsi="宋体"/>
          <w:color w:val="000000" w:themeColor="text1"/>
          <w:szCs w:val="24"/>
          <w:highlight w:val="none"/>
          <w:lang w:eastAsia="zh-CN"/>
          <w14:textFill>
            <w14:solidFill>
              <w14:schemeClr w14:val="tx1"/>
            </w14:solidFill>
          </w14:textFill>
        </w:rPr>
        <w:t xml:space="preserve">  委托人授权</w:t>
      </w:r>
      <w:r>
        <w:rPr>
          <w:rFonts w:hint="eastAsia" w:ascii="宋体" w:hAnsi="宋体"/>
          <w:color w:val="000000" w:themeColor="text1"/>
          <w:szCs w:val="24"/>
          <w:highlight w:val="none"/>
          <w:u w:val="single"/>
          <w:lang w:eastAsia="zh-CN"/>
          <w14:textFill>
            <w14:solidFill>
              <w14:schemeClr w14:val="tx1"/>
            </w14:solidFill>
          </w14:textFill>
        </w:rPr>
        <w:t xml:space="preserve">        </w:t>
      </w:r>
      <w:r>
        <w:rPr>
          <w:rFonts w:hint="eastAsia" w:ascii="宋体" w:hAnsi="宋体"/>
          <w:color w:val="000000" w:themeColor="text1"/>
          <w:szCs w:val="24"/>
          <w:highlight w:val="none"/>
          <w:lang w:eastAsia="zh-CN"/>
          <w14:textFill>
            <w14:solidFill>
              <w14:schemeClr w14:val="tx1"/>
            </w14:solidFill>
          </w14:textFill>
        </w:rPr>
        <w:t>为本咨询业务的代表，负责与咨询人联系。</w:t>
      </w:r>
    </w:p>
    <w:p w14:paraId="2AAED44C">
      <w:pPr>
        <w:shd w:val="clear"/>
        <w:spacing w:line="440" w:lineRule="exact"/>
        <w:ind w:right="19" w:rightChars="8" w:firstLine="482" w:firstLineChars="20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第八条</w:t>
      </w:r>
      <w:r>
        <w:rPr>
          <w:rFonts w:hint="eastAsia" w:ascii="宋体" w:hAnsi="宋体"/>
          <w:color w:val="000000" w:themeColor="text1"/>
          <w:szCs w:val="24"/>
          <w:highlight w:val="none"/>
          <w:lang w:eastAsia="zh-CN"/>
          <w14:textFill>
            <w14:solidFill>
              <w14:schemeClr w14:val="tx1"/>
            </w14:solidFill>
          </w14:textFill>
        </w:rPr>
        <w:t xml:space="preserve">  委托人对其提供资料的真实性、完整性和有效性负责，由此造成的咨询人工作的缺陷或失误及额外工作由委托人负责对咨询人进行赔偿。</w:t>
      </w:r>
    </w:p>
    <w:p w14:paraId="6D210794">
      <w:pPr>
        <w:shd w:val="clear"/>
        <w:spacing w:line="440" w:lineRule="exact"/>
        <w:ind w:right="19" w:rightChars="8" w:firstLine="472" w:firstLineChars="196"/>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第九条</w:t>
      </w:r>
      <w:r>
        <w:rPr>
          <w:rFonts w:hint="eastAsia" w:ascii="宋体" w:hAnsi="宋体"/>
          <w:color w:val="000000" w:themeColor="text1"/>
          <w:szCs w:val="24"/>
          <w:highlight w:val="none"/>
          <w:lang w:eastAsia="zh-CN"/>
          <w14:textFill>
            <w14:solidFill>
              <w14:schemeClr w14:val="tx1"/>
            </w14:solidFill>
          </w14:textFill>
        </w:rPr>
        <w:t xml:space="preserve">  咨询人发生额外工作包括： </w:t>
      </w:r>
    </w:p>
    <w:p w14:paraId="1D8FBB6F">
      <w:pPr>
        <w:shd w:val="clear"/>
        <w:spacing w:line="440" w:lineRule="exact"/>
        <w:ind w:right="19" w:rightChars="8" w:firstLine="480" w:firstLineChars="20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□由于委托人提供的图纸等条件发生变化，咨询人根据变化的条件资料发生的重复咨询工作；</w:t>
      </w:r>
    </w:p>
    <w:p w14:paraId="31E53D4D">
      <w:pPr>
        <w:shd w:val="clear"/>
        <w:spacing w:line="440" w:lineRule="exact"/>
        <w:ind w:right="19" w:rightChars="8" w:firstLine="480" w:firstLineChars="20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□其它。</w:t>
      </w:r>
    </w:p>
    <w:p w14:paraId="45710F45">
      <w:pPr>
        <w:shd w:val="clear"/>
        <w:spacing w:line="440" w:lineRule="exact"/>
        <w:ind w:right="19" w:rightChars="8" w:firstLine="472" w:firstLineChars="196"/>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第十条</w:t>
      </w:r>
      <w:r>
        <w:rPr>
          <w:rFonts w:hint="eastAsia" w:ascii="宋体" w:hAnsi="宋体"/>
          <w:color w:val="000000" w:themeColor="text1"/>
          <w:szCs w:val="24"/>
          <w:highlight w:val="none"/>
          <w:lang w:eastAsia="zh-CN"/>
          <w14:textFill>
            <w14:solidFill>
              <w14:schemeClr w14:val="tx1"/>
            </w14:solidFill>
          </w14:textFill>
        </w:rPr>
        <w:t>　委托人同意按以下的计算方法、支付时间与金额，支付咨询人的正常服务酬金：</w:t>
      </w:r>
    </w:p>
    <w:p w14:paraId="30235B38">
      <w:pPr>
        <w:shd w:val="clear"/>
        <w:spacing w:line="440" w:lineRule="exact"/>
        <w:ind w:right="19" w:rightChars="8" w:firstLine="480" w:firstLineChars="20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1、正常酬金计算方法</w:t>
      </w:r>
    </w:p>
    <w:p w14:paraId="20911E91">
      <w:pPr>
        <w:shd w:val="clear"/>
        <w:spacing w:line="440" w:lineRule="exact"/>
        <w:ind w:right="19" w:rightChars="8"/>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根据江苏省工程造价行业主管部门及物价部门的有关规定，本项目的咨询服务酬金计算方法为：</w:t>
      </w:r>
    </w:p>
    <w:p w14:paraId="028D8884">
      <w:pPr>
        <w:shd w:val="clear"/>
        <w:spacing w:line="440" w:lineRule="exact"/>
        <w:ind w:right="19" w:rightChars="8"/>
        <w:rPr>
          <w:rFonts w:hint="eastAsia" w:ascii="宋体" w:hAnsi="宋体" w:eastAsia="宋体" w:cs="宋体"/>
          <w:color w:val="000000" w:themeColor="text1"/>
          <w:szCs w:val="24"/>
          <w:highlight w:val="none"/>
          <w:lang w:eastAsia="zh-CN"/>
          <w14:textFill>
            <w14:solidFill>
              <w14:schemeClr w14:val="tx1"/>
            </w14:solidFill>
          </w14:textFill>
        </w:rPr>
      </w:pPr>
      <w:r>
        <w:rPr>
          <w:rFonts w:hint="eastAsia" w:ascii="宋体" w:hAnsi="宋体" w:eastAsia="宋体" w:cs="宋体"/>
          <w:color w:val="000000" w:themeColor="text1"/>
          <w:szCs w:val="24"/>
          <w:highlight w:val="none"/>
          <w:lang w:eastAsia="zh-CN"/>
          <w14:textFill>
            <w14:solidFill>
              <w14:schemeClr w14:val="tx1"/>
            </w14:solidFill>
          </w14:textFill>
        </w:rPr>
        <w:t>按《苏价服[2014]383号》文件收费标准的</w:t>
      </w:r>
      <w:r>
        <w:rPr>
          <w:rFonts w:hint="eastAsia" w:ascii="宋体" w:hAnsi="宋体" w:eastAsia="宋体" w:cs="宋体"/>
          <w:color w:val="000000" w:themeColor="text1"/>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4"/>
          <w:highlight w:val="none"/>
          <w:lang w:eastAsia="zh-CN"/>
          <w14:textFill>
            <w14:solidFill>
              <w14:schemeClr w14:val="tx1"/>
            </w14:solidFill>
          </w14:textFill>
        </w:rPr>
        <w:t>%</w:t>
      </w:r>
      <w:r>
        <w:rPr>
          <w:rFonts w:hint="eastAsia" w:ascii="宋体" w:hAnsi="宋体" w:eastAsia="宋体" w:cs="宋体"/>
          <w:color w:val="000000" w:themeColor="text1"/>
          <w:szCs w:val="24"/>
          <w:highlight w:val="none"/>
          <w:lang w:val="en-US" w:eastAsia="zh-CN"/>
          <w14:textFill>
            <w14:solidFill>
              <w14:schemeClr w14:val="tx1"/>
            </w14:solidFill>
          </w14:textFill>
        </w:rPr>
        <w:t>计费</w:t>
      </w:r>
      <w:r>
        <w:rPr>
          <w:rFonts w:hint="eastAsia" w:ascii="宋体" w:hAnsi="宋体" w:eastAsia="宋体" w:cs="宋体"/>
          <w:color w:val="000000" w:themeColor="text1"/>
          <w:szCs w:val="24"/>
          <w:highlight w:val="none"/>
          <w:lang w:eastAsia="zh-CN"/>
          <w14:textFill>
            <w14:solidFill>
              <w14:schemeClr w14:val="tx1"/>
            </w14:solidFill>
          </w14:textFill>
        </w:rPr>
        <w:t>，不足</w:t>
      </w:r>
      <w:r>
        <w:rPr>
          <w:rFonts w:hint="eastAsia" w:ascii="宋体" w:hAnsi="宋体" w:eastAsia="宋体" w:cs="宋体"/>
          <w:color w:val="000000" w:themeColor="text1"/>
          <w:szCs w:val="24"/>
          <w:highlight w:val="none"/>
          <w:lang w:val="en-US" w:eastAsia="zh-CN"/>
          <w14:textFill>
            <w14:solidFill>
              <w14:schemeClr w14:val="tx1"/>
            </w14:solidFill>
          </w14:textFill>
        </w:rPr>
        <w:t>1000元按</w:t>
      </w:r>
      <w:r>
        <w:rPr>
          <w:rFonts w:hint="eastAsia" w:ascii="宋体" w:hAnsi="宋体" w:eastAsia="宋体" w:cs="宋体"/>
          <w:color w:val="000000" w:themeColor="text1"/>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4"/>
          <w:highlight w:val="none"/>
          <w:lang w:val="en-US" w:eastAsia="zh-CN"/>
          <w14:textFill>
            <w14:solidFill>
              <w14:schemeClr w14:val="tx1"/>
            </w14:solidFill>
          </w14:textFill>
        </w:rPr>
        <w:t>元计取</w:t>
      </w:r>
      <w:r>
        <w:rPr>
          <w:rFonts w:hint="eastAsia" w:ascii="宋体" w:hAnsi="宋体" w:eastAsia="宋体" w:cs="宋体"/>
          <w:color w:val="000000" w:themeColor="text1"/>
          <w:szCs w:val="24"/>
          <w:highlight w:val="none"/>
          <w:lang w:eastAsia="zh-CN"/>
          <w14:textFill>
            <w14:solidFill>
              <w14:schemeClr w14:val="tx1"/>
            </w14:solidFill>
          </w14:textFill>
        </w:rPr>
        <w:t>。</w:t>
      </w:r>
    </w:p>
    <w:p w14:paraId="047BE3CC">
      <w:pPr>
        <w:shd w:val="clear"/>
        <w:spacing w:line="440" w:lineRule="exact"/>
        <w:ind w:right="19" w:rightChars="8" w:firstLine="42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2、正常酬金支付方式：</w:t>
      </w:r>
    </w:p>
    <w:p w14:paraId="732F2D64">
      <w:pPr>
        <w:shd w:val="clear"/>
        <w:spacing w:line="440" w:lineRule="exact"/>
        <w:ind w:right="19" w:rightChars="8" w:firstLine="470" w:firstLineChars="196"/>
        <w:rPr>
          <w:rFonts w:hint="eastAsia" w:ascii="Times New Roman" w:hAnsi="Times New Roman" w:cs="Times New Roman"/>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eastAsia="zh-CN"/>
          <w14:textFill>
            <w14:solidFill>
              <w14:schemeClr w14:val="tx1"/>
            </w14:solidFill>
          </w14:textFill>
        </w:rPr>
        <w:t>按实结算，每半年</w:t>
      </w:r>
      <w:r>
        <w:rPr>
          <w:rFonts w:hint="eastAsia" w:ascii="Times New Roman" w:hAnsi="Times New Roman" w:cs="Times New Roman"/>
          <w:color w:val="000000" w:themeColor="text1"/>
          <w:szCs w:val="21"/>
          <w:highlight w:val="none"/>
          <w14:textFill>
            <w14:solidFill>
              <w14:schemeClr w14:val="tx1"/>
            </w14:solidFill>
          </w14:textFill>
        </w:rPr>
        <w:t>支付</w:t>
      </w:r>
      <w:r>
        <w:rPr>
          <w:rFonts w:hint="eastAsia" w:ascii="Times New Roman" w:hAnsi="Times New Roman" w:cs="Times New Roman"/>
          <w:color w:val="000000" w:themeColor="text1"/>
          <w:szCs w:val="21"/>
          <w:highlight w:val="none"/>
          <w:lang w:eastAsia="zh-CN"/>
          <w14:textFill>
            <w14:solidFill>
              <w14:schemeClr w14:val="tx1"/>
            </w14:solidFill>
          </w14:textFill>
        </w:rPr>
        <w:t>一次，经双方确认后支付已完工作量审计费。若审计核减额超过</w:t>
      </w:r>
      <w:r>
        <w:rPr>
          <w:rFonts w:hint="eastAsia" w:ascii="Times New Roman" w:hAnsi="Times New Roman" w:cs="Times New Roman"/>
          <w:color w:val="000000" w:themeColor="text1"/>
          <w:szCs w:val="21"/>
          <w:highlight w:val="none"/>
          <w:lang w:val="en-US" w:eastAsia="zh-CN"/>
          <w14:textFill>
            <w14:solidFill>
              <w14:schemeClr w14:val="tx1"/>
            </w14:solidFill>
          </w14:textFill>
        </w:rPr>
        <w:t>10%（不含），该审计费用由被审计单位支付。</w:t>
      </w:r>
    </w:p>
    <w:p w14:paraId="196CFE3F">
      <w:pPr>
        <w:shd w:val="clear"/>
        <w:spacing w:line="440" w:lineRule="exact"/>
        <w:ind w:right="19" w:rightChars="8" w:firstLine="472" w:firstLineChars="196"/>
        <w:rPr>
          <w:rFonts w:hint="eastAsia" w:ascii="宋体" w:hAnsi="宋体"/>
          <w:color w:val="000000" w:themeColor="text1"/>
          <w:szCs w:val="24"/>
          <w:highlight w:val="none"/>
          <w:u w:val="singl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第十一条</w:t>
      </w:r>
      <w:r>
        <w:rPr>
          <w:rFonts w:hint="eastAsia" w:ascii="宋体" w:hAnsi="宋体"/>
          <w:color w:val="000000" w:themeColor="text1"/>
          <w:szCs w:val="24"/>
          <w:highlight w:val="none"/>
          <w:lang w:eastAsia="zh-CN"/>
          <w14:textFill>
            <w14:solidFill>
              <w14:schemeClr w14:val="tx1"/>
            </w14:solidFill>
          </w14:textFill>
        </w:rPr>
        <w:t>　双方同意用</w:t>
      </w:r>
      <w:r>
        <w:rPr>
          <w:rFonts w:hint="eastAsia" w:ascii="宋体" w:hAnsi="宋体"/>
          <w:b/>
          <w:color w:val="000000" w:themeColor="text1"/>
          <w:szCs w:val="24"/>
          <w:highlight w:val="none"/>
          <w:u w:val="single"/>
          <w:lang w:eastAsia="zh-CN"/>
          <w14:textFill>
            <w14:solidFill>
              <w14:schemeClr w14:val="tx1"/>
            </w14:solidFill>
          </w14:textFill>
        </w:rPr>
        <w:t>人民币</w:t>
      </w:r>
      <w:r>
        <w:rPr>
          <w:rFonts w:hint="eastAsia" w:ascii="宋体" w:hAnsi="宋体"/>
          <w:color w:val="000000" w:themeColor="text1"/>
          <w:szCs w:val="24"/>
          <w:highlight w:val="none"/>
          <w:lang w:eastAsia="zh-CN"/>
          <w14:textFill>
            <w14:solidFill>
              <w14:schemeClr w14:val="tx1"/>
            </w14:solidFill>
          </w14:textFill>
        </w:rPr>
        <w:t>支付酬金，按</w:t>
      </w:r>
      <w:r>
        <w:rPr>
          <w:rFonts w:hint="eastAsia" w:ascii="宋体" w:hAnsi="宋体"/>
          <w:color w:val="000000" w:themeColor="text1"/>
          <w:szCs w:val="24"/>
          <w:highlight w:val="none"/>
          <w:u w:val="single"/>
          <w:lang w:eastAsia="zh-CN"/>
          <w14:textFill>
            <w14:solidFill>
              <w14:schemeClr w14:val="tx1"/>
            </w14:solidFill>
          </w14:textFill>
        </w:rPr>
        <w:t>　/　</w:t>
      </w:r>
      <w:r>
        <w:rPr>
          <w:rFonts w:hint="eastAsia" w:ascii="宋体" w:hAnsi="宋体"/>
          <w:color w:val="000000" w:themeColor="text1"/>
          <w:szCs w:val="24"/>
          <w:highlight w:val="none"/>
          <w:lang w:eastAsia="zh-CN"/>
          <w14:textFill>
            <w14:solidFill>
              <w14:schemeClr w14:val="tx1"/>
            </w14:solidFill>
          </w14:textFill>
        </w:rPr>
        <w:t>汇率计付。</w:t>
      </w:r>
    </w:p>
    <w:p w14:paraId="47A9513A">
      <w:pPr>
        <w:shd w:val="clear"/>
        <w:spacing w:line="440" w:lineRule="exact"/>
        <w:ind w:right="19" w:rightChars="8" w:firstLine="472" w:firstLineChars="196"/>
        <w:rPr>
          <w:rFonts w:hint="eastAsia" w:ascii="宋体" w:hAnsi="宋体" w:cs="宋体"/>
          <w:color w:val="000000" w:themeColor="text1"/>
          <w:szCs w:val="24"/>
          <w:highlight w:val="none"/>
          <w:u w:val="singl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第十二条</w:t>
      </w:r>
      <w:r>
        <w:rPr>
          <w:rFonts w:hint="eastAsia" w:ascii="宋体" w:hAnsi="宋体"/>
          <w:color w:val="000000" w:themeColor="text1"/>
          <w:szCs w:val="24"/>
          <w:highlight w:val="none"/>
          <w:lang w:eastAsia="zh-CN"/>
          <w14:textFill>
            <w14:solidFill>
              <w14:schemeClr w14:val="tx1"/>
            </w14:solidFill>
          </w14:textFill>
        </w:rPr>
        <w:t xml:space="preserve">  咨询人依据造价行业主管部门及国家的有关规定及要求开展造价咨询工作，咨询质量满足委托方及行业主管的要求。咨询人提交的咨询成果报告须文字清晰整齐，有较强的可复查性。</w:t>
      </w:r>
    </w:p>
    <w:p w14:paraId="12A51E81">
      <w:pPr>
        <w:shd w:val="clear"/>
        <w:spacing w:line="440" w:lineRule="exact"/>
        <w:ind w:right="19" w:rightChars="8" w:firstLine="482" w:firstLineChars="20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b/>
          <w:color w:val="000000" w:themeColor="text1"/>
          <w:szCs w:val="24"/>
          <w:highlight w:val="none"/>
          <w:lang w:eastAsia="zh-CN"/>
          <w14:textFill>
            <w14:solidFill>
              <w14:schemeClr w14:val="tx1"/>
            </w14:solidFill>
          </w14:textFill>
        </w:rPr>
        <w:t>第十三条</w:t>
      </w:r>
      <w:r>
        <w:rPr>
          <w:rFonts w:hint="eastAsia" w:ascii="宋体" w:hAnsi="宋体"/>
          <w:color w:val="000000" w:themeColor="text1"/>
          <w:szCs w:val="24"/>
          <w:highlight w:val="none"/>
          <w:lang w:eastAsia="zh-CN"/>
          <w14:textFill>
            <w14:solidFill>
              <w14:schemeClr w14:val="tx1"/>
            </w14:solidFill>
          </w14:textFill>
        </w:rPr>
        <w:t>　建设工程造价咨询合同在履行过程中发生争议，委托人与咨询人应及时协商解决；如未能达成一致，可提交有关主管部门调解；协商或调解不成的，按下列第</w:t>
      </w:r>
      <w:r>
        <w:rPr>
          <w:rFonts w:hint="eastAsia" w:ascii="宋体" w:hAnsi="宋体"/>
          <w:b/>
          <w:color w:val="000000" w:themeColor="text1"/>
          <w:szCs w:val="24"/>
          <w:highlight w:val="none"/>
          <w:u w:val="single"/>
          <w:lang w:eastAsia="zh-CN"/>
          <w14:textFill>
            <w14:solidFill>
              <w14:schemeClr w14:val="tx1"/>
            </w14:solidFill>
          </w14:textFill>
        </w:rPr>
        <w:t>2</w:t>
      </w:r>
      <w:r>
        <w:rPr>
          <w:rFonts w:hint="eastAsia" w:ascii="宋体" w:hAnsi="宋体"/>
          <w:color w:val="000000" w:themeColor="text1"/>
          <w:szCs w:val="24"/>
          <w:highlight w:val="none"/>
          <w:lang w:eastAsia="zh-CN"/>
          <w14:textFill>
            <w14:solidFill>
              <w14:schemeClr w14:val="tx1"/>
            </w14:solidFill>
          </w14:textFill>
        </w:rPr>
        <w:t>种方式解决：</w:t>
      </w:r>
    </w:p>
    <w:p w14:paraId="419B14F2">
      <w:pPr>
        <w:shd w:val="clear"/>
        <w:spacing w:line="440" w:lineRule="exact"/>
        <w:ind w:right="19" w:rightChars="8" w:firstLine="480" w:firstLineChars="200"/>
        <w:rPr>
          <w:rFonts w:hint="eastAsia"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1、提交</w:t>
      </w:r>
      <w:r>
        <w:rPr>
          <w:rFonts w:hint="eastAsia" w:ascii="宋体" w:hAnsi="宋体"/>
          <w:color w:val="000000" w:themeColor="text1"/>
          <w:szCs w:val="24"/>
          <w:highlight w:val="none"/>
          <w:u w:val="single"/>
          <w:lang w:eastAsia="zh-CN"/>
          <w14:textFill>
            <w14:solidFill>
              <w14:schemeClr w14:val="tx1"/>
            </w14:solidFill>
          </w14:textFill>
        </w:rPr>
        <w:t>　　　　　　</w:t>
      </w:r>
      <w:r>
        <w:rPr>
          <w:rFonts w:hint="eastAsia" w:ascii="宋体" w:hAnsi="宋体"/>
          <w:color w:val="000000" w:themeColor="text1"/>
          <w:szCs w:val="24"/>
          <w:highlight w:val="none"/>
          <w:lang w:eastAsia="zh-CN"/>
          <w14:textFill>
            <w14:solidFill>
              <w14:schemeClr w14:val="tx1"/>
            </w14:solidFill>
          </w14:textFill>
        </w:rPr>
        <w:t>仲裁委员会仲裁；</w:t>
      </w:r>
    </w:p>
    <w:p w14:paraId="45666CBC">
      <w:pPr>
        <w:shd w:val="clear"/>
        <w:spacing w:line="440" w:lineRule="exact"/>
        <w:ind w:right="19" w:rightChars="8" w:firstLine="480" w:firstLineChars="200"/>
        <w:rPr>
          <w:rFonts w:ascii="宋体" w:hAnsi="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2、依法向</w:t>
      </w:r>
      <w:r>
        <w:rPr>
          <w:rFonts w:hint="eastAsia" w:ascii="宋体" w:hAnsi="宋体"/>
          <w:color w:val="000000" w:themeColor="text1"/>
          <w:szCs w:val="24"/>
          <w:highlight w:val="none"/>
          <w:u w:val="single"/>
          <w:lang w:eastAsia="zh-CN"/>
          <w14:textFill>
            <w14:solidFill>
              <w14:schemeClr w14:val="tx1"/>
            </w14:solidFill>
          </w14:textFill>
        </w:rPr>
        <w:t>工程所在地</w:t>
      </w:r>
      <w:r>
        <w:rPr>
          <w:rFonts w:hint="eastAsia" w:ascii="宋体" w:hAnsi="宋体"/>
          <w:color w:val="000000" w:themeColor="text1"/>
          <w:szCs w:val="24"/>
          <w:highlight w:val="none"/>
          <w:lang w:eastAsia="zh-CN"/>
          <w14:textFill>
            <w14:solidFill>
              <w14:schemeClr w14:val="tx1"/>
            </w14:solidFill>
          </w14:textFill>
        </w:rPr>
        <w:t>人民法院起诉。</w:t>
      </w:r>
      <w:r>
        <w:rPr>
          <w:rFonts w:hint="eastAsia" w:ascii="宋体" w:hAnsi="宋体"/>
          <w:b/>
          <w:color w:val="000000" w:themeColor="text1"/>
          <w:szCs w:val="24"/>
          <w:highlight w:val="none"/>
          <w:lang w:eastAsia="zh-CN"/>
          <w14:textFill>
            <w14:solidFill>
              <w14:schemeClr w14:val="tx1"/>
            </w14:solidFill>
          </w14:textFill>
        </w:rPr>
        <w:t xml:space="preserve">   </w:t>
      </w:r>
    </w:p>
    <w:p w14:paraId="0D6FE827">
      <w:pPr>
        <w:keepNext w:val="0"/>
        <w:keepLines w:val="0"/>
        <w:shd w:val="clear"/>
        <w:kinsoku/>
        <w:wordWrap/>
        <w:overflowPunct/>
        <w:topLinePunct w:val="0"/>
        <w:autoSpaceDE/>
        <w:autoSpaceDN/>
        <w:bidi w:val="0"/>
        <w:adjustRightInd/>
        <w:snapToGrid/>
        <w:spacing w:line="360" w:lineRule="auto"/>
        <w:ind w:firstLine="482" w:firstLineChars="200"/>
        <w:jc w:val="left"/>
        <w:textAlignment w:val="auto"/>
        <w:outlineLvl w:val="9"/>
        <w:rPr>
          <w:rFonts w:hint="eastAsia"/>
          <w:b/>
          <w:bCs/>
          <w:color w:val="000000" w:themeColor="text1"/>
          <w:szCs w:val="24"/>
          <w:highlight w:val="none"/>
          <w:lang w:eastAsia="zh-CN"/>
          <w14:textFill>
            <w14:solidFill>
              <w14:schemeClr w14:val="tx1"/>
            </w14:solidFill>
          </w14:textFill>
        </w:rPr>
      </w:pPr>
      <w:r>
        <w:rPr>
          <w:rFonts w:hint="eastAsia"/>
          <w:b/>
          <w:bCs/>
          <w:color w:val="000000" w:themeColor="text1"/>
          <w:szCs w:val="24"/>
          <w:highlight w:val="none"/>
          <w:lang w:eastAsia="zh-CN"/>
          <w14:textFill>
            <w14:solidFill>
              <w14:schemeClr w14:val="tx1"/>
            </w14:solidFill>
          </w14:textFill>
        </w:rPr>
        <w:t>第十四条</w:t>
      </w:r>
      <w:r>
        <w:rPr>
          <w:rFonts w:hint="eastAsia"/>
          <w:b/>
          <w:bCs/>
          <w:color w:val="000000" w:themeColor="text1"/>
          <w:szCs w:val="24"/>
          <w:highlight w:val="none"/>
          <w:lang w:val="en-US" w:eastAsia="zh-CN"/>
          <w14:textFill>
            <w14:solidFill>
              <w14:schemeClr w14:val="tx1"/>
            </w14:solidFill>
          </w14:textFill>
        </w:rPr>
        <w:t xml:space="preserve">  </w:t>
      </w:r>
      <w:r>
        <w:rPr>
          <w:rFonts w:hint="eastAsia"/>
          <w:b/>
          <w:bCs/>
          <w:color w:val="000000" w:themeColor="text1"/>
          <w:szCs w:val="24"/>
          <w:highlight w:val="none"/>
          <w:lang w:eastAsia="zh-CN"/>
          <w14:textFill>
            <w14:solidFill>
              <w14:schemeClr w14:val="tx1"/>
            </w14:solidFill>
          </w14:textFill>
        </w:rPr>
        <w:t>补充条款</w:t>
      </w:r>
    </w:p>
    <w:p w14:paraId="5EFF1FDF">
      <w:pPr>
        <w:keepNext w:val="0"/>
        <w:keepLines w:val="0"/>
        <w:shd w:val="clea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1、严格按照苏价服（2014）383号咨询服务主要内容规定制定工作细则并实施。  </w:t>
      </w:r>
    </w:p>
    <w:p w14:paraId="2150A78C">
      <w:pPr>
        <w:keepNext w:val="0"/>
        <w:keepLines w:val="0"/>
        <w:shd w:val="clea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2、咨询人违反廉政规定，发现一人次扣款10000元，严重的，委托方还有权就此解除本合同，由此造成的所有损失由咨询人承担；剩余咨询费不再支付，已经支付的咨询费由咨询人在三日内退还，咨询人逾期不退的，每迟延一天按照应付金额的万分之五支付迟延履行违约金。</w:t>
      </w:r>
    </w:p>
    <w:p w14:paraId="5DAC3F9F">
      <w:pPr>
        <w:keepNext w:val="0"/>
        <w:keepLines w:val="0"/>
        <w:shd w:val="clea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3、因咨询人原因需更换咨询人员者，需经委托人书面同意后方可更换，同时所更换人员职称、学历和资历条件不得低于原投标人员，并需经委托人审核确认。</w:t>
      </w:r>
    </w:p>
    <w:p w14:paraId="18139CD0">
      <w:pPr>
        <w:keepNext w:val="0"/>
        <w:keepLines w:val="0"/>
        <w:shd w:val="clea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4、咨询人遵守《建设工程造价咨询合同》中约定的条款。在履行协议期间及法律法规规定的保密期限内，项目咨询人员不得泄露与项目有关的保密资料，对保密项目，应遵守有关保密规定。否则，应向委托人支付违约金人民币壹万元，违约金不足以弥补委托人损失的，委托人有权另行要求咨询人进行赔偿。</w:t>
      </w:r>
    </w:p>
    <w:p w14:paraId="09A1EE79">
      <w:pPr>
        <w:keepNext w:val="0"/>
        <w:keepLines w:val="0"/>
        <w:shd w:val="clea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5、咨询人依据造价行业主管部门及国家的有关规定及要求开展造价咨询工作，咨询质量满足委托方及行业主管的要求。根据委托人要求分项目的子项、专业等多次提供咨询成果及编制</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的</w:t>
      </w:r>
      <w:r>
        <w:rPr>
          <w:rFonts w:hint="eastAsia" w:ascii="宋体" w:hAnsi="宋体" w:cs="宋体"/>
          <w:color w:val="000000" w:themeColor="text1"/>
          <w:sz w:val="24"/>
          <w:szCs w:val="24"/>
          <w:highlight w:val="none"/>
          <w:u w:val="single"/>
          <w14:textFill>
            <w14:solidFill>
              <w14:schemeClr w14:val="tx1"/>
            </w14:solidFill>
          </w14:textFill>
        </w:rPr>
        <w:t>底稿。咨询人</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提交</w:t>
      </w:r>
      <w:r>
        <w:rPr>
          <w:rFonts w:hint="eastAsia" w:ascii="宋体" w:hAnsi="宋体" w:cs="宋体"/>
          <w:color w:val="000000" w:themeColor="text1"/>
          <w:sz w:val="24"/>
          <w:szCs w:val="24"/>
          <w:highlight w:val="none"/>
          <w:u w:val="single"/>
          <w14:textFill>
            <w14:solidFill>
              <w14:schemeClr w14:val="tx1"/>
            </w14:solidFill>
          </w14:textFill>
        </w:rPr>
        <w:t>的咨询成果报告必须文字清晰整齐，有较强的可复查性。</w:t>
      </w:r>
    </w:p>
    <w:p w14:paraId="5740FF96">
      <w:pPr>
        <w:keepNext w:val="0"/>
        <w:keepLines w:val="0"/>
        <w:shd w:val="clea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6、</w:t>
      </w:r>
      <w:r>
        <w:rPr>
          <w:rFonts w:hint="eastAsia" w:cs="宋体"/>
          <w:color w:val="000000" w:themeColor="text1"/>
          <w:kern w:val="0"/>
          <w:sz w:val="24"/>
          <w:szCs w:val="24"/>
          <w:highlight w:val="none"/>
          <w:u w:val="single"/>
          <w:lang w:val="en-US" w:eastAsia="zh-CN"/>
          <w14:textFill>
            <w14:solidFill>
              <w14:schemeClr w14:val="tx1"/>
            </w14:solidFill>
          </w14:textFill>
        </w:rPr>
        <w:t>结算审计</w:t>
      </w:r>
      <w:r>
        <w:rPr>
          <w:rFonts w:hint="eastAsia" w:ascii="宋体" w:hAnsi="宋体" w:cs="宋体"/>
          <w:color w:val="000000" w:themeColor="text1"/>
          <w:kern w:val="0"/>
          <w:sz w:val="24"/>
          <w:szCs w:val="24"/>
          <w:highlight w:val="none"/>
          <w:u w:val="single"/>
          <w14:textFill>
            <w14:solidFill>
              <w14:schemeClr w14:val="tx1"/>
            </w14:solidFill>
          </w14:textFill>
        </w:rPr>
        <w:t>接受</w:t>
      </w:r>
      <w:r>
        <w:rPr>
          <w:rFonts w:hint="eastAsia" w:ascii="宋体" w:hAnsi="宋体" w:cs="宋体"/>
          <w:color w:val="000000" w:themeColor="text1"/>
          <w:kern w:val="0"/>
          <w:sz w:val="24"/>
          <w:szCs w:val="24"/>
          <w:highlight w:val="none"/>
          <w:u w:val="single"/>
          <w:lang w:eastAsia="zh-CN"/>
          <w14:textFill>
            <w14:solidFill>
              <w14:schemeClr w14:val="tx1"/>
            </w14:solidFill>
          </w14:textFill>
        </w:rPr>
        <w:t>委托</w:t>
      </w:r>
      <w:r>
        <w:rPr>
          <w:rFonts w:hint="eastAsia" w:cs="宋体"/>
          <w:color w:val="000000" w:themeColor="text1"/>
          <w:kern w:val="0"/>
          <w:sz w:val="24"/>
          <w:szCs w:val="24"/>
          <w:highlight w:val="none"/>
          <w:u w:val="single"/>
          <w:lang w:eastAsia="zh-CN"/>
          <w14:textFill>
            <w14:solidFill>
              <w14:schemeClr w14:val="tx1"/>
            </w14:solidFill>
          </w14:textFill>
        </w:rPr>
        <w:t>后</w:t>
      </w:r>
      <w:r>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t>，</w:t>
      </w:r>
      <w:r>
        <w:rPr>
          <w:rFonts w:hint="eastAsia" w:cs="宋体"/>
          <w:color w:val="000000" w:themeColor="text1"/>
          <w:kern w:val="0"/>
          <w:sz w:val="24"/>
          <w:szCs w:val="24"/>
          <w:highlight w:val="none"/>
          <w:u w:val="single"/>
          <w:lang w:val="en-US" w:eastAsia="zh-CN"/>
          <w14:textFill>
            <w14:solidFill>
              <w14:schemeClr w14:val="tx1"/>
            </w14:solidFill>
          </w14:textFill>
        </w:rPr>
        <w:t>7个工作日</w:t>
      </w:r>
      <w:r>
        <w:rPr>
          <w:rFonts w:hint="eastAsia" w:cs="宋体"/>
          <w:color w:val="000000" w:themeColor="text1"/>
          <w:kern w:val="0"/>
          <w:sz w:val="24"/>
          <w:szCs w:val="24"/>
          <w:highlight w:val="none"/>
          <w:u w:val="single"/>
          <w:lang w:eastAsia="zh-CN"/>
          <w14:textFill>
            <w14:solidFill>
              <w14:schemeClr w14:val="tx1"/>
            </w14:solidFill>
          </w14:textFill>
        </w:rPr>
        <w:t>内完成结算审计并出具成果文件，</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否则扣除咨询服务费1000元/次。</w:t>
      </w:r>
    </w:p>
    <w:p w14:paraId="1EA3CF1F">
      <w:pPr>
        <w:keepNext w:val="0"/>
        <w:keepLines w:val="0"/>
        <w:shd w:val="clear"/>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宋体"/>
          <w:color w:val="000000" w:themeColor="text1"/>
          <w:kern w:val="0"/>
          <w:sz w:val="24"/>
          <w:szCs w:val="24"/>
          <w:highlight w:val="none"/>
          <w:u w:val="single"/>
          <w:lang w:val="en-US" w:eastAsia="zh-CN"/>
          <w14:textFill>
            <w14:solidFill>
              <w14:schemeClr w14:val="tx1"/>
            </w14:solidFill>
          </w14:textFill>
        </w:rPr>
      </w:pPr>
      <w:r>
        <w:rPr>
          <w:rFonts w:hint="eastAsia" w:cs="宋体"/>
          <w:color w:val="000000" w:themeColor="text1"/>
          <w:kern w:val="0"/>
          <w:sz w:val="24"/>
          <w:szCs w:val="24"/>
          <w:highlight w:val="none"/>
          <w:u w:val="single"/>
          <w:lang w:val="en-US" w:eastAsia="zh-CN"/>
          <w14:textFill>
            <w14:solidFill>
              <w14:schemeClr w14:val="tx1"/>
            </w14:solidFill>
          </w14:textFill>
        </w:rPr>
        <w:t>7、本项目后期需接受审计局或审计局委托的第三方等机构进行复审，如复审不通过，扣除该项审计费的30%，并保留追究责任的权利。</w:t>
      </w:r>
    </w:p>
    <w:p w14:paraId="41FD5D51">
      <w:pPr>
        <w:keepNext w:val="0"/>
        <w:keepLines w:val="0"/>
        <w:shd w:val="clea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cs="宋体"/>
          <w:color w:val="000000" w:themeColor="text1"/>
          <w:kern w:val="0"/>
          <w:sz w:val="24"/>
          <w:szCs w:val="24"/>
          <w:highlight w:val="none"/>
          <w:u w:val="singl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u w:val="single"/>
          <w14:textFill>
            <w14:solidFill>
              <w14:schemeClr w14:val="tx1"/>
            </w14:solidFill>
          </w14:textFill>
        </w:rPr>
        <w:t>咨询人应按本合同约定期限履行义务。若擅自终止或中止履行的，委托人有权按咨询费用总价的千分之五/天扣减咨询费，累计超过15日的，委托人还有权解除合同，由此造成的所有损失由咨询人承担，剩余咨询费不再支付，已经支付的咨询费由咨询人在三日内退还，咨询人逾期不退的，每迟延一天按照应付金额的万分之五支付迟延履行违约金。</w:t>
      </w:r>
    </w:p>
    <w:p w14:paraId="083E0932">
      <w:pPr>
        <w:shd w:val="clear"/>
        <w:spacing w:line="400" w:lineRule="exact"/>
        <w:jc w:val="center"/>
        <w:rPr>
          <w:rFonts w:hint="default" w:ascii="宋体" w:hAnsi="宋体"/>
          <w:b/>
          <w:bCs/>
          <w:color w:val="000000" w:themeColor="text1"/>
          <w:szCs w:val="24"/>
          <w:highlight w:val="none"/>
          <w:lang w:val="en-US" w:eastAsia="zh-CN"/>
          <w14:textFill>
            <w14:solidFill>
              <w14:schemeClr w14:val="tx1"/>
            </w14:solidFill>
          </w14:textFill>
        </w:rPr>
      </w:pPr>
    </w:p>
    <w:p w14:paraId="5AE6989B">
      <w:pPr>
        <w:shd w:val="clear"/>
        <w:spacing w:line="400" w:lineRule="exact"/>
        <w:jc w:val="center"/>
        <w:rPr>
          <w:rFonts w:hint="eastAsia" w:ascii="宋体" w:hAnsi="宋体"/>
          <w:b/>
          <w:bCs/>
          <w:color w:val="000000" w:themeColor="text1"/>
          <w:sz w:val="28"/>
          <w:szCs w:val="28"/>
          <w:highlight w:val="none"/>
          <w:lang w:eastAsia="zh-CN"/>
          <w14:textFill>
            <w14:solidFill>
              <w14:schemeClr w14:val="tx1"/>
            </w14:solidFill>
          </w14:textFill>
        </w:rPr>
      </w:pPr>
    </w:p>
    <w:p w14:paraId="128DCCB4">
      <w:pPr>
        <w:shd w:val="clear"/>
        <w:spacing w:line="400" w:lineRule="exact"/>
        <w:ind w:left="0" w:leftChars="0" w:firstLine="0" w:firstLineChars="0"/>
        <w:jc w:val="both"/>
        <w:rPr>
          <w:rFonts w:hint="eastAsia" w:ascii="宋体" w:hAnsi="宋体"/>
          <w:b/>
          <w:bCs/>
          <w:color w:val="000000" w:themeColor="text1"/>
          <w:sz w:val="28"/>
          <w:szCs w:val="28"/>
          <w:highlight w:val="none"/>
          <w:lang w:eastAsia="zh-CN"/>
          <w14:textFill>
            <w14:solidFill>
              <w14:schemeClr w14:val="tx1"/>
            </w14:solidFill>
          </w14:textFill>
        </w:rPr>
      </w:pPr>
    </w:p>
    <w:p w14:paraId="52AA71D3">
      <w:pPr>
        <w:shd w:val="clear"/>
        <w:spacing w:line="400" w:lineRule="exact"/>
        <w:jc w:val="center"/>
        <w:rPr>
          <w:rFonts w:hint="eastAsia" w:ascii="宋体" w:hAnsi="宋体"/>
          <w:b/>
          <w:bCs/>
          <w:color w:val="000000" w:themeColor="text1"/>
          <w:sz w:val="28"/>
          <w:szCs w:val="28"/>
          <w:highlight w:val="none"/>
          <w:lang w:eastAsia="zh-CN"/>
          <w14:textFill>
            <w14:solidFill>
              <w14:schemeClr w14:val="tx1"/>
            </w14:solidFill>
          </w14:textFill>
        </w:rPr>
        <w:sectPr>
          <w:pgSz w:w="11906" w:h="16838"/>
          <w:pgMar w:top="850" w:right="850" w:bottom="850" w:left="1418" w:header="170" w:footer="680" w:gutter="0"/>
          <w:pgNumType w:fmt="decimal"/>
          <w:cols w:space="1701" w:num="1"/>
          <w:docGrid w:linePitch="360" w:charSpace="0"/>
        </w:sectPr>
      </w:pPr>
    </w:p>
    <w:p w14:paraId="2BDB0B91">
      <w:pPr>
        <w:shd w:val="clear"/>
        <w:spacing w:line="400" w:lineRule="exact"/>
        <w:jc w:val="center"/>
        <w:rPr>
          <w:rFonts w:ascii="宋体" w:hAnsi="宋体"/>
          <w:b/>
          <w:bCs/>
          <w:color w:val="000000" w:themeColor="text1"/>
          <w:sz w:val="28"/>
          <w:szCs w:val="28"/>
          <w:highlight w:val="none"/>
          <w:lang w:eastAsia="zh-CN"/>
          <w14:textFill>
            <w14:solidFill>
              <w14:schemeClr w14:val="tx1"/>
            </w14:solidFill>
          </w14:textFill>
        </w:rPr>
      </w:pPr>
      <w:r>
        <w:rPr>
          <w:rFonts w:hint="eastAsia" w:ascii="宋体" w:hAnsi="宋体"/>
          <w:b/>
          <w:bCs/>
          <w:color w:val="000000" w:themeColor="text1"/>
          <w:sz w:val="28"/>
          <w:szCs w:val="28"/>
          <w:highlight w:val="none"/>
          <w:lang w:eastAsia="zh-CN"/>
          <w14:textFill>
            <w14:solidFill>
              <w14:schemeClr w14:val="tx1"/>
            </w14:solidFill>
          </w14:textFill>
        </w:rPr>
        <w:t>廉</w:t>
      </w:r>
      <w:r>
        <w:rPr>
          <w:rFonts w:ascii="宋体" w:hAnsi="宋体"/>
          <w:b/>
          <w:bCs/>
          <w:color w:val="000000" w:themeColor="text1"/>
          <w:sz w:val="28"/>
          <w:szCs w:val="28"/>
          <w:highlight w:val="none"/>
          <w:lang w:eastAsia="zh-CN"/>
          <w14:textFill>
            <w14:solidFill>
              <w14:schemeClr w14:val="tx1"/>
            </w14:solidFill>
          </w14:textFill>
        </w:rPr>
        <w:t xml:space="preserve"> 洁 共 建 协 议 书</w:t>
      </w:r>
    </w:p>
    <w:p w14:paraId="66E2E042">
      <w:pPr>
        <w:shd w:val="clear"/>
        <w:spacing w:line="400" w:lineRule="exact"/>
        <w:rPr>
          <w:rFonts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发包人（甲方）</w:t>
      </w:r>
      <w:r>
        <w:rPr>
          <w:rFonts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4"/>
          <w:highlight w:val="none"/>
          <w:u w:val="single"/>
          <w:lang w:eastAsia="zh-CN"/>
          <w14:textFill>
            <w14:solidFill>
              <w14:schemeClr w14:val="tx1"/>
            </w14:solidFill>
          </w14:textFill>
        </w:rPr>
        <w:t xml:space="preserve"> </w:t>
      </w:r>
    </w:p>
    <w:p w14:paraId="55C80661">
      <w:pPr>
        <w:shd w:val="clear"/>
        <w:spacing w:line="400" w:lineRule="exact"/>
        <w:rPr>
          <w:rFonts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咨询</w:t>
      </w:r>
      <w:r>
        <w:rPr>
          <w:rFonts w:ascii="宋体" w:hAnsi="宋体"/>
          <w:color w:val="000000" w:themeColor="text1"/>
          <w:szCs w:val="21"/>
          <w:highlight w:val="none"/>
          <w:lang w:eastAsia="zh-CN"/>
          <w14:textFill>
            <w14:solidFill>
              <w14:schemeClr w14:val="tx1"/>
            </w14:solidFill>
          </w14:textFill>
        </w:rPr>
        <w:t>人（乙方）:</w:t>
      </w:r>
      <w:r>
        <w:rPr>
          <w:rFonts w:hint="eastAsia" w:ascii="宋体" w:hAnsi="宋体"/>
          <w:color w:val="000000" w:themeColor="text1"/>
          <w:szCs w:val="21"/>
          <w:highlight w:val="none"/>
          <w:lang w:eastAsia="zh-CN"/>
          <w14:textFill>
            <w14:solidFill>
              <w14:schemeClr w14:val="tx1"/>
            </w14:solidFill>
          </w14:textFill>
        </w:rPr>
        <w:t xml:space="preserve"> </w:t>
      </w:r>
      <w:r>
        <w:rPr>
          <w:rFonts w:ascii="宋体"/>
          <w:color w:val="000000" w:themeColor="text1"/>
          <w:sz w:val="21"/>
          <w:szCs w:val="21"/>
          <w:highlight w:val="none"/>
          <w:u w:val="single"/>
          <w14:textFill>
            <w14:solidFill>
              <w14:schemeClr w14:val="tx1"/>
            </w14:solidFill>
          </w14:textFill>
        </w:rPr>
        <w:fldChar w:fldCharType="begin"/>
      </w:r>
      <w:r>
        <w:rPr>
          <w:rFonts w:ascii="宋体"/>
          <w:color w:val="000000" w:themeColor="text1"/>
          <w:sz w:val="21"/>
          <w:szCs w:val="21"/>
          <w:highlight w:val="none"/>
          <w:u w:val="single"/>
          <w:lang w:eastAsia="zh-CN"/>
          <w14:textFill>
            <w14:solidFill>
              <w14:schemeClr w14:val="tx1"/>
            </w14:solidFill>
          </w14:textFill>
        </w:rPr>
        <w:instrText xml:space="preserve">AUTOTEXT 83 \* MERGEFORMAT</w:instrText>
      </w:r>
      <w:r>
        <w:rPr>
          <w:rFonts w:ascii="宋体"/>
          <w:color w:val="000000" w:themeColor="text1"/>
          <w:sz w:val="21"/>
          <w:szCs w:val="21"/>
          <w:highlight w:val="none"/>
          <w:u w:val="single"/>
          <w14:textFill>
            <w14:solidFill>
              <w14:schemeClr w14:val="tx1"/>
            </w14:solidFill>
          </w14:textFill>
        </w:rPr>
        <w:fldChar w:fldCharType="separate"/>
      </w:r>
      <w:r>
        <w:rPr>
          <w:rFonts w:hint="eastAsia" w:ascii="宋体"/>
          <w:color w:val="000000" w:themeColor="text1"/>
          <w:sz w:val="21"/>
          <w:szCs w:val="21"/>
          <w:highlight w:val="none"/>
          <w:u w:val="single" w:color="000000"/>
          <w:lang w:eastAsia="zh-CN"/>
          <w14:textFill>
            <w14:solidFill>
              <w14:schemeClr w14:val="tx1"/>
            </w14:solidFill>
          </w14:textFill>
        </w:rPr>
        <w:t xml:space="preserve">                                      </w:t>
      </w:r>
      <w:r>
        <w:rPr>
          <w:rFonts w:ascii="宋体"/>
          <w:color w:val="000000" w:themeColor="text1"/>
          <w:sz w:val="21"/>
          <w:szCs w:val="21"/>
          <w:highlight w:val="none"/>
          <w:u w:val="single" w:color="000000"/>
          <w:lang w:eastAsia="zh-CN"/>
          <w14:textFill>
            <w14:solidFill>
              <w14:schemeClr w14:val="tx1"/>
            </w14:solidFill>
          </w14:textFill>
        </w:rPr>
        <w:t xml:space="preserve"> </w:t>
      </w:r>
      <w:r>
        <w:rPr>
          <w:rFonts w:ascii="宋体"/>
          <w:color w:val="000000" w:themeColor="text1"/>
          <w:sz w:val="21"/>
          <w:szCs w:val="21"/>
          <w:highlight w:val="none"/>
          <w:u w:val="single"/>
          <w14:textFill>
            <w14:solidFill>
              <w14:schemeClr w14:val="tx1"/>
            </w14:solidFill>
          </w14:textFill>
        </w:rPr>
        <w:fldChar w:fldCharType="end"/>
      </w:r>
    </w:p>
    <w:p w14:paraId="6C5651AA">
      <w:pPr>
        <w:shd w:val="clear"/>
        <w:spacing w:line="400" w:lineRule="exact"/>
        <w:rPr>
          <w:rFonts w:ascii="宋体" w:hAnsi="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lang w:eastAsia="zh-CN"/>
          <w14:textFill>
            <w14:solidFill>
              <w14:schemeClr w14:val="tx1"/>
            </w14:solidFill>
          </w14:textFill>
        </w:rPr>
        <w:t xml:space="preserve"> </w:t>
      </w:r>
    </w:p>
    <w:p w14:paraId="06C4BC8C">
      <w:pPr>
        <w:shd w:val="clear"/>
        <w:spacing w:line="400" w:lineRule="exact"/>
        <w:rPr>
          <w:rFonts w:ascii="宋体" w:hAnsi="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lang w:eastAsia="zh-CN"/>
          <w14:textFill>
            <w14:solidFill>
              <w14:schemeClr w14:val="tx1"/>
            </w14:solidFill>
          </w14:textFill>
        </w:rPr>
        <w:t xml:space="preserve">    甲乙双方按照《中华人民共和国合同法》和国家颁布的廉政建设有关规定,协商签订本合同。 </w:t>
      </w:r>
    </w:p>
    <w:p w14:paraId="15051180">
      <w:pPr>
        <w:shd w:val="clear"/>
        <w:jc w:val="both"/>
        <w:rPr>
          <w:rFonts w:ascii="宋体" w:hAnsi="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lang w:eastAsia="zh-CN"/>
          <w14:textFill>
            <w14:solidFill>
              <w14:schemeClr w14:val="tx1"/>
            </w14:solidFill>
          </w14:textFill>
        </w:rPr>
        <w:t>本合同为甲乙双方签订的</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 xml:space="preserve">              </w:t>
      </w:r>
      <w:r>
        <w:rPr>
          <w:rFonts w:ascii="宋体" w:hAnsi="宋体"/>
          <w:color w:val="000000" w:themeColor="text1"/>
          <w:szCs w:val="21"/>
          <w:highlight w:val="none"/>
          <w:lang w:eastAsia="zh-CN"/>
          <w14:textFill>
            <w14:solidFill>
              <w14:schemeClr w14:val="tx1"/>
            </w14:solidFill>
          </w14:textFill>
        </w:rPr>
        <w:t xml:space="preserve">业务合同(以下简称《业务合同》的附合同。 </w:t>
      </w:r>
    </w:p>
    <w:p w14:paraId="5D39EDEE">
      <w:pPr>
        <w:shd w:val="clear"/>
        <w:spacing w:line="400" w:lineRule="exact"/>
        <w:rPr>
          <w:rFonts w:ascii="宋体" w:hAnsi="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lang w:eastAsia="zh-CN"/>
          <w14:textFill>
            <w14:solidFill>
              <w14:schemeClr w14:val="tx1"/>
            </w14:solidFill>
          </w14:textFill>
        </w:rPr>
        <w:t xml:space="preserve">    第二条  甲乙双方在业务活动中必须遵守国家廉政建设的各项规定,自觉抵制行业不正之风,遵纪守法。 </w:t>
      </w:r>
    </w:p>
    <w:p w14:paraId="5CFCE37D">
      <w:pPr>
        <w:shd w:val="clear"/>
        <w:spacing w:line="400" w:lineRule="exact"/>
        <w:rPr>
          <w:rFonts w:ascii="宋体" w:hAnsi="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lang w:eastAsia="zh-CN"/>
          <w14:textFill>
            <w14:solidFill>
              <w14:schemeClr w14:val="tx1"/>
            </w14:solidFill>
          </w14:textFill>
        </w:rPr>
        <w:t xml:space="preserve">    第三条  甲乙双方人员不得实施损害</w:t>
      </w:r>
      <w:r>
        <w:rPr>
          <w:rFonts w:hint="eastAsia" w:ascii="宋体" w:hAnsi="宋体"/>
          <w:color w:val="000000" w:themeColor="text1"/>
          <w:szCs w:val="21"/>
          <w:highlight w:val="none"/>
          <w:lang w:eastAsia="zh-CN"/>
          <w14:textFill>
            <w14:solidFill>
              <w14:schemeClr w14:val="tx1"/>
            </w14:solidFill>
          </w14:textFill>
        </w:rPr>
        <w:t>国家、企业利益以谋取私利的行为。</w:t>
      </w:r>
      <w:r>
        <w:rPr>
          <w:rFonts w:ascii="宋体" w:hAnsi="宋体"/>
          <w:color w:val="000000" w:themeColor="text1"/>
          <w:szCs w:val="21"/>
          <w:highlight w:val="none"/>
          <w:lang w:eastAsia="zh-CN"/>
          <w14:textFill>
            <w14:solidFill>
              <w14:schemeClr w14:val="tx1"/>
            </w14:solidFill>
          </w14:textFill>
        </w:rPr>
        <w:t xml:space="preserve"> </w:t>
      </w:r>
    </w:p>
    <w:p w14:paraId="38BFEC1B">
      <w:pPr>
        <w:shd w:val="clear"/>
        <w:spacing w:line="400" w:lineRule="exact"/>
        <w:rPr>
          <w:rFonts w:ascii="宋体" w:hAnsi="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lang w:eastAsia="zh-CN"/>
          <w14:textFill>
            <w14:solidFill>
              <w14:schemeClr w14:val="tx1"/>
            </w14:solidFill>
          </w14:textFill>
        </w:rPr>
        <w:t xml:space="preserve">    第四条  甲乙双方人员不得在家中洽谈业务。 </w:t>
      </w:r>
    </w:p>
    <w:p w14:paraId="69EFE2C5">
      <w:pPr>
        <w:shd w:val="clear"/>
        <w:spacing w:line="400" w:lineRule="exact"/>
        <w:rPr>
          <w:rFonts w:ascii="宋体" w:hAnsi="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lang w:eastAsia="zh-CN"/>
          <w14:textFill>
            <w14:solidFill>
              <w14:schemeClr w14:val="tx1"/>
            </w14:solidFill>
          </w14:textFill>
        </w:rPr>
        <w:t xml:space="preserve">    第五条  甲乙双方人员不得以任何理由或借口赠送或收受《业务合同》规定以外的任何钱物(含各类有价证券等)。 </w:t>
      </w:r>
    </w:p>
    <w:p w14:paraId="4854301B">
      <w:pPr>
        <w:shd w:val="clear"/>
        <w:spacing w:line="400" w:lineRule="exact"/>
        <w:rPr>
          <w:rFonts w:ascii="宋体" w:hAnsi="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lang w:eastAsia="zh-CN"/>
          <w14:textFill>
            <w14:solidFill>
              <w14:schemeClr w14:val="tx1"/>
            </w14:solidFill>
          </w14:textFill>
        </w:rPr>
        <w:t xml:space="preserve">    第六条  甲方人员不得参加由乙方人员(含乙方关系人)支付的娱乐消费等活动。 </w:t>
      </w:r>
    </w:p>
    <w:p w14:paraId="2A7A598A">
      <w:pPr>
        <w:shd w:val="clear"/>
        <w:spacing w:line="400" w:lineRule="exact"/>
        <w:rPr>
          <w:rFonts w:ascii="宋体" w:hAnsi="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lang w:eastAsia="zh-CN"/>
          <w14:textFill>
            <w14:solidFill>
              <w14:schemeClr w14:val="tx1"/>
            </w14:solidFill>
          </w14:textFill>
        </w:rPr>
        <w:t xml:space="preserve">    第七条 乙方人员不得支付应由甲方人员自行支付的各类费用。 </w:t>
      </w:r>
    </w:p>
    <w:p w14:paraId="155AA5BA">
      <w:pPr>
        <w:shd w:val="clear"/>
        <w:spacing w:line="400" w:lineRule="exact"/>
        <w:rPr>
          <w:rFonts w:ascii="宋体" w:hAnsi="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lang w:eastAsia="zh-CN"/>
          <w14:textFill>
            <w14:solidFill>
              <w14:schemeClr w14:val="tx1"/>
            </w14:solidFill>
          </w14:textFill>
        </w:rPr>
        <w:t xml:space="preserve">    第八条  甲方人员违反本合同,甲方单位将按有关规定对违纪者进行查处，并向乙方道歉。 </w:t>
      </w:r>
    </w:p>
    <w:p w14:paraId="2CF8DA02">
      <w:pPr>
        <w:shd w:val="clear"/>
        <w:spacing w:line="400" w:lineRule="exact"/>
        <w:rPr>
          <w:rFonts w:ascii="宋体" w:hAnsi="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lang w:eastAsia="zh-CN"/>
          <w14:textFill>
            <w14:solidFill>
              <w14:schemeClr w14:val="tx1"/>
            </w14:solidFill>
          </w14:textFill>
        </w:rPr>
        <w:t xml:space="preserve">    第九条  乙方人员违反本合同第二、三、四条款规定,甲方可以终止《业务合同》，给甲方造成的经济损失，由乙方给予赔偿。 </w:t>
      </w:r>
    </w:p>
    <w:p w14:paraId="4B150E62">
      <w:pPr>
        <w:shd w:val="clear"/>
        <w:spacing w:line="400" w:lineRule="exact"/>
        <w:rPr>
          <w:rFonts w:ascii="宋体" w:hAnsi="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lang w:eastAsia="zh-CN"/>
          <w14:textFill>
            <w14:solidFill>
              <w14:schemeClr w14:val="tx1"/>
            </w14:solidFill>
          </w14:textFill>
        </w:rPr>
        <w:t xml:space="preserve">    第十条  乙方人员违反本合同第五、六、七条款规定,甲方按所涉及金额的10倍扣罚乙方违约金。 </w:t>
      </w:r>
    </w:p>
    <w:p w14:paraId="13010280">
      <w:pPr>
        <w:shd w:val="clear"/>
        <w:spacing w:line="400" w:lineRule="exact"/>
        <w:rPr>
          <w:rFonts w:ascii="宋体" w:hAnsi="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lang w:eastAsia="zh-CN"/>
          <w14:textFill>
            <w14:solidFill>
              <w14:schemeClr w14:val="tx1"/>
            </w14:solidFill>
          </w14:textFill>
        </w:rPr>
        <w:t xml:space="preserve">    第十一条  乙方如发生以上行为，将取消乙方在我单位签订工程项目合同的资格。 </w:t>
      </w:r>
    </w:p>
    <w:p w14:paraId="442130F6">
      <w:pPr>
        <w:shd w:val="clear"/>
        <w:spacing w:line="400" w:lineRule="exact"/>
        <w:rPr>
          <w:rFonts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第十二条</w:t>
      </w:r>
      <w:r>
        <w:rPr>
          <w:rFonts w:ascii="宋体" w:hAnsi="宋体"/>
          <w:color w:val="000000" w:themeColor="text1"/>
          <w:szCs w:val="21"/>
          <w:highlight w:val="none"/>
          <w:lang w:eastAsia="zh-CN"/>
          <w14:textFill>
            <w14:solidFill>
              <w14:schemeClr w14:val="tx1"/>
            </w14:solidFill>
          </w14:textFill>
        </w:rPr>
        <w:t xml:space="preserve"> 乙方检举甲方人员违纪，一经查实，甲方单位将按有关规定, 给予乙方奖励或减免扣罚违约金。 </w:t>
      </w:r>
    </w:p>
    <w:p w14:paraId="7B75B175">
      <w:pPr>
        <w:shd w:val="clear"/>
        <w:spacing w:line="400" w:lineRule="exact"/>
        <w:rPr>
          <w:rFonts w:ascii="宋体" w:hAnsi="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lang w:eastAsia="zh-CN"/>
          <w14:textFill>
            <w14:solidFill>
              <w14:schemeClr w14:val="tx1"/>
            </w14:solidFill>
          </w14:textFill>
        </w:rPr>
        <w:t xml:space="preserve"> </w:t>
      </w:r>
    </w:p>
    <w:p w14:paraId="30065AEE">
      <w:pPr>
        <w:shd w:val="clear"/>
        <w:spacing w:line="400" w:lineRule="exact"/>
        <w:rPr>
          <w:rFonts w:hint="eastAsia"/>
          <w:color w:val="000000" w:themeColor="text1"/>
          <w:highlight w:val="none"/>
          <w:lang w:eastAsia="zh-CN"/>
          <w14:textFill>
            <w14:solidFill>
              <w14:schemeClr w14:val="tx1"/>
            </w14:solidFill>
          </w14:textFill>
        </w:rPr>
      </w:pPr>
      <w:r>
        <w:rPr>
          <w:rFonts w:ascii="宋体" w:hAnsi="宋体"/>
          <w:color w:val="000000" w:themeColor="text1"/>
          <w:szCs w:val="21"/>
          <w:highlight w:val="none"/>
          <w:lang w:eastAsia="zh-CN"/>
          <w14:textFill>
            <w14:solidFill>
              <w14:schemeClr w14:val="tx1"/>
            </w14:solidFill>
          </w14:textFill>
        </w:rPr>
        <w:t xml:space="preserve">发包人（公章）                   </w:t>
      </w:r>
      <w:r>
        <w:rPr>
          <w:rFonts w:hint="eastAsia" w:ascii="宋体" w:hAnsi="宋体"/>
          <w:color w:val="000000" w:themeColor="text1"/>
          <w:szCs w:val="21"/>
          <w:highlight w:val="none"/>
          <w:lang w:eastAsia="zh-CN"/>
          <w14:textFill>
            <w14:solidFill>
              <w14:schemeClr w14:val="tx1"/>
            </w14:solidFill>
          </w14:textFill>
        </w:rPr>
        <w:t xml:space="preserve">         咨询</w:t>
      </w:r>
      <w:r>
        <w:rPr>
          <w:rFonts w:ascii="宋体" w:hAnsi="宋体"/>
          <w:color w:val="000000" w:themeColor="text1"/>
          <w:szCs w:val="21"/>
          <w:highlight w:val="none"/>
          <w:lang w:eastAsia="zh-CN"/>
          <w14:textFill>
            <w14:solidFill>
              <w14:schemeClr w14:val="tx1"/>
            </w14:solidFill>
          </w14:textFill>
        </w:rPr>
        <w:t xml:space="preserve">人（公章） </w:t>
      </w:r>
    </w:p>
    <w:p w14:paraId="1DAE0E0F">
      <w:pPr>
        <w:shd w:val="clear"/>
        <w:spacing w:line="400" w:lineRule="exact"/>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发包人代表</w:t>
      </w:r>
      <w:r>
        <w:rPr>
          <w:rFonts w:ascii="宋体" w:hAnsi="宋体"/>
          <w:color w:val="000000" w:themeColor="text1"/>
          <w:szCs w:val="21"/>
          <w:highlight w:val="none"/>
          <w:lang w:eastAsia="zh-CN"/>
          <w14:textFill>
            <w14:solidFill>
              <w14:schemeClr w14:val="tx1"/>
            </w14:solidFill>
          </w14:textFill>
        </w:rPr>
        <w:t xml:space="preserve">(签字)：               </w:t>
      </w:r>
      <w:r>
        <w:rPr>
          <w:rFonts w:hint="eastAsia" w:ascii="宋体" w:hAnsi="宋体"/>
          <w:color w:val="000000" w:themeColor="text1"/>
          <w:szCs w:val="21"/>
          <w:highlight w:val="none"/>
          <w:lang w:eastAsia="zh-CN"/>
          <w14:textFill>
            <w14:solidFill>
              <w14:schemeClr w14:val="tx1"/>
            </w14:solidFill>
          </w14:textFill>
        </w:rPr>
        <w:t xml:space="preserve">         咨询</w:t>
      </w:r>
      <w:r>
        <w:rPr>
          <w:rFonts w:ascii="宋体" w:hAnsi="宋体"/>
          <w:color w:val="000000" w:themeColor="text1"/>
          <w:szCs w:val="21"/>
          <w:highlight w:val="none"/>
          <w:lang w:eastAsia="zh-CN"/>
          <w14:textFill>
            <w14:solidFill>
              <w14:schemeClr w14:val="tx1"/>
            </w14:solidFill>
          </w14:textFill>
        </w:rPr>
        <w:t xml:space="preserve">人代表(签字)： </w:t>
      </w:r>
    </w:p>
    <w:p w14:paraId="36D01633">
      <w:pPr>
        <w:pStyle w:val="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时间：</w:t>
      </w:r>
      <w:r>
        <w:rPr>
          <w:rFonts w:ascii="宋体" w:hAnsi="宋体"/>
          <w:color w:val="000000" w:themeColor="text1"/>
          <w:szCs w:val="21"/>
          <w:highlight w:val="none"/>
          <w:lang w:eastAsia="zh-CN"/>
          <w14:textFill>
            <w14:solidFill>
              <w14:schemeClr w14:val="tx1"/>
            </w14:solidFill>
          </w14:textFill>
        </w:rPr>
        <w:t xml:space="preserve">  年  月  日                </w:t>
      </w:r>
      <w:r>
        <w:rPr>
          <w:rFonts w:hint="eastAsia" w:ascii="宋体" w:hAnsi="宋体"/>
          <w:color w:val="000000" w:themeColor="text1"/>
          <w:szCs w:val="21"/>
          <w:highlight w:val="none"/>
          <w:lang w:eastAsia="zh-CN"/>
          <w14:textFill>
            <w14:solidFill>
              <w14:schemeClr w14:val="tx1"/>
            </w14:solidFill>
          </w14:textFill>
        </w:rPr>
        <w:t xml:space="preserve">  </w:t>
      </w:r>
      <w:r>
        <w:rPr>
          <w:rFonts w:ascii="宋体" w:hAnsi="宋体"/>
          <w:color w:val="000000" w:themeColor="text1"/>
          <w:szCs w:val="21"/>
          <w:highlight w:val="none"/>
          <w:lang w:eastAsia="zh-CN"/>
          <w14:textFill>
            <w14:solidFill>
              <w14:schemeClr w14:val="tx1"/>
            </w14:solidFill>
          </w14:textFill>
        </w:rPr>
        <w:t>时间： 年  月   日</w:t>
      </w:r>
      <w:r>
        <w:rPr>
          <w:rFonts w:hint="eastAsia" w:ascii="Calibri" w:hAnsi="Times New Roman" w:eastAsia="宋体" w:cs="Times New Roman"/>
          <w:b/>
          <w:bCs/>
          <w:color w:val="000000" w:themeColor="text1"/>
          <w:kern w:val="0"/>
          <w:sz w:val="20"/>
          <w:szCs w:val="24"/>
          <w:highlight w:val="none"/>
          <w:lang w:val="en-US" w:eastAsia="zh-CN" w:bidi="ar-SA"/>
          <w14:textFill>
            <w14:solidFill>
              <w14:schemeClr w14:val="tx1"/>
            </w14:solidFill>
          </w14:textFill>
        </w:rPr>
        <w:br w:type="page"/>
      </w:r>
    </w:p>
    <w:p w14:paraId="4EA7E904">
      <w:pPr>
        <w:pStyle w:val="2"/>
        <w:shd w:val="clear"/>
        <w:rPr>
          <w:rFonts w:hint="eastAsia" w:ascii="宋体" w:hAnsi="宋体" w:eastAsia="宋体" w:cs="宋体"/>
          <w:color w:val="000000" w:themeColor="text1"/>
          <w:highlight w:val="none"/>
          <w14:textFill>
            <w14:solidFill>
              <w14:schemeClr w14:val="tx1"/>
            </w14:solidFill>
          </w14:textFill>
        </w:rPr>
      </w:pPr>
    </w:p>
    <w:p w14:paraId="1A282BB4">
      <w:pPr>
        <w:pStyle w:val="2"/>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第六章  投标文件格式及附件</w:t>
      </w:r>
    </w:p>
    <w:p w14:paraId="12215C5B">
      <w:pPr>
        <w:shd w:val="clea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w:t>
      </w:r>
    </w:p>
    <w:p w14:paraId="24E0B8DF">
      <w:pPr>
        <w:shd w:val="clea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1.本部分内容仅提供格式参考。</w:t>
      </w:r>
    </w:p>
    <w:p w14:paraId="5C21041F">
      <w:pPr>
        <w:shd w:val="clea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2.投标人应按照以下文件的要求格式、内容制作投标文件，并编制目录及页码，混乱的编排导致投标文件被误读或查找不到，后果由投标人承担。</w:t>
      </w:r>
    </w:p>
    <w:p w14:paraId="79A8138B">
      <w:pPr>
        <w:shd w:val="clea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3.所附表格中要求回答的全部问题和信息都必须正面回答。</w:t>
      </w:r>
    </w:p>
    <w:p w14:paraId="4002A61F">
      <w:pPr>
        <w:shd w:val="clea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4.投标人提交的材料不予退还。</w:t>
      </w:r>
    </w:p>
    <w:p w14:paraId="40ABB905">
      <w:pPr>
        <w:shd w:val="clea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5.全部文件应按投标人须知以及前文中规定的语言和份数提交。</w:t>
      </w:r>
    </w:p>
    <w:p w14:paraId="16E5D2C8">
      <w:pPr>
        <w:shd w:val="clear"/>
        <w:ind w:firstLine="643"/>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p>
    <w:p w14:paraId="09D3ED98">
      <w:pPr>
        <w:pStyle w:val="13"/>
        <w:shd w:val="clear"/>
        <w:ind w:firstLine="482"/>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投标文件封面格式：</w:t>
      </w:r>
    </w:p>
    <w:p w14:paraId="224E96C5">
      <w:pPr>
        <w:shd w:val="clear"/>
        <w:ind w:firstLine="964"/>
        <w:jc w:val="right"/>
        <w:rPr>
          <w:rFonts w:hint="eastAsia" w:ascii="宋体" w:hAnsi="宋体" w:eastAsia="宋体" w:cs="宋体"/>
          <w:b/>
          <w:color w:val="000000" w:themeColor="text1"/>
          <w:sz w:val="72"/>
          <w:highlight w:val="none"/>
          <w14:textFill>
            <w14:solidFill>
              <w14:schemeClr w14:val="tx1"/>
            </w14:solidFill>
          </w14:textFill>
        </w:rPr>
      </w:pPr>
      <w:r>
        <w:rPr>
          <w:rFonts w:hint="eastAsia" w:ascii="宋体" w:hAnsi="宋体" w:eastAsia="宋体" w:cs="宋体"/>
          <w:b/>
          <w:color w:val="000000" w:themeColor="text1"/>
          <w:sz w:val="48"/>
          <w:szCs w:val="20"/>
          <w:highlight w:val="none"/>
          <w14:textFill>
            <w14:solidFill>
              <w14:schemeClr w14:val="tx1"/>
            </w14:solidFill>
          </w14:textFill>
        </w:rPr>
        <w:t>正本/副本</w:t>
      </w:r>
    </w:p>
    <w:p w14:paraId="3BFAC009">
      <w:pPr>
        <w:shd w:val="clear"/>
        <w:ind w:firstLine="1446"/>
        <w:jc w:val="center"/>
        <w:rPr>
          <w:rFonts w:hint="eastAsia" w:ascii="宋体" w:hAnsi="宋体" w:eastAsia="宋体" w:cs="宋体"/>
          <w:b/>
          <w:color w:val="000000" w:themeColor="text1"/>
          <w:sz w:val="72"/>
          <w:highlight w:val="none"/>
          <w14:textFill>
            <w14:solidFill>
              <w14:schemeClr w14:val="tx1"/>
            </w14:solidFill>
          </w14:textFill>
        </w:rPr>
      </w:pPr>
    </w:p>
    <w:p w14:paraId="1DA5E327">
      <w:pPr>
        <w:shd w:val="clear"/>
        <w:ind w:firstLine="1446"/>
        <w:jc w:val="center"/>
        <w:rPr>
          <w:rFonts w:hint="eastAsia" w:ascii="宋体" w:hAnsi="宋体" w:eastAsia="宋体" w:cs="宋体"/>
          <w:b/>
          <w:color w:val="000000" w:themeColor="text1"/>
          <w:sz w:val="72"/>
          <w:highlight w:val="none"/>
          <w14:textFill>
            <w14:solidFill>
              <w14:schemeClr w14:val="tx1"/>
            </w14:solidFill>
          </w14:textFill>
        </w:rPr>
      </w:pPr>
      <w:r>
        <w:rPr>
          <w:rFonts w:hint="eastAsia" w:ascii="宋体" w:hAnsi="宋体" w:eastAsia="宋体" w:cs="宋体"/>
          <w:b/>
          <w:color w:val="000000" w:themeColor="text1"/>
          <w:sz w:val="72"/>
          <w:highlight w:val="none"/>
          <w14:textFill>
            <w14:solidFill>
              <w14:schemeClr w14:val="tx1"/>
            </w14:solidFill>
          </w14:textFill>
        </w:rPr>
        <w:t>投  标  文  件</w:t>
      </w:r>
    </w:p>
    <w:p w14:paraId="00080665">
      <w:pPr>
        <w:shd w:val="clear"/>
        <w:ind w:firstLine="723"/>
        <w:jc w:val="center"/>
        <w:rPr>
          <w:rFonts w:hint="eastAsia" w:ascii="宋体" w:hAnsi="宋体" w:eastAsia="宋体" w:cs="宋体"/>
          <w:b/>
          <w:color w:val="000000" w:themeColor="text1"/>
          <w:sz w:val="36"/>
          <w:highlight w:val="none"/>
          <w14:textFill>
            <w14:solidFill>
              <w14:schemeClr w14:val="tx1"/>
            </w14:solidFill>
          </w14:textFill>
        </w:rPr>
      </w:pPr>
    </w:p>
    <w:p w14:paraId="4EE9FF25">
      <w:pPr>
        <w:shd w:val="clear"/>
        <w:ind w:firstLine="723"/>
        <w:jc w:val="center"/>
        <w:rPr>
          <w:rFonts w:hint="eastAsia" w:ascii="宋体" w:hAnsi="宋体" w:eastAsia="宋体" w:cs="宋体"/>
          <w:b/>
          <w:color w:val="000000" w:themeColor="text1"/>
          <w:sz w:val="36"/>
          <w:highlight w:val="none"/>
          <w14:textFill>
            <w14:solidFill>
              <w14:schemeClr w14:val="tx1"/>
            </w14:solidFill>
          </w14:textFill>
        </w:rPr>
      </w:pPr>
    </w:p>
    <w:p w14:paraId="01EE1FF7">
      <w:pPr>
        <w:shd w:val="clear"/>
        <w:ind w:firstLine="723"/>
        <w:rPr>
          <w:rFonts w:hint="eastAsia" w:ascii="宋体" w:hAnsi="宋体" w:eastAsia="宋体" w:cs="宋体"/>
          <w:b/>
          <w:color w:val="000000" w:themeColor="text1"/>
          <w:sz w:val="36"/>
          <w:highlight w:val="none"/>
          <w14:textFill>
            <w14:solidFill>
              <w14:schemeClr w14:val="tx1"/>
            </w14:solidFill>
          </w14:textFill>
        </w:rPr>
      </w:pPr>
      <w:r>
        <w:rPr>
          <w:rFonts w:hint="eastAsia" w:ascii="宋体" w:hAnsi="宋体" w:eastAsia="宋体" w:cs="宋体"/>
          <w:b/>
          <w:color w:val="000000" w:themeColor="text1"/>
          <w:sz w:val="36"/>
          <w:highlight w:val="none"/>
          <w14:textFill>
            <w14:solidFill>
              <w14:schemeClr w14:val="tx1"/>
            </w14:solidFill>
          </w14:textFill>
        </w:rPr>
        <w:t xml:space="preserve">项目编号： </w:t>
      </w:r>
    </w:p>
    <w:p w14:paraId="274CE89A">
      <w:pPr>
        <w:shd w:val="clear"/>
        <w:ind w:firstLine="723"/>
        <w:rPr>
          <w:rFonts w:hint="eastAsia" w:ascii="宋体" w:hAnsi="宋体" w:eastAsia="宋体" w:cs="宋体"/>
          <w:b/>
          <w:color w:val="000000" w:themeColor="text1"/>
          <w:sz w:val="36"/>
          <w:highlight w:val="none"/>
          <w14:textFill>
            <w14:solidFill>
              <w14:schemeClr w14:val="tx1"/>
            </w14:solidFill>
          </w14:textFill>
        </w:rPr>
      </w:pPr>
      <w:r>
        <w:rPr>
          <w:rFonts w:hint="eastAsia" w:ascii="宋体" w:hAnsi="宋体" w:eastAsia="宋体" w:cs="宋体"/>
          <w:b/>
          <w:color w:val="000000" w:themeColor="text1"/>
          <w:sz w:val="36"/>
          <w:highlight w:val="none"/>
          <w14:textFill>
            <w14:solidFill>
              <w14:schemeClr w14:val="tx1"/>
            </w14:solidFill>
          </w14:textFill>
        </w:rPr>
        <w:t xml:space="preserve">项目名称： </w:t>
      </w:r>
    </w:p>
    <w:p w14:paraId="4C841352">
      <w:pPr>
        <w:shd w:val="clear"/>
        <w:ind w:firstLine="723"/>
        <w:rPr>
          <w:rFonts w:hint="eastAsia" w:ascii="宋体" w:hAnsi="宋体" w:eastAsia="宋体" w:cs="宋体"/>
          <w:b/>
          <w:color w:val="000000" w:themeColor="text1"/>
          <w:sz w:val="36"/>
          <w:highlight w:val="none"/>
          <w14:textFill>
            <w14:solidFill>
              <w14:schemeClr w14:val="tx1"/>
            </w14:solidFill>
          </w14:textFill>
        </w:rPr>
      </w:pPr>
    </w:p>
    <w:p w14:paraId="01E60430">
      <w:pPr>
        <w:shd w:val="clear"/>
        <w:ind w:firstLine="723"/>
        <w:rPr>
          <w:rFonts w:hint="eastAsia" w:ascii="宋体" w:hAnsi="宋体" w:eastAsia="宋体" w:cs="宋体"/>
          <w:b/>
          <w:color w:val="000000" w:themeColor="text1"/>
          <w:sz w:val="36"/>
          <w:highlight w:val="none"/>
          <w14:textFill>
            <w14:solidFill>
              <w14:schemeClr w14:val="tx1"/>
            </w14:solidFill>
          </w14:textFill>
        </w:rPr>
      </w:pPr>
    </w:p>
    <w:p w14:paraId="703B5F48">
      <w:pPr>
        <w:shd w:val="clear"/>
        <w:ind w:firstLine="723"/>
        <w:rPr>
          <w:rFonts w:hint="eastAsia" w:ascii="宋体" w:hAnsi="宋体" w:eastAsia="宋体" w:cs="宋体"/>
          <w:b/>
          <w:color w:val="000000" w:themeColor="text1"/>
          <w:sz w:val="36"/>
          <w:highlight w:val="none"/>
          <w14:textFill>
            <w14:solidFill>
              <w14:schemeClr w14:val="tx1"/>
            </w14:solidFill>
          </w14:textFill>
        </w:rPr>
      </w:pPr>
    </w:p>
    <w:p w14:paraId="30C32FB1">
      <w:pPr>
        <w:shd w:val="clear"/>
        <w:ind w:firstLine="723"/>
        <w:rPr>
          <w:rFonts w:hint="eastAsia" w:ascii="宋体" w:hAnsi="宋体" w:eastAsia="宋体" w:cs="宋体"/>
          <w:b/>
          <w:color w:val="000000" w:themeColor="text1"/>
          <w:sz w:val="36"/>
          <w:highlight w:val="none"/>
          <w14:textFill>
            <w14:solidFill>
              <w14:schemeClr w14:val="tx1"/>
            </w14:solidFill>
          </w14:textFill>
        </w:rPr>
      </w:pPr>
    </w:p>
    <w:p w14:paraId="4B095E4F">
      <w:pPr>
        <w:shd w:val="clear"/>
        <w:ind w:firstLine="723"/>
        <w:rPr>
          <w:rFonts w:hint="eastAsia" w:ascii="宋体" w:hAnsi="宋体" w:eastAsia="宋体" w:cs="宋体"/>
          <w:b/>
          <w:color w:val="000000" w:themeColor="text1"/>
          <w:sz w:val="36"/>
          <w:highlight w:val="none"/>
          <w14:textFill>
            <w14:solidFill>
              <w14:schemeClr w14:val="tx1"/>
            </w14:solidFill>
          </w14:textFill>
        </w:rPr>
      </w:pPr>
      <w:r>
        <w:rPr>
          <w:rFonts w:hint="eastAsia" w:ascii="宋体" w:hAnsi="宋体" w:eastAsia="宋体" w:cs="宋体"/>
          <w:b/>
          <w:color w:val="000000" w:themeColor="text1"/>
          <w:sz w:val="36"/>
          <w:highlight w:val="none"/>
          <w14:textFill>
            <w14:solidFill>
              <w14:schemeClr w14:val="tx1"/>
            </w14:solidFill>
          </w14:textFill>
        </w:rPr>
        <w:t>投标人名称（盖单位章）：</w:t>
      </w:r>
    </w:p>
    <w:p w14:paraId="4173E1B4">
      <w:pPr>
        <w:shd w:val="clear"/>
        <w:ind w:firstLine="723"/>
        <w:rPr>
          <w:rFonts w:hint="eastAsia" w:ascii="宋体" w:hAnsi="宋体" w:eastAsia="宋体" w:cs="宋体"/>
          <w:b/>
          <w:color w:val="000000" w:themeColor="text1"/>
          <w:sz w:val="36"/>
          <w:highlight w:val="none"/>
          <w14:textFill>
            <w14:solidFill>
              <w14:schemeClr w14:val="tx1"/>
            </w14:solidFill>
          </w14:textFill>
        </w:rPr>
      </w:pPr>
      <w:r>
        <w:rPr>
          <w:rFonts w:hint="eastAsia" w:ascii="宋体" w:hAnsi="宋体" w:eastAsia="宋体" w:cs="宋体"/>
          <w:b/>
          <w:color w:val="000000" w:themeColor="text1"/>
          <w:sz w:val="36"/>
          <w:highlight w:val="none"/>
          <w14:textFill>
            <w14:solidFill>
              <w14:schemeClr w14:val="tx1"/>
            </w14:solidFill>
          </w14:textFill>
        </w:rPr>
        <w:t>日      期：</w:t>
      </w:r>
    </w:p>
    <w:p w14:paraId="15A68A8A">
      <w:pPr>
        <w:pStyle w:val="81"/>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39" w:name="_Toc405408732"/>
      <w:r>
        <w:rPr>
          <w:rFonts w:hint="eastAsia" w:ascii="宋体" w:hAnsi="宋体" w:eastAsia="宋体" w:cs="宋体"/>
          <w:color w:val="000000" w:themeColor="text1"/>
          <w:highlight w:val="none"/>
          <w14:textFill>
            <w14:solidFill>
              <w14:schemeClr w14:val="tx1"/>
            </w14:solidFill>
          </w14:textFill>
        </w:rPr>
        <w:t>评分索引表</w:t>
      </w:r>
    </w:p>
    <w:tbl>
      <w:tblPr>
        <w:tblStyle w:val="28"/>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14:paraId="0D15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0" w:type="dxa"/>
            <w:vAlign w:val="center"/>
          </w:tcPr>
          <w:p w14:paraId="311D82EF">
            <w:pPr>
              <w:pStyle w:val="90"/>
              <w:shd w:val="clea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评分项目</w:t>
            </w:r>
          </w:p>
        </w:tc>
        <w:tc>
          <w:tcPr>
            <w:tcW w:w="3570" w:type="dxa"/>
            <w:vAlign w:val="center"/>
          </w:tcPr>
          <w:p w14:paraId="5434EA82">
            <w:pPr>
              <w:pStyle w:val="90"/>
              <w:shd w:val="clea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在投标文件中的页码位置</w:t>
            </w:r>
          </w:p>
        </w:tc>
      </w:tr>
      <w:tr w14:paraId="06C5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0" w:type="dxa"/>
          </w:tcPr>
          <w:p w14:paraId="0677DBD3">
            <w:pPr>
              <w:pStyle w:val="90"/>
              <w:shd w:val="clear"/>
              <w:rPr>
                <w:rFonts w:hint="eastAsia" w:ascii="宋体" w:hAnsi="宋体" w:eastAsia="宋体" w:cs="宋体"/>
                <w:color w:val="000000" w:themeColor="text1"/>
                <w:highlight w:val="none"/>
                <w14:textFill>
                  <w14:solidFill>
                    <w14:schemeClr w14:val="tx1"/>
                  </w14:solidFill>
                </w14:textFill>
              </w:rPr>
            </w:pPr>
          </w:p>
        </w:tc>
        <w:tc>
          <w:tcPr>
            <w:tcW w:w="3570" w:type="dxa"/>
          </w:tcPr>
          <w:p w14:paraId="3F38F2BD">
            <w:pPr>
              <w:pStyle w:val="90"/>
              <w:shd w:val="clear"/>
              <w:rPr>
                <w:rFonts w:hint="eastAsia" w:ascii="宋体" w:hAnsi="宋体" w:eastAsia="宋体" w:cs="宋体"/>
                <w:color w:val="000000" w:themeColor="text1"/>
                <w:highlight w:val="none"/>
                <w14:textFill>
                  <w14:solidFill>
                    <w14:schemeClr w14:val="tx1"/>
                  </w14:solidFill>
                </w14:textFill>
              </w:rPr>
            </w:pPr>
          </w:p>
        </w:tc>
      </w:tr>
      <w:tr w14:paraId="236C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0" w:type="dxa"/>
            <w:gridSpan w:val="2"/>
          </w:tcPr>
          <w:p w14:paraId="4EF4E117">
            <w:pPr>
              <w:pStyle w:val="90"/>
              <w:shd w:val="clear"/>
              <w:rPr>
                <w:rFonts w:hint="eastAsia" w:ascii="宋体" w:hAnsi="宋体" w:eastAsia="宋体" w:cs="宋体"/>
                <w:color w:val="000000" w:themeColor="text1"/>
                <w:highlight w:val="none"/>
                <w14:textFill>
                  <w14:solidFill>
                    <w14:schemeClr w14:val="tx1"/>
                  </w14:solidFill>
                </w14:textFill>
              </w:rPr>
            </w:pPr>
          </w:p>
        </w:tc>
      </w:tr>
      <w:tr w14:paraId="4D7D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0" w:type="dxa"/>
          </w:tcPr>
          <w:p w14:paraId="029E155B">
            <w:pPr>
              <w:pStyle w:val="90"/>
              <w:shd w:val="clear"/>
              <w:rPr>
                <w:rFonts w:hint="eastAsia" w:ascii="宋体" w:hAnsi="宋体" w:eastAsia="宋体" w:cs="宋体"/>
                <w:color w:val="000000" w:themeColor="text1"/>
                <w:highlight w:val="none"/>
                <w14:textFill>
                  <w14:solidFill>
                    <w14:schemeClr w14:val="tx1"/>
                  </w14:solidFill>
                </w14:textFill>
              </w:rPr>
            </w:pPr>
          </w:p>
        </w:tc>
        <w:tc>
          <w:tcPr>
            <w:tcW w:w="3570" w:type="dxa"/>
          </w:tcPr>
          <w:p w14:paraId="05A60793">
            <w:pPr>
              <w:pStyle w:val="90"/>
              <w:shd w:val="clear"/>
              <w:rPr>
                <w:rFonts w:hint="eastAsia" w:ascii="宋体" w:hAnsi="宋体" w:eastAsia="宋体" w:cs="宋体"/>
                <w:color w:val="000000" w:themeColor="text1"/>
                <w:highlight w:val="none"/>
                <w14:textFill>
                  <w14:solidFill>
                    <w14:schemeClr w14:val="tx1"/>
                  </w14:solidFill>
                </w14:textFill>
              </w:rPr>
            </w:pPr>
          </w:p>
        </w:tc>
      </w:tr>
      <w:tr w14:paraId="4C26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0" w:type="dxa"/>
          </w:tcPr>
          <w:p w14:paraId="57F7A809">
            <w:pPr>
              <w:pStyle w:val="90"/>
              <w:shd w:val="clear"/>
              <w:rPr>
                <w:rFonts w:hint="eastAsia" w:ascii="宋体" w:hAnsi="宋体" w:eastAsia="宋体" w:cs="宋体"/>
                <w:color w:val="000000" w:themeColor="text1"/>
                <w:highlight w:val="none"/>
                <w14:textFill>
                  <w14:solidFill>
                    <w14:schemeClr w14:val="tx1"/>
                  </w14:solidFill>
                </w14:textFill>
              </w:rPr>
            </w:pPr>
          </w:p>
        </w:tc>
        <w:tc>
          <w:tcPr>
            <w:tcW w:w="3570" w:type="dxa"/>
          </w:tcPr>
          <w:p w14:paraId="52F640F4">
            <w:pPr>
              <w:pStyle w:val="90"/>
              <w:shd w:val="clear"/>
              <w:rPr>
                <w:rFonts w:hint="eastAsia" w:ascii="宋体" w:hAnsi="宋体" w:eastAsia="宋体" w:cs="宋体"/>
                <w:color w:val="000000" w:themeColor="text1"/>
                <w:highlight w:val="none"/>
                <w14:textFill>
                  <w14:solidFill>
                    <w14:schemeClr w14:val="tx1"/>
                  </w14:solidFill>
                </w14:textFill>
              </w:rPr>
            </w:pPr>
          </w:p>
        </w:tc>
      </w:tr>
      <w:tr w14:paraId="03A4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0" w:type="dxa"/>
          </w:tcPr>
          <w:p w14:paraId="0224E556">
            <w:pPr>
              <w:pStyle w:val="90"/>
              <w:shd w:val="clear"/>
              <w:rPr>
                <w:rFonts w:hint="eastAsia" w:ascii="宋体" w:hAnsi="宋体" w:eastAsia="宋体" w:cs="宋体"/>
                <w:color w:val="000000" w:themeColor="text1"/>
                <w:highlight w:val="none"/>
                <w14:textFill>
                  <w14:solidFill>
                    <w14:schemeClr w14:val="tx1"/>
                  </w14:solidFill>
                </w14:textFill>
              </w:rPr>
            </w:pPr>
          </w:p>
        </w:tc>
        <w:tc>
          <w:tcPr>
            <w:tcW w:w="3570" w:type="dxa"/>
          </w:tcPr>
          <w:p w14:paraId="5C7EB2F6">
            <w:pPr>
              <w:pStyle w:val="90"/>
              <w:shd w:val="clear"/>
              <w:rPr>
                <w:rFonts w:hint="eastAsia" w:ascii="宋体" w:hAnsi="宋体" w:eastAsia="宋体" w:cs="宋体"/>
                <w:color w:val="000000" w:themeColor="text1"/>
                <w:highlight w:val="none"/>
                <w14:textFill>
                  <w14:solidFill>
                    <w14:schemeClr w14:val="tx1"/>
                  </w14:solidFill>
                </w14:textFill>
              </w:rPr>
            </w:pPr>
          </w:p>
        </w:tc>
      </w:tr>
      <w:tr w14:paraId="4B98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0" w:type="dxa"/>
          </w:tcPr>
          <w:p w14:paraId="56E9B7A1">
            <w:pPr>
              <w:pStyle w:val="90"/>
              <w:shd w:val="clear"/>
              <w:rPr>
                <w:rFonts w:hint="eastAsia" w:ascii="宋体" w:hAnsi="宋体" w:eastAsia="宋体" w:cs="宋体"/>
                <w:color w:val="000000" w:themeColor="text1"/>
                <w:highlight w:val="none"/>
                <w14:textFill>
                  <w14:solidFill>
                    <w14:schemeClr w14:val="tx1"/>
                  </w14:solidFill>
                </w14:textFill>
              </w:rPr>
            </w:pPr>
          </w:p>
        </w:tc>
        <w:tc>
          <w:tcPr>
            <w:tcW w:w="3570" w:type="dxa"/>
          </w:tcPr>
          <w:p w14:paraId="5F369253">
            <w:pPr>
              <w:pStyle w:val="90"/>
              <w:shd w:val="clear"/>
              <w:rPr>
                <w:rFonts w:hint="eastAsia" w:ascii="宋体" w:hAnsi="宋体" w:eastAsia="宋体" w:cs="宋体"/>
                <w:color w:val="000000" w:themeColor="text1"/>
                <w:highlight w:val="none"/>
                <w14:textFill>
                  <w14:solidFill>
                    <w14:schemeClr w14:val="tx1"/>
                  </w14:solidFill>
                </w14:textFill>
              </w:rPr>
            </w:pPr>
          </w:p>
        </w:tc>
      </w:tr>
      <w:tr w14:paraId="7EA47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0" w:type="dxa"/>
          </w:tcPr>
          <w:p w14:paraId="2E53C384">
            <w:pPr>
              <w:pStyle w:val="90"/>
              <w:shd w:val="clear"/>
              <w:rPr>
                <w:rFonts w:hint="eastAsia" w:ascii="宋体" w:hAnsi="宋体" w:eastAsia="宋体" w:cs="宋体"/>
                <w:color w:val="000000" w:themeColor="text1"/>
                <w:highlight w:val="none"/>
                <w14:textFill>
                  <w14:solidFill>
                    <w14:schemeClr w14:val="tx1"/>
                  </w14:solidFill>
                </w14:textFill>
              </w:rPr>
            </w:pPr>
          </w:p>
        </w:tc>
        <w:tc>
          <w:tcPr>
            <w:tcW w:w="3570" w:type="dxa"/>
          </w:tcPr>
          <w:p w14:paraId="5E8064B6">
            <w:pPr>
              <w:pStyle w:val="90"/>
              <w:shd w:val="clear"/>
              <w:rPr>
                <w:rFonts w:hint="eastAsia" w:ascii="宋体" w:hAnsi="宋体" w:eastAsia="宋体" w:cs="宋体"/>
                <w:color w:val="000000" w:themeColor="text1"/>
                <w:highlight w:val="none"/>
                <w14:textFill>
                  <w14:solidFill>
                    <w14:schemeClr w14:val="tx1"/>
                  </w14:solidFill>
                </w14:textFill>
              </w:rPr>
            </w:pPr>
          </w:p>
        </w:tc>
      </w:tr>
      <w:tr w14:paraId="2C7B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0" w:type="dxa"/>
            <w:gridSpan w:val="2"/>
          </w:tcPr>
          <w:p w14:paraId="069F6891">
            <w:pPr>
              <w:pStyle w:val="90"/>
              <w:shd w:val="clear"/>
              <w:rPr>
                <w:rFonts w:hint="eastAsia" w:ascii="宋体" w:hAnsi="宋体" w:eastAsia="宋体" w:cs="宋体"/>
                <w:color w:val="000000" w:themeColor="text1"/>
                <w:highlight w:val="none"/>
                <w14:textFill>
                  <w14:solidFill>
                    <w14:schemeClr w14:val="tx1"/>
                  </w14:solidFill>
                </w14:textFill>
              </w:rPr>
            </w:pPr>
          </w:p>
        </w:tc>
      </w:tr>
      <w:tr w14:paraId="778DE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0" w:type="dxa"/>
          </w:tcPr>
          <w:p w14:paraId="0E520269">
            <w:pPr>
              <w:pStyle w:val="90"/>
              <w:shd w:val="clear"/>
              <w:rPr>
                <w:rFonts w:hint="eastAsia" w:ascii="宋体" w:hAnsi="宋体" w:eastAsia="宋体" w:cs="宋体"/>
                <w:color w:val="000000" w:themeColor="text1"/>
                <w:highlight w:val="none"/>
                <w14:textFill>
                  <w14:solidFill>
                    <w14:schemeClr w14:val="tx1"/>
                  </w14:solidFill>
                </w14:textFill>
              </w:rPr>
            </w:pPr>
          </w:p>
        </w:tc>
        <w:tc>
          <w:tcPr>
            <w:tcW w:w="3570" w:type="dxa"/>
          </w:tcPr>
          <w:p w14:paraId="7B333BE6">
            <w:pPr>
              <w:pStyle w:val="90"/>
              <w:shd w:val="clear"/>
              <w:rPr>
                <w:rFonts w:hint="eastAsia" w:ascii="宋体" w:hAnsi="宋体" w:eastAsia="宋体" w:cs="宋体"/>
                <w:color w:val="000000" w:themeColor="text1"/>
                <w:highlight w:val="none"/>
                <w14:textFill>
                  <w14:solidFill>
                    <w14:schemeClr w14:val="tx1"/>
                  </w14:solidFill>
                </w14:textFill>
              </w:rPr>
            </w:pPr>
          </w:p>
        </w:tc>
      </w:tr>
      <w:tr w14:paraId="64153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0" w:type="dxa"/>
          </w:tcPr>
          <w:p w14:paraId="1A788B30">
            <w:pPr>
              <w:pStyle w:val="90"/>
              <w:shd w:val="clear"/>
              <w:rPr>
                <w:rFonts w:hint="eastAsia" w:ascii="宋体" w:hAnsi="宋体" w:eastAsia="宋体" w:cs="宋体"/>
                <w:color w:val="000000" w:themeColor="text1"/>
                <w:highlight w:val="none"/>
                <w14:textFill>
                  <w14:solidFill>
                    <w14:schemeClr w14:val="tx1"/>
                  </w14:solidFill>
                </w14:textFill>
              </w:rPr>
            </w:pPr>
          </w:p>
        </w:tc>
        <w:tc>
          <w:tcPr>
            <w:tcW w:w="3570" w:type="dxa"/>
          </w:tcPr>
          <w:p w14:paraId="1D807500">
            <w:pPr>
              <w:pStyle w:val="90"/>
              <w:shd w:val="clear"/>
              <w:rPr>
                <w:rFonts w:hint="eastAsia" w:ascii="宋体" w:hAnsi="宋体" w:eastAsia="宋体" w:cs="宋体"/>
                <w:color w:val="000000" w:themeColor="text1"/>
                <w:highlight w:val="none"/>
                <w14:textFill>
                  <w14:solidFill>
                    <w14:schemeClr w14:val="tx1"/>
                  </w14:solidFill>
                </w14:textFill>
              </w:rPr>
            </w:pPr>
          </w:p>
        </w:tc>
      </w:tr>
      <w:tr w14:paraId="27D8D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0" w:type="dxa"/>
          </w:tcPr>
          <w:p w14:paraId="1DB310AD">
            <w:pPr>
              <w:pStyle w:val="90"/>
              <w:shd w:val="clear"/>
              <w:rPr>
                <w:rFonts w:hint="eastAsia" w:ascii="宋体" w:hAnsi="宋体" w:eastAsia="宋体" w:cs="宋体"/>
                <w:color w:val="000000" w:themeColor="text1"/>
                <w:highlight w:val="none"/>
                <w14:textFill>
                  <w14:solidFill>
                    <w14:schemeClr w14:val="tx1"/>
                  </w14:solidFill>
                </w14:textFill>
              </w:rPr>
            </w:pPr>
          </w:p>
        </w:tc>
        <w:tc>
          <w:tcPr>
            <w:tcW w:w="3570" w:type="dxa"/>
          </w:tcPr>
          <w:p w14:paraId="79936D66">
            <w:pPr>
              <w:pStyle w:val="90"/>
              <w:shd w:val="clear"/>
              <w:rPr>
                <w:rFonts w:hint="eastAsia" w:ascii="宋体" w:hAnsi="宋体" w:eastAsia="宋体" w:cs="宋体"/>
                <w:color w:val="000000" w:themeColor="text1"/>
                <w:highlight w:val="none"/>
                <w14:textFill>
                  <w14:solidFill>
                    <w14:schemeClr w14:val="tx1"/>
                  </w14:solidFill>
                </w14:textFill>
              </w:rPr>
            </w:pPr>
          </w:p>
        </w:tc>
      </w:tr>
      <w:tr w14:paraId="1B8A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0" w:type="dxa"/>
          </w:tcPr>
          <w:p w14:paraId="44B7E362">
            <w:pPr>
              <w:pStyle w:val="90"/>
              <w:shd w:val="clear"/>
              <w:rPr>
                <w:rFonts w:hint="eastAsia" w:ascii="宋体" w:hAnsi="宋体" w:eastAsia="宋体" w:cs="宋体"/>
                <w:color w:val="000000" w:themeColor="text1"/>
                <w:highlight w:val="none"/>
                <w14:textFill>
                  <w14:solidFill>
                    <w14:schemeClr w14:val="tx1"/>
                  </w14:solidFill>
                </w14:textFill>
              </w:rPr>
            </w:pPr>
          </w:p>
        </w:tc>
        <w:tc>
          <w:tcPr>
            <w:tcW w:w="3570" w:type="dxa"/>
          </w:tcPr>
          <w:p w14:paraId="5D9AED2F">
            <w:pPr>
              <w:pStyle w:val="90"/>
              <w:shd w:val="clear"/>
              <w:rPr>
                <w:rFonts w:hint="eastAsia" w:ascii="宋体" w:hAnsi="宋体" w:eastAsia="宋体" w:cs="宋体"/>
                <w:color w:val="000000" w:themeColor="text1"/>
                <w:highlight w:val="none"/>
                <w14:textFill>
                  <w14:solidFill>
                    <w14:schemeClr w14:val="tx1"/>
                  </w14:solidFill>
                </w14:textFill>
              </w:rPr>
            </w:pPr>
          </w:p>
        </w:tc>
      </w:tr>
      <w:tr w14:paraId="2034E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0" w:type="dxa"/>
          </w:tcPr>
          <w:p w14:paraId="187A04B3">
            <w:pPr>
              <w:pStyle w:val="90"/>
              <w:shd w:val="clear"/>
              <w:rPr>
                <w:rFonts w:hint="eastAsia" w:ascii="宋体" w:hAnsi="宋体" w:eastAsia="宋体" w:cs="宋体"/>
                <w:color w:val="000000" w:themeColor="text1"/>
                <w:highlight w:val="none"/>
                <w14:textFill>
                  <w14:solidFill>
                    <w14:schemeClr w14:val="tx1"/>
                  </w14:solidFill>
                </w14:textFill>
              </w:rPr>
            </w:pPr>
          </w:p>
        </w:tc>
        <w:tc>
          <w:tcPr>
            <w:tcW w:w="3570" w:type="dxa"/>
          </w:tcPr>
          <w:p w14:paraId="1C1301B3">
            <w:pPr>
              <w:pStyle w:val="90"/>
              <w:shd w:val="clear"/>
              <w:rPr>
                <w:rFonts w:hint="eastAsia" w:ascii="宋体" w:hAnsi="宋体" w:eastAsia="宋体" w:cs="宋体"/>
                <w:color w:val="000000" w:themeColor="text1"/>
                <w:highlight w:val="none"/>
                <w14:textFill>
                  <w14:solidFill>
                    <w14:schemeClr w14:val="tx1"/>
                  </w14:solidFill>
                </w14:textFill>
              </w:rPr>
            </w:pPr>
          </w:p>
        </w:tc>
      </w:tr>
      <w:tr w14:paraId="7731F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0" w:type="dxa"/>
            <w:gridSpan w:val="2"/>
          </w:tcPr>
          <w:p w14:paraId="29532EAA">
            <w:pPr>
              <w:pStyle w:val="90"/>
              <w:shd w:val="clear"/>
              <w:rPr>
                <w:rFonts w:hint="eastAsia" w:ascii="宋体" w:hAnsi="宋体" w:eastAsia="宋体" w:cs="宋体"/>
                <w:color w:val="000000" w:themeColor="text1"/>
                <w:highlight w:val="none"/>
                <w14:textFill>
                  <w14:solidFill>
                    <w14:schemeClr w14:val="tx1"/>
                  </w14:solidFill>
                </w14:textFill>
              </w:rPr>
            </w:pPr>
          </w:p>
        </w:tc>
      </w:tr>
      <w:tr w14:paraId="6E063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0" w:type="dxa"/>
          </w:tcPr>
          <w:p w14:paraId="538D7C70">
            <w:pPr>
              <w:pStyle w:val="90"/>
              <w:shd w:val="clear"/>
              <w:rPr>
                <w:rFonts w:hint="eastAsia" w:ascii="宋体" w:hAnsi="宋体" w:eastAsia="宋体" w:cs="宋体"/>
                <w:color w:val="000000" w:themeColor="text1"/>
                <w:highlight w:val="none"/>
                <w14:textFill>
                  <w14:solidFill>
                    <w14:schemeClr w14:val="tx1"/>
                  </w14:solidFill>
                </w14:textFill>
              </w:rPr>
            </w:pPr>
          </w:p>
        </w:tc>
        <w:tc>
          <w:tcPr>
            <w:tcW w:w="3570" w:type="dxa"/>
          </w:tcPr>
          <w:p w14:paraId="75EBB185">
            <w:pPr>
              <w:pStyle w:val="90"/>
              <w:shd w:val="clear"/>
              <w:rPr>
                <w:rFonts w:hint="eastAsia" w:ascii="宋体" w:hAnsi="宋体" w:eastAsia="宋体" w:cs="宋体"/>
                <w:color w:val="000000" w:themeColor="text1"/>
                <w:highlight w:val="none"/>
                <w14:textFill>
                  <w14:solidFill>
                    <w14:schemeClr w14:val="tx1"/>
                  </w14:solidFill>
                </w14:textFill>
              </w:rPr>
            </w:pPr>
          </w:p>
        </w:tc>
      </w:tr>
      <w:tr w14:paraId="5B07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0" w:type="dxa"/>
          </w:tcPr>
          <w:p w14:paraId="0073CBA7">
            <w:pPr>
              <w:pStyle w:val="90"/>
              <w:shd w:val="clear"/>
              <w:rPr>
                <w:rFonts w:hint="eastAsia" w:ascii="宋体" w:hAnsi="宋体" w:eastAsia="宋体" w:cs="宋体"/>
                <w:color w:val="000000" w:themeColor="text1"/>
                <w:highlight w:val="none"/>
                <w14:textFill>
                  <w14:solidFill>
                    <w14:schemeClr w14:val="tx1"/>
                  </w14:solidFill>
                </w14:textFill>
              </w:rPr>
            </w:pPr>
          </w:p>
        </w:tc>
        <w:tc>
          <w:tcPr>
            <w:tcW w:w="3570" w:type="dxa"/>
          </w:tcPr>
          <w:p w14:paraId="75586429">
            <w:pPr>
              <w:pStyle w:val="90"/>
              <w:shd w:val="clear"/>
              <w:rPr>
                <w:rFonts w:hint="eastAsia" w:ascii="宋体" w:hAnsi="宋体" w:eastAsia="宋体" w:cs="宋体"/>
                <w:color w:val="000000" w:themeColor="text1"/>
                <w:highlight w:val="none"/>
                <w14:textFill>
                  <w14:solidFill>
                    <w14:schemeClr w14:val="tx1"/>
                  </w14:solidFill>
                </w14:textFill>
              </w:rPr>
            </w:pPr>
          </w:p>
        </w:tc>
      </w:tr>
      <w:tr w14:paraId="4BDD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0" w:type="dxa"/>
          </w:tcPr>
          <w:p w14:paraId="48533614">
            <w:pPr>
              <w:pStyle w:val="90"/>
              <w:shd w:val="clear"/>
              <w:rPr>
                <w:rFonts w:hint="eastAsia" w:ascii="宋体" w:hAnsi="宋体" w:eastAsia="宋体" w:cs="宋体"/>
                <w:color w:val="000000" w:themeColor="text1"/>
                <w:highlight w:val="none"/>
                <w14:textFill>
                  <w14:solidFill>
                    <w14:schemeClr w14:val="tx1"/>
                  </w14:solidFill>
                </w14:textFill>
              </w:rPr>
            </w:pPr>
          </w:p>
        </w:tc>
        <w:tc>
          <w:tcPr>
            <w:tcW w:w="3570" w:type="dxa"/>
          </w:tcPr>
          <w:p w14:paraId="3B4E74A2">
            <w:pPr>
              <w:pStyle w:val="90"/>
              <w:shd w:val="clear"/>
              <w:rPr>
                <w:rFonts w:hint="eastAsia" w:ascii="宋体" w:hAnsi="宋体" w:eastAsia="宋体" w:cs="宋体"/>
                <w:color w:val="000000" w:themeColor="text1"/>
                <w:highlight w:val="none"/>
                <w14:textFill>
                  <w14:solidFill>
                    <w14:schemeClr w14:val="tx1"/>
                  </w14:solidFill>
                </w14:textFill>
              </w:rPr>
            </w:pPr>
          </w:p>
        </w:tc>
      </w:tr>
      <w:tr w14:paraId="4E2D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0" w:type="dxa"/>
            <w:gridSpan w:val="2"/>
          </w:tcPr>
          <w:p w14:paraId="017059AF">
            <w:pPr>
              <w:pStyle w:val="90"/>
              <w:shd w:val="clear"/>
              <w:rPr>
                <w:rFonts w:hint="eastAsia" w:ascii="宋体" w:hAnsi="宋体" w:eastAsia="宋体" w:cs="宋体"/>
                <w:color w:val="000000" w:themeColor="text1"/>
                <w:highlight w:val="none"/>
                <w14:textFill>
                  <w14:solidFill>
                    <w14:schemeClr w14:val="tx1"/>
                  </w14:solidFill>
                </w14:textFill>
              </w:rPr>
            </w:pPr>
          </w:p>
        </w:tc>
      </w:tr>
      <w:tr w14:paraId="4054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0" w:type="dxa"/>
          </w:tcPr>
          <w:p w14:paraId="3B73A591">
            <w:pPr>
              <w:pStyle w:val="90"/>
              <w:shd w:val="clear"/>
              <w:rPr>
                <w:rFonts w:hint="eastAsia" w:ascii="宋体" w:hAnsi="宋体" w:eastAsia="宋体" w:cs="宋体"/>
                <w:color w:val="000000" w:themeColor="text1"/>
                <w:highlight w:val="none"/>
                <w14:textFill>
                  <w14:solidFill>
                    <w14:schemeClr w14:val="tx1"/>
                  </w14:solidFill>
                </w14:textFill>
              </w:rPr>
            </w:pPr>
          </w:p>
        </w:tc>
        <w:tc>
          <w:tcPr>
            <w:tcW w:w="3570" w:type="dxa"/>
          </w:tcPr>
          <w:p w14:paraId="5EA3788D">
            <w:pPr>
              <w:pStyle w:val="90"/>
              <w:shd w:val="clear"/>
              <w:rPr>
                <w:rFonts w:hint="eastAsia" w:ascii="宋体" w:hAnsi="宋体" w:eastAsia="宋体" w:cs="宋体"/>
                <w:color w:val="000000" w:themeColor="text1"/>
                <w:highlight w:val="none"/>
                <w14:textFill>
                  <w14:solidFill>
                    <w14:schemeClr w14:val="tx1"/>
                  </w14:solidFill>
                </w14:textFill>
              </w:rPr>
            </w:pPr>
          </w:p>
        </w:tc>
      </w:tr>
      <w:tr w14:paraId="065A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0" w:type="dxa"/>
            <w:tcBorders>
              <w:bottom w:val="single" w:color="auto" w:sz="4" w:space="0"/>
            </w:tcBorders>
          </w:tcPr>
          <w:p w14:paraId="09B1466F">
            <w:pPr>
              <w:pStyle w:val="90"/>
              <w:shd w:val="clear"/>
              <w:rPr>
                <w:rFonts w:hint="eastAsia" w:ascii="宋体" w:hAnsi="宋体" w:eastAsia="宋体" w:cs="宋体"/>
                <w:color w:val="000000" w:themeColor="text1"/>
                <w:highlight w:val="none"/>
                <w14:textFill>
                  <w14:solidFill>
                    <w14:schemeClr w14:val="tx1"/>
                  </w14:solidFill>
                </w14:textFill>
              </w:rPr>
            </w:pPr>
          </w:p>
        </w:tc>
        <w:tc>
          <w:tcPr>
            <w:tcW w:w="3570" w:type="dxa"/>
            <w:tcBorders>
              <w:bottom w:val="single" w:color="auto" w:sz="4" w:space="0"/>
            </w:tcBorders>
          </w:tcPr>
          <w:p w14:paraId="70E7C419">
            <w:pPr>
              <w:pStyle w:val="90"/>
              <w:shd w:val="clear"/>
              <w:rPr>
                <w:rFonts w:hint="eastAsia" w:ascii="宋体" w:hAnsi="宋体" w:eastAsia="宋体" w:cs="宋体"/>
                <w:color w:val="000000" w:themeColor="text1"/>
                <w:highlight w:val="none"/>
                <w14:textFill>
                  <w14:solidFill>
                    <w14:schemeClr w14:val="tx1"/>
                  </w14:solidFill>
                </w14:textFill>
              </w:rPr>
            </w:pPr>
          </w:p>
        </w:tc>
      </w:tr>
    </w:tbl>
    <w:p w14:paraId="6768498B">
      <w:pPr>
        <w:pStyle w:val="76"/>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40" w:name="_Toc489655320"/>
      <w:r>
        <w:rPr>
          <w:rFonts w:hint="eastAsia" w:ascii="宋体" w:hAnsi="宋体" w:eastAsia="宋体" w:cs="宋体"/>
          <w:color w:val="000000" w:themeColor="text1"/>
          <w:highlight w:val="none"/>
          <w14:textFill>
            <w14:solidFill>
              <w14:schemeClr w14:val="tx1"/>
            </w14:solidFill>
          </w14:textFill>
        </w:rPr>
        <w:t>投标文件主要目录</w:t>
      </w:r>
      <w:bookmarkEnd w:id="39"/>
      <w:bookmarkEnd w:id="40"/>
      <w:r>
        <w:rPr>
          <w:rFonts w:hint="eastAsia" w:ascii="宋体" w:hAnsi="宋体" w:eastAsia="宋体" w:cs="宋体"/>
          <w:color w:val="000000" w:themeColor="text1"/>
          <w:highlight w:val="none"/>
          <w14:textFill>
            <w14:solidFill>
              <w14:schemeClr w14:val="tx1"/>
            </w14:solidFill>
          </w14:textFill>
        </w:rPr>
        <w:t>及相关证明材料格式、附件</w:t>
      </w:r>
    </w:p>
    <w:p w14:paraId="26DA3729">
      <w:pPr>
        <w:shd w:val="clear"/>
        <w:ind w:firstLine="0" w:firstLineChars="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（注：投标人根据附件编制投标文件并制作目录（须生成页码））</w:t>
      </w:r>
    </w:p>
    <w:p w14:paraId="1C82D552">
      <w:pPr>
        <w:shd w:val="clear"/>
        <w:ind w:firstLine="482"/>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p>
    <w:p w14:paraId="623E71D2">
      <w:pPr>
        <w:pStyle w:val="3"/>
        <w:shd w:val="clear"/>
        <w:ind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目录一、投标申请及声明格式</w:t>
      </w:r>
    </w:p>
    <w:p w14:paraId="10A166A0">
      <w:pPr>
        <w:shd w:val="clear"/>
        <w:ind w:firstLine="0" w:firstLineChars="0"/>
        <w:jc w:val="center"/>
        <w:rPr>
          <w:rFonts w:hint="eastAsia" w:ascii="宋体" w:hAnsi="宋体" w:eastAsia="宋体" w:cs="宋体"/>
          <w:b/>
          <w:bCs/>
          <w:color w:val="000000" w:themeColor="text1"/>
          <w:sz w:val="32"/>
          <w:szCs w:val="28"/>
          <w:highlight w:val="none"/>
          <w14:textFill>
            <w14:solidFill>
              <w14:schemeClr w14:val="tx1"/>
            </w14:solidFill>
          </w14:textFill>
        </w:rPr>
      </w:pPr>
      <w:r>
        <w:rPr>
          <w:rFonts w:hint="eastAsia" w:ascii="宋体" w:hAnsi="宋体" w:eastAsia="宋体" w:cs="宋体"/>
          <w:b/>
          <w:bCs/>
          <w:color w:val="000000" w:themeColor="text1"/>
          <w:sz w:val="32"/>
          <w:szCs w:val="28"/>
          <w:highlight w:val="none"/>
          <w14:textFill>
            <w14:solidFill>
              <w14:schemeClr w14:val="tx1"/>
            </w14:solidFill>
          </w14:textFill>
        </w:rPr>
        <w:t>投标申请及声明</w:t>
      </w:r>
    </w:p>
    <w:p w14:paraId="1AEAB9BB">
      <w:pPr>
        <w:pStyle w:val="13"/>
        <w:shd w:val="clear"/>
        <w:spacing w:line="264" w:lineRule="auto"/>
        <w:ind w:firstLine="0" w:firstLineChars="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致：</w:t>
      </w:r>
      <w:r>
        <w:rPr>
          <w:rFonts w:hint="eastAsia" w:ascii="宋体" w:hAnsi="宋体" w:cs="宋体"/>
          <w:color w:val="000000" w:themeColor="text1"/>
          <w:highlight w:val="none"/>
          <w:lang w:eastAsia="zh-CN"/>
          <w14:textFill>
            <w14:solidFill>
              <w14:schemeClr w14:val="tx1"/>
            </w14:solidFill>
          </w14:textFill>
        </w:rPr>
        <w:t>南京市栖霞区市政设施综合养护管理所</w:t>
      </w:r>
    </w:p>
    <w:p w14:paraId="39E3F7DA">
      <w:pPr>
        <w:pStyle w:val="13"/>
        <w:shd w:val="clear"/>
        <w:spacing w:line="264"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根据贵方</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（项目名称）</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（项目编号）</w:t>
      </w:r>
      <w:r>
        <w:rPr>
          <w:rFonts w:hint="eastAsia" w:ascii="宋体" w:hAnsi="宋体" w:cs="宋体"/>
          <w:color w:val="000000" w:themeColor="text1"/>
          <w:highlight w:val="none"/>
          <w:lang w:val="en-US" w:eastAsia="zh-CN"/>
          <w14:textFill>
            <w14:solidFill>
              <w14:schemeClr w14:val="tx1"/>
            </w14:solidFill>
          </w14:textFill>
        </w:rPr>
        <w:t>招标文件</w:t>
      </w:r>
      <w:r>
        <w:rPr>
          <w:rFonts w:hint="eastAsia" w:ascii="宋体" w:hAnsi="宋体" w:eastAsia="宋体" w:cs="宋体"/>
          <w:color w:val="000000" w:themeColor="text1"/>
          <w:highlight w:val="none"/>
          <w14:textFill>
            <w14:solidFill>
              <w14:schemeClr w14:val="tx1"/>
            </w14:solidFill>
          </w14:textFill>
        </w:rPr>
        <w:t>，正式授权下述签字人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（姓名和职务）代表投标人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（投标人名称），提交投标文件。</w:t>
      </w:r>
    </w:p>
    <w:p w14:paraId="79A83385">
      <w:pPr>
        <w:pStyle w:val="13"/>
        <w:shd w:val="clear"/>
        <w:spacing w:line="264"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据此函，签字人兹宣布声明和承诺如下：</w:t>
      </w:r>
    </w:p>
    <w:p w14:paraId="44CD608A">
      <w:pPr>
        <w:pStyle w:val="13"/>
        <w:shd w:val="clear"/>
        <w:tabs>
          <w:tab w:val="left" w:pos="780"/>
        </w:tabs>
        <w:spacing w:line="264"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1.我方的资格条件符合政府采购法和本次招标要求，我方同意并向贵方提供了与投标有关的所有证据和资料。</w:t>
      </w:r>
    </w:p>
    <w:p w14:paraId="15FD6547">
      <w:pPr>
        <w:keepNext w:val="0"/>
        <w:keepLines w:val="0"/>
        <w:pageBreakBefore w:val="0"/>
        <w:widowControl w:val="0"/>
        <w:shd w:val="clear"/>
        <w:kinsoku/>
        <w:wordWrap/>
        <w:overflowPunct/>
        <w:topLinePunct w:val="0"/>
        <w:autoSpaceDE w:val="0"/>
        <w:autoSpaceDN w:val="0"/>
        <w:bidi w:val="0"/>
        <w:adjustRightInd/>
        <w:snapToGrid/>
        <w:spacing w:after="0"/>
        <w:ind w:firstLine="48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2.按招标要求，我方投标</w:t>
      </w:r>
      <w:r>
        <w:rPr>
          <w:rFonts w:hint="eastAsia" w:ascii="宋体" w:hAnsi="宋体" w:cs="宋体"/>
          <w:color w:val="000000" w:themeColor="text1"/>
          <w:highlight w:val="none"/>
          <w:lang w:val="en-US" w:eastAsia="zh-CN"/>
          <w14:textFill>
            <w14:solidFill>
              <w14:schemeClr w14:val="tx1"/>
            </w14:solidFill>
          </w14:textFill>
        </w:rPr>
        <w:t>费率</w:t>
      </w:r>
      <w:r>
        <w:rPr>
          <w:rFonts w:hint="eastAsia" w:cs="宋体"/>
          <w:color w:val="000000" w:themeColor="text1"/>
          <w:highlight w:val="none"/>
          <w:lang w:val="en-US" w:eastAsia="zh-CN"/>
          <w14:textFill>
            <w14:solidFill>
              <w14:schemeClr w14:val="tx1"/>
            </w14:solidFill>
          </w14:textFill>
        </w:rPr>
        <w:t>按照</w:t>
      </w:r>
      <w:r>
        <w:rPr>
          <w:rFonts w:hint="eastAsia" w:ascii="宋体" w:hAnsi="宋体" w:eastAsia="宋体" w:cs="宋体"/>
          <w:color w:val="000000" w:themeColor="text1"/>
          <w:highlight w:val="none"/>
          <w:lang w:eastAsia="zh-CN"/>
          <w14:textFill>
            <w14:solidFill>
              <w14:schemeClr w14:val="tx1"/>
            </w14:solidFill>
          </w14:textFill>
        </w:rPr>
        <w:t>《苏价服[2014]383号》文件收费标准的</w:t>
      </w:r>
      <w:r>
        <w:rPr>
          <w:rFonts w:hint="eastAsia" w:cs="宋体"/>
          <w:color w:val="000000" w:themeColor="text1"/>
          <w:highlight w:val="none"/>
          <w:u w:val="single"/>
          <w:lang w:val="en-US" w:eastAsia="zh-CN"/>
          <w14:textFill>
            <w14:solidFill>
              <w14:schemeClr w14:val="tx1"/>
            </w14:solidFill>
          </w14:textFill>
        </w:rPr>
        <w:t xml:space="preserve">      </w:t>
      </w:r>
      <w:r>
        <w:rPr>
          <w:rFonts w:hint="eastAsia"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lang w:val="en-US" w:eastAsia="zh-CN"/>
          <w14:textFill>
            <w14:solidFill>
              <w14:schemeClr w14:val="tx1"/>
            </w14:solidFill>
          </w14:textFill>
        </w:rPr>
        <w:t>计费</w:t>
      </w:r>
      <w:r>
        <w:rPr>
          <w:rFonts w:hint="eastAsia" w:ascii="宋体" w:hAnsi="宋体" w:eastAsia="宋体" w:cs="宋体"/>
          <w:color w:val="000000" w:themeColor="text1"/>
          <w:highlight w:val="none"/>
          <w14:textFill>
            <w14:solidFill>
              <w14:schemeClr w14:val="tx1"/>
            </w14:solidFill>
          </w14:textFill>
        </w:rPr>
        <w:t>。</w:t>
      </w:r>
    </w:p>
    <w:p w14:paraId="352311C9">
      <w:pPr>
        <w:pStyle w:val="13"/>
        <w:shd w:val="clear"/>
        <w:tabs>
          <w:tab w:val="left" w:pos="780"/>
        </w:tabs>
        <w:spacing w:line="264"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3.我方参加本次采购活动前三年内，在经营活动中没有重大违法记录。</w:t>
      </w:r>
    </w:p>
    <w:p w14:paraId="1D6E2051">
      <w:pPr>
        <w:pStyle w:val="13"/>
        <w:shd w:val="clear"/>
        <w:tabs>
          <w:tab w:val="left" w:pos="780"/>
        </w:tabs>
        <w:spacing w:line="264"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4.本项目</w:t>
      </w:r>
      <w:r>
        <w:rPr>
          <w:rFonts w:hint="eastAsia" w:ascii="宋体" w:hAnsi="宋体" w:eastAsia="宋体" w:cs="宋体"/>
          <w:color w:val="000000" w:themeColor="text1"/>
          <w:highlight w:val="none"/>
          <w:lang w:val="en-US"/>
          <w14:textFill>
            <w14:solidFill>
              <w14:schemeClr w14:val="tx1"/>
            </w14:solidFill>
          </w14:textFill>
        </w:rPr>
        <w:t>服务期限</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满足招标文件要求</w:t>
      </w:r>
      <w:r>
        <w:rPr>
          <w:rFonts w:hint="eastAsia" w:ascii="宋体" w:hAnsi="宋体" w:eastAsia="宋体" w:cs="宋体"/>
          <w:color w:val="000000" w:themeColor="text1"/>
          <w:highlight w:val="none"/>
          <w14:textFill>
            <w14:solidFill>
              <w14:schemeClr w14:val="tx1"/>
            </w14:solidFill>
          </w14:textFill>
        </w:rPr>
        <w:t>。</w:t>
      </w:r>
    </w:p>
    <w:p w14:paraId="24DA842A">
      <w:pPr>
        <w:pStyle w:val="13"/>
        <w:shd w:val="clear"/>
        <w:tabs>
          <w:tab w:val="left" w:pos="780"/>
        </w:tabs>
        <w:spacing w:line="264"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5.我方已详细阅读全部招标文件及其有效补充文件，我们放弃对招标文件任何误解的权利，提交投标文件后，不对招标文件本身提出质疑。</w:t>
      </w:r>
    </w:p>
    <w:p w14:paraId="6E0D16B2">
      <w:pPr>
        <w:pStyle w:val="13"/>
        <w:shd w:val="clear"/>
        <w:tabs>
          <w:tab w:val="left" w:pos="780"/>
        </w:tabs>
        <w:spacing w:line="264"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6.我们同意从规定的开标日期起遵循本投标文件，并在规定的投标有效期期满之前均具有约束力。</w:t>
      </w:r>
    </w:p>
    <w:p w14:paraId="072CA9E5">
      <w:pPr>
        <w:pStyle w:val="13"/>
        <w:shd w:val="clear"/>
        <w:tabs>
          <w:tab w:val="left" w:pos="780"/>
        </w:tabs>
        <w:spacing w:line="264"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7.一旦我方中标，我方将根据招标文件的规定严格履行合同，并保证于承诺的时间完成</w:t>
      </w:r>
      <w:r>
        <w:rPr>
          <w:rFonts w:hint="eastAsia" w:ascii="宋体" w:hAnsi="宋体" w:cs="宋体"/>
          <w:color w:val="000000" w:themeColor="text1"/>
          <w:highlight w:val="none"/>
          <w:lang w:val="en-US" w:eastAsia="zh-CN"/>
          <w14:textFill>
            <w14:solidFill>
              <w14:schemeClr w14:val="tx1"/>
            </w14:solidFill>
          </w14:textFill>
        </w:rPr>
        <w:t>内提供合格的服务</w:t>
      </w:r>
      <w:r>
        <w:rPr>
          <w:rFonts w:hint="eastAsia" w:ascii="宋体" w:hAnsi="宋体" w:eastAsia="宋体" w:cs="宋体"/>
          <w:color w:val="000000" w:themeColor="text1"/>
          <w:highlight w:val="none"/>
          <w14:textFill>
            <w14:solidFill>
              <w14:schemeClr w14:val="tx1"/>
            </w14:solidFill>
          </w14:textFill>
        </w:rPr>
        <w:t>。</w:t>
      </w:r>
    </w:p>
    <w:p w14:paraId="577E7A26">
      <w:pPr>
        <w:pStyle w:val="13"/>
        <w:shd w:val="clear"/>
        <w:tabs>
          <w:tab w:val="left" w:pos="780"/>
        </w:tabs>
        <w:spacing w:line="264"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我方决不提供虚假材料谋取中标、决不采取不正当手段诋毁、排挤其他投标人、决不与采购人、其他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2A20FA58">
      <w:pPr>
        <w:pStyle w:val="13"/>
        <w:shd w:val="clear"/>
        <w:tabs>
          <w:tab w:val="left" w:pos="780"/>
        </w:tabs>
        <w:spacing w:line="264"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9.与</w:t>
      </w:r>
      <w:r>
        <w:rPr>
          <w:rFonts w:hint="eastAsia" w:ascii="宋体" w:hAnsi="宋体" w:cs="宋体"/>
          <w:color w:val="000000" w:themeColor="text1"/>
          <w:highlight w:val="none"/>
          <w:lang w:eastAsia="zh-CN"/>
          <w14:textFill>
            <w14:solidFill>
              <w14:schemeClr w14:val="tx1"/>
            </w14:solidFill>
          </w14:textFill>
        </w:rPr>
        <w:t>本次</w:t>
      </w:r>
      <w:r>
        <w:rPr>
          <w:rFonts w:hint="eastAsia" w:ascii="宋体" w:hAnsi="宋体" w:eastAsia="宋体" w:cs="宋体"/>
          <w:color w:val="000000" w:themeColor="text1"/>
          <w:highlight w:val="none"/>
          <w14:textFill>
            <w14:solidFill>
              <w14:schemeClr w14:val="tx1"/>
            </w14:solidFill>
          </w14:textFill>
        </w:rPr>
        <w:t>投标有关的正式联系方式为：</w:t>
      </w:r>
    </w:p>
    <w:p w14:paraId="4E30C315">
      <w:pPr>
        <w:pStyle w:val="13"/>
        <w:shd w:val="clear"/>
        <w:spacing w:line="264"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地址：</w:t>
      </w:r>
    </w:p>
    <w:p w14:paraId="3FB8D08D">
      <w:pPr>
        <w:pStyle w:val="13"/>
        <w:shd w:val="clear"/>
        <w:spacing w:line="264"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电话：</w:t>
      </w:r>
    </w:p>
    <w:p w14:paraId="3025757C">
      <w:pPr>
        <w:pStyle w:val="13"/>
        <w:shd w:val="clear"/>
        <w:spacing w:line="264"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传真：</w:t>
      </w:r>
    </w:p>
    <w:p w14:paraId="2818DBBB">
      <w:pPr>
        <w:pStyle w:val="13"/>
        <w:shd w:val="clear"/>
        <w:spacing w:line="264"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开户银行：</w:t>
      </w:r>
    </w:p>
    <w:p w14:paraId="5CB26BED">
      <w:pPr>
        <w:pStyle w:val="13"/>
        <w:shd w:val="clear"/>
        <w:spacing w:line="264"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银行账号：</w:t>
      </w:r>
    </w:p>
    <w:p w14:paraId="43E33884">
      <w:pPr>
        <w:shd w:val="clear"/>
        <w:spacing w:after="120" w:line="264"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投标人授权代表姓名（签字）：</w:t>
      </w:r>
    </w:p>
    <w:p w14:paraId="7EFBFC7C">
      <w:pPr>
        <w:shd w:val="clear"/>
        <w:spacing w:after="120" w:line="264"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投标人名称：（盖章）</w:t>
      </w:r>
    </w:p>
    <w:p w14:paraId="24122DC4">
      <w:pPr>
        <w:shd w:val="clear"/>
        <w:spacing w:after="120" w:line="264"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日期：</w:t>
      </w:r>
      <w:r>
        <w:rPr>
          <w:rFonts w:hint="eastAsia" w:ascii="宋体" w:hAnsi="宋体" w:eastAsia="宋体" w:cs="宋体"/>
          <w:color w:val="000000" w:themeColor="text1"/>
          <w:highlight w:val="none"/>
          <w:lang w:val="en-US"/>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lang w:val="en-US"/>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lang w:val="en-US"/>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w:t>
      </w:r>
    </w:p>
    <w:p w14:paraId="68727079">
      <w:pPr>
        <w:shd w:val="clea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0951BB9C">
      <w:pPr>
        <w:pStyle w:val="3"/>
        <w:shd w:val="clear"/>
        <w:ind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目录二、法定代表人授权书格式</w:t>
      </w:r>
    </w:p>
    <w:p w14:paraId="1F97077F">
      <w:pPr>
        <w:shd w:val="clear"/>
        <w:ind w:firstLine="0" w:firstLineChars="0"/>
        <w:jc w:val="center"/>
        <w:rPr>
          <w:rFonts w:hint="eastAsia" w:ascii="宋体" w:hAnsi="宋体" w:eastAsia="宋体" w:cs="宋体"/>
          <w:b/>
          <w:bCs/>
          <w:color w:val="000000" w:themeColor="text1"/>
          <w:sz w:val="32"/>
          <w:szCs w:val="28"/>
          <w:highlight w:val="none"/>
          <w14:textFill>
            <w14:solidFill>
              <w14:schemeClr w14:val="tx1"/>
            </w14:solidFill>
          </w14:textFill>
        </w:rPr>
      </w:pPr>
      <w:r>
        <w:rPr>
          <w:rFonts w:hint="eastAsia" w:ascii="宋体" w:hAnsi="宋体" w:eastAsia="宋体" w:cs="宋体"/>
          <w:b/>
          <w:bCs/>
          <w:color w:val="000000" w:themeColor="text1"/>
          <w:sz w:val="32"/>
          <w:szCs w:val="28"/>
          <w:highlight w:val="none"/>
          <w14:textFill>
            <w14:solidFill>
              <w14:schemeClr w14:val="tx1"/>
            </w14:solidFill>
          </w14:textFill>
        </w:rPr>
        <w:t>法定代表人授权委托书</w:t>
      </w:r>
    </w:p>
    <w:p w14:paraId="000752FB">
      <w:pPr>
        <w:pStyle w:val="13"/>
        <w:widowControl/>
        <w:shd w:val="clear"/>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南京市栖霞区市政设施综合养护管理所</w:t>
      </w:r>
      <w:r>
        <w:rPr>
          <w:rFonts w:hint="eastAsia" w:ascii="宋体" w:hAnsi="宋体" w:eastAsia="宋体" w:cs="宋体"/>
          <w:color w:val="000000" w:themeColor="text1"/>
          <w:highlight w:val="none"/>
          <w14:textFill>
            <w14:solidFill>
              <w14:schemeClr w14:val="tx1"/>
            </w14:solidFill>
          </w14:textFill>
        </w:rPr>
        <w:t>：</w:t>
      </w:r>
    </w:p>
    <w:p w14:paraId="3407115F">
      <w:pPr>
        <w:pStyle w:val="13"/>
        <w:widowControl/>
        <w:shd w:val="clea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本授权书声明：注册于</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（投标人住址）的</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（投标人名称）法定代表人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（法定代表人姓名、职务）代表本公司授权在下面签字的（</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投标人代表姓名、职务）为本公司的合法代理人，就贵方组织的</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（项目名称），</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（项目编号）投标，以本公司名义处理一切与之有关的事务。</w:t>
      </w:r>
    </w:p>
    <w:p w14:paraId="0E32271C">
      <w:pPr>
        <w:pStyle w:val="13"/>
        <w:shd w:val="clea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代理人无转委托权，特此委托。</w:t>
      </w:r>
    </w:p>
    <w:p w14:paraId="351303C3">
      <w:pPr>
        <w:pStyle w:val="13"/>
        <w:widowControl/>
        <w:shd w:val="clea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委托期限：自本授权委托书签署之日起至投标有效期届满之日止。</w:t>
      </w:r>
    </w:p>
    <w:p w14:paraId="35841839">
      <w:pPr>
        <w:widowControl/>
        <w:shd w:val="clear"/>
        <w:spacing w:after="120"/>
        <w:ind w:firstLine="48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w:t>
      </w:r>
      <w:r>
        <w:rPr>
          <w:rFonts w:hint="eastAsia" w:ascii="宋体" w:hAnsi="宋体" w:eastAsia="宋体" w:cs="宋体"/>
          <w:color w:val="000000" w:themeColor="text1"/>
          <w:szCs w:val="21"/>
          <w:highlight w:val="none"/>
          <w14:textFill>
            <w14:solidFill>
              <w14:schemeClr w14:val="tx1"/>
            </w14:solidFill>
          </w14:textFill>
        </w:rPr>
        <w:t>定代表人（签字</w:t>
      </w:r>
      <w:r>
        <w:rPr>
          <w:rFonts w:hint="eastAsia" w:ascii="宋体" w:hAnsi="宋体" w:eastAsia="宋体" w:cs="宋体"/>
          <w:color w:val="000000" w:themeColor="text1"/>
          <w:szCs w:val="21"/>
          <w:highlight w:val="none"/>
          <w:lang w:val="en-US"/>
          <w14:textFill>
            <w14:solidFill>
              <w14:schemeClr w14:val="tx1"/>
            </w14:solidFill>
          </w14:textFill>
        </w:rPr>
        <w:t>或盖章</w:t>
      </w:r>
      <w:r>
        <w:rPr>
          <w:rFonts w:hint="eastAsia" w:ascii="宋体" w:hAnsi="宋体" w:eastAsia="宋体" w:cs="宋体"/>
          <w:color w:val="000000" w:themeColor="text1"/>
          <w:szCs w:val="21"/>
          <w:highlight w:val="none"/>
          <w14:textFill>
            <w14:solidFill>
              <w14:schemeClr w14:val="tx1"/>
            </w14:solidFill>
          </w14:textFill>
        </w:rPr>
        <w:t>）：</w:t>
      </w:r>
    </w:p>
    <w:p w14:paraId="27A20804">
      <w:pPr>
        <w:widowControl/>
        <w:shd w:val="clear"/>
        <w:spacing w:after="120"/>
        <w:ind w:firstLine="48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w:t>
      </w:r>
      <w:r>
        <w:rPr>
          <w:rFonts w:hint="eastAsia" w:ascii="宋体" w:hAnsi="宋体" w:eastAsia="宋体" w:cs="宋体"/>
          <w:color w:val="000000" w:themeColor="text1"/>
          <w:szCs w:val="21"/>
          <w:highlight w:val="none"/>
          <w:lang w:val="en-US"/>
          <w14:textFill>
            <w14:solidFill>
              <w14:schemeClr w14:val="tx1"/>
            </w14:solidFill>
          </w14:textFill>
        </w:rPr>
        <w:t>代表</w:t>
      </w:r>
      <w:r>
        <w:rPr>
          <w:rFonts w:hint="eastAsia" w:ascii="宋体" w:hAnsi="宋体" w:eastAsia="宋体" w:cs="宋体"/>
          <w:color w:val="000000" w:themeColor="text1"/>
          <w:szCs w:val="21"/>
          <w:highlight w:val="none"/>
          <w14:textFill>
            <w14:solidFill>
              <w14:schemeClr w14:val="tx1"/>
            </w14:solidFill>
          </w14:textFill>
        </w:rPr>
        <w:t>（签字）：</w:t>
      </w:r>
    </w:p>
    <w:p w14:paraId="0E1A5BF8">
      <w:pPr>
        <w:widowControl/>
        <w:shd w:val="clear"/>
        <w:tabs>
          <w:tab w:val="left" w:pos="1440"/>
        </w:tabs>
        <w:spacing w:after="120"/>
        <w:ind w:firstLine="48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w:t>
      </w:r>
      <w:r>
        <w:rPr>
          <w:rFonts w:hint="eastAsia" w:ascii="宋体" w:hAnsi="宋体" w:eastAsia="宋体" w:cs="宋体"/>
          <w:color w:val="000000" w:themeColor="text1"/>
          <w:szCs w:val="21"/>
          <w:highlight w:val="none"/>
          <w:lang w:val="en-US"/>
          <w14:textFill>
            <w14:solidFill>
              <w14:schemeClr w14:val="tx1"/>
            </w14:solidFill>
          </w14:textFill>
        </w:rPr>
        <w:t>名称</w:t>
      </w:r>
      <w:r>
        <w:rPr>
          <w:rFonts w:hint="eastAsia" w:ascii="宋体" w:hAnsi="宋体" w:eastAsia="宋体" w:cs="宋体"/>
          <w:color w:val="000000" w:themeColor="text1"/>
          <w:szCs w:val="21"/>
          <w:highlight w:val="none"/>
          <w14:textFill>
            <w14:solidFill>
              <w14:schemeClr w14:val="tx1"/>
            </w14:solidFill>
          </w14:textFill>
        </w:rPr>
        <w:t>：（盖章）</w:t>
      </w:r>
    </w:p>
    <w:p w14:paraId="2446FCC2">
      <w:pPr>
        <w:widowControl/>
        <w:shd w:val="clear"/>
        <w:tabs>
          <w:tab w:val="left" w:pos="1440"/>
        </w:tabs>
        <w:spacing w:after="120"/>
        <w:ind w:firstLine="48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      年    月    日</w:t>
      </w:r>
    </w:p>
    <w:p w14:paraId="525B52C7">
      <w:pPr>
        <w:shd w:val="clea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14836DE5">
      <w:pPr>
        <w:pStyle w:val="75"/>
        <w:shd w:val="clear"/>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附：法定代表人有效期内的身份证复印件（正反面）</w:t>
      </w:r>
    </w:p>
    <w:tbl>
      <w:tblPr>
        <w:tblStyle w:val="28"/>
        <w:tblpPr w:leftFromText="180" w:rightFromText="180" w:vertAnchor="text" w:horzAnchor="page" w:tblpX="1334" w:tblpY="162"/>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284"/>
        <w:gridCol w:w="4677"/>
      </w:tblGrid>
      <w:tr w14:paraId="7052E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4678" w:type="dxa"/>
            <w:vAlign w:val="center"/>
          </w:tcPr>
          <w:p w14:paraId="111B9641">
            <w:pPr>
              <w:pStyle w:val="90"/>
              <w:shd w:val="clear"/>
              <w:jc w:val="center"/>
              <w:rPr>
                <w:rFonts w:hint="eastAsia" w:ascii="宋体" w:hAnsi="宋体" w:eastAsia="宋体" w:cs="宋体"/>
                <w:i/>
                <w:iCs/>
                <w:color w:val="000000" w:themeColor="text1"/>
                <w:highlight w:val="none"/>
                <w14:textFill>
                  <w14:solidFill>
                    <w14:schemeClr w14:val="tx1"/>
                  </w14:solidFill>
                </w14:textFill>
              </w:rPr>
            </w:pPr>
            <w:r>
              <w:rPr>
                <w:rFonts w:hint="eastAsia" w:ascii="宋体" w:hAnsi="宋体" w:eastAsia="宋体" w:cs="宋体"/>
                <w:i/>
                <w:iCs/>
                <w:color w:val="000000" w:themeColor="text1"/>
                <w:highlight w:val="none"/>
                <w14:textFill>
                  <w14:solidFill>
                    <w14:schemeClr w14:val="tx1"/>
                  </w14:solidFill>
                </w14:textFill>
              </w:rPr>
              <w:t>身份证正面</w:t>
            </w:r>
          </w:p>
        </w:tc>
        <w:tc>
          <w:tcPr>
            <w:tcW w:w="284" w:type="dxa"/>
            <w:tcBorders>
              <w:top w:val="nil"/>
              <w:bottom w:val="nil"/>
            </w:tcBorders>
          </w:tcPr>
          <w:p w14:paraId="6A5FE798">
            <w:pPr>
              <w:pStyle w:val="90"/>
              <w:shd w:val="clear"/>
              <w:jc w:val="center"/>
              <w:rPr>
                <w:rFonts w:hint="eastAsia" w:ascii="宋体" w:hAnsi="宋体" w:eastAsia="宋体" w:cs="宋体"/>
                <w:i/>
                <w:iCs/>
                <w:color w:val="000000" w:themeColor="text1"/>
                <w:highlight w:val="none"/>
                <w14:textFill>
                  <w14:solidFill>
                    <w14:schemeClr w14:val="tx1"/>
                  </w14:solidFill>
                </w14:textFill>
              </w:rPr>
            </w:pPr>
          </w:p>
        </w:tc>
        <w:tc>
          <w:tcPr>
            <w:tcW w:w="4677" w:type="dxa"/>
            <w:vAlign w:val="center"/>
          </w:tcPr>
          <w:p w14:paraId="7C44A3F5">
            <w:pPr>
              <w:pStyle w:val="90"/>
              <w:shd w:val="clear"/>
              <w:jc w:val="center"/>
              <w:rPr>
                <w:rFonts w:hint="eastAsia" w:ascii="宋体" w:hAnsi="宋体" w:eastAsia="宋体" w:cs="宋体"/>
                <w:i/>
                <w:iCs/>
                <w:color w:val="000000" w:themeColor="text1"/>
                <w:highlight w:val="none"/>
                <w14:textFill>
                  <w14:solidFill>
                    <w14:schemeClr w14:val="tx1"/>
                  </w14:solidFill>
                </w14:textFill>
              </w:rPr>
            </w:pPr>
            <w:r>
              <w:rPr>
                <w:rFonts w:hint="eastAsia" w:ascii="宋体" w:hAnsi="宋体" w:eastAsia="宋体" w:cs="宋体"/>
                <w:i/>
                <w:iCs/>
                <w:color w:val="000000" w:themeColor="text1"/>
                <w:highlight w:val="none"/>
                <w14:textFill>
                  <w14:solidFill>
                    <w14:schemeClr w14:val="tx1"/>
                  </w14:solidFill>
                </w14:textFill>
              </w:rPr>
              <w:t>身份证反面</w:t>
            </w:r>
          </w:p>
        </w:tc>
      </w:tr>
    </w:tbl>
    <w:tbl>
      <w:tblPr>
        <w:tblStyle w:val="28"/>
        <w:tblpPr w:leftFromText="180" w:rightFromText="180" w:vertAnchor="text" w:horzAnchor="page" w:tblpX="1403" w:tblpY="3994"/>
        <w:tblOverlap w:val="never"/>
        <w:tblW w:w="9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278"/>
        <w:gridCol w:w="4695"/>
      </w:tblGrid>
      <w:tr w14:paraId="69DE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4678" w:type="dxa"/>
            <w:vAlign w:val="center"/>
          </w:tcPr>
          <w:p w14:paraId="36FC8AD9">
            <w:pPr>
              <w:pStyle w:val="90"/>
              <w:shd w:val="clear"/>
              <w:jc w:val="center"/>
              <w:rPr>
                <w:rFonts w:hint="eastAsia" w:ascii="宋体" w:hAnsi="宋体" w:eastAsia="宋体" w:cs="宋体"/>
                <w:i/>
                <w:iCs/>
                <w:color w:val="000000" w:themeColor="text1"/>
                <w:highlight w:val="none"/>
                <w14:textFill>
                  <w14:solidFill>
                    <w14:schemeClr w14:val="tx1"/>
                  </w14:solidFill>
                </w14:textFill>
              </w:rPr>
            </w:pPr>
            <w:r>
              <w:rPr>
                <w:rFonts w:hint="eastAsia" w:ascii="宋体" w:hAnsi="宋体" w:eastAsia="宋体" w:cs="宋体"/>
                <w:i/>
                <w:iCs/>
                <w:color w:val="000000" w:themeColor="text1"/>
                <w:highlight w:val="none"/>
                <w14:textFill>
                  <w14:solidFill>
                    <w14:schemeClr w14:val="tx1"/>
                  </w14:solidFill>
                </w14:textFill>
              </w:rPr>
              <w:t>身份证正面</w:t>
            </w:r>
          </w:p>
        </w:tc>
        <w:tc>
          <w:tcPr>
            <w:tcW w:w="278" w:type="dxa"/>
            <w:tcBorders>
              <w:top w:val="nil"/>
              <w:bottom w:val="nil"/>
            </w:tcBorders>
          </w:tcPr>
          <w:p w14:paraId="11678086">
            <w:pPr>
              <w:pStyle w:val="90"/>
              <w:shd w:val="clear"/>
              <w:jc w:val="center"/>
              <w:rPr>
                <w:rFonts w:hint="eastAsia" w:ascii="宋体" w:hAnsi="宋体" w:eastAsia="宋体" w:cs="宋体"/>
                <w:i/>
                <w:iCs/>
                <w:color w:val="000000" w:themeColor="text1"/>
                <w:highlight w:val="none"/>
                <w14:textFill>
                  <w14:solidFill>
                    <w14:schemeClr w14:val="tx1"/>
                  </w14:solidFill>
                </w14:textFill>
              </w:rPr>
            </w:pPr>
          </w:p>
        </w:tc>
        <w:tc>
          <w:tcPr>
            <w:tcW w:w="4695" w:type="dxa"/>
            <w:vAlign w:val="center"/>
          </w:tcPr>
          <w:p w14:paraId="4ABA586A">
            <w:pPr>
              <w:pStyle w:val="90"/>
              <w:shd w:val="clear"/>
              <w:jc w:val="center"/>
              <w:rPr>
                <w:rFonts w:hint="eastAsia" w:ascii="宋体" w:hAnsi="宋体" w:eastAsia="宋体" w:cs="宋体"/>
                <w:i/>
                <w:iCs/>
                <w:color w:val="000000" w:themeColor="text1"/>
                <w:highlight w:val="none"/>
                <w14:textFill>
                  <w14:solidFill>
                    <w14:schemeClr w14:val="tx1"/>
                  </w14:solidFill>
                </w14:textFill>
              </w:rPr>
            </w:pPr>
            <w:r>
              <w:rPr>
                <w:rFonts w:hint="eastAsia" w:ascii="宋体" w:hAnsi="宋体" w:eastAsia="宋体" w:cs="宋体"/>
                <w:i/>
                <w:iCs/>
                <w:color w:val="000000" w:themeColor="text1"/>
                <w:highlight w:val="none"/>
                <w14:textFill>
                  <w14:solidFill>
                    <w14:schemeClr w14:val="tx1"/>
                  </w14:solidFill>
                </w14:textFill>
              </w:rPr>
              <w:t>身份证反面</w:t>
            </w:r>
          </w:p>
        </w:tc>
      </w:tr>
    </w:tbl>
    <w:p w14:paraId="20E47E8E">
      <w:pPr>
        <w:pStyle w:val="13"/>
        <w:shd w:val="clea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授权代表有效期内的身份证复印件（正反面）</w:t>
      </w:r>
    </w:p>
    <w:p w14:paraId="78D7E061">
      <w:pPr>
        <w:pStyle w:val="13"/>
        <w:widowControl/>
        <w:shd w:val="clear"/>
        <w:ind w:firstLine="480"/>
        <w:rPr>
          <w:rFonts w:hint="eastAsia" w:ascii="宋体" w:hAnsi="宋体" w:eastAsia="宋体" w:cs="宋体"/>
          <w:color w:val="000000" w:themeColor="text1"/>
          <w:highlight w:val="none"/>
          <w14:textFill>
            <w14:solidFill>
              <w14:schemeClr w14:val="tx1"/>
            </w14:solidFill>
          </w14:textFill>
        </w:rPr>
      </w:pPr>
    </w:p>
    <w:p w14:paraId="0CC7DE6E">
      <w:pPr>
        <w:pStyle w:val="13"/>
        <w:widowControl/>
        <w:shd w:val="clear"/>
        <w:ind w:firstLine="480"/>
        <w:rPr>
          <w:rFonts w:hint="eastAsia" w:ascii="宋体" w:hAnsi="宋体" w:eastAsia="宋体" w:cs="宋体"/>
          <w:color w:val="000000" w:themeColor="text1"/>
          <w:highlight w:val="none"/>
          <w14:textFill>
            <w14:solidFill>
              <w14:schemeClr w14:val="tx1"/>
            </w14:solidFill>
          </w14:textFill>
        </w:rPr>
      </w:pPr>
    </w:p>
    <w:p w14:paraId="6AACD8BB">
      <w:pPr>
        <w:pStyle w:val="13"/>
        <w:widowControl/>
        <w:shd w:val="clear"/>
        <w:ind w:firstLine="480"/>
        <w:rPr>
          <w:rFonts w:hint="eastAsia" w:ascii="宋体" w:hAnsi="宋体" w:eastAsia="宋体" w:cs="宋体"/>
          <w:color w:val="000000" w:themeColor="text1"/>
          <w:highlight w:val="none"/>
          <w14:textFill>
            <w14:solidFill>
              <w14:schemeClr w14:val="tx1"/>
            </w14:solidFill>
          </w14:textFill>
        </w:rPr>
      </w:pPr>
    </w:p>
    <w:p w14:paraId="040375AC">
      <w:pPr>
        <w:pStyle w:val="13"/>
        <w:widowControl/>
        <w:shd w:val="clear"/>
        <w:ind w:firstLine="482"/>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投标人近半年内任意一个月为授权委托人缴纳社保的证明材料：</w:t>
      </w:r>
    </w:p>
    <w:p w14:paraId="13C60501">
      <w:pPr>
        <w:pStyle w:val="13"/>
        <w:widowControl/>
        <w:shd w:val="clear"/>
        <w:ind w:firstLine="482"/>
        <w:rPr>
          <w:rFonts w:hint="eastAsia" w:ascii="宋体" w:hAnsi="宋体" w:eastAsia="宋体" w:cs="宋体"/>
          <w:b/>
          <w:bCs/>
          <w:color w:val="000000" w:themeColor="text1"/>
          <w:highlight w:val="none"/>
          <w14:textFill>
            <w14:solidFill>
              <w14:schemeClr w14:val="tx1"/>
            </w14:solidFill>
          </w14:textFill>
        </w:rPr>
      </w:pPr>
    </w:p>
    <w:p w14:paraId="2EBAAFB6">
      <w:pPr>
        <w:shd w:val="clear"/>
        <w:ind w:firstLine="482"/>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p>
    <w:p w14:paraId="4AF3A35F">
      <w:pPr>
        <w:pStyle w:val="3"/>
        <w:shd w:val="clear"/>
        <w:ind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目录三、开标一览表格式</w:t>
      </w:r>
    </w:p>
    <w:p w14:paraId="7FCF4D92">
      <w:pPr>
        <w:shd w:val="clear"/>
        <w:ind w:firstLine="0" w:firstLineChars="0"/>
        <w:jc w:val="center"/>
        <w:rPr>
          <w:rFonts w:hint="eastAsia" w:ascii="宋体" w:hAnsi="宋体" w:eastAsia="宋体" w:cs="宋体"/>
          <w:b/>
          <w:bCs/>
          <w:color w:val="000000" w:themeColor="text1"/>
          <w:sz w:val="32"/>
          <w:szCs w:val="28"/>
          <w:highlight w:val="none"/>
          <w14:textFill>
            <w14:solidFill>
              <w14:schemeClr w14:val="tx1"/>
            </w14:solidFill>
          </w14:textFill>
        </w:rPr>
      </w:pPr>
      <w:r>
        <w:rPr>
          <w:rFonts w:hint="eastAsia" w:ascii="宋体" w:hAnsi="宋体" w:eastAsia="宋体" w:cs="宋体"/>
          <w:b/>
          <w:bCs/>
          <w:color w:val="000000" w:themeColor="text1"/>
          <w:sz w:val="32"/>
          <w:szCs w:val="28"/>
          <w:highlight w:val="none"/>
          <w14:textFill>
            <w14:solidFill>
              <w14:schemeClr w14:val="tx1"/>
            </w14:solidFill>
          </w14:textFill>
        </w:rPr>
        <w:t>开标一览表</w:t>
      </w:r>
    </w:p>
    <w:tbl>
      <w:tblPr>
        <w:tblStyle w:val="28"/>
        <w:tblW w:w="997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068"/>
        <w:gridCol w:w="5911"/>
      </w:tblGrid>
      <w:tr w14:paraId="4CBDD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4068" w:type="dxa"/>
            <w:tcBorders>
              <w:top w:val="single" w:color="auto" w:sz="4" w:space="0"/>
              <w:left w:val="single" w:color="auto" w:sz="4" w:space="0"/>
              <w:bottom w:val="single" w:color="auto" w:sz="4" w:space="0"/>
              <w:right w:val="single" w:color="auto" w:sz="4" w:space="0"/>
            </w:tcBorders>
            <w:vAlign w:val="center"/>
          </w:tcPr>
          <w:p w14:paraId="4EDFE6FB">
            <w:pPr>
              <w:pStyle w:val="90"/>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项目名称：</w:t>
            </w:r>
          </w:p>
        </w:tc>
        <w:tc>
          <w:tcPr>
            <w:tcW w:w="5911" w:type="dxa"/>
            <w:tcBorders>
              <w:top w:val="single" w:color="auto" w:sz="4" w:space="0"/>
              <w:left w:val="single" w:color="auto" w:sz="4" w:space="0"/>
              <w:bottom w:val="single" w:color="auto" w:sz="4" w:space="0"/>
              <w:right w:val="single" w:color="auto" w:sz="4" w:space="0"/>
            </w:tcBorders>
            <w:vAlign w:val="center"/>
          </w:tcPr>
          <w:p w14:paraId="7EACF848">
            <w:pPr>
              <w:pStyle w:val="90"/>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项目编号：</w:t>
            </w:r>
          </w:p>
        </w:tc>
      </w:tr>
      <w:tr w14:paraId="45618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63" w:hRule="atLeast"/>
        </w:trPr>
        <w:tc>
          <w:tcPr>
            <w:tcW w:w="4068" w:type="dxa"/>
            <w:tcBorders>
              <w:top w:val="single" w:color="auto" w:sz="4" w:space="0"/>
              <w:left w:val="single" w:color="auto" w:sz="4" w:space="0"/>
              <w:bottom w:val="single" w:color="auto" w:sz="4" w:space="0"/>
              <w:right w:val="single" w:color="auto" w:sz="4" w:space="0"/>
            </w:tcBorders>
            <w:vAlign w:val="center"/>
          </w:tcPr>
          <w:p w14:paraId="2B1A9B2C">
            <w:pPr>
              <w:pStyle w:val="90"/>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w:t>
            </w:r>
            <w:r>
              <w:rPr>
                <w:rFonts w:hint="eastAsia" w:ascii="宋体" w:hAnsi="宋体" w:cs="宋体"/>
                <w:color w:val="000000" w:themeColor="text1"/>
                <w:highlight w:val="none"/>
                <w:lang w:val="en-US" w:eastAsia="zh-CN"/>
                <w14:textFill>
                  <w14:solidFill>
                    <w14:schemeClr w14:val="tx1"/>
                  </w14:solidFill>
                </w14:textFill>
              </w:rPr>
              <w:t>费率</w:t>
            </w:r>
            <w:r>
              <w:rPr>
                <w:rFonts w:hint="eastAsia" w:ascii="宋体" w:hAnsi="宋体" w:eastAsia="宋体" w:cs="宋体"/>
                <w:color w:val="000000" w:themeColor="text1"/>
                <w:highlight w:val="none"/>
                <w14:textFill>
                  <w14:solidFill>
                    <w14:schemeClr w14:val="tx1"/>
                  </w14:solidFill>
                </w14:textFill>
              </w:rPr>
              <w:t>（人民币）</w:t>
            </w:r>
          </w:p>
        </w:tc>
        <w:tc>
          <w:tcPr>
            <w:tcW w:w="5911" w:type="dxa"/>
            <w:tcBorders>
              <w:top w:val="single" w:color="auto" w:sz="4" w:space="0"/>
              <w:left w:val="single" w:color="auto" w:sz="4" w:space="0"/>
              <w:bottom w:val="single" w:color="auto" w:sz="4" w:space="0"/>
              <w:right w:val="single" w:color="auto" w:sz="4" w:space="0"/>
            </w:tcBorders>
            <w:vAlign w:val="center"/>
          </w:tcPr>
          <w:p w14:paraId="36BFC23F">
            <w:pPr>
              <w:pStyle w:val="90"/>
              <w:shd w:val="clear"/>
              <w:rPr>
                <w:rFonts w:hint="eastAsia" w:ascii="宋体" w:hAnsi="宋体" w:eastAsia="宋体" w:cs="宋体"/>
                <w:b/>
                <w:bCs/>
                <w:color w:val="000000" w:themeColor="text1"/>
                <w:highlight w:val="none"/>
                <w14:textFill>
                  <w14:solidFill>
                    <w14:schemeClr w14:val="tx1"/>
                  </w14:solidFill>
                </w14:textFill>
              </w:rPr>
            </w:pPr>
          </w:p>
          <w:p w14:paraId="758BCDDD">
            <w:pPr>
              <w:pStyle w:val="90"/>
              <w:shd w:val="clear"/>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 xml:space="preserve">小写：                </w:t>
            </w:r>
            <w:r>
              <w:rPr>
                <w:rFonts w:hint="eastAsia" w:ascii="宋体" w:hAnsi="宋体" w:cs="宋体"/>
                <w:b/>
                <w:bCs/>
                <w:color w:val="000000" w:themeColor="text1"/>
                <w:highlight w:val="none"/>
                <w:lang w:val="en-US" w:eastAsia="zh-CN"/>
                <w14:textFill>
                  <w14:solidFill>
                    <w14:schemeClr w14:val="tx1"/>
                  </w14:solidFill>
                </w14:textFill>
              </w:rPr>
              <w:t>%</w:t>
            </w:r>
          </w:p>
          <w:p w14:paraId="0F659578">
            <w:pPr>
              <w:pStyle w:val="90"/>
              <w:shd w:val="clear"/>
              <w:rPr>
                <w:rFonts w:hint="eastAsia" w:ascii="宋体" w:hAnsi="宋体" w:eastAsia="宋体" w:cs="宋体"/>
                <w:b/>
                <w:bCs/>
                <w:color w:val="000000" w:themeColor="text1"/>
                <w:highlight w:val="none"/>
                <w14:textFill>
                  <w14:solidFill>
                    <w14:schemeClr w14:val="tx1"/>
                  </w14:solidFill>
                </w14:textFill>
              </w:rPr>
            </w:pPr>
          </w:p>
          <w:p w14:paraId="4723CB93">
            <w:pPr>
              <w:pStyle w:val="90"/>
              <w:shd w:val="clear"/>
              <w:rPr>
                <w:rFonts w:hint="eastAsia" w:ascii="宋体" w:hAnsi="宋体" w:eastAsia="宋体" w:cs="宋体"/>
                <w:b/>
                <w:bCs/>
                <w:color w:val="000000" w:themeColor="text1"/>
                <w:highlight w:val="none"/>
                <w14:textFill>
                  <w14:solidFill>
                    <w14:schemeClr w14:val="tx1"/>
                  </w14:solidFill>
                </w14:textFill>
              </w:rPr>
            </w:pPr>
          </w:p>
          <w:p w14:paraId="43459BF8">
            <w:pPr>
              <w:pStyle w:val="90"/>
              <w:shd w:val="clear"/>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大写：</w:t>
            </w:r>
            <w:r>
              <w:rPr>
                <w:rFonts w:hint="eastAsia" w:ascii="宋体" w:hAnsi="宋体" w:cs="宋体"/>
                <w:b/>
                <w:bCs/>
                <w:color w:val="000000" w:themeColor="text1"/>
                <w:highlight w:val="none"/>
                <w:lang w:val="en-US" w:eastAsia="zh-CN"/>
                <w14:textFill>
                  <w14:solidFill>
                    <w14:schemeClr w14:val="tx1"/>
                  </w14:solidFill>
                </w14:textFill>
              </w:rPr>
              <w:t>百分之</w:t>
            </w:r>
          </w:p>
          <w:p w14:paraId="607D6391">
            <w:pPr>
              <w:pStyle w:val="90"/>
              <w:shd w:val="clear"/>
              <w:rPr>
                <w:rFonts w:hint="eastAsia" w:ascii="宋体" w:hAnsi="宋体" w:eastAsia="宋体" w:cs="宋体"/>
                <w:b/>
                <w:bCs/>
                <w:color w:val="000000" w:themeColor="text1"/>
                <w:highlight w:val="none"/>
                <w14:textFill>
                  <w14:solidFill>
                    <w14:schemeClr w14:val="tx1"/>
                  </w14:solidFill>
                </w14:textFill>
              </w:rPr>
            </w:pPr>
          </w:p>
        </w:tc>
      </w:tr>
    </w:tbl>
    <w:p w14:paraId="7F8D96E2">
      <w:pPr>
        <w:shd w:val="clear"/>
        <w:ind w:firstLine="480"/>
        <w:rPr>
          <w:rFonts w:hint="eastAsia" w:ascii="宋体" w:hAnsi="宋体" w:eastAsia="宋体" w:cs="宋体"/>
          <w:color w:val="000000" w:themeColor="text1"/>
          <w:highlight w:val="none"/>
          <w14:textFill>
            <w14:solidFill>
              <w14:schemeClr w14:val="tx1"/>
            </w14:solidFill>
          </w14:textFill>
        </w:rPr>
      </w:pPr>
    </w:p>
    <w:p w14:paraId="75E245D3">
      <w:pPr>
        <w:shd w:val="clea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投标人名称：</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（盖章）</w:t>
      </w:r>
    </w:p>
    <w:p w14:paraId="049D94E2">
      <w:pPr>
        <w:shd w:val="clea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说明：</w:t>
      </w:r>
    </w:p>
    <w:p w14:paraId="78CF70DA">
      <w:pPr>
        <w:shd w:val="clea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en-US"/>
          <w14:textFill>
            <w14:solidFill>
              <w14:schemeClr w14:val="tx1"/>
            </w14:solidFill>
          </w14:textFill>
        </w:rPr>
        <w:t>投标</w:t>
      </w:r>
      <w:r>
        <w:rPr>
          <w:rFonts w:hint="eastAsia" w:cs="宋体"/>
          <w:color w:val="000000" w:themeColor="text1"/>
          <w:highlight w:val="none"/>
          <w:lang w:val="en-US" w:eastAsia="zh-CN"/>
          <w14:textFill>
            <w14:solidFill>
              <w14:schemeClr w14:val="tx1"/>
            </w14:solidFill>
          </w14:textFill>
        </w:rPr>
        <w:t>费率</w:t>
      </w:r>
      <w:r>
        <w:rPr>
          <w:rFonts w:hint="eastAsia" w:ascii="宋体" w:hAnsi="宋体" w:eastAsia="宋体" w:cs="宋体"/>
          <w:color w:val="000000" w:themeColor="text1"/>
          <w:highlight w:val="none"/>
          <w14:textFill>
            <w14:solidFill>
              <w14:schemeClr w14:val="tx1"/>
            </w14:solidFill>
          </w14:textFill>
        </w:rPr>
        <w:t>包含完成本项目的全部费用。</w:t>
      </w:r>
    </w:p>
    <w:p w14:paraId="492957CD">
      <w:pPr>
        <w:shd w:val="clear"/>
        <w:ind w:firstLine="482"/>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p>
    <w:p w14:paraId="521A3002">
      <w:pPr>
        <w:pStyle w:val="3"/>
        <w:shd w:val="clear"/>
        <w:ind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目录四、分项报价表</w:t>
      </w:r>
    </w:p>
    <w:p w14:paraId="51B0A314">
      <w:pPr>
        <w:shd w:val="clear"/>
        <w:ind w:firstLine="0" w:firstLineChars="0"/>
        <w:jc w:val="center"/>
        <w:rPr>
          <w:rFonts w:hint="eastAsia" w:ascii="宋体" w:hAnsi="宋体" w:eastAsia="宋体" w:cs="宋体"/>
          <w:b/>
          <w:bCs/>
          <w:color w:val="000000" w:themeColor="text1"/>
          <w:sz w:val="32"/>
          <w:szCs w:val="28"/>
          <w:highlight w:val="none"/>
          <w14:textFill>
            <w14:solidFill>
              <w14:schemeClr w14:val="tx1"/>
            </w14:solidFill>
          </w14:textFill>
        </w:rPr>
      </w:pPr>
      <w:r>
        <w:rPr>
          <w:rFonts w:hint="eastAsia" w:ascii="宋体" w:hAnsi="宋体" w:eastAsia="宋体" w:cs="宋体"/>
          <w:b/>
          <w:bCs/>
          <w:color w:val="000000" w:themeColor="text1"/>
          <w:sz w:val="32"/>
          <w:szCs w:val="28"/>
          <w:highlight w:val="none"/>
          <w14:textFill>
            <w14:solidFill>
              <w14:schemeClr w14:val="tx1"/>
            </w14:solidFill>
          </w14:textFill>
        </w:rPr>
        <w:t>分项报价表</w:t>
      </w:r>
    </w:p>
    <w:tbl>
      <w:tblPr>
        <w:tblStyle w:val="28"/>
        <w:tblW w:w="50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36"/>
        <w:gridCol w:w="1763"/>
        <w:gridCol w:w="1764"/>
        <w:gridCol w:w="1309"/>
        <w:gridCol w:w="453"/>
        <w:gridCol w:w="1764"/>
        <w:gridCol w:w="1779"/>
      </w:tblGrid>
      <w:tr w14:paraId="5B0C5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2954" w:type="pct"/>
            <w:gridSpan w:val="4"/>
            <w:tcBorders>
              <w:top w:val="single" w:color="auto" w:sz="4" w:space="0"/>
              <w:left w:val="single" w:color="auto" w:sz="4" w:space="0"/>
              <w:right w:val="single" w:color="auto" w:sz="4" w:space="0"/>
            </w:tcBorders>
            <w:vAlign w:val="center"/>
          </w:tcPr>
          <w:p w14:paraId="006D14C1">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项目名称：</w:t>
            </w:r>
          </w:p>
        </w:tc>
        <w:tc>
          <w:tcPr>
            <w:tcW w:w="2045" w:type="pct"/>
            <w:gridSpan w:val="3"/>
            <w:tcBorders>
              <w:top w:val="single" w:color="auto" w:sz="4" w:space="0"/>
              <w:left w:val="single" w:color="auto" w:sz="4" w:space="0"/>
              <w:right w:val="single" w:color="auto" w:sz="4" w:space="0"/>
            </w:tcBorders>
            <w:vAlign w:val="center"/>
          </w:tcPr>
          <w:p w14:paraId="73C1E576">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项目编号：</w:t>
            </w:r>
          </w:p>
        </w:tc>
      </w:tr>
      <w:tr w14:paraId="4A454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79" w:type="pct"/>
            <w:vAlign w:val="center"/>
          </w:tcPr>
          <w:p w14:paraId="63A01C50">
            <w:pPr>
              <w:pStyle w:val="90"/>
              <w:keepNext w:val="0"/>
              <w:keepLines w:val="0"/>
              <w:pageBreakBefore w:val="0"/>
              <w:widowControl/>
              <w:shd w:val="clear"/>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902" w:type="pct"/>
            <w:vAlign w:val="center"/>
          </w:tcPr>
          <w:p w14:paraId="106B06A7">
            <w:pPr>
              <w:pStyle w:val="90"/>
              <w:keepNext w:val="0"/>
              <w:keepLines w:val="0"/>
              <w:pageBreakBefore w:val="0"/>
              <w:widowControl/>
              <w:shd w:val="clear"/>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服务内容</w:t>
            </w:r>
          </w:p>
        </w:tc>
        <w:tc>
          <w:tcPr>
            <w:tcW w:w="903" w:type="pct"/>
            <w:vAlign w:val="center"/>
          </w:tcPr>
          <w:p w14:paraId="74EAE31F">
            <w:pPr>
              <w:pStyle w:val="90"/>
              <w:keepNext w:val="0"/>
              <w:keepLines w:val="0"/>
              <w:pageBreakBefore w:val="0"/>
              <w:widowControl/>
              <w:shd w:val="clear"/>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服务期</w:t>
            </w:r>
          </w:p>
        </w:tc>
        <w:tc>
          <w:tcPr>
            <w:tcW w:w="902" w:type="pct"/>
            <w:gridSpan w:val="2"/>
            <w:vAlign w:val="center"/>
          </w:tcPr>
          <w:p w14:paraId="72180DC6">
            <w:pPr>
              <w:pStyle w:val="90"/>
              <w:keepNext w:val="0"/>
              <w:keepLines w:val="0"/>
              <w:pageBreakBefore w:val="0"/>
              <w:widowControl/>
              <w:shd w:val="clear"/>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数量</w:t>
            </w:r>
          </w:p>
        </w:tc>
        <w:tc>
          <w:tcPr>
            <w:tcW w:w="903" w:type="pct"/>
            <w:vAlign w:val="center"/>
          </w:tcPr>
          <w:p w14:paraId="1FD56C54">
            <w:pPr>
              <w:pStyle w:val="90"/>
              <w:keepNext w:val="0"/>
              <w:keepLines w:val="0"/>
              <w:pageBreakBefore w:val="0"/>
              <w:widowControl/>
              <w:shd w:val="clear"/>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分项单位</w:t>
            </w:r>
          </w:p>
        </w:tc>
        <w:tc>
          <w:tcPr>
            <w:tcW w:w="908" w:type="pct"/>
            <w:vAlign w:val="center"/>
          </w:tcPr>
          <w:p w14:paraId="59A98EAF">
            <w:pPr>
              <w:pStyle w:val="90"/>
              <w:keepNext w:val="0"/>
              <w:keepLines w:val="0"/>
              <w:pageBreakBefore w:val="0"/>
              <w:widowControl/>
              <w:shd w:val="clear"/>
              <w:kinsoku/>
              <w:wordWrap/>
              <w:overflowPunct/>
              <w:topLinePunct w:val="0"/>
              <w:autoSpaceDE w:val="0"/>
              <w:autoSpaceDN w:val="0"/>
              <w:bidi w:val="0"/>
              <w:adjustRightInd/>
              <w:snapToGrid/>
              <w:spacing w:after="0" w:line="240" w:lineRule="auto"/>
              <w:jc w:val="center"/>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统一费率</w:t>
            </w:r>
          </w:p>
        </w:tc>
      </w:tr>
      <w:tr w14:paraId="716FA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79" w:type="pct"/>
            <w:vAlign w:val="center"/>
          </w:tcPr>
          <w:p w14:paraId="5E19A115">
            <w:pPr>
              <w:pStyle w:val="90"/>
              <w:keepNext w:val="0"/>
              <w:keepLines w:val="0"/>
              <w:pageBreakBefore w:val="0"/>
              <w:widowControl/>
              <w:shd w:val="clear"/>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902" w:type="pct"/>
            <w:vAlign w:val="center"/>
          </w:tcPr>
          <w:p w14:paraId="18457BDF">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3" w:type="pct"/>
            <w:vAlign w:val="center"/>
          </w:tcPr>
          <w:p w14:paraId="3CADDA4D">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2" w:type="pct"/>
            <w:gridSpan w:val="2"/>
            <w:vAlign w:val="center"/>
          </w:tcPr>
          <w:p w14:paraId="749C8FF7">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3" w:type="pct"/>
            <w:vAlign w:val="center"/>
          </w:tcPr>
          <w:p w14:paraId="354BE853">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8" w:type="pct"/>
            <w:vMerge w:val="restart"/>
            <w:vAlign w:val="center"/>
          </w:tcPr>
          <w:p w14:paraId="3C1C79B7">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r>
      <w:tr w14:paraId="46C2A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79" w:type="pct"/>
            <w:vAlign w:val="center"/>
          </w:tcPr>
          <w:p w14:paraId="648F03DD">
            <w:pPr>
              <w:pStyle w:val="90"/>
              <w:keepNext w:val="0"/>
              <w:keepLines w:val="0"/>
              <w:pageBreakBefore w:val="0"/>
              <w:widowControl/>
              <w:shd w:val="clear"/>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902" w:type="pct"/>
            <w:vAlign w:val="center"/>
          </w:tcPr>
          <w:p w14:paraId="5D941D82">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3" w:type="pct"/>
            <w:vAlign w:val="center"/>
          </w:tcPr>
          <w:p w14:paraId="163CF778">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2" w:type="pct"/>
            <w:gridSpan w:val="2"/>
            <w:vAlign w:val="center"/>
          </w:tcPr>
          <w:p w14:paraId="3BEE7802">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3" w:type="pct"/>
            <w:vAlign w:val="center"/>
          </w:tcPr>
          <w:p w14:paraId="467EAE28">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8" w:type="pct"/>
            <w:vMerge w:val="continue"/>
            <w:vAlign w:val="center"/>
          </w:tcPr>
          <w:p w14:paraId="04EC0EAD">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r>
      <w:tr w14:paraId="4C5E6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79" w:type="pct"/>
            <w:vAlign w:val="center"/>
          </w:tcPr>
          <w:p w14:paraId="3381FC58">
            <w:pPr>
              <w:pStyle w:val="90"/>
              <w:keepNext w:val="0"/>
              <w:keepLines w:val="0"/>
              <w:pageBreakBefore w:val="0"/>
              <w:widowControl/>
              <w:shd w:val="clear"/>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p>
        </w:tc>
        <w:tc>
          <w:tcPr>
            <w:tcW w:w="902" w:type="pct"/>
            <w:vAlign w:val="center"/>
          </w:tcPr>
          <w:p w14:paraId="1CBA809B">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3" w:type="pct"/>
            <w:vAlign w:val="center"/>
          </w:tcPr>
          <w:p w14:paraId="39E47C79">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2" w:type="pct"/>
            <w:gridSpan w:val="2"/>
            <w:vAlign w:val="center"/>
          </w:tcPr>
          <w:p w14:paraId="0D87F059">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3" w:type="pct"/>
            <w:vAlign w:val="center"/>
          </w:tcPr>
          <w:p w14:paraId="331C3743">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8" w:type="pct"/>
            <w:vMerge w:val="continue"/>
            <w:vAlign w:val="center"/>
          </w:tcPr>
          <w:p w14:paraId="5C80D044">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r>
      <w:tr w14:paraId="0DBD4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79" w:type="pct"/>
            <w:vAlign w:val="center"/>
          </w:tcPr>
          <w:p w14:paraId="5DA52F26">
            <w:pPr>
              <w:pStyle w:val="90"/>
              <w:keepNext w:val="0"/>
              <w:keepLines w:val="0"/>
              <w:pageBreakBefore w:val="0"/>
              <w:widowControl/>
              <w:shd w:val="clear"/>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tc>
        <w:tc>
          <w:tcPr>
            <w:tcW w:w="902" w:type="pct"/>
            <w:vAlign w:val="center"/>
          </w:tcPr>
          <w:p w14:paraId="250E9AD3">
            <w:pPr>
              <w:pStyle w:val="90"/>
              <w:keepNext w:val="0"/>
              <w:keepLines w:val="0"/>
              <w:pageBreakBefore w:val="0"/>
              <w:widowControl/>
              <w:shd w:val="clear"/>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tc>
        <w:tc>
          <w:tcPr>
            <w:tcW w:w="903" w:type="pct"/>
            <w:vAlign w:val="center"/>
          </w:tcPr>
          <w:p w14:paraId="3C565836">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2" w:type="pct"/>
            <w:gridSpan w:val="2"/>
            <w:vAlign w:val="center"/>
          </w:tcPr>
          <w:p w14:paraId="5782D500">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3" w:type="pct"/>
            <w:vAlign w:val="center"/>
          </w:tcPr>
          <w:p w14:paraId="5132427B">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8" w:type="pct"/>
            <w:vMerge w:val="continue"/>
            <w:vAlign w:val="center"/>
          </w:tcPr>
          <w:p w14:paraId="102D4E97">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r>
    </w:tbl>
    <w:p w14:paraId="45F64033">
      <w:pPr>
        <w:pStyle w:val="13"/>
        <w:shd w:val="clear"/>
        <w:ind w:firstLine="480"/>
        <w:rPr>
          <w:rFonts w:hint="eastAsia" w:ascii="宋体" w:hAnsi="宋体" w:eastAsia="宋体" w:cs="宋体"/>
          <w:color w:val="000000" w:themeColor="text1"/>
          <w:highlight w:val="none"/>
          <w14:textFill>
            <w14:solidFill>
              <w14:schemeClr w14:val="tx1"/>
            </w14:solidFill>
          </w14:textFill>
        </w:rPr>
      </w:pPr>
    </w:p>
    <w:p w14:paraId="1309BD05">
      <w:pPr>
        <w:shd w:val="clea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投标人名称：</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（盖章）</w:t>
      </w:r>
    </w:p>
    <w:p w14:paraId="77A53025">
      <w:pPr>
        <w:shd w:val="clea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说明：</w:t>
      </w:r>
    </w:p>
    <w:p w14:paraId="1734F8A6">
      <w:pPr>
        <w:shd w:val="clea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1、如果行数不够，请自行增加。</w:t>
      </w:r>
    </w:p>
    <w:p w14:paraId="6633BFDC">
      <w:pPr>
        <w:shd w:val="clear"/>
        <w:ind w:firstLine="482"/>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p>
    <w:p w14:paraId="6A5446AB">
      <w:pPr>
        <w:pStyle w:val="3"/>
        <w:shd w:val="clear"/>
        <w:ind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目录五、技术条款偏离表格式</w:t>
      </w:r>
    </w:p>
    <w:p w14:paraId="3E27EF9A">
      <w:pPr>
        <w:shd w:val="clear"/>
        <w:ind w:firstLine="0" w:firstLineChars="0"/>
        <w:jc w:val="center"/>
        <w:rPr>
          <w:rFonts w:hint="eastAsia" w:ascii="宋体" w:hAnsi="宋体" w:eastAsia="宋体" w:cs="宋体"/>
          <w:b/>
          <w:bCs/>
          <w:color w:val="000000" w:themeColor="text1"/>
          <w:sz w:val="32"/>
          <w:szCs w:val="28"/>
          <w:highlight w:val="none"/>
          <w14:textFill>
            <w14:solidFill>
              <w14:schemeClr w14:val="tx1"/>
            </w14:solidFill>
          </w14:textFill>
        </w:rPr>
      </w:pPr>
      <w:r>
        <w:rPr>
          <w:rFonts w:hint="eastAsia" w:ascii="宋体" w:hAnsi="宋体" w:eastAsia="宋体" w:cs="宋体"/>
          <w:b/>
          <w:bCs/>
          <w:color w:val="000000" w:themeColor="text1"/>
          <w:sz w:val="32"/>
          <w:szCs w:val="28"/>
          <w:highlight w:val="none"/>
          <w14:textFill>
            <w14:solidFill>
              <w14:schemeClr w14:val="tx1"/>
            </w14:solidFill>
          </w14:textFill>
        </w:rPr>
        <w:t>技术条款偏离表</w:t>
      </w:r>
    </w:p>
    <w:tbl>
      <w:tblPr>
        <w:tblStyle w:val="28"/>
        <w:tblW w:w="9594" w:type="dxa"/>
        <w:jc w:val="center"/>
        <w:tblLayout w:type="fixed"/>
        <w:tblCellMar>
          <w:top w:w="0" w:type="dxa"/>
          <w:left w:w="0" w:type="dxa"/>
          <w:bottom w:w="0" w:type="dxa"/>
          <w:right w:w="0" w:type="dxa"/>
        </w:tblCellMar>
      </w:tblPr>
      <w:tblGrid>
        <w:gridCol w:w="924"/>
        <w:gridCol w:w="1620"/>
        <w:gridCol w:w="2700"/>
        <w:gridCol w:w="2432"/>
        <w:gridCol w:w="975"/>
        <w:gridCol w:w="943"/>
      </w:tblGrid>
      <w:tr w14:paraId="4256E816">
        <w:tblPrEx>
          <w:tblCellMar>
            <w:top w:w="0" w:type="dxa"/>
            <w:left w:w="0" w:type="dxa"/>
            <w:bottom w:w="0" w:type="dxa"/>
            <w:right w:w="0" w:type="dxa"/>
          </w:tblCellMar>
        </w:tblPrEx>
        <w:trPr>
          <w:trHeight w:val="624" w:hRule="atLeast"/>
          <w:jc w:val="center"/>
        </w:trPr>
        <w:tc>
          <w:tcPr>
            <w:tcW w:w="5244" w:type="dxa"/>
            <w:gridSpan w:val="3"/>
            <w:tcBorders>
              <w:top w:val="single" w:color="auto" w:sz="4" w:space="0"/>
              <w:left w:val="single" w:color="auto" w:sz="4" w:space="0"/>
              <w:bottom w:val="single" w:color="auto" w:sz="4" w:space="0"/>
              <w:right w:val="single" w:color="auto" w:sz="4" w:space="0"/>
            </w:tcBorders>
            <w:vAlign w:val="center"/>
          </w:tcPr>
          <w:p w14:paraId="1D1FCCDA">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项目名称：</w:t>
            </w:r>
          </w:p>
        </w:tc>
        <w:tc>
          <w:tcPr>
            <w:tcW w:w="4350" w:type="dxa"/>
            <w:gridSpan w:val="3"/>
            <w:tcBorders>
              <w:top w:val="single" w:color="auto" w:sz="4" w:space="0"/>
              <w:left w:val="single" w:color="auto" w:sz="4" w:space="0"/>
              <w:bottom w:val="single" w:color="auto" w:sz="4" w:space="0"/>
              <w:right w:val="single" w:color="auto" w:sz="4" w:space="0"/>
            </w:tcBorders>
            <w:vAlign w:val="center"/>
          </w:tcPr>
          <w:p w14:paraId="68027BDE">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项目编号：</w:t>
            </w:r>
          </w:p>
        </w:tc>
      </w:tr>
      <w:tr w14:paraId="6EB5675C">
        <w:tblPrEx>
          <w:tblCellMar>
            <w:top w:w="0" w:type="dxa"/>
            <w:left w:w="0" w:type="dxa"/>
            <w:bottom w:w="0" w:type="dxa"/>
            <w:right w:w="0" w:type="dxa"/>
          </w:tblCellMar>
        </w:tblPrEx>
        <w:trPr>
          <w:trHeight w:val="624"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1B12782D">
            <w:pPr>
              <w:pStyle w:val="90"/>
              <w:keepNext w:val="0"/>
              <w:keepLines w:val="0"/>
              <w:pageBreakBefore w:val="0"/>
              <w:widowControl/>
              <w:shd w:val="clear"/>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2E990435">
            <w:pPr>
              <w:pStyle w:val="90"/>
              <w:keepNext w:val="0"/>
              <w:keepLines w:val="0"/>
              <w:pageBreakBefore w:val="0"/>
              <w:widowControl/>
              <w:shd w:val="clear"/>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招标文件条目号</w:t>
            </w:r>
          </w:p>
        </w:tc>
        <w:tc>
          <w:tcPr>
            <w:tcW w:w="2700" w:type="dxa"/>
            <w:tcBorders>
              <w:top w:val="single" w:color="auto" w:sz="4" w:space="0"/>
              <w:left w:val="single" w:color="auto" w:sz="4" w:space="0"/>
              <w:bottom w:val="single" w:color="auto" w:sz="4" w:space="0"/>
              <w:right w:val="single" w:color="auto" w:sz="4" w:space="0"/>
            </w:tcBorders>
            <w:vAlign w:val="center"/>
          </w:tcPr>
          <w:p w14:paraId="3F431F06">
            <w:pPr>
              <w:pStyle w:val="90"/>
              <w:keepNext w:val="0"/>
              <w:keepLines w:val="0"/>
              <w:pageBreakBefore w:val="0"/>
              <w:widowControl/>
              <w:shd w:val="clear"/>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招标要求规格</w:t>
            </w:r>
          </w:p>
        </w:tc>
        <w:tc>
          <w:tcPr>
            <w:tcW w:w="2432" w:type="dxa"/>
            <w:tcBorders>
              <w:top w:val="single" w:color="auto" w:sz="4" w:space="0"/>
              <w:left w:val="single" w:color="auto" w:sz="4" w:space="0"/>
              <w:bottom w:val="single" w:color="auto" w:sz="4" w:space="0"/>
              <w:right w:val="single" w:color="auto" w:sz="4" w:space="0"/>
            </w:tcBorders>
            <w:vAlign w:val="center"/>
          </w:tcPr>
          <w:p w14:paraId="0D0A04BF">
            <w:pPr>
              <w:pStyle w:val="90"/>
              <w:keepNext w:val="0"/>
              <w:keepLines w:val="0"/>
              <w:pageBreakBefore w:val="0"/>
              <w:widowControl/>
              <w:shd w:val="clear"/>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投标响应</w:t>
            </w:r>
          </w:p>
        </w:tc>
        <w:tc>
          <w:tcPr>
            <w:tcW w:w="975" w:type="dxa"/>
            <w:tcBorders>
              <w:top w:val="single" w:color="auto" w:sz="4" w:space="0"/>
              <w:left w:val="single" w:color="auto" w:sz="4" w:space="0"/>
              <w:bottom w:val="single" w:color="auto" w:sz="4" w:space="0"/>
              <w:right w:val="single" w:color="auto" w:sz="4" w:space="0"/>
            </w:tcBorders>
            <w:vAlign w:val="center"/>
          </w:tcPr>
          <w:p w14:paraId="5464C583">
            <w:pPr>
              <w:pStyle w:val="90"/>
              <w:keepNext w:val="0"/>
              <w:keepLines w:val="0"/>
              <w:pageBreakBefore w:val="0"/>
              <w:widowControl/>
              <w:shd w:val="clear"/>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偏离</w:t>
            </w:r>
          </w:p>
        </w:tc>
        <w:tc>
          <w:tcPr>
            <w:tcW w:w="943" w:type="dxa"/>
            <w:tcBorders>
              <w:top w:val="single" w:color="auto" w:sz="4" w:space="0"/>
              <w:left w:val="single" w:color="auto" w:sz="4" w:space="0"/>
              <w:bottom w:val="single" w:color="auto" w:sz="4" w:space="0"/>
              <w:right w:val="single" w:color="auto" w:sz="4" w:space="0"/>
            </w:tcBorders>
            <w:vAlign w:val="center"/>
          </w:tcPr>
          <w:p w14:paraId="38FA2049">
            <w:pPr>
              <w:pStyle w:val="90"/>
              <w:keepNext w:val="0"/>
              <w:keepLines w:val="0"/>
              <w:pageBreakBefore w:val="0"/>
              <w:widowControl/>
              <w:shd w:val="clear"/>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页码</w:t>
            </w:r>
          </w:p>
        </w:tc>
      </w:tr>
      <w:tr w14:paraId="2AFDCBEB">
        <w:tblPrEx>
          <w:tblCellMar>
            <w:top w:w="0" w:type="dxa"/>
            <w:left w:w="0" w:type="dxa"/>
            <w:bottom w:w="0" w:type="dxa"/>
            <w:right w:w="0" w:type="dxa"/>
          </w:tblCellMar>
        </w:tblPrEx>
        <w:trPr>
          <w:trHeight w:val="624"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404B2244">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14:paraId="1D6E6FA2">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14:paraId="30BD6707">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2432" w:type="dxa"/>
            <w:tcBorders>
              <w:top w:val="single" w:color="auto" w:sz="4" w:space="0"/>
              <w:left w:val="single" w:color="auto" w:sz="4" w:space="0"/>
              <w:bottom w:val="single" w:color="auto" w:sz="4" w:space="0"/>
              <w:right w:val="single" w:color="auto" w:sz="4" w:space="0"/>
            </w:tcBorders>
            <w:vAlign w:val="center"/>
          </w:tcPr>
          <w:p w14:paraId="6D2654D4">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75" w:type="dxa"/>
            <w:tcBorders>
              <w:top w:val="single" w:color="auto" w:sz="4" w:space="0"/>
              <w:left w:val="single" w:color="auto" w:sz="4" w:space="0"/>
              <w:bottom w:val="single" w:color="auto" w:sz="4" w:space="0"/>
              <w:right w:val="single" w:color="auto" w:sz="4" w:space="0"/>
            </w:tcBorders>
            <w:vAlign w:val="center"/>
          </w:tcPr>
          <w:p w14:paraId="72912852">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14:paraId="45C4D3CA">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r>
      <w:tr w14:paraId="255AC721">
        <w:tblPrEx>
          <w:tblCellMar>
            <w:top w:w="0" w:type="dxa"/>
            <w:left w:w="0" w:type="dxa"/>
            <w:bottom w:w="0" w:type="dxa"/>
            <w:right w:w="0" w:type="dxa"/>
          </w:tblCellMar>
        </w:tblPrEx>
        <w:trPr>
          <w:trHeight w:val="624"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6584C08C">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14:paraId="30DBB452">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14:paraId="77A1721F">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2432" w:type="dxa"/>
            <w:tcBorders>
              <w:top w:val="single" w:color="auto" w:sz="4" w:space="0"/>
              <w:left w:val="single" w:color="auto" w:sz="4" w:space="0"/>
              <w:bottom w:val="single" w:color="auto" w:sz="4" w:space="0"/>
              <w:right w:val="single" w:color="auto" w:sz="4" w:space="0"/>
            </w:tcBorders>
            <w:vAlign w:val="center"/>
          </w:tcPr>
          <w:p w14:paraId="07A40248">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75" w:type="dxa"/>
            <w:tcBorders>
              <w:top w:val="single" w:color="auto" w:sz="4" w:space="0"/>
              <w:left w:val="single" w:color="auto" w:sz="4" w:space="0"/>
              <w:bottom w:val="single" w:color="auto" w:sz="4" w:space="0"/>
              <w:right w:val="single" w:color="auto" w:sz="4" w:space="0"/>
            </w:tcBorders>
            <w:vAlign w:val="center"/>
          </w:tcPr>
          <w:p w14:paraId="39F830BD">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14:paraId="01729F6D">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r>
      <w:tr w14:paraId="517D2913">
        <w:tblPrEx>
          <w:tblCellMar>
            <w:top w:w="0" w:type="dxa"/>
            <w:left w:w="0" w:type="dxa"/>
            <w:bottom w:w="0" w:type="dxa"/>
            <w:right w:w="0" w:type="dxa"/>
          </w:tblCellMar>
        </w:tblPrEx>
        <w:trPr>
          <w:trHeight w:val="624"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14:paraId="26960F1D">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14:paraId="65CE8D82">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14:paraId="40179EBD">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2432" w:type="dxa"/>
            <w:tcBorders>
              <w:top w:val="single" w:color="auto" w:sz="4" w:space="0"/>
              <w:left w:val="single" w:color="auto" w:sz="4" w:space="0"/>
              <w:bottom w:val="single" w:color="auto" w:sz="4" w:space="0"/>
              <w:right w:val="single" w:color="auto" w:sz="4" w:space="0"/>
            </w:tcBorders>
            <w:vAlign w:val="center"/>
          </w:tcPr>
          <w:p w14:paraId="65318709">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75" w:type="dxa"/>
            <w:tcBorders>
              <w:top w:val="single" w:color="auto" w:sz="4" w:space="0"/>
              <w:left w:val="single" w:color="auto" w:sz="4" w:space="0"/>
              <w:bottom w:val="single" w:color="auto" w:sz="4" w:space="0"/>
              <w:right w:val="single" w:color="auto" w:sz="4" w:space="0"/>
            </w:tcBorders>
            <w:vAlign w:val="center"/>
          </w:tcPr>
          <w:p w14:paraId="38163DF6">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14:paraId="4853CA1A">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r>
    </w:tbl>
    <w:p w14:paraId="499DB1BE">
      <w:pPr>
        <w:shd w:val="clear"/>
        <w:ind w:firstLine="480"/>
        <w:rPr>
          <w:rFonts w:hint="eastAsia" w:ascii="宋体" w:hAnsi="宋体" w:eastAsia="宋体" w:cs="宋体"/>
          <w:color w:val="000000" w:themeColor="text1"/>
          <w:highlight w:val="none"/>
          <w14:textFill>
            <w14:solidFill>
              <w14:schemeClr w14:val="tx1"/>
            </w14:solidFill>
          </w14:textFill>
        </w:rPr>
      </w:pPr>
    </w:p>
    <w:p w14:paraId="41B898D2">
      <w:pPr>
        <w:shd w:val="clea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投标人名称：</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（盖章）</w:t>
      </w:r>
    </w:p>
    <w:p w14:paraId="61CB7F1D">
      <w:pPr>
        <w:shd w:val="clea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说明：</w:t>
      </w:r>
    </w:p>
    <w:p w14:paraId="56D858AC">
      <w:pPr>
        <w:shd w:val="clea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1、如果行数不够，请自行增加；</w:t>
      </w:r>
    </w:p>
    <w:p w14:paraId="44CE8FDB">
      <w:pPr>
        <w:shd w:val="clea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2、偏离包括正偏离、无偏离、负偏离，正偏离指供应商的响应高于招标文件要求，无偏离指供应商的响应等于招标文件要求，负偏离指供应商的响应低于招标文件要求。</w:t>
      </w:r>
    </w:p>
    <w:p w14:paraId="4371A870">
      <w:pPr>
        <w:shd w:val="clea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3、投标响应作为投标文件重要的组成部分，不应通过简单拷贝或简单标注“符合”“满足”。</w:t>
      </w:r>
    </w:p>
    <w:p w14:paraId="7A57AF65">
      <w:pPr>
        <w:shd w:val="clea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4、如招标文件要求提供相应证明材料的，应在偏离表中注明证明材料所在投标文件的页码位置，否则评标委员会有权作负偏离处理</w:t>
      </w:r>
    </w:p>
    <w:p w14:paraId="10F0A650">
      <w:pPr>
        <w:shd w:val="clea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7B28FED6">
      <w:pPr>
        <w:pStyle w:val="3"/>
        <w:shd w:val="clear"/>
        <w:ind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目录六、商务条款偏离表格式</w:t>
      </w:r>
    </w:p>
    <w:p w14:paraId="6EC54549">
      <w:pPr>
        <w:shd w:val="clear"/>
        <w:ind w:firstLine="0" w:firstLineChars="0"/>
        <w:jc w:val="center"/>
        <w:rPr>
          <w:rFonts w:hint="eastAsia" w:ascii="宋体" w:hAnsi="宋体" w:eastAsia="宋体" w:cs="宋体"/>
          <w:b/>
          <w:bCs/>
          <w:color w:val="000000" w:themeColor="text1"/>
          <w:sz w:val="32"/>
          <w:szCs w:val="28"/>
          <w:highlight w:val="none"/>
          <w14:textFill>
            <w14:solidFill>
              <w14:schemeClr w14:val="tx1"/>
            </w14:solidFill>
          </w14:textFill>
        </w:rPr>
      </w:pPr>
      <w:r>
        <w:rPr>
          <w:rFonts w:hint="eastAsia" w:ascii="宋体" w:hAnsi="宋体" w:eastAsia="宋体" w:cs="宋体"/>
          <w:b/>
          <w:bCs/>
          <w:color w:val="000000" w:themeColor="text1"/>
          <w:sz w:val="32"/>
          <w:szCs w:val="28"/>
          <w:highlight w:val="none"/>
          <w14:textFill>
            <w14:solidFill>
              <w14:schemeClr w14:val="tx1"/>
            </w14:solidFill>
          </w14:textFill>
        </w:rPr>
        <w:t>商务条款偏离表</w:t>
      </w:r>
    </w:p>
    <w:tbl>
      <w:tblPr>
        <w:tblStyle w:val="28"/>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1"/>
        <w:gridCol w:w="1620"/>
        <w:gridCol w:w="2700"/>
        <w:gridCol w:w="2331"/>
        <w:gridCol w:w="1065"/>
        <w:gridCol w:w="849"/>
      </w:tblGrid>
      <w:tr w14:paraId="2888B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blHeader/>
          <w:jc w:val="center"/>
        </w:trPr>
        <w:tc>
          <w:tcPr>
            <w:tcW w:w="5311" w:type="dxa"/>
            <w:gridSpan w:val="3"/>
            <w:tcBorders>
              <w:top w:val="single" w:color="auto" w:sz="4" w:space="0"/>
              <w:left w:val="single" w:color="auto" w:sz="4" w:space="0"/>
              <w:right w:val="single" w:color="auto" w:sz="4" w:space="0"/>
            </w:tcBorders>
            <w:vAlign w:val="center"/>
          </w:tcPr>
          <w:p w14:paraId="20FFF0F1">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项目名称：</w:t>
            </w:r>
          </w:p>
        </w:tc>
        <w:tc>
          <w:tcPr>
            <w:tcW w:w="4245" w:type="dxa"/>
            <w:gridSpan w:val="3"/>
            <w:tcBorders>
              <w:top w:val="single" w:color="auto" w:sz="4" w:space="0"/>
              <w:left w:val="single" w:color="auto" w:sz="4" w:space="0"/>
              <w:right w:val="single" w:color="auto" w:sz="4" w:space="0"/>
            </w:tcBorders>
            <w:vAlign w:val="center"/>
          </w:tcPr>
          <w:p w14:paraId="15CB04ED">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项目编号：</w:t>
            </w:r>
          </w:p>
        </w:tc>
      </w:tr>
      <w:tr w14:paraId="12E1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991" w:type="dxa"/>
            <w:tcBorders>
              <w:left w:val="single" w:color="auto" w:sz="4" w:space="0"/>
              <w:right w:val="single" w:color="auto" w:sz="4" w:space="0"/>
            </w:tcBorders>
            <w:vAlign w:val="center"/>
          </w:tcPr>
          <w:p w14:paraId="1F8108B0">
            <w:pPr>
              <w:pStyle w:val="90"/>
              <w:keepNext w:val="0"/>
              <w:keepLines w:val="0"/>
              <w:pageBreakBefore w:val="0"/>
              <w:widowControl/>
              <w:shd w:val="clear"/>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1620" w:type="dxa"/>
            <w:tcBorders>
              <w:left w:val="single" w:color="auto" w:sz="4" w:space="0"/>
              <w:right w:val="single" w:color="auto" w:sz="4" w:space="0"/>
            </w:tcBorders>
            <w:vAlign w:val="center"/>
          </w:tcPr>
          <w:p w14:paraId="34370348">
            <w:pPr>
              <w:pStyle w:val="90"/>
              <w:keepNext w:val="0"/>
              <w:keepLines w:val="0"/>
              <w:pageBreakBefore w:val="0"/>
              <w:widowControl/>
              <w:shd w:val="clear"/>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招标文件条目号</w:t>
            </w:r>
          </w:p>
        </w:tc>
        <w:tc>
          <w:tcPr>
            <w:tcW w:w="2700" w:type="dxa"/>
            <w:tcBorders>
              <w:left w:val="single" w:color="auto" w:sz="4" w:space="0"/>
              <w:right w:val="single" w:color="auto" w:sz="4" w:space="0"/>
            </w:tcBorders>
            <w:vAlign w:val="center"/>
          </w:tcPr>
          <w:p w14:paraId="3D85B59A">
            <w:pPr>
              <w:pStyle w:val="90"/>
              <w:keepNext w:val="0"/>
              <w:keepLines w:val="0"/>
              <w:pageBreakBefore w:val="0"/>
              <w:widowControl/>
              <w:shd w:val="clear"/>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招标文件要求的商务条款</w:t>
            </w:r>
          </w:p>
        </w:tc>
        <w:tc>
          <w:tcPr>
            <w:tcW w:w="2331" w:type="dxa"/>
            <w:tcBorders>
              <w:left w:val="single" w:color="auto" w:sz="4" w:space="0"/>
              <w:right w:val="single" w:color="auto" w:sz="4" w:space="0"/>
            </w:tcBorders>
            <w:vAlign w:val="center"/>
          </w:tcPr>
          <w:p w14:paraId="4D94A39F">
            <w:pPr>
              <w:pStyle w:val="90"/>
              <w:keepNext w:val="0"/>
              <w:keepLines w:val="0"/>
              <w:pageBreakBefore w:val="0"/>
              <w:widowControl/>
              <w:shd w:val="clear"/>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投标响应</w:t>
            </w:r>
          </w:p>
        </w:tc>
        <w:tc>
          <w:tcPr>
            <w:tcW w:w="1065" w:type="dxa"/>
            <w:tcBorders>
              <w:left w:val="single" w:color="auto" w:sz="4" w:space="0"/>
              <w:right w:val="single" w:color="auto" w:sz="4" w:space="0"/>
            </w:tcBorders>
            <w:vAlign w:val="center"/>
          </w:tcPr>
          <w:p w14:paraId="5A55D9F6">
            <w:pPr>
              <w:pStyle w:val="90"/>
              <w:keepNext w:val="0"/>
              <w:keepLines w:val="0"/>
              <w:pageBreakBefore w:val="0"/>
              <w:widowControl/>
              <w:shd w:val="clear"/>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偏离</w:t>
            </w:r>
          </w:p>
        </w:tc>
        <w:tc>
          <w:tcPr>
            <w:tcW w:w="849" w:type="dxa"/>
            <w:tcBorders>
              <w:left w:val="single" w:color="auto" w:sz="4" w:space="0"/>
              <w:right w:val="single" w:color="auto" w:sz="4" w:space="0"/>
            </w:tcBorders>
            <w:vAlign w:val="center"/>
          </w:tcPr>
          <w:p w14:paraId="2A978BFC">
            <w:pPr>
              <w:pStyle w:val="90"/>
              <w:keepNext w:val="0"/>
              <w:keepLines w:val="0"/>
              <w:pageBreakBefore w:val="0"/>
              <w:widowControl/>
              <w:shd w:val="clear"/>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页码</w:t>
            </w:r>
          </w:p>
        </w:tc>
      </w:tr>
      <w:tr w14:paraId="6A84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991" w:type="dxa"/>
            <w:tcBorders>
              <w:left w:val="single" w:color="auto" w:sz="4" w:space="0"/>
              <w:right w:val="single" w:color="auto" w:sz="4" w:space="0"/>
            </w:tcBorders>
            <w:vAlign w:val="center"/>
          </w:tcPr>
          <w:p w14:paraId="030C85D2">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620" w:type="dxa"/>
            <w:tcBorders>
              <w:left w:val="single" w:color="auto" w:sz="4" w:space="0"/>
              <w:right w:val="single" w:color="auto" w:sz="4" w:space="0"/>
            </w:tcBorders>
            <w:vAlign w:val="center"/>
          </w:tcPr>
          <w:p w14:paraId="12767008">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2700" w:type="dxa"/>
            <w:tcBorders>
              <w:left w:val="single" w:color="auto" w:sz="4" w:space="0"/>
              <w:right w:val="single" w:color="auto" w:sz="4" w:space="0"/>
            </w:tcBorders>
            <w:vAlign w:val="center"/>
          </w:tcPr>
          <w:p w14:paraId="64B492DC">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2331" w:type="dxa"/>
            <w:tcBorders>
              <w:left w:val="single" w:color="auto" w:sz="4" w:space="0"/>
              <w:right w:val="single" w:color="auto" w:sz="4" w:space="0"/>
            </w:tcBorders>
            <w:vAlign w:val="center"/>
          </w:tcPr>
          <w:p w14:paraId="7E72FC5A">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65" w:type="dxa"/>
            <w:tcBorders>
              <w:left w:val="single" w:color="auto" w:sz="4" w:space="0"/>
              <w:right w:val="single" w:color="auto" w:sz="4" w:space="0"/>
            </w:tcBorders>
            <w:vAlign w:val="center"/>
          </w:tcPr>
          <w:p w14:paraId="1C480142">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849" w:type="dxa"/>
            <w:tcBorders>
              <w:left w:val="single" w:color="auto" w:sz="4" w:space="0"/>
              <w:right w:val="single" w:color="auto" w:sz="4" w:space="0"/>
            </w:tcBorders>
            <w:vAlign w:val="center"/>
          </w:tcPr>
          <w:p w14:paraId="1164FE7F">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r>
      <w:tr w14:paraId="55BE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991" w:type="dxa"/>
            <w:tcBorders>
              <w:left w:val="single" w:color="auto" w:sz="4" w:space="0"/>
              <w:right w:val="single" w:color="auto" w:sz="4" w:space="0"/>
            </w:tcBorders>
            <w:vAlign w:val="center"/>
          </w:tcPr>
          <w:p w14:paraId="65F98D4C">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620" w:type="dxa"/>
            <w:tcBorders>
              <w:left w:val="single" w:color="auto" w:sz="4" w:space="0"/>
              <w:right w:val="single" w:color="auto" w:sz="4" w:space="0"/>
            </w:tcBorders>
            <w:vAlign w:val="center"/>
          </w:tcPr>
          <w:p w14:paraId="31AE9D0A">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2700" w:type="dxa"/>
            <w:tcBorders>
              <w:left w:val="single" w:color="auto" w:sz="4" w:space="0"/>
              <w:right w:val="single" w:color="auto" w:sz="4" w:space="0"/>
            </w:tcBorders>
            <w:vAlign w:val="center"/>
          </w:tcPr>
          <w:p w14:paraId="12CB48D9">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2331" w:type="dxa"/>
            <w:tcBorders>
              <w:left w:val="single" w:color="auto" w:sz="4" w:space="0"/>
              <w:right w:val="single" w:color="auto" w:sz="4" w:space="0"/>
            </w:tcBorders>
            <w:vAlign w:val="center"/>
          </w:tcPr>
          <w:p w14:paraId="1BB679DC">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65" w:type="dxa"/>
            <w:tcBorders>
              <w:left w:val="single" w:color="auto" w:sz="4" w:space="0"/>
              <w:right w:val="single" w:color="auto" w:sz="4" w:space="0"/>
            </w:tcBorders>
            <w:vAlign w:val="center"/>
          </w:tcPr>
          <w:p w14:paraId="426DBC45">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849" w:type="dxa"/>
            <w:tcBorders>
              <w:left w:val="single" w:color="auto" w:sz="4" w:space="0"/>
              <w:right w:val="single" w:color="auto" w:sz="4" w:space="0"/>
            </w:tcBorders>
            <w:vAlign w:val="center"/>
          </w:tcPr>
          <w:p w14:paraId="06DC8A9F">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r>
      <w:tr w14:paraId="256F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991" w:type="dxa"/>
            <w:tcBorders>
              <w:left w:val="single" w:color="auto" w:sz="4" w:space="0"/>
              <w:right w:val="single" w:color="auto" w:sz="4" w:space="0"/>
            </w:tcBorders>
            <w:vAlign w:val="center"/>
          </w:tcPr>
          <w:p w14:paraId="0E979906">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620" w:type="dxa"/>
            <w:tcBorders>
              <w:left w:val="single" w:color="auto" w:sz="4" w:space="0"/>
              <w:right w:val="single" w:color="auto" w:sz="4" w:space="0"/>
            </w:tcBorders>
            <w:vAlign w:val="center"/>
          </w:tcPr>
          <w:p w14:paraId="68D6413C">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2700" w:type="dxa"/>
            <w:tcBorders>
              <w:left w:val="single" w:color="auto" w:sz="4" w:space="0"/>
              <w:right w:val="single" w:color="auto" w:sz="4" w:space="0"/>
            </w:tcBorders>
            <w:vAlign w:val="center"/>
          </w:tcPr>
          <w:p w14:paraId="7E9194A0">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2331" w:type="dxa"/>
            <w:tcBorders>
              <w:left w:val="single" w:color="auto" w:sz="4" w:space="0"/>
              <w:right w:val="single" w:color="auto" w:sz="4" w:space="0"/>
            </w:tcBorders>
            <w:vAlign w:val="center"/>
          </w:tcPr>
          <w:p w14:paraId="31FFCBAA">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65" w:type="dxa"/>
            <w:tcBorders>
              <w:left w:val="single" w:color="auto" w:sz="4" w:space="0"/>
              <w:right w:val="single" w:color="auto" w:sz="4" w:space="0"/>
            </w:tcBorders>
            <w:vAlign w:val="center"/>
          </w:tcPr>
          <w:p w14:paraId="3D35173E">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849" w:type="dxa"/>
            <w:tcBorders>
              <w:left w:val="single" w:color="auto" w:sz="4" w:space="0"/>
              <w:right w:val="single" w:color="auto" w:sz="4" w:space="0"/>
            </w:tcBorders>
            <w:vAlign w:val="center"/>
          </w:tcPr>
          <w:p w14:paraId="38C9813D">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r>
    </w:tbl>
    <w:p w14:paraId="4B548D29">
      <w:pPr>
        <w:shd w:val="clear"/>
        <w:ind w:firstLine="480"/>
        <w:rPr>
          <w:rFonts w:hint="eastAsia" w:ascii="宋体" w:hAnsi="宋体" w:eastAsia="宋体" w:cs="宋体"/>
          <w:color w:val="000000" w:themeColor="text1"/>
          <w:highlight w:val="none"/>
          <w14:textFill>
            <w14:solidFill>
              <w14:schemeClr w14:val="tx1"/>
            </w14:solidFill>
          </w14:textFill>
        </w:rPr>
      </w:pPr>
    </w:p>
    <w:p w14:paraId="05B8357D">
      <w:pPr>
        <w:shd w:val="clea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投标人名称：</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（盖章）</w:t>
      </w:r>
    </w:p>
    <w:p w14:paraId="06E8BCDA">
      <w:pPr>
        <w:shd w:val="clea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说明：</w:t>
      </w:r>
    </w:p>
    <w:p w14:paraId="29A1B2C4">
      <w:pPr>
        <w:shd w:val="clea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1、如果行数不够，请自行增加。</w:t>
      </w:r>
    </w:p>
    <w:p w14:paraId="3B53CC31">
      <w:pPr>
        <w:shd w:val="clea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、偏离包括正偏离、无偏离、负偏离，正偏离指供应商的响应高于招标文件要求，无偏离指供应商的响应等于招标文件要求，负偏离指供应商的响应低于招标文件要求。</w:t>
      </w:r>
    </w:p>
    <w:p w14:paraId="18CD361D">
      <w:pPr>
        <w:shd w:val="clea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、投标响应作为投标文件重要的组成部分，不应通过简单拷贝或简单标注“符合”“满足”。</w:t>
      </w:r>
    </w:p>
    <w:p w14:paraId="13A1C6DC">
      <w:pPr>
        <w:shd w:val="clea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、如招标文件要求提供相应证明材料的，应在偏离表中注明证明材料所在投标文件的页码位置，否则评标委员会有权作负偏离处理。</w:t>
      </w:r>
    </w:p>
    <w:p w14:paraId="4056B4F9">
      <w:pPr>
        <w:shd w:val="clear"/>
        <w:ind w:firstLine="482"/>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br w:type="page"/>
      </w:r>
    </w:p>
    <w:p w14:paraId="59698022">
      <w:pPr>
        <w:pStyle w:val="3"/>
        <w:shd w:val="clear"/>
        <w:ind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目录七、服务方案</w:t>
      </w:r>
    </w:p>
    <w:p w14:paraId="3F6583B9">
      <w:pPr>
        <w:shd w:val="clea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技术方案及服务承诺应根据招标人对项目的要求、评标标准的要求及项目本身的特点编写。</w:t>
      </w:r>
    </w:p>
    <w:p w14:paraId="347B3536">
      <w:pPr>
        <w:shd w:val="clear"/>
        <w:ind w:firstLine="640"/>
        <w:rPr>
          <w:rFonts w:hint="eastAsia" w:ascii="宋体" w:hAnsi="宋体" w:eastAsia="宋体" w:cs="宋体"/>
          <w:color w:val="000000" w:themeColor="text1"/>
          <w:kern w:val="44"/>
          <w:sz w:val="32"/>
          <w:szCs w:val="36"/>
          <w:highlight w:val="none"/>
          <w14:textFill>
            <w14:solidFill>
              <w14:schemeClr w14:val="tx1"/>
            </w14:solidFill>
          </w14:textFill>
        </w:rPr>
      </w:pPr>
      <w:r>
        <w:rPr>
          <w:rFonts w:hint="eastAsia" w:ascii="宋体" w:hAnsi="宋体" w:eastAsia="宋体" w:cs="宋体"/>
          <w:color w:val="000000" w:themeColor="text1"/>
          <w:kern w:val="44"/>
          <w:sz w:val="32"/>
          <w:szCs w:val="36"/>
          <w:highlight w:val="none"/>
          <w14:textFill>
            <w14:solidFill>
              <w14:schemeClr w14:val="tx1"/>
            </w14:solidFill>
          </w14:textFill>
        </w:rPr>
        <w:br w:type="page"/>
      </w:r>
    </w:p>
    <w:p w14:paraId="75B52CC2">
      <w:pPr>
        <w:pStyle w:val="3"/>
        <w:shd w:val="clear"/>
        <w:ind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目录八、拟参与本项目人员一览表</w:t>
      </w:r>
    </w:p>
    <w:p w14:paraId="42830E01">
      <w:pPr>
        <w:shd w:val="clear"/>
        <w:ind w:firstLine="0" w:firstLineChars="0"/>
        <w:jc w:val="center"/>
        <w:rPr>
          <w:rFonts w:hint="eastAsia" w:ascii="宋体" w:hAnsi="宋体" w:eastAsia="宋体" w:cs="宋体"/>
          <w:b/>
          <w:bCs/>
          <w:color w:val="000000" w:themeColor="text1"/>
          <w:sz w:val="32"/>
          <w:szCs w:val="28"/>
          <w:highlight w:val="none"/>
          <w14:textFill>
            <w14:solidFill>
              <w14:schemeClr w14:val="tx1"/>
            </w14:solidFill>
          </w14:textFill>
        </w:rPr>
      </w:pPr>
      <w:r>
        <w:rPr>
          <w:rFonts w:hint="eastAsia" w:ascii="宋体" w:hAnsi="宋体" w:eastAsia="宋体" w:cs="宋体"/>
          <w:b/>
          <w:bCs/>
          <w:color w:val="000000" w:themeColor="text1"/>
          <w:sz w:val="32"/>
          <w:szCs w:val="28"/>
          <w:highlight w:val="none"/>
          <w14:textFill>
            <w14:solidFill>
              <w14:schemeClr w14:val="tx1"/>
            </w14:solidFill>
          </w14:textFill>
        </w:rPr>
        <w:t>拟参与本项目人员一览表</w:t>
      </w:r>
    </w:p>
    <w:tbl>
      <w:tblPr>
        <w:tblStyle w:val="28"/>
        <w:tblW w:w="9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9"/>
        <w:gridCol w:w="924"/>
        <w:gridCol w:w="684"/>
        <w:gridCol w:w="731"/>
        <w:gridCol w:w="1171"/>
        <w:gridCol w:w="960"/>
        <w:gridCol w:w="298"/>
        <w:gridCol w:w="755"/>
        <w:gridCol w:w="1026"/>
        <w:gridCol w:w="909"/>
        <w:gridCol w:w="876"/>
        <w:gridCol w:w="878"/>
      </w:tblGrid>
      <w:tr w14:paraId="6FEC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5397" w:type="dxa"/>
            <w:gridSpan w:val="7"/>
            <w:tcBorders>
              <w:top w:val="single" w:color="auto" w:sz="4" w:space="0"/>
              <w:left w:val="single" w:color="auto" w:sz="4" w:space="0"/>
              <w:right w:val="single" w:color="auto" w:sz="4" w:space="0"/>
            </w:tcBorders>
            <w:vAlign w:val="center"/>
          </w:tcPr>
          <w:p w14:paraId="38BD1C33">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项目名称：</w:t>
            </w:r>
          </w:p>
        </w:tc>
        <w:tc>
          <w:tcPr>
            <w:tcW w:w="4444" w:type="dxa"/>
            <w:gridSpan w:val="5"/>
            <w:tcBorders>
              <w:top w:val="single" w:color="auto" w:sz="4" w:space="0"/>
              <w:left w:val="single" w:color="auto" w:sz="4" w:space="0"/>
              <w:right w:val="single" w:color="auto" w:sz="4" w:space="0"/>
            </w:tcBorders>
            <w:vAlign w:val="center"/>
          </w:tcPr>
          <w:p w14:paraId="067C76F5">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项目编号：</w:t>
            </w:r>
          </w:p>
        </w:tc>
      </w:tr>
      <w:tr w14:paraId="08ACD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9" w:type="dxa"/>
            <w:vAlign w:val="center"/>
          </w:tcPr>
          <w:p w14:paraId="5965A8AB">
            <w:pPr>
              <w:pStyle w:val="90"/>
              <w:keepNext w:val="0"/>
              <w:keepLines w:val="0"/>
              <w:pageBreakBefore w:val="0"/>
              <w:widowControl/>
              <w:shd w:val="clear"/>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924" w:type="dxa"/>
            <w:vAlign w:val="center"/>
          </w:tcPr>
          <w:p w14:paraId="2C049BBD">
            <w:pPr>
              <w:pStyle w:val="90"/>
              <w:keepNext w:val="0"/>
              <w:keepLines w:val="0"/>
              <w:pageBreakBefore w:val="0"/>
              <w:widowControl/>
              <w:shd w:val="clear"/>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姓名</w:t>
            </w:r>
          </w:p>
        </w:tc>
        <w:tc>
          <w:tcPr>
            <w:tcW w:w="684" w:type="dxa"/>
            <w:vAlign w:val="center"/>
          </w:tcPr>
          <w:p w14:paraId="47D75F8D">
            <w:pPr>
              <w:pStyle w:val="90"/>
              <w:keepNext w:val="0"/>
              <w:keepLines w:val="0"/>
              <w:pageBreakBefore w:val="0"/>
              <w:widowControl/>
              <w:shd w:val="clear"/>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性别</w:t>
            </w:r>
          </w:p>
        </w:tc>
        <w:tc>
          <w:tcPr>
            <w:tcW w:w="731" w:type="dxa"/>
            <w:vAlign w:val="center"/>
          </w:tcPr>
          <w:p w14:paraId="2C797F69">
            <w:pPr>
              <w:pStyle w:val="90"/>
              <w:keepNext w:val="0"/>
              <w:keepLines w:val="0"/>
              <w:pageBreakBefore w:val="0"/>
              <w:widowControl/>
              <w:shd w:val="clear"/>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年龄</w:t>
            </w:r>
          </w:p>
        </w:tc>
        <w:tc>
          <w:tcPr>
            <w:tcW w:w="1171" w:type="dxa"/>
            <w:vAlign w:val="center"/>
          </w:tcPr>
          <w:p w14:paraId="4C19BB28">
            <w:pPr>
              <w:pStyle w:val="90"/>
              <w:keepNext w:val="0"/>
              <w:keepLines w:val="0"/>
              <w:pageBreakBefore w:val="0"/>
              <w:widowControl/>
              <w:shd w:val="clear"/>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专业</w:t>
            </w:r>
          </w:p>
        </w:tc>
        <w:tc>
          <w:tcPr>
            <w:tcW w:w="960" w:type="dxa"/>
            <w:vAlign w:val="center"/>
          </w:tcPr>
          <w:p w14:paraId="122DC979">
            <w:pPr>
              <w:pStyle w:val="90"/>
              <w:keepNext w:val="0"/>
              <w:keepLines w:val="0"/>
              <w:pageBreakBefore w:val="0"/>
              <w:widowControl/>
              <w:shd w:val="clear"/>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学历</w:t>
            </w:r>
          </w:p>
        </w:tc>
        <w:tc>
          <w:tcPr>
            <w:tcW w:w="1053" w:type="dxa"/>
            <w:gridSpan w:val="2"/>
            <w:vAlign w:val="center"/>
          </w:tcPr>
          <w:p w14:paraId="0196D591">
            <w:pPr>
              <w:pStyle w:val="90"/>
              <w:keepNext w:val="0"/>
              <w:keepLines w:val="0"/>
              <w:pageBreakBefore w:val="0"/>
              <w:widowControl/>
              <w:shd w:val="clear"/>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执业</w:t>
            </w:r>
          </w:p>
          <w:p w14:paraId="128BCE68">
            <w:pPr>
              <w:pStyle w:val="90"/>
              <w:keepNext w:val="0"/>
              <w:keepLines w:val="0"/>
              <w:pageBreakBefore w:val="0"/>
              <w:widowControl/>
              <w:shd w:val="clear"/>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资格</w:t>
            </w:r>
          </w:p>
        </w:tc>
        <w:tc>
          <w:tcPr>
            <w:tcW w:w="1026" w:type="dxa"/>
            <w:vAlign w:val="center"/>
          </w:tcPr>
          <w:p w14:paraId="187A1E23">
            <w:pPr>
              <w:pStyle w:val="90"/>
              <w:keepNext w:val="0"/>
              <w:keepLines w:val="0"/>
              <w:pageBreakBefore w:val="0"/>
              <w:widowControl/>
              <w:shd w:val="clear"/>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证书号</w:t>
            </w:r>
          </w:p>
        </w:tc>
        <w:tc>
          <w:tcPr>
            <w:tcW w:w="909" w:type="dxa"/>
            <w:tcBorders>
              <w:right w:val="single" w:color="auto" w:sz="4" w:space="0"/>
            </w:tcBorders>
            <w:vAlign w:val="center"/>
          </w:tcPr>
          <w:p w14:paraId="1FE2E618">
            <w:pPr>
              <w:pStyle w:val="90"/>
              <w:keepNext w:val="0"/>
              <w:keepLines w:val="0"/>
              <w:pageBreakBefore w:val="0"/>
              <w:widowControl/>
              <w:shd w:val="clear"/>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技术职</w:t>
            </w:r>
          </w:p>
          <w:p w14:paraId="5EA1D97B">
            <w:pPr>
              <w:pStyle w:val="90"/>
              <w:keepNext w:val="0"/>
              <w:keepLines w:val="0"/>
              <w:pageBreakBefore w:val="0"/>
              <w:widowControl/>
              <w:shd w:val="clear"/>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称</w:t>
            </w:r>
          </w:p>
        </w:tc>
        <w:tc>
          <w:tcPr>
            <w:tcW w:w="876" w:type="dxa"/>
            <w:tcBorders>
              <w:left w:val="single" w:color="auto" w:sz="4" w:space="0"/>
            </w:tcBorders>
            <w:vAlign w:val="center"/>
          </w:tcPr>
          <w:p w14:paraId="02213312">
            <w:pPr>
              <w:pStyle w:val="90"/>
              <w:keepNext w:val="0"/>
              <w:keepLines w:val="0"/>
              <w:pageBreakBefore w:val="0"/>
              <w:widowControl/>
              <w:shd w:val="clear"/>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相关工</w:t>
            </w:r>
          </w:p>
          <w:p w14:paraId="4EB0DA35">
            <w:pPr>
              <w:pStyle w:val="90"/>
              <w:keepNext w:val="0"/>
              <w:keepLines w:val="0"/>
              <w:pageBreakBefore w:val="0"/>
              <w:widowControl/>
              <w:shd w:val="clear"/>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作年限</w:t>
            </w:r>
          </w:p>
        </w:tc>
        <w:tc>
          <w:tcPr>
            <w:tcW w:w="878" w:type="dxa"/>
            <w:vAlign w:val="center"/>
          </w:tcPr>
          <w:p w14:paraId="71B00496">
            <w:pPr>
              <w:pStyle w:val="90"/>
              <w:keepNext w:val="0"/>
              <w:keepLines w:val="0"/>
              <w:pageBreakBefore w:val="0"/>
              <w:widowControl/>
              <w:shd w:val="clear"/>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备注</w:t>
            </w:r>
          </w:p>
        </w:tc>
      </w:tr>
      <w:tr w14:paraId="31B1A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9" w:type="dxa"/>
            <w:vAlign w:val="center"/>
          </w:tcPr>
          <w:p w14:paraId="6AB8D227">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24" w:type="dxa"/>
            <w:vAlign w:val="center"/>
          </w:tcPr>
          <w:p w14:paraId="4F631DA6">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684" w:type="dxa"/>
            <w:vAlign w:val="center"/>
          </w:tcPr>
          <w:p w14:paraId="28755055">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731" w:type="dxa"/>
            <w:vAlign w:val="center"/>
          </w:tcPr>
          <w:p w14:paraId="37979D5A">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171" w:type="dxa"/>
            <w:vAlign w:val="center"/>
          </w:tcPr>
          <w:p w14:paraId="4E7C62AE">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60" w:type="dxa"/>
            <w:vAlign w:val="center"/>
          </w:tcPr>
          <w:p w14:paraId="14E29703">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53" w:type="dxa"/>
            <w:gridSpan w:val="2"/>
            <w:vAlign w:val="center"/>
          </w:tcPr>
          <w:p w14:paraId="53C813D9">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26" w:type="dxa"/>
            <w:vAlign w:val="center"/>
          </w:tcPr>
          <w:p w14:paraId="3DAE49CB">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9" w:type="dxa"/>
            <w:vAlign w:val="center"/>
          </w:tcPr>
          <w:p w14:paraId="6251C20B">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876" w:type="dxa"/>
            <w:vAlign w:val="center"/>
          </w:tcPr>
          <w:p w14:paraId="758DFCE7">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878" w:type="dxa"/>
            <w:vAlign w:val="center"/>
          </w:tcPr>
          <w:p w14:paraId="632C331C">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r>
      <w:tr w14:paraId="3E6CE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9" w:type="dxa"/>
            <w:vAlign w:val="center"/>
          </w:tcPr>
          <w:p w14:paraId="07C004F8">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24" w:type="dxa"/>
            <w:vAlign w:val="center"/>
          </w:tcPr>
          <w:p w14:paraId="6C8B486D">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684" w:type="dxa"/>
            <w:vAlign w:val="center"/>
          </w:tcPr>
          <w:p w14:paraId="36666F7D">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731" w:type="dxa"/>
            <w:vAlign w:val="center"/>
          </w:tcPr>
          <w:p w14:paraId="12CFEBD9">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171" w:type="dxa"/>
            <w:vAlign w:val="center"/>
          </w:tcPr>
          <w:p w14:paraId="4D97AAB7">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60" w:type="dxa"/>
            <w:vAlign w:val="center"/>
          </w:tcPr>
          <w:p w14:paraId="4E7D01E0">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53" w:type="dxa"/>
            <w:gridSpan w:val="2"/>
            <w:vAlign w:val="center"/>
          </w:tcPr>
          <w:p w14:paraId="2CBDCE96">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26" w:type="dxa"/>
            <w:vAlign w:val="center"/>
          </w:tcPr>
          <w:p w14:paraId="08AB0CAA">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9" w:type="dxa"/>
            <w:vAlign w:val="center"/>
          </w:tcPr>
          <w:p w14:paraId="251183C4">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876" w:type="dxa"/>
            <w:vAlign w:val="center"/>
          </w:tcPr>
          <w:p w14:paraId="2BF8BDE9">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878" w:type="dxa"/>
            <w:vAlign w:val="center"/>
          </w:tcPr>
          <w:p w14:paraId="009A66F8">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r>
      <w:tr w14:paraId="5DDB3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9" w:type="dxa"/>
            <w:vAlign w:val="center"/>
          </w:tcPr>
          <w:p w14:paraId="737F12BE">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24" w:type="dxa"/>
            <w:vAlign w:val="center"/>
          </w:tcPr>
          <w:p w14:paraId="6CFF08D8">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684" w:type="dxa"/>
            <w:vAlign w:val="center"/>
          </w:tcPr>
          <w:p w14:paraId="0F033032">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731" w:type="dxa"/>
            <w:vAlign w:val="center"/>
          </w:tcPr>
          <w:p w14:paraId="085CAD08">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171" w:type="dxa"/>
            <w:vAlign w:val="center"/>
          </w:tcPr>
          <w:p w14:paraId="6666CE97">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60" w:type="dxa"/>
            <w:vAlign w:val="center"/>
          </w:tcPr>
          <w:p w14:paraId="11106A06">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53" w:type="dxa"/>
            <w:gridSpan w:val="2"/>
            <w:vAlign w:val="center"/>
          </w:tcPr>
          <w:p w14:paraId="3DC022A0">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26" w:type="dxa"/>
            <w:vAlign w:val="center"/>
          </w:tcPr>
          <w:p w14:paraId="0EFD21AE">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9" w:type="dxa"/>
            <w:vAlign w:val="center"/>
          </w:tcPr>
          <w:p w14:paraId="2001C39D">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876" w:type="dxa"/>
            <w:vAlign w:val="center"/>
          </w:tcPr>
          <w:p w14:paraId="7EBA28BC">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878" w:type="dxa"/>
            <w:vAlign w:val="center"/>
          </w:tcPr>
          <w:p w14:paraId="46B9B82C">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r>
      <w:tr w14:paraId="1A395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9" w:type="dxa"/>
            <w:vAlign w:val="center"/>
          </w:tcPr>
          <w:p w14:paraId="3EE00A04">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24" w:type="dxa"/>
            <w:vAlign w:val="center"/>
          </w:tcPr>
          <w:p w14:paraId="33ED1C09">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684" w:type="dxa"/>
            <w:vAlign w:val="center"/>
          </w:tcPr>
          <w:p w14:paraId="2A596448">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731" w:type="dxa"/>
            <w:vAlign w:val="center"/>
          </w:tcPr>
          <w:p w14:paraId="4268DDEC">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171" w:type="dxa"/>
            <w:vAlign w:val="center"/>
          </w:tcPr>
          <w:p w14:paraId="4C167050">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60" w:type="dxa"/>
            <w:vAlign w:val="center"/>
          </w:tcPr>
          <w:p w14:paraId="13DF9524">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53" w:type="dxa"/>
            <w:gridSpan w:val="2"/>
            <w:vAlign w:val="center"/>
          </w:tcPr>
          <w:p w14:paraId="03694506">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26" w:type="dxa"/>
            <w:vAlign w:val="center"/>
          </w:tcPr>
          <w:p w14:paraId="78899A78">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9" w:type="dxa"/>
            <w:vAlign w:val="center"/>
          </w:tcPr>
          <w:p w14:paraId="51F7DCA3">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876" w:type="dxa"/>
            <w:vAlign w:val="center"/>
          </w:tcPr>
          <w:p w14:paraId="2CD83A8C">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878" w:type="dxa"/>
            <w:vAlign w:val="center"/>
          </w:tcPr>
          <w:p w14:paraId="7E4AE4D2">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r>
      <w:tr w14:paraId="4E3B6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9" w:type="dxa"/>
            <w:vAlign w:val="center"/>
          </w:tcPr>
          <w:p w14:paraId="24A27F3A">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24" w:type="dxa"/>
            <w:vAlign w:val="center"/>
          </w:tcPr>
          <w:p w14:paraId="08F79FE7">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684" w:type="dxa"/>
            <w:vAlign w:val="center"/>
          </w:tcPr>
          <w:p w14:paraId="1EBE0D81">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731" w:type="dxa"/>
            <w:vAlign w:val="center"/>
          </w:tcPr>
          <w:p w14:paraId="7C18C442">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171" w:type="dxa"/>
            <w:vAlign w:val="center"/>
          </w:tcPr>
          <w:p w14:paraId="5D2E133B">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60" w:type="dxa"/>
            <w:vAlign w:val="center"/>
          </w:tcPr>
          <w:p w14:paraId="4BA4B6FE">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53" w:type="dxa"/>
            <w:gridSpan w:val="2"/>
            <w:vAlign w:val="center"/>
          </w:tcPr>
          <w:p w14:paraId="090D1215">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26" w:type="dxa"/>
            <w:vAlign w:val="center"/>
          </w:tcPr>
          <w:p w14:paraId="557B6101">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9" w:type="dxa"/>
            <w:vAlign w:val="center"/>
          </w:tcPr>
          <w:p w14:paraId="79455819">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876" w:type="dxa"/>
            <w:vAlign w:val="center"/>
          </w:tcPr>
          <w:p w14:paraId="7451B722">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878" w:type="dxa"/>
            <w:vAlign w:val="center"/>
          </w:tcPr>
          <w:p w14:paraId="7DEB7D86">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r>
      <w:tr w14:paraId="320BC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9" w:type="dxa"/>
            <w:vAlign w:val="center"/>
          </w:tcPr>
          <w:p w14:paraId="57D28175">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24" w:type="dxa"/>
            <w:vAlign w:val="center"/>
          </w:tcPr>
          <w:p w14:paraId="41BD3B86">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684" w:type="dxa"/>
            <w:vAlign w:val="center"/>
          </w:tcPr>
          <w:p w14:paraId="13A14B3D">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731" w:type="dxa"/>
            <w:vAlign w:val="center"/>
          </w:tcPr>
          <w:p w14:paraId="2DD0288C">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171" w:type="dxa"/>
            <w:vAlign w:val="center"/>
          </w:tcPr>
          <w:p w14:paraId="25B03DFB">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60" w:type="dxa"/>
            <w:vAlign w:val="center"/>
          </w:tcPr>
          <w:p w14:paraId="754685B8">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53" w:type="dxa"/>
            <w:gridSpan w:val="2"/>
            <w:vAlign w:val="center"/>
          </w:tcPr>
          <w:p w14:paraId="2D84E53F">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26" w:type="dxa"/>
            <w:vAlign w:val="center"/>
          </w:tcPr>
          <w:p w14:paraId="5E5B7009">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9" w:type="dxa"/>
            <w:vAlign w:val="center"/>
          </w:tcPr>
          <w:p w14:paraId="74E5F46A">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876" w:type="dxa"/>
            <w:vAlign w:val="center"/>
          </w:tcPr>
          <w:p w14:paraId="34DE7CF8">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878" w:type="dxa"/>
            <w:vAlign w:val="center"/>
          </w:tcPr>
          <w:p w14:paraId="566D16AD">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r>
      <w:tr w14:paraId="7E713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9" w:type="dxa"/>
            <w:vAlign w:val="center"/>
          </w:tcPr>
          <w:p w14:paraId="094BBCB1">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24" w:type="dxa"/>
            <w:vAlign w:val="center"/>
          </w:tcPr>
          <w:p w14:paraId="39927585">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684" w:type="dxa"/>
            <w:vAlign w:val="center"/>
          </w:tcPr>
          <w:p w14:paraId="42B33107">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731" w:type="dxa"/>
            <w:vAlign w:val="center"/>
          </w:tcPr>
          <w:p w14:paraId="6F6CBED8">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171" w:type="dxa"/>
            <w:vAlign w:val="center"/>
          </w:tcPr>
          <w:p w14:paraId="39E2547D">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60" w:type="dxa"/>
            <w:vAlign w:val="center"/>
          </w:tcPr>
          <w:p w14:paraId="3AD0082B">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53" w:type="dxa"/>
            <w:gridSpan w:val="2"/>
            <w:vAlign w:val="center"/>
          </w:tcPr>
          <w:p w14:paraId="59D61B68">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26" w:type="dxa"/>
            <w:vAlign w:val="center"/>
          </w:tcPr>
          <w:p w14:paraId="05E6510E">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9" w:type="dxa"/>
            <w:vAlign w:val="center"/>
          </w:tcPr>
          <w:p w14:paraId="6FC04B9E">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876" w:type="dxa"/>
            <w:vAlign w:val="center"/>
          </w:tcPr>
          <w:p w14:paraId="3F21DBD1">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878" w:type="dxa"/>
            <w:vAlign w:val="center"/>
          </w:tcPr>
          <w:p w14:paraId="10FABEAA">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r>
      <w:tr w14:paraId="48F7B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29" w:type="dxa"/>
            <w:vAlign w:val="center"/>
          </w:tcPr>
          <w:p w14:paraId="591D6714">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24" w:type="dxa"/>
            <w:vAlign w:val="center"/>
          </w:tcPr>
          <w:p w14:paraId="58084C0C">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684" w:type="dxa"/>
            <w:vAlign w:val="center"/>
          </w:tcPr>
          <w:p w14:paraId="515A43C5">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731" w:type="dxa"/>
            <w:vAlign w:val="center"/>
          </w:tcPr>
          <w:p w14:paraId="0EE6CD7D">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171" w:type="dxa"/>
            <w:vAlign w:val="center"/>
          </w:tcPr>
          <w:p w14:paraId="4765DD9F">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60" w:type="dxa"/>
            <w:vAlign w:val="center"/>
          </w:tcPr>
          <w:p w14:paraId="29F3F2DB">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53" w:type="dxa"/>
            <w:gridSpan w:val="2"/>
            <w:vAlign w:val="center"/>
          </w:tcPr>
          <w:p w14:paraId="0EB88A16">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1026" w:type="dxa"/>
            <w:vAlign w:val="center"/>
          </w:tcPr>
          <w:p w14:paraId="58962F41">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909" w:type="dxa"/>
            <w:vAlign w:val="center"/>
          </w:tcPr>
          <w:p w14:paraId="149FB279">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876" w:type="dxa"/>
            <w:vAlign w:val="center"/>
          </w:tcPr>
          <w:p w14:paraId="4D8E87F9">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c>
          <w:tcPr>
            <w:tcW w:w="878" w:type="dxa"/>
            <w:vAlign w:val="center"/>
          </w:tcPr>
          <w:p w14:paraId="70034840">
            <w:pPr>
              <w:pStyle w:val="90"/>
              <w:keepNext w:val="0"/>
              <w:keepLines w:val="0"/>
              <w:pageBreakBefore w:val="0"/>
              <w:widowControl/>
              <w:shd w:val="clear"/>
              <w:kinsoku/>
              <w:wordWrap/>
              <w:overflowPunct/>
              <w:topLinePunct w:val="0"/>
              <w:autoSpaceDE w:val="0"/>
              <w:autoSpaceDN w:val="0"/>
              <w:bidi w:val="0"/>
              <w:adjustRightInd/>
              <w:snapToGrid/>
              <w:spacing w:after="0" w:line="240" w:lineRule="auto"/>
              <w:textAlignment w:val="auto"/>
              <w:rPr>
                <w:rFonts w:hint="eastAsia" w:ascii="宋体" w:hAnsi="宋体" w:eastAsia="宋体" w:cs="宋体"/>
                <w:color w:val="000000" w:themeColor="text1"/>
                <w:highlight w:val="none"/>
                <w14:textFill>
                  <w14:solidFill>
                    <w14:schemeClr w14:val="tx1"/>
                  </w14:solidFill>
                </w14:textFill>
              </w:rPr>
            </w:pPr>
          </w:p>
        </w:tc>
      </w:tr>
    </w:tbl>
    <w:p w14:paraId="61FD27F5">
      <w:pPr>
        <w:shd w:val="clear"/>
        <w:ind w:firstLine="480"/>
        <w:rPr>
          <w:rFonts w:hint="eastAsia" w:ascii="宋体" w:hAnsi="宋体" w:eastAsia="宋体" w:cs="宋体"/>
          <w:color w:val="000000" w:themeColor="text1"/>
          <w:highlight w:val="none"/>
          <w14:textFill>
            <w14:solidFill>
              <w14:schemeClr w14:val="tx1"/>
            </w14:solidFill>
          </w14:textFill>
        </w:rPr>
      </w:pPr>
    </w:p>
    <w:p w14:paraId="47F2C941">
      <w:pPr>
        <w:shd w:val="clea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投标人名称：</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（盖章）</w:t>
      </w:r>
    </w:p>
    <w:p w14:paraId="481FA7FE">
      <w:pPr>
        <w:shd w:val="clear"/>
        <w:ind w:firstLine="480"/>
        <w:rPr>
          <w:rFonts w:hint="eastAsia" w:ascii="宋体" w:hAnsi="宋体" w:eastAsia="宋体" w:cs="宋体"/>
          <w:color w:val="000000" w:themeColor="text1"/>
          <w:highlight w:val="none"/>
          <w14:textFill>
            <w14:solidFill>
              <w14:schemeClr w14:val="tx1"/>
            </w14:solidFill>
          </w14:textFill>
        </w:rPr>
      </w:pPr>
    </w:p>
    <w:p w14:paraId="017C8BE7">
      <w:pPr>
        <w:pStyle w:val="3"/>
        <w:shd w:val="clear"/>
        <w:ind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目录九、投标需要的其他证明文件及材料</w:t>
      </w:r>
    </w:p>
    <w:p w14:paraId="220FBB1E">
      <w:pPr>
        <w:shd w:val="clear"/>
        <w:ind w:firstLine="0" w:firstLineChars="0"/>
        <w:jc w:val="center"/>
        <w:rPr>
          <w:rFonts w:hint="eastAsia" w:ascii="宋体" w:hAnsi="宋体" w:eastAsia="宋体" w:cs="宋体"/>
          <w:b/>
          <w:bCs/>
          <w:color w:val="000000" w:themeColor="text1"/>
          <w:sz w:val="32"/>
          <w:szCs w:val="28"/>
          <w:highlight w:val="none"/>
          <w14:textFill>
            <w14:solidFill>
              <w14:schemeClr w14:val="tx1"/>
            </w14:solidFill>
          </w14:textFill>
        </w:rPr>
      </w:pPr>
      <w:r>
        <w:rPr>
          <w:rFonts w:hint="eastAsia" w:ascii="宋体" w:hAnsi="宋体" w:eastAsia="宋体" w:cs="宋体"/>
          <w:b/>
          <w:bCs/>
          <w:color w:val="000000" w:themeColor="text1"/>
          <w:sz w:val="32"/>
          <w:szCs w:val="28"/>
          <w:highlight w:val="none"/>
          <w14:textFill>
            <w14:solidFill>
              <w14:schemeClr w14:val="tx1"/>
            </w14:solidFill>
          </w14:textFill>
        </w:rPr>
        <w:t>投标需要的其他证明文件及材料（若有）</w:t>
      </w:r>
    </w:p>
    <w:p w14:paraId="508A2918">
      <w:pPr>
        <w:shd w:val="clear"/>
        <w:ind w:firstLine="482"/>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br w:type="page"/>
      </w:r>
    </w:p>
    <w:p w14:paraId="5F574FBA">
      <w:pPr>
        <w:pStyle w:val="3"/>
        <w:shd w:val="clear"/>
        <w:ind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目录十一、资格性审查响应对照表</w:t>
      </w:r>
    </w:p>
    <w:p w14:paraId="339A782D">
      <w:pPr>
        <w:shd w:val="clear"/>
        <w:ind w:firstLine="0" w:firstLineChars="0"/>
        <w:jc w:val="center"/>
        <w:rPr>
          <w:rFonts w:hint="eastAsia" w:ascii="宋体" w:hAnsi="宋体" w:eastAsia="宋体" w:cs="宋体"/>
          <w:b/>
          <w:bCs/>
          <w:color w:val="000000" w:themeColor="text1"/>
          <w:sz w:val="32"/>
          <w:szCs w:val="28"/>
          <w:highlight w:val="none"/>
          <w14:textFill>
            <w14:solidFill>
              <w14:schemeClr w14:val="tx1"/>
            </w14:solidFill>
          </w14:textFill>
        </w:rPr>
      </w:pPr>
      <w:r>
        <w:rPr>
          <w:rFonts w:hint="eastAsia" w:ascii="宋体" w:hAnsi="宋体" w:eastAsia="宋体" w:cs="宋体"/>
          <w:b/>
          <w:bCs/>
          <w:color w:val="000000" w:themeColor="text1"/>
          <w:sz w:val="32"/>
          <w:szCs w:val="28"/>
          <w:highlight w:val="none"/>
          <w14:textFill>
            <w14:solidFill>
              <w14:schemeClr w14:val="tx1"/>
            </w14:solidFill>
          </w14:textFill>
        </w:rPr>
        <w:t>资格性审查响应对照表</w:t>
      </w:r>
    </w:p>
    <w:p w14:paraId="48011583">
      <w:pPr>
        <w:shd w:val="clear"/>
        <w:ind w:firstLine="480"/>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项目名称：                                   项目编号：</w:t>
      </w:r>
      <w:r>
        <w:rPr>
          <w:rFonts w:hint="eastAsia" w:ascii="宋体" w:hAnsi="宋体" w:eastAsia="宋体" w:cs="宋体"/>
          <w:color w:val="000000" w:themeColor="text1"/>
          <w:highlight w:val="none"/>
          <w:lang w:val="en-US"/>
          <w14:textFill>
            <w14:solidFill>
              <w14:schemeClr w14:val="tx1"/>
            </w14:solidFill>
          </w14:textFill>
        </w:rPr>
        <w:t xml:space="preserve">        采购包号：</w:t>
      </w:r>
    </w:p>
    <w:tbl>
      <w:tblPr>
        <w:tblStyle w:val="28"/>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5186"/>
        <w:gridCol w:w="1941"/>
        <w:gridCol w:w="1785"/>
      </w:tblGrid>
      <w:tr w14:paraId="0CBC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7" w:type="dxa"/>
            <w:vAlign w:val="center"/>
          </w:tcPr>
          <w:p w14:paraId="6CA32126">
            <w:pPr>
              <w:pStyle w:val="90"/>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5186" w:type="dxa"/>
            <w:vAlign w:val="center"/>
          </w:tcPr>
          <w:p w14:paraId="493B917C">
            <w:pPr>
              <w:pStyle w:val="90"/>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资格性审查响应内容</w:t>
            </w:r>
          </w:p>
        </w:tc>
        <w:tc>
          <w:tcPr>
            <w:tcW w:w="1941" w:type="dxa"/>
            <w:vAlign w:val="center"/>
          </w:tcPr>
          <w:p w14:paraId="0D49246E">
            <w:pPr>
              <w:pStyle w:val="90"/>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是否响应</w:t>
            </w:r>
          </w:p>
          <w:p w14:paraId="4A075665">
            <w:pPr>
              <w:pStyle w:val="90"/>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（填是或者否）</w:t>
            </w:r>
          </w:p>
        </w:tc>
        <w:tc>
          <w:tcPr>
            <w:tcW w:w="1785" w:type="dxa"/>
            <w:vAlign w:val="center"/>
          </w:tcPr>
          <w:p w14:paraId="168A30A5">
            <w:pPr>
              <w:pStyle w:val="90"/>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投标文件中的</w:t>
            </w:r>
          </w:p>
          <w:p w14:paraId="4E78D626">
            <w:pPr>
              <w:pStyle w:val="90"/>
              <w:shd w:val="clea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页码位置</w:t>
            </w:r>
          </w:p>
        </w:tc>
      </w:tr>
      <w:tr w14:paraId="3341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7" w:type="dxa"/>
            <w:vAlign w:val="center"/>
          </w:tcPr>
          <w:p w14:paraId="2F59457E">
            <w:pPr>
              <w:pStyle w:val="90"/>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5186" w:type="dxa"/>
            <w:vAlign w:val="center"/>
          </w:tcPr>
          <w:p w14:paraId="0ECBC306">
            <w:pPr>
              <w:pStyle w:val="90"/>
              <w:shd w:val="clear"/>
              <w:rPr>
                <w:rFonts w:hint="eastAsia" w:ascii="宋体" w:hAnsi="宋体" w:eastAsia="宋体" w:cs="宋体"/>
                <w:color w:val="000000" w:themeColor="text1"/>
                <w:highlight w:val="none"/>
                <w14:textFill>
                  <w14:solidFill>
                    <w14:schemeClr w14:val="tx1"/>
                  </w14:solidFill>
                </w14:textFill>
              </w:rPr>
            </w:pPr>
          </w:p>
        </w:tc>
        <w:tc>
          <w:tcPr>
            <w:tcW w:w="1941" w:type="dxa"/>
            <w:vAlign w:val="center"/>
          </w:tcPr>
          <w:p w14:paraId="3A058543">
            <w:pPr>
              <w:pStyle w:val="90"/>
              <w:shd w:val="clear"/>
              <w:rPr>
                <w:rFonts w:hint="eastAsia" w:ascii="宋体" w:hAnsi="宋体" w:eastAsia="宋体" w:cs="宋体"/>
                <w:color w:val="000000" w:themeColor="text1"/>
                <w:highlight w:val="none"/>
                <w14:textFill>
                  <w14:solidFill>
                    <w14:schemeClr w14:val="tx1"/>
                  </w14:solidFill>
                </w14:textFill>
              </w:rPr>
            </w:pPr>
          </w:p>
        </w:tc>
        <w:tc>
          <w:tcPr>
            <w:tcW w:w="1785" w:type="dxa"/>
            <w:vAlign w:val="center"/>
          </w:tcPr>
          <w:p w14:paraId="00D62B25">
            <w:pPr>
              <w:pStyle w:val="90"/>
              <w:shd w:val="clear"/>
              <w:rPr>
                <w:rFonts w:hint="eastAsia" w:ascii="宋体" w:hAnsi="宋体" w:eastAsia="宋体" w:cs="宋体"/>
                <w:color w:val="000000" w:themeColor="text1"/>
                <w:highlight w:val="none"/>
                <w14:textFill>
                  <w14:solidFill>
                    <w14:schemeClr w14:val="tx1"/>
                  </w14:solidFill>
                </w14:textFill>
              </w:rPr>
            </w:pPr>
          </w:p>
        </w:tc>
      </w:tr>
      <w:tr w14:paraId="1965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7" w:type="dxa"/>
            <w:vAlign w:val="center"/>
          </w:tcPr>
          <w:p w14:paraId="7DBDD6A4">
            <w:pPr>
              <w:pStyle w:val="90"/>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5186" w:type="dxa"/>
            <w:vAlign w:val="center"/>
          </w:tcPr>
          <w:p w14:paraId="76E045D4">
            <w:pPr>
              <w:pStyle w:val="90"/>
              <w:shd w:val="clear"/>
              <w:rPr>
                <w:rFonts w:hint="eastAsia" w:ascii="宋体" w:hAnsi="宋体" w:eastAsia="宋体" w:cs="宋体"/>
                <w:color w:val="000000" w:themeColor="text1"/>
                <w:highlight w:val="none"/>
                <w14:textFill>
                  <w14:solidFill>
                    <w14:schemeClr w14:val="tx1"/>
                  </w14:solidFill>
                </w14:textFill>
              </w:rPr>
            </w:pPr>
          </w:p>
        </w:tc>
        <w:tc>
          <w:tcPr>
            <w:tcW w:w="1941" w:type="dxa"/>
            <w:vAlign w:val="center"/>
          </w:tcPr>
          <w:p w14:paraId="14E3BBFF">
            <w:pPr>
              <w:pStyle w:val="90"/>
              <w:shd w:val="clear"/>
              <w:rPr>
                <w:rFonts w:hint="eastAsia" w:ascii="宋体" w:hAnsi="宋体" w:eastAsia="宋体" w:cs="宋体"/>
                <w:color w:val="000000" w:themeColor="text1"/>
                <w:highlight w:val="none"/>
                <w14:textFill>
                  <w14:solidFill>
                    <w14:schemeClr w14:val="tx1"/>
                  </w14:solidFill>
                </w14:textFill>
              </w:rPr>
            </w:pPr>
          </w:p>
        </w:tc>
        <w:tc>
          <w:tcPr>
            <w:tcW w:w="1785" w:type="dxa"/>
            <w:vAlign w:val="center"/>
          </w:tcPr>
          <w:p w14:paraId="7FAFE15A">
            <w:pPr>
              <w:pStyle w:val="90"/>
              <w:shd w:val="clear"/>
              <w:rPr>
                <w:rFonts w:hint="eastAsia" w:ascii="宋体" w:hAnsi="宋体" w:eastAsia="宋体" w:cs="宋体"/>
                <w:color w:val="000000" w:themeColor="text1"/>
                <w:highlight w:val="none"/>
                <w14:textFill>
                  <w14:solidFill>
                    <w14:schemeClr w14:val="tx1"/>
                  </w14:solidFill>
                </w14:textFill>
              </w:rPr>
            </w:pPr>
          </w:p>
        </w:tc>
      </w:tr>
      <w:tr w14:paraId="4F65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7" w:type="dxa"/>
            <w:vAlign w:val="center"/>
          </w:tcPr>
          <w:p w14:paraId="5A14ED9D">
            <w:pPr>
              <w:pStyle w:val="90"/>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p>
        </w:tc>
        <w:tc>
          <w:tcPr>
            <w:tcW w:w="5186" w:type="dxa"/>
            <w:vAlign w:val="center"/>
          </w:tcPr>
          <w:p w14:paraId="6FEC9778">
            <w:pPr>
              <w:pStyle w:val="90"/>
              <w:shd w:val="clear"/>
              <w:rPr>
                <w:rFonts w:hint="eastAsia" w:ascii="宋体" w:hAnsi="宋体" w:eastAsia="宋体" w:cs="宋体"/>
                <w:color w:val="000000" w:themeColor="text1"/>
                <w:highlight w:val="none"/>
                <w14:textFill>
                  <w14:solidFill>
                    <w14:schemeClr w14:val="tx1"/>
                  </w14:solidFill>
                </w14:textFill>
              </w:rPr>
            </w:pPr>
          </w:p>
        </w:tc>
        <w:tc>
          <w:tcPr>
            <w:tcW w:w="1941" w:type="dxa"/>
            <w:vAlign w:val="center"/>
          </w:tcPr>
          <w:p w14:paraId="627BC4F6">
            <w:pPr>
              <w:pStyle w:val="90"/>
              <w:shd w:val="clear"/>
              <w:rPr>
                <w:rFonts w:hint="eastAsia" w:ascii="宋体" w:hAnsi="宋体" w:eastAsia="宋体" w:cs="宋体"/>
                <w:color w:val="000000" w:themeColor="text1"/>
                <w:highlight w:val="none"/>
                <w14:textFill>
                  <w14:solidFill>
                    <w14:schemeClr w14:val="tx1"/>
                  </w14:solidFill>
                </w14:textFill>
              </w:rPr>
            </w:pPr>
          </w:p>
        </w:tc>
        <w:tc>
          <w:tcPr>
            <w:tcW w:w="1785" w:type="dxa"/>
            <w:vAlign w:val="center"/>
          </w:tcPr>
          <w:p w14:paraId="414000A3">
            <w:pPr>
              <w:pStyle w:val="90"/>
              <w:shd w:val="clear"/>
              <w:rPr>
                <w:rFonts w:hint="eastAsia" w:ascii="宋体" w:hAnsi="宋体" w:eastAsia="宋体" w:cs="宋体"/>
                <w:color w:val="000000" w:themeColor="text1"/>
                <w:highlight w:val="none"/>
                <w14:textFill>
                  <w14:solidFill>
                    <w14:schemeClr w14:val="tx1"/>
                  </w14:solidFill>
                </w14:textFill>
              </w:rPr>
            </w:pPr>
          </w:p>
        </w:tc>
      </w:tr>
      <w:tr w14:paraId="4670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7" w:type="dxa"/>
            <w:vAlign w:val="center"/>
          </w:tcPr>
          <w:p w14:paraId="79DFA737">
            <w:pPr>
              <w:pStyle w:val="90"/>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tc>
        <w:tc>
          <w:tcPr>
            <w:tcW w:w="5186" w:type="dxa"/>
            <w:vAlign w:val="center"/>
          </w:tcPr>
          <w:p w14:paraId="141ED5A1">
            <w:pPr>
              <w:pStyle w:val="90"/>
              <w:shd w:val="clear"/>
              <w:rPr>
                <w:rFonts w:hint="eastAsia" w:ascii="宋体" w:hAnsi="宋体" w:eastAsia="宋体" w:cs="宋体"/>
                <w:color w:val="000000" w:themeColor="text1"/>
                <w:highlight w:val="none"/>
                <w14:textFill>
                  <w14:solidFill>
                    <w14:schemeClr w14:val="tx1"/>
                  </w14:solidFill>
                </w14:textFill>
              </w:rPr>
            </w:pPr>
          </w:p>
        </w:tc>
        <w:tc>
          <w:tcPr>
            <w:tcW w:w="1941" w:type="dxa"/>
            <w:vAlign w:val="center"/>
          </w:tcPr>
          <w:p w14:paraId="7DF643A6">
            <w:pPr>
              <w:pStyle w:val="90"/>
              <w:shd w:val="clear"/>
              <w:rPr>
                <w:rFonts w:hint="eastAsia" w:ascii="宋体" w:hAnsi="宋体" w:eastAsia="宋体" w:cs="宋体"/>
                <w:color w:val="000000" w:themeColor="text1"/>
                <w:highlight w:val="none"/>
                <w14:textFill>
                  <w14:solidFill>
                    <w14:schemeClr w14:val="tx1"/>
                  </w14:solidFill>
                </w14:textFill>
              </w:rPr>
            </w:pPr>
          </w:p>
        </w:tc>
        <w:tc>
          <w:tcPr>
            <w:tcW w:w="1785" w:type="dxa"/>
            <w:vAlign w:val="center"/>
          </w:tcPr>
          <w:p w14:paraId="6B8E200D">
            <w:pPr>
              <w:pStyle w:val="90"/>
              <w:shd w:val="clear"/>
              <w:rPr>
                <w:rFonts w:hint="eastAsia" w:ascii="宋体" w:hAnsi="宋体" w:eastAsia="宋体" w:cs="宋体"/>
                <w:color w:val="000000" w:themeColor="text1"/>
                <w:highlight w:val="none"/>
                <w14:textFill>
                  <w14:solidFill>
                    <w14:schemeClr w14:val="tx1"/>
                  </w14:solidFill>
                </w14:textFill>
              </w:rPr>
            </w:pPr>
          </w:p>
        </w:tc>
      </w:tr>
      <w:tr w14:paraId="4368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7" w:type="dxa"/>
            <w:vAlign w:val="center"/>
          </w:tcPr>
          <w:p w14:paraId="676563FB">
            <w:pPr>
              <w:pStyle w:val="90"/>
              <w:shd w:val="clea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tc>
        <w:tc>
          <w:tcPr>
            <w:tcW w:w="5186" w:type="dxa"/>
            <w:vAlign w:val="center"/>
          </w:tcPr>
          <w:p w14:paraId="37B98553">
            <w:pPr>
              <w:pStyle w:val="90"/>
              <w:shd w:val="clear"/>
              <w:rPr>
                <w:rFonts w:hint="eastAsia" w:ascii="宋体" w:hAnsi="宋体" w:eastAsia="宋体" w:cs="宋体"/>
                <w:color w:val="000000" w:themeColor="text1"/>
                <w:highlight w:val="none"/>
                <w14:textFill>
                  <w14:solidFill>
                    <w14:schemeClr w14:val="tx1"/>
                  </w14:solidFill>
                </w14:textFill>
              </w:rPr>
            </w:pPr>
          </w:p>
        </w:tc>
        <w:tc>
          <w:tcPr>
            <w:tcW w:w="1941" w:type="dxa"/>
            <w:vAlign w:val="center"/>
          </w:tcPr>
          <w:p w14:paraId="633CA5A1">
            <w:pPr>
              <w:pStyle w:val="90"/>
              <w:shd w:val="clear"/>
              <w:rPr>
                <w:rFonts w:hint="eastAsia" w:ascii="宋体" w:hAnsi="宋体" w:eastAsia="宋体" w:cs="宋体"/>
                <w:color w:val="000000" w:themeColor="text1"/>
                <w:highlight w:val="none"/>
                <w14:textFill>
                  <w14:solidFill>
                    <w14:schemeClr w14:val="tx1"/>
                  </w14:solidFill>
                </w14:textFill>
              </w:rPr>
            </w:pPr>
          </w:p>
        </w:tc>
        <w:tc>
          <w:tcPr>
            <w:tcW w:w="1785" w:type="dxa"/>
            <w:vAlign w:val="center"/>
          </w:tcPr>
          <w:p w14:paraId="28AB0195">
            <w:pPr>
              <w:pStyle w:val="90"/>
              <w:shd w:val="clear"/>
              <w:rPr>
                <w:rFonts w:hint="eastAsia" w:ascii="宋体" w:hAnsi="宋体" w:eastAsia="宋体" w:cs="宋体"/>
                <w:color w:val="000000" w:themeColor="text1"/>
                <w:highlight w:val="none"/>
                <w14:textFill>
                  <w14:solidFill>
                    <w14:schemeClr w14:val="tx1"/>
                  </w14:solidFill>
                </w14:textFill>
              </w:rPr>
            </w:pPr>
          </w:p>
        </w:tc>
      </w:tr>
    </w:tbl>
    <w:p w14:paraId="652085D1">
      <w:pPr>
        <w:shd w:val="clear"/>
        <w:ind w:firstLine="480"/>
        <w:rPr>
          <w:rFonts w:hint="eastAsia" w:ascii="宋体" w:hAnsi="宋体" w:eastAsia="宋体" w:cs="宋体"/>
          <w:color w:val="000000" w:themeColor="text1"/>
          <w:highlight w:val="none"/>
          <w14:textFill>
            <w14:solidFill>
              <w14:schemeClr w14:val="tx1"/>
            </w14:solidFill>
          </w14:textFill>
        </w:rPr>
      </w:pPr>
    </w:p>
    <w:p w14:paraId="2BBA944B">
      <w:pPr>
        <w:shd w:val="clear"/>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投标人名称：</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（盖章）</w:t>
      </w:r>
    </w:p>
    <w:p w14:paraId="2FD7D445">
      <w:pPr>
        <w:shd w:val="clear"/>
        <w:ind w:firstLine="48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说明：如果行数不够，请自行增加。</w:t>
      </w:r>
      <w:bookmarkStart w:id="41" w:name="_bookmark0"/>
      <w:bookmarkEnd w:id="41"/>
      <w:r>
        <w:rPr>
          <w:rFonts w:hint="eastAsia" w:ascii="宋体" w:hAnsi="宋体" w:eastAsia="宋体" w:cs="宋体"/>
          <w:b/>
          <w:color w:val="000000" w:themeColor="text1"/>
          <w:highlight w:val="none"/>
          <w14:textFill>
            <w14:solidFill>
              <w14:schemeClr w14:val="tx1"/>
            </w14:solidFill>
          </w14:textFill>
        </w:rPr>
        <w:br w:type="page"/>
      </w:r>
    </w:p>
    <w:p w14:paraId="05F71870">
      <w:pPr>
        <w:pStyle w:val="3"/>
        <w:shd w:val="clear"/>
        <w:ind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目录十二、资格证明文件</w:t>
      </w:r>
    </w:p>
    <w:p w14:paraId="73712B18">
      <w:pPr>
        <w:shd w:val="clear"/>
        <w:ind w:firstLine="0" w:firstLineChars="0"/>
        <w:jc w:val="center"/>
        <w:rPr>
          <w:rFonts w:hint="eastAsia" w:ascii="宋体" w:hAnsi="宋体" w:eastAsia="宋体" w:cs="宋体"/>
          <w:b/>
          <w:bCs/>
          <w:color w:val="000000" w:themeColor="text1"/>
          <w:sz w:val="32"/>
          <w:szCs w:val="28"/>
          <w:highlight w:val="none"/>
          <w14:textFill>
            <w14:solidFill>
              <w14:schemeClr w14:val="tx1"/>
            </w14:solidFill>
          </w14:textFill>
        </w:rPr>
      </w:pPr>
      <w:bookmarkStart w:id="42" w:name="_Toc489655335"/>
      <w:r>
        <w:rPr>
          <w:rFonts w:hint="eastAsia" w:ascii="宋体" w:hAnsi="宋体" w:eastAsia="宋体" w:cs="宋体"/>
          <w:b/>
          <w:bCs/>
          <w:color w:val="000000" w:themeColor="text1"/>
          <w:sz w:val="32"/>
          <w:szCs w:val="28"/>
          <w:highlight w:val="none"/>
          <w14:textFill>
            <w14:solidFill>
              <w14:schemeClr w14:val="tx1"/>
            </w14:solidFill>
          </w14:textFill>
        </w:rPr>
        <w:t>资格证明文件</w:t>
      </w:r>
      <w:bookmarkEnd w:id="42"/>
    </w:p>
    <w:p w14:paraId="15B6B6C1">
      <w:pPr>
        <w:pStyle w:val="3"/>
        <w:shd w:val="clear"/>
        <w:ind w:firstLine="482"/>
        <w:rPr>
          <w:rFonts w:hint="eastAsia" w:ascii="宋体" w:hAnsi="宋体" w:eastAsia="宋体" w:cs="宋体"/>
          <w:color w:val="000000" w:themeColor="text1"/>
          <w:highlight w:val="none"/>
          <w:lang w:val="en-US" w:eastAsia="zh-CN"/>
          <w14:textFill>
            <w14:solidFill>
              <w14:schemeClr w14:val="tx1"/>
            </w14:solidFill>
          </w14:textFill>
        </w:rPr>
      </w:pPr>
    </w:p>
    <w:p w14:paraId="6B282A7A">
      <w:pPr>
        <w:pStyle w:val="3"/>
        <w:shd w:val="clear"/>
        <w:ind w:firstLine="482"/>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目录十三、</w:t>
      </w:r>
      <w:r>
        <w:rPr>
          <w:rFonts w:hint="eastAsia" w:ascii="宋体" w:hAnsi="宋体" w:eastAsia="宋体" w:cs="宋体"/>
          <w:color w:val="000000" w:themeColor="text1"/>
          <w:highlight w:val="none"/>
          <w:lang w:val="zh-CN"/>
          <w14:textFill>
            <w14:solidFill>
              <w14:schemeClr w14:val="tx1"/>
            </w14:solidFill>
          </w14:textFill>
        </w:rPr>
        <w:t>《南京市政府采购供应商信用记录表暨信用承诺书》</w:t>
      </w:r>
    </w:p>
    <w:p w14:paraId="0DC2DFC2">
      <w:pPr>
        <w:widowControl/>
        <w:shd w:val="clear"/>
        <w:jc w:val="cente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南京市政府采购供应商信用记录表暨信用承诺书</w:t>
      </w:r>
    </w:p>
    <w:p w14:paraId="6B43E597">
      <w:pPr>
        <w:widowControl/>
        <w:shd w:val="clear"/>
        <w:jc w:val="righ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20   年  月   日</w:t>
      </w:r>
    </w:p>
    <w:p w14:paraId="6AD0A10B">
      <w:pPr>
        <w:widowControl/>
        <w:shd w:val="clear"/>
        <w:rPr>
          <w:rFonts w:hint="eastAsia" w:ascii="宋体" w:hAnsi="宋体" w:cs="宋体"/>
          <w:color w:val="000000" w:themeColor="text1"/>
          <w:sz w:val="28"/>
          <w:szCs w:val="28"/>
          <w:highlight w:val="none"/>
          <w14:textFill>
            <w14:solidFill>
              <w14:schemeClr w14:val="tx1"/>
            </w14:solidFill>
          </w14:textFill>
        </w:rPr>
      </w:pPr>
    </w:p>
    <w:tbl>
      <w:tblPr>
        <w:tblStyle w:val="28"/>
        <w:tblW w:w="986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37"/>
        <w:gridCol w:w="2205"/>
        <w:gridCol w:w="2048"/>
        <w:gridCol w:w="3472"/>
      </w:tblGrid>
      <w:tr w14:paraId="06965F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2137" w:type="dxa"/>
            <w:noWrap w:val="0"/>
            <w:vAlign w:val="center"/>
          </w:tcPr>
          <w:p w14:paraId="18F5C896">
            <w:pPr>
              <w:widowControl/>
              <w:shd w:val="clea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单位名称</w:t>
            </w:r>
          </w:p>
        </w:tc>
        <w:tc>
          <w:tcPr>
            <w:tcW w:w="2205" w:type="dxa"/>
            <w:noWrap w:val="0"/>
            <w:vAlign w:val="center"/>
          </w:tcPr>
          <w:p w14:paraId="54BD80A0">
            <w:pPr>
              <w:widowControl/>
              <w:shd w:val="clear"/>
              <w:rPr>
                <w:rFonts w:hint="eastAsia" w:ascii="宋体" w:hAnsi="宋体" w:cs="宋体"/>
                <w:b/>
                <w:bCs/>
                <w:color w:val="000000" w:themeColor="text1"/>
                <w:sz w:val="28"/>
                <w:szCs w:val="28"/>
                <w:highlight w:val="none"/>
                <w14:textFill>
                  <w14:solidFill>
                    <w14:schemeClr w14:val="tx1"/>
                  </w14:solidFill>
                </w14:textFill>
              </w:rPr>
            </w:pPr>
          </w:p>
        </w:tc>
        <w:tc>
          <w:tcPr>
            <w:tcW w:w="2048" w:type="dxa"/>
            <w:noWrap w:val="0"/>
            <w:vAlign w:val="center"/>
          </w:tcPr>
          <w:p w14:paraId="0A670144">
            <w:pPr>
              <w:widowControl/>
              <w:shd w:val="clea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统一社会信用代码</w:t>
            </w:r>
          </w:p>
        </w:tc>
        <w:tc>
          <w:tcPr>
            <w:tcW w:w="3472" w:type="dxa"/>
            <w:noWrap w:val="0"/>
            <w:vAlign w:val="center"/>
          </w:tcPr>
          <w:p w14:paraId="66402F44">
            <w:pPr>
              <w:widowControl/>
              <w:shd w:val="clear"/>
              <w:rPr>
                <w:rFonts w:hint="eastAsia" w:ascii="宋体" w:hAnsi="宋体" w:cs="宋体"/>
                <w:b/>
                <w:bCs/>
                <w:color w:val="000000" w:themeColor="text1"/>
                <w:sz w:val="28"/>
                <w:szCs w:val="28"/>
                <w:highlight w:val="none"/>
                <w14:textFill>
                  <w14:solidFill>
                    <w14:schemeClr w14:val="tx1"/>
                  </w14:solidFill>
                </w14:textFill>
              </w:rPr>
            </w:pPr>
          </w:p>
        </w:tc>
      </w:tr>
      <w:tr w14:paraId="434517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2137" w:type="dxa"/>
            <w:noWrap w:val="0"/>
            <w:vAlign w:val="center"/>
          </w:tcPr>
          <w:p w14:paraId="26F0DACE">
            <w:pPr>
              <w:widowControl/>
              <w:shd w:val="clea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法定代表人</w:t>
            </w:r>
          </w:p>
        </w:tc>
        <w:tc>
          <w:tcPr>
            <w:tcW w:w="2205" w:type="dxa"/>
            <w:noWrap w:val="0"/>
            <w:vAlign w:val="center"/>
          </w:tcPr>
          <w:p w14:paraId="1F1B8B70">
            <w:pPr>
              <w:widowControl/>
              <w:shd w:val="clear"/>
              <w:rPr>
                <w:rFonts w:hint="eastAsia" w:ascii="宋体" w:hAnsi="宋体" w:cs="宋体"/>
                <w:b/>
                <w:bCs/>
                <w:color w:val="000000" w:themeColor="text1"/>
                <w:sz w:val="28"/>
                <w:szCs w:val="28"/>
                <w:highlight w:val="none"/>
                <w14:textFill>
                  <w14:solidFill>
                    <w14:schemeClr w14:val="tx1"/>
                  </w14:solidFill>
                </w14:textFill>
              </w:rPr>
            </w:pPr>
          </w:p>
        </w:tc>
        <w:tc>
          <w:tcPr>
            <w:tcW w:w="2048" w:type="dxa"/>
            <w:noWrap w:val="0"/>
            <w:vAlign w:val="center"/>
          </w:tcPr>
          <w:p w14:paraId="4B26608E">
            <w:pPr>
              <w:widowControl/>
              <w:shd w:val="clea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联系人</w:t>
            </w:r>
          </w:p>
        </w:tc>
        <w:tc>
          <w:tcPr>
            <w:tcW w:w="3472" w:type="dxa"/>
            <w:noWrap w:val="0"/>
            <w:vAlign w:val="center"/>
          </w:tcPr>
          <w:p w14:paraId="7028B6FE">
            <w:pPr>
              <w:widowControl/>
              <w:shd w:val="clear"/>
              <w:rPr>
                <w:rFonts w:hint="eastAsia" w:ascii="宋体" w:hAnsi="宋体" w:cs="宋体"/>
                <w:b/>
                <w:bCs/>
                <w:color w:val="000000" w:themeColor="text1"/>
                <w:sz w:val="28"/>
                <w:szCs w:val="28"/>
                <w:highlight w:val="none"/>
                <w14:textFill>
                  <w14:solidFill>
                    <w14:schemeClr w14:val="tx1"/>
                  </w14:solidFill>
                </w14:textFill>
              </w:rPr>
            </w:pPr>
          </w:p>
        </w:tc>
      </w:tr>
      <w:tr w14:paraId="04260C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2137" w:type="dxa"/>
            <w:noWrap w:val="0"/>
            <w:vAlign w:val="center"/>
          </w:tcPr>
          <w:p w14:paraId="25E5107F">
            <w:pPr>
              <w:widowControl/>
              <w:shd w:val="clea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联系地址</w:t>
            </w:r>
          </w:p>
        </w:tc>
        <w:tc>
          <w:tcPr>
            <w:tcW w:w="2205" w:type="dxa"/>
            <w:noWrap w:val="0"/>
            <w:vAlign w:val="center"/>
          </w:tcPr>
          <w:p w14:paraId="1DCBF6B0">
            <w:pPr>
              <w:widowControl/>
              <w:shd w:val="clear"/>
              <w:rPr>
                <w:rFonts w:hint="eastAsia" w:ascii="宋体" w:hAnsi="宋体" w:cs="宋体"/>
                <w:b/>
                <w:bCs/>
                <w:color w:val="000000" w:themeColor="text1"/>
                <w:sz w:val="28"/>
                <w:szCs w:val="28"/>
                <w:highlight w:val="none"/>
                <w14:textFill>
                  <w14:solidFill>
                    <w14:schemeClr w14:val="tx1"/>
                  </w14:solidFill>
                </w14:textFill>
              </w:rPr>
            </w:pPr>
          </w:p>
        </w:tc>
        <w:tc>
          <w:tcPr>
            <w:tcW w:w="2048" w:type="dxa"/>
            <w:noWrap w:val="0"/>
            <w:vAlign w:val="center"/>
          </w:tcPr>
          <w:p w14:paraId="520BBDB7">
            <w:pPr>
              <w:widowControl/>
              <w:shd w:val="clea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联系电话</w:t>
            </w:r>
          </w:p>
        </w:tc>
        <w:tc>
          <w:tcPr>
            <w:tcW w:w="3472" w:type="dxa"/>
            <w:noWrap w:val="0"/>
            <w:vAlign w:val="center"/>
          </w:tcPr>
          <w:p w14:paraId="02877732">
            <w:pPr>
              <w:widowControl/>
              <w:shd w:val="clear"/>
              <w:rPr>
                <w:rFonts w:hint="eastAsia" w:ascii="宋体" w:hAnsi="宋体" w:cs="宋体"/>
                <w:b/>
                <w:bCs/>
                <w:color w:val="000000" w:themeColor="text1"/>
                <w:sz w:val="28"/>
                <w:szCs w:val="28"/>
                <w:highlight w:val="none"/>
                <w14:textFill>
                  <w14:solidFill>
                    <w14:schemeClr w14:val="tx1"/>
                  </w14:solidFill>
                </w14:textFill>
              </w:rPr>
            </w:pPr>
          </w:p>
        </w:tc>
      </w:tr>
      <w:tr w14:paraId="05CEF4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0" w:hRule="atLeast"/>
          <w:jc w:val="center"/>
        </w:trPr>
        <w:tc>
          <w:tcPr>
            <w:tcW w:w="2137" w:type="dxa"/>
            <w:noWrap w:val="0"/>
            <w:vAlign w:val="center"/>
          </w:tcPr>
          <w:p w14:paraId="0F0D73AB">
            <w:pPr>
              <w:widowControl/>
              <w:shd w:val="clea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诚信档案记录情况</w:t>
            </w:r>
          </w:p>
        </w:tc>
        <w:tc>
          <w:tcPr>
            <w:tcW w:w="7725" w:type="dxa"/>
            <w:gridSpan w:val="3"/>
            <w:noWrap w:val="0"/>
            <w:vAlign w:val="center"/>
          </w:tcPr>
          <w:p w14:paraId="68163B3A">
            <w:pPr>
              <w:widowControl/>
              <w:shd w:val="clear"/>
              <w:rPr>
                <w:rFonts w:hint="eastAsia" w:ascii="宋体" w:hAnsi="宋体" w:cs="宋体"/>
                <w:b/>
                <w:bCs/>
                <w:color w:val="000000" w:themeColor="text1"/>
                <w:sz w:val="28"/>
                <w:szCs w:val="28"/>
                <w:highlight w:val="none"/>
                <w14:textFill>
                  <w14:solidFill>
                    <w14:schemeClr w14:val="tx1"/>
                  </w14:solidFill>
                </w14:textFill>
              </w:rPr>
            </w:pPr>
          </w:p>
        </w:tc>
      </w:tr>
      <w:tr w14:paraId="16D28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75" w:hRule="atLeast"/>
          <w:jc w:val="center"/>
        </w:trPr>
        <w:tc>
          <w:tcPr>
            <w:tcW w:w="2137" w:type="dxa"/>
            <w:vMerge w:val="restart"/>
            <w:noWrap w:val="0"/>
            <w:vAlign w:val="center"/>
          </w:tcPr>
          <w:p w14:paraId="6D3858D2">
            <w:pPr>
              <w:widowControl/>
              <w:shd w:val="clear"/>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信用承诺</w:t>
            </w:r>
          </w:p>
        </w:tc>
        <w:tc>
          <w:tcPr>
            <w:tcW w:w="7725" w:type="dxa"/>
            <w:gridSpan w:val="3"/>
            <w:noWrap w:val="0"/>
            <w:vAlign w:val="center"/>
          </w:tcPr>
          <w:p w14:paraId="3D0F1908">
            <w:pPr>
              <w:widowControl/>
              <w:shd w:val="clear"/>
              <w:ind w:left="42" w:firstLine="56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我公司自愿参加贵中心（公司）组织的本次采购活动，严格遵守《中华人民共和国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tc>
      </w:tr>
      <w:tr w14:paraId="63C867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45" w:hRule="atLeast"/>
          <w:jc w:val="center"/>
        </w:trPr>
        <w:tc>
          <w:tcPr>
            <w:tcW w:w="2137" w:type="dxa"/>
            <w:vMerge w:val="continue"/>
            <w:noWrap w:val="0"/>
            <w:vAlign w:val="center"/>
          </w:tcPr>
          <w:p w14:paraId="66425988">
            <w:pPr>
              <w:widowControl/>
              <w:shd w:val="clear"/>
              <w:rPr>
                <w:rFonts w:hint="eastAsia" w:ascii="宋体" w:hAnsi="宋体" w:cs="宋体"/>
                <w:color w:val="000000" w:themeColor="text1"/>
                <w:sz w:val="28"/>
                <w:szCs w:val="28"/>
                <w:highlight w:val="none"/>
                <w14:textFill>
                  <w14:solidFill>
                    <w14:schemeClr w14:val="tx1"/>
                  </w14:solidFill>
                </w14:textFill>
              </w:rPr>
            </w:pPr>
          </w:p>
        </w:tc>
        <w:tc>
          <w:tcPr>
            <w:tcW w:w="7725" w:type="dxa"/>
            <w:gridSpan w:val="3"/>
            <w:noWrap w:val="0"/>
            <w:vAlign w:val="center"/>
          </w:tcPr>
          <w:p w14:paraId="4FD68018">
            <w:pPr>
              <w:widowControl/>
              <w:shd w:val="clear"/>
              <w:ind w:left="378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供应商名称（盖章）∶</w:t>
            </w:r>
          </w:p>
          <w:p w14:paraId="4F95B5E5">
            <w:pPr>
              <w:widowControl/>
              <w:shd w:val="clear"/>
              <w:ind w:left="378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法定代表人（签字）∶</w:t>
            </w:r>
          </w:p>
          <w:p w14:paraId="442EF894">
            <w:pPr>
              <w:widowControl/>
              <w:shd w:val="clear"/>
              <w:ind w:left="378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二O  年  月  日</w:t>
            </w:r>
          </w:p>
        </w:tc>
      </w:tr>
    </w:tbl>
    <w:p w14:paraId="77D4712D">
      <w:pPr>
        <w:shd w:val="clear"/>
        <w:spacing w:before="50" w:after="50"/>
        <w:ind w:firstLine="275"/>
        <w:rPr>
          <w:rFonts w:hint="eastAsia" w:ascii="宋体" w:hAnsi="宋体" w:cs="宋体"/>
          <w:b/>
          <w:color w:val="000000" w:themeColor="text1"/>
          <w:sz w:val="28"/>
          <w:szCs w:val="28"/>
          <w:highlight w:val="none"/>
          <w14:textFill>
            <w14:solidFill>
              <w14:schemeClr w14:val="tx1"/>
            </w14:solidFill>
          </w14:textFill>
        </w:rPr>
      </w:pPr>
    </w:p>
    <w:p w14:paraId="2C4BAAC6">
      <w:pPr>
        <w:shd w:val="clear"/>
        <w:spacing w:line="360" w:lineRule="auto"/>
        <w:jc w:val="left"/>
        <w:rPr>
          <w:rFonts w:hint="eastAsia" w:ascii="宋体" w:hAnsi="宋体" w:eastAsia="宋体" w:cs="宋体"/>
          <w:color w:val="000000" w:themeColor="text1"/>
          <w:highlight w:val="none"/>
          <w14:textFill>
            <w14:solidFill>
              <w14:schemeClr w14:val="tx1"/>
            </w14:solidFill>
          </w14:textFill>
        </w:rPr>
      </w:pPr>
      <w:r>
        <w:rPr>
          <w:rFonts w:hint="eastAsia" w:cs="宋体"/>
          <w:b w:val="0"/>
          <w:bCs w:val="0"/>
          <w:color w:val="000000" w:themeColor="text1"/>
          <w:sz w:val="21"/>
          <w:szCs w:val="21"/>
          <w:highlight w:val="none"/>
          <w:lang w:eastAsia="zh-CN"/>
          <w14:textFill>
            <w14:solidFill>
              <w14:schemeClr w14:val="tx1"/>
            </w14:solidFill>
          </w14:textFill>
        </w:rPr>
        <w:t>注：上表</w:t>
      </w:r>
      <w:r>
        <w:rPr>
          <w:rFonts w:hint="eastAsia" w:ascii="宋体" w:hAnsi="宋体" w:cs="宋体"/>
          <w:b w:val="0"/>
          <w:bCs w:val="0"/>
          <w:color w:val="000000" w:themeColor="text1"/>
          <w:sz w:val="21"/>
          <w:szCs w:val="21"/>
          <w:highlight w:val="none"/>
          <w14:textFill>
            <w14:solidFill>
              <w14:schemeClr w14:val="tx1"/>
            </w14:solidFill>
          </w14:textFill>
        </w:rPr>
        <w:t>仅为示范格式，直接填写无效，需至“南京政府采购供应商诚信档案管理系统”在线打印</w:t>
      </w:r>
      <w:r>
        <w:rPr>
          <w:rFonts w:hint="eastAsia" w:cs="宋体"/>
          <w:b w:val="0"/>
          <w:bCs w:val="0"/>
          <w:color w:val="000000" w:themeColor="text1"/>
          <w:sz w:val="21"/>
          <w:szCs w:val="21"/>
          <w:highlight w:val="none"/>
          <w:lang w:eastAsia="zh-CN"/>
          <w14:textFill>
            <w14:solidFill>
              <w14:schemeClr w14:val="tx1"/>
            </w14:solidFill>
          </w14:textFill>
        </w:rPr>
        <w:t>。</w:t>
      </w:r>
    </w:p>
    <w:bookmarkEnd w:id="43"/>
    <w:sectPr>
      <w:headerReference r:id="rId9" w:type="first"/>
      <w:footerReference r:id="rId12" w:type="first"/>
      <w:headerReference r:id="rId7" w:type="default"/>
      <w:footerReference r:id="rId10" w:type="default"/>
      <w:headerReference r:id="rId8" w:type="even"/>
      <w:footerReference r:id="rId11" w:type="even"/>
      <w:pgSz w:w="11910" w:h="16840"/>
      <w:pgMar w:top="1417" w:right="1080" w:bottom="1417" w:left="1080" w:header="794" w:footer="96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FDFC2">
    <w:pPr>
      <w:pStyle w:val="18"/>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11" name="文本框 1028"/>
              <wp:cNvGraphicFramePr/>
              <a:graphic xmlns:a="http://schemas.openxmlformats.org/drawingml/2006/main">
                <a:graphicData uri="http://schemas.microsoft.com/office/word/2010/wordprocessingShape">
                  <wps:wsp>
                    <wps:cNvSpPr>
                      <a:spLocks noChangeArrowheads="1"/>
                    </wps:cNvSpPr>
                    <wps:spPr>
                      <a:xfrm>
                        <a:off x="0" y="0"/>
                        <a:ext cx="972185" cy="147955"/>
                      </a:xfrm>
                      <a:prstGeom prst="rect">
                        <a:avLst/>
                      </a:prstGeom>
                      <a:noFill/>
                      <a:ln>
                        <a:noFill/>
                      </a:ln>
                      <a:effectLst/>
                    </wps:spPr>
                    <wps:txbx>
                      <w:txbxContent>
                        <w:p w14:paraId="4DFAFDEF">
                          <w:pPr>
                            <w:pStyle w:val="18"/>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wrap="none" lIns="0" tIns="0" rIns="0" bIns="0">
                      <a:spAutoFit/>
                    </wps:bodyPr>
                  </wps:wsp>
                </a:graphicData>
              </a:graphic>
            </wp:anchor>
          </w:drawing>
        </mc:Choice>
        <mc:Fallback>
          <w:pict>
            <v:rect id="文本框 1028" o:spid="_x0000_s1026" o:spt="1"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x1U4e0gAAAAQBAAAPAAAA&#10;AAAAAAEAIAAAACIAAABkcnMvZG93bnJldi54bWxQSwECFAAUAAAACACHTuJAjp1dJ+IBAADDAwAA&#10;DgAAAAAAAAABACAAAAAhAQAAZHJzL2Uyb0RvYy54bWxQSwUGAAAAAAYABgBZAQAAdQUAAAAA&#10;">
              <v:fill on="f" focussize="0,0"/>
              <v:stroke on="f"/>
              <v:imagedata o:title=""/>
              <o:lock v:ext="edit" aspectratio="f"/>
              <v:textbox inset="0mm,0mm,0mm,0mm" style="mso-fit-shape-to-text:t;">
                <w:txbxContent>
                  <w:p w14:paraId="4DFAFDEF">
                    <w:pPr>
                      <w:pStyle w:val="18"/>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159A5">
    <w:pPr>
      <w:pStyle w:val="18"/>
      <w:ind w:firstLine="360"/>
      <w:jc w:val="center"/>
    </w:pPr>
    <w:r>
      <w:rPr>
        <w:rFonts w:hint="eastAsia"/>
      </w:rPr>
      <w:t>第</w:t>
    </w:r>
    <w:r>
      <w:fldChar w:fldCharType="begin"/>
    </w:r>
    <w:r>
      <w:instrText xml:space="preserve"> PAGE  \* Arabic  \* MERGEFORMAT </w:instrText>
    </w:r>
    <w:r>
      <w:fldChar w:fldCharType="separate"/>
    </w:r>
    <w:r>
      <w:t>4</w:t>
    </w:r>
    <w:r>
      <w:fldChar w:fldCharType="end"/>
    </w:r>
    <w:r>
      <w:rPr>
        <w:rFonts w:hint="eastAsia"/>
      </w:rPr>
      <w:t>页共</w:t>
    </w:r>
    <w:r>
      <w:fldChar w:fldCharType="begin"/>
    </w:r>
    <w:r>
      <w:instrText xml:space="preserve"> NUMPAGES  \* Arabic  \* MERGEFORMAT </w:instrText>
    </w:r>
    <w:r>
      <w:fldChar w:fldCharType="separate"/>
    </w:r>
    <w:r>
      <w:t>67</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0118C">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BFE4D">
    <w:pPr>
      <w:pStyle w:val="1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92B75">
    <w:pPr>
      <w:pStyle w:val="20"/>
      <w:pBdr>
        <w:bottom w:val="single" w:color="auto" w:sz="4"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F29D2">
    <w:pPr>
      <w:pStyle w:val="20"/>
      <w:ind w:firstLine="0" w:firstLineChars="0"/>
      <w:jc w:val="left"/>
    </w:pPr>
    <w:r>
      <w:rPr>
        <w:rFonts w:hint="eastAsia" w:ascii="微软雅黑" w:hAnsi="微软雅黑" w:eastAsia="微软雅黑"/>
        <w:b/>
        <w:bCs/>
      </w:rPr>
      <w:t xml:space="preserve">                      </w:t>
    </w:r>
    <w:r>
      <w:rPr>
        <w:rFonts w:hint="eastAsia" w:ascii="微软雅黑" w:hAnsi="微软雅黑" w:eastAsia="微软雅黑"/>
        <w:b/>
        <w:bCs/>
        <w:lang w:val="en-US"/>
      </w:rPr>
      <w:t xml:space="preserve">             </w:t>
    </w:r>
    <w:r>
      <w:rPr>
        <w:rFonts w:hint="eastAsia" w:ascii="微软雅黑" w:hAnsi="微软雅黑" w:eastAsia="微软雅黑"/>
        <w:b/>
        <w:bC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73F8A">
    <w:pPr>
      <w:pStyle w:val="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D53E3">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493061"/>
    <w:multiLevelType w:val="multilevel"/>
    <w:tmpl w:val="7249306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LeaveBackslashAlone/>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006C07B8"/>
    <w:rsid w:val="000363EB"/>
    <w:rsid w:val="00043708"/>
    <w:rsid w:val="000527D5"/>
    <w:rsid w:val="000B28F6"/>
    <w:rsid w:val="001965CB"/>
    <w:rsid w:val="0025708B"/>
    <w:rsid w:val="00277AE5"/>
    <w:rsid w:val="0028170C"/>
    <w:rsid w:val="002A7989"/>
    <w:rsid w:val="0031491F"/>
    <w:rsid w:val="00342B20"/>
    <w:rsid w:val="00365E6E"/>
    <w:rsid w:val="00377B2D"/>
    <w:rsid w:val="003800D7"/>
    <w:rsid w:val="00382DEE"/>
    <w:rsid w:val="00386882"/>
    <w:rsid w:val="003C0048"/>
    <w:rsid w:val="003C0512"/>
    <w:rsid w:val="00487386"/>
    <w:rsid w:val="004A4B00"/>
    <w:rsid w:val="004E43BF"/>
    <w:rsid w:val="00550252"/>
    <w:rsid w:val="00551A98"/>
    <w:rsid w:val="005757E1"/>
    <w:rsid w:val="0059705E"/>
    <w:rsid w:val="005B52EC"/>
    <w:rsid w:val="00660242"/>
    <w:rsid w:val="00693AE9"/>
    <w:rsid w:val="006A2F3F"/>
    <w:rsid w:val="006C07B8"/>
    <w:rsid w:val="00705034"/>
    <w:rsid w:val="007333F5"/>
    <w:rsid w:val="00761211"/>
    <w:rsid w:val="00785CCB"/>
    <w:rsid w:val="007D384F"/>
    <w:rsid w:val="007D754D"/>
    <w:rsid w:val="007F2BE8"/>
    <w:rsid w:val="00810921"/>
    <w:rsid w:val="00843285"/>
    <w:rsid w:val="00870686"/>
    <w:rsid w:val="008A052F"/>
    <w:rsid w:val="008C59E7"/>
    <w:rsid w:val="008D3BE5"/>
    <w:rsid w:val="00903D7F"/>
    <w:rsid w:val="00914C5E"/>
    <w:rsid w:val="00930726"/>
    <w:rsid w:val="00963570"/>
    <w:rsid w:val="00A375D8"/>
    <w:rsid w:val="00A42231"/>
    <w:rsid w:val="00A80BE5"/>
    <w:rsid w:val="00AA7010"/>
    <w:rsid w:val="00B43D21"/>
    <w:rsid w:val="00B602E8"/>
    <w:rsid w:val="00B661B5"/>
    <w:rsid w:val="00B811F5"/>
    <w:rsid w:val="00B947FD"/>
    <w:rsid w:val="00C821C4"/>
    <w:rsid w:val="00C97A1B"/>
    <w:rsid w:val="00CB5BA0"/>
    <w:rsid w:val="00CD040A"/>
    <w:rsid w:val="00D0696E"/>
    <w:rsid w:val="00D56B6D"/>
    <w:rsid w:val="00D64AE1"/>
    <w:rsid w:val="00D7170A"/>
    <w:rsid w:val="00E04CA5"/>
    <w:rsid w:val="00E60BE6"/>
    <w:rsid w:val="00ED13AC"/>
    <w:rsid w:val="00F10C84"/>
    <w:rsid w:val="00F44820"/>
    <w:rsid w:val="00F90111"/>
    <w:rsid w:val="00F961C5"/>
    <w:rsid w:val="00FE5D79"/>
    <w:rsid w:val="00FE6C42"/>
    <w:rsid w:val="01620AC6"/>
    <w:rsid w:val="01BE7323"/>
    <w:rsid w:val="021E27CC"/>
    <w:rsid w:val="02AD361F"/>
    <w:rsid w:val="03247A18"/>
    <w:rsid w:val="037078AA"/>
    <w:rsid w:val="04FA2D68"/>
    <w:rsid w:val="0579427F"/>
    <w:rsid w:val="05A21435"/>
    <w:rsid w:val="05A607FA"/>
    <w:rsid w:val="06021ED4"/>
    <w:rsid w:val="060A67D9"/>
    <w:rsid w:val="06163BD1"/>
    <w:rsid w:val="068E3B1D"/>
    <w:rsid w:val="06F45911"/>
    <w:rsid w:val="074455BF"/>
    <w:rsid w:val="07465DF0"/>
    <w:rsid w:val="075B34AE"/>
    <w:rsid w:val="0924138E"/>
    <w:rsid w:val="09F45FD8"/>
    <w:rsid w:val="09F90EB5"/>
    <w:rsid w:val="0A6A629A"/>
    <w:rsid w:val="0A892BC4"/>
    <w:rsid w:val="0B541DBC"/>
    <w:rsid w:val="0BCF0AAA"/>
    <w:rsid w:val="0BE30372"/>
    <w:rsid w:val="0C152235"/>
    <w:rsid w:val="0C1D3AC8"/>
    <w:rsid w:val="0D274B1B"/>
    <w:rsid w:val="0D8F5E9B"/>
    <w:rsid w:val="0DF06AB6"/>
    <w:rsid w:val="0E0367E9"/>
    <w:rsid w:val="0E3031CD"/>
    <w:rsid w:val="0E326BA2"/>
    <w:rsid w:val="0E611762"/>
    <w:rsid w:val="10394744"/>
    <w:rsid w:val="10D44F9F"/>
    <w:rsid w:val="118916FB"/>
    <w:rsid w:val="11C314B3"/>
    <w:rsid w:val="11F1104F"/>
    <w:rsid w:val="121627E8"/>
    <w:rsid w:val="126E2443"/>
    <w:rsid w:val="12A165D1"/>
    <w:rsid w:val="135C5C23"/>
    <w:rsid w:val="135E2714"/>
    <w:rsid w:val="137912FC"/>
    <w:rsid w:val="13BB1914"/>
    <w:rsid w:val="13EC5F71"/>
    <w:rsid w:val="14643D5A"/>
    <w:rsid w:val="14C8078D"/>
    <w:rsid w:val="14D7277E"/>
    <w:rsid w:val="14FB646C"/>
    <w:rsid w:val="15D953DD"/>
    <w:rsid w:val="15E2762C"/>
    <w:rsid w:val="1606273F"/>
    <w:rsid w:val="168129A1"/>
    <w:rsid w:val="169B60BC"/>
    <w:rsid w:val="16B01160"/>
    <w:rsid w:val="17601F74"/>
    <w:rsid w:val="178D623F"/>
    <w:rsid w:val="17944956"/>
    <w:rsid w:val="17AD77C6"/>
    <w:rsid w:val="17C83153"/>
    <w:rsid w:val="17E67998"/>
    <w:rsid w:val="180E140F"/>
    <w:rsid w:val="18251A52"/>
    <w:rsid w:val="183A374F"/>
    <w:rsid w:val="18990547"/>
    <w:rsid w:val="189A41EE"/>
    <w:rsid w:val="18AE1A47"/>
    <w:rsid w:val="190A1374"/>
    <w:rsid w:val="19310B57"/>
    <w:rsid w:val="1A037B71"/>
    <w:rsid w:val="1A0F4768"/>
    <w:rsid w:val="1A436A27"/>
    <w:rsid w:val="1B43350B"/>
    <w:rsid w:val="1B5978AE"/>
    <w:rsid w:val="1C0C5403"/>
    <w:rsid w:val="1C3B7FB7"/>
    <w:rsid w:val="1C5E01EB"/>
    <w:rsid w:val="1D631052"/>
    <w:rsid w:val="1D66769D"/>
    <w:rsid w:val="1D756FD8"/>
    <w:rsid w:val="1D7C713F"/>
    <w:rsid w:val="1DFE48E1"/>
    <w:rsid w:val="1E4A2212"/>
    <w:rsid w:val="1E7A4533"/>
    <w:rsid w:val="1E9D0594"/>
    <w:rsid w:val="1EE07FAC"/>
    <w:rsid w:val="1F486752"/>
    <w:rsid w:val="1F855BB8"/>
    <w:rsid w:val="1F9279CD"/>
    <w:rsid w:val="1FB10F53"/>
    <w:rsid w:val="20E57263"/>
    <w:rsid w:val="20EA55E7"/>
    <w:rsid w:val="20EC135F"/>
    <w:rsid w:val="21352D06"/>
    <w:rsid w:val="213953F3"/>
    <w:rsid w:val="21AF0D0A"/>
    <w:rsid w:val="21AF1149"/>
    <w:rsid w:val="220F465B"/>
    <w:rsid w:val="224D22D1"/>
    <w:rsid w:val="225B2C40"/>
    <w:rsid w:val="22F95FB5"/>
    <w:rsid w:val="23606E42"/>
    <w:rsid w:val="24042E63"/>
    <w:rsid w:val="24916323"/>
    <w:rsid w:val="24BC729A"/>
    <w:rsid w:val="250E32C5"/>
    <w:rsid w:val="252A06A8"/>
    <w:rsid w:val="25B11864"/>
    <w:rsid w:val="268D7140"/>
    <w:rsid w:val="26CD709A"/>
    <w:rsid w:val="26D134D1"/>
    <w:rsid w:val="26EA4592"/>
    <w:rsid w:val="26FD42C6"/>
    <w:rsid w:val="27286E69"/>
    <w:rsid w:val="27363334"/>
    <w:rsid w:val="27983FEE"/>
    <w:rsid w:val="281C0C36"/>
    <w:rsid w:val="285F2003"/>
    <w:rsid w:val="28697739"/>
    <w:rsid w:val="295F1914"/>
    <w:rsid w:val="29CD4916"/>
    <w:rsid w:val="2AEA6EEB"/>
    <w:rsid w:val="2BAF7B59"/>
    <w:rsid w:val="2BEC4909"/>
    <w:rsid w:val="2BF06D58"/>
    <w:rsid w:val="2CD77367"/>
    <w:rsid w:val="2CD95027"/>
    <w:rsid w:val="2D0C4506"/>
    <w:rsid w:val="2D3539B7"/>
    <w:rsid w:val="2D5A7455"/>
    <w:rsid w:val="2DB40AEB"/>
    <w:rsid w:val="2E8A0FF7"/>
    <w:rsid w:val="2E92444C"/>
    <w:rsid w:val="2F462582"/>
    <w:rsid w:val="2F4B5DEA"/>
    <w:rsid w:val="30B83D2A"/>
    <w:rsid w:val="30CC121C"/>
    <w:rsid w:val="30ED7159"/>
    <w:rsid w:val="3112096E"/>
    <w:rsid w:val="31615451"/>
    <w:rsid w:val="31BA06E0"/>
    <w:rsid w:val="31FC60CF"/>
    <w:rsid w:val="32A01FA9"/>
    <w:rsid w:val="3341553A"/>
    <w:rsid w:val="334B0336"/>
    <w:rsid w:val="337A0A4C"/>
    <w:rsid w:val="33B26438"/>
    <w:rsid w:val="34911C6B"/>
    <w:rsid w:val="34AF2977"/>
    <w:rsid w:val="34DD1293"/>
    <w:rsid w:val="34FA1E45"/>
    <w:rsid w:val="35337105"/>
    <w:rsid w:val="359E6C74"/>
    <w:rsid w:val="35AA6E05"/>
    <w:rsid w:val="35BB19E2"/>
    <w:rsid w:val="367B0D63"/>
    <w:rsid w:val="369D49C9"/>
    <w:rsid w:val="36A93B22"/>
    <w:rsid w:val="36AD0757"/>
    <w:rsid w:val="36E44B5A"/>
    <w:rsid w:val="36F666FD"/>
    <w:rsid w:val="371B2546"/>
    <w:rsid w:val="372238D5"/>
    <w:rsid w:val="37AE6F16"/>
    <w:rsid w:val="383E4B44"/>
    <w:rsid w:val="38AC16A8"/>
    <w:rsid w:val="392161DB"/>
    <w:rsid w:val="395F496C"/>
    <w:rsid w:val="3A563FC1"/>
    <w:rsid w:val="3A6C05AB"/>
    <w:rsid w:val="3A7A2BF8"/>
    <w:rsid w:val="3AA30888"/>
    <w:rsid w:val="3C8446EA"/>
    <w:rsid w:val="3CE533DA"/>
    <w:rsid w:val="3D1E744E"/>
    <w:rsid w:val="3E043D34"/>
    <w:rsid w:val="3E1201FF"/>
    <w:rsid w:val="3E163127"/>
    <w:rsid w:val="3E281D66"/>
    <w:rsid w:val="3E42660A"/>
    <w:rsid w:val="3E90381A"/>
    <w:rsid w:val="3EB5346B"/>
    <w:rsid w:val="3EE85404"/>
    <w:rsid w:val="3F057077"/>
    <w:rsid w:val="3F746C97"/>
    <w:rsid w:val="40760F1D"/>
    <w:rsid w:val="409F5F96"/>
    <w:rsid w:val="4135208B"/>
    <w:rsid w:val="41436921"/>
    <w:rsid w:val="41720FB5"/>
    <w:rsid w:val="41D4552E"/>
    <w:rsid w:val="43065E58"/>
    <w:rsid w:val="43326C4D"/>
    <w:rsid w:val="43355282"/>
    <w:rsid w:val="439C4A38"/>
    <w:rsid w:val="446E0B1D"/>
    <w:rsid w:val="448750D5"/>
    <w:rsid w:val="450E5498"/>
    <w:rsid w:val="453E7B2C"/>
    <w:rsid w:val="458734FE"/>
    <w:rsid w:val="45977D18"/>
    <w:rsid w:val="45B839F8"/>
    <w:rsid w:val="45B85DAB"/>
    <w:rsid w:val="45D27A5C"/>
    <w:rsid w:val="465677C5"/>
    <w:rsid w:val="46853445"/>
    <w:rsid w:val="471B73A3"/>
    <w:rsid w:val="475E767E"/>
    <w:rsid w:val="47F04301"/>
    <w:rsid w:val="47F6293F"/>
    <w:rsid w:val="480464BA"/>
    <w:rsid w:val="48435459"/>
    <w:rsid w:val="48DD58AD"/>
    <w:rsid w:val="497D40E7"/>
    <w:rsid w:val="498802FA"/>
    <w:rsid w:val="4ACC5BD9"/>
    <w:rsid w:val="4B375749"/>
    <w:rsid w:val="4B4D3E54"/>
    <w:rsid w:val="4B842010"/>
    <w:rsid w:val="4BE62CCB"/>
    <w:rsid w:val="4C2A0498"/>
    <w:rsid w:val="4CF60CEC"/>
    <w:rsid w:val="4CF77C53"/>
    <w:rsid w:val="4D203FBB"/>
    <w:rsid w:val="4D251BC4"/>
    <w:rsid w:val="4D2C7D80"/>
    <w:rsid w:val="4D4B6D6F"/>
    <w:rsid w:val="4DFC0584"/>
    <w:rsid w:val="4E533A73"/>
    <w:rsid w:val="4EED611E"/>
    <w:rsid w:val="4FF83086"/>
    <w:rsid w:val="4FFF435B"/>
    <w:rsid w:val="503A31A3"/>
    <w:rsid w:val="504D3319"/>
    <w:rsid w:val="50AF285D"/>
    <w:rsid w:val="50CB6419"/>
    <w:rsid w:val="50FD4D3F"/>
    <w:rsid w:val="515F3303"/>
    <w:rsid w:val="51D13CFE"/>
    <w:rsid w:val="520C2507"/>
    <w:rsid w:val="52177456"/>
    <w:rsid w:val="52336E61"/>
    <w:rsid w:val="523A3680"/>
    <w:rsid w:val="53966FC4"/>
    <w:rsid w:val="53E144A4"/>
    <w:rsid w:val="542E39C2"/>
    <w:rsid w:val="54362B2C"/>
    <w:rsid w:val="55807CEC"/>
    <w:rsid w:val="563F54B2"/>
    <w:rsid w:val="56BB4D49"/>
    <w:rsid w:val="570153C4"/>
    <w:rsid w:val="570C1492"/>
    <w:rsid w:val="57623B4D"/>
    <w:rsid w:val="57917F8F"/>
    <w:rsid w:val="584A1AD3"/>
    <w:rsid w:val="587B479B"/>
    <w:rsid w:val="59B7237F"/>
    <w:rsid w:val="5A1C31E9"/>
    <w:rsid w:val="5AC80A85"/>
    <w:rsid w:val="5B0647F0"/>
    <w:rsid w:val="5B9062AB"/>
    <w:rsid w:val="5BA5225B"/>
    <w:rsid w:val="5BBE3939"/>
    <w:rsid w:val="5BD50D5A"/>
    <w:rsid w:val="5C076A71"/>
    <w:rsid w:val="5C6A7000"/>
    <w:rsid w:val="5C8D3F3B"/>
    <w:rsid w:val="5CBC5AAE"/>
    <w:rsid w:val="5CE91697"/>
    <w:rsid w:val="5D4B6E32"/>
    <w:rsid w:val="5DEA21A7"/>
    <w:rsid w:val="5E0100AE"/>
    <w:rsid w:val="5E505434"/>
    <w:rsid w:val="5EA507C4"/>
    <w:rsid w:val="5EA66434"/>
    <w:rsid w:val="5F183558"/>
    <w:rsid w:val="5F1E6BC8"/>
    <w:rsid w:val="5F3538F6"/>
    <w:rsid w:val="5FCC24AC"/>
    <w:rsid w:val="5FE86BBA"/>
    <w:rsid w:val="60395667"/>
    <w:rsid w:val="61500EBB"/>
    <w:rsid w:val="61BC20AC"/>
    <w:rsid w:val="62534003"/>
    <w:rsid w:val="62614A02"/>
    <w:rsid w:val="630930CF"/>
    <w:rsid w:val="631A2DA9"/>
    <w:rsid w:val="641E704E"/>
    <w:rsid w:val="64C35653"/>
    <w:rsid w:val="64CF6370"/>
    <w:rsid w:val="651A43D8"/>
    <w:rsid w:val="65D84624"/>
    <w:rsid w:val="65E16FBD"/>
    <w:rsid w:val="667B2536"/>
    <w:rsid w:val="66D930C7"/>
    <w:rsid w:val="66FE4F15"/>
    <w:rsid w:val="67092027"/>
    <w:rsid w:val="673B3A73"/>
    <w:rsid w:val="67550FD9"/>
    <w:rsid w:val="67AE7AD6"/>
    <w:rsid w:val="67D11094"/>
    <w:rsid w:val="686228FF"/>
    <w:rsid w:val="68626F50"/>
    <w:rsid w:val="68CA1553"/>
    <w:rsid w:val="690F7322"/>
    <w:rsid w:val="696A37E6"/>
    <w:rsid w:val="69AC334B"/>
    <w:rsid w:val="69F525FF"/>
    <w:rsid w:val="69FE7127"/>
    <w:rsid w:val="69FF63F1"/>
    <w:rsid w:val="6A763298"/>
    <w:rsid w:val="6AA87672"/>
    <w:rsid w:val="6AFB6673"/>
    <w:rsid w:val="6B0F38F1"/>
    <w:rsid w:val="6B1F1840"/>
    <w:rsid w:val="6B457FEE"/>
    <w:rsid w:val="6B7C2DA0"/>
    <w:rsid w:val="6BAC119F"/>
    <w:rsid w:val="6D212F68"/>
    <w:rsid w:val="6E0634E2"/>
    <w:rsid w:val="6E906D9A"/>
    <w:rsid w:val="6F5A2F04"/>
    <w:rsid w:val="6FAA5C3A"/>
    <w:rsid w:val="702F4391"/>
    <w:rsid w:val="703D260A"/>
    <w:rsid w:val="7060279C"/>
    <w:rsid w:val="70655197"/>
    <w:rsid w:val="70CD591E"/>
    <w:rsid w:val="70FC4273"/>
    <w:rsid w:val="71020DEF"/>
    <w:rsid w:val="710F044A"/>
    <w:rsid w:val="727B7457"/>
    <w:rsid w:val="72D45F94"/>
    <w:rsid w:val="730C516A"/>
    <w:rsid w:val="73487C44"/>
    <w:rsid w:val="74081166"/>
    <w:rsid w:val="74582108"/>
    <w:rsid w:val="74BF4BC8"/>
    <w:rsid w:val="751029E3"/>
    <w:rsid w:val="759C7DD3"/>
    <w:rsid w:val="75A31161"/>
    <w:rsid w:val="76C05D43"/>
    <w:rsid w:val="772F5D06"/>
    <w:rsid w:val="773A3D47"/>
    <w:rsid w:val="77634289"/>
    <w:rsid w:val="776B5CAF"/>
    <w:rsid w:val="77C960E3"/>
    <w:rsid w:val="781E0F73"/>
    <w:rsid w:val="79F24465"/>
    <w:rsid w:val="7A6F34F2"/>
    <w:rsid w:val="7A7E7D04"/>
    <w:rsid w:val="7AA4290D"/>
    <w:rsid w:val="7AD73AD7"/>
    <w:rsid w:val="7B5A54E3"/>
    <w:rsid w:val="7BC848D9"/>
    <w:rsid w:val="7BCB7231"/>
    <w:rsid w:val="7C442F72"/>
    <w:rsid w:val="7C7A4BE6"/>
    <w:rsid w:val="7CB77BE8"/>
    <w:rsid w:val="7CC81CBD"/>
    <w:rsid w:val="7D2012E9"/>
    <w:rsid w:val="7D817FF3"/>
    <w:rsid w:val="7E35101F"/>
    <w:rsid w:val="7E503E50"/>
    <w:rsid w:val="7EA907F9"/>
    <w:rsid w:val="7EC64112"/>
    <w:rsid w:val="7EEA6A27"/>
    <w:rsid w:val="7EEA7C71"/>
    <w:rsid w:val="7EFB200E"/>
    <w:rsid w:val="7F201A75"/>
    <w:rsid w:val="7F645716"/>
    <w:rsid w:val="7F8939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qFormat="1" w:uiPriority="39" w:semiHidden="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semiHidden="0" w:name="table of authorities"/>
    <w:lsdException w:uiPriority="0" w:name="macro"/>
    <w:lsdException w:uiPriority="0" w:name="toa heading"/>
    <w:lsdException w:uiPriority="0" w:semiHidden="0" w:name="List"/>
    <w:lsdException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iPriority="0" w:semiHidden="0" w:name="Body Text Indent"/>
    <w:lsdException w:uiPriority="0" w:name="List Continue"/>
    <w:lsdException w:uiPriority="0" w:semiHidden="0" w:name="List Continue 2"/>
    <w:lsdException w:uiPriority="0" w:semiHidden="0" w:name="List Continue 3"/>
    <w:lsdException w:uiPriority="0" w:semiHidden="0" w:name="List Continue 4"/>
    <w:lsdException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after="160" w:line="360" w:lineRule="auto"/>
      <w:ind w:firstLine="260" w:firstLineChars="200"/>
    </w:pPr>
    <w:rPr>
      <w:rFonts w:ascii="宋体" w:hAnsi="宋体" w:eastAsia="宋体" w:cs="宋体"/>
      <w:sz w:val="24"/>
      <w:szCs w:val="22"/>
      <w:lang w:val="zh-CN" w:eastAsia="zh-CN" w:bidi="zh-CN"/>
    </w:rPr>
  </w:style>
  <w:style w:type="paragraph" w:styleId="2">
    <w:name w:val="heading 1"/>
    <w:basedOn w:val="1"/>
    <w:next w:val="1"/>
    <w:qFormat/>
    <w:uiPriority w:val="1"/>
    <w:pPr>
      <w:widowControl w:val="0"/>
      <w:spacing w:before="120" w:after="120" w:line="278" w:lineRule="auto"/>
      <w:jc w:val="center"/>
      <w:outlineLvl w:val="0"/>
    </w:pPr>
    <w:rPr>
      <w:rFonts w:ascii="宋体" w:hAnsi="宋体" w:eastAsia="宋体" w:cs="宋体"/>
      <w:b/>
      <w:bCs/>
      <w:kern w:val="44"/>
      <w:sz w:val="32"/>
      <w:szCs w:val="30"/>
      <w:lang w:val="en-US" w:eastAsia="zh-CN" w:bidi="ar-SA"/>
    </w:rPr>
  </w:style>
  <w:style w:type="paragraph" w:styleId="3">
    <w:name w:val="heading 2"/>
    <w:next w:val="1"/>
    <w:qFormat/>
    <w:uiPriority w:val="1"/>
    <w:pPr>
      <w:widowControl w:val="0"/>
      <w:autoSpaceDE w:val="0"/>
      <w:autoSpaceDN w:val="0"/>
      <w:spacing w:after="160" w:line="360" w:lineRule="auto"/>
      <w:ind w:firstLine="260" w:firstLineChars="200"/>
      <w:outlineLvl w:val="1"/>
    </w:pPr>
    <w:rPr>
      <w:rFonts w:ascii="Times New Roman" w:hAnsi="Times New Roman" w:eastAsia="宋体" w:cs="Times New Roman"/>
      <w:b/>
      <w:sz w:val="24"/>
      <w:lang w:val="en-US" w:eastAsia="zh-CN" w:bidi="ar-SA"/>
    </w:rPr>
  </w:style>
  <w:style w:type="paragraph" w:styleId="4">
    <w:name w:val="heading 3"/>
    <w:next w:val="1"/>
    <w:qFormat/>
    <w:uiPriority w:val="1"/>
    <w:pPr>
      <w:widowControl w:val="0"/>
      <w:autoSpaceDE w:val="0"/>
      <w:autoSpaceDN w:val="0"/>
      <w:spacing w:after="160" w:line="360" w:lineRule="auto"/>
      <w:ind w:firstLine="260" w:firstLineChars="200"/>
      <w:outlineLvl w:val="2"/>
    </w:pPr>
    <w:rPr>
      <w:rFonts w:ascii="Times New Roman" w:hAnsi="Times New Roman" w:eastAsia="宋体" w:cs="Times New Roman"/>
      <w:b/>
      <w:sz w:val="24"/>
      <w:lang w:val="en-US" w:eastAsia="zh-CN" w:bidi="ar-SA"/>
    </w:rPr>
  </w:style>
  <w:style w:type="paragraph" w:styleId="5">
    <w:name w:val="heading 4"/>
    <w:basedOn w:val="1"/>
    <w:next w:val="1"/>
    <w:qFormat/>
    <w:uiPriority w:val="1"/>
    <w:pPr>
      <w:spacing w:after="120"/>
      <w:outlineLvl w:val="3"/>
    </w:pPr>
    <w:rPr>
      <w:rFonts w:ascii="Times New Roman" w:hAnsi="Times New Roman" w:cs="Times New Roman"/>
    </w:rPr>
  </w:style>
  <w:style w:type="paragraph" w:styleId="6">
    <w:name w:val="heading 5"/>
    <w:next w:val="1"/>
    <w:link w:val="69"/>
    <w:unhideWhenUsed/>
    <w:qFormat/>
    <w:uiPriority w:val="0"/>
    <w:pPr>
      <w:widowControl w:val="0"/>
      <w:spacing w:after="120" w:line="440" w:lineRule="exact"/>
      <w:outlineLvl w:val="4"/>
    </w:pPr>
    <w:rPr>
      <w:rFonts w:ascii="Times New Roman" w:hAnsi="Times New Roman" w:eastAsia="宋体" w:cs="Times New Roman"/>
      <w:sz w:val="24"/>
      <w:lang w:val="en-US" w:eastAsia="zh-CN" w:bidi="ar-SA"/>
    </w:rPr>
  </w:style>
  <w:style w:type="paragraph" w:styleId="7">
    <w:name w:val="heading 6"/>
    <w:next w:val="1"/>
    <w:semiHidden/>
    <w:unhideWhenUsed/>
    <w:qFormat/>
    <w:uiPriority w:val="0"/>
    <w:pPr>
      <w:widowControl w:val="0"/>
      <w:spacing w:after="120" w:line="360" w:lineRule="auto"/>
      <w:outlineLvl w:val="5"/>
    </w:pPr>
    <w:rPr>
      <w:rFonts w:ascii="Times New Roman" w:hAnsi="Times New Roman" w:eastAsia="宋体" w:cs="Times New Roman"/>
      <w:sz w:val="24"/>
      <w:lang w:val="en-US" w:eastAsia="zh-CN" w:bidi="ar-SA"/>
    </w:rPr>
  </w:style>
  <w:style w:type="paragraph" w:styleId="8">
    <w:name w:val="heading 7"/>
    <w:next w:val="1"/>
    <w:semiHidden/>
    <w:unhideWhenUsed/>
    <w:qFormat/>
    <w:uiPriority w:val="0"/>
    <w:pPr>
      <w:widowControl w:val="0"/>
      <w:spacing w:after="120" w:line="360" w:lineRule="auto"/>
      <w:outlineLvl w:val="6"/>
    </w:pPr>
    <w:rPr>
      <w:rFonts w:ascii="Times New Roman" w:hAnsi="Times New Roman" w:eastAsia="宋体" w:cs="Times New Roman"/>
      <w:sz w:val="24"/>
      <w:lang w:val="en-US" w:eastAsia="zh-CN" w:bidi="ar-SA"/>
    </w:rPr>
  </w:style>
  <w:style w:type="paragraph" w:styleId="9">
    <w:name w:val="heading 8"/>
    <w:next w:val="1"/>
    <w:semiHidden/>
    <w:unhideWhenUsed/>
    <w:qFormat/>
    <w:uiPriority w:val="0"/>
    <w:pPr>
      <w:widowControl w:val="0"/>
      <w:spacing w:after="120" w:line="360" w:lineRule="auto"/>
      <w:outlineLvl w:val="7"/>
    </w:pPr>
    <w:rPr>
      <w:rFonts w:ascii="Times New Roman" w:hAnsi="Times New Roman" w:eastAsia="宋体" w:cs="Times New Roman"/>
      <w:sz w:val="24"/>
      <w:lang w:val="en-US" w:eastAsia="zh-CN" w:bidi="ar-SA"/>
    </w:rPr>
  </w:style>
  <w:style w:type="paragraph" w:styleId="10">
    <w:name w:val="heading 9"/>
    <w:next w:val="1"/>
    <w:semiHidden/>
    <w:unhideWhenUsed/>
    <w:qFormat/>
    <w:uiPriority w:val="0"/>
    <w:pPr>
      <w:widowControl w:val="0"/>
      <w:spacing w:after="120" w:line="360" w:lineRule="auto"/>
      <w:outlineLvl w:val="8"/>
    </w:pPr>
    <w:rPr>
      <w:rFonts w:ascii="Times New Roman" w:hAnsi="Times New Roman" w:eastAsia="宋体" w:cs="Times New Roman"/>
      <w:sz w:val="24"/>
      <w:lang w:val="en-US" w:eastAsia="zh-CN" w:bidi="ar-SA"/>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39"/>
    <w:qFormat/>
    <w:uiPriority w:val="99"/>
    <w:pPr>
      <w:ind w:firstLine="420"/>
    </w:pPr>
    <w:rPr>
      <w:b/>
      <w:szCs w:val="20"/>
    </w:rPr>
  </w:style>
  <w:style w:type="paragraph" w:styleId="12">
    <w:name w:val="annotation text"/>
    <w:basedOn w:val="1"/>
    <w:link w:val="40"/>
    <w:qFormat/>
    <w:uiPriority w:val="99"/>
    <w:rPr>
      <w:sz w:val="20"/>
      <w:szCs w:val="24"/>
    </w:rPr>
  </w:style>
  <w:style w:type="paragraph" w:styleId="13">
    <w:name w:val="Body Text"/>
    <w:basedOn w:val="1"/>
    <w:next w:val="1"/>
    <w:link w:val="41"/>
    <w:qFormat/>
    <w:uiPriority w:val="1"/>
    <w:pPr>
      <w:spacing w:after="120"/>
      <w:ind w:firstLine="420"/>
    </w:pPr>
    <w:rPr>
      <w:rFonts w:ascii="Times New Roman" w:hAnsi="Times New Roman" w:cs="Times New Roman"/>
    </w:rPr>
  </w:style>
  <w:style w:type="paragraph" w:styleId="14">
    <w:name w:val="Body Text Indent"/>
    <w:basedOn w:val="1"/>
    <w:link w:val="42"/>
    <w:unhideWhenUsed/>
    <w:qFormat/>
    <w:uiPriority w:val="0"/>
    <w:pPr>
      <w:spacing w:after="120"/>
      <w:ind w:left="420" w:leftChars="200"/>
    </w:pPr>
  </w:style>
  <w:style w:type="paragraph" w:styleId="15">
    <w:name w:val="index 4"/>
    <w:basedOn w:val="1"/>
    <w:next w:val="1"/>
    <w:unhideWhenUsed/>
    <w:qFormat/>
    <w:uiPriority w:val="99"/>
    <w:pPr>
      <w:autoSpaceDE/>
      <w:autoSpaceDN/>
      <w:spacing w:before="100" w:beforeAutospacing="1" w:after="100" w:afterAutospacing="1"/>
      <w:ind w:left="600" w:leftChars="600"/>
      <w:jc w:val="both"/>
    </w:pPr>
    <w:rPr>
      <w:rFonts w:ascii="Times New Roman" w:hAnsi="Times New Roman" w:cs="Times New Roman"/>
      <w:kern w:val="2"/>
      <w:sz w:val="21"/>
      <w:szCs w:val="21"/>
      <w:lang w:val="en-US" w:bidi="ar-SA"/>
    </w:rPr>
  </w:style>
  <w:style w:type="paragraph" w:styleId="16">
    <w:name w:val="Plain Text"/>
    <w:basedOn w:val="1"/>
    <w:link w:val="43"/>
    <w:qFormat/>
    <w:uiPriority w:val="0"/>
    <w:pPr>
      <w:autoSpaceDE/>
      <w:autoSpaceDN/>
      <w:jc w:val="both"/>
    </w:pPr>
    <w:rPr>
      <w:rFonts w:hAnsi="Courier New" w:cs="Courier New"/>
      <w:sz w:val="20"/>
      <w:szCs w:val="21"/>
      <w:lang w:val="en-US" w:bidi="ar-SA"/>
    </w:rPr>
  </w:style>
  <w:style w:type="paragraph" w:styleId="17">
    <w:name w:val="Balloon Text"/>
    <w:basedOn w:val="1"/>
    <w:link w:val="44"/>
    <w:qFormat/>
    <w:uiPriority w:val="0"/>
    <w:rPr>
      <w:sz w:val="18"/>
      <w:szCs w:val="18"/>
    </w:rPr>
  </w:style>
  <w:style w:type="paragraph" w:styleId="18">
    <w:name w:val="footer"/>
    <w:basedOn w:val="1"/>
    <w:link w:val="45"/>
    <w:qFormat/>
    <w:uiPriority w:val="0"/>
    <w:pPr>
      <w:tabs>
        <w:tab w:val="center" w:pos="4153"/>
        <w:tab w:val="right" w:pos="8306"/>
      </w:tabs>
      <w:snapToGrid w:val="0"/>
    </w:pPr>
    <w:rPr>
      <w:sz w:val="18"/>
      <w:szCs w:val="18"/>
    </w:rPr>
  </w:style>
  <w:style w:type="paragraph" w:styleId="19">
    <w:name w:val="envelope return"/>
    <w:basedOn w:val="1"/>
    <w:qFormat/>
    <w:uiPriority w:val="0"/>
    <w:pPr>
      <w:snapToGrid w:val="0"/>
    </w:pPr>
    <w:rPr>
      <w:rFonts w:ascii="Arial" w:hAnsi="Arial"/>
    </w:rPr>
  </w:style>
  <w:style w:type="paragraph" w:styleId="20">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21">
    <w:name w:val="Subtitle"/>
    <w:qFormat/>
    <w:uiPriority w:val="0"/>
    <w:pPr>
      <w:widowControl w:val="0"/>
      <w:spacing w:after="240" w:line="278" w:lineRule="auto"/>
      <w:jc w:val="center"/>
    </w:pPr>
    <w:rPr>
      <w:rFonts w:ascii="Times New Roman" w:hAnsi="Times New Roman" w:eastAsia="宋体" w:cs="Times New Roman"/>
      <w:kern w:val="28"/>
      <w:sz w:val="21"/>
      <w:lang w:val="en-US" w:eastAsia="zh-CN" w:bidi="ar-SA"/>
    </w:rPr>
  </w:style>
  <w:style w:type="paragraph" w:styleId="22">
    <w:name w:val="toc 9"/>
    <w:basedOn w:val="1"/>
    <w:next w:val="1"/>
    <w:unhideWhenUsed/>
    <w:qFormat/>
    <w:uiPriority w:val="39"/>
    <w:pPr>
      <w:ind w:left="3360" w:leftChars="1600"/>
      <w:jc w:val="both"/>
    </w:pPr>
    <w:rPr>
      <w:rFonts w:ascii="Calibri" w:hAnsi="Calibri"/>
      <w:kern w:val="2"/>
      <w:sz w:val="21"/>
    </w:rPr>
  </w:style>
  <w:style w:type="paragraph" w:styleId="23">
    <w:name w:val="Normal (Web)"/>
    <w:basedOn w:val="1"/>
    <w:qFormat/>
    <w:uiPriority w:val="0"/>
    <w:pPr>
      <w:autoSpaceDE/>
      <w:autoSpaceDN/>
      <w:spacing w:beforeAutospacing="1" w:afterAutospacing="1"/>
    </w:pPr>
    <w:rPr>
      <w:rFonts w:ascii="Calibri" w:hAnsi="Calibri" w:cs="Times New Roman"/>
      <w:szCs w:val="24"/>
      <w:lang w:val="en-US" w:bidi="ar-SA"/>
    </w:rPr>
  </w:style>
  <w:style w:type="paragraph" w:styleId="24">
    <w:name w:val="Title"/>
    <w:qFormat/>
    <w:uiPriority w:val="0"/>
    <w:pPr>
      <w:spacing w:before="240" w:after="240" w:line="278" w:lineRule="auto"/>
      <w:jc w:val="center"/>
    </w:pPr>
    <w:rPr>
      <w:rFonts w:ascii="Times New Roman" w:hAnsi="Times New Roman" w:eastAsia="宋体" w:cs="Times New Roman"/>
      <w:b/>
      <w:sz w:val="32"/>
      <w:lang w:val="en-US" w:eastAsia="zh-CN" w:bidi="ar-SA"/>
    </w:rPr>
  </w:style>
  <w:style w:type="paragraph" w:styleId="25">
    <w:name w:val="annotation subject"/>
    <w:basedOn w:val="12"/>
    <w:next w:val="12"/>
    <w:link w:val="47"/>
    <w:qFormat/>
    <w:uiPriority w:val="0"/>
    <w:rPr>
      <w:b/>
      <w:bCs/>
      <w:sz w:val="22"/>
      <w:szCs w:val="22"/>
    </w:rPr>
  </w:style>
  <w:style w:type="paragraph" w:styleId="26">
    <w:name w:val="Body Text First Indent"/>
    <w:basedOn w:val="13"/>
    <w:link w:val="48"/>
    <w:unhideWhenUsed/>
    <w:qFormat/>
    <w:uiPriority w:val="0"/>
    <w:pPr>
      <w:ind w:firstLine="100" w:firstLineChars="100"/>
    </w:pPr>
    <w:rPr>
      <w:sz w:val="22"/>
    </w:rPr>
  </w:style>
  <w:style w:type="paragraph" w:styleId="27">
    <w:name w:val="Body Text First Indent 2"/>
    <w:basedOn w:val="14"/>
    <w:qFormat/>
    <w:uiPriority w:val="0"/>
    <w:pPr>
      <w:ind w:firstLine="420"/>
    </w:pPr>
    <w:rPr>
      <w:rFonts w:ascii="Calibri" w:hAnsi="Calibri"/>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FollowedHyperlink"/>
    <w:basedOn w:val="30"/>
    <w:semiHidden/>
    <w:unhideWhenUsed/>
    <w:qFormat/>
    <w:uiPriority w:val="0"/>
    <w:rPr>
      <w:color w:val="000000"/>
      <w:u w:val="none"/>
    </w:rPr>
  </w:style>
  <w:style w:type="character" w:styleId="33">
    <w:name w:val="Emphasis"/>
    <w:basedOn w:val="30"/>
    <w:qFormat/>
    <w:uiPriority w:val="20"/>
    <w:rPr>
      <w:i/>
      <w:iCs/>
    </w:rPr>
  </w:style>
  <w:style w:type="character" w:styleId="34">
    <w:name w:val="Hyperlink"/>
    <w:basedOn w:val="30"/>
    <w:qFormat/>
    <w:uiPriority w:val="0"/>
    <w:rPr>
      <w:color w:val="0000FF"/>
      <w:u w:val="single"/>
    </w:rPr>
  </w:style>
  <w:style w:type="character" w:styleId="35">
    <w:name w:val="annotation reference"/>
    <w:basedOn w:val="30"/>
    <w:qFormat/>
    <w:uiPriority w:val="0"/>
    <w:rPr>
      <w:sz w:val="21"/>
      <w:szCs w:val="21"/>
    </w:rPr>
  </w:style>
  <w:style w:type="paragraph" w:styleId="36">
    <w:name w:val="List Paragraph"/>
    <w:basedOn w:val="1"/>
    <w:qFormat/>
    <w:uiPriority w:val="34"/>
    <w:pPr>
      <w:ind w:left="223" w:firstLine="420"/>
    </w:pPr>
  </w:style>
  <w:style w:type="paragraph" w:customStyle="1" w:styleId="37">
    <w:name w:val="[Normal]"/>
    <w:qFormat/>
    <w:uiPriority w:val="99"/>
    <w:pPr>
      <w:spacing w:after="160" w:line="278" w:lineRule="auto"/>
    </w:pPr>
    <w:rPr>
      <w:rFonts w:ascii="方正仿宋简体" w:hAnsi="方正仿宋简体" w:eastAsia="方正仿宋简体" w:cs="Courier New"/>
      <w:sz w:val="24"/>
      <w:szCs w:val="22"/>
      <w:lang w:val="zh-CN" w:eastAsia="zh-CN" w:bidi="ar-SA"/>
    </w:rPr>
  </w:style>
  <w:style w:type="paragraph" w:customStyle="1" w:styleId="38">
    <w:name w:val="正文1"/>
    <w:next w:val="1"/>
    <w:qFormat/>
    <w:uiPriority w:val="0"/>
    <w:pPr>
      <w:widowControl w:val="0"/>
      <w:spacing w:after="160" w:line="278" w:lineRule="auto"/>
      <w:jc w:val="both"/>
    </w:pPr>
    <w:rPr>
      <w:rFonts w:ascii="Calibri" w:hAnsi="Calibri" w:eastAsia="宋体" w:cs="Times New Roman"/>
      <w:lang w:val="en-US" w:eastAsia="zh-CN" w:bidi="ar-SA"/>
    </w:rPr>
  </w:style>
  <w:style w:type="character" w:customStyle="1" w:styleId="39">
    <w:name w:val="正文缩进 字符"/>
    <w:link w:val="11"/>
    <w:qFormat/>
    <w:locked/>
    <w:uiPriority w:val="99"/>
    <w:rPr>
      <w:rFonts w:ascii="宋体" w:hAnsi="宋体" w:cs="宋体"/>
      <w:b/>
      <w:sz w:val="24"/>
      <w:lang w:val="zh-CN" w:bidi="zh-CN"/>
    </w:rPr>
  </w:style>
  <w:style w:type="character" w:customStyle="1" w:styleId="40">
    <w:name w:val="批注文字 字符1"/>
    <w:basedOn w:val="30"/>
    <w:link w:val="12"/>
    <w:qFormat/>
    <w:uiPriority w:val="0"/>
    <w:rPr>
      <w:rFonts w:ascii="宋体" w:hAnsi="宋体" w:cs="宋体"/>
      <w:szCs w:val="24"/>
      <w:lang w:val="zh-CN" w:bidi="zh-CN"/>
    </w:rPr>
  </w:style>
  <w:style w:type="character" w:customStyle="1" w:styleId="41">
    <w:name w:val="正文文本 字符"/>
    <w:basedOn w:val="30"/>
    <w:link w:val="13"/>
    <w:qFormat/>
    <w:uiPriority w:val="1"/>
    <w:rPr>
      <w:rFonts w:ascii="宋体" w:hAnsi="宋体" w:cs="宋体"/>
      <w:sz w:val="21"/>
      <w:szCs w:val="21"/>
      <w:lang w:val="zh-CN" w:bidi="zh-CN"/>
    </w:rPr>
  </w:style>
  <w:style w:type="character" w:customStyle="1" w:styleId="42">
    <w:name w:val="正文文本缩进 字符"/>
    <w:basedOn w:val="30"/>
    <w:link w:val="14"/>
    <w:semiHidden/>
    <w:qFormat/>
    <w:uiPriority w:val="0"/>
    <w:rPr>
      <w:rFonts w:ascii="宋体" w:hAnsi="宋体" w:cs="宋体"/>
      <w:sz w:val="22"/>
      <w:szCs w:val="22"/>
      <w:lang w:val="zh-CN" w:bidi="zh-CN"/>
    </w:rPr>
  </w:style>
  <w:style w:type="character" w:customStyle="1" w:styleId="43">
    <w:name w:val="纯文本 字符1"/>
    <w:link w:val="16"/>
    <w:qFormat/>
    <w:locked/>
    <w:uiPriority w:val="0"/>
    <w:rPr>
      <w:rFonts w:ascii="宋体" w:hAnsi="Courier New" w:cs="Courier New"/>
      <w:szCs w:val="21"/>
    </w:rPr>
  </w:style>
  <w:style w:type="character" w:customStyle="1" w:styleId="44">
    <w:name w:val="批注框文本 字符"/>
    <w:basedOn w:val="30"/>
    <w:link w:val="17"/>
    <w:qFormat/>
    <w:uiPriority w:val="0"/>
    <w:rPr>
      <w:rFonts w:ascii="宋体" w:hAnsi="宋体" w:cs="宋体"/>
      <w:sz w:val="18"/>
      <w:szCs w:val="18"/>
      <w:lang w:val="zh-CN" w:bidi="zh-CN"/>
    </w:rPr>
  </w:style>
  <w:style w:type="character" w:customStyle="1" w:styleId="45">
    <w:name w:val="页脚 字符"/>
    <w:basedOn w:val="30"/>
    <w:link w:val="18"/>
    <w:qFormat/>
    <w:uiPriority w:val="0"/>
    <w:rPr>
      <w:rFonts w:ascii="宋体" w:hAnsi="宋体" w:cs="宋体"/>
      <w:sz w:val="18"/>
      <w:szCs w:val="18"/>
      <w:lang w:val="zh-CN" w:bidi="zh-CN"/>
    </w:rPr>
  </w:style>
  <w:style w:type="character" w:customStyle="1" w:styleId="46">
    <w:name w:val="页眉 字符"/>
    <w:basedOn w:val="30"/>
    <w:link w:val="20"/>
    <w:qFormat/>
    <w:uiPriority w:val="0"/>
    <w:rPr>
      <w:rFonts w:ascii="宋体" w:hAnsi="宋体" w:cs="宋体"/>
      <w:sz w:val="18"/>
      <w:szCs w:val="18"/>
      <w:lang w:val="zh-CN" w:bidi="zh-CN"/>
    </w:rPr>
  </w:style>
  <w:style w:type="character" w:customStyle="1" w:styleId="47">
    <w:name w:val="批注主题 字符"/>
    <w:basedOn w:val="40"/>
    <w:link w:val="25"/>
    <w:qFormat/>
    <w:uiPriority w:val="0"/>
    <w:rPr>
      <w:rFonts w:ascii="宋体" w:hAnsi="宋体" w:cs="宋体"/>
      <w:szCs w:val="24"/>
      <w:lang w:val="zh-CN" w:bidi="zh-CN"/>
    </w:rPr>
  </w:style>
  <w:style w:type="character" w:customStyle="1" w:styleId="48">
    <w:name w:val="正文文本首行缩进 字符"/>
    <w:basedOn w:val="41"/>
    <w:link w:val="26"/>
    <w:semiHidden/>
    <w:qFormat/>
    <w:uiPriority w:val="0"/>
    <w:rPr>
      <w:rFonts w:ascii="宋体" w:hAnsi="宋体" w:cs="宋体"/>
      <w:sz w:val="22"/>
      <w:szCs w:val="22"/>
      <w:lang w:val="zh-CN" w:bidi="zh-CN"/>
    </w:rPr>
  </w:style>
  <w:style w:type="table" w:customStyle="1" w:styleId="49">
    <w:name w:val="Table Normal"/>
    <w:unhideWhenUsed/>
    <w:qFormat/>
    <w:uiPriority w:val="2"/>
    <w:tblPr>
      <w:tblCellMar>
        <w:top w:w="0" w:type="dxa"/>
        <w:left w:w="0" w:type="dxa"/>
        <w:bottom w:w="0" w:type="dxa"/>
        <w:right w:w="0" w:type="dxa"/>
      </w:tblCellMar>
    </w:tblPr>
  </w:style>
  <w:style w:type="paragraph" w:customStyle="1" w:styleId="50">
    <w:name w:val="列表段落1"/>
    <w:basedOn w:val="1"/>
    <w:qFormat/>
    <w:uiPriority w:val="34"/>
    <w:pPr>
      <w:ind w:left="223" w:firstLine="420"/>
    </w:pPr>
  </w:style>
  <w:style w:type="paragraph" w:customStyle="1" w:styleId="51">
    <w:name w:val="Table Paragraph"/>
    <w:basedOn w:val="1"/>
    <w:qFormat/>
    <w:uiPriority w:val="1"/>
  </w:style>
  <w:style w:type="paragraph" w:customStyle="1" w:styleId="52">
    <w:name w:val="首行缩进"/>
    <w:basedOn w:val="1"/>
    <w:next w:val="1"/>
    <w:qFormat/>
    <w:uiPriority w:val="0"/>
    <w:pPr>
      <w:ind w:firstLine="480"/>
    </w:pPr>
    <w:rPr>
      <w:rFonts w:eastAsia="Calibri"/>
      <w:sz w:val="20"/>
      <w:szCs w:val="20"/>
    </w:rPr>
  </w:style>
  <w:style w:type="paragraph" w:customStyle="1" w:styleId="53">
    <w:name w:val="Default"/>
    <w:qFormat/>
    <w:uiPriority w:val="0"/>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 w:type="character" w:customStyle="1" w:styleId="54">
    <w:name w:val="font21"/>
    <w:basedOn w:val="30"/>
    <w:qFormat/>
    <w:uiPriority w:val="0"/>
    <w:rPr>
      <w:rFonts w:hint="eastAsia" w:ascii="宋体" w:hAnsi="宋体" w:eastAsia="宋体" w:cs="宋体"/>
      <w:color w:val="000000"/>
      <w:sz w:val="22"/>
      <w:szCs w:val="22"/>
      <w:u w:val="none"/>
    </w:rPr>
  </w:style>
  <w:style w:type="character" w:customStyle="1" w:styleId="55">
    <w:name w:val="纯文本 字符"/>
    <w:basedOn w:val="30"/>
    <w:semiHidden/>
    <w:qFormat/>
    <w:uiPriority w:val="0"/>
    <w:rPr>
      <w:rFonts w:ascii="宋体" w:hAnsi="Courier New" w:eastAsia="宋体" w:cs="Courier New"/>
      <w:sz w:val="22"/>
      <w:szCs w:val="22"/>
      <w:lang w:val="zh-CN" w:bidi="zh-CN"/>
    </w:rPr>
  </w:style>
  <w:style w:type="paragraph" w:customStyle="1" w:styleId="56">
    <w:name w:val="pa-0"/>
    <w:basedOn w:val="1"/>
    <w:qFormat/>
    <w:uiPriority w:val="0"/>
    <w:pPr>
      <w:widowControl/>
      <w:autoSpaceDE/>
      <w:autoSpaceDN/>
      <w:spacing w:before="150" w:after="150"/>
    </w:pPr>
    <w:rPr>
      <w:szCs w:val="24"/>
      <w:lang w:val="en-US" w:bidi="ar-SA"/>
    </w:rPr>
  </w:style>
  <w:style w:type="character" w:customStyle="1" w:styleId="57">
    <w:name w:val="批注文字 字符"/>
    <w:qFormat/>
    <w:uiPriority w:val="99"/>
    <w:rPr>
      <w:rFonts w:eastAsia="宋体"/>
      <w:kern w:val="2"/>
      <w:lang w:val="en-US" w:eastAsia="zh-CN" w:bidi="ar-SA"/>
    </w:rPr>
  </w:style>
  <w:style w:type="character" w:customStyle="1" w:styleId="58">
    <w:name w:val="fontstyle01"/>
    <w:qFormat/>
    <w:uiPriority w:val="0"/>
    <w:rPr>
      <w:rFonts w:hint="eastAsia" w:ascii="仿宋" w:hAnsi="仿宋" w:eastAsia="仿宋"/>
      <w:color w:val="000000"/>
      <w:sz w:val="28"/>
      <w:szCs w:val="28"/>
    </w:rPr>
  </w:style>
  <w:style w:type="character" w:customStyle="1" w:styleId="59">
    <w:name w:val="NormalCharacter"/>
    <w:qFormat/>
    <w:uiPriority w:val="0"/>
    <w:rPr>
      <w:rFonts w:ascii="Times New Roman" w:hAnsi="Times New Roman" w:eastAsia="宋体" w:cs="Times New Roman"/>
      <w:kern w:val="2"/>
      <w:sz w:val="21"/>
      <w:szCs w:val="22"/>
      <w:lang w:val="en-US" w:eastAsia="zh-CN" w:bidi="ar-SA"/>
    </w:rPr>
  </w:style>
  <w:style w:type="paragraph" w:customStyle="1" w:styleId="60">
    <w:name w:val="正文1_0"/>
    <w:qFormat/>
    <w:uiPriority w:val="0"/>
    <w:pPr>
      <w:widowControl w:val="0"/>
      <w:spacing w:after="160" w:line="278" w:lineRule="auto"/>
      <w:jc w:val="both"/>
    </w:pPr>
    <w:rPr>
      <w:rFonts w:ascii="Calibri" w:hAnsi="Calibri" w:eastAsia="宋体" w:cs="Times New Roman"/>
      <w:szCs w:val="24"/>
      <w:lang w:val="en-US" w:eastAsia="zh-CN" w:bidi="ar-SA"/>
    </w:rPr>
  </w:style>
  <w:style w:type="paragraph" w:customStyle="1" w:styleId="61">
    <w:name w:val="标题 61"/>
    <w:basedOn w:val="1"/>
    <w:qFormat/>
    <w:uiPriority w:val="1"/>
    <w:pPr>
      <w:ind w:left="680"/>
      <w:outlineLvl w:val="6"/>
    </w:pPr>
    <w:rPr>
      <w:szCs w:val="24"/>
      <w:lang w:val="en-US" w:bidi="ar-SA"/>
    </w:rPr>
  </w:style>
  <w:style w:type="paragraph" w:customStyle="1" w:styleId="62">
    <w:name w:val="标题 71"/>
    <w:basedOn w:val="1"/>
    <w:qFormat/>
    <w:uiPriority w:val="1"/>
    <w:pPr>
      <w:spacing w:before="93"/>
      <w:ind w:left="664" w:right="994"/>
      <w:jc w:val="center"/>
      <w:outlineLvl w:val="7"/>
    </w:pPr>
    <w:rPr>
      <w:b/>
      <w:bCs/>
      <w:lang w:val="en-US" w:bidi="ar-SA"/>
    </w:rPr>
  </w:style>
  <w:style w:type="paragraph" w:customStyle="1" w:styleId="63">
    <w:name w:val="标题 31"/>
    <w:basedOn w:val="1"/>
    <w:next w:val="64"/>
    <w:qFormat/>
    <w:uiPriority w:val="1"/>
    <w:pPr>
      <w:ind w:left="1"/>
      <w:jc w:val="center"/>
      <w:outlineLvl w:val="3"/>
    </w:pPr>
    <w:rPr>
      <w:b/>
      <w:bCs/>
      <w:sz w:val="28"/>
      <w:szCs w:val="28"/>
      <w:lang w:val="en-US" w:bidi="ar-SA"/>
    </w:rPr>
  </w:style>
  <w:style w:type="paragraph" w:customStyle="1" w:styleId="64">
    <w:name w:val="正文缩进1"/>
    <w:basedOn w:val="1"/>
    <w:qFormat/>
    <w:uiPriority w:val="0"/>
    <w:pPr>
      <w:ind w:firstLine="420"/>
    </w:pPr>
    <w:rPr>
      <w:szCs w:val="20"/>
    </w:rPr>
  </w:style>
  <w:style w:type="character" w:customStyle="1" w:styleId="65">
    <w:name w:val="标题1"/>
    <w:basedOn w:val="30"/>
    <w:qFormat/>
    <w:uiPriority w:val="0"/>
  </w:style>
  <w:style w:type="paragraph" w:customStyle="1" w:styleId="66">
    <w:name w:val="修订1"/>
    <w:hidden/>
    <w:semiHidden/>
    <w:qFormat/>
    <w:uiPriority w:val="99"/>
    <w:pPr>
      <w:spacing w:after="160" w:line="278" w:lineRule="auto"/>
    </w:pPr>
    <w:rPr>
      <w:rFonts w:ascii="宋体" w:hAnsi="宋体" w:eastAsia="宋体" w:cs="宋体"/>
      <w:sz w:val="22"/>
      <w:szCs w:val="22"/>
      <w:lang w:val="zh-CN" w:eastAsia="zh-CN" w:bidi="zh-CN"/>
    </w:rPr>
  </w:style>
  <w:style w:type="paragraph" w:customStyle="1" w:styleId="67">
    <w:name w:val="修订2"/>
    <w:hidden/>
    <w:semiHidden/>
    <w:qFormat/>
    <w:uiPriority w:val="99"/>
    <w:pPr>
      <w:spacing w:after="160" w:line="278" w:lineRule="auto"/>
    </w:pPr>
    <w:rPr>
      <w:rFonts w:ascii="宋体" w:hAnsi="宋体" w:eastAsia="宋体" w:cs="宋体"/>
      <w:sz w:val="22"/>
      <w:szCs w:val="22"/>
      <w:lang w:val="zh-CN" w:eastAsia="zh-CN" w:bidi="zh-CN"/>
    </w:rPr>
  </w:style>
  <w:style w:type="character" w:customStyle="1" w:styleId="68">
    <w:name w:val="font11"/>
    <w:basedOn w:val="30"/>
    <w:qFormat/>
    <w:uiPriority w:val="0"/>
    <w:rPr>
      <w:rFonts w:hint="eastAsia" w:ascii="微软雅黑" w:hAnsi="微软雅黑" w:eastAsia="微软雅黑" w:cs="微软雅黑"/>
      <w:b/>
      <w:bCs/>
      <w:color w:val="000000"/>
      <w:sz w:val="18"/>
      <w:szCs w:val="18"/>
      <w:u w:val="none"/>
    </w:rPr>
  </w:style>
  <w:style w:type="character" w:customStyle="1" w:styleId="69">
    <w:name w:val="标题 5 字符"/>
    <w:basedOn w:val="30"/>
    <w:link w:val="6"/>
    <w:semiHidden/>
    <w:qFormat/>
    <w:uiPriority w:val="0"/>
    <w:rPr>
      <w:rFonts w:ascii="宋体" w:hAnsi="宋体" w:cs="宋体"/>
      <w:b/>
      <w:bCs/>
      <w:sz w:val="28"/>
      <w:szCs w:val="28"/>
      <w:lang w:val="zh-CN" w:bidi="zh-CN"/>
    </w:rPr>
  </w:style>
  <w:style w:type="paragraph" w:customStyle="1" w:styleId="70">
    <w:name w:val="标题 41"/>
    <w:basedOn w:val="1"/>
    <w:qFormat/>
    <w:uiPriority w:val="1"/>
    <w:pPr>
      <w:ind w:left="618"/>
      <w:outlineLvl w:val="4"/>
    </w:pPr>
    <w:rPr>
      <w:b/>
      <w:bCs/>
    </w:rPr>
  </w:style>
  <w:style w:type="paragraph" w:customStyle="1" w:styleId="71">
    <w:name w:val="正文_13"/>
    <w:basedOn w:val="1"/>
    <w:qFormat/>
    <w:uiPriority w:val="0"/>
    <w:rPr>
      <w:szCs w:val="21"/>
    </w:rPr>
  </w:style>
  <w:style w:type="character" w:customStyle="1" w:styleId="72">
    <w:name w:val="纯文本 Char1"/>
    <w:qFormat/>
    <w:uiPriority w:val="0"/>
    <w:rPr>
      <w:rFonts w:ascii="宋体" w:hAnsi="Courier New"/>
      <w:kern w:val="2"/>
      <w:sz w:val="21"/>
    </w:rPr>
  </w:style>
  <w:style w:type="paragraph" w:styleId="73">
    <w:name w:val="No Spacing"/>
    <w:qFormat/>
    <w:uiPriority w:val="1"/>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customStyle="1" w:styleId="74">
    <w:name w:val="无间隔1"/>
    <w:qFormat/>
    <w:uiPriority w:val="1"/>
    <w:pPr>
      <w:spacing w:after="160" w:line="278" w:lineRule="auto"/>
    </w:pPr>
    <w:rPr>
      <w:rFonts w:ascii="Times New Roman" w:hAnsi="Times New Roman" w:eastAsia="宋体" w:cs="Times New Roman"/>
      <w:sz w:val="22"/>
      <w:lang w:val="en-US" w:eastAsia="zh-CN" w:bidi="ar-SA"/>
    </w:rPr>
  </w:style>
  <w:style w:type="paragraph" w:customStyle="1" w:styleId="75">
    <w:name w:val="附录标题"/>
    <w:next w:val="1"/>
    <w:qFormat/>
    <w:uiPriority w:val="0"/>
    <w:pPr>
      <w:widowControl w:val="0"/>
      <w:spacing w:after="240" w:line="278" w:lineRule="auto"/>
      <w:outlineLvl w:val="0"/>
    </w:pPr>
    <w:rPr>
      <w:rFonts w:ascii="Times New Roman" w:hAnsi="Times New Roman" w:eastAsia="宋体" w:cs="Times New Roman"/>
      <w:b/>
      <w:sz w:val="24"/>
      <w:lang w:val="en-US" w:eastAsia="zh-CN" w:bidi="ar-SA"/>
    </w:rPr>
  </w:style>
  <w:style w:type="paragraph" w:customStyle="1" w:styleId="76">
    <w:name w:val="章前标题"/>
    <w:next w:val="1"/>
    <w:qFormat/>
    <w:uiPriority w:val="0"/>
    <w:pPr>
      <w:widowControl w:val="0"/>
      <w:spacing w:before="240" w:after="240" w:line="278" w:lineRule="auto"/>
      <w:jc w:val="center"/>
    </w:pPr>
    <w:rPr>
      <w:rFonts w:ascii="黑体" w:hAnsi="黑体" w:eastAsia="黑体" w:cs="黑体"/>
      <w:kern w:val="44"/>
      <w:sz w:val="32"/>
      <w:szCs w:val="36"/>
      <w:lang w:val="en-US" w:eastAsia="zh-CN" w:bidi="ar-SA"/>
    </w:rPr>
  </w:style>
  <w:style w:type="paragraph" w:customStyle="1" w:styleId="77">
    <w:name w:val="章节标题"/>
    <w:next w:val="1"/>
    <w:qFormat/>
    <w:uiPriority w:val="0"/>
    <w:pPr>
      <w:widowControl w:val="0"/>
      <w:spacing w:before="240" w:after="240" w:line="278" w:lineRule="auto"/>
      <w:jc w:val="center"/>
      <w:outlineLvl w:val="0"/>
    </w:pPr>
    <w:rPr>
      <w:rFonts w:ascii="Times New Roman" w:hAnsi="Times New Roman" w:eastAsia="黑体" w:cs="Times New Roman"/>
      <w:kern w:val="44"/>
      <w:sz w:val="32"/>
      <w:szCs w:val="36"/>
      <w:lang w:val="en-US" w:eastAsia="zh-CN" w:bidi="ar-SA"/>
    </w:rPr>
  </w:style>
  <w:style w:type="paragraph" w:customStyle="1" w:styleId="78">
    <w:name w:val="文档说明标题"/>
    <w:next w:val="1"/>
    <w:qFormat/>
    <w:uiPriority w:val="0"/>
    <w:pPr>
      <w:widowControl w:val="0"/>
      <w:spacing w:before="240" w:after="240" w:line="278" w:lineRule="auto"/>
      <w:jc w:val="center"/>
    </w:pPr>
    <w:rPr>
      <w:rFonts w:ascii="Times New Roman" w:hAnsi="Times New Roman" w:eastAsia="宋体" w:cs="Times New Roman"/>
      <w:b/>
      <w:sz w:val="32"/>
      <w:lang w:val="en-US" w:eastAsia="zh-CN" w:bidi="ar-SA"/>
    </w:rPr>
  </w:style>
  <w:style w:type="paragraph" w:customStyle="1" w:styleId="79">
    <w:name w:val="内嵌文档标题1"/>
    <w:next w:val="1"/>
    <w:qFormat/>
    <w:uiPriority w:val="0"/>
    <w:pPr>
      <w:widowControl w:val="0"/>
      <w:spacing w:before="240" w:after="240" w:line="360" w:lineRule="auto"/>
      <w:jc w:val="center"/>
      <w:outlineLvl w:val="0"/>
    </w:pPr>
    <w:rPr>
      <w:rFonts w:ascii="Times New Roman" w:hAnsi="Times New Roman" w:eastAsia="宋体" w:cs="Times New Roman"/>
      <w:b/>
      <w:kern w:val="2"/>
      <w:sz w:val="24"/>
      <w:lang w:val="en-US" w:eastAsia="zh-CN" w:bidi="ar-SA"/>
    </w:rPr>
  </w:style>
  <w:style w:type="paragraph" w:customStyle="1" w:styleId="80">
    <w:name w:val="强调标题"/>
    <w:next w:val="1"/>
    <w:qFormat/>
    <w:uiPriority w:val="0"/>
    <w:pPr>
      <w:spacing w:after="120" w:line="360" w:lineRule="auto"/>
      <w:ind w:firstLine="420" w:firstLineChars="200"/>
      <w:outlineLvl w:val="0"/>
    </w:pPr>
    <w:rPr>
      <w:rFonts w:ascii="Calibri" w:hAnsi="Calibri" w:eastAsia="宋体" w:cs="Times New Roman"/>
      <w:b/>
      <w:sz w:val="24"/>
      <w:lang w:val="en-US" w:eastAsia="zh-CN" w:bidi="ar-SA"/>
    </w:rPr>
  </w:style>
  <w:style w:type="paragraph" w:customStyle="1" w:styleId="81">
    <w:name w:val="表格标题"/>
    <w:next w:val="1"/>
    <w:qFormat/>
    <w:uiPriority w:val="0"/>
    <w:pPr>
      <w:widowControl w:val="0"/>
      <w:spacing w:before="240" w:after="240" w:line="278" w:lineRule="auto"/>
      <w:jc w:val="center"/>
    </w:pPr>
    <w:rPr>
      <w:rFonts w:ascii="宋体" w:hAnsi="宋体" w:eastAsia="宋体" w:cs="宋体"/>
      <w:b/>
      <w:sz w:val="24"/>
      <w:szCs w:val="22"/>
      <w:lang w:val="en-US" w:eastAsia="zh-CN" w:bidi="ar-SA"/>
    </w:rPr>
  </w:style>
  <w:style w:type="paragraph" w:customStyle="1" w:styleId="82">
    <w:name w:val="内嵌文档标题2"/>
    <w:next w:val="1"/>
    <w:qFormat/>
    <w:uiPriority w:val="0"/>
    <w:pPr>
      <w:widowControl w:val="0"/>
      <w:shd w:val="clear" w:color="auto" w:fill="FFFFFF"/>
      <w:spacing w:before="240" w:after="240" w:line="360" w:lineRule="auto"/>
      <w:jc w:val="center"/>
      <w:outlineLvl w:val="0"/>
    </w:pPr>
    <w:rPr>
      <w:rFonts w:ascii="宋体" w:hAnsi="宋体" w:eastAsia="宋体" w:cs="宋体"/>
      <w:b/>
      <w:bCs/>
      <w:sz w:val="24"/>
      <w:szCs w:val="30"/>
      <w:lang w:val="en-US" w:eastAsia="zh-CN" w:bidi="ar-SA"/>
    </w:rPr>
  </w:style>
  <w:style w:type="paragraph" w:customStyle="1" w:styleId="83">
    <w:name w:val="标题 11"/>
    <w:basedOn w:val="1"/>
    <w:qFormat/>
    <w:uiPriority w:val="1"/>
    <w:pPr>
      <w:spacing w:before="30"/>
      <w:ind w:left="664" w:right="665"/>
      <w:jc w:val="center"/>
      <w:outlineLvl w:val="1"/>
    </w:pPr>
    <w:rPr>
      <w:b/>
      <w:bCs/>
      <w:sz w:val="32"/>
      <w:szCs w:val="32"/>
    </w:rPr>
  </w:style>
  <w:style w:type="paragraph" w:customStyle="1" w:styleId="84">
    <w:name w:val="纯文本1"/>
    <w:basedOn w:val="1"/>
    <w:qFormat/>
    <w:uiPriority w:val="0"/>
    <w:pPr>
      <w:ind w:firstLine="200"/>
    </w:pPr>
    <w:rPr>
      <w:rFonts w:hAnsi="Courier New"/>
      <w:sz w:val="20"/>
      <w:szCs w:val="20"/>
    </w:rPr>
  </w:style>
  <w:style w:type="paragraph" w:customStyle="1" w:styleId="85">
    <w:name w:val="页眉1"/>
    <w:basedOn w:val="1"/>
    <w:qFormat/>
    <w:uiPriority w:val="99"/>
    <w:pPr>
      <w:pBdr>
        <w:bottom w:val="single" w:color="000000" w:sz="6" w:space="1"/>
      </w:pBdr>
      <w:tabs>
        <w:tab w:val="center" w:pos="4153"/>
        <w:tab w:val="right" w:pos="8306"/>
      </w:tabs>
      <w:jc w:val="center"/>
    </w:pPr>
    <w:rPr>
      <w:sz w:val="18"/>
      <w:szCs w:val="18"/>
    </w:rPr>
  </w:style>
  <w:style w:type="paragraph" w:customStyle="1" w:styleId="86">
    <w:name w:val="页脚1"/>
    <w:basedOn w:val="1"/>
    <w:qFormat/>
    <w:uiPriority w:val="0"/>
    <w:pPr>
      <w:tabs>
        <w:tab w:val="center" w:pos="4153"/>
        <w:tab w:val="right" w:pos="8306"/>
      </w:tabs>
    </w:pPr>
    <w:rPr>
      <w:sz w:val="18"/>
      <w:szCs w:val="20"/>
    </w:rPr>
  </w:style>
  <w:style w:type="character" w:customStyle="1" w:styleId="87">
    <w:name w:val="页码1"/>
    <w:qFormat/>
    <w:uiPriority w:val="0"/>
    <w:rPr>
      <w:rFonts w:ascii="宋体" w:hAnsi="宋体" w:eastAsia="宋体" w:cs="宋体"/>
      <w:sz w:val="24"/>
      <w:szCs w:val="22"/>
      <w:lang w:val="zh-CN" w:eastAsia="zh-CN" w:bidi="zh-CN"/>
    </w:rPr>
  </w:style>
  <w:style w:type="paragraph" w:customStyle="1" w:styleId="88">
    <w:name w:val="Char"/>
    <w:basedOn w:val="1"/>
    <w:next w:val="89"/>
    <w:qFormat/>
    <w:uiPriority w:val="0"/>
    <w:pPr>
      <w:spacing w:line="240" w:lineRule="exact"/>
    </w:pPr>
    <w:rPr>
      <w:rFonts w:ascii="Verdana" w:hAnsi="Verdana"/>
      <w:sz w:val="20"/>
      <w:szCs w:val="20"/>
      <w:lang w:eastAsia="en-US"/>
    </w:rPr>
  </w:style>
  <w:style w:type="paragraph" w:customStyle="1" w:styleId="89">
    <w:name w:val="reader-word-layer reader-word-s66-5 reader-word-s66-6"/>
    <w:basedOn w:val="1"/>
    <w:next w:val="22"/>
    <w:qFormat/>
    <w:uiPriority w:val="0"/>
    <w:pPr>
      <w:spacing w:before="100" w:beforeAutospacing="1" w:after="100" w:afterAutospacing="1" w:line="240" w:lineRule="auto"/>
      <w:ind w:firstLine="0" w:firstLineChars="0"/>
    </w:pPr>
    <w:rPr>
      <w:rFonts w:ascii="Times New Roman" w:hAnsi="Times New Roman"/>
      <w:kern w:val="2"/>
      <w:szCs w:val="24"/>
      <w:lang w:bidi="ar-SA"/>
    </w:rPr>
  </w:style>
  <w:style w:type="paragraph" w:customStyle="1" w:styleId="90">
    <w:name w:val="表格正文"/>
    <w:qFormat/>
    <w:uiPriority w:val="0"/>
    <w:pPr>
      <w:autoSpaceDE w:val="0"/>
      <w:autoSpaceDN w:val="0"/>
      <w:spacing w:after="160" w:line="278" w:lineRule="auto"/>
    </w:pPr>
    <w:rPr>
      <w:rFonts w:hint="eastAsia" w:ascii="Times New Roman" w:hAnsi="Times New Roman" w:eastAsia="宋体" w:cs="Times New Roman"/>
      <w:sz w:val="24"/>
      <w:szCs w:val="18"/>
      <w:lang w:val="en-US" w:eastAsia="zh-CN" w:bidi="ar-SA"/>
    </w:rPr>
  </w:style>
  <w:style w:type="paragraph" w:customStyle="1" w:styleId="91">
    <w:name w:val="招标"/>
    <w:basedOn w:val="1"/>
    <w:qFormat/>
    <w:uiPriority w:val="0"/>
    <w:pPr>
      <w:spacing w:line="400" w:lineRule="exact"/>
      <w:ind w:firstLine="420"/>
    </w:pPr>
  </w:style>
  <w:style w:type="paragraph" w:customStyle="1" w:styleId="92">
    <w:name w:val="修订3"/>
    <w:hidden/>
    <w:unhideWhenUsed/>
    <w:qFormat/>
    <w:uiPriority w:val="99"/>
    <w:rPr>
      <w:rFonts w:ascii="宋体" w:hAnsi="宋体" w:eastAsia="宋体" w:cs="宋体"/>
      <w:sz w:val="24"/>
      <w:szCs w:val="22"/>
      <w:lang w:val="zh-CN" w:eastAsia="zh-CN" w:bidi="zh-CN"/>
    </w:rPr>
  </w:style>
  <w:style w:type="paragraph" w:customStyle="1" w:styleId="93">
    <w:name w:val="修订4"/>
    <w:hidden/>
    <w:unhideWhenUsed/>
    <w:qFormat/>
    <w:uiPriority w:val="99"/>
    <w:rPr>
      <w:rFonts w:ascii="宋体" w:hAnsi="宋体" w:eastAsia="宋体" w:cs="宋体"/>
      <w:sz w:val="24"/>
      <w:szCs w:val="22"/>
      <w:lang w:val="zh-CN" w:eastAsia="zh-CN" w:bidi="zh-CN"/>
    </w:rPr>
  </w:style>
  <w:style w:type="paragraph" w:customStyle="1" w:styleId="94">
    <w:name w:val="修订5"/>
    <w:hidden/>
    <w:unhideWhenUsed/>
    <w:qFormat/>
    <w:uiPriority w:val="99"/>
    <w:rPr>
      <w:rFonts w:ascii="宋体" w:hAnsi="宋体" w:eastAsia="宋体" w:cs="宋体"/>
      <w:sz w:val="24"/>
      <w:szCs w:val="22"/>
      <w:lang w:val="zh-CN" w:eastAsia="zh-CN" w:bidi="zh-CN"/>
    </w:rPr>
  </w:style>
  <w:style w:type="paragraph" w:customStyle="1" w:styleId="95">
    <w:name w:val="BodyText"/>
    <w:basedOn w:val="1"/>
    <w:qFormat/>
    <w:uiPriority w:val="0"/>
    <w:pPr>
      <w:spacing w:after="120"/>
      <w:jc w:val="both"/>
      <w:textAlignment w:val="baseline"/>
    </w:pPr>
    <w:rPr>
      <w:rFonts w:ascii="Calibri" w:eastAsia="宋体"/>
      <w:kern w:val="0"/>
      <w:sz w:val="20"/>
      <w:szCs w:val="24"/>
      <w:lang w:val="en-US" w:eastAsia="zh-CN" w:bidi="ar-SA"/>
    </w:rPr>
  </w:style>
  <w:style w:type="paragraph" w:customStyle="1" w:styleId="96">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7">
    <w:name w:val="Table Text"/>
    <w:basedOn w:val="1"/>
    <w:semiHidden/>
    <w:qFormat/>
    <w:uiPriority w:val="0"/>
    <w:rPr>
      <w:sz w:val="24"/>
      <w:szCs w:val="24"/>
    </w:rPr>
  </w:style>
  <w:style w:type="paragraph" w:customStyle="1" w:styleId="98">
    <w:name w:val="列出段落12"/>
    <w:basedOn w:val="1"/>
    <w:qFormat/>
    <w:uiPriority w:val="0"/>
    <w:pPr>
      <w:ind w:left="720" w:firstLine="360"/>
    </w:pPr>
    <w:rPr>
      <w:sz w:val="22"/>
      <w:lang w:eastAsia="en-US"/>
    </w:rPr>
  </w:style>
  <w:style w:type="character" w:customStyle="1" w:styleId="99">
    <w:name w:val="xmbh"/>
    <w:basedOn w:val="30"/>
    <w:qFormat/>
    <w:uiPriority w:val="0"/>
    <w:rPr>
      <w:color w:val="A98123"/>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20195</Words>
  <Characters>21214</Characters>
  <Lines>1231</Lines>
  <Paragraphs>1180</Paragraphs>
  <TotalTime>3</TotalTime>
  <ScaleCrop>false</ScaleCrop>
  <LinksUpToDate>false</LinksUpToDate>
  <CharactersWithSpaces>22000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2025-05-25T23:08:00Z</dcterms:created>
  <dc:creator>Administrator</dc:creator>
  <cp:lastModifiedBy>代理</cp:lastModifiedBy>
  <cp:lastPrinted>2022-09-02T18:13:00Z</cp:lastPrinted>
  <dcterms:modified xsi:type="dcterms:W3CDTF">2025-07-10T07:54:58Z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2020-08-20T00:00:00Z</vt:filetime>
  </property>
  <property fmtid="{D5CDD505-2E9C-101B-9397-08002B2CF9AE}" pid="3" name="Creator">
    <vt:lpwstr>WPS 文字</vt:lpwstr>
  </property>
  <property fmtid="{D5CDD505-2E9C-101B-9397-08002B2CF9AE}" pid="4" name="LastSaved">
    <vt:filetime>2020-08-23T00:00:00Z</vt:filetime>
  </property>
  <property fmtid="{D5CDD505-2E9C-101B-9397-08002B2CF9AE}" pid="5" name="KSOProductBuildVer">
    <vt:lpwstr>2052-12.1.0.21915</vt:lpwstr>
  </property>
  <property fmtid="{D5CDD505-2E9C-101B-9397-08002B2CF9AE}" pid="6" name="ICV">
    <vt:lpwstr>FB4124081A7542089AB8BF3A9CCCF63F_13</vt:lpwstr>
  </property>
  <property fmtid="{D5CDD505-2E9C-101B-9397-08002B2CF9AE}" pid="7" name="KSOTemplateDocerSaveRecord">
    <vt:lpwstr>eyJoZGlkIjoiMzYwM2E0OTM1MTNmYjdhZDYzZTk0ZmY4ODg5YjlmZWEiLCJ1c2VySWQiOiI0MzkyODMxNDkifQ==</vt:lpwstr>
  </property>
</Properties>
</file>