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DC64A">
      <w:pPr>
        <w:autoSpaceDE/>
        <w:autoSpaceDN/>
        <w:ind w:firstLine="0" w:firstLineChars="0"/>
        <w:jc w:val="center"/>
        <w:rPr>
          <w:rFonts w:hint="eastAsia" w:ascii="宋体" w:hAnsi="宋体" w:eastAsia="宋体" w:cs="宋体"/>
          <w:b/>
          <w:color w:val="000000" w:themeColor="text1"/>
          <w:kern w:val="2"/>
          <w:sz w:val="48"/>
          <w:szCs w:val="48"/>
          <w:highlight w:val="none"/>
          <w:lang w:val="en-US" w:eastAsia="zh-CN" w:bidi="ar-SA"/>
          <w14:textFill>
            <w14:solidFill>
              <w14:schemeClr w14:val="tx1"/>
            </w14:solidFill>
          </w14:textFill>
        </w:rPr>
      </w:pPr>
      <w:r>
        <w:rPr>
          <w:rFonts w:hint="eastAsia" w:cs="宋体"/>
          <w:b/>
          <w:color w:val="000000" w:themeColor="text1"/>
          <w:kern w:val="2"/>
          <w:sz w:val="48"/>
          <w:szCs w:val="48"/>
          <w:highlight w:val="none"/>
          <w:lang w:val="en-US" w:eastAsia="zh-CN" w:bidi="ar-SA"/>
          <w14:textFill>
            <w14:solidFill>
              <w14:schemeClr w14:val="tx1"/>
            </w14:solidFill>
          </w14:textFill>
        </w:rPr>
        <w:t>南京市栖霞区市政设施综合养护管理所</w:t>
      </w:r>
    </w:p>
    <w:p w14:paraId="247CEB76">
      <w:pPr>
        <w:autoSpaceDE/>
        <w:autoSpaceDN/>
        <w:ind w:firstLine="0" w:firstLineChars="0"/>
        <w:jc w:val="center"/>
        <w:rPr>
          <w:rFonts w:hint="eastAsia" w:ascii="宋体" w:hAnsi="宋体" w:eastAsia="宋体" w:cs="宋体"/>
          <w:b/>
          <w:color w:val="000000" w:themeColor="text1"/>
          <w:kern w:val="2"/>
          <w:sz w:val="48"/>
          <w:szCs w:val="48"/>
          <w:highlight w:val="none"/>
          <w:lang w:val="en-US" w:eastAsia="zh-CN" w:bidi="ar-SA"/>
          <w14:textFill>
            <w14:solidFill>
              <w14:schemeClr w14:val="tx1"/>
            </w14:solidFill>
          </w14:textFill>
        </w:rPr>
      </w:pPr>
      <w:r>
        <w:rPr>
          <w:rFonts w:hint="eastAsia" w:cs="宋体"/>
          <w:b/>
          <w:color w:val="000000" w:themeColor="text1"/>
          <w:kern w:val="2"/>
          <w:sz w:val="48"/>
          <w:szCs w:val="48"/>
          <w:highlight w:val="none"/>
          <w:lang w:val="en-US" w:eastAsia="zh-CN" w:bidi="ar-SA"/>
          <w14:textFill>
            <w14:solidFill>
              <w14:schemeClr w14:val="tx1"/>
            </w14:solidFill>
          </w14:textFill>
        </w:rPr>
        <w:t>栖霞区市政所2025年-2026年（1年）市政绿化提升养护设计服务项目</w:t>
      </w:r>
    </w:p>
    <w:p w14:paraId="6761DAE4">
      <w:pPr>
        <w:ind w:firstLine="480"/>
        <w:rPr>
          <w:rFonts w:hint="eastAsia" w:ascii="宋体" w:hAnsi="宋体" w:eastAsia="宋体" w:cs="宋体"/>
          <w:color w:val="000000" w:themeColor="text1"/>
          <w:highlight w:val="none"/>
          <w:lang w:val="en-US"/>
          <w14:textFill>
            <w14:solidFill>
              <w14:schemeClr w14:val="tx1"/>
            </w14:solidFill>
          </w14:textFill>
        </w:rPr>
      </w:pPr>
    </w:p>
    <w:p w14:paraId="3017528B">
      <w:pPr>
        <w:ind w:firstLine="420"/>
        <w:jc w:val="center"/>
        <w:rPr>
          <w:rFonts w:hint="eastAsia" w:ascii="宋体" w:hAnsi="宋体" w:eastAsia="宋体" w:cs="宋体"/>
          <w:color w:val="000000" w:themeColor="text1"/>
          <w:sz w:val="21"/>
          <w:szCs w:val="21"/>
          <w:highlight w:val="none"/>
          <w:lang w:val="en-US" w:bidi="ar-SA"/>
          <w14:textFill>
            <w14:solidFill>
              <w14:schemeClr w14:val="tx1"/>
            </w14:solidFill>
          </w14:textFill>
        </w:rPr>
      </w:pPr>
    </w:p>
    <w:p w14:paraId="4A24A1A0">
      <w:pPr>
        <w:ind w:firstLine="420"/>
        <w:jc w:val="center"/>
        <w:rPr>
          <w:rFonts w:hint="eastAsia" w:ascii="宋体" w:hAnsi="宋体" w:eastAsia="宋体" w:cs="宋体"/>
          <w:color w:val="000000" w:themeColor="text1"/>
          <w:sz w:val="21"/>
          <w:szCs w:val="21"/>
          <w:highlight w:val="none"/>
          <w:lang w:val="en-US" w:bidi="ar-SA"/>
          <w14:textFill>
            <w14:solidFill>
              <w14:schemeClr w14:val="tx1"/>
            </w14:solidFill>
          </w14:textFill>
        </w:rPr>
      </w:pPr>
    </w:p>
    <w:p w14:paraId="00C518E4">
      <w:pPr>
        <w:ind w:firstLine="420"/>
        <w:jc w:val="center"/>
        <w:rPr>
          <w:rFonts w:hint="eastAsia" w:ascii="宋体" w:hAnsi="宋体" w:eastAsia="宋体" w:cs="宋体"/>
          <w:color w:val="000000" w:themeColor="text1"/>
          <w:sz w:val="21"/>
          <w:szCs w:val="21"/>
          <w:highlight w:val="none"/>
          <w:lang w:val="en-US" w:bidi="ar-SA"/>
          <w14:textFill>
            <w14:solidFill>
              <w14:schemeClr w14:val="tx1"/>
            </w14:solidFill>
          </w14:textFill>
        </w:rPr>
      </w:pPr>
    </w:p>
    <w:p w14:paraId="4ACE37C1">
      <w:pPr>
        <w:ind w:firstLine="420"/>
        <w:jc w:val="center"/>
        <w:rPr>
          <w:rFonts w:hint="eastAsia" w:ascii="宋体" w:hAnsi="宋体" w:eastAsia="宋体" w:cs="宋体"/>
          <w:color w:val="000000" w:themeColor="text1"/>
          <w:sz w:val="21"/>
          <w:szCs w:val="21"/>
          <w:highlight w:val="none"/>
          <w:lang w:val="en-US" w:bidi="ar-SA"/>
          <w14:textFill>
            <w14:solidFill>
              <w14:schemeClr w14:val="tx1"/>
            </w14:solidFill>
          </w14:textFill>
        </w:rPr>
      </w:pPr>
    </w:p>
    <w:p w14:paraId="42CDD989">
      <w:pPr>
        <w:ind w:firstLine="420"/>
        <w:jc w:val="center"/>
        <w:rPr>
          <w:rFonts w:hint="eastAsia" w:ascii="宋体" w:hAnsi="宋体" w:eastAsia="宋体" w:cs="宋体"/>
          <w:color w:val="000000" w:themeColor="text1"/>
          <w:sz w:val="21"/>
          <w:szCs w:val="21"/>
          <w:highlight w:val="none"/>
          <w:lang w:val="en-US" w:bidi="ar-SA"/>
          <w14:textFill>
            <w14:solidFill>
              <w14:schemeClr w14:val="tx1"/>
            </w14:solidFill>
          </w14:textFill>
        </w:rPr>
      </w:pPr>
    </w:p>
    <w:p w14:paraId="6356F02D">
      <w:pPr>
        <w:ind w:firstLine="420"/>
        <w:jc w:val="center"/>
        <w:rPr>
          <w:rFonts w:hint="eastAsia" w:ascii="宋体" w:hAnsi="宋体" w:eastAsia="宋体" w:cs="宋体"/>
          <w:color w:val="000000" w:themeColor="text1"/>
          <w:sz w:val="21"/>
          <w:szCs w:val="21"/>
          <w:highlight w:val="none"/>
          <w:lang w:val="en-US" w:bidi="ar-SA"/>
          <w14:textFill>
            <w14:solidFill>
              <w14:schemeClr w14:val="tx1"/>
            </w14:solidFill>
          </w14:textFill>
        </w:rPr>
      </w:pPr>
    </w:p>
    <w:p w14:paraId="4B1A9B41">
      <w:pPr>
        <w:ind w:firstLine="420"/>
        <w:jc w:val="center"/>
        <w:rPr>
          <w:rFonts w:hint="eastAsia" w:ascii="宋体" w:hAnsi="宋体" w:eastAsia="宋体" w:cs="宋体"/>
          <w:color w:val="000000" w:themeColor="text1"/>
          <w:sz w:val="21"/>
          <w:szCs w:val="21"/>
          <w:highlight w:val="none"/>
          <w:lang w:val="en-US" w:bidi="ar-SA"/>
          <w14:textFill>
            <w14:solidFill>
              <w14:schemeClr w14:val="tx1"/>
            </w14:solidFill>
          </w14:textFill>
        </w:rPr>
      </w:pPr>
    </w:p>
    <w:p w14:paraId="56F9BB6D">
      <w:pPr>
        <w:ind w:firstLine="420"/>
        <w:jc w:val="center"/>
        <w:rPr>
          <w:rFonts w:hint="eastAsia" w:ascii="宋体" w:hAnsi="宋体" w:eastAsia="宋体" w:cs="宋体"/>
          <w:color w:val="000000" w:themeColor="text1"/>
          <w:sz w:val="21"/>
          <w:szCs w:val="21"/>
          <w:highlight w:val="none"/>
          <w:lang w:val="en-US" w:bidi="ar-SA"/>
          <w14:textFill>
            <w14:solidFill>
              <w14:schemeClr w14:val="tx1"/>
            </w14:solidFill>
          </w14:textFill>
        </w:rPr>
      </w:pPr>
    </w:p>
    <w:p w14:paraId="09C65FB0">
      <w:pPr>
        <w:autoSpaceDE/>
        <w:autoSpaceDN/>
        <w:ind w:firstLine="0" w:firstLineChars="0"/>
        <w:jc w:val="center"/>
        <w:rPr>
          <w:rFonts w:hint="eastAsia" w:ascii="宋体" w:hAnsi="宋体" w:eastAsia="宋体" w:cs="宋体"/>
          <w:color w:val="000000" w:themeColor="text1"/>
          <w:kern w:val="2"/>
          <w:sz w:val="72"/>
          <w:szCs w:val="72"/>
          <w:highlight w:val="none"/>
          <w:lang w:val="en-US" w:bidi="ar-SA"/>
          <w14:textFill>
            <w14:solidFill>
              <w14:schemeClr w14:val="tx1"/>
            </w14:solidFill>
          </w14:textFill>
        </w:rPr>
      </w:pPr>
      <w:r>
        <w:rPr>
          <w:rFonts w:hint="eastAsia" w:ascii="宋体" w:hAnsi="宋体" w:eastAsia="宋体" w:cs="宋体"/>
          <w:color w:val="000000" w:themeColor="text1"/>
          <w:kern w:val="2"/>
          <w:sz w:val="72"/>
          <w:szCs w:val="72"/>
          <w:highlight w:val="none"/>
          <w:lang w:val="en-US" w:bidi="ar-SA"/>
          <w14:textFill>
            <w14:solidFill>
              <w14:schemeClr w14:val="tx1"/>
            </w14:solidFill>
          </w14:textFill>
        </w:rPr>
        <w:t>招 标 文 件</w:t>
      </w:r>
    </w:p>
    <w:p w14:paraId="1A519777">
      <w:pPr>
        <w:autoSpaceDE/>
        <w:autoSpaceDN/>
        <w:ind w:firstLine="0" w:firstLineChars="0"/>
        <w:jc w:val="center"/>
        <w:rPr>
          <w:rFonts w:hint="default" w:ascii="宋体" w:hAnsi="宋体" w:eastAsia="宋体" w:cs="宋体"/>
          <w:color w:val="000000" w:themeColor="text1"/>
          <w:kern w:val="2"/>
          <w:sz w:val="40"/>
          <w:szCs w:val="4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40"/>
          <w:szCs w:val="40"/>
          <w:highlight w:val="none"/>
          <w:lang w:val="en-US" w:bidi="ar-SA"/>
          <w14:textFill>
            <w14:solidFill>
              <w14:schemeClr w14:val="tx1"/>
            </w14:solidFill>
          </w14:textFill>
        </w:rPr>
        <w:t>项目编号：</w:t>
      </w:r>
      <w:r>
        <w:rPr>
          <w:rFonts w:hint="eastAsia" w:cs="宋体"/>
          <w:color w:val="000000" w:themeColor="text1"/>
          <w:kern w:val="2"/>
          <w:sz w:val="40"/>
          <w:szCs w:val="40"/>
          <w:highlight w:val="none"/>
          <w:lang w:val="en-US" w:eastAsia="zh-CN" w:bidi="ar-SA"/>
          <w14:textFill>
            <w14:solidFill>
              <w14:schemeClr w14:val="tx1"/>
            </w14:solidFill>
          </w14:textFill>
        </w:rPr>
        <w:t>NJKJ-20250710-1</w:t>
      </w:r>
    </w:p>
    <w:p w14:paraId="472C705E">
      <w:pPr>
        <w:autoSpaceDE/>
        <w:autoSpaceDN/>
        <w:ind w:firstLine="0" w:firstLineChars="0"/>
        <w:jc w:val="center"/>
        <w:rPr>
          <w:rFonts w:hint="eastAsia" w:ascii="宋体" w:hAnsi="宋体" w:eastAsia="宋体" w:cs="宋体"/>
          <w:color w:val="000000" w:themeColor="text1"/>
          <w:kern w:val="2"/>
          <w:sz w:val="40"/>
          <w:szCs w:val="40"/>
          <w:highlight w:val="none"/>
          <w:lang w:val="en-US" w:bidi="ar-SA"/>
          <w14:textFill>
            <w14:solidFill>
              <w14:schemeClr w14:val="tx1"/>
            </w14:solidFill>
          </w14:textFill>
        </w:rPr>
      </w:pPr>
    </w:p>
    <w:p w14:paraId="0EDFB293">
      <w:pPr>
        <w:ind w:firstLine="480"/>
        <w:rPr>
          <w:rFonts w:hint="eastAsia" w:ascii="宋体" w:hAnsi="宋体" w:eastAsia="宋体" w:cs="宋体"/>
          <w:color w:val="000000" w:themeColor="text1"/>
          <w:highlight w:val="none"/>
          <w:lang w:val="en-US"/>
          <w14:textFill>
            <w14:solidFill>
              <w14:schemeClr w14:val="tx1"/>
            </w14:solidFill>
          </w14:textFill>
        </w:rPr>
      </w:pPr>
    </w:p>
    <w:p w14:paraId="36D25E83">
      <w:pPr>
        <w:autoSpaceDE/>
        <w:autoSpaceDN/>
        <w:ind w:firstLine="720"/>
        <w:rPr>
          <w:rFonts w:hint="eastAsia" w:ascii="宋体" w:hAnsi="宋体" w:eastAsia="宋体" w:cs="宋体"/>
          <w:color w:val="000000" w:themeColor="text1"/>
          <w:kern w:val="2"/>
          <w:sz w:val="36"/>
          <w:szCs w:val="36"/>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36"/>
          <w:szCs w:val="36"/>
          <w:highlight w:val="none"/>
          <w:lang w:val="en-US" w:bidi="ar-SA"/>
          <w14:textFill>
            <w14:solidFill>
              <w14:schemeClr w14:val="tx1"/>
            </w14:solidFill>
          </w14:textFill>
        </w:rPr>
        <w:t>采购人：</w:t>
      </w:r>
      <w:r>
        <w:rPr>
          <w:rFonts w:hint="eastAsia" w:cs="宋体"/>
          <w:color w:val="000000" w:themeColor="text1"/>
          <w:kern w:val="2"/>
          <w:sz w:val="36"/>
          <w:szCs w:val="36"/>
          <w:highlight w:val="none"/>
          <w:lang w:val="en-US" w:eastAsia="zh-CN" w:bidi="ar-SA"/>
          <w14:textFill>
            <w14:solidFill>
              <w14:schemeClr w14:val="tx1"/>
            </w14:solidFill>
          </w14:textFill>
        </w:rPr>
        <w:t>南京市栖霞区市政设施综合养护管理所</w:t>
      </w:r>
    </w:p>
    <w:p w14:paraId="3F808867">
      <w:pPr>
        <w:autoSpaceDE/>
        <w:autoSpaceDN/>
        <w:ind w:firstLine="720"/>
        <w:rPr>
          <w:rFonts w:hint="eastAsia" w:ascii="宋体" w:hAnsi="宋体" w:eastAsia="宋体" w:cs="宋体"/>
          <w:color w:val="000000" w:themeColor="text1"/>
          <w:kern w:val="2"/>
          <w:sz w:val="36"/>
          <w:szCs w:val="36"/>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36"/>
          <w:szCs w:val="36"/>
          <w:highlight w:val="none"/>
          <w:lang w:val="en-US" w:bidi="ar-SA"/>
          <w14:textFill>
            <w14:solidFill>
              <w14:schemeClr w14:val="tx1"/>
            </w14:solidFill>
          </w14:textFill>
        </w:rPr>
        <w:t>采购代理机构：</w:t>
      </w:r>
      <w:r>
        <w:rPr>
          <w:rFonts w:hint="eastAsia" w:cs="宋体"/>
          <w:color w:val="000000" w:themeColor="text1"/>
          <w:kern w:val="2"/>
          <w:sz w:val="36"/>
          <w:szCs w:val="36"/>
          <w:highlight w:val="none"/>
          <w:lang w:val="en-US" w:eastAsia="zh-CN" w:bidi="ar-SA"/>
          <w14:textFill>
            <w14:solidFill>
              <w14:schemeClr w14:val="tx1"/>
            </w14:solidFill>
          </w14:textFill>
        </w:rPr>
        <w:t>南京科谨工程管理咨询有限责任公司</w:t>
      </w:r>
    </w:p>
    <w:p w14:paraId="40FDB5D4">
      <w:pPr>
        <w:autoSpaceDE/>
        <w:autoSpaceDN/>
        <w:ind w:firstLine="720"/>
        <w:rPr>
          <w:rFonts w:hint="eastAsia" w:ascii="宋体" w:hAnsi="宋体" w:eastAsia="宋体" w:cs="宋体"/>
          <w:color w:val="000000" w:themeColor="text1"/>
          <w:spacing w:val="-10"/>
          <w:sz w:val="36"/>
          <w:szCs w:val="36"/>
          <w:highlight w:val="none"/>
          <w:lang w:val="en-US"/>
          <w14:textFill>
            <w14:solidFill>
              <w14:schemeClr w14:val="tx1"/>
            </w14:solidFill>
          </w14:textFill>
        </w:rPr>
      </w:pPr>
      <w:r>
        <w:rPr>
          <w:rFonts w:hint="eastAsia" w:ascii="宋体" w:hAnsi="宋体" w:eastAsia="宋体" w:cs="宋体"/>
          <w:color w:val="000000" w:themeColor="text1"/>
          <w:kern w:val="2"/>
          <w:sz w:val="36"/>
          <w:szCs w:val="36"/>
          <w:highlight w:val="none"/>
          <w:lang w:val="en-US" w:bidi="ar-SA"/>
          <w14:textFill>
            <w14:solidFill>
              <w14:schemeClr w14:val="tx1"/>
            </w14:solidFill>
          </w14:textFill>
        </w:rPr>
        <w:t>日期：</w:t>
      </w:r>
      <w:r>
        <w:rPr>
          <w:rFonts w:hint="eastAsia" w:ascii="宋体" w:hAnsi="宋体" w:eastAsia="宋体" w:cs="宋体"/>
          <w:color w:val="000000" w:themeColor="text1"/>
          <w:kern w:val="2"/>
          <w:sz w:val="36"/>
          <w:szCs w:val="36"/>
          <w:highlight w:val="none"/>
          <w14:textFill>
            <w14:solidFill>
              <w14:schemeClr w14:val="tx1"/>
            </w14:solidFill>
          </w14:textFill>
        </w:rPr>
        <w:t>二〇二</w:t>
      </w:r>
      <w:r>
        <w:rPr>
          <w:rFonts w:hint="eastAsia" w:ascii="宋体" w:hAnsi="宋体" w:eastAsia="宋体" w:cs="宋体"/>
          <w:color w:val="000000" w:themeColor="text1"/>
          <w:kern w:val="2"/>
          <w:sz w:val="36"/>
          <w:szCs w:val="36"/>
          <w:highlight w:val="none"/>
          <w:lang w:val="en-US"/>
          <w14:textFill>
            <w14:solidFill>
              <w14:schemeClr w14:val="tx1"/>
            </w14:solidFill>
          </w14:textFill>
        </w:rPr>
        <w:t>五</w:t>
      </w:r>
      <w:r>
        <w:rPr>
          <w:rFonts w:hint="eastAsia" w:ascii="宋体" w:hAnsi="宋体" w:eastAsia="宋体" w:cs="宋体"/>
          <w:color w:val="000000" w:themeColor="text1"/>
          <w:kern w:val="2"/>
          <w:sz w:val="36"/>
          <w:szCs w:val="36"/>
          <w:highlight w:val="none"/>
          <w14:textFill>
            <w14:solidFill>
              <w14:schemeClr w14:val="tx1"/>
            </w14:solidFill>
          </w14:textFill>
        </w:rPr>
        <w:t>年</w:t>
      </w:r>
      <w:r>
        <w:rPr>
          <w:rFonts w:hint="eastAsia" w:cs="宋体"/>
          <w:color w:val="000000" w:themeColor="text1"/>
          <w:kern w:val="2"/>
          <w:sz w:val="36"/>
          <w:szCs w:val="36"/>
          <w:highlight w:val="none"/>
          <w:lang w:eastAsia="zh-CN"/>
          <w14:textFill>
            <w14:solidFill>
              <w14:schemeClr w14:val="tx1"/>
            </w14:solidFill>
          </w14:textFill>
        </w:rPr>
        <w:t>七</w:t>
      </w:r>
      <w:r>
        <w:rPr>
          <w:rFonts w:hint="eastAsia" w:ascii="宋体" w:hAnsi="宋体" w:eastAsia="宋体" w:cs="宋体"/>
          <w:color w:val="000000" w:themeColor="text1"/>
          <w:kern w:val="2"/>
          <w:sz w:val="36"/>
          <w:szCs w:val="36"/>
          <w:highlight w:val="none"/>
          <w14:textFill>
            <w14:solidFill>
              <w14:schemeClr w14:val="tx1"/>
            </w14:solidFill>
          </w14:textFill>
        </w:rPr>
        <w:t>月</w:t>
      </w:r>
      <w:r>
        <w:rPr>
          <w:rFonts w:hint="eastAsia" w:ascii="宋体" w:hAnsi="宋体" w:eastAsia="宋体" w:cs="宋体"/>
          <w:color w:val="000000" w:themeColor="text1"/>
          <w:spacing w:val="-10"/>
          <w:sz w:val="36"/>
          <w:szCs w:val="36"/>
          <w:highlight w:val="none"/>
          <w:lang w:val="en-US"/>
          <w14:textFill>
            <w14:solidFill>
              <w14:schemeClr w14:val="tx1"/>
            </w14:solidFill>
          </w14:textFill>
        </w:rPr>
        <w:br w:type="page"/>
      </w:r>
    </w:p>
    <w:p w14:paraId="60355AC2">
      <w:pPr>
        <w:pStyle w:val="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第一章  招标公告</w:t>
      </w:r>
    </w:p>
    <w:tbl>
      <w:tblPr>
        <w:tblStyle w:val="29"/>
        <w:tblW w:w="966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7"/>
      </w:tblGrid>
      <w:tr w14:paraId="4F56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9667" w:type="dxa"/>
          </w:tcPr>
          <w:p w14:paraId="79E7AF05">
            <w:pPr>
              <w:keepNext w:val="0"/>
              <w:keepLines w:val="0"/>
              <w:pageBreakBefore w:val="0"/>
              <w:widowControl w:val="0"/>
              <w:kinsoku/>
              <w:wordWrap/>
              <w:overflowPunct/>
              <w:topLinePunct w:val="0"/>
              <w:autoSpaceDE w:val="0"/>
              <w:autoSpaceDN w:val="0"/>
              <w:bidi w:val="0"/>
              <w:adjustRightInd/>
              <w:snapToGrid/>
              <w:spacing w:after="0" w:line="360" w:lineRule="auto"/>
              <w:ind w:firstLine="480"/>
              <w:jc w:val="both"/>
              <w:textAlignment w:val="auto"/>
              <w:rPr>
                <w:rFonts w:hint="eastAsia" w:ascii="宋体" w:hAnsi="宋体" w:eastAsia="宋体" w:cs="宋体"/>
                <w:color w:val="000000" w:themeColor="text1"/>
                <w:highlight w:val="none"/>
                <w14:textFill>
                  <w14:solidFill>
                    <w14:schemeClr w14:val="tx1"/>
                  </w14:solidFill>
                </w14:textFill>
              </w:rPr>
            </w:pPr>
            <w:bookmarkStart w:id="0" w:name="_Toc28359002"/>
            <w:bookmarkStart w:id="1" w:name="_Toc35393621"/>
            <w:bookmarkStart w:id="2" w:name="_Toc35393790"/>
            <w:bookmarkStart w:id="3" w:name="_Toc28359079"/>
            <w:bookmarkStart w:id="4" w:name="_Hlk24379207"/>
            <w:bookmarkStart w:id="5" w:name="_Toc35393617"/>
            <w:bookmarkStart w:id="6" w:name="_Toc35393786"/>
            <w:bookmarkStart w:id="7" w:name="_Toc28358998"/>
            <w:bookmarkStart w:id="8" w:name="_Toc28359075"/>
            <w:r>
              <w:rPr>
                <w:rFonts w:hint="eastAsia" w:ascii="宋体" w:hAnsi="宋体" w:eastAsia="宋体" w:cs="宋体"/>
                <w:color w:val="000000" w:themeColor="text1"/>
                <w:highlight w:val="none"/>
                <w14:textFill>
                  <w14:solidFill>
                    <w14:schemeClr w14:val="tx1"/>
                  </w14:solidFill>
                </w14:textFill>
              </w:rPr>
              <w:t>项目概况：</w:t>
            </w:r>
          </w:p>
          <w:p w14:paraId="48325E42">
            <w:pPr>
              <w:keepNext w:val="0"/>
              <w:keepLines w:val="0"/>
              <w:pageBreakBefore w:val="0"/>
              <w:widowControl w:val="0"/>
              <w:kinsoku/>
              <w:wordWrap/>
              <w:overflowPunct/>
              <w:topLinePunct w:val="0"/>
              <w:autoSpaceDE w:val="0"/>
              <w:autoSpaceDN w:val="0"/>
              <w:bidi w:val="0"/>
              <w:adjustRightInd/>
              <w:snapToGrid/>
              <w:spacing w:after="0" w:line="360" w:lineRule="auto"/>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u w:val="single"/>
                <w:lang w:eastAsia="zh-CN"/>
                <w14:textFill>
                  <w14:solidFill>
                    <w14:schemeClr w14:val="tx1"/>
                  </w14:solidFill>
                </w14:textFill>
              </w:rPr>
              <w:t>栖霞区市政所2025年-2026年（1年）市政绿化提升养护设计服务项目</w:t>
            </w:r>
            <w:r>
              <w:rPr>
                <w:rFonts w:hint="eastAsia" w:ascii="宋体" w:hAnsi="宋体" w:eastAsia="宋体" w:cs="宋体"/>
                <w:color w:val="000000" w:themeColor="text1"/>
                <w:highlight w:val="none"/>
                <w:u w:val="single"/>
                <w:lang w:val="en-US"/>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招标项目的潜在投标人应在</w:t>
            </w:r>
            <w:r>
              <w:rPr>
                <w:rFonts w:hint="eastAsia" w:cs="宋体"/>
                <w:color w:val="000000" w:themeColor="text1"/>
                <w:highlight w:val="none"/>
                <w:u w:val="single"/>
                <w:lang w:val="en-US" w:eastAsia="zh-CN"/>
                <w14:textFill>
                  <w14:solidFill>
                    <w14:schemeClr w14:val="tx1"/>
                  </w14:solidFill>
                </w14:textFill>
              </w:rPr>
              <w:t xml:space="preserve">南京市建邺区广聚路33号2505室 </w:t>
            </w:r>
            <w:r>
              <w:rPr>
                <w:rFonts w:hint="eastAsia" w:ascii="宋体" w:hAnsi="宋体" w:eastAsia="宋体" w:cs="宋体"/>
                <w:color w:val="000000" w:themeColor="text1"/>
                <w:highlight w:val="none"/>
                <w14:textFill>
                  <w14:solidFill>
                    <w14:schemeClr w14:val="tx1"/>
                  </w14:solidFill>
                </w14:textFill>
              </w:rPr>
              <w:t>获取招标文件，并于</w:t>
            </w:r>
            <w:r>
              <w:rPr>
                <w:rFonts w:hint="eastAsia" w:cs="宋体"/>
                <w:color w:val="000000" w:themeColor="text1"/>
                <w:highlight w:val="none"/>
                <w:u w:val="single"/>
                <w:lang w:eastAsia="zh-CN"/>
                <w14:textFill>
                  <w14:solidFill>
                    <w14:schemeClr w14:val="tx1"/>
                  </w14:solidFill>
                </w14:textFill>
              </w:rPr>
              <w:t>2025年</w:t>
            </w:r>
            <w:r>
              <w:rPr>
                <w:rFonts w:hint="eastAsia" w:cs="宋体"/>
                <w:color w:val="000000" w:themeColor="text1"/>
                <w:highlight w:val="none"/>
                <w:u w:val="single"/>
                <w:lang w:val="en-US" w:eastAsia="zh-CN"/>
                <w14:textFill>
                  <w14:solidFill>
                    <w14:schemeClr w14:val="tx1"/>
                  </w14:solidFill>
                </w14:textFill>
              </w:rPr>
              <w:t>7</w:t>
            </w:r>
            <w:r>
              <w:rPr>
                <w:rFonts w:hint="eastAsia" w:cs="宋体"/>
                <w:color w:val="000000" w:themeColor="text1"/>
                <w:highlight w:val="none"/>
                <w:u w:val="single"/>
                <w:lang w:eastAsia="zh-CN"/>
                <w14:textFill>
                  <w14:solidFill>
                    <w14:schemeClr w14:val="tx1"/>
                  </w14:solidFill>
                </w14:textFill>
              </w:rPr>
              <w:t>月</w:t>
            </w:r>
            <w:r>
              <w:rPr>
                <w:rFonts w:hint="eastAsia" w:cs="宋体"/>
                <w:color w:val="000000" w:themeColor="text1"/>
                <w:highlight w:val="none"/>
                <w:u w:val="single"/>
                <w:lang w:val="en-US" w:eastAsia="zh-CN"/>
                <w14:textFill>
                  <w14:solidFill>
                    <w14:schemeClr w14:val="tx1"/>
                  </w14:solidFill>
                </w14:textFill>
              </w:rPr>
              <w:t>31</w:t>
            </w:r>
            <w:r>
              <w:rPr>
                <w:rFonts w:hint="eastAsia" w:cs="宋体"/>
                <w:color w:val="000000" w:themeColor="text1"/>
                <w:highlight w:val="none"/>
                <w:u w:val="single"/>
                <w:lang w:eastAsia="zh-CN"/>
                <w14:textFill>
                  <w14:solidFill>
                    <w14:schemeClr w14:val="tx1"/>
                  </w14:solidFill>
                </w14:textFill>
              </w:rPr>
              <w:t>日</w:t>
            </w:r>
            <w:r>
              <w:rPr>
                <w:rFonts w:hint="eastAsia" w:cs="宋体"/>
                <w:color w:val="000000" w:themeColor="text1"/>
                <w:highlight w:val="none"/>
                <w:u w:val="single"/>
                <w:lang w:val="en-US" w:eastAsia="zh-CN"/>
                <w14:textFill>
                  <w14:solidFill>
                    <w14:schemeClr w14:val="tx1"/>
                  </w14:solidFill>
                </w14:textFill>
              </w:rPr>
              <w:t>9</w:t>
            </w:r>
            <w:r>
              <w:rPr>
                <w:rFonts w:hint="eastAsia" w:cs="宋体"/>
                <w:color w:val="000000" w:themeColor="text1"/>
                <w:highlight w:val="none"/>
                <w:u w:val="single"/>
                <w:lang w:eastAsia="zh-CN"/>
                <w14:textFill>
                  <w14:solidFill>
                    <w14:schemeClr w14:val="tx1"/>
                  </w14:solidFill>
                </w14:textFill>
              </w:rPr>
              <w:t>时</w:t>
            </w:r>
            <w:r>
              <w:rPr>
                <w:rFonts w:hint="eastAsia" w:cs="宋体"/>
                <w:color w:val="000000" w:themeColor="text1"/>
                <w:highlight w:val="none"/>
                <w:u w:val="single"/>
                <w:lang w:val="en-US" w:eastAsia="zh-CN"/>
                <w14:textFill>
                  <w14:solidFill>
                    <w14:schemeClr w14:val="tx1"/>
                  </w14:solidFill>
                </w14:textFill>
              </w:rPr>
              <w:t>30</w:t>
            </w:r>
            <w:r>
              <w:rPr>
                <w:rFonts w:hint="eastAsia" w:cs="宋体"/>
                <w:color w:val="000000" w:themeColor="text1"/>
                <w:highlight w:val="none"/>
                <w:u w:val="single"/>
                <w:lang w:eastAsia="zh-CN"/>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（北京时间）前递交投标文件。</w:t>
            </w:r>
          </w:p>
        </w:tc>
      </w:tr>
    </w:tbl>
    <w:p w14:paraId="53A25845">
      <w:pPr>
        <w:pStyle w:val="3"/>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项目基本情况</w:t>
      </w:r>
      <w:bookmarkEnd w:id="0"/>
      <w:bookmarkEnd w:id="1"/>
      <w:bookmarkEnd w:id="2"/>
      <w:bookmarkEnd w:id="3"/>
    </w:p>
    <w:p w14:paraId="16212B02">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项目编号：NJKJ-20250710</w:t>
      </w:r>
      <w:r>
        <w:rPr>
          <w:rFonts w:hint="eastAsia" w:cs="宋体"/>
          <w:color w:val="000000" w:themeColor="text1"/>
          <w:highlight w:val="none"/>
          <w:lang w:val="en-US" w:eastAsia="zh-CN"/>
          <w14:textFill>
            <w14:solidFill>
              <w14:schemeClr w14:val="tx1"/>
            </w14:solidFill>
          </w14:textFill>
        </w:rPr>
        <w:t>-1</w:t>
      </w:r>
      <w:bookmarkStart w:id="48" w:name="_GoBack"/>
      <w:bookmarkEnd w:id="48"/>
    </w:p>
    <w:p w14:paraId="117B9A56">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r>
        <w:rPr>
          <w:rFonts w:hint="eastAsia" w:cs="宋体"/>
          <w:color w:val="000000" w:themeColor="text1"/>
          <w:highlight w:val="none"/>
          <w:lang w:eastAsia="zh-CN"/>
          <w14:textFill>
            <w14:solidFill>
              <w14:schemeClr w14:val="tx1"/>
            </w14:solidFill>
          </w14:textFill>
        </w:rPr>
        <w:t>栖霞区市政所2025年-2026年（1年）市政绿化提升养护设计服务项目</w:t>
      </w:r>
    </w:p>
    <w:bookmarkEnd w:id="4"/>
    <w:p w14:paraId="4DDC87F8">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预算金额：</w:t>
      </w:r>
      <w:r>
        <w:rPr>
          <w:rFonts w:hint="eastAsia" w:ascii="宋体" w:hAnsi="宋体" w:eastAsia="宋体"/>
          <w:color w:val="000000" w:themeColor="text1"/>
          <w:sz w:val="24"/>
          <w:szCs w:val="24"/>
          <w:highlight w:val="none"/>
          <w:u w:val="none"/>
          <w:lang w:val="en-US" w:eastAsia="zh-CN"/>
          <w14:textFill>
            <w14:solidFill>
              <w14:schemeClr w14:val="tx1"/>
            </w14:solidFill>
          </w14:textFill>
        </w:rPr>
        <w:t>32.98</w:t>
      </w:r>
      <w:r>
        <w:rPr>
          <w:rFonts w:hint="eastAsia" w:ascii="宋体" w:hAnsi="宋体" w:eastAsia="宋体" w:cs="宋体"/>
          <w:color w:val="000000" w:themeColor="text1"/>
          <w:highlight w:val="none"/>
          <w14:textFill>
            <w14:solidFill>
              <w14:schemeClr w14:val="tx1"/>
            </w14:solidFill>
          </w14:textFill>
        </w:rPr>
        <w:t>万元</w:t>
      </w:r>
    </w:p>
    <w:p w14:paraId="20590DD0">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最高限价：</w:t>
      </w:r>
      <w:r>
        <w:rPr>
          <w:rFonts w:hint="eastAsia" w:cs="宋体"/>
          <w:color w:val="000000" w:themeColor="text1"/>
          <w:highlight w:val="none"/>
          <w:lang w:val="en-US" w:eastAsia="zh-CN"/>
          <w14:textFill>
            <w14:solidFill>
              <w14:schemeClr w14:val="tx1"/>
            </w14:solidFill>
          </w14:textFill>
        </w:rPr>
        <w:t>本项目采用费率报价，即投标费率超过2.6384%为无效标。（设计结算价=施工控制</w:t>
      </w:r>
      <w:r>
        <w:rPr>
          <w:rFonts w:hint="eastAsia" w:ascii="宋体" w:hAnsi="宋体" w:eastAsia="宋体"/>
          <w:color w:val="000000" w:themeColor="text1"/>
          <w:sz w:val="24"/>
          <w:szCs w:val="24"/>
          <w:highlight w:val="none"/>
          <w:u w:val="none"/>
          <w:lang w:val="en-US" w:eastAsia="zh-CN"/>
          <w14:textFill>
            <w14:solidFill>
              <w14:schemeClr w14:val="tx1"/>
            </w14:solidFill>
          </w14:textFill>
        </w:rPr>
        <w:t>价×报价费率）。</w:t>
      </w:r>
    </w:p>
    <w:p w14:paraId="660155EB">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olor w:val="000000" w:themeColor="text1"/>
          <w:sz w:val="24"/>
          <w:szCs w:val="24"/>
          <w:highlight w:val="none"/>
          <w:u w:val="none"/>
          <w:lang w:val="en-US" w:eastAsia="zh-CN"/>
          <w14:textFill>
            <w14:solidFill>
              <w14:schemeClr w14:val="tx1"/>
            </w14:solidFill>
          </w14:textFill>
        </w:rPr>
        <w:t>采购需求：南京市栖霞区市政设施综合养护管理所2025年度工程设计服务项目，包括但不限于编制项目方案设计、初步设计、概算编制、施工图设计、配合施工图审查以及全过程设计跟踪等相关设计服务。全过程设计跟踪包括：各阶段招标配合和施工现场配合服务，设计修改、变更、相关专题报告、竣工验收等与项目相关的设计服务工作，工程计费额预计约1000万元，具体内容详见招标文件。</w:t>
      </w:r>
    </w:p>
    <w:p w14:paraId="4E3A60AB">
      <w:pPr>
        <w:pStyle w:val="12"/>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szCs w:val="24"/>
          <w:highlight w:val="none"/>
          <w:lang w:eastAsia="zh-CN"/>
          <w14:textFill>
            <w14:solidFill>
              <w14:schemeClr w14:val="tx1"/>
            </w14:solidFill>
          </w14:textFill>
        </w:rPr>
      </w:pPr>
      <w:bookmarkStart w:id="9" w:name="OLE_LINK13"/>
      <w:r>
        <w:rPr>
          <w:rFonts w:hint="eastAsia" w:ascii="宋体" w:hAnsi="宋体" w:eastAsia="宋体" w:cs="宋体"/>
          <w:color w:val="000000" w:themeColor="text1"/>
          <w:sz w:val="24"/>
          <w:highlight w:val="none"/>
          <w14:textFill>
            <w14:solidFill>
              <w14:schemeClr w14:val="tx1"/>
            </w14:solidFill>
          </w14:textFill>
        </w:rPr>
        <w:t>合同履行期限：</w:t>
      </w:r>
      <w:bookmarkStart w:id="10" w:name="OLE_LINK6"/>
      <w:r>
        <w:rPr>
          <w:rFonts w:hint="eastAsia" w:cs="宋体"/>
          <w:color w:val="000000" w:themeColor="text1"/>
          <w:sz w:val="24"/>
          <w:highlight w:val="none"/>
          <w:lang w:eastAsia="zh-CN"/>
          <w14:textFill>
            <w14:solidFill>
              <w14:schemeClr w14:val="tx1"/>
            </w14:solidFill>
          </w14:textFill>
        </w:rPr>
        <w:t>自合同签订之日起一年</w:t>
      </w:r>
    </w:p>
    <w:bookmarkEnd w:id="9"/>
    <w:bookmarkEnd w:id="10"/>
    <w:p w14:paraId="309B6B45">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本项目（是/否）接受联合体投标：否</w:t>
      </w:r>
    </w:p>
    <w:p w14:paraId="556F062A">
      <w:pPr>
        <w:pStyle w:val="3"/>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bookmarkStart w:id="11" w:name="_Toc35393622"/>
      <w:bookmarkStart w:id="12" w:name="_Toc28359080"/>
      <w:bookmarkStart w:id="13" w:name="_Toc28359003"/>
      <w:bookmarkStart w:id="14" w:name="_Toc35393791"/>
      <w:r>
        <w:rPr>
          <w:rFonts w:hint="eastAsia" w:ascii="宋体" w:hAnsi="宋体" w:eastAsia="宋体" w:cs="宋体"/>
          <w:color w:val="000000" w:themeColor="text1"/>
          <w:highlight w:val="none"/>
          <w:lang w:val="zh-CN"/>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申请人的资格要求</w:t>
      </w:r>
      <w:bookmarkEnd w:id="11"/>
      <w:bookmarkEnd w:id="12"/>
      <w:bookmarkEnd w:id="13"/>
      <w:bookmarkEnd w:id="14"/>
    </w:p>
    <w:p w14:paraId="1F4C59C5">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（一）满足《中华人民共和国政府采购法》第二十二条规定：</w:t>
      </w:r>
    </w:p>
    <w:p w14:paraId="3E8FCE47">
      <w:pPr>
        <w:shd w:val="clear"/>
        <w:spacing w:line="360" w:lineRule="auto"/>
        <w:ind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bookmarkStart w:id="15" w:name="_Hlk139306384"/>
      <w:bookmarkStart w:id="16" w:name="_Toc28359081"/>
      <w:bookmarkStart w:id="17" w:name="_Toc28359004"/>
      <w:r>
        <w:rPr>
          <w:rFonts w:hint="eastAsia" w:ascii="宋体" w:hAnsi="宋体" w:eastAsia="宋体" w:cs="宋体"/>
          <w:color w:val="000000" w:themeColor="text1"/>
          <w:sz w:val="24"/>
          <w:szCs w:val="24"/>
          <w:highlight w:val="none"/>
          <w:lang w:eastAsia="zh-CN"/>
          <w14:textFill>
            <w14:solidFill>
              <w14:schemeClr w14:val="tx1"/>
            </w14:solidFill>
          </w14:textFill>
        </w:rPr>
        <w:t>1.具有独立承担民事责任的能力（提供法人或者其他组织的营业执照，自然人的身份证）</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50206A7">
      <w:pPr>
        <w:shd w:val="clea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具有良好的商业信誉和健全的财务会计制度（提供评审前六个月内银行出具的资信证明，或评审前六个月内任意一个月的财务状况报告（至少包括资产负债表和利润表），或上一年度经审计的财务报告）（法人或者其他组织成立未满一年的可以不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8619712">
      <w:pPr>
        <w:shd w:val="clear"/>
        <w:spacing w:line="360" w:lineRule="auto"/>
        <w:ind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3.具有履行合同所必需的设备和专业技术能力（根据项目需求提供履行合同所必需的设备和专业技术能力的声明及证明材料）；</w:t>
      </w:r>
    </w:p>
    <w:p w14:paraId="062CC326">
      <w:pPr>
        <w:shd w:val="clear"/>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4.有依法缴纳税收和社会保障资金的良好记录（供应商需要提供评审前六个月内任意一个月的依法缴纳税收</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依法免缴的应提供相应文件说明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和社会保障资金的记录</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依法不需要缴纳社会保障资金的应提供相应文件说明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A42A972">
      <w:pPr>
        <w:shd w:val="clear"/>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5.加政府采购活动前三年内，在经营活动中没有重大违法记录（提供参加本次政府采购活动前三年内在经营活动中没有重大违法记录的书面声明）（格式见后附件）</w:t>
      </w:r>
    </w:p>
    <w:p w14:paraId="0ECCAFF8">
      <w:pPr>
        <w:shd w:val="clear"/>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6.法律、行政法规规定的其他条件</w:t>
      </w:r>
    </w:p>
    <w:p w14:paraId="5FD0725D">
      <w:pPr>
        <w:shd w:val="clear"/>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7.注：①第5条所称重大违法记录，是指供应商因违法经营受到刑事处罚或者责令停产停业、吊销许可证或者执照、较大数额罚款等行政处罚。 ②供应商在参加政府采购活动前3年内因违法经营被禁止在一定期限内参加政府采购活动，期限届满的，可以参加政府采购活动</w:t>
      </w:r>
    </w:p>
    <w:p w14:paraId="652A1F4A">
      <w:pPr>
        <w:pStyle w:val="23"/>
        <w:keepNext w:val="0"/>
        <w:keepLines w:val="0"/>
        <w:widowControl/>
        <w:suppressLineNumbers w:val="0"/>
        <w:spacing w:before="0" w:beforeAutospacing="0" w:after="0" w:afterAutospacing="0" w:line="36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落实政府采购政策需满足的资格要求：</w:t>
      </w:r>
      <w:bookmarkEnd w:id="15"/>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本项目整体专门面向中小企业采购服务</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非中小型企业参与本采购项目，将做无效响应文件处理（须提供中小企业声明函）。</w:t>
      </w:r>
    </w:p>
    <w:p w14:paraId="182B12BB">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（三）本项目的特定资格要求：</w:t>
      </w:r>
    </w:p>
    <w:p w14:paraId="67585E0F">
      <w:pPr>
        <w:pStyle w:val="23"/>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14:textFill>
            <w14:solidFill>
              <w14:schemeClr w14:val="tx1"/>
            </w14:solidFill>
          </w14:textFill>
        </w:rPr>
        <w:t>供应商具备下列资质之一：</w:t>
      </w:r>
    </w:p>
    <w:p w14:paraId="4066642D">
      <w:pPr>
        <w:pStyle w:val="23"/>
        <w:keepNext w:val="0"/>
        <w:keepLines w:val="0"/>
        <w:widowControl/>
        <w:suppressLineNumbers w:val="0"/>
        <w:spacing w:before="0" w:beforeAutospacing="0" w:after="0" w:afterAutospacing="0" w:line="360" w:lineRule="auto"/>
        <w:ind w:left="480" w:leftChars="200" w:right="0" w:firstLine="0" w:firstLineChars="0"/>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①工程设计综合资质甲级；</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②工程设计市政行业乙级及以上资质</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③工程设计市政行业（燃气工程、轨道交通除外）乙级及以上资质；</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④工程设计市政行业（排水工程）专业乙级及以上且市政行业（道路工程）专业乙级及以上资质。</w:t>
      </w:r>
    </w:p>
    <w:p w14:paraId="758C208D">
      <w:pPr>
        <w:pStyle w:val="23"/>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000000" w:themeColor="text1"/>
          <w:sz w:val="24"/>
          <w:szCs w:val="24"/>
          <w:highlight w:val="none"/>
          <w:u w:val="none"/>
          <w:lang w:val="en-US"/>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lang w:val="en-US"/>
          <w14:textFill>
            <w14:solidFill>
              <w14:schemeClr w14:val="tx1"/>
            </w14:solidFill>
          </w14:textFill>
        </w:rPr>
        <w:t>项目负责人具有注册土木工程师（道路工程）执业资格（提供相应的资格证书复印件并加盖公章）</w:t>
      </w:r>
    </w:p>
    <w:p w14:paraId="01002778">
      <w:pPr>
        <w:pStyle w:val="23"/>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000000" w:themeColor="text1"/>
          <w:sz w:val="24"/>
          <w:szCs w:val="24"/>
          <w:highlight w:val="none"/>
          <w:u w:val="none"/>
          <w:lang w:val="en-US"/>
          <w14:textFill>
            <w14:solidFill>
              <w14:schemeClr w14:val="tx1"/>
            </w14:solidFill>
          </w14:textFill>
        </w:rPr>
      </w:pPr>
      <w:r>
        <w:rPr>
          <w:rFonts w:hint="eastAsia" w:ascii="宋体" w:hAnsi="宋体" w:eastAsia="宋体" w:cs="宋体"/>
          <w:color w:val="000000" w:themeColor="text1"/>
          <w:sz w:val="24"/>
          <w:szCs w:val="24"/>
          <w:highlight w:val="none"/>
          <w:u w:val="none"/>
          <w:lang w:val="en-US"/>
          <w14:textFill>
            <w14:solidFill>
              <w14:schemeClr w14:val="tx1"/>
            </w14:solidFill>
          </w14:textFill>
        </w:rPr>
        <w:t>3</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14:textFill>
            <w14:solidFill>
              <w14:schemeClr w14:val="tx1"/>
            </w14:solidFill>
          </w14:textFill>
        </w:rPr>
        <w:t>项目负责人具有投标单位为其缴纳的近半年（20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14:textFill>
            <w14:solidFill>
              <w14:schemeClr w14:val="tx1"/>
            </w14:solidFill>
          </w14:textFill>
        </w:rPr>
        <w:t>年</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none"/>
          <w:lang w:val="en-US"/>
          <w14:textFill>
            <w14:solidFill>
              <w14:schemeClr w14:val="tx1"/>
            </w14:solidFill>
          </w14:textFill>
        </w:rPr>
        <w:t>月-202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14:textFill>
            <w14:solidFill>
              <w14:schemeClr w14:val="tx1"/>
            </w14:solidFill>
          </w14:textFill>
        </w:rPr>
        <w:t>年</w:t>
      </w:r>
      <w:r>
        <w:rPr>
          <w:rFonts w:hint="eastAsia" w:ascii="宋体" w:hAnsi="宋体" w:cs="宋体"/>
          <w:color w:val="000000" w:themeColor="text1"/>
          <w:sz w:val="24"/>
          <w:szCs w:val="24"/>
          <w:highlight w:val="none"/>
          <w:u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none"/>
          <w:lang w:val="en-US"/>
          <w14:textFill>
            <w14:solidFill>
              <w14:schemeClr w14:val="tx1"/>
            </w14:solidFill>
          </w14:textFill>
        </w:rPr>
        <w:t>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任意一个月</w:t>
      </w:r>
      <w:r>
        <w:rPr>
          <w:rFonts w:hint="eastAsia" w:ascii="宋体" w:hAnsi="宋体" w:eastAsia="宋体" w:cs="宋体"/>
          <w:color w:val="000000" w:themeColor="text1"/>
          <w:sz w:val="24"/>
          <w:szCs w:val="24"/>
          <w:highlight w:val="none"/>
          <w:u w:val="none"/>
          <w:lang w:val="en-US"/>
          <w14:textFill>
            <w14:solidFill>
              <w14:schemeClr w14:val="tx1"/>
            </w14:solidFill>
          </w14:textFill>
        </w:rPr>
        <w:t>的社保证明</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，提供</w:t>
      </w:r>
      <w:r>
        <w:rPr>
          <w:rFonts w:hint="eastAsia" w:ascii="宋体" w:hAnsi="宋体" w:eastAsia="宋体" w:cs="宋体"/>
          <w:color w:val="000000" w:themeColor="text1"/>
          <w:sz w:val="24"/>
          <w:szCs w:val="24"/>
          <w:highlight w:val="none"/>
          <w:u w:val="none"/>
          <w:lang w:val="en-US"/>
          <w14:textFill>
            <w14:solidFill>
              <w14:schemeClr w14:val="tx1"/>
            </w14:solidFill>
          </w14:textFill>
        </w:rPr>
        <w:t>社保机构出具的养老保险缴费证明材料，且加盖社保中心章或社保中心参保缴费证明电子专用章；若</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项目负责人属退休人员无需提供社保证明，但必须提供相关部门开具项目负责人本人的有效退休证明材料复印件加盖公章，否则一律按未提供养老保险金缴费证明材料处理。</w:t>
      </w:r>
    </w:p>
    <w:p w14:paraId="24EAE17D">
      <w:pPr>
        <w:pStyle w:val="3"/>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bookmarkStart w:id="18" w:name="_Toc35393623"/>
      <w:bookmarkStart w:id="19" w:name="_Toc35393792"/>
      <w:r>
        <w:rPr>
          <w:rFonts w:hint="eastAsia" w:ascii="宋体" w:hAnsi="宋体" w:eastAsia="宋体" w:cs="宋体"/>
          <w:color w:val="000000" w:themeColor="text1"/>
          <w:highlight w:val="none"/>
          <w:lang w:val="zh-CN"/>
          <w14:textFill>
            <w14:solidFill>
              <w14:schemeClr w14:val="tx1"/>
            </w14:solidFill>
          </w14:textFill>
        </w:rPr>
        <w:t>三、</w:t>
      </w:r>
      <w:r>
        <w:rPr>
          <w:rFonts w:hint="eastAsia" w:ascii="宋体" w:hAnsi="宋体" w:eastAsia="宋体" w:cs="宋体"/>
          <w:color w:val="000000" w:themeColor="text1"/>
          <w:highlight w:val="none"/>
          <w14:textFill>
            <w14:solidFill>
              <w14:schemeClr w14:val="tx1"/>
            </w14:solidFill>
          </w14:textFill>
        </w:rPr>
        <w:t>获取招标文件</w:t>
      </w:r>
      <w:bookmarkEnd w:id="16"/>
      <w:bookmarkEnd w:id="17"/>
      <w:bookmarkEnd w:id="18"/>
      <w:bookmarkEnd w:id="19"/>
    </w:p>
    <w:p w14:paraId="61D92D88">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时间：2025年</w:t>
      </w:r>
      <w:r>
        <w:rPr>
          <w:rFonts w:hint="eastAsia"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t>日至2025年</w:t>
      </w:r>
      <w:r>
        <w:rPr>
          <w:rFonts w:hint="eastAsia"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t>日，每天上午9:00至11:30，下午14:00至17:00（北京时间，法定节假日除外）</w:t>
      </w:r>
    </w:p>
    <w:p w14:paraId="63B4B24A">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地点：</w:t>
      </w:r>
      <w:r>
        <w:rPr>
          <w:rFonts w:hint="eastAsia" w:cs="宋体"/>
          <w:color w:val="000000" w:themeColor="text1"/>
          <w:highlight w:val="none"/>
          <w:lang w:eastAsia="zh-CN"/>
          <w14:textFill>
            <w14:solidFill>
              <w14:schemeClr w14:val="tx1"/>
            </w14:solidFill>
          </w14:textFill>
        </w:rPr>
        <w:t xml:space="preserve">南京市建邺区广聚路33号2505室 </w:t>
      </w:r>
    </w:p>
    <w:p w14:paraId="41E0989B">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方式：请各潜在供应商将以附件形式提供以下文件：</w:t>
      </w:r>
    </w:p>
    <w:p w14:paraId="23DFBE74">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（1）投标供应商授权委托书原件和委托代理人的身份证复印件。</w:t>
      </w:r>
    </w:p>
    <w:p w14:paraId="09DF3B02">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将【（1）投标供应商授权委托书原件和委托代理人的身份证复印件加盖公章扫描件。】以附件形式上传发送至代理机构邮箱3691323609@qq.com，邮件主题须标明项目编号和项目名称+申请人名称，邮件正文须包含申请人名称（全称）、授权委托人、授权委托人联系电话。交纳费用后，代理机构将会提供纸质版（纸质版文件提供地址以便邮寄）与电子版采购文件。</w:t>
      </w:r>
    </w:p>
    <w:p w14:paraId="1C2735EB">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采购文件费缴纳支付宝账户如下（请备注供应商名称+项目编号）：15651712525</w:t>
      </w:r>
      <w:r>
        <w:rPr>
          <w:rFonts w:hint="eastAsia" w:cs="宋体"/>
          <w:color w:val="000000" w:themeColor="text1"/>
          <w:highlight w:val="none"/>
          <w:lang w:eastAsia="zh-CN"/>
          <w14:textFill>
            <w14:solidFill>
              <w14:schemeClr w14:val="tx1"/>
            </w14:solidFill>
          </w14:textFill>
        </w:rPr>
        <w:t>。</w:t>
      </w:r>
    </w:p>
    <w:p w14:paraId="025C5380">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未按照上述要求合法获取招标（采购）文件的，招标（采购）人将不予受理其投标（响应）。</w:t>
      </w:r>
    </w:p>
    <w:p w14:paraId="2AFBFA24">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售价：</w:t>
      </w:r>
      <w:r>
        <w:rPr>
          <w:rFonts w:hint="eastAsia"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val="en-US"/>
          <w14:textFill>
            <w14:solidFill>
              <w14:schemeClr w14:val="tx1"/>
            </w14:solidFill>
          </w14:textFill>
        </w:rPr>
        <w:t>00.00元</w:t>
      </w:r>
    </w:p>
    <w:p w14:paraId="1FB80A1A">
      <w:pPr>
        <w:pStyle w:val="3"/>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bookmarkStart w:id="20" w:name="_Toc28359082"/>
      <w:bookmarkStart w:id="21" w:name="_Toc28359005"/>
      <w:bookmarkStart w:id="22" w:name="_Toc35393624"/>
      <w:bookmarkStart w:id="23" w:name="_Toc35393793"/>
      <w:r>
        <w:rPr>
          <w:rFonts w:hint="eastAsia" w:ascii="宋体" w:hAnsi="宋体" w:eastAsia="宋体" w:cs="宋体"/>
          <w:color w:val="000000" w:themeColor="text1"/>
          <w:highlight w:val="none"/>
          <w:lang w:val="zh-CN"/>
          <w14:textFill>
            <w14:solidFill>
              <w14:schemeClr w14:val="tx1"/>
            </w14:solidFill>
          </w14:textFill>
        </w:rPr>
        <w:t>四、</w:t>
      </w:r>
      <w:r>
        <w:rPr>
          <w:rFonts w:hint="eastAsia" w:ascii="宋体" w:hAnsi="宋体" w:eastAsia="宋体" w:cs="宋体"/>
          <w:color w:val="000000" w:themeColor="text1"/>
          <w:highlight w:val="none"/>
          <w14:textFill>
            <w14:solidFill>
              <w14:schemeClr w14:val="tx1"/>
            </w14:solidFill>
          </w14:textFill>
        </w:rPr>
        <w:t>提交投标文件</w:t>
      </w:r>
      <w:bookmarkEnd w:id="20"/>
      <w:bookmarkEnd w:id="21"/>
      <w:r>
        <w:rPr>
          <w:rFonts w:hint="eastAsia" w:ascii="宋体" w:hAnsi="宋体" w:eastAsia="宋体" w:cs="宋体"/>
          <w:color w:val="000000" w:themeColor="text1"/>
          <w:highlight w:val="none"/>
          <w14:textFill>
            <w14:solidFill>
              <w14:schemeClr w14:val="tx1"/>
            </w14:solidFill>
          </w14:textFill>
        </w:rPr>
        <w:t>截止时间、开标时间和地点</w:t>
      </w:r>
      <w:bookmarkEnd w:id="22"/>
      <w:bookmarkEnd w:id="23"/>
    </w:p>
    <w:p w14:paraId="72685BD0">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提交投标文件截止时间、开标时间：</w:t>
      </w:r>
      <w:r>
        <w:rPr>
          <w:rFonts w:hint="eastAsia" w:cs="宋体"/>
          <w:color w:val="000000" w:themeColor="text1"/>
          <w:highlight w:val="none"/>
          <w:u w:val="single"/>
          <w:lang w:eastAsia="zh-CN"/>
          <w14:textFill>
            <w14:solidFill>
              <w14:schemeClr w14:val="tx1"/>
            </w14:solidFill>
          </w14:textFill>
        </w:rPr>
        <w:t>2025年</w:t>
      </w:r>
      <w:r>
        <w:rPr>
          <w:rFonts w:hint="eastAsia" w:cs="宋体"/>
          <w:color w:val="000000" w:themeColor="text1"/>
          <w:highlight w:val="none"/>
          <w:u w:val="single"/>
          <w:lang w:val="en-US" w:eastAsia="zh-CN"/>
          <w14:textFill>
            <w14:solidFill>
              <w14:schemeClr w14:val="tx1"/>
            </w14:solidFill>
          </w14:textFill>
        </w:rPr>
        <w:t>7</w:t>
      </w:r>
      <w:r>
        <w:rPr>
          <w:rFonts w:hint="eastAsia" w:cs="宋体"/>
          <w:color w:val="000000" w:themeColor="text1"/>
          <w:highlight w:val="none"/>
          <w:u w:val="single"/>
          <w:lang w:eastAsia="zh-CN"/>
          <w14:textFill>
            <w14:solidFill>
              <w14:schemeClr w14:val="tx1"/>
            </w14:solidFill>
          </w14:textFill>
        </w:rPr>
        <w:t>月</w:t>
      </w:r>
      <w:r>
        <w:rPr>
          <w:rFonts w:hint="eastAsia" w:cs="宋体"/>
          <w:color w:val="000000" w:themeColor="text1"/>
          <w:highlight w:val="none"/>
          <w:u w:val="single"/>
          <w:lang w:val="en-US" w:eastAsia="zh-CN"/>
          <w14:textFill>
            <w14:solidFill>
              <w14:schemeClr w14:val="tx1"/>
            </w14:solidFill>
          </w14:textFill>
        </w:rPr>
        <w:t>31</w:t>
      </w:r>
      <w:r>
        <w:rPr>
          <w:rFonts w:hint="eastAsia" w:cs="宋体"/>
          <w:color w:val="000000" w:themeColor="text1"/>
          <w:highlight w:val="none"/>
          <w:u w:val="single"/>
          <w:lang w:eastAsia="zh-CN"/>
          <w14:textFill>
            <w14:solidFill>
              <w14:schemeClr w14:val="tx1"/>
            </w14:solidFill>
          </w14:textFill>
        </w:rPr>
        <w:t>日</w:t>
      </w:r>
      <w:r>
        <w:rPr>
          <w:rFonts w:hint="eastAsia" w:cs="宋体"/>
          <w:color w:val="000000" w:themeColor="text1"/>
          <w:highlight w:val="none"/>
          <w:u w:val="single"/>
          <w:lang w:val="en-US" w:eastAsia="zh-CN"/>
          <w14:textFill>
            <w14:solidFill>
              <w14:schemeClr w14:val="tx1"/>
            </w14:solidFill>
          </w14:textFill>
        </w:rPr>
        <w:t>9</w:t>
      </w:r>
      <w:r>
        <w:rPr>
          <w:rFonts w:hint="eastAsia" w:cs="宋体"/>
          <w:color w:val="000000" w:themeColor="text1"/>
          <w:highlight w:val="none"/>
          <w:u w:val="single"/>
          <w:lang w:eastAsia="zh-CN"/>
          <w14:textFill>
            <w14:solidFill>
              <w14:schemeClr w14:val="tx1"/>
            </w14:solidFill>
          </w14:textFill>
        </w:rPr>
        <w:t>时</w:t>
      </w:r>
      <w:r>
        <w:rPr>
          <w:rFonts w:hint="eastAsia" w:cs="宋体"/>
          <w:color w:val="000000" w:themeColor="text1"/>
          <w:highlight w:val="none"/>
          <w:u w:val="single"/>
          <w:lang w:val="en-US" w:eastAsia="zh-CN"/>
          <w14:textFill>
            <w14:solidFill>
              <w14:schemeClr w14:val="tx1"/>
            </w14:solidFill>
          </w14:textFill>
        </w:rPr>
        <w:t>30</w:t>
      </w:r>
      <w:r>
        <w:rPr>
          <w:rFonts w:hint="eastAsia" w:cs="宋体"/>
          <w:color w:val="000000" w:themeColor="text1"/>
          <w:highlight w:val="none"/>
          <w:u w:val="single"/>
          <w:lang w:eastAsia="zh-CN"/>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（北京时间）</w:t>
      </w:r>
    </w:p>
    <w:p w14:paraId="289728A2">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地点：</w:t>
      </w:r>
      <w:r>
        <w:rPr>
          <w:rFonts w:hint="eastAsia" w:cs="宋体"/>
          <w:color w:val="000000" w:themeColor="text1"/>
          <w:highlight w:val="none"/>
          <w:u w:val="single"/>
          <w:lang w:eastAsia="zh-CN"/>
          <w14:textFill>
            <w14:solidFill>
              <w14:schemeClr w14:val="tx1"/>
            </w14:solidFill>
          </w14:textFill>
        </w:rPr>
        <w:t>南京市建邺区广聚路33号2505室</w:t>
      </w:r>
    </w:p>
    <w:p w14:paraId="49FEA23F">
      <w:pPr>
        <w:pStyle w:val="3"/>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bookmarkStart w:id="24" w:name="_Toc35393625"/>
      <w:bookmarkStart w:id="25" w:name="_Toc28359007"/>
      <w:bookmarkStart w:id="26" w:name="_Toc28359084"/>
      <w:bookmarkStart w:id="27" w:name="_Toc35393794"/>
      <w:r>
        <w:rPr>
          <w:rFonts w:hint="eastAsia" w:ascii="宋体" w:hAnsi="宋体" w:eastAsia="宋体" w:cs="宋体"/>
          <w:color w:val="000000" w:themeColor="text1"/>
          <w:highlight w:val="none"/>
          <w:lang w:val="zh-CN"/>
          <w14:textFill>
            <w14:solidFill>
              <w14:schemeClr w14:val="tx1"/>
            </w14:solidFill>
          </w14:textFill>
        </w:rPr>
        <w:t>五、</w:t>
      </w:r>
      <w:r>
        <w:rPr>
          <w:rFonts w:hint="eastAsia" w:ascii="宋体" w:hAnsi="宋体" w:eastAsia="宋体" w:cs="宋体"/>
          <w:color w:val="000000" w:themeColor="text1"/>
          <w:highlight w:val="none"/>
          <w14:textFill>
            <w14:solidFill>
              <w14:schemeClr w14:val="tx1"/>
            </w14:solidFill>
          </w14:textFill>
        </w:rPr>
        <w:t>公告期限</w:t>
      </w:r>
      <w:bookmarkEnd w:id="24"/>
      <w:bookmarkEnd w:id="25"/>
      <w:bookmarkEnd w:id="26"/>
      <w:bookmarkEnd w:id="27"/>
    </w:p>
    <w:p w14:paraId="48A32B18">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自本公告发布之日起5个工作日。</w:t>
      </w:r>
    </w:p>
    <w:p w14:paraId="36B91A40">
      <w:pPr>
        <w:pStyle w:val="3"/>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bookmarkStart w:id="28" w:name="_Toc35393795"/>
      <w:bookmarkStart w:id="29" w:name="_Toc35393626"/>
      <w:r>
        <w:rPr>
          <w:rFonts w:hint="eastAsia" w:ascii="宋体" w:hAnsi="宋体" w:eastAsia="宋体" w:cs="宋体"/>
          <w:color w:val="000000" w:themeColor="text1"/>
          <w:highlight w:val="none"/>
          <w:lang w:val="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其他补充事宜</w:t>
      </w:r>
      <w:bookmarkEnd w:id="28"/>
      <w:bookmarkEnd w:id="29"/>
    </w:p>
    <w:p w14:paraId="1577DEE6">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（一）本项目采购标的所属行业为：其他未列明行业。</w:t>
      </w:r>
    </w:p>
    <w:p w14:paraId="4F713666">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（二）本项目不接受转包。</w:t>
      </w:r>
    </w:p>
    <w:p w14:paraId="42184B16">
      <w:pPr>
        <w:shd w:val="clear"/>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三）集中考察或答疑：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057D5BFB">
      <w:pPr>
        <w:shd w:val="clear"/>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(四）拒绝下述供应商参加本次采购活动：</w:t>
      </w:r>
    </w:p>
    <w:p w14:paraId="70750BD3">
      <w:pPr>
        <w:shd w:val="clear"/>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（1）供应商单位负责人为同一人或者存在直接控股、管理关系的不同供应商，不得参加同一合同项下的采购活动。</w:t>
      </w:r>
    </w:p>
    <w:p w14:paraId="75DBA23F">
      <w:pPr>
        <w:shd w:val="clear"/>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（2）凡为采购项目提供整体设计、规范编制或者项目管理、监理、检测等服务的供应商，不得再参加本项目的采购活动。</w:t>
      </w:r>
    </w:p>
    <w:p w14:paraId="18879DF6">
      <w:pPr>
        <w:shd w:val="clear"/>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（3）拒绝列入失信被执行人、重大税收违法失信主体、政府采购严重违法失信行为记录名单中的供应商参加本项目的采购活动。</w:t>
      </w:r>
    </w:p>
    <w:p w14:paraId="4EAE07BF">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）公告媒体</w:t>
      </w:r>
    </w:p>
    <w:p w14:paraId="4E4B00E0">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1.本公告在南京公共采购信息网（https://njgc.jfh.com/）公示发布，敬请各投标人关注；</w:t>
      </w:r>
    </w:p>
    <w:p w14:paraId="13AA93B3">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2.若有关本次采购存在变动或修改，敬请各投标人及时关注南京公共采购信息网（https://njgc.jfh.com/）发布的关于本项目的信息更正公告。</w:t>
      </w:r>
    </w:p>
    <w:p w14:paraId="4F37ABCC">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）需要落实的政府采购政策：</w:t>
      </w:r>
    </w:p>
    <w:p w14:paraId="35AE05BC">
      <w:pPr>
        <w:shd w:val="clea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（1）政府采购促进中小企业发展</w:t>
      </w:r>
    </w:p>
    <w:p w14:paraId="0239AF0D">
      <w:pPr>
        <w:shd w:val="clea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（2）政府采购支持监狱企业发展</w:t>
      </w:r>
    </w:p>
    <w:p w14:paraId="12320DA6">
      <w:pPr>
        <w:shd w:val="clea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（3）政府采购促进残疾人就业</w:t>
      </w:r>
    </w:p>
    <w:p w14:paraId="2B8C7A61">
      <w:pPr>
        <w:shd w:val="clea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（4）政府采购鼓励采购节能环保产品</w:t>
      </w:r>
    </w:p>
    <w:p w14:paraId="0F3CA0C4">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根据《关于在政府采购活动中推行信用承诺制的通知》宁财购通〔2021〕5号规定，参加南京地区政府采购活动的供应商，应以书面形式向采购人或政府采购代理机构作出信用承诺。供应商应尽早做好承诺工作，点击‘南京公共采购信息网’首页（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南京市政府采购供应商信用记录表暨信用承诺书》，由法人签字并盖单位公章，随响应文件一并递交。</w:t>
      </w:r>
    </w:p>
    <w:p w14:paraId="61FEE229">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在政府采购资格审查环节，供应商只需提供书面《南京市政府采购供应商信用记录表暨信用承诺书》，即可替代以下证明材料：</w:t>
      </w:r>
    </w:p>
    <w:p w14:paraId="0AD1F1FB">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1.符合国家相关规定的财务状况报告；</w:t>
      </w:r>
    </w:p>
    <w:p w14:paraId="3E77E4AE">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2.依法缴纳税收的证明材料；</w:t>
      </w:r>
    </w:p>
    <w:p w14:paraId="354D374A">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3.依法缴纳社会保障资金的证明材料；</w:t>
      </w:r>
    </w:p>
    <w:p w14:paraId="418E81CB">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4.具备履行政府采购合同所必需的设备和专业技术能力的证明材料；</w:t>
      </w:r>
    </w:p>
    <w:p w14:paraId="2DEE617D">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5.参加政府采购活动前三年内在经营活动中没有重大违法记录的证明材料；</w:t>
      </w:r>
    </w:p>
    <w:p w14:paraId="713041C4">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6.未被列入失信被执行人、重大税收违法失信主体、政府采购严重违法失信行为记录名单的证明材料。</w:t>
      </w:r>
    </w:p>
    <w:p w14:paraId="47BB6485">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供应商在中标（成交）后，应按采购文件要求，将上述由信用承诺书替代的证明材料提交采购人或采购代理机构核验。经核验无误后，由采购人或采购代理机构发出中标（成交）通知书。</w:t>
      </w:r>
    </w:p>
    <w:p w14:paraId="4C1C7E50">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供应商涉及以下情形的，不适用信用承诺：</w:t>
      </w:r>
    </w:p>
    <w:p w14:paraId="523C0ADC">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1.供应商被列入严重失信主体名单；</w:t>
      </w:r>
    </w:p>
    <w:p w14:paraId="4D9FD00C">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2.被相关监管部门作出行政处罚且尚在处罚有效期内；</w:t>
      </w:r>
    </w:p>
    <w:p w14:paraId="165456B8">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3.其他法律、行政法规规定的不适用信用承诺的情形。</w:t>
      </w:r>
    </w:p>
    <w:p w14:paraId="3DC7DC38">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供应商对信用承诺内容的真实性、合法性、有效性负责。如作出虚假信用承诺，视同为“提供虚假材料谋取中标、成交”的违法行为。</w:t>
      </w:r>
    </w:p>
    <w:p w14:paraId="6F9FC89E">
      <w:pPr>
        <w:pStyle w:val="3"/>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bookmarkStart w:id="30" w:name="_Toc28359008"/>
      <w:bookmarkStart w:id="31" w:name="_Toc35393627"/>
      <w:bookmarkStart w:id="32" w:name="_Toc28359085"/>
      <w:bookmarkStart w:id="33" w:name="_Toc35393796"/>
      <w:r>
        <w:rPr>
          <w:rFonts w:hint="eastAsia" w:ascii="宋体" w:hAnsi="宋体" w:eastAsia="宋体" w:cs="宋体"/>
          <w:color w:val="000000" w:themeColor="text1"/>
          <w:highlight w:val="none"/>
          <w:lang w:val="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对本次招标提出询问，请按以下方式联系。</w:t>
      </w:r>
      <w:bookmarkEnd w:id="30"/>
      <w:bookmarkEnd w:id="31"/>
      <w:bookmarkEnd w:id="32"/>
      <w:bookmarkEnd w:id="33"/>
    </w:p>
    <w:bookmarkEnd w:id="5"/>
    <w:bookmarkEnd w:id="6"/>
    <w:bookmarkEnd w:id="7"/>
    <w:bookmarkEnd w:id="8"/>
    <w:p w14:paraId="655E80AE">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1.采购人信息</w:t>
      </w:r>
    </w:p>
    <w:p w14:paraId="0440CC3A">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 称：南京市栖霞区市政设施综合养护管理所</w:t>
      </w:r>
    </w:p>
    <w:p w14:paraId="3C73C375">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地址：南京市栖霞区仙林大学城文成路1号</w:t>
      </w:r>
    </w:p>
    <w:p w14:paraId="077E821C">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联系方式：</w:t>
      </w:r>
      <w:r>
        <w:rPr>
          <w:rFonts w:hint="eastAsia" w:cs="宋体"/>
          <w:color w:val="000000" w:themeColor="text1"/>
          <w:highlight w:val="none"/>
          <w:lang w:val="en-US" w:eastAsia="zh-CN"/>
          <w14:textFill>
            <w14:solidFill>
              <w14:schemeClr w14:val="tx1"/>
            </w14:solidFill>
          </w14:textFill>
        </w:rPr>
        <w:t>戴</w:t>
      </w:r>
      <w:r>
        <w:rPr>
          <w:rFonts w:hint="eastAsia" w:ascii="宋体" w:hAnsi="宋体" w:eastAsia="宋体" w:cs="宋体"/>
          <w:color w:val="000000" w:themeColor="text1"/>
          <w:highlight w:val="none"/>
          <w14:textFill>
            <w14:solidFill>
              <w14:schemeClr w14:val="tx1"/>
            </w14:solidFill>
          </w14:textFill>
        </w:rPr>
        <w:t>工025-85580265</w:t>
      </w:r>
    </w:p>
    <w:p w14:paraId="6C4D10D3">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2.采购代理机构信息</w:t>
      </w:r>
    </w:p>
    <w:p w14:paraId="075C07E6">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 称：</w:t>
      </w:r>
      <w:r>
        <w:rPr>
          <w:rFonts w:hint="eastAsia" w:cs="宋体"/>
          <w:color w:val="000000" w:themeColor="text1"/>
          <w:highlight w:val="none"/>
          <w:lang w:eastAsia="zh-CN"/>
          <w14:textFill>
            <w14:solidFill>
              <w14:schemeClr w14:val="tx1"/>
            </w14:solidFill>
          </w14:textFill>
        </w:rPr>
        <w:t>南京科谨工程管理咨询有限责任公司</w:t>
      </w:r>
    </w:p>
    <w:p w14:paraId="65BF7409">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　址：</w:t>
      </w:r>
      <w:r>
        <w:rPr>
          <w:rFonts w:hint="eastAsia" w:cs="宋体"/>
          <w:color w:val="000000" w:themeColor="text1"/>
          <w:highlight w:val="none"/>
          <w:lang w:eastAsia="zh-CN"/>
          <w14:textFill>
            <w14:solidFill>
              <w14:schemeClr w14:val="tx1"/>
            </w14:solidFill>
          </w14:textFill>
        </w:rPr>
        <w:t xml:space="preserve">南京市建邺区广聚路33号2505室 </w:t>
      </w:r>
    </w:p>
    <w:p w14:paraId="76A1F867">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联系方式：</w:t>
      </w:r>
      <w:r>
        <w:rPr>
          <w:rFonts w:hint="eastAsia" w:cs="宋体"/>
          <w:color w:val="000000" w:themeColor="text1"/>
          <w:highlight w:val="none"/>
          <w:lang w:eastAsia="zh-CN"/>
          <w14:textFill>
            <w14:solidFill>
              <w14:schemeClr w14:val="tx1"/>
            </w14:solidFill>
          </w14:textFill>
        </w:rPr>
        <w:t>潘工 15651712525</w:t>
      </w:r>
    </w:p>
    <w:p w14:paraId="1310DACD">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3.项目联系方式</w:t>
      </w:r>
    </w:p>
    <w:p w14:paraId="15C40D89">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项目联系人：</w:t>
      </w:r>
      <w:r>
        <w:rPr>
          <w:rFonts w:hint="eastAsia" w:cs="宋体"/>
          <w:color w:val="000000" w:themeColor="text1"/>
          <w:highlight w:val="none"/>
          <w:lang w:eastAsia="zh-CN"/>
          <w14:textFill>
            <w14:solidFill>
              <w14:schemeClr w14:val="tx1"/>
            </w14:solidFill>
          </w14:textFill>
        </w:rPr>
        <w:t>潘工</w:t>
      </w:r>
    </w:p>
    <w:p w14:paraId="14827BEB">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　话：</w:t>
      </w:r>
      <w:r>
        <w:rPr>
          <w:rFonts w:hint="eastAsia" w:cs="宋体"/>
          <w:color w:val="000000" w:themeColor="text1"/>
          <w:highlight w:val="none"/>
          <w:lang w:eastAsia="zh-CN"/>
          <w14:textFill>
            <w14:solidFill>
              <w14:schemeClr w14:val="tx1"/>
            </w14:solidFill>
          </w14:textFill>
        </w:rPr>
        <w:t>15651712525</w:t>
      </w:r>
    </w:p>
    <w:p w14:paraId="4071EEB2">
      <w:pPr>
        <w:ind w:firstLine="720"/>
        <w:rPr>
          <w:rFonts w:hint="eastAsia" w:ascii="宋体" w:hAnsi="宋体" w:eastAsia="宋体" w:cs="宋体"/>
          <w:color w:val="000000" w:themeColor="text1"/>
          <w:sz w:val="36"/>
          <w:highlight w:val="none"/>
          <w14:textFill>
            <w14:solidFill>
              <w14:schemeClr w14:val="tx1"/>
            </w14:solidFill>
          </w14:textFill>
        </w:rPr>
      </w:pPr>
      <w:r>
        <w:rPr>
          <w:rFonts w:hint="eastAsia" w:ascii="宋体" w:hAnsi="宋体" w:eastAsia="宋体" w:cs="宋体"/>
          <w:color w:val="000000" w:themeColor="text1"/>
          <w:sz w:val="36"/>
          <w:highlight w:val="none"/>
          <w14:textFill>
            <w14:solidFill>
              <w14:schemeClr w14:val="tx1"/>
            </w14:solidFill>
          </w14:textFill>
        </w:rPr>
        <w:br w:type="page"/>
      </w:r>
    </w:p>
    <w:p w14:paraId="6DDEE892">
      <w:pPr>
        <w:pStyle w:val="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第二章  投标人须知</w:t>
      </w:r>
    </w:p>
    <w:p w14:paraId="1B8D14F0">
      <w:pPr>
        <w:pStyle w:val="3"/>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总则</w:t>
      </w:r>
    </w:p>
    <w:p w14:paraId="0E69043F">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适用</w:t>
      </w:r>
      <w:r>
        <w:rPr>
          <w:rFonts w:hint="eastAsia" w:ascii="宋体" w:hAnsi="宋体" w:cs="宋体"/>
          <w:color w:val="000000" w:themeColor="text1"/>
          <w:highlight w:val="none"/>
          <w:lang w:val="en-US" w:eastAsia="zh-CN"/>
          <w14:textFill>
            <w14:solidFill>
              <w14:schemeClr w14:val="tx1"/>
            </w14:solidFill>
          </w14:textFill>
        </w:rPr>
        <w:t>范围</w:t>
      </w:r>
    </w:p>
    <w:p w14:paraId="6DD49C2E">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w:t>
      </w:r>
      <w:r>
        <w:rPr>
          <w:rFonts w:hint="eastAsia" w:cs="宋体"/>
          <w:color w:val="000000" w:themeColor="text1"/>
          <w:highlight w:val="none"/>
          <w:lang w:val="en-US" w:eastAsia="zh-CN"/>
          <w14:textFill>
            <w14:solidFill>
              <w14:schemeClr w14:val="tx1"/>
            </w14:solidFill>
          </w14:textFill>
        </w:rPr>
        <w:t>本招标文件仅适用于本项目</w:t>
      </w:r>
      <w:r>
        <w:rPr>
          <w:rFonts w:hint="eastAsia" w:ascii="宋体" w:hAnsi="宋体" w:eastAsia="宋体" w:cs="宋体"/>
          <w:color w:val="000000" w:themeColor="text1"/>
          <w:highlight w:val="none"/>
          <w14:textFill>
            <w14:solidFill>
              <w14:schemeClr w14:val="tx1"/>
            </w14:solidFill>
          </w14:textFill>
        </w:rPr>
        <w:t>。</w:t>
      </w:r>
    </w:p>
    <w:p w14:paraId="107892DD">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定义</w:t>
      </w:r>
    </w:p>
    <w:p w14:paraId="7CA6EF64">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2.1“采购人”是指南京市栖霞区市政设施综合养护管理所。</w:t>
      </w:r>
    </w:p>
    <w:p w14:paraId="2B3AB7A1">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2.2“使用单位”是指使用服务的单位。</w:t>
      </w:r>
    </w:p>
    <w:p w14:paraId="06A36F56">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2.3“采购代理”是指</w:t>
      </w:r>
      <w:r>
        <w:rPr>
          <w:rFonts w:hint="eastAsia" w:cs="宋体"/>
          <w:color w:val="000000" w:themeColor="text1"/>
          <w:highlight w:val="none"/>
          <w:lang w:eastAsia="zh-CN"/>
          <w14:textFill>
            <w14:solidFill>
              <w14:schemeClr w14:val="tx1"/>
            </w14:solidFill>
          </w14:textFill>
        </w:rPr>
        <w:t>南京科谨工程管理咨询有限责任公司</w:t>
      </w:r>
      <w:r>
        <w:rPr>
          <w:rFonts w:hint="eastAsia" w:ascii="宋体" w:hAnsi="宋体" w:eastAsia="宋体" w:cs="宋体"/>
          <w:color w:val="000000" w:themeColor="text1"/>
          <w:highlight w:val="none"/>
          <w14:textFill>
            <w14:solidFill>
              <w14:schemeClr w14:val="tx1"/>
            </w14:solidFill>
          </w14:textFill>
        </w:rPr>
        <w:t>。</w:t>
      </w:r>
    </w:p>
    <w:p w14:paraId="46F2F389">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2.4“投标人”“供应商”是指向采购人提供服务的法人、其他组织或者自然人。</w:t>
      </w:r>
    </w:p>
    <w:p w14:paraId="71759892">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w:t>
      </w:r>
      <w:r>
        <w:rPr>
          <w:rFonts w:hint="eastAsia" w:cs="宋体"/>
          <w:color w:val="000000" w:themeColor="text1"/>
          <w:highlight w:val="none"/>
          <w:lang w:val="en-US" w:eastAsia="zh-CN"/>
          <w14:textFill>
            <w14:solidFill>
              <w14:schemeClr w14:val="tx1"/>
            </w14:solidFill>
          </w14:textFill>
        </w:rPr>
        <w:t>服务</w:t>
      </w:r>
      <w:r>
        <w:rPr>
          <w:rFonts w:hint="eastAsia" w:ascii="宋体" w:hAnsi="宋体" w:eastAsia="宋体" w:cs="宋体"/>
          <w:color w:val="000000" w:themeColor="text1"/>
          <w:highlight w:val="none"/>
          <w14:textFill>
            <w14:solidFill>
              <w14:schemeClr w14:val="tx1"/>
            </w14:solidFill>
          </w14:textFill>
        </w:rPr>
        <w:t>”指本招标文件中所述服务。</w:t>
      </w:r>
    </w:p>
    <w:p w14:paraId="476B1605">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政策功能</w:t>
      </w:r>
    </w:p>
    <w:p w14:paraId="175C94A0">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无</w:t>
      </w:r>
    </w:p>
    <w:p w14:paraId="55BE696F">
      <w:pPr>
        <w:pStyle w:val="3"/>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招标文件</w:t>
      </w:r>
    </w:p>
    <w:p w14:paraId="04DFA0B8">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招标文件组成</w:t>
      </w:r>
    </w:p>
    <w:p w14:paraId="12255AB5">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4.1招标文件组成：招标公告、投标人须知、评分标准、采购需求、合同主要条款及格式、投标文件格式及附件等。</w:t>
      </w:r>
    </w:p>
    <w:p w14:paraId="3E159D82">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4.2招标的最小单位是包。招标服务数量及技术要求中未分</w:t>
      </w:r>
      <w:r>
        <w:rPr>
          <w:rFonts w:hint="eastAsia" w:ascii="宋体" w:hAnsi="宋体" w:eastAsia="宋体" w:cs="宋体"/>
          <w:color w:val="000000" w:themeColor="text1"/>
          <w:highlight w:val="none"/>
          <w:lang w:val="en-US"/>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包的，投标人对要求提供的服务不得部分投标；招标服务数量及技术要求中已经分</w:t>
      </w:r>
      <w:r>
        <w:rPr>
          <w:rFonts w:hint="eastAsia" w:ascii="宋体" w:hAnsi="宋体" w:eastAsia="宋体" w:cs="宋体"/>
          <w:color w:val="000000" w:themeColor="text1"/>
          <w:highlight w:val="none"/>
          <w:lang w:val="en-US"/>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包的，应当以包为单位投标。</w:t>
      </w:r>
    </w:p>
    <w:p w14:paraId="5E485034">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4.3招标文件如果要求投标人提交备选投标方案的，投标人可以提交备选方案；否则，备选方案将被拒绝。</w:t>
      </w:r>
    </w:p>
    <w:p w14:paraId="1739BBC7">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招标文件的澄清、修改</w:t>
      </w:r>
    </w:p>
    <w:p w14:paraId="1CE56F74">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5.1采购代理机构对已发出的招标文件进行必要澄清或者修改的，将在招标文件要求提交投标文件截止时间前，在原招标公告媒体发布更正公告，该澄清或者修改的内容为招标文件的组成部分。</w:t>
      </w:r>
    </w:p>
    <w:p w14:paraId="28F1646C">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5.2采购代理机构在招标文件要求提交投标文件截止时间前，有权决定延长投标截止时间和开标时间，并在原采购信息发布媒体上发布变更公告。</w:t>
      </w:r>
    </w:p>
    <w:p w14:paraId="4FA64E50">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5.3投标人应在投标截止时间前关注原采购信息发布媒体上有关本招标项目有无变更公告。</w:t>
      </w:r>
    </w:p>
    <w:p w14:paraId="3A172D0D">
      <w:pPr>
        <w:pStyle w:val="3"/>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三、</w:t>
      </w:r>
      <w:r>
        <w:rPr>
          <w:rFonts w:hint="eastAsia" w:ascii="宋体" w:hAnsi="宋体" w:eastAsia="宋体" w:cs="宋体"/>
          <w:color w:val="000000" w:themeColor="text1"/>
          <w:highlight w:val="none"/>
          <w14:textFill>
            <w14:solidFill>
              <w14:schemeClr w14:val="tx1"/>
            </w14:solidFill>
          </w14:textFill>
        </w:rPr>
        <w:t>投标</w:t>
      </w:r>
    </w:p>
    <w:p w14:paraId="26282B55">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投标文件的语言、计量单位、货币和编制</w:t>
      </w:r>
    </w:p>
    <w:p w14:paraId="6E132D06">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投标人提交的投标文件、技术文件和资料，包括图纸中的说明，以及投标人与采购代理机构就有关投标的所有来往函电均应使用中文。投标文件中若有英文或其他语言文字的资料，应提供相应的中文翻译资料。对不同文本投标文件的解释发生异议的，以中文文本为准。</w:t>
      </w:r>
    </w:p>
    <w:p w14:paraId="70B33484">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6.2投标人所使用的计量单位应为国家法定计量单位。</w:t>
      </w:r>
    </w:p>
    <w:p w14:paraId="25F2972D">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6.3投标人应用人民币报价。</w:t>
      </w:r>
    </w:p>
    <w:p w14:paraId="669E707D">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6.4投标文件应字迹清楚、内容齐全、不得涂改。如有修改，修改处须有投标人公章和法定代表人或其授权的投标人代表签字。</w:t>
      </w:r>
    </w:p>
    <w:p w14:paraId="674E4EC3">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6.5投标文件应按照招标文件规定，统一用 A4 规格幅面双面打印、装订成册并编制目录，由于编排混乱导致投标文件被误读或查找不到，责任由投标人承担。</w:t>
      </w:r>
    </w:p>
    <w:p w14:paraId="4230897F">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6.6投标文件应逐页编码，不得跳页（包括但不限于证明材料、声明及产品介绍、彩页等）。</w:t>
      </w:r>
    </w:p>
    <w:p w14:paraId="5B17B43D">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6.7投标人应在投标文件中写清相应的项目编号、项目名称、投标人全称、地址、电话、传真等。</w:t>
      </w:r>
    </w:p>
    <w:p w14:paraId="376A5F9A">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联合体及分包：</w:t>
      </w:r>
    </w:p>
    <w:p w14:paraId="06E26FD0">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7.1本项目不接受联合体投标；不接受分包、转包。</w:t>
      </w:r>
    </w:p>
    <w:p w14:paraId="37E84260">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投标费用</w:t>
      </w:r>
    </w:p>
    <w:p w14:paraId="64471F1C">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8.1无论采购结果如何，投标人应自行承担所有与参加投标有关的费用。</w:t>
      </w:r>
    </w:p>
    <w:p w14:paraId="0DF8C64E">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8.2采购代理服务费：代理服务费以</w:t>
      </w:r>
      <w:r>
        <w:rPr>
          <w:rFonts w:hint="eastAsia" w:cs="宋体"/>
          <w:color w:val="000000" w:themeColor="text1"/>
          <w:highlight w:val="none"/>
          <w:lang w:val="en-US" w:eastAsia="zh-CN"/>
          <w14:textFill>
            <w14:solidFill>
              <w14:schemeClr w14:val="tx1"/>
            </w14:solidFill>
          </w14:textFill>
        </w:rPr>
        <w:t>中标人</w:t>
      </w:r>
      <w:r>
        <w:rPr>
          <w:rFonts w:hint="eastAsia" w:ascii="宋体" w:hAnsi="宋体" w:eastAsia="宋体" w:cs="宋体"/>
          <w:color w:val="000000" w:themeColor="text1"/>
          <w:highlight w:val="none"/>
          <w14:textFill>
            <w14:solidFill>
              <w14:schemeClr w14:val="tx1"/>
            </w14:solidFill>
          </w14:textFill>
        </w:rPr>
        <w:t>的最终报价金额作为计算基数，按国家计委(计价格【2002】1980号)文件规定的80%计取。中标人领取《中标通知书》时向招标代理机构缴纳，中标人凭《中标通知书》与采购方签订合同。评委费：本项目评委费由代理人先行垫付，最终由中标人在领取中标通知书前向招标代理机构支付评委费。</w:t>
      </w:r>
    </w:p>
    <w:p w14:paraId="5A0851FF">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投标文件组成</w:t>
      </w:r>
    </w:p>
    <w:p w14:paraId="0C3E954E">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9.1投标人应当根据招标文件要求编制投标文件，投标文件应对招标文件提出的要求和条件作出实质性响应，并在《商务条款偏离表》和《技术条款偏离表》《资格性检查响应对照表》等处逐条标明满足与否。</w:t>
      </w:r>
    </w:p>
    <w:p w14:paraId="57F299DE">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9.2投标文件由商务部分、技术部分、价格部分，以及其他部分组成。</w:t>
      </w:r>
    </w:p>
    <w:p w14:paraId="1105ACE6">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投标文件的商务部分</w:t>
      </w:r>
    </w:p>
    <w:p w14:paraId="124486BB">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10.1</w:t>
      </w:r>
      <w:r>
        <w:rPr>
          <w:rFonts w:hint="eastAsia" w:ascii="宋体" w:hAnsi="宋体"/>
          <w:bCs/>
          <w:color w:val="000000" w:themeColor="text1"/>
          <w:sz w:val="24"/>
          <w:szCs w:val="24"/>
          <w:highlight w:val="none"/>
          <w14:textFill>
            <w14:solidFill>
              <w14:schemeClr w14:val="tx1"/>
            </w14:solidFill>
          </w14:textFill>
        </w:rPr>
        <w:t>商务部分是证明供应商有资格参加投标和中标后有能力履行合同的文件，这些文件应能满足招标的要</w:t>
      </w:r>
      <w:r>
        <w:rPr>
          <w:rFonts w:hint="eastAsia" w:ascii="宋体" w:hAnsi="宋体" w:eastAsia="宋体" w:cs="宋体"/>
          <w:color w:val="000000" w:themeColor="text1"/>
          <w:highlight w:val="none"/>
          <w14:textFill>
            <w14:solidFill>
              <w14:schemeClr w14:val="tx1"/>
            </w14:solidFill>
          </w14:textFill>
        </w:rPr>
        <w:t>求，包括但不限于下列文件，其中加“★”项目不得有缺失或无效：</w:t>
      </w:r>
    </w:p>
    <w:p w14:paraId="12457D68">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（1）★投标函（投标申请及声明）；</w:t>
      </w:r>
    </w:p>
    <w:p w14:paraId="55A84EE8">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（2）★法定代表人授权委托书及授权委托人的身份证复印件（有授权委托的），或法定代表人身份证复印件（无授权委托的）；</w:t>
      </w:r>
    </w:p>
    <w:p w14:paraId="2254FBEF">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（3）★第一章投标邀请中二、申请人的资格要求：</w:t>
      </w:r>
      <w:r>
        <w:rPr>
          <w:rFonts w:hint="eastAsia" w:ascii="宋体" w:hAnsi="宋体" w:eastAsia="宋体" w:cs="宋体"/>
          <w:color w:val="000000" w:themeColor="text1"/>
          <w:highlight w:val="none"/>
          <w:lang w:eastAsia="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《中华人民共和国政府采购法》规定的资格条件证明文件；</w:t>
      </w:r>
    </w:p>
    <w:p w14:paraId="5E2C1039">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（4）★第一章投标邀请中二、申请人的资格要求：</w:t>
      </w:r>
      <w:r>
        <w:rPr>
          <w:rFonts w:hint="eastAsia" w:ascii="宋体" w:hAnsi="宋体" w:eastAsia="宋体" w:cs="宋体"/>
          <w:color w:val="000000" w:themeColor="text1"/>
          <w:highlight w:val="none"/>
          <w:lang w:eastAsia="zh-CN"/>
          <w14:textFill>
            <w14:solidFill>
              <w14:schemeClr w14:val="tx1"/>
            </w14:solidFill>
          </w14:textFill>
        </w:rPr>
        <w:t>（三）</w:t>
      </w:r>
      <w:r>
        <w:rPr>
          <w:rFonts w:hint="eastAsia" w:ascii="宋体" w:hAnsi="宋体" w:eastAsia="宋体" w:cs="宋体"/>
          <w:color w:val="000000" w:themeColor="text1"/>
          <w:highlight w:val="none"/>
          <w14:textFill>
            <w14:solidFill>
              <w14:schemeClr w14:val="tx1"/>
            </w14:solidFill>
          </w14:textFill>
        </w:rPr>
        <w:t>采购人根据采购项目的特殊要求规定的特定条件证明文件；</w:t>
      </w:r>
    </w:p>
    <w:p w14:paraId="1A640AC3">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zh-CN"/>
          <w14:textFill>
            <w14:solidFill>
              <w14:schemeClr w14:val="tx1"/>
            </w14:solidFill>
          </w14:textFill>
        </w:rPr>
        <w:t>）★《南京市政府采购供应商信用记录表暨信用承诺书》；</w:t>
      </w:r>
    </w:p>
    <w:p w14:paraId="0C291CB7">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）《商务条款偏离表》；</w:t>
      </w:r>
    </w:p>
    <w:p w14:paraId="10549715">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）合同条款；</w:t>
      </w:r>
    </w:p>
    <w:p w14:paraId="22B03A1A">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）供应商认为需要提供的其他资格证明文件和商务资料。</w:t>
      </w:r>
    </w:p>
    <w:p w14:paraId="5BE05CA3">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t>投标文件的技术部分</w:t>
      </w:r>
    </w:p>
    <w:p w14:paraId="345286B1">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11.1 技术部分是证明供应商提供的服务是合格的、并符合招标文件要求的证明文件，以及对投标报价表中的服务的详细说明，这些文件可以是文字资料、图纸和数据等。</w:t>
      </w:r>
    </w:p>
    <w:p w14:paraId="16581B09">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11.2 若提供的服务与招标文件要求有不符之处，应说明其差别之所在。</w:t>
      </w:r>
    </w:p>
    <w:p w14:paraId="7C50F7EF">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11.3 投标文件应按照招标文件要求提供服务说明，技术资料、文件和有关证明，包括但不限于以下材料，其中加“★”项目不得有缺失或无效：</w:t>
      </w:r>
    </w:p>
    <w:p w14:paraId="165D1807">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（1）★服务内容的详细说明；</w:t>
      </w:r>
    </w:p>
    <w:p w14:paraId="3DE93ED7">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lang w:val="zh-CN" w:eastAsia="zh-CN"/>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技术条款偏离表</w:t>
      </w:r>
      <w:r>
        <w:rPr>
          <w:rFonts w:hint="eastAsia" w:ascii="宋体" w:hAnsi="宋体" w:eastAsia="宋体" w:cs="宋体"/>
          <w:color w:val="000000" w:themeColor="text1"/>
          <w:highlight w:val="none"/>
          <w:lang w:val="zh-CN" w:eastAsia="zh-CN"/>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w:t>
      </w:r>
    </w:p>
    <w:p w14:paraId="39A68685">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（3）项目实施、集成、实施方案；</w:t>
      </w:r>
    </w:p>
    <w:p w14:paraId="2EE6AD4E">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bCs/>
          <w:color w:val="000000" w:themeColor="text1"/>
          <w:sz w:val="24"/>
          <w:szCs w:val="24"/>
          <w:highlight w:val="none"/>
          <w:lang w:val="en-US" w:eastAsia="zh-CN"/>
          <w14:textFill>
            <w14:solidFill>
              <w14:schemeClr w14:val="tx1"/>
            </w14:solidFill>
          </w14:textFill>
        </w:rPr>
        <w:t>4</w:t>
      </w:r>
      <w:r>
        <w:rPr>
          <w:rFonts w:hint="eastAsia" w:ascii="宋体" w:hAnsi="宋体"/>
          <w:bCs/>
          <w:color w:val="000000" w:themeColor="text1"/>
          <w:sz w:val="24"/>
          <w:szCs w:val="24"/>
          <w:highlight w:val="none"/>
          <w14:textFill>
            <w14:solidFill>
              <w14:schemeClr w14:val="tx1"/>
            </w14:solidFill>
          </w14:textFill>
        </w:rPr>
        <w:t>）供应商认为需要提供的其他技术资料。</w:t>
      </w:r>
    </w:p>
    <w:p w14:paraId="77EDC82A">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投标文件的价格部分</w:t>
      </w:r>
    </w:p>
    <w:p w14:paraId="6208813D">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12.1价格部分是对投标服务价格构成的说明，</w:t>
      </w:r>
      <w:r>
        <w:rPr>
          <w:rFonts w:hint="eastAsia" w:ascii="宋体" w:hAnsi="宋体" w:eastAsia="宋体" w:cs="宋体"/>
          <w:b/>
          <w:bCs/>
          <w:color w:val="000000" w:themeColor="text1"/>
          <w:highlight w:val="none"/>
          <w14:textFill>
            <w14:solidFill>
              <w14:schemeClr w14:val="tx1"/>
            </w14:solidFill>
          </w14:textFill>
        </w:rPr>
        <w:t>每一项服务仅接受一个价格，任何有选择的报价将不予接受</w:t>
      </w:r>
      <w:r>
        <w:rPr>
          <w:rFonts w:hint="eastAsia" w:ascii="宋体" w:hAnsi="宋体" w:eastAsia="宋体" w:cs="宋体"/>
          <w:color w:val="000000" w:themeColor="text1"/>
          <w:highlight w:val="none"/>
          <w14:textFill>
            <w14:solidFill>
              <w14:schemeClr w14:val="tx1"/>
            </w14:solidFill>
          </w14:textFill>
        </w:rPr>
        <w:t>，将作为无效投标文件处理；格式见招标文件第六章《投标文件格式》包括但不限于：《开标一览表》《投标分项报价》等。</w:t>
      </w:r>
    </w:p>
    <w:p w14:paraId="3CA2875B">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12.2报价应包括为完成本项目所发生的一切费用和税费，除招标文件规定外，采购人将不再支付报价以外的任何费用。如发生漏缺、少项，都被视为投标人的让利行为。投标人估算错误的风险一律由投标人自行承担。</w:t>
      </w:r>
    </w:p>
    <w:p w14:paraId="422F8640">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12.3投标人的任何错漏、优惠、竞争性报价不得作为减轻责任、减少服务、增加收费、降低质量的理由。</w:t>
      </w:r>
    </w:p>
    <w:p w14:paraId="343E1713">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12.4投标人应在《开标一览表》《投标分项报价》等标明提供</w:t>
      </w:r>
      <w:r>
        <w:rPr>
          <w:rFonts w:hint="eastAsia" w:ascii="宋体" w:hAnsi="宋体" w:eastAsia="宋体" w:cs="宋体"/>
          <w:color w:val="000000" w:themeColor="text1"/>
          <w:highlight w:val="none"/>
          <w:lang w:val="en-US"/>
          <w14:textFill>
            <w14:solidFill>
              <w14:schemeClr w14:val="tx1"/>
            </w14:solidFill>
          </w14:textFill>
        </w:rPr>
        <w:t>服务</w:t>
      </w:r>
      <w:r>
        <w:rPr>
          <w:rFonts w:hint="eastAsia" w:ascii="宋体" w:hAnsi="宋体" w:eastAsia="宋体" w:cs="宋体"/>
          <w:color w:val="000000" w:themeColor="text1"/>
          <w:highlight w:val="none"/>
          <w14:textFill>
            <w14:solidFill>
              <w14:schemeClr w14:val="tx1"/>
            </w14:solidFill>
          </w14:textFill>
        </w:rPr>
        <w:t>的单价、总价以及分项报价。</w:t>
      </w:r>
      <w:r>
        <w:rPr>
          <w:rFonts w:hint="eastAsia" w:ascii="宋体" w:hAnsi="宋体" w:eastAsia="宋体" w:cs="宋体"/>
          <w:color w:val="000000" w:themeColor="text1"/>
          <w:highlight w:val="none"/>
          <w:lang w:val="en-US"/>
          <w14:textFill>
            <w14:solidFill>
              <w14:schemeClr w14:val="tx1"/>
            </w14:solidFill>
          </w14:textFill>
        </w:rPr>
        <w:t>承接服务的供应商</w:t>
      </w:r>
      <w:r>
        <w:rPr>
          <w:rFonts w:hint="eastAsia" w:ascii="宋体" w:hAnsi="宋体" w:eastAsia="宋体" w:cs="宋体"/>
          <w:color w:val="000000" w:themeColor="text1"/>
          <w:highlight w:val="none"/>
          <w14:textFill>
            <w14:solidFill>
              <w14:schemeClr w14:val="tx1"/>
            </w14:solidFill>
          </w14:textFill>
        </w:rPr>
        <w:t>系</w:t>
      </w:r>
      <w:r>
        <w:rPr>
          <w:rFonts w:hint="eastAsia" w:ascii="宋体" w:hAnsi="宋体" w:eastAsia="宋体" w:cs="宋体"/>
          <w:color w:val="000000" w:themeColor="text1"/>
          <w:highlight w:val="none"/>
          <w:lang w:val="en-US"/>
          <w14:textFill>
            <w14:solidFill>
              <w14:schemeClr w14:val="tx1"/>
            </w14:solidFill>
          </w14:textFill>
        </w:rPr>
        <w:t>中</w:t>
      </w:r>
      <w:r>
        <w:rPr>
          <w:rFonts w:hint="eastAsia" w:ascii="宋体" w:hAnsi="宋体" w:eastAsia="宋体" w:cs="宋体"/>
          <w:color w:val="000000" w:themeColor="text1"/>
          <w:highlight w:val="none"/>
          <w14:textFill>
            <w14:solidFill>
              <w14:schemeClr w14:val="tx1"/>
            </w14:solidFill>
          </w14:textFill>
        </w:rPr>
        <w:t>小企业（含</w:t>
      </w:r>
      <w:r>
        <w:rPr>
          <w:rFonts w:hint="eastAsia" w:ascii="宋体" w:hAnsi="宋体" w:eastAsia="宋体" w:cs="宋体"/>
          <w:color w:val="000000" w:themeColor="text1"/>
          <w:highlight w:val="none"/>
          <w:lang w:val="en-US"/>
          <w14:textFill>
            <w14:solidFill>
              <w14:schemeClr w14:val="tx1"/>
            </w14:solidFill>
          </w14:textFill>
        </w:rPr>
        <w:t>中型、</w:t>
      </w:r>
      <w:r>
        <w:rPr>
          <w:rFonts w:hint="eastAsia" w:ascii="宋体" w:hAnsi="宋体" w:eastAsia="宋体" w:cs="宋体"/>
          <w:color w:val="000000" w:themeColor="text1"/>
          <w:highlight w:val="none"/>
          <w14:textFill>
            <w14:solidFill>
              <w14:schemeClr w14:val="tx1"/>
            </w14:solidFill>
          </w14:textFill>
        </w:rPr>
        <w:t>小型、微型企业），须在《开标一览表》《投标分项报价》中注明，投标人应当如实申报，否则评标委员会有权取消其</w:t>
      </w:r>
      <w:r>
        <w:rPr>
          <w:rFonts w:hint="eastAsia" w:ascii="宋体" w:hAnsi="宋体" w:eastAsia="宋体" w:cs="宋体"/>
          <w:color w:val="000000" w:themeColor="text1"/>
          <w:highlight w:val="none"/>
          <w:lang w:val="en-US"/>
          <w14:textFill>
            <w14:solidFill>
              <w14:schemeClr w14:val="tx1"/>
            </w14:solidFill>
          </w14:textFill>
        </w:rPr>
        <w:t>享受中小</w:t>
      </w:r>
      <w:r>
        <w:rPr>
          <w:rFonts w:hint="eastAsia" w:ascii="宋体" w:hAnsi="宋体" w:eastAsia="宋体" w:cs="宋体"/>
          <w:color w:val="000000" w:themeColor="text1"/>
          <w:highlight w:val="none"/>
          <w14:textFill>
            <w14:solidFill>
              <w14:schemeClr w14:val="tx1"/>
            </w14:solidFill>
          </w14:textFill>
        </w:rPr>
        <w:t>企业</w:t>
      </w:r>
      <w:r>
        <w:rPr>
          <w:rFonts w:hint="eastAsia" w:ascii="宋体" w:hAnsi="宋体" w:eastAsia="宋体" w:cs="宋体"/>
          <w:color w:val="000000" w:themeColor="text1"/>
          <w:highlight w:val="none"/>
          <w:lang w:val="en-US"/>
          <w14:textFill>
            <w14:solidFill>
              <w14:schemeClr w14:val="tx1"/>
            </w14:solidFill>
          </w14:textFill>
        </w:rPr>
        <w:t>扶持</w:t>
      </w:r>
      <w:r>
        <w:rPr>
          <w:rFonts w:hint="eastAsia" w:ascii="宋体" w:hAnsi="宋体" w:eastAsia="宋体" w:cs="宋体"/>
          <w:color w:val="000000" w:themeColor="text1"/>
          <w:highlight w:val="none"/>
          <w14:textFill>
            <w14:solidFill>
              <w14:schemeClr w14:val="tx1"/>
            </w14:solidFill>
          </w14:textFill>
        </w:rPr>
        <w:t>政策。</w:t>
      </w:r>
    </w:p>
    <w:p w14:paraId="4D07F4DD">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t>投标文件的其他部分</w:t>
      </w:r>
    </w:p>
    <w:p w14:paraId="4549AEA2">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13.1 其他部分由投标人根据编制投标文件需要提供的其他相关文件。</w:t>
      </w:r>
    </w:p>
    <w:p w14:paraId="36BD495B">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t>投标保证金：无</w:t>
      </w:r>
    </w:p>
    <w:p w14:paraId="16B3ECFF">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t>投标有效期</w:t>
      </w:r>
    </w:p>
    <w:p w14:paraId="0F97AA50">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15.1自开标之日起</w:t>
      </w:r>
      <w:r>
        <w:rPr>
          <w:rFonts w:hint="eastAsia" w:ascii="宋体" w:hAnsi="宋体" w:eastAsia="宋体" w:cs="宋体"/>
          <w:b/>
          <w:bCs/>
          <w:color w:val="000000" w:themeColor="text1"/>
          <w:highlight w:val="none"/>
          <w14:textFill>
            <w14:solidFill>
              <w14:schemeClr w14:val="tx1"/>
            </w14:solidFill>
          </w14:textFill>
        </w:rPr>
        <w:t>90天</w:t>
      </w:r>
      <w:r>
        <w:rPr>
          <w:rFonts w:hint="eastAsia" w:ascii="宋体" w:hAnsi="宋体" w:eastAsia="宋体" w:cs="宋体"/>
          <w:color w:val="000000" w:themeColor="text1"/>
          <w:highlight w:val="none"/>
          <w14:textFill>
            <w14:solidFill>
              <w14:schemeClr w14:val="tx1"/>
            </w14:solidFill>
          </w14:textFill>
        </w:rPr>
        <w:t>内投标有效。</w:t>
      </w:r>
    </w:p>
    <w:p w14:paraId="486D70F7">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15.2在特殊情况下，在原投标有效期截止之前，</w:t>
      </w:r>
      <w:r>
        <w:rPr>
          <w:rFonts w:hint="eastAsia" w:ascii="宋体" w:hAnsi="宋体" w:eastAsia="宋体" w:cs="宋体"/>
          <w:color w:val="000000" w:themeColor="text1"/>
          <w:highlight w:val="none"/>
          <w:lang w:val="en-US"/>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可要求投标人同意延长投标有效期，这种要求与答复均以书面形式提交，投标人可拒绝这种要求。接受延长投标有效期的投标人将不会要求和允许修正其投标。</w:t>
      </w:r>
    </w:p>
    <w:p w14:paraId="29938C86">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t>投标文件的份数、签署</w:t>
      </w:r>
    </w:p>
    <w:p w14:paraId="1C82AD86">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16.1投标人应严格按照招标文件要求的份数准备投标文件，每份投标文件须清楚地标明“正本”或“副本”字样。一旦正本和副本不符，以正本为准。</w:t>
      </w:r>
    </w:p>
    <w:p w14:paraId="5C47B409">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16.2投标文件正本中，除招标文件规定的可提交复印件外，其他文件均须提交原件，文字材料需打印或用不褪色墨水书写。投标文件的正本须经法定代表人或经正式授权并对投标人有约束力的委托代理人签字和加盖投标人公章。本招标文件所表述（指定）的公章是指法定名称章，不包括合同专用章、业务专用章等印章。</w:t>
      </w:r>
    </w:p>
    <w:p w14:paraId="45D2AC9D">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16.3除投标人对错处做必要修改外，投标文件不得行间插字、涂改或增删。如有修改错漏处，必须由投标文件签署人签字或盖章。</w:t>
      </w:r>
    </w:p>
    <w:p w14:paraId="3E34D9BA">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t>投标文件的密封和递交</w:t>
      </w:r>
    </w:p>
    <w:p w14:paraId="0C91947B">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17.1投标人应当将投标文件密封；</w:t>
      </w:r>
    </w:p>
    <w:p w14:paraId="47F9F957">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17.2投标人应当在招标文件要求提交投标文件的截止时间前，将密封的投标文件送达投标地点。</w:t>
      </w:r>
    </w:p>
    <w:p w14:paraId="5BDF6375">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t>有下列情形之一的投标文件将拒收：</w:t>
      </w:r>
    </w:p>
    <w:p w14:paraId="23F76C14">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18.1在招标文件要求提交投标文件的截止时间之后送达的。</w:t>
      </w:r>
    </w:p>
    <w:p w14:paraId="65F9F64F">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投标文件的修改和撤回</w:t>
      </w:r>
    </w:p>
    <w:p w14:paraId="416B13A2">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19.1投标人在投标截止时间前，可以对所递交的投标文件进行补充、修改或撤回，并书面通知采购代理机构。补充、修改的内容应当按照招标文件要求签署、盖章，并作为投标文件的组成部分。</w:t>
      </w:r>
    </w:p>
    <w:p w14:paraId="43DD0D03">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19.2投标截止时间之后，投标文件不得撤回。</w:t>
      </w:r>
    </w:p>
    <w:p w14:paraId="1248F9CB">
      <w:pPr>
        <w:pStyle w:val="3"/>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四、</w:t>
      </w:r>
      <w:r>
        <w:rPr>
          <w:rFonts w:hint="eastAsia" w:ascii="宋体" w:hAnsi="宋体" w:eastAsia="宋体" w:cs="宋体"/>
          <w:color w:val="000000" w:themeColor="text1"/>
          <w:highlight w:val="none"/>
          <w14:textFill>
            <w14:solidFill>
              <w14:schemeClr w14:val="tx1"/>
            </w14:solidFill>
          </w14:textFill>
        </w:rPr>
        <w:t>开标、评标与确定中标人</w:t>
      </w:r>
    </w:p>
    <w:p w14:paraId="14A3A216">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t>开标</w:t>
      </w:r>
    </w:p>
    <w:p w14:paraId="648DE874">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20.1采购代理机构将在招标文件确定的时间和地点进行公开开标。投标人应委派代表准时参加，参加开标的代表须签名报到以证明其出席。</w:t>
      </w:r>
    </w:p>
    <w:p w14:paraId="331B8867">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20.2开标时，采购代理机构将邀请投标人代表检查投标文件的密封情况，经确认无误后，由采购代理机构工作人员当众拆封，宣读投标人名称、投标价格、价格折扣、招标文件允许提供的备选投标方案和投标文件规定的其他主要内容。</w:t>
      </w:r>
    </w:p>
    <w:p w14:paraId="424C9E3A">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20.3未宣读的投标价格、价格折扣和招标文件允许提供的备选投标方案等实质性内容，评标时不予承认。</w:t>
      </w:r>
    </w:p>
    <w:p w14:paraId="105EE380">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20.4开标时，《开标一览表》（报价表）内容与投标文件中相应内容不一致的，以《开标一览表》（报价表）为准。</w:t>
      </w:r>
    </w:p>
    <w:p w14:paraId="234A6378">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20.5投标文件、《开标一览表》（报价表）中报价的大写金额与小写金额不一致的，以大写金额为准。</w:t>
      </w:r>
    </w:p>
    <w:p w14:paraId="77D6AE62">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20.6单价金额小数点或者百分比有明显错位的，以《开标一览表》（报价表）的总价为准，并修改单价；</w:t>
      </w:r>
    </w:p>
    <w:p w14:paraId="01ECE3DC">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20.7总价金额与按单价汇总金额不一致的，以单价金额计算结果为准；</w:t>
      </w:r>
    </w:p>
    <w:p w14:paraId="77EE24F1">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20.8同时出现 20.4-20.7 中两种以上不一致的，按照 20.4-20.7 的顺序修正。修正后的报价由法定代表人或其授权的代表签字确认后产生约束力，投标人不确认的，投标无效。</w:t>
      </w:r>
    </w:p>
    <w:p w14:paraId="060C3056">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20.9对不同文字文本投标文件的解释发生异议的，以中文文本为准。</w:t>
      </w:r>
    </w:p>
    <w:p w14:paraId="1CA70453">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20.10如出现投标截止时间结束后参加投标的投标人不足三家的情况，不得开标。此采购项目</w:t>
      </w:r>
      <w:r>
        <w:rPr>
          <w:rFonts w:hint="eastAsia" w:ascii="宋体" w:hAnsi="宋体" w:eastAsia="宋体" w:cs="宋体"/>
          <w:color w:val="000000" w:themeColor="text1"/>
          <w:highlight w:val="none"/>
          <w:lang w:val="en-US"/>
          <w14:textFill>
            <w14:solidFill>
              <w14:schemeClr w14:val="tx1"/>
            </w14:solidFill>
          </w14:textFill>
        </w:rPr>
        <w:t>或采购包</w:t>
      </w:r>
      <w:r>
        <w:rPr>
          <w:rFonts w:hint="eastAsia" w:ascii="宋体" w:hAnsi="宋体" w:eastAsia="宋体" w:cs="宋体"/>
          <w:color w:val="000000" w:themeColor="text1"/>
          <w:highlight w:val="none"/>
          <w14:textFill>
            <w14:solidFill>
              <w14:schemeClr w14:val="tx1"/>
            </w14:solidFill>
          </w14:textFill>
        </w:rPr>
        <w:t>应予以废标。废标后，除采购任务取消情形外，应当重新组织招标；如果需要采用其他方式采购，根据需要，应当在采购活动开始前获得设区的市、自治州以上人民政府采购监督管理部门或者政府有关部门批准（不需要获得批准的除外）。</w:t>
      </w:r>
    </w:p>
    <w:p w14:paraId="4E5D96A7">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t>评标</w:t>
      </w:r>
    </w:p>
    <w:p w14:paraId="77696ED7">
      <w:pPr>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21.1评标组织</w:t>
      </w:r>
    </w:p>
    <w:p w14:paraId="22CE16B5">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21.1.1评标工作由采购代理机构负责组织，具体评标事务由依法组建的评标委员会负责，并独立履行下列职责：</w:t>
      </w:r>
    </w:p>
    <w:p w14:paraId="5749E71C">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（1）审查、评价投标文件是否符合招标文件的商务、技术等实质性要求；</w:t>
      </w:r>
    </w:p>
    <w:p w14:paraId="4933F058">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（2）要求投标人对投标文件有关事项作出澄清或者说明；</w:t>
      </w:r>
    </w:p>
    <w:p w14:paraId="68982B45">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（3）对投标文件进行比较和评价；</w:t>
      </w:r>
    </w:p>
    <w:p w14:paraId="30C0E4F6">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（4）根据采购人委托协议直接确定中标人；</w:t>
      </w:r>
    </w:p>
    <w:p w14:paraId="731C849C">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（5）向采购人报告评标中发现的违法行为。</w:t>
      </w:r>
    </w:p>
    <w:p w14:paraId="28184D4F">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21.1.2评标委员会由采购人代表和有关技术、经济等方面的专家组成，独立开展评审工作。</w:t>
      </w:r>
    </w:p>
    <w:p w14:paraId="475A9442">
      <w:pPr>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21.2评标程序</w:t>
      </w:r>
    </w:p>
    <w:p w14:paraId="78F68988">
      <w:pPr>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21.2.1投标文件的资格审查。</w:t>
      </w:r>
    </w:p>
    <w:p w14:paraId="25071347">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21.2.1.1采购人代表</w:t>
      </w:r>
      <w:r>
        <w:rPr>
          <w:rFonts w:hint="eastAsia" w:ascii="宋体" w:hAnsi="宋体" w:eastAsia="宋体" w:cs="宋体"/>
          <w:color w:val="000000" w:themeColor="text1"/>
          <w:highlight w:val="none"/>
          <w:lang w:val="en-US"/>
          <w14:textFill>
            <w14:solidFill>
              <w14:schemeClr w14:val="tx1"/>
            </w14:solidFill>
          </w14:textFill>
        </w:rPr>
        <w:t>或采购代理机构</w:t>
      </w:r>
      <w:r>
        <w:rPr>
          <w:rFonts w:hint="eastAsia" w:ascii="宋体" w:hAnsi="宋体" w:eastAsia="宋体" w:cs="宋体"/>
          <w:color w:val="000000" w:themeColor="text1"/>
          <w:highlight w:val="none"/>
          <w14:textFill>
            <w14:solidFill>
              <w14:schemeClr w14:val="tx1"/>
            </w14:solidFill>
          </w14:textFill>
        </w:rPr>
        <w:t>将依法对投标人的资格进行审查。</w:t>
      </w:r>
    </w:p>
    <w:p w14:paraId="1B7B61CA">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21.2.1.2资格审查：依据法律法规和招标文件的规定，对投标文件中的资格证明文件进行审查，以确定投标人是否具备投标资格。</w:t>
      </w:r>
    </w:p>
    <w:p w14:paraId="67633170">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21.2.1.3在进行资格性审查的同时，将在“信用中国”网站（</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"http://www.creditchina.gov.cn/"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www.creditchina.gov.cn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中国政府采购网”（www.ccgp.gov.cn）对投标人是否被列入失信被执行人、重大税收违法失信主体、政府采购严重违法失信行为记录名单的情况进行查询，以确定投标人是否具备投标资格。查询结果将以网页打印的形式留存并归档。</w:t>
      </w:r>
    </w:p>
    <w:p w14:paraId="636C7239">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21.2.1.4投标文件有下列情况之一的，在资格审查时按照</w:t>
      </w:r>
      <w:r>
        <w:rPr>
          <w:rFonts w:hint="eastAsia" w:ascii="宋体" w:hAnsi="宋体" w:eastAsia="宋体" w:cs="宋体"/>
          <w:b/>
          <w:bCs/>
          <w:color w:val="000000" w:themeColor="text1"/>
          <w:highlight w:val="none"/>
          <w14:textFill>
            <w14:solidFill>
              <w14:schemeClr w14:val="tx1"/>
            </w14:solidFill>
          </w14:textFill>
        </w:rPr>
        <w:t>无效投标</w:t>
      </w:r>
      <w:r>
        <w:rPr>
          <w:rFonts w:hint="eastAsia" w:ascii="宋体" w:hAnsi="宋体" w:eastAsia="宋体" w:cs="宋体"/>
          <w:color w:val="000000" w:themeColor="text1"/>
          <w:highlight w:val="none"/>
          <w14:textFill>
            <w14:solidFill>
              <w14:schemeClr w14:val="tx1"/>
            </w14:solidFill>
          </w14:textFill>
        </w:rPr>
        <w:t>处理：</w:t>
      </w:r>
    </w:p>
    <w:p w14:paraId="5266DB0F">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（1）不具备招标文件中规定的资格条件的；</w:t>
      </w:r>
    </w:p>
    <w:p w14:paraId="4EEEACEF">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供应商被“信用中国”网站（www.creditchina.gov.cn）、“中国政府采购网”（www.ccgp.gov.cn）列入失信被执行人、重大税收违法失信主体、政府采购严重违法失信行为记录名单的。接受联合体的项目，两个以上的自然人、法人或者其他组织组成一个联合体，以一个供应商的身份共同参加采购活动的，联合体成员存在不良信用记录的，视同联合体存在不良信用记录。</w:t>
      </w:r>
    </w:p>
    <w:p w14:paraId="356D288A">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21.2.2投标文件的符合性审查。</w:t>
      </w:r>
    </w:p>
    <w:p w14:paraId="37B8F633">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21.2.2.1评标委员会将依据法律法规和招标文件的规定，对投标文件的有效性、完整性和对招标文件的响应程度进行审查，以确定是否对招标文件的实质性要求作出响应。</w:t>
      </w:r>
    </w:p>
    <w:p w14:paraId="4DC9C19E">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21.2.2.2实质性要求是指本招标文件中用带星号（“★”）的商务和技术要求。</w:t>
      </w:r>
    </w:p>
    <w:p w14:paraId="5015A1FD">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21.2.2.3如果投标文件实质上没有响应招标文件的要求，评标委员会将予以拒绝，投标人不得通过修改或撤销不符合要求的偏离或保留而使其投标成为实质性响应的投标。</w:t>
      </w:r>
    </w:p>
    <w:p w14:paraId="68F44DB6">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21.2.2.4投标文件有下列情况之一的，在符合性审查时按照</w:t>
      </w:r>
      <w:r>
        <w:rPr>
          <w:rFonts w:hint="eastAsia" w:ascii="宋体" w:hAnsi="宋体" w:eastAsia="宋体" w:cs="宋体"/>
          <w:b/>
          <w:bCs/>
          <w:color w:val="000000" w:themeColor="text1"/>
          <w:highlight w:val="none"/>
          <w14:textFill>
            <w14:solidFill>
              <w14:schemeClr w14:val="tx1"/>
            </w14:solidFill>
          </w14:textFill>
        </w:rPr>
        <w:t>无效投标</w:t>
      </w:r>
      <w:r>
        <w:rPr>
          <w:rFonts w:hint="eastAsia" w:ascii="宋体" w:hAnsi="宋体" w:eastAsia="宋体" w:cs="宋体"/>
          <w:color w:val="000000" w:themeColor="text1"/>
          <w:highlight w:val="none"/>
          <w14:textFill>
            <w14:solidFill>
              <w14:schemeClr w14:val="tx1"/>
            </w14:solidFill>
          </w14:textFill>
        </w:rPr>
        <w:t>处理：</w:t>
      </w:r>
    </w:p>
    <w:p w14:paraId="7F56210C">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（1）未按照招标文件规定要求密封、签署、盖章的；</w:t>
      </w:r>
    </w:p>
    <w:p w14:paraId="263EB2B6">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（2）投标总价高于采购预算金额或者最高限价的；</w:t>
      </w:r>
    </w:p>
    <w:p w14:paraId="4E5AB294">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（3）不同投标人的投标文件由同一单位或者个人编制；</w:t>
      </w:r>
    </w:p>
    <w:p w14:paraId="0881B607">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（4）不同投标人委托同一单位或者个人办理投标事宜；</w:t>
      </w:r>
    </w:p>
    <w:p w14:paraId="7330F159">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（5）不同投标人的投标文件载明的项目管理成员或者联系人员为同一人；</w:t>
      </w:r>
    </w:p>
    <w:p w14:paraId="37A7D61F">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（6）不同投标人的投标文件异常一致或者投标报价呈规律性差异；</w:t>
      </w:r>
    </w:p>
    <w:p w14:paraId="3CCE4797">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（7）不同投标人的投标文件相互混装；</w:t>
      </w:r>
    </w:p>
    <w:p w14:paraId="509D4E03">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（8）不同投标人的负责人为同一人或者存在控股、管理关系的；</w:t>
      </w:r>
    </w:p>
    <w:p w14:paraId="3DC6A0FB">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（9）没有逐一说明投标产品响应，而是直接拷贝招标文件技术要求的；</w:t>
      </w:r>
    </w:p>
    <w:p w14:paraId="081A9980">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（10）实质性要求未响应招标文件要求的；</w:t>
      </w:r>
    </w:p>
    <w:p w14:paraId="7F7F6E95">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（11）投标文件含有采购人不能接受的附加条件的；</w:t>
      </w:r>
    </w:p>
    <w:p w14:paraId="56C234FA">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（12）评标委员会认为投标人的报价明显低于其他通过符合性审查投标人的报价，有可能影响服务质量或者不能诚信履约的，未在评标现场合理的时间内提供书面说明或相关证明材料，不能证明其报价合理的；</w:t>
      </w:r>
    </w:p>
    <w:p w14:paraId="7377358E">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（13）不符合法律、法规或招标文件规定的其他无效情形。</w:t>
      </w:r>
    </w:p>
    <w:p w14:paraId="3F4E8784">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21.2.2.5有下列情形之一的</w:t>
      </w:r>
      <w:r>
        <w:rPr>
          <w:rFonts w:hint="eastAsia" w:ascii="宋体" w:hAnsi="宋体" w:eastAsia="宋体" w:cs="宋体"/>
          <w:color w:val="000000" w:themeColor="text1"/>
          <w:highlight w:val="none"/>
          <w:lang w:val="en-US"/>
          <w14:textFill>
            <w14:solidFill>
              <w14:schemeClr w14:val="tx1"/>
            </w14:solidFill>
          </w14:textFill>
        </w:rPr>
        <w:t>采购包</w:t>
      </w:r>
      <w:r>
        <w:rPr>
          <w:rFonts w:hint="eastAsia" w:ascii="宋体" w:hAnsi="宋体" w:eastAsia="宋体" w:cs="宋体"/>
          <w:color w:val="000000" w:themeColor="text1"/>
          <w:highlight w:val="none"/>
          <w14:textFill>
            <w14:solidFill>
              <w14:schemeClr w14:val="tx1"/>
            </w14:solidFill>
          </w14:textFill>
        </w:rPr>
        <w:t>予以废标，同时将废标理由通知所有投标人：</w:t>
      </w:r>
    </w:p>
    <w:p w14:paraId="42B1A167">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（1）符合专业条件的投标人或者对招标文件作实质性响应的投标人不足三家的；</w:t>
      </w:r>
    </w:p>
    <w:p w14:paraId="3389CD14">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（2）出现影响采购公正的违法、违规行为的；</w:t>
      </w:r>
    </w:p>
    <w:p w14:paraId="488D37E1">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（3）投标人的报价均高于采购预算或最高限价的，采购人不能支付的；</w:t>
      </w:r>
    </w:p>
    <w:p w14:paraId="6CA594BE">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（4）因重大变故，采购任务取消的；</w:t>
      </w:r>
    </w:p>
    <w:p w14:paraId="27482D58">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（5）招标文件存在歧义、重大缺陷，或者招标文件内容违反国家有关强制性规定的。</w:t>
      </w:r>
    </w:p>
    <w:p w14:paraId="1700473D">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（6）预留份额的采购项目或采购包，通过发布公告方式邀请供应商后，符合资格条件的中小企业数量不足3家的。</w:t>
      </w:r>
    </w:p>
    <w:p w14:paraId="00B9A078">
      <w:pPr>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21.2.3投标文件的进一步评审。</w:t>
      </w:r>
    </w:p>
    <w:p w14:paraId="6C4DBCA2">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21.2.3.1评标委员会将对确定为实质性响应的投标文件进行进一步评审，看其是否有计算上或累加上的算术错误，修正错误的原则如下：</w:t>
      </w:r>
    </w:p>
    <w:p w14:paraId="7D4A9706">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（1）如果用数字表示的金额和用文字表示的金额不一致时，应以文字表示的金额为准进行修正；</w:t>
      </w:r>
    </w:p>
    <w:p w14:paraId="3190B672">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（2）当单价与数量的乘积和总价不一致时，以单价为准进行修正。只有在评标委员会认为单价有明显的小数点错误时，才能以标出的总价为准，并修改单价。</w:t>
      </w:r>
    </w:p>
    <w:p w14:paraId="17B3F13C">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21.2.3.2评标委员会将按上述修正错误的方法调整投标文件中的投标价，调整后的价格应对投标人具有约束力。如果投标人不接受修正后的价格，则其投标将被拒绝。</w:t>
      </w:r>
    </w:p>
    <w:p w14:paraId="6D3A38A7">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21.2.3.3评标委员会将允许修正投标文件中不构成重大偏离的、微小的、非正规的、不一致的或不规则的地方，但这些修改不能影响任何投标人相应的名次排列。</w:t>
      </w:r>
    </w:p>
    <w:p w14:paraId="6D9C3ECC">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21.2.3.4澄清有关问题。对投标文件中含义不明确、同类问题表述不一致或者明显文字错误的内容，评标委员会可以要求投标人作出必要的澄清、说明或者补正。投标人的澄清、说明、补正应当采用书面形式，由其授权代表签字，但不得超出投标文件的范围或者改变投标文件的实质性内容。</w:t>
      </w:r>
    </w:p>
    <w:p w14:paraId="1E221A1D">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21.2.3.5比较与评价。按照招标文件中规定的评标方法和标准，对资格性检查和符合性检查合格的投标文件进行商务和技术评估，综合比较与评价。</w:t>
      </w:r>
    </w:p>
    <w:p w14:paraId="1D5083B5">
      <w:pPr>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21.3评标方法和标准</w:t>
      </w:r>
    </w:p>
    <w:p w14:paraId="34D980EF">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21.3.1采用</w:t>
      </w:r>
      <w:r>
        <w:rPr>
          <w:rFonts w:hint="eastAsia" w:ascii="宋体" w:hAnsi="宋体" w:eastAsia="宋体" w:cs="宋体"/>
          <w:b/>
          <w:bCs/>
          <w:color w:val="000000" w:themeColor="text1"/>
          <w:highlight w:val="none"/>
          <w14:textFill>
            <w14:solidFill>
              <w14:schemeClr w14:val="tx1"/>
            </w14:solidFill>
          </w14:textFill>
        </w:rPr>
        <w:t>综合评分法</w:t>
      </w:r>
      <w:r>
        <w:rPr>
          <w:rFonts w:hint="eastAsia" w:ascii="宋体" w:hAnsi="宋体" w:eastAsia="宋体" w:cs="宋体"/>
          <w:color w:val="000000" w:themeColor="text1"/>
          <w:highlight w:val="none"/>
          <w14:textFill>
            <w14:solidFill>
              <w14:schemeClr w14:val="tx1"/>
            </w14:solidFill>
          </w14:textFill>
        </w:rPr>
        <w:t>。即在投标文件满足招标文件全部实质性要求前提下，且按照评审因素的量化指标评审得分最高的投标人为中标人的评标方法。</w:t>
      </w:r>
    </w:p>
    <w:p w14:paraId="173423EC">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21.3.2评分标准详见文件第三章。</w:t>
      </w:r>
    </w:p>
    <w:p w14:paraId="4652D912">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t>确定中标人</w:t>
      </w:r>
    </w:p>
    <w:p w14:paraId="64CAD04D">
      <w:pPr>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22.确定中标供应商</w:t>
      </w:r>
    </w:p>
    <w:p w14:paraId="5850B61D">
      <w:pPr>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22.1 在综合比较与评价后按照得分由高到低顺序对供应商进行排序。评标委员会按综合得分排名推荐3名中标候选人。得分相同的，按投标报价由低到高顺序排列。得分且报价相同的，按技术指标（</w:t>
      </w:r>
      <w:r>
        <w:rPr>
          <w:rFonts w:hint="eastAsia" w:ascii="宋体" w:hAnsi="宋体" w:eastAsia="宋体" w:cs="宋体"/>
          <w:color w:val="000000" w:themeColor="text1"/>
          <w:highlight w:val="none"/>
          <w14:textFill>
            <w14:solidFill>
              <w14:schemeClr w14:val="tx1"/>
            </w14:solidFill>
          </w14:textFill>
        </w:rPr>
        <w:t>项目总体服务方案</w:t>
      </w:r>
      <w:r>
        <w:rPr>
          <w:rFonts w:hint="eastAsia" w:ascii="宋体" w:hAnsi="宋体" w:cs="宋体"/>
          <w:color w:val="000000" w:themeColor="text1"/>
          <w:sz w:val="24"/>
          <w:szCs w:val="24"/>
          <w:highlight w:val="none"/>
          <w:lang w:val="zh-CN"/>
          <w14:textFill>
            <w14:solidFill>
              <w14:schemeClr w14:val="tx1"/>
            </w14:solidFill>
          </w14:textFill>
        </w:rPr>
        <w:t>）优劣顺序排列。</w:t>
      </w:r>
    </w:p>
    <w:p w14:paraId="06FBCF0B">
      <w:pPr>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22.2 按以下第</w:t>
      </w:r>
      <w:r>
        <w:rPr>
          <w:rFonts w:hint="eastAsia" w:ascii="宋体" w:hAnsi="宋体" w:cs="宋体"/>
          <w:color w:val="000000" w:themeColor="text1"/>
          <w:sz w:val="24"/>
          <w:szCs w:val="24"/>
          <w:highlight w:val="none"/>
          <w:u w:val="single"/>
          <w:lang w:val="zh-CN"/>
          <w14:textFill>
            <w14:solidFill>
              <w14:schemeClr w14:val="tx1"/>
            </w14:solidFill>
          </w14:textFill>
        </w:rPr>
        <w:t>（1）</w:t>
      </w:r>
      <w:r>
        <w:rPr>
          <w:rFonts w:hint="eastAsia" w:ascii="宋体" w:hAnsi="宋体" w:cs="宋体"/>
          <w:color w:val="000000" w:themeColor="text1"/>
          <w:sz w:val="24"/>
          <w:szCs w:val="24"/>
          <w:highlight w:val="none"/>
          <w:lang w:val="zh-CN"/>
          <w14:textFill>
            <w14:solidFill>
              <w14:schemeClr w14:val="tx1"/>
            </w14:solidFill>
          </w14:textFill>
        </w:rPr>
        <w:t>种方式确定中标供应商</w:t>
      </w:r>
    </w:p>
    <w:p w14:paraId="483A1665">
      <w:pPr>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（1）评标委员会直接确定排名第一的中标候选人为中标供应商；</w:t>
      </w:r>
    </w:p>
    <w:p w14:paraId="11C7DAED">
      <w:pPr>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（2）采购人在评标委员会推荐的中标候选人中按顺序确定中标供应商。</w:t>
      </w:r>
    </w:p>
    <w:p w14:paraId="1BB08686">
      <w:pPr>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按第二种方式确定中标供应商的，代理机构自评审结束之日起两个工作日内将评审报告送交采购人，采购人应当自收到评审报告之日起五个工作日内在评审报告推荐的中标候选人中按顺序确定中标供应商。</w:t>
      </w:r>
    </w:p>
    <w:p w14:paraId="638BB6AE">
      <w:pPr>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22.3 中标供应商确定之日起两个工作日内，将在财政部门指定的政府采购信息发布媒体上公告。</w:t>
      </w:r>
    </w:p>
    <w:p w14:paraId="598B8609">
      <w:pPr>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22.4 《中标通知书》对采购人和中标供应商具有同等法律效力。</w:t>
      </w:r>
    </w:p>
    <w:p w14:paraId="67D7754E">
      <w:pPr>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22.5 《中标通知书》发出后，中标供应商无正当理由不与采购人签订合同的，应当依法承担法律责任。</w:t>
      </w:r>
    </w:p>
    <w:p w14:paraId="48364B70">
      <w:pPr>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22.6代理机构和评标委员会对未中标的供应商不作未中标原因的解释。</w:t>
      </w:r>
    </w:p>
    <w:p w14:paraId="718BEE45">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23、</w:t>
      </w:r>
      <w:r>
        <w:rPr>
          <w:rFonts w:hint="eastAsia" w:ascii="宋体" w:hAnsi="宋体" w:eastAsia="宋体" w:cs="宋体"/>
          <w:color w:val="000000" w:themeColor="text1"/>
          <w:highlight w:val="none"/>
          <w14:textFill>
            <w14:solidFill>
              <w14:schemeClr w14:val="tx1"/>
            </w14:solidFill>
          </w14:textFill>
        </w:rPr>
        <w:t>编写评标报告</w:t>
      </w:r>
    </w:p>
    <w:p w14:paraId="2040BCB6">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23.1 评标委员会根据全体评标成员签字的原始评标记录和评标结果编写评标报告。</w:t>
      </w:r>
    </w:p>
    <w:p w14:paraId="6E945E77">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24、</w:t>
      </w:r>
      <w:r>
        <w:rPr>
          <w:rFonts w:hint="eastAsia" w:ascii="宋体" w:hAnsi="宋体" w:eastAsia="宋体" w:cs="宋体"/>
          <w:color w:val="000000" w:themeColor="text1"/>
          <w:highlight w:val="none"/>
          <w14:textFill>
            <w14:solidFill>
              <w14:schemeClr w14:val="tx1"/>
            </w14:solidFill>
          </w14:textFill>
        </w:rPr>
        <w:t>评标过程的保密性</w:t>
      </w:r>
    </w:p>
    <w:p w14:paraId="4CF8FEF4">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24.1采购代理机构将采取必要措施，保证评标在严格保密的情况下进行。</w:t>
      </w:r>
    </w:p>
    <w:p w14:paraId="0759BD12">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24.2任何单位和个人不得非法干预、影响评标办法的确定，以及评标过程和结果。</w:t>
      </w:r>
    </w:p>
    <w:p w14:paraId="18B71AA2">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24.3凡是与审查、澄清、评价和比较投标的有关资料等，均不向投标人及与评标无关的其他人员透露。</w:t>
      </w:r>
    </w:p>
    <w:p w14:paraId="43856A14">
      <w:pPr>
        <w:pStyle w:val="3"/>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五、</w:t>
      </w:r>
      <w:r>
        <w:rPr>
          <w:rFonts w:hint="eastAsia" w:ascii="宋体" w:hAnsi="宋体" w:eastAsia="宋体" w:cs="宋体"/>
          <w:color w:val="000000" w:themeColor="text1"/>
          <w:highlight w:val="none"/>
          <w14:textFill>
            <w14:solidFill>
              <w14:schemeClr w14:val="tx1"/>
            </w14:solidFill>
          </w14:textFill>
        </w:rPr>
        <w:t>签订合同</w:t>
      </w:r>
    </w:p>
    <w:p w14:paraId="70436811">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25、签订合同</w:t>
      </w:r>
    </w:p>
    <w:p w14:paraId="64FC361B">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25.1采购人应当自中标通知书发出之日起 30 日内，按照招标文件和中标人投标文件的规定与中标人签订书面合同。所签订的合同不得对招标文件确定事项和中标人投标文件作实质性修改。</w:t>
      </w:r>
    </w:p>
    <w:p w14:paraId="3AB4933C">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25.2采购人不得向中标人提出任何不合理的要求作为签订合同的条件，不得与中标人私下订立背离合同实质性内容的协议。</w:t>
      </w:r>
    </w:p>
    <w:p w14:paraId="3C812E14">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25.3中标人拒绝与采购人签订合同，或因不可抗力或者自身原因不能履行采购合同的，采购人可以按照评审报告推荐的中标候选人名单排序，确定下一候选人为中标人，也可以重新开展采购活动。</w:t>
      </w:r>
    </w:p>
    <w:p w14:paraId="42D18178">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25.4采购合同履行中，采购人需追加与合同标的相同货物的，在不改变合同其他条款的前提下，可以与投标人协商签订补充合同，但所有补充合同的采购金额不得超过原合同采购金额的百分之十。</w:t>
      </w:r>
    </w:p>
    <w:p w14:paraId="7A60A804">
      <w:pPr>
        <w:pStyle w:val="3"/>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询问、质疑、投诉和诚实信用</w:t>
      </w:r>
    </w:p>
    <w:p w14:paraId="691A8FF8">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26、</w:t>
      </w:r>
      <w:r>
        <w:rPr>
          <w:rFonts w:hint="eastAsia" w:ascii="宋体" w:hAnsi="宋体" w:eastAsia="宋体" w:cs="宋体"/>
          <w:color w:val="000000" w:themeColor="text1"/>
          <w:highlight w:val="none"/>
          <w14:textFill>
            <w14:solidFill>
              <w14:schemeClr w14:val="tx1"/>
            </w14:solidFill>
          </w14:textFill>
        </w:rPr>
        <w:t>询问</w:t>
      </w:r>
    </w:p>
    <w:p w14:paraId="3B121A4D">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26.1投标人对招标活动事项有疑问的，可以向采购代理机构或采购人提出询问，采购代理机构或采购人将在两个工作日内作出答复，但答复的内容不涉及商业秘密。</w:t>
      </w:r>
    </w:p>
    <w:p w14:paraId="4087C374">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27、</w:t>
      </w:r>
      <w:r>
        <w:rPr>
          <w:rFonts w:hint="eastAsia" w:ascii="宋体" w:hAnsi="宋体" w:eastAsia="宋体" w:cs="宋体"/>
          <w:color w:val="000000" w:themeColor="text1"/>
          <w:highlight w:val="none"/>
          <w14:textFill>
            <w14:solidFill>
              <w14:schemeClr w14:val="tx1"/>
            </w14:solidFill>
          </w14:textFill>
        </w:rPr>
        <w:t>质疑</w:t>
      </w:r>
    </w:p>
    <w:p w14:paraId="33621DEC">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27.1投标人认为采购文件、采购过程和中标结果使自己的合法权益受到损害的，可以在知道或者应当知道其权益受到损害之日起七个工作日内，将质疑文件原件以书面形式送达采购代理机构。</w:t>
      </w:r>
    </w:p>
    <w:p w14:paraId="5622A5F9">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27.2投标人质疑行为应符合财政部94号令相关规定，不同的采购包参与的供应商的条件是独立的，未参加采购包采购活动的供应商或在采购包采购活动中自身权益未受到损害的供应商所提出的质疑不予受理。</w:t>
      </w:r>
    </w:p>
    <w:p w14:paraId="0A4626FD">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27.3上述应知其权益受到损害之日是指：</w:t>
      </w:r>
    </w:p>
    <w:p w14:paraId="4052701B">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（1）对招标文件提出质疑的，自收到招标文件之日或者招标文件公告期限届满之日起计算；</w:t>
      </w:r>
    </w:p>
    <w:p w14:paraId="35A39E7D">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（2）对采购过程提出质疑的，自采购程序环节结束之日起计算；</w:t>
      </w:r>
    </w:p>
    <w:p w14:paraId="610403B7">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（3）对中标结果提出质疑的，自中标结果公告期限届满之日起计算。</w:t>
      </w:r>
    </w:p>
    <w:p w14:paraId="720F694E">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27.4质疑投标人在法定质疑期内应当一次性提出针对同一招标环节的质疑事项。投标人如在法定期限内对同一采购程序环节提出多次质疑的，采购人或采购代理机构将只对投标人第一次质疑作出答复。</w:t>
      </w:r>
    </w:p>
    <w:p w14:paraId="5447CFC5">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27.5代理机构在收到投标人的质疑后将及时组织调查核实，在七个工作日内作出答复，答复的内容不涉及商业秘密。</w:t>
      </w:r>
    </w:p>
    <w:p w14:paraId="61FA8AE9">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27.6代理机构遵循“谁过错谁负担”的原则，有过错的一方承担调查论证费用。</w:t>
      </w:r>
    </w:p>
    <w:p w14:paraId="63AFFE62">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28、</w:t>
      </w:r>
      <w:r>
        <w:rPr>
          <w:rFonts w:hint="eastAsia" w:ascii="宋体" w:hAnsi="宋体" w:eastAsia="宋体" w:cs="宋体"/>
          <w:color w:val="000000" w:themeColor="text1"/>
          <w:highlight w:val="none"/>
          <w14:textFill>
            <w14:solidFill>
              <w14:schemeClr w14:val="tx1"/>
            </w14:solidFill>
          </w14:textFill>
        </w:rPr>
        <w:t>投诉</w:t>
      </w:r>
    </w:p>
    <w:p w14:paraId="71BEEB76">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28.1 质疑投标人对采购代理机构的答复不满意，或采购代理机构未在规定的时间内作出答复的，可以在答复期满后</w:t>
      </w:r>
      <w:r>
        <w:rPr>
          <w:rFonts w:hint="eastAsia" w:ascii="宋体" w:hAnsi="宋体" w:eastAsia="宋体" w:cs="宋体"/>
          <w:b/>
          <w:bCs/>
          <w:color w:val="000000" w:themeColor="text1"/>
          <w:highlight w:val="none"/>
          <w14:textFill>
            <w14:solidFill>
              <w14:schemeClr w14:val="tx1"/>
            </w14:solidFill>
          </w14:textFill>
        </w:rPr>
        <w:t>十五个工作日内</w:t>
      </w:r>
      <w:r>
        <w:rPr>
          <w:rFonts w:hint="eastAsia" w:ascii="宋体" w:hAnsi="宋体" w:eastAsia="宋体" w:cs="宋体"/>
          <w:color w:val="000000" w:themeColor="text1"/>
          <w:highlight w:val="none"/>
          <w14:textFill>
            <w14:solidFill>
              <w14:schemeClr w14:val="tx1"/>
            </w14:solidFill>
          </w14:textFill>
        </w:rPr>
        <w:t>向采购项目采购部门投诉。</w:t>
      </w:r>
    </w:p>
    <w:p w14:paraId="445C035B">
      <w:pPr>
        <w:pStyle w:val="4"/>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29、</w:t>
      </w:r>
      <w:r>
        <w:rPr>
          <w:rFonts w:hint="eastAsia" w:ascii="宋体" w:hAnsi="宋体" w:eastAsia="宋体" w:cs="宋体"/>
          <w:color w:val="000000" w:themeColor="text1"/>
          <w:highlight w:val="none"/>
          <w14:textFill>
            <w14:solidFill>
              <w14:schemeClr w14:val="tx1"/>
            </w14:solidFill>
          </w14:textFill>
        </w:rPr>
        <w:t>诚实信用</w:t>
      </w:r>
    </w:p>
    <w:p w14:paraId="18F98CB5">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29.1投标人之间不得相互串通投标报价，不得妨碍其他投标人的公平竞争，不得损害采购人和其他投标人的合法权益。</w:t>
      </w:r>
    </w:p>
    <w:p w14:paraId="3897BCA5">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29.2投标人不得以向采购代理机构工作人员、评标委员会成员行贿或者采取其他不正当手段谋取中标。经查实投标人有此行为的，</w:t>
      </w:r>
      <w:r>
        <w:rPr>
          <w:rFonts w:hint="eastAsia" w:cs="宋体"/>
          <w:color w:val="000000" w:themeColor="text1"/>
          <w:highlight w:val="none"/>
          <w:lang w:val="en-US" w:eastAsia="zh-CN"/>
          <w14:textFill>
            <w14:solidFill>
              <w14:schemeClr w14:val="tx1"/>
            </w14:solidFill>
          </w14:textFill>
        </w:rPr>
        <w:t>相关</w:t>
      </w:r>
      <w:r>
        <w:rPr>
          <w:rFonts w:hint="eastAsia" w:ascii="宋体" w:hAnsi="宋体" w:eastAsia="宋体" w:cs="宋体"/>
          <w:color w:val="000000" w:themeColor="text1"/>
          <w:highlight w:val="none"/>
          <w14:textFill>
            <w14:solidFill>
              <w14:schemeClr w14:val="tx1"/>
            </w14:solidFill>
          </w14:textFill>
        </w:rPr>
        <w:t>管理部门将投标人列入不良行为记录名单，按照有关规定处理。</w:t>
      </w:r>
    </w:p>
    <w:p w14:paraId="302CC4F5">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29.3投标人提出书面质疑必须有理、有据，不得虚假质疑和恶意质疑，并对质疑内容的真实性承担责任。一经查实，采购代理机构有权依据有关规定，报请监管部门对该投标人进行相应的行政处罚并在网站上予以公示。如果投标人或者其他利害关系人通过捏造事实、伪造证明材料等方式提出质疑，干扰采购活动正常进行的，属于严重不良行为，采购代理机构将提请相关部门将其列入不良行为记录名单，并依法予以处罚。</w:t>
      </w:r>
    </w:p>
    <w:p w14:paraId="408CBBA1">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29.4投标人不得虚假承诺，否则，按照提供虚假材料谋取中标成交处理。</w:t>
      </w:r>
    </w:p>
    <w:p w14:paraId="7206D40C">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29.5投标人应自觉遵守开标、评标纪律，扰乱开标评标现场秩序的，属于失信行为，，失信行为将被记入投标人诚信档案。</w:t>
      </w:r>
    </w:p>
    <w:p w14:paraId="0B01B1EB">
      <w:pPr>
        <w:ind w:firstLine="723"/>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br w:type="page"/>
      </w:r>
    </w:p>
    <w:p w14:paraId="5B134B07">
      <w:pPr>
        <w:pStyle w:val="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第三章  评标标准</w:t>
      </w:r>
    </w:p>
    <w:p w14:paraId="2E7A46C1">
      <w:pPr>
        <w:spacing w:line="360" w:lineRule="auto"/>
        <w:ind w:firstLine="480" w:firstLineChars="200"/>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本次评审采用综合评标法，是指投标文件满足招标文件全部实质性要求，且按照评审因素的量化指标评审得分最高的供应商为中标候选人的评标方法，评审因素详见评分标准。评分统计方法采用百分制（满分100分），将全部评委评分直接进行算术平均，小数点后保留2位。评标委员会遵循公平、公正、择优原则，独立按照评分标准分别评定供应商的分值；各供应商的最终得分为各评委所评定分值的平均值，按照得分高低顺序对供应商进行排列。得分相同的，按报价由低到高顺序排列。得分且报价相同的，按技术指标（</w:t>
      </w:r>
      <w:r>
        <w:rPr>
          <w:rFonts w:hint="eastAsia" w:ascii="宋体" w:hAnsi="宋体" w:eastAsia="宋体" w:cs="宋体"/>
          <w:color w:val="000000" w:themeColor="text1"/>
          <w:highlight w:val="none"/>
          <w14:textFill>
            <w14:solidFill>
              <w14:schemeClr w14:val="tx1"/>
            </w14:solidFill>
          </w14:textFill>
        </w:rPr>
        <w:t>项目总体服务方案</w:t>
      </w:r>
      <w:r>
        <w:rPr>
          <w:rFonts w:hint="eastAsia" w:ascii="宋体" w:hAnsi="宋体" w:cs="宋体"/>
          <w:color w:val="000000" w:themeColor="text1"/>
          <w:szCs w:val="21"/>
          <w:highlight w:val="none"/>
          <w:lang w:val="zh-CN"/>
          <w14:textFill>
            <w14:solidFill>
              <w14:schemeClr w14:val="tx1"/>
            </w14:solidFill>
          </w14:textFill>
        </w:rPr>
        <w:t>）优劣顺序排列。评标委员会直接确定排名第一的中标候选人为中标供应商。</w:t>
      </w:r>
    </w:p>
    <w:tbl>
      <w:tblPr>
        <w:tblStyle w:val="29"/>
        <w:tblpPr w:leftFromText="180" w:rightFromText="180" w:vertAnchor="text" w:horzAnchor="page" w:tblpX="1414" w:tblpY="635"/>
        <w:tblOverlap w:val="never"/>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1683"/>
        <w:gridCol w:w="5979"/>
        <w:gridCol w:w="1449"/>
      </w:tblGrid>
      <w:tr w14:paraId="74F0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21" w:type="pct"/>
            <w:gridSpan w:val="2"/>
            <w:tcMar>
              <w:top w:w="0" w:type="dxa"/>
              <w:left w:w="108" w:type="dxa"/>
              <w:bottom w:w="0" w:type="dxa"/>
              <w:right w:w="108" w:type="dxa"/>
            </w:tcMar>
            <w:vAlign w:val="center"/>
          </w:tcPr>
          <w:p w14:paraId="7600DAC3">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评分项目</w:t>
            </w:r>
          </w:p>
        </w:tc>
        <w:tc>
          <w:tcPr>
            <w:tcW w:w="3122" w:type="pct"/>
            <w:tcMar>
              <w:top w:w="0" w:type="dxa"/>
              <w:left w:w="108" w:type="dxa"/>
              <w:bottom w:w="0" w:type="dxa"/>
              <w:right w:w="108" w:type="dxa"/>
            </w:tcMar>
            <w:vAlign w:val="center"/>
          </w:tcPr>
          <w:p w14:paraId="10089827">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评分标准</w:t>
            </w:r>
          </w:p>
        </w:tc>
        <w:tc>
          <w:tcPr>
            <w:tcW w:w="756" w:type="pct"/>
            <w:tcMar>
              <w:top w:w="0" w:type="dxa"/>
              <w:left w:w="108" w:type="dxa"/>
              <w:bottom w:w="0" w:type="dxa"/>
              <w:right w:w="108" w:type="dxa"/>
            </w:tcMar>
            <w:vAlign w:val="center"/>
          </w:tcPr>
          <w:p w14:paraId="49BDCDD3">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得分</w:t>
            </w:r>
          </w:p>
        </w:tc>
      </w:tr>
      <w:tr w14:paraId="2E47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42" w:type="pct"/>
            <w:tcMar>
              <w:top w:w="0" w:type="dxa"/>
              <w:left w:w="108" w:type="dxa"/>
              <w:bottom w:w="0" w:type="dxa"/>
              <w:right w:w="108" w:type="dxa"/>
            </w:tcMar>
            <w:vAlign w:val="center"/>
          </w:tcPr>
          <w:p w14:paraId="5E83FC11">
            <w:pPr>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both"/>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1</w:t>
            </w:r>
          </w:p>
        </w:tc>
        <w:tc>
          <w:tcPr>
            <w:tcW w:w="878" w:type="pct"/>
            <w:tcMar>
              <w:top w:w="0" w:type="dxa"/>
              <w:left w:w="108" w:type="dxa"/>
              <w:bottom w:w="0" w:type="dxa"/>
              <w:right w:w="108" w:type="dxa"/>
            </w:tcMar>
            <w:vAlign w:val="center"/>
          </w:tcPr>
          <w:p w14:paraId="533D5CC5">
            <w:pPr>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报价</w:t>
            </w:r>
          </w:p>
        </w:tc>
        <w:tc>
          <w:tcPr>
            <w:tcW w:w="3122" w:type="pct"/>
            <w:tcMar>
              <w:top w:w="0" w:type="dxa"/>
              <w:left w:w="108" w:type="dxa"/>
              <w:bottom w:w="0" w:type="dxa"/>
              <w:right w:w="108" w:type="dxa"/>
            </w:tcMar>
            <w:vAlign w:val="center"/>
          </w:tcPr>
          <w:p w14:paraId="4255BD42">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采用低价优先法计算，即满足招标文件要求且投标价格最低的投标报价为评标基准价，其价格分为满分。</w:t>
            </w:r>
            <w:r>
              <w:rPr>
                <w:rFonts w:hint="eastAsia" w:ascii="宋体" w:hAnsi="宋体" w:eastAsia="宋体" w:cs="宋体"/>
                <w:color w:val="000000" w:themeColor="text1"/>
                <w:szCs w:val="21"/>
                <w:highlight w:val="none"/>
                <w14:textFill>
                  <w14:solidFill>
                    <w14:schemeClr w14:val="tx1"/>
                  </w14:solidFill>
                </w14:textFill>
              </w:rPr>
              <w:t>其他投标人的价格分统一按照以下公式计算：投标人评标价得分=（</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评标基准价</w:t>
            </w:r>
            <w:r>
              <w:rPr>
                <w:rFonts w:hint="eastAsia" w:ascii="宋体" w:hAnsi="宋体" w:eastAsia="宋体" w:cs="宋体"/>
                <w:color w:val="000000" w:themeColor="text1"/>
                <w:szCs w:val="21"/>
                <w:highlight w:val="none"/>
                <w14:textFill>
                  <w14:solidFill>
                    <w14:schemeClr w14:val="tx1"/>
                  </w14:solidFill>
                </w14:textFill>
              </w:rPr>
              <w:t>／该投标人评标价）×</w:t>
            </w:r>
            <w:r>
              <w:rPr>
                <w:rFonts w:hint="eastAsia" w:cs="宋体"/>
                <w:color w:val="000000" w:themeColor="text1"/>
                <w:szCs w:val="21"/>
                <w:highlight w:val="none"/>
                <w:lang w:val="en-US" w:eastAsia="zh-CN"/>
                <w14:textFill>
                  <w14:solidFill>
                    <w14:schemeClr w14:val="tx1"/>
                  </w14:solidFill>
                </w14:textFill>
              </w:rPr>
              <w:t>20</w:t>
            </w:r>
            <w:r>
              <w:rPr>
                <w:rFonts w:hint="eastAsia" w:ascii="宋体" w:hAnsi="宋体" w:eastAsia="宋体" w:cs="宋体"/>
                <w:color w:val="000000" w:themeColor="text1"/>
                <w:szCs w:val="21"/>
                <w:highlight w:val="none"/>
                <w14:textFill>
                  <w14:solidFill>
                    <w14:schemeClr w14:val="tx1"/>
                  </w14:solidFill>
                </w14:textFill>
              </w:rPr>
              <w:t>。（保留小数点后两位）</w:t>
            </w:r>
          </w:p>
        </w:tc>
        <w:tc>
          <w:tcPr>
            <w:tcW w:w="756" w:type="pct"/>
            <w:tcMar>
              <w:top w:w="0" w:type="dxa"/>
              <w:left w:w="108" w:type="dxa"/>
              <w:bottom w:w="0" w:type="dxa"/>
              <w:right w:w="108" w:type="dxa"/>
            </w:tcMar>
            <w:vAlign w:val="center"/>
          </w:tcPr>
          <w:p w14:paraId="23270498">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w:t>
            </w:r>
          </w:p>
        </w:tc>
      </w:tr>
      <w:tr w14:paraId="6E11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42" w:type="pct"/>
            <w:tcMar>
              <w:top w:w="0" w:type="dxa"/>
              <w:left w:w="108" w:type="dxa"/>
              <w:bottom w:w="0" w:type="dxa"/>
              <w:right w:w="108" w:type="dxa"/>
            </w:tcMar>
            <w:vAlign w:val="center"/>
          </w:tcPr>
          <w:p w14:paraId="40787FBE">
            <w:pPr>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2</w:t>
            </w:r>
          </w:p>
        </w:tc>
        <w:tc>
          <w:tcPr>
            <w:tcW w:w="878" w:type="pct"/>
            <w:tcMar>
              <w:top w:w="0" w:type="dxa"/>
              <w:left w:w="108" w:type="dxa"/>
              <w:bottom w:w="0" w:type="dxa"/>
              <w:right w:w="108" w:type="dxa"/>
            </w:tcMar>
            <w:vAlign w:val="center"/>
          </w:tcPr>
          <w:p w14:paraId="74F43AAA">
            <w:pPr>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业绩</w:t>
            </w:r>
          </w:p>
          <w:p w14:paraId="67D89322">
            <w:pPr>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经验</w:t>
            </w:r>
          </w:p>
        </w:tc>
        <w:tc>
          <w:tcPr>
            <w:tcW w:w="3122" w:type="pct"/>
            <w:tcMar>
              <w:top w:w="0" w:type="dxa"/>
              <w:left w:w="108" w:type="dxa"/>
              <w:bottom w:w="0" w:type="dxa"/>
              <w:right w:w="108" w:type="dxa"/>
            </w:tcMar>
            <w:vAlign w:val="center"/>
          </w:tcPr>
          <w:p w14:paraId="60066AC7">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根据供应商自2022年6月1日（以合同签订时间为准）以来，承担过相同或类似项目业绩的，每提供一个有效业绩案例得</w:t>
            </w: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分，最高得</w:t>
            </w:r>
            <w:r>
              <w:rPr>
                <w:rFonts w:hint="eastAsia"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分。须提供合同复印件</w:t>
            </w:r>
            <w:r>
              <w:rPr>
                <w:rFonts w:hint="eastAsia" w:ascii="宋体" w:hAnsi="宋体" w:eastAsia="宋体" w:cs="宋体"/>
                <w:color w:val="000000" w:themeColor="text1"/>
                <w:highlight w:val="none"/>
                <w:lang w:eastAsia="zh-CN"/>
                <w14:textFill>
                  <w14:solidFill>
                    <w14:schemeClr w14:val="tx1"/>
                  </w14:solidFill>
                </w14:textFill>
              </w:rPr>
              <w:t>加盖投标供应商公章</w:t>
            </w:r>
            <w:r>
              <w:rPr>
                <w:rFonts w:hint="eastAsia" w:ascii="宋体" w:hAnsi="宋体" w:eastAsia="宋体" w:cs="宋体"/>
                <w:color w:val="000000" w:themeColor="text1"/>
                <w:highlight w:val="none"/>
                <w14:textFill>
                  <w14:solidFill>
                    <w14:schemeClr w14:val="tx1"/>
                  </w14:solidFill>
                </w14:textFill>
              </w:rPr>
              <w:t>，合同上须能能反映出相关数据和内容，不提供或不符合要求不得分。</w:t>
            </w:r>
          </w:p>
          <w:p w14:paraId="04ACC836">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注：企业业绩与项目负责人业绩不可兼得。</w:t>
            </w:r>
          </w:p>
        </w:tc>
        <w:tc>
          <w:tcPr>
            <w:tcW w:w="756" w:type="pct"/>
            <w:tcMar>
              <w:top w:w="0" w:type="dxa"/>
              <w:left w:w="108" w:type="dxa"/>
              <w:bottom w:w="0" w:type="dxa"/>
              <w:right w:w="108" w:type="dxa"/>
            </w:tcMar>
            <w:vAlign w:val="center"/>
          </w:tcPr>
          <w:p w14:paraId="6BFE16D2">
            <w:pPr>
              <w:keepNext w:val="0"/>
              <w:keepLines w:val="0"/>
              <w:pageBreakBefore w:val="0"/>
              <w:widowControl w:val="0"/>
              <w:kinsoku/>
              <w:wordWrap/>
              <w:overflowPunct/>
              <w:topLinePunct w:val="0"/>
              <w:autoSpaceDE w:val="0"/>
              <w:autoSpaceDN w:val="0"/>
              <w:bidi w:val="0"/>
              <w:adjustRightInd/>
              <w:snapToGrid/>
              <w:spacing w:after="0"/>
              <w:ind w:left="0" w:leftChars="0" w:firstLine="480" w:firstLineChars="200"/>
              <w:jc w:val="both"/>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6</w:t>
            </w:r>
          </w:p>
        </w:tc>
      </w:tr>
      <w:tr w14:paraId="6A78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42" w:type="pct"/>
            <w:tcMar>
              <w:top w:w="0" w:type="dxa"/>
              <w:left w:w="108" w:type="dxa"/>
              <w:bottom w:w="0" w:type="dxa"/>
              <w:right w:w="108" w:type="dxa"/>
            </w:tcMar>
            <w:vAlign w:val="center"/>
          </w:tcPr>
          <w:p w14:paraId="7E18EA36">
            <w:pPr>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3</w:t>
            </w:r>
          </w:p>
        </w:tc>
        <w:tc>
          <w:tcPr>
            <w:tcW w:w="878" w:type="pct"/>
            <w:tcMar>
              <w:top w:w="0" w:type="dxa"/>
              <w:left w:w="108" w:type="dxa"/>
              <w:bottom w:w="0" w:type="dxa"/>
              <w:right w:w="108" w:type="dxa"/>
            </w:tcMar>
            <w:vAlign w:val="center"/>
          </w:tcPr>
          <w:p w14:paraId="17A3536F">
            <w:pPr>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both"/>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项目负责人业绩</w:t>
            </w:r>
          </w:p>
        </w:tc>
        <w:tc>
          <w:tcPr>
            <w:tcW w:w="3122" w:type="pct"/>
            <w:tcMar>
              <w:top w:w="0" w:type="dxa"/>
              <w:left w:w="108" w:type="dxa"/>
              <w:bottom w:w="0" w:type="dxa"/>
              <w:right w:w="108" w:type="dxa"/>
            </w:tcMar>
            <w:vAlign w:val="center"/>
          </w:tcPr>
          <w:p w14:paraId="40E94579">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项目负责人</w:t>
            </w:r>
            <w:r>
              <w:rPr>
                <w:rFonts w:hint="eastAsia" w:ascii="宋体" w:hAnsi="宋体" w:eastAsia="宋体" w:cs="宋体"/>
                <w:color w:val="000000" w:themeColor="text1"/>
                <w:highlight w:val="none"/>
                <w14:textFill>
                  <w14:solidFill>
                    <w14:schemeClr w14:val="tx1"/>
                  </w14:solidFill>
                </w14:textFill>
              </w:rPr>
              <w:t>自2022年6月1日（以合同签订时间为准）以来，承担过相同或类似项目业绩的，每提供一个有效业绩案例得</w:t>
            </w: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分，最高得</w:t>
            </w:r>
            <w:r>
              <w:rPr>
                <w:rFonts w:hint="eastAsia"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分。须提供合同复印件</w:t>
            </w:r>
            <w:r>
              <w:rPr>
                <w:rFonts w:hint="eastAsia" w:ascii="宋体" w:hAnsi="宋体" w:eastAsia="宋体" w:cs="宋体"/>
                <w:color w:val="000000" w:themeColor="text1"/>
                <w:highlight w:val="none"/>
                <w:lang w:eastAsia="zh-CN"/>
                <w14:textFill>
                  <w14:solidFill>
                    <w14:schemeClr w14:val="tx1"/>
                  </w14:solidFill>
                </w14:textFill>
              </w:rPr>
              <w:t>加盖投标供应商公章</w:t>
            </w:r>
            <w:r>
              <w:rPr>
                <w:rFonts w:hint="eastAsia" w:ascii="宋体" w:hAnsi="宋体" w:eastAsia="宋体" w:cs="宋体"/>
                <w:color w:val="000000" w:themeColor="text1"/>
                <w:highlight w:val="none"/>
                <w14:textFill>
                  <w14:solidFill>
                    <w14:schemeClr w14:val="tx1"/>
                  </w14:solidFill>
                </w14:textFill>
              </w:rPr>
              <w:t>，合同上须能能反映出相关数据和内容，不提供或不符合要求不得分。</w:t>
            </w:r>
          </w:p>
          <w:p w14:paraId="4ED826D2">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注：企业业绩与项目负责人业绩不可兼得。</w:t>
            </w:r>
          </w:p>
        </w:tc>
        <w:tc>
          <w:tcPr>
            <w:tcW w:w="756" w:type="pct"/>
            <w:tcMar>
              <w:top w:w="0" w:type="dxa"/>
              <w:left w:w="108" w:type="dxa"/>
              <w:bottom w:w="0" w:type="dxa"/>
              <w:right w:w="108" w:type="dxa"/>
            </w:tcMar>
            <w:vAlign w:val="center"/>
          </w:tcPr>
          <w:p w14:paraId="196B9075">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6</w:t>
            </w:r>
          </w:p>
        </w:tc>
      </w:tr>
      <w:tr w14:paraId="1A6C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42" w:type="pct"/>
            <w:tcMar>
              <w:top w:w="0" w:type="dxa"/>
              <w:left w:w="108" w:type="dxa"/>
              <w:bottom w:w="0" w:type="dxa"/>
              <w:right w:w="108" w:type="dxa"/>
            </w:tcMar>
            <w:vAlign w:val="center"/>
          </w:tcPr>
          <w:p w14:paraId="1A80A4F2">
            <w:pPr>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4</w:t>
            </w:r>
          </w:p>
        </w:tc>
        <w:tc>
          <w:tcPr>
            <w:tcW w:w="878" w:type="pct"/>
            <w:tcMar>
              <w:top w:w="0" w:type="dxa"/>
              <w:left w:w="108" w:type="dxa"/>
              <w:bottom w:w="0" w:type="dxa"/>
              <w:right w:w="108" w:type="dxa"/>
            </w:tcMar>
            <w:vAlign w:val="center"/>
          </w:tcPr>
          <w:p w14:paraId="05A0EE5A">
            <w:pPr>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项目</w:t>
            </w:r>
            <w:r>
              <w:rPr>
                <w:rFonts w:hint="eastAsia" w:ascii="宋体" w:hAnsi="宋体" w:eastAsia="宋体" w:cs="宋体"/>
                <w:color w:val="000000" w:themeColor="text1"/>
                <w:highlight w:val="none"/>
                <w14:textFill>
                  <w14:solidFill>
                    <w14:schemeClr w14:val="tx1"/>
                  </w14:solidFill>
                </w14:textFill>
              </w:rPr>
              <w:t>负责人</w:t>
            </w:r>
          </w:p>
        </w:tc>
        <w:tc>
          <w:tcPr>
            <w:tcW w:w="3122" w:type="pct"/>
            <w:tcMar>
              <w:top w:w="0" w:type="dxa"/>
              <w:left w:w="108" w:type="dxa"/>
              <w:bottom w:w="0" w:type="dxa"/>
              <w:right w:w="108" w:type="dxa"/>
            </w:tcMar>
            <w:vAlign w:val="center"/>
          </w:tcPr>
          <w:p w14:paraId="473E624D">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项目</w:t>
            </w:r>
            <w:r>
              <w:rPr>
                <w:rFonts w:hint="eastAsia" w:ascii="宋体" w:hAnsi="宋体" w:eastAsia="宋体" w:cs="宋体"/>
                <w:color w:val="000000" w:themeColor="text1"/>
                <w:highlight w:val="none"/>
                <w14:textFill>
                  <w14:solidFill>
                    <w14:schemeClr w14:val="tx1"/>
                  </w14:solidFill>
                </w14:textFill>
              </w:rPr>
              <w:t>负责人具有工程建设类</w:t>
            </w:r>
            <w:r>
              <w:rPr>
                <w:rFonts w:hint="eastAsia" w:ascii="宋体" w:hAnsi="宋体" w:eastAsia="宋体" w:cs="宋体"/>
                <w:color w:val="000000" w:themeColor="text1"/>
                <w:highlight w:val="none"/>
                <w:lang w:eastAsia="zh-CN"/>
                <w14:textFill>
                  <w14:solidFill>
                    <w14:schemeClr w14:val="tx1"/>
                  </w14:solidFill>
                </w14:textFill>
              </w:rPr>
              <w:t>高</w:t>
            </w:r>
            <w:r>
              <w:rPr>
                <w:rFonts w:hint="eastAsia" w:ascii="宋体" w:hAnsi="宋体" w:eastAsia="宋体" w:cs="宋体"/>
                <w:color w:val="000000" w:themeColor="text1"/>
                <w:highlight w:val="none"/>
                <w14:textFill>
                  <w14:solidFill>
                    <w14:schemeClr w14:val="tx1"/>
                  </w14:solidFill>
                </w14:textFill>
              </w:rPr>
              <w:t>级及以上</w:t>
            </w:r>
            <w:r>
              <w:rPr>
                <w:rFonts w:hint="eastAsia" w:cs="宋体"/>
                <w:color w:val="000000" w:themeColor="text1"/>
                <w:highlight w:val="none"/>
                <w:lang w:eastAsia="zh-CN"/>
                <w14:textFill>
                  <w14:solidFill>
                    <w14:schemeClr w14:val="tx1"/>
                  </w14:solidFill>
                </w14:textFill>
              </w:rPr>
              <w:t>职称的</w:t>
            </w:r>
            <w:r>
              <w:rPr>
                <w:rFonts w:hint="eastAsia" w:ascii="宋体" w:hAnsi="宋体" w:eastAsia="宋体" w:cs="宋体"/>
                <w:color w:val="000000" w:themeColor="text1"/>
                <w:highlight w:val="none"/>
                <w14:textFill>
                  <w14:solidFill>
                    <w14:schemeClr w14:val="tx1"/>
                  </w14:solidFill>
                </w14:textFill>
              </w:rPr>
              <w:t>得</w:t>
            </w: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分，具有工程建设类工程师职称的得</w:t>
            </w:r>
            <w:r>
              <w:rPr>
                <w:rFonts w:hint="eastAsia"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分；（提供职称证书复印件</w:t>
            </w:r>
            <w:r>
              <w:rPr>
                <w:rFonts w:hint="eastAsia" w:ascii="宋体" w:hAnsi="宋体" w:eastAsia="宋体" w:cs="宋体"/>
                <w:color w:val="000000" w:themeColor="text1"/>
                <w:highlight w:val="none"/>
                <w:lang w:eastAsia="zh-CN"/>
                <w14:textFill>
                  <w14:solidFill>
                    <w14:schemeClr w14:val="tx1"/>
                  </w14:solidFill>
                </w14:textFill>
              </w:rPr>
              <w:t>加盖投标供应商公章</w:t>
            </w:r>
            <w:r>
              <w:rPr>
                <w:rFonts w:hint="eastAsia" w:ascii="宋体" w:hAnsi="宋体" w:eastAsia="宋体" w:cs="宋体"/>
                <w:color w:val="000000" w:themeColor="text1"/>
                <w:highlight w:val="none"/>
                <w14:textFill>
                  <w14:solidFill>
                    <w14:schemeClr w14:val="tx1"/>
                  </w14:solidFill>
                </w14:textFill>
              </w:rPr>
              <w:t>）</w:t>
            </w:r>
          </w:p>
        </w:tc>
        <w:tc>
          <w:tcPr>
            <w:tcW w:w="756" w:type="pct"/>
            <w:tcMar>
              <w:top w:w="0" w:type="dxa"/>
              <w:left w:w="108" w:type="dxa"/>
              <w:bottom w:w="0" w:type="dxa"/>
              <w:right w:w="108" w:type="dxa"/>
            </w:tcMar>
            <w:vAlign w:val="center"/>
          </w:tcPr>
          <w:p w14:paraId="0C72039F">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3</w:t>
            </w:r>
          </w:p>
        </w:tc>
      </w:tr>
      <w:tr w14:paraId="5679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42" w:type="pct"/>
            <w:tcMar>
              <w:top w:w="0" w:type="dxa"/>
              <w:left w:w="108" w:type="dxa"/>
              <w:bottom w:w="0" w:type="dxa"/>
              <w:right w:w="108" w:type="dxa"/>
            </w:tcMar>
            <w:vAlign w:val="center"/>
          </w:tcPr>
          <w:p w14:paraId="28CCFDA5">
            <w:pPr>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5</w:t>
            </w:r>
          </w:p>
        </w:tc>
        <w:tc>
          <w:tcPr>
            <w:tcW w:w="878" w:type="pct"/>
            <w:tcMar>
              <w:top w:w="0" w:type="dxa"/>
              <w:left w:w="108" w:type="dxa"/>
              <w:bottom w:w="0" w:type="dxa"/>
              <w:right w:w="108" w:type="dxa"/>
            </w:tcMar>
            <w:vAlign w:val="center"/>
          </w:tcPr>
          <w:p w14:paraId="69399C34">
            <w:pPr>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项目团队</w:t>
            </w:r>
          </w:p>
        </w:tc>
        <w:tc>
          <w:tcPr>
            <w:tcW w:w="3122" w:type="pct"/>
            <w:tcMar>
              <w:top w:w="0" w:type="dxa"/>
              <w:left w:w="108" w:type="dxa"/>
              <w:bottom w:w="0" w:type="dxa"/>
              <w:right w:w="108" w:type="dxa"/>
            </w:tcMar>
            <w:vAlign w:val="center"/>
          </w:tcPr>
          <w:p w14:paraId="1E2E15CB">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1、道路专业人员</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名: 具有注册土木工程师（道路工程）执业资格的得</w:t>
            </w: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分；同时具有工程建设类工程师职称的加</w:t>
            </w:r>
            <w:r>
              <w:rPr>
                <w:rFonts w:hint="eastAsia" w:cs="宋体"/>
                <w:color w:val="000000" w:themeColor="text1"/>
                <w:highlight w:val="none"/>
                <w:lang w:val="en-US" w:eastAsia="zh-CN"/>
                <w14:textFill>
                  <w14:solidFill>
                    <w14:schemeClr w14:val="tx1"/>
                  </w14:solidFill>
                </w14:textFill>
              </w:rPr>
              <w:t>0.5</w:t>
            </w:r>
            <w:r>
              <w:rPr>
                <w:rFonts w:hint="eastAsia" w:ascii="宋体" w:hAnsi="宋体" w:eastAsia="宋体" w:cs="宋体"/>
                <w:color w:val="000000" w:themeColor="text1"/>
                <w:highlight w:val="none"/>
                <w14:textFill>
                  <w14:solidFill>
                    <w14:schemeClr w14:val="tx1"/>
                  </w14:solidFill>
                </w14:textFill>
              </w:rPr>
              <w:t>分，具有工程建设类高级工程师及以上职称的加</w:t>
            </w:r>
            <w:r>
              <w:rPr>
                <w:rFonts w:hint="eastAsia"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分，满分</w:t>
            </w:r>
            <w:r>
              <w:rPr>
                <w:rFonts w:hint="eastAsia"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分。（提供注册证书复印件、职称证书复印件）</w:t>
            </w:r>
          </w:p>
          <w:p w14:paraId="0E83227A">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2、给排水专业人员1名: 具有注册公用设备工程师（给水排水）执业资格的得</w:t>
            </w: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分；同时具有工程建设类工程师职称的加</w:t>
            </w:r>
            <w:r>
              <w:rPr>
                <w:rFonts w:hint="eastAsia" w:cs="宋体"/>
                <w:color w:val="000000" w:themeColor="text1"/>
                <w:highlight w:val="none"/>
                <w:lang w:val="en-US" w:eastAsia="zh-CN"/>
                <w14:textFill>
                  <w14:solidFill>
                    <w14:schemeClr w14:val="tx1"/>
                  </w14:solidFill>
                </w14:textFill>
              </w:rPr>
              <w:t>0.5</w:t>
            </w:r>
            <w:r>
              <w:rPr>
                <w:rFonts w:hint="eastAsia" w:ascii="宋体" w:hAnsi="宋体" w:eastAsia="宋体" w:cs="宋体"/>
                <w:color w:val="000000" w:themeColor="text1"/>
                <w:highlight w:val="none"/>
                <w14:textFill>
                  <w14:solidFill>
                    <w14:schemeClr w14:val="tx1"/>
                  </w14:solidFill>
                </w14:textFill>
              </w:rPr>
              <w:t>分，具有工程建设类高级工程师及以上职称的加</w:t>
            </w:r>
            <w:r>
              <w:rPr>
                <w:rFonts w:hint="eastAsia"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分，满分</w:t>
            </w:r>
            <w:r>
              <w:rPr>
                <w:rFonts w:hint="eastAsia"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分。（提供注册证书、职称证书复印件）</w:t>
            </w:r>
          </w:p>
          <w:p w14:paraId="37B7BB6D">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3、电气专业人员1名: 具有注册电气工程师（供配电）执业资格的得</w:t>
            </w: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分；同时具有工程建设类工程师职称的加</w:t>
            </w:r>
            <w:r>
              <w:rPr>
                <w:rFonts w:hint="eastAsia" w:cs="宋体"/>
                <w:color w:val="000000" w:themeColor="text1"/>
                <w:highlight w:val="none"/>
                <w:lang w:val="en-US" w:eastAsia="zh-CN"/>
                <w14:textFill>
                  <w14:solidFill>
                    <w14:schemeClr w14:val="tx1"/>
                  </w14:solidFill>
                </w14:textFill>
              </w:rPr>
              <w:t>0.5</w:t>
            </w:r>
            <w:r>
              <w:rPr>
                <w:rFonts w:hint="eastAsia" w:ascii="宋体" w:hAnsi="宋体" w:eastAsia="宋体" w:cs="宋体"/>
                <w:color w:val="000000" w:themeColor="text1"/>
                <w:highlight w:val="none"/>
                <w14:textFill>
                  <w14:solidFill>
                    <w14:schemeClr w14:val="tx1"/>
                  </w14:solidFill>
                </w14:textFill>
              </w:rPr>
              <w:t>分，具有工程建设类高级工程师及以上职称的加</w:t>
            </w:r>
            <w:r>
              <w:rPr>
                <w:rFonts w:hint="eastAsia"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分，满分</w:t>
            </w:r>
            <w:r>
              <w:rPr>
                <w:rFonts w:hint="eastAsia"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分。（提供注册证书、职称证书复印件）</w:t>
            </w:r>
          </w:p>
          <w:p w14:paraId="7A4BDD64">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4、园林专业人员1名：具有园林相关专业高级工程师及以上职称的得2分</w:t>
            </w:r>
            <w:r>
              <w:rPr>
                <w:rFonts w:hint="eastAsia"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具有园林专业工程师职称的得1分。满分</w:t>
            </w:r>
            <w:r>
              <w:rPr>
                <w:rFonts w:hint="eastAsia"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分</w:t>
            </w:r>
            <w:r>
              <w:rPr>
                <w:rFonts w:hint="eastAsia"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（专业以职称证为准，如职称证不能反映专业的，则以毕业证上的专业为准。</w:t>
            </w:r>
            <w:bookmarkStart w:id="34" w:name="_Toc1720135"/>
            <w:bookmarkStart w:id="35" w:name="_Toc508286060"/>
            <w:r>
              <w:rPr>
                <w:rFonts w:hint="eastAsia" w:ascii="宋体" w:hAnsi="宋体" w:eastAsia="宋体" w:cs="宋体"/>
                <w:color w:val="000000" w:themeColor="text1"/>
                <w:highlight w:val="none"/>
                <w:lang w:val="en-US" w:eastAsia="zh-CN"/>
                <w14:textFill>
                  <w14:solidFill>
                    <w14:schemeClr w14:val="tx1"/>
                  </w14:solidFill>
                </w14:textFill>
              </w:rPr>
              <w:t>园林专业指与园林绿化工程规划、设计、施工及养护管理相关的专业，包括园林(含园林规划设计、园林植物、风景园林、园林绿化等)、园艺、城市规划、景观、植物(含植保、森保等)、风景旅游、环境艺术等专业</w:t>
            </w:r>
            <w:bookmarkEnd w:id="34"/>
            <w:bookmarkEnd w:id="35"/>
            <w:r>
              <w:rPr>
                <w:rFonts w:hint="eastAsia" w:ascii="宋体" w:hAnsi="宋体" w:eastAsia="宋体" w:cs="宋体"/>
                <w:color w:val="000000" w:themeColor="text1"/>
                <w:highlight w:val="none"/>
                <w14:textFill>
                  <w14:solidFill>
                    <w14:schemeClr w14:val="tx1"/>
                  </w14:solidFill>
                </w14:textFill>
              </w:rPr>
              <w:t>）</w:t>
            </w:r>
          </w:p>
          <w:p w14:paraId="3B539A34">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5、工程造价专业人员1名：具有一级注册造价工程师执业资格的得</w:t>
            </w:r>
            <w:r>
              <w:rPr>
                <w:rFonts w:hint="eastAsia"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分；同时具有工程建设类工程师职称的加</w:t>
            </w:r>
            <w:r>
              <w:rPr>
                <w:rFonts w:hint="eastAsia" w:cs="宋体"/>
                <w:color w:val="000000" w:themeColor="text1"/>
                <w:highlight w:val="none"/>
                <w:lang w:val="en-US" w:eastAsia="zh-CN"/>
                <w14:textFill>
                  <w14:solidFill>
                    <w14:schemeClr w14:val="tx1"/>
                  </w14:solidFill>
                </w14:textFill>
              </w:rPr>
              <w:t>0.5</w:t>
            </w:r>
            <w:r>
              <w:rPr>
                <w:rFonts w:hint="eastAsia" w:ascii="宋体" w:hAnsi="宋体" w:eastAsia="宋体" w:cs="宋体"/>
                <w:color w:val="000000" w:themeColor="text1"/>
                <w:highlight w:val="none"/>
                <w14:textFill>
                  <w14:solidFill>
                    <w14:schemeClr w14:val="tx1"/>
                  </w14:solidFill>
                </w14:textFill>
              </w:rPr>
              <w:t>分，具有工程建设类高级工程师及以上职称的加</w:t>
            </w:r>
            <w:r>
              <w:rPr>
                <w:rFonts w:hint="eastAsia"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分，满分</w:t>
            </w: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分。（须提供注册证书复印件、职称证书复印件</w:t>
            </w:r>
            <w:r>
              <w:rPr>
                <w:rFonts w:hint="eastAsia" w:cs="宋体"/>
                <w:color w:val="000000" w:themeColor="text1"/>
                <w:highlight w:val="none"/>
                <w:lang w:eastAsia="zh-CN"/>
                <w14:textFill>
                  <w14:solidFill>
                    <w14:schemeClr w14:val="tx1"/>
                  </w14:solidFill>
                </w14:textFill>
              </w:rPr>
              <w:t>）</w:t>
            </w:r>
          </w:p>
          <w:p w14:paraId="7842A755">
            <w:pPr>
              <w:pStyle w:val="23"/>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r>
              <w:rPr>
                <w:rFonts w:hint="eastAsia" w:cs="宋体"/>
                <w:color w:val="000000" w:themeColor="text1"/>
                <w:highlight w:val="none"/>
                <w:lang w:eastAsia="zh-CN"/>
                <w14:textFill>
                  <w14:solidFill>
                    <w14:schemeClr w14:val="tx1"/>
                  </w14:solidFill>
                </w14:textFill>
              </w:rPr>
              <w:t>提供</w:t>
            </w:r>
            <w:r>
              <w:rPr>
                <w:rFonts w:hint="eastAsia" w:cs="Times New Roman"/>
                <w:color w:val="000000" w:themeColor="text1"/>
                <w:sz w:val="24"/>
                <w:szCs w:val="24"/>
                <w:highlight w:val="none"/>
                <w:lang w:val="en-US" w:eastAsia="zh-CN" w:bidi="ar-SA"/>
                <w14:textFill>
                  <w14:solidFill>
                    <w14:schemeClr w14:val="tx1"/>
                  </w14:solidFill>
                </w14:textFill>
              </w:rPr>
              <w:t>投标人为</w:t>
            </w:r>
            <w:r>
              <w:rPr>
                <w:rFonts w:hint="eastAsia" w:cs="宋体"/>
                <w:color w:val="000000" w:themeColor="text1"/>
                <w:highlight w:val="none"/>
                <w:lang w:eastAsia="zh-CN"/>
                <w14:textFill>
                  <w14:solidFill>
                    <w14:schemeClr w14:val="tx1"/>
                  </w14:solidFill>
                </w14:textFill>
              </w:rPr>
              <w:t>上述人员</w:t>
            </w:r>
            <w:r>
              <w:rPr>
                <w:rFonts w:hint="eastAsia" w:cs="Times New Roman"/>
                <w:color w:val="000000" w:themeColor="text1"/>
                <w:sz w:val="24"/>
                <w:szCs w:val="24"/>
                <w:highlight w:val="none"/>
                <w:lang w:val="en-US" w:eastAsia="zh-CN" w:bidi="ar-SA"/>
                <w14:textFill>
                  <w14:solidFill>
                    <w14:schemeClr w14:val="tx1"/>
                  </w14:solidFill>
                </w14:textFill>
              </w:rPr>
              <w:t>缴纳的</w:t>
            </w:r>
            <w:r>
              <w:rPr>
                <w:rFonts w:hint="eastAsia" w:ascii="宋体" w:hAnsi="宋体" w:eastAsia="宋体" w:cs="宋体"/>
                <w:color w:val="000000" w:themeColor="text1"/>
                <w:sz w:val="24"/>
                <w:szCs w:val="24"/>
                <w:highlight w:val="none"/>
                <w:u w:val="none"/>
                <w:lang w:val="en-US"/>
                <w14:textFill>
                  <w14:solidFill>
                    <w14:schemeClr w14:val="tx1"/>
                  </w14:solidFill>
                </w14:textFill>
              </w:rPr>
              <w:t>近半年（20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14:textFill>
                  <w14:solidFill>
                    <w14:schemeClr w14:val="tx1"/>
                  </w14:solidFill>
                </w14:textFill>
              </w:rPr>
              <w:t>年</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none"/>
                <w:lang w:val="en-US"/>
                <w14:textFill>
                  <w14:solidFill>
                    <w14:schemeClr w14:val="tx1"/>
                  </w14:solidFill>
                </w14:textFill>
              </w:rPr>
              <w:t>月-202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14:textFill>
                  <w14:solidFill>
                    <w14:schemeClr w14:val="tx1"/>
                  </w14:solidFill>
                </w14:textFill>
              </w:rPr>
              <w:t>年</w:t>
            </w:r>
            <w:r>
              <w:rPr>
                <w:rFonts w:hint="eastAsia" w:ascii="宋体" w:hAnsi="宋体" w:cs="宋体"/>
                <w:color w:val="000000" w:themeColor="text1"/>
                <w:sz w:val="24"/>
                <w:szCs w:val="24"/>
                <w:highlight w:val="none"/>
                <w:u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none"/>
                <w:lang w:val="en-US"/>
                <w14:textFill>
                  <w14:solidFill>
                    <w14:schemeClr w14:val="tx1"/>
                  </w14:solidFill>
                </w14:textFill>
              </w:rPr>
              <w:t>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任意一个月</w:t>
            </w:r>
            <w:r>
              <w:rPr>
                <w:rFonts w:hint="eastAsia" w:ascii="宋体" w:hAnsi="宋体" w:eastAsia="宋体" w:cs="宋体"/>
                <w:color w:val="000000" w:themeColor="text1"/>
                <w:sz w:val="24"/>
                <w:szCs w:val="24"/>
                <w:highlight w:val="none"/>
                <w:u w:val="none"/>
                <w:lang w:val="en-US"/>
                <w14:textFill>
                  <w14:solidFill>
                    <w14:schemeClr w14:val="tx1"/>
                  </w14:solidFill>
                </w14:textFill>
              </w:rPr>
              <w:t>的社保证明</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，提供</w:t>
            </w:r>
            <w:r>
              <w:rPr>
                <w:rFonts w:hint="eastAsia" w:ascii="宋体" w:hAnsi="宋体" w:eastAsia="宋体" w:cs="宋体"/>
                <w:color w:val="000000" w:themeColor="text1"/>
                <w:sz w:val="24"/>
                <w:szCs w:val="24"/>
                <w:highlight w:val="none"/>
                <w:u w:val="none"/>
                <w:lang w:val="en-US"/>
                <w14:textFill>
                  <w14:solidFill>
                    <w14:schemeClr w14:val="tx1"/>
                  </w14:solidFill>
                </w14:textFill>
              </w:rPr>
              <w:t>社保机构出具的养老保险缴费证明材料，且加盖社保中心章或社保中心参保缴费证明电子专用章；若</w:t>
            </w:r>
            <w:r>
              <w:rPr>
                <w:rFonts w:hint="eastAsia" w:ascii="宋体" w:hAnsi="宋体" w:cs="宋体"/>
                <w:color w:val="000000" w:themeColor="text1"/>
                <w:sz w:val="24"/>
                <w:szCs w:val="24"/>
                <w:highlight w:val="none"/>
                <w:u w:val="none"/>
                <w:lang w:val="en-US" w:eastAsia="zh-CN"/>
                <w14:textFill>
                  <w14:solidFill>
                    <w14:schemeClr w14:val="tx1"/>
                  </w14:solidFill>
                </w14:textFill>
              </w:rPr>
              <w:t>该人员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属退休人员无需提供社保证明，但必须提供相关部门开具项目负责人本人的有效退休证明材料复印件加盖公章，否则一律按未提供养老保险金缴费证明材料处理。</w:t>
            </w:r>
          </w:p>
        </w:tc>
        <w:tc>
          <w:tcPr>
            <w:tcW w:w="756" w:type="pct"/>
            <w:tcMar>
              <w:top w:w="0" w:type="dxa"/>
              <w:left w:w="108" w:type="dxa"/>
              <w:bottom w:w="0" w:type="dxa"/>
              <w:right w:w="108" w:type="dxa"/>
            </w:tcMar>
            <w:vAlign w:val="center"/>
          </w:tcPr>
          <w:p w14:paraId="359054C9">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default"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17</w:t>
            </w:r>
          </w:p>
        </w:tc>
      </w:tr>
      <w:tr w14:paraId="409E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42" w:type="pct"/>
            <w:vMerge w:val="restart"/>
            <w:tcMar>
              <w:top w:w="0" w:type="dxa"/>
              <w:left w:w="108" w:type="dxa"/>
              <w:bottom w:w="0" w:type="dxa"/>
              <w:right w:w="108" w:type="dxa"/>
            </w:tcMar>
            <w:vAlign w:val="center"/>
          </w:tcPr>
          <w:p w14:paraId="5D093CBA">
            <w:pPr>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both"/>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6</w:t>
            </w:r>
          </w:p>
        </w:tc>
        <w:tc>
          <w:tcPr>
            <w:tcW w:w="878" w:type="pct"/>
            <w:tcMar>
              <w:top w:w="0" w:type="dxa"/>
              <w:left w:w="108" w:type="dxa"/>
              <w:bottom w:w="0" w:type="dxa"/>
              <w:right w:w="108" w:type="dxa"/>
            </w:tcMar>
            <w:vAlign w:val="center"/>
          </w:tcPr>
          <w:p w14:paraId="6876E332">
            <w:pPr>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项目总体服务方案</w:t>
            </w:r>
          </w:p>
        </w:tc>
        <w:tc>
          <w:tcPr>
            <w:tcW w:w="3122" w:type="pct"/>
            <w:tcMar>
              <w:top w:w="0" w:type="dxa"/>
              <w:left w:w="108" w:type="dxa"/>
              <w:bottom w:w="0" w:type="dxa"/>
              <w:right w:w="108" w:type="dxa"/>
            </w:tcMar>
            <w:vAlign w:val="center"/>
          </w:tcPr>
          <w:p w14:paraId="15036675">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根据供应商的服务承诺、响应方式、响应时间、整体设计思路及与采购方的配合工作等进行综合评分。</w:t>
            </w:r>
          </w:p>
          <w:p w14:paraId="71034AD8">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1、方案完整详细，措施有效扎实，针对性强，可行性高，设计思路清晰的得10分；</w:t>
            </w:r>
          </w:p>
          <w:p w14:paraId="3DDCE0AA">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2、方案较完整详细，措施较有效扎实，针对性较强，可行性较高，设计思路较清晰的得7分；</w:t>
            </w:r>
          </w:p>
          <w:p w14:paraId="26378236">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3、方案简单，针对性一般，可行性一般，设计思路一般的得4分；</w:t>
            </w:r>
          </w:p>
          <w:p w14:paraId="6D2D3817">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4、方案有明显缺陷，针对性较差，可行性较差，设计思路较差的得1分。</w:t>
            </w:r>
          </w:p>
          <w:p w14:paraId="3B35B451">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5、未提供不得分。</w:t>
            </w:r>
          </w:p>
        </w:tc>
        <w:tc>
          <w:tcPr>
            <w:tcW w:w="756" w:type="pct"/>
            <w:tcMar>
              <w:top w:w="0" w:type="dxa"/>
              <w:left w:w="108" w:type="dxa"/>
              <w:bottom w:w="0" w:type="dxa"/>
              <w:right w:w="108" w:type="dxa"/>
            </w:tcMar>
            <w:vAlign w:val="center"/>
          </w:tcPr>
          <w:p w14:paraId="391C3BD1">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10分</w:t>
            </w:r>
          </w:p>
        </w:tc>
      </w:tr>
      <w:tr w14:paraId="2BE4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42" w:type="pct"/>
            <w:vMerge w:val="continue"/>
            <w:tcMar>
              <w:top w:w="0" w:type="dxa"/>
              <w:left w:w="108" w:type="dxa"/>
              <w:bottom w:w="0" w:type="dxa"/>
              <w:right w:w="108" w:type="dxa"/>
            </w:tcMar>
            <w:vAlign w:val="center"/>
          </w:tcPr>
          <w:p w14:paraId="4B60B56C">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p>
        </w:tc>
        <w:tc>
          <w:tcPr>
            <w:tcW w:w="878" w:type="pct"/>
            <w:tcMar>
              <w:top w:w="0" w:type="dxa"/>
              <w:left w:w="108" w:type="dxa"/>
              <w:bottom w:w="0" w:type="dxa"/>
              <w:right w:w="108" w:type="dxa"/>
            </w:tcMar>
            <w:vAlign w:val="center"/>
          </w:tcPr>
          <w:p w14:paraId="23FDD8A9">
            <w:pPr>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项目重难点分析方案</w:t>
            </w:r>
          </w:p>
        </w:tc>
        <w:tc>
          <w:tcPr>
            <w:tcW w:w="3122" w:type="pct"/>
            <w:tcMar>
              <w:top w:w="0" w:type="dxa"/>
              <w:left w:w="108" w:type="dxa"/>
              <w:bottom w:w="0" w:type="dxa"/>
              <w:right w:w="108" w:type="dxa"/>
            </w:tcMar>
            <w:vAlign w:val="center"/>
          </w:tcPr>
          <w:p w14:paraId="29770CB4">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根据供应商对项目重难点的管理、分析方案进行综合评分。</w:t>
            </w:r>
          </w:p>
          <w:p w14:paraId="251AA87B">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1、方案完整详细，重难点分析准确，针对性强，可行性高的得</w:t>
            </w:r>
            <w:r>
              <w:rPr>
                <w:rFonts w:hint="eastAsia"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分；</w:t>
            </w:r>
          </w:p>
          <w:p w14:paraId="74410B8C">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2、方案较完整详细，重难点分析较准确，针对性较强，可行性较高的得7分；</w:t>
            </w:r>
          </w:p>
          <w:p w14:paraId="50810F2D">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3、方案简单，针对性一般，可行性一般的得</w:t>
            </w:r>
            <w:r>
              <w:rPr>
                <w:rFonts w:hint="eastAsia"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分；</w:t>
            </w:r>
          </w:p>
          <w:p w14:paraId="10939297">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4、方案有明显缺陷，针对性较差，可行性较差的得1分。</w:t>
            </w:r>
          </w:p>
          <w:p w14:paraId="0EED39D0">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5、未提供不得分。</w:t>
            </w:r>
          </w:p>
        </w:tc>
        <w:tc>
          <w:tcPr>
            <w:tcW w:w="756" w:type="pct"/>
            <w:tcMar>
              <w:top w:w="0" w:type="dxa"/>
              <w:left w:w="108" w:type="dxa"/>
              <w:bottom w:w="0" w:type="dxa"/>
              <w:right w:w="108" w:type="dxa"/>
            </w:tcMar>
            <w:vAlign w:val="center"/>
          </w:tcPr>
          <w:p w14:paraId="12D7B3CF">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10分</w:t>
            </w:r>
          </w:p>
        </w:tc>
      </w:tr>
      <w:tr w14:paraId="3949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42" w:type="pct"/>
            <w:vMerge w:val="continue"/>
            <w:tcMar>
              <w:top w:w="0" w:type="dxa"/>
              <w:left w:w="108" w:type="dxa"/>
              <w:bottom w:w="0" w:type="dxa"/>
              <w:right w:w="108" w:type="dxa"/>
            </w:tcMar>
            <w:vAlign w:val="center"/>
          </w:tcPr>
          <w:p w14:paraId="22CE6190">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p>
        </w:tc>
        <w:tc>
          <w:tcPr>
            <w:tcW w:w="878" w:type="pct"/>
            <w:tcMar>
              <w:top w:w="0" w:type="dxa"/>
              <w:left w:w="108" w:type="dxa"/>
              <w:bottom w:w="0" w:type="dxa"/>
              <w:right w:w="108" w:type="dxa"/>
            </w:tcMar>
            <w:vAlign w:val="center"/>
          </w:tcPr>
          <w:p w14:paraId="25D90124">
            <w:pPr>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项目管理方案</w:t>
            </w:r>
          </w:p>
        </w:tc>
        <w:tc>
          <w:tcPr>
            <w:tcW w:w="3122" w:type="pct"/>
            <w:tcMar>
              <w:top w:w="0" w:type="dxa"/>
              <w:left w:w="108" w:type="dxa"/>
              <w:bottom w:w="0" w:type="dxa"/>
              <w:right w:w="108" w:type="dxa"/>
            </w:tcMar>
            <w:vAlign w:val="center"/>
          </w:tcPr>
          <w:p w14:paraId="4B13C71F">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项目管理方案包含整体管理、范围管理、质量管理、建设团队管理、风险管理等内容。由磋商小组根据投标方项目管理方案进行综合评分。</w:t>
            </w:r>
          </w:p>
          <w:p w14:paraId="40707473">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1、方案完整详细、科学合理、可行性强得10分；</w:t>
            </w:r>
          </w:p>
          <w:p w14:paraId="50858343">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2、方案较完整详细、较科学合理、可行性较高得7分；</w:t>
            </w:r>
          </w:p>
          <w:p w14:paraId="54E07C42">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3、方案简单、科学合理性一般、可行性一般得4分；</w:t>
            </w:r>
          </w:p>
          <w:p w14:paraId="007294AB">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4、方案有明显缺陷，针对性较差，可行性较差的得1分；</w:t>
            </w:r>
          </w:p>
          <w:p w14:paraId="50F423C2">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5、未提供不得分。</w:t>
            </w:r>
          </w:p>
        </w:tc>
        <w:tc>
          <w:tcPr>
            <w:tcW w:w="756" w:type="pct"/>
            <w:tcMar>
              <w:top w:w="0" w:type="dxa"/>
              <w:left w:w="108" w:type="dxa"/>
              <w:bottom w:w="0" w:type="dxa"/>
              <w:right w:w="108" w:type="dxa"/>
            </w:tcMar>
            <w:vAlign w:val="center"/>
          </w:tcPr>
          <w:p w14:paraId="5CFA3959">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10分</w:t>
            </w:r>
          </w:p>
        </w:tc>
      </w:tr>
      <w:tr w14:paraId="77B0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42" w:type="pct"/>
            <w:vMerge w:val="continue"/>
            <w:tcMar>
              <w:top w:w="0" w:type="dxa"/>
              <w:left w:w="108" w:type="dxa"/>
              <w:bottom w:w="0" w:type="dxa"/>
              <w:right w:w="108" w:type="dxa"/>
            </w:tcMar>
            <w:vAlign w:val="center"/>
          </w:tcPr>
          <w:p w14:paraId="1312E3E2">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p>
        </w:tc>
        <w:tc>
          <w:tcPr>
            <w:tcW w:w="878" w:type="pct"/>
            <w:tcMar>
              <w:top w:w="0" w:type="dxa"/>
              <w:left w:w="108" w:type="dxa"/>
              <w:bottom w:w="0" w:type="dxa"/>
              <w:right w:w="108" w:type="dxa"/>
            </w:tcMar>
            <w:vAlign w:val="center"/>
          </w:tcPr>
          <w:p w14:paraId="7A5FD7E3">
            <w:pPr>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后续服务</w:t>
            </w:r>
          </w:p>
        </w:tc>
        <w:tc>
          <w:tcPr>
            <w:tcW w:w="3122" w:type="pct"/>
            <w:tcMar>
              <w:top w:w="0" w:type="dxa"/>
              <w:left w:w="108" w:type="dxa"/>
              <w:bottom w:w="0" w:type="dxa"/>
              <w:right w:w="108" w:type="dxa"/>
            </w:tcMar>
            <w:vAlign w:val="center"/>
          </w:tcPr>
          <w:p w14:paraId="286704C0">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根据供应商针对本项目制定的每个项目后续服务进行综合评分。</w:t>
            </w:r>
          </w:p>
          <w:p w14:paraId="1CB3B3F7">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1、服务方案完整详细，在项目设计完成时能够完成采购人的需求跟进，包括项目驻场、设计变更等，有针对性得</w:t>
            </w:r>
            <w:r>
              <w:rPr>
                <w:rFonts w:hint="eastAsia"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分；</w:t>
            </w:r>
          </w:p>
          <w:p w14:paraId="0C6FADFC">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2、服务方案较完整详细，在项目设计完成时较能够完成采购人的需求进行跟进，包括项目驻场、设计变更等，较有针对性得</w:t>
            </w:r>
            <w:r>
              <w:rPr>
                <w:rFonts w:hint="eastAsia"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分；</w:t>
            </w:r>
          </w:p>
          <w:p w14:paraId="1E7EA95A">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3、服务方案较完整性一般，在项目设计完成需求跟进一般的得</w:t>
            </w: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w:t>
            </w:r>
          </w:p>
          <w:p w14:paraId="7004C302">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4、服务方案有明显的缺陷，在项目设计完成需求跟进较差得1分；</w:t>
            </w:r>
          </w:p>
          <w:p w14:paraId="41BFA144">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5、未提供不得分。</w:t>
            </w:r>
          </w:p>
        </w:tc>
        <w:tc>
          <w:tcPr>
            <w:tcW w:w="756" w:type="pct"/>
            <w:tcMar>
              <w:top w:w="0" w:type="dxa"/>
              <w:left w:w="108" w:type="dxa"/>
              <w:bottom w:w="0" w:type="dxa"/>
              <w:right w:w="108" w:type="dxa"/>
            </w:tcMar>
            <w:vAlign w:val="center"/>
          </w:tcPr>
          <w:p w14:paraId="6646324C">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分</w:t>
            </w:r>
          </w:p>
        </w:tc>
      </w:tr>
      <w:tr w14:paraId="72B6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42" w:type="pct"/>
            <w:vMerge w:val="continue"/>
            <w:tcMar>
              <w:top w:w="0" w:type="dxa"/>
              <w:left w:w="108" w:type="dxa"/>
              <w:bottom w:w="0" w:type="dxa"/>
              <w:right w:w="108" w:type="dxa"/>
            </w:tcMar>
            <w:vAlign w:val="center"/>
          </w:tcPr>
          <w:p w14:paraId="2993095F">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p>
        </w:tc>
        <w:tc>
          <w:tcPr>
            <w:tcW w:w="878" w:type="pct"/>
            <w:tcMar>
              <w:top w:w="0" w:type="dxa"/>
              <w:left w:w="108" w:type="dxa"/>
              <w:bottom w:w="0" w:type="dxa"/>
              <w:right w:w="108" w:type="dxa"/>
            </w:tcMar>
            <w:vAlign w:val="center"/>
          </w:tcPr>
          <w:p w14:paraId="2B648FC2">
            <w:pPr>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设计进度保障方案</w:t>
            </w:r>
          </w:p>
        </w:tc>
        <w:tc>
          <w:tcPr>
            <w:tcW w:w="3122" w:type="pct"/>
            <w:tcMar>
              <w:top w:w="0" w:type="dxa"/>
              <w:left w:w="108" w:type="dxa"/>
              <w:bottom w:w="0" w:type="dxa"/>
              <w:right w:w="108" w:type="dxa"/>
            </w:tcMar>
            <w:vAlign w:val="center"/>
          </w:tcPr>
          <w:p w14:paraId="1266C70A">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根据供应商针对本项目的设计进度保障方案进行综合评分</w:t>
            </w:r>
          </w:p>
          <w:p w14:paraId="4F179554">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1、方案完整详细、科学合理、可保证项目顺利完成的得</w:t>
            </w:r>
            <w:r>
              <w:rPr>
                <w:rFonts w:hint="eastAsia"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分；</w:t>
            </w:r>
          </w:p>
          <w:p w14:paraId="4297FD07">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2、方案较完整详细、较科学合理、可保证项目较顺利完成的得</w:t>
            </w:r>
            <w:r>
              <w:rPr>
                <w:rFonts w:hint="eastAsia"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分；</w:t>
            </w:r>
          </w:p>
          <w:p w14:paraId="4CAEDF34">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3、方案简单、科学合理性一般、项目完成顺利度一般的得</w:t>
            </w: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w:t>
            </w:r>
          </w:p>
          <w:p w14:paraId="6A5576EE">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4、方案有明显缺陷、合理性较差、项目完成顺利度较差的得1分；</w:t>
            </w:r>
          </w:p>
          <w:p w14:paraId="0EBF5B05">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5、未提供不得分。</w:t>
            </w:r>
          </w:p>
        </w:tc>
        <w:tc>
          <w:tcPr>
            <w:tcW w:w="756" w:type="pct"/>
            <w:tcMar>
              <w:top w:w="0" w:type="dxa"/>
              <w:left w:w="108" w:type="dxa"/>
              <w:bottom w:w="0" w:type="dxa"/>
              <w:right w:w="108" w:type="dxa"/>
            </w:tcMar>
            <w:vAlign w:val="center"/>
          </w:tcPr>
          <w:p w14:paraId="272AEF41">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分</w:t>
            </w:r>
          </w:p>
        </w:tc>
      </w:tr>
      <w:tr w14:paraId="0B38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243" w:type="pct"/>
            <w:gridSpan w:val="3"/>
            <w:tcMar>
              <w:top w:w="0" w:type="dxa"/>
              <w:left w:w="108" w:type="dxa"/>
              <w:bottom w:w="0" w:type="dxa"/>
              <w:right w:w="108" w:type="dxa"/>
            </w:tcMar>
            <w:vAlign w:val="center"/>
          </w:tcPr>
          <w:p w14:paraId="2C7ECDFB">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合计</w:t>
            </w:r>
          </w:p>
        </w:tc>
        <w:tc>
          <w:tcPr>
            <w:tcW w:w="756" w:type="pct"/>
            <w:tcMar>
              <w:top w:w="0" w:type="dxa"/>
              <w:left w:w="108" w:type="dxa"/>
              <w:bottom w:w="0" w:type="dxa"/>
              <w:right w:w="108" w:type="dxa"/>
            </w:tcMar>
            <w:vAlign w:val="center"/>
          </w:tcPr>
          <w:p w14:paraId="1444E784">
            <w:pPr>
              <w:keepNext w:val="0"/>
              <w:keepLines w:val="0"/>
              <w:pageBreakBefore w:val="0"/>
              <w:widowControl w:val="0"/>
              <w:kinsoku/>
              <w:wordWrap/>
              <w:overflowPunct/>
              <w:topLinePunct w:val="0"/>
              <w:autoSpaceDE w:val="0"/>
              <w:autoSpaceDN w:val="0"/>
              <w:bidi w:val="0"/>
              <w:adjustRightInd/>
              <w:snapToGrid/>
              <w:spacing w:after="0"/>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100分</w:t>
            </w:r>
          </w:p>
        </w:tc>
      </w:tr>
    </w:tbl>
    <w:p w14:paraId="3FEAECF3">
      <w:pPr>
        <w:keepNext w:val="0"/>
        <w:keepLines w:val="0"/>
        <w:pageBreakBefore w:val="0"/>
        <w:widowControl w:val="0"/>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评标委员会将按下列评分具体办法和标准进行打分，总分值为100分。</w:t>
      </w:r>
    </w:p>
    <w:p w14:paraId="1207BC01">
      <w:pPr>
        <w:keepNext w:val="0"/>
        <w:keepLines w:val="0"/>
        <w:pageBreakBefore w:val="0"/>
        <w:widowControl w:val="0"/>
        <w:kinsoku/>
        <w:wordWrap/>
        <w:overflowPunct/>
        <w:topLinePunct w:val="0"/>
        <w:autoSpaceDE w:val="0"/>
        <w:autoSpaceDN w:val="0"/>
        <w:bidi w:val="0"/>
        <w:adjustRightInd/>
        <w:snapToGrid/>
        <w:spacing w:after="0"/>
        <w:ind w:firstLine="482"/>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说明：</w:t>
      </w:r>
    </w:p>
    <w:p w14:paraId="23CA57CE">
      <w:pPr>
        <w:widowControl/>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一、小微企业的价格扣除</w:t>
      </w:r>
    </w:p>
    <w:p w14:paraId="69B0680D">
      <w:pPr>
        <w:widowControl/>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对于未预留份额专门面向中小企业采购的采购项目或预留份额项目中的非预留部分采购包，给予小微企业报价10%的扣除，用扣除后的价格参加评审。其中，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联合体各方均为小微企业的，联合体视同为小微企业，享受10%的价格扣除。</w:t>
      </w:r>
    </w:p>
    <w:p w14:paraId="22F3FDF7">
      <w:pPr>
        <w:widowControl/>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2.价格扣除比例或者价格分加分比例对小型企业和微型企业同等对待，不作区分。</w:t>
      </w:r>
    </w:p>
    <w:p w14:paraId="6E67F88E">
      <w:pPr>
        <w:widowControl/>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 二、监狱和戒毒企业的价格扣除</w:t>
      </w:r>
    </w:p>
    <w:p w14:paraId="6AB5DDD9">
      <w:pPr>
        <w:widowControl/>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1.本项目对监狱和戒毒企业（简称监狱企业）视同小型、微型企业，享受相同的价格扣除优惠政策。</w:t>
      </w:r>
    </w:p>
    <w:p w14:paraId="57FA66FF">
      <w:pPr>
        <w:widowControl/>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2.监狱企业需提供由省级以上监狱管理局、戒毒管理局（含新疆生产建设兵团）出具的属于监狱企业的证明文件。</w:t>
      </w:r>
    </w:p>
    <w:p w14:paraId="73944356">
      <w:pPr>
        <w:widowControl/>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3.监狱企业标准请参照《关于政府采购支持监狱企业发展有关问题的通知》（财库〔2014〕68号）。</w:t>
      </w:r>
    </w:p>
    <w:p w14:paraId="5AABC174">
      <w:pPr>
        <w:widowControl/>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三、残疾人福利性单位的价格扣除</w:t>
      </w:r>
    </w:p>
    <w:p w14:paraId="58741B84">
      <w:pPr>
        <w:widowControl/>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1.本项目对残疾人福利性单位视同小型、微型企业，享受相同的价格扣除优惠政策。</w:t>
      </w:r>
    </w:p>
    <w:p w14:paraId="7B6667AF">
      <w:pPr>
        <w:widowControl/>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2.残疾人福利性单位需按照招标文件的要求提供《残疾人福利性单位声明函》。</w:t>
      </w:r>
    </w:p>
    <w:p w14:paraId="6DE3441D">
      <w:pPr>
        <w:widowControl/>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3.残疾人福利性单位标准请参照《关于促进残疾人就业政府采购政策的通知》（财库〔2017〕141号）。</w:t>
      </w:r>
    </w:p>
    <w:p w14:paraId="73F00978">
      <w:pPr>
        <w:widowControl/>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四、监狱企业、残疾人福利性单位属于小型、微型企业的，不重复享受政策。</w:t>
      </w:r>
    </w:p>
    <w:p w14:paraId="0D9E103D">
      <w:pPr>
        <w:widowControl/>
        <w:spacing w:line="360" w:lineRule="auto"/>
        <w:ind w:firstLine="480" w:firstLineChars="200"/>
        <w:jc w:val="left"/>
        <w:rPr>
          <w:rFonts w:ascii="宋体" w:hAnsi="宋体" w:cs="宋体"/>
          <w:bCs/>
          <w:color w:val="000000" w:themeColor="text1"/>
          <w:sz w:val="22"/>
          <w:szCs w:val="22"/>
          <w:highlight w:val="none"/>
          <w14:textFill>
            <w14:solidFill>
              <w14:schemeClr w14:val="tx1"/>
            </w14:solidFill>
          </w14:textFill>
        </w:rPr>
        <w:sectPr>
          <w:headerReference r:id="rId5" w:type="default"/>
          <w:footerReference r:id="rId6" w:type="default"/>
          <w:pgSz w:w="11906" w:h="16838"/>
          <w:pgMar w:top="850" w:right="850" w:bottom="850" w:left="1418" w:header="170" w:footer="397" w:gutter="0"/>
          <w:cols w:space="720" w:num="1"/>
          <w:docGrid w:type="lines" w:linePitch="312" w:charSpace="0"/>
        </w:sectPr>
      </w:pPr>
      <w:r>
        <w:rPr>
          <w:rFonts w:hint="eastAsia" w:ascii="宋体" w:hAnsi="宋体" w:cs="宋体"/>
          <w:bCs/>
          <w:color w:val="000000" w:themeColor="text1"/>
          <w:highlight w:val="none"/>
          <w14:textFill>
            <w14:solidFill>
              <w14:schemeClr w14:val="tx1"/>
            </w14:solidFill>
          </w14:textFill>
        </w:rPr>
        <w:t>五、除评分标准中另有说明外，所有认证、证明和业绩均以有效的证明文件的复印件为依据。</w:t>
      </w:r>
    </w:p>
    <w:p w14:paraId="06B220BF">
      <w:pPr>
        <w:pStyle w:val="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第四章  项目需求</w:t>
      </w:r>
    </w:p>
    <w:p w14:paraId="04BD6219">
      <w:pPr>
        <w:spacing w:line="520" w:lineRule="exact"/>
        <w:ind w:firstLine="480" w:firstLineChars="200"/>
        <w:rPr>
          <w:rFonts w:ascii="宋体" w:hAnsi="宋体" w:eastAsia="宋体"/>
          <w:color w:val="000000" w:themeColor="text1"/>
          <w:sz w:val="24"/>
          <w:szCs w:val="24"/>
          <w:highlight w:val="none"/>
          <w14:textFill>
            <w14:solidFill>
              <w14:schemeClr w14:val="tx1"/>
            </w14:solidFill>
          </w14:textFill>
        </w:rPr>
      </w:pPr>
      <w:bookmarkStart w:id="36" w:name="_Hlk47437789"/>
      <w:bookmarkStart w:id="37" w:name="_Hlk28691518"/>
      <w:bookmarkStart w:id="38" w:name="_Hlk14096470"/>
      <w:r>
        <w:rPr>
          <w:rFonts w:hint="eastAsia" w:ascii="宋体" w:hAnsi="宋体" w:eastAsia="宋体"/>
          <w:color w:val="000000" w:themeColor="text1"/>
          <w:sz w:val="24"/>
          <w:szCs w:val="24"/>
          <w:highlight w:val="none"/>
          <w14:textFill>
            <w14:solidFill>
              <w14:schemeClr w14:val="tx1"/>
            </w14:solidFill>
          </w14:textFill>
        </w:rPr>
        <w:t>一、项目名称</w:t>
      </w:r>
      <w:r>
        <w:rPr>
          <w:rFonts w:ascii="宋体" w:hAnsi="宋体" w:eastAsia="宋体"/>
          <w:color w:val="000000" w:themeColor="text1"/>
          <w:sz w:val="24"/>
          <w:szCs w:val="24"/>
          <w:highlight w:val="none"/>
          <w14:textFill>
            <w14:solidFill>
              <w14:schemeClr w14:val="tx1"/>
            </w14:solidFill>
          </w14:textFill>
        </w:rPr>
        <w:t xml:space="preserve"> </w:t>
      </w:r>
    </w:p>
    <w:p w14:paraId="74AA1A56">
      <w:pPr>
        <w:spacing w:line="52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栖霞区市政所2025年-2026年（1年）市政绿化提升养护设计服务项目</w:t>
      </w:r>
    </w:p>
    <w:p w14:paraId="66DEFDC5">
      <w:pPr>
        <w:spacing w:line="520" w:lineRule="exact"/>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二、项目概况</w:t>
      </w:r>
    </w:p>
    <w:p w14:paraId="7CD7879D">
      <w:pPr>
        <w:spacing w:line="520" w:lineRule="exact"/>
        <w:ind w:firstLine="480" w:firstLineChars="200"/>
        <w:rPr>
          <w:rFonts w:hint="default" w:ascii="宋体" w:hAnsi="宋体" w:eastAsia="宋体" w:cs="宋体"/>
          <w:color w:val="000000" w:themeColor="text1"/>
          <w:kern w:val="0"/>
          <w:sz w:val="24"/>
          <w:szCs w:val="27"/>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7"/>
          <w:highlight w:val="none"/>
          <w14:textFill>
            <w14:solidFill>
              <w14:schemeClr w14:val="tx1"/>
            </w14:solidFill>
          </w14:textFill>
        </w:rPr>
        <w:t>本项目为</w:t>
      </w:r>
      <w:r>
        <w:rPr>
          <w:rFonts w:hint="eastAsia" w:cs="宋体"/>
          <w:color w:val="000000" w:themeColor="text1"/>
          <w:kern w:val="0"/>
          <w:sz w:val="24"/>
          <w:szCs w:val="27"/>
          <w:highlight w:val="none"/>
          <w:lang w:eastAsia="zh-CN"/>
          <w14:textFill>
            <w14:solidFill>
              <w14:schemeClr w14:val="tx1"/>
            </w14:solidFill>
          </w14:textFill>
        </w:rPr>
        <w:t>市政绿化提升养护</w:t>
      </w:r>
      <w:r>
        <w:rPr>
          <w:rFonts w:hint="eastAsia"/>
          <w:color w:val="000000" w:themeColor="text1"/>
          <w:sz w:val="24"/>
          <w:szCs w:val="24"/>
          <w:highlight w:val="none"/>
          <w:lang w:eastAsia="zh-CN"/>
          <w14:textFill>
            <w14:solidFill>
              <w14:schemeClr w14:val="tx1"/>
            </w14:solidFill>
          </w14:textFill>
        </w:rPr>
        <w:t>设计服务</w:t>
      </w:r>
      <w:r>
        <w:rPr>
          <w:rFonts w:hint="eastAsia" w:ascii="宋体" w:hAnsi="宋体" w:eastAsia="宋体" w:cs="宋体"/>
          <w:color w:val="000000" w:themeColor="text1"/>
          <w:kern w:val="0"/>
          <w:sz w:val="24"/>
          <w:szCs w:val="27"/>
          <w:highlight w:val="none"/>
          <w14:textFill>
            <w14:solidFill>
              <w14:schemeClr w14:val="tx1"/>
            </w14:solidFill>
          </w14:textFill>
        </w:rPr>
        <w:t>，旨在解决</w:t>
      </w:r>
      <w:r>
        <w:rPr>
          <w:rFonts w:hint="eastAsia" w:cs="宋体"/>
          <w:color w:val="000000" w:themeColor="text1"/>
          <w:kern w:val="0"/>
          <w:sz w:val="24"/>
          <w:szCs w:val="27"/>
          <w:highlight w:val="none"/>
          <w:lang w:eastAsia="zh-CN"/>
          <w14:textFill>
            <w14:solidFill>
              <w14:schemeClr w14:val="tx1"/>
            </w14:solidFill>
          </w14:textFill>
        </w:rPr>
        <w:t>管养范围内的道路、水务及绿化设施进行系统性提升及专业化养护</w:t>
      </w:r>
      <w:r>
        <w:rPr>
          <w:rFonts w:hint="eastAsia" w:ascii="宋体" w:hAnsi="宋体" w:eastAsia="宋体" w:cs="宋体"/>
          <w:color w:val="000000" w:themeColor="text1"/>
          <w:kern w:val="0"/>
          <w:sz w:val="24"/>
          <w:szCs w:val="27"/>
          <w:highlight w:val="none"/>
          <w14:textFill>
            <w14:solidFill>
              <w14:schemeClr w14:val="tx1"/>
            </w14:solidFill>
          </w14:textFill>
        </w:rPr>
        <w:t>。项目任务由甲方直接指定，需严格按照指令要求及行业规范实施。</w:t>
      </w:r>
      <w:r>
        <w:rPr>
          <w:rFonts w:hint="eastAsia" w:cs="宋体"/>
          <w:color w:val="000000" w:themeColor="text1"/>
          <w:kern w:val="0"/>
          <w:sz w:val="24"/>
          <w:szCs w:val="27"/>
          <w:highlight w:val="none"/>
          <w:lang w:eastAsia="zh-CN"/>
          <w14:textFill>
            <w14:solidFill>
              <w14:schemeClr w14:val="tx1"/>
            </w14:solidFill>
          </w14:textFill>
        </w:rPr>
        <w:t>本项目工程计费额暂按</w:t>
      </w:r>
      <w:r>
        <w:rPr>
          <w:rFonts w:hint="eastAsia" w:cs="宋体"/>
          <w:color w:val="000000" w:themeColor="text1"/>
          <w:kern w:val="0"/>
          <w:sz w:val="24"/>
          <w:szCs w:val="27"/>
          <w:highlight w:val="none"/>
          <w:lang w:val="en-US" w:eastAsia="zh-CN"/>
          <w14:textFill>
            <w14:solidFill>
              <w14:schemeClr w14:val="tx1"/>
            </w14:solidFill>
          </w14:textFill>
        </w:rPr>
        <w:t>1000万元计取。</w:t>
      </w:r>
    </w:p>
    <w:p w14:paraId="784C2C21">
      <w:pPr>
        <w:spacing w:line="520" w:lineRule="exact"/>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三、设计内容</w:t>
      </w:r>
      <w:r>
        <w:rPr>
          <w:rFonts w:ascii="宋体" w:hAnsi="宋体" w:eastAsia="宋体"/>
          <w:color w:val="000000" w:themeColor="text1"/>
          <w:sz w:val="24"/>
          <w:szCs w:val="24"/>
          <w:highlight w:val="none"/>
          <w14:textFill>
            <w14:solidFill>
              <w14:schemeClr w14:val="tx1"/>
            </w14:solidFill>
          </w14:textFill>
        </w:rPr>
        <w:t xml:space="preserve"> </w:t>
      </w:r>
    </w:p>
    <w:p w14:paraId="6460B760">
      <w:pPr>
        <w:spacing w:line="520" w:lineRule="exact"/>
        <w:ind w:firstLine="480" w:firstLineChars="200"/>
        <w:rPr>
          <w:rFonts w:hint="default" w:ascii="宋体" w:hAnsi="宋体" w:eastAsia="宋体" w:cs="宋体"/>
          <w:color w:val="000000" w:themeColor="text1"/>
          <w:kern w:val="0"/>
          <w:sz w:val="24"/>
          <w:szCs w:val="27"/>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7"/>
          <w:highlight w:val="none"/>
          <w14:textFill>
            <w14:solidFill>
              <w14:schemeClr w14:val="tx1"/>
            </w14:solidFill>
          </w14:textFill>
        </w:rPr>
        <w:t>包括但不限于编制项目方案设计、初步设计、概算编制、施工图设计、配合施工图审查以及全过程设计跟踪等相关设计服务。全过程设计跟踪包括：各阶段招标配合和施工现场配合服务，设计修改、变更、相关专题报告、竣工验收等与项目相关的设计服务工作，工程</w:t>
      </w:r>
      <w:r>
        <w:rPr>
          <w:rFonts w:hint="eastAsia" w:ascii="宋体" w:hAnsi="宋体" w:eastAsia="宋体" w:cs="宋体"/>
          <w:color w:val="000000" w:themeColor="text1"/>
          <w:kern w:val="0"/>
          <w:sz w:val="24"/>
          <w:szCs w:val="27"/>
          <w:highlight w:val="none"/>
          <w:lang w:val="en-US" w:eastAsia="zh-CN"/>
          <w14:textFill>
            <w14:solidFill>
              <w14:schemeClr w14:val="tx1"/>
            </w14:solidFill>
          </w14:textFill>
        </w:rPr>
        <w:t>计费额</w:t>
      </w:r>
      <w:r>
        <w:rPr>
          <w:rFonts w:hint="eastAsia" w:ascii="宋体" w:hAnsi="宋体" w:eastAsia="宋体" w:cs="宋体"/>
          <w:color w:val="000000" w:themeColor="text1"/>
          <w:kern w:val="0"/>
          <w:sz w:val="24"/>
          <w:szCs w:val="27"/>
          <w:highlight w:val="none"/>
          <w14:textFill>
            <w14:solidFill>
              <w14:schemeClr w14:val="tx1"/>
            </w14:solidFill>
          </w14:textFill>
        </w:rPr>
        <w:t>预计</w:t>
      </w:r>
      <w:r>
        <w:rPr>
          <w:rFonts w:hint="eastAsia" w:ascii="宋体" w:hAnsi="宋体" w:eastAsia="宋体" w:cs="宋体"/>
          <w:color w:val="000000" w:themeColor="text1"/>
          <w:kern w:val="0"/>
          <w:sz w:val="24"/>
          <w:szCs w:val="27"/>
          <w:highlight w:val="none"/>
          <w:lang w:val="en-US" w:eastAsia="zh-CN"/>
          <w14:textFill>
            <w14:solidFill>
              <w14:schemeClr w14:val="tx1"/>
            </w14:solidFill>
          </w14:textFill>
        </w:rPr>
        <w:t>约</w:t>
      </w:r>
      <w:r>
        <w:rPr>
          <w:rFonts w:hint="eastAsia" w:ascii="宋体" w:hAnsi="宋体" w:eastAsia="宋体" w:cs="宋体"/>
          <w:color w:val="000000" w:themeColor="text1"/>
          <w:kern w:val="0"/>
          <w:sz w:val="24"/>
          <w:szCs w:val="27"/>
          <w:highlight w:val="none"/>
          <w14:textFill>
            <w14:solidFill>
              <w14:schemeClr w14:val="tx1"/>
            </w14:solidFill>
          </w14:textFill>
        </w:rPr>
        <w:t>1000万元</w:t>
      </w:r>
      <w:r>
        <w:rPr>
          <w:rFonts w:hint="eastAsia" w:ascii="宋体" w:hAnsi="宋体" w:eastAsia="宋体" w:cs="宋体"/>
          <w:color w:val="000000" w:themeColor="text1"/>
          <w:kern w:val="0"/>
          <w:sz w:val="24"/>
          <w:szCs w:val="27"/>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7"/>
          <w:highlight w:val="none"/>
          <w14:textFill>
            <w14:solidFill>
              <w14:schemeClr w14:val="tx1"/>
            </w14:solidFill>
          </w14:textFill>
        </w:rPr>
        <w:t>　</w:t>
      </w:r>
    </w:p>
    <w:p w14:paraId="7CC7ED5F">
      <w:pPr>
        <w:numPr>
          <w:ilvl w:val="0"/>
          <w:numId w:val="1"/>
        </w:numPr>
        <w:spacing w:line="520" w:lineRule="exact"/>
        <w:ind w:firstLine="480" w:firstLineChars="20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设计主要依据</w:t>
      </w:r>
    </w:p>
    <w:p w14:paraId="2ECA6C40">
      <w:pPr>
        <w:numPr>
          <w:ilvl w:val="0"/>
          <w:numId w:val="0"/>
        </w:numPr>
        <w:spacing w:line="52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 xml:space="preserve">为确保项目设计的科学性、规范性和可实施性，设计工作严格遵循以下依据： </w:t>
      </w:r>
    </w:p>
    <w:p w14:paraId="74E6A71D">
      <w:pPr>
        <w:numPr>
          <w:ilvl w:val="0"/>
          <w:numId w:val="2"/>
        </w:numPr>
        <w:spacing w:line="52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符合国家政策法规依据。</w:t>
      </w:r>
    </w:p>
    <w:p w14:paraId="64AEE290">
      <w:pPr>
        <w:numPr>
          <w:ilvl w:val="0"/>
          <w:numId w:val="2"/>
        </w:numPr>
        <w:spacing w:line="52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符合技术规范与标准，包括但不限于《城镇道路养护技术规范》 (CJJ36-2016)、《城市桥梁养护技术标准》 (CJJ99-2017）、《城市桥梁检测与评定技术规范》(CJJ/T233-2015) 增加绿化、管道相关养护规范标准等相关技术规范。</w:t>
      </w:r>
    </w:p>
    <w:p w14:paraId="6D5D6AB8">
      <w:pPr>
        <w:tabs>
          <w:tab w:val="left" w:pos="567"/>
        </w:tabs>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3、依照</w:t>
      </w:r>
      <w:r>
        <w:rPr>
          <w:rFonts w:hint="default" w:ascii="宋体" w:hAnsi="宋体" w:eastAsia="宋体" w:cs="宋体"/>
          <w:color w:val="000000" w:themeColor="text1"/>
          <w:sz w:val="24"/>
          <w:szCs w:val="24"/>
          <w:highlight w:val="none"/>
          <w:lang w:val="en-US" w:eastAsia="zh-CN"/>
          <w14:textFill>
            <w14:solidFill>
              <w14:schemeClr w14:val="tx1"/>
            </w14:solidFill>
          </w14:textFill>
        </w:rPr>
        <w:t>甲方指令性</w:t>
      </w:r>
      <w:r>
        <w:rPr>
          <w:rFonts w:hint="eastAsia" w:ascii="宋体" w:hAnsi="宋体" w:eastAsia="宋体" w:cs="宋体"/>
          <w:color w:val="000000" w:themeColor="text1"/>
          <w:sz w:val="24"/>
          <w:szCs w:val="24"/>
          <w:highlight w:val="none"/>
          <w:lang w:val="en-US" w:eastAsia="zh-CN"/>
          <w14:textFill>
            <w14:solidFill>
              <w14:schemeClr w14:val="tx1"/>
            </w14:solidFill>
          </w14:textFill>
        </w:rPr>
        <w:t>任务，中标方需无条件执行甲方要求的合理变更。</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516F04C0">
      <w:pPr>
        <w:spacing w:line="520" w:lineRule="exact"/>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五、设计具体要求</w:t>
      </w:r>
      <w:r>
        <w:rPr>
          <w:rFonts w:ascii="宋体" w:hAnsi="宋体" w:eastAsia="宋体"/>
          <w:color w:val="000000" w:themeColor="text1"/>
          <w:sz w:val="24"/>
          <w:szCs w:val="24"/>
          <w:highlight w:val="none"/>
          <w14:textFill>
            <w14:solidFill>
              <w14:schemeClr w14:val="tx1"/>
            </w14:solidFill>
          </w14:textFill>
        </w:rPr>
        <w:t xml:space="preserve"> </w:t>
      </w:r>
    </w:p>
    <w:p w14:paraId="1B4D1064">
      <w:pPr>
        <w:widowControl/>
        <w:adjustRightInd w:val="0"/>
        <w:snapToGrid w:val="0"/>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、加强对道路现状的调查、分析，提出针对性的解决方案，明确本工程的目的。</w:t>
      </w:r>
      <w:r>
        <w:rPr>
          <w:rFonts w:ascii="宋体" w:hAnsi="宋体" w:eastAsia="宋体"/>
          <w:color w:val="000000" w:themeColor="text1"/>
          <w:sz w:val="24"/>
          <w:szCs w:val="24"/>
          <w:highlight w:val="none"/>
          <w14:textFill>
            <w14:solidFill>
              <w14:schemeClr w14:val="tx1"/>
            </w14:solidFill>
          </w14:textFill>
        </w:rPr>
        <w:t xml:space="preserve"> </w:t>
      </w:r>
    </w:p>
    <w:p w14:paraId="7E2A2787">
      <w:pPr>
        <w:widowControl/>
        <w:adjustRightInd w:val="0"/>
        <w:snapToGrid w:val="0"/>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2、方案</w:t>
      </w:r>
      <w:r>
        <w:rPr>
          <w:rFonts w:ascii="宋体" w:hAnsi="宋体" w:eastAsia="宋体"/>
          <w:color w:val="000000" w:themeColor="text1"/>
          <w:sz w:val="24"/>
          <w:szCs w:val="24"/>
          <w:highlight w:val="none"/>
          <w14:textFill>
            <w14:solidFill>
              <w14:schemeClr w14:val="tx1"/>
            </w14:solidFill>
          </w14:textFill>
        </w:rPr>
        <w:t>应</w:t>
      </w:r>
      <w:r>
        <w:rPr>
          <w:rFonts w:hint="eastAsia" w:ascii="宋体" w:hAnsi="宋体" w:eastAsia="宋体"/>
          <w:color w:val="000000" w:themeColor="text1"/>
          <w:sz w:val="24"/>
          <w:szCs w:val="24"/>
          <w:highlight w:val="none"/>
          <w14:textFill>
            <w14:solidFill>
              <w14:schemeClr w14:val="tx1"/>
            </w14:solidFill>
          </w14:textFill>
        </w:rPr>
        <w:t>根据实际情况</w:t>
      </w:r>
      <w:r>
        <w:rPr>
          <w:rFonts w:ascii="宋体" w:hAnsi="宋体" w:eastAsia="宋体"/>
          <w:color w:val="000000" w:themeColor="text1"/>
          <w:sz w:val="24"/>
          <w:szCs w:val="24"/>
          <w:highlight w:val="none"/>
          <w14:textFill>
            <w14:solidFill>
              <w14:schemeClr w14:val="tx1"/>
            </w14:solidFill>
          </w14:textFill>
        </w:rPr>
        <w:t>，即能满足交通出行需要，同时也满足景观要求。</w:t>
      </w:r>
    </w:p>
    <w:p w14:paraId="3872162D">
      <w:pPr>
        <w:widowControl/>
        <w:adjustRightInd w:val="0"/>
        <w:snapToGrid w:val="0"/>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景观绿化和附属设施设计应精致</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美观，与地区总体规划设计相协调。</w:t>
      </w:r>
    </w:p>
    <w:p w14:paraId="6004B098">
      <w:pPr>
        <w:widowControl/>
        <w:adjustRightInd w:val="0"/>
        <w:snapToGrid w:val="0"/>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在</w:t>
      </w:r>
      <w:r>
        <w:rPr>
          <w:rFonts w:hint="eastAsia" w:ascii="宋体" w:hAnsi="宋体" w:eastAsia="宋体"/>
          <w:color w:val="000000" w:themeColor="text1"/>
          <w:sz w:val="24"/>
          <w:szCs w:val="24"/>
          <w:highlight w:val="none"/>
          <w14:textFill>
            <w14:solidFill>
              <w14:schemeClr w14:val="tx1"/>
            </w14:solidFill>
          </w14:textFill>
        </w:rPr>
        <w:t>尊重现状</w:t>
      </w:r>
      <w:r>
        <w:rPr>
          <w:rFonts w:ascii="宋体" w:hAnsi="宋体" w:eastAsia="宋体"/>
          <w:color w:val="000000" w:themeColor="text1"/>
          <w:sz w:val="24"/>
          <w:szCs w:val="24"/>
          <w:highlight w:val="none"/>
          <w14:textFill>
            <w14:solidFill>
              <w14:schemeClr w14:val="tx1"/>
            </w14:solidFill>
          </w14:textFill>
        </w:rPr>
        <w:t>的基础上，</w:t>
      </w:r>
      <w:r>
        <w:rPr>
          <w:rFonts w:hint="eastAsia" w:ascii="宋体" w:hAnsi="宋体" w:eastAsia="宋体"/>
          <w:color w:val="000000" w:themeColor="text1"/>
          <w:sz w:val="24"/>
          <w:szCs w:val="24"/>
          <w:highlight w:val="none"/>
          <w14:textFill>
            <w14:solidFill>
              <w14:schemeClr w14:val="tx1"/>
            </w14:solidFill>
          </w14:textFill>
        </w:rPr>
        <w:t>创意、空间处理合理，和谐美观，保证功能和形式统一。</w:t>
      </w:r>
      <w:r>
        <w:rPr>
          <w:rFonts w:ascii="宋体" w:hAnsi="宋体" w:eastAsia="宋体"/>
          <w:color w:val="000000" w:themeColor="text1"/>
          <w:sz w:val="24"/>
          <w:szCs w:val="24"/>
          <w:highlight w:val="none"/>
          <w14:textFill>
            <w14:solidFill>
              <w14:schemeClr w14:val="tx1"/>
            </w14:solidFill>
          </w14:textFill>
        </w:rPr>
        <w:t xml:space="preserve"> </w:t>
      </w:r>
    </w:p>
    <w:p w14:paraId="03063EC8">
      <w:pPr>
        <w:widowControl/>
        <w:adjustRightInd w:val="0"/>
        <w:snapToGrid w:val="0"/>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5</w:t>
      </w:r>
      <w:r>
        <w:rPr>
          <w:rFonts w:hint="eastAsia" w:ascii="宋体" w:hAnsi="宋体" w:eastAsia="宋体"/>
          <w:color w:val="000000" w:themeColor="text1"/>
          <w:sz w:val="24"/>
          <w:szCs w:val="24"/>
          <w:highlight w:val="none"/>
          <w14:textFill>
            <w14:solidFill>
              <w14:schemeClr w14:val="tx1"/>
            </w14:solidFill>
          </w14:textFill>
        </w:rPr>
        <w:t>、根据国家、省、市政策文件要求，有选择地合理开展海绵城市设计。</w:t>
      </w:r>
      <w:r>
        <w:rPr>
          <w:rFonts w:ascii="宋体" w:hAnsi="宋体" w:eastAsia="宋体"/>
          <w:color w:val="000000" w:themeColor="text1"/>
          <w:sz w:val="24"/>
          <w:szCs w:val="24"/>
          <w:highlight w:val="none"/>
          <w14:textFill>
            <w14:solidFill>
              <w14:schemeClr w14:val="tx1"/>
            </w14:solidFill>
          </w14:textFill>
        </w:rPr>
        <w:t xml:space="preserve"> </w:t>
      </w:r>
    </w:p>
    <w:p w14:paraId="087C38CC">
      <w:pPr>
        <w:widowControl/>
        <w:adjustRightInd w:val="0"/>
        <w:snapToGrid w:val="0"/>
        <w:spacing w:line="360" w:lineRule="auto"/>
        <w:ind w:firstLine="480" w:firstLineChars="200"/>
        <w:jc w:val="left"/>
        <w:rPr>
          <w:color w:val="000000" w:themeColor="text1"/>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6</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根据设计成果，编制工程</w:t>
      </w:r>
      <w:r>
        <w:rPr>
          <w:rFonts w:hint="eastAsia" w:ascii="宋体" w:hAnsi="宋体" w:eastAsia="宋体"/>
          <w:color w:val="000000" w:themeColor="text1"/>
          <w:sz w:val="24"/>
          <w:szCs w:val="24"/>
          <w:highlight w:val="none"/>
          <w14:textFill>
            <w14:solidFill>
              <w14:schemeClr w14:val="tx1"/>
            </w14:solidFill>
          </w14:textFill>
        </w:rPr>
        <w:t>概预算。</w:t>
      </w:r>
    </w:p>
    <w:p w14:paraId="48302704">
      <w:pPr>
        <w:widowControl/>
        <w:adjustRightInd w:val="0"/>
        <w:snapToGrid w:val="0"/>
        <w:spacing w:line="360" w:lineRule="auto"/>
        <w:ind w:firstLine="480" w:firstLineChars="20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7.设计过程中如若涉及相关检测内容，供应商按需开展检测，确保设计成果真实性合理性，该费用包含在投标报价中。</w:t>
      </w:r>
    </w:p>
    <w:p w14:paraId="4389FDB5">
      <w:pPr>
        <w:widowControl/>
        <w:adjustRightInd w:val="0"/>
        <w:snapToGrid w:val="0"/>
        <w:spacing w:line="360" w:lineRule="auto"/>
        <w:ind w:firstLine="480" w:firstLineChars="20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8.设计服务过程中需综合考虑经济性，持续性，确保成果文件符合相关规定及采购人要求。</w:t>
      </w:r>
    </w:p>
    <w:p w14:paraId="2B68D4D6">
      <w:pPr>
        <w:spacing w:line="520" w:lineRule="exact"/>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六、成果要求</w:t>
      </w:r>
    </w:p>
    <w:p w14:paraId="5442C802">
      <w:pPr>
        <w:spacing w:line="520" w:lineRule="exact"/>
        <w:ind w:firstLine="480" w:firstLineChars="20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、规划设计成果文件必须按照国家现行行业规范、规定等要求进行各阶段文件编制。</w:t>
      </w:r>
    </w:p>
    <w:p w14:paraId="6406693C">
      <w:pPr>
        <w:spacing w:line="520" w:lineRule="exact"/>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2、设计成果必须符合设计任务书提出的有关设计原则、设计要求等方面的约定。</w:t>
      </w:r>
    </w:p>
    <w:p w14:paraId="58B004DA">
      <w:pPr>
        <w:spacing w:line="520" w:lineRule="exact"/>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3、按要求提供方案设计文本8套、初步设计文件</w:t>
      </w:r>
      <w:r>
        <w:rPr>
          <w:rFonts w:ascii="宋体" w:hAnsi="宋体" w:eastAsia="宋体"/>
          <w:color w:val="000000" w:themeColor="text1"/>
          <w:sz w:val="24"/>
          <w:szCs w:val="24"/>
          <w:highlight w:val="none"/>
          <w14:textFill>
            <w14:solidFill>
              <w14:schemeClr w14:val="tx1"/>
            </w14:solidFill>
          </w14:textFill>
        </w:rPr>
        <w:t>8</w:t>
      </w:r>
      <w:r>
        <w:rPr>
          <w:rFonts w:hint="eastAsia" w:ascii="宋体" w:hAnsi="宋体" w:eastAsia="宋体"/>
          <w:color w:val="000000" w:themeColor="text1"/>
          <w:sz w:val="24"/>
          <w:szCs w:val="24"/>
          <w:highlight w:val="none"/>
          <w14:textFill>
            <w14:solidFill>
              <w14:schemeClr w14:val="tx1"/>
            </w14:solidFill>
          </w14:textFill>
        </w:rPr>
        <w:t>套、施工图设计蓝图8套。图纸和文本文件须清晰完整，尺寸标注齐全准确。</w:t>
      </w:r>
    </w:p>
    <w:p w14:paraId="4B2244EC">
      <w:pPr>
        <w:spacing w:line="520" w:lineRule="exact"/>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4、电子版文件要求按</w:t>
      </w:r>
      <w:r>
        <w:rPr>
          <w:rFonts w:ascii="宋体" w:hAnsi="宋体" w:eastAsia="宋体"/>
          <w:color w:val="000000" w:themeColor="text1"/>
          <w:sz w:val="24"/>
          <w:szCs w:val="24"/>
          <w:highlight w:val="none"/>
          <w14:textFill>
            <w14:solidFill>
              <w14:schemeClr w14:val="tx1"/>
            </w14:solidFill>
          </w14:textFill>
        </w:rPr>
        <w:t>AUTOCAD</w:t>
      </w:r>
      <w:r>
        <w:rPr>
          <w:rFonts w:hint="eastAsia" w:ascii="宋体" w:hAnsi="宋体" w:eastAsia="宋体"/>
          <w:color w:val="000000" w:themeColor="text1"/>
          <w:sz w:val="24"/>
          <w:szCs w:val="24"/>
          <w:highlight w:val="none"/>
          <w14:textFill>
            <w14:solidFill>
              <w14:schemeClr w14:val="tx1"/>
            </w14:solidFill>
          </w14:textFill>
        </w:rPr>
        <w:t>（图纸）+Office（文本）版</w:t>
      </w:r>
      <w:r>
        <w:rPr>
          <w:rFonts w:hint="eastAsia" w:ascii="宋体" w:hAnsi="宋体" w:eastAsia="宋体"/>
          <w:color w:val="000000" w:themeColor="text1"/>
          <w:sz w:val="24"/>
          <w:szCs w:val="24"/>
          <w:highlight w:val="none"/>
          <w:lang w:val="en-US" w:eastAsia="zh-CN"/>
          <w14:textFill>
            <w14:solidFill>
              <w14:schemeClr w14:val="tx1"/>
            </w14:solidFill>
          </w14:textFill>
        </w:rPr>
        <w:t>或</w:t>
      </w:r>
      <w:r>
        <w:rPr>
          <w:rFonts w:hint="eastAsia" w:ascii="宋体" w:hAnsi="宋体" w:eastAsia="宋体"/>
          <w:color w:val="000000" w:themeColor="text1"/>
          <w:sz w:val="24"/>
          <w:szCs w:val="24"/>
          <w:highlight w:val="none"/>
          <w14:textFill>
            <w14:solidFill>
              <w14:schemeClr w14:val="tx1"/>
            </w14:solidFill>
          </w14:textFill>
        </w:rPr>
        <w:t>pdf版两种版式进行归档，并与纸质文件内容完全一致；电子版文件与纸质文件不一致时，以纸质文件正本为准。</w:t>
      </w:r>
    </w:p>
    <w:p w14:paraId="2985BA3A">
      <w:pPr>
        <w:spacing w:line="520" w:lineRule="exact"/>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5、所有文件和往来信件均以中文书写，辅助材料及证明材料以中文说明为准。</w:t>
      </w:r>
    </w:p>
    <w:p w14:paraId="53196383">
      <w:pPr>
        <w:spacing w:line="520" w:lineRule="exact"/>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6、所有文件使用的计量单位均使用中华人民共和国法定计量单位。</w:t>
      </w:r>
    </w:p>
    <w:p w14:paraId="580BFFF3">
      <w:pPr>
        <w:spacing w:line="520" w:lineRule="exact"/>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7、本项目成果文件交付节点由采购人按照各项目特点具体安排，供应商需无条件按进度要求执行。</w:t>
      </w:r>
    </w:p>
    <w:p w14:paraId="6572D579">
      <w:pPr>
        <w:spacing w:line="520" w:lineRule="exact"/>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w:t>
      </w:r>
      <w:r>
        <w:rPr>
          <w:rFonts w:hint="eastAsia" w:ascii="宋体" w:hAnsi="宋体" w:eastAsia="宋体"/>
          <w:color w:val="000000" w:themeColor="text1"/>
          <w:sz w:val="24"/>
          <w:szCs w:val="24"/>
          <w:highlight w:val="none"/>
          <w14:textFill>
            <w14:solidFill>
              <w14:schemeClr w14:val="tx1"/>
            </w14:solidFill>
          </w14:textFill>
        </w:rPr>
        <w:t>、所有文件统一以人民币作为结算货币。涉及估算、概算等相关取费标准，原则上要求符合国家、江苏省、南京市的相关定额，并结合南京市场价格进行编制。</w:t>
      </w:r>
    </w:p>
    <w:p w14:paraId="54A0F6FB">
      <w:pPr>
        <w:keepNext w:val="0"/>
        <w:keepLines w:val="0"/>
        <w:pageBreakBefore w:val="0"/>
        <w:widowControl w:val="0"/>
        <w:kinsoku/>
        <w:wordWrap/>
        <w:overflowPunct/>
        <w:topLinePunct w:val="0"/>
        <w:autoSpaceDE w:val="0"/>
        <w:autoSpaceDN w:val="0"/>
        <w:bidi w:val="0"/>
        <w:adjustRightInd/>
        <w:snapToGrid/>
        <w:spacing w:after="0" w:line="360" w:lineRule="auto"/>
        <w:ind w:firstLine="48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cs="宋体"/>
          <w:b/>
          <w:bCs/>
          <w:color w:val="000000" w:themeColor="text1"/>
          <w:highlight w:val="none"/>
          <w:lang w:val="en-US" w:eastAsia="zh-CN"/>
          <w14:textFill>
            <w14:solidFill>
              <w14:schemeClr w14:val="tx1"/>
            </w14:solidFill>
          </w14:textFill>
        </w:rPr>
        <w:t>五</w:t>
      </w:r>
      <w:r>
        <w:rPr>
          <w:rFonts w:hint="eastAsia" w:ascii="宋体" w:hAnsi="宋体" w:eastAsia="宋体" w:cs="宋体"/>
          <w:b/>
          <w:bCs/>
          <w:color w:val="000000" w:themeColor="text1"/>
          <w:highlight w:val="none"/>
          <w14:textFill>
            <w14:solidFill>
              <w14:schemeClr w14:val="tx1"/>
            </w14:solidFill>
          </w14:textFill>
        </w:rPr>
        <w:t>、服务期限</w:t>
      </w:r>
    </w:p>
    <w:p w14:paraId="5BD071A1">
      <w:pPr>
        <w:keepNext w:val="0"/>
        <w:keepLines w:val="0"/>
        <w:pageBreakBefore w:val="0"/>
        <w:widowControl w:val="0"/>
        <w:kinsoku/>
        <w:wordWrap/>
        <w:overflowPunct/>
        <w:topLinePunct w:val="0"/>
        <w:autoSpaceDE w:val="0"/>
        <w:autoSpaceDN w:val="0"/>
        <w:bidi w:val="0"/>
        <w:adjustRightInd/>
        <w:snapToGrid/>
        <w:spacing w:after="0" w:line="360" w:lineRule="auto"/>
        <w:ind w:firstLine="480"/>
        <w:textAlignment w:val="auto"/>
        <w:rPr>
          <w:rFonts w:hint="eastAsia"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服务期：</w:t>
      </w:r>
      <w:r>
        <w:rPr>
          <w:rFonts w:hint="eastAsia" w:cs="宋体"/>
          <w:color w:val="000000" w:themeColor="text1"/>
          <w:highlight w:val="none"/>
          <w:lang w:eastAsia="zh-CN"/>
          <w14:textFill>
            <w14:solidFill>
              <w14:schemeClr w14:val="tx1"/>
            </w14:solidFill>
          </w14:textFill>
        </w:rPr>
        <w:t>自合同签订之日起一年</w:t>
      </w:r>
    </w:p>
    <w:p w14:paraId="5D9DFF21">
      <w:pPr>
        <w:keepNext w:val="0"/>
        <w:keepLines w:val="0"/>
        <w:pageBreakBefore w:val="0"/>
        <w:widowControl w:val="0"/>
        <w:kinsoku/>
        <w:wordWrap/>
        <w:overflowPunct/>
        <w:topLinePunct w:val="0"/>
        <w:autoSpaceDE w:val="0"/>
        <w:autoSpaceDN w:val="0"/>
        <w:bidi w:val="0"/>
        <w:adjustRightInd/>
        <w:snapToGrid/>
        <w:spacing w:after="0" w:line="360" w:lineRule="auto"/>
        <w:ind w:firstLine="48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cs="宋体"/>
          <w:b/>
          <w:bCs/>
          <w:color w:val="000000" w:themeColor="text1"/>
          <w:highlight w:val="none"/>
          <w:lang w:val="en-US" w:eastAsia="zh-CN"/>
          <w14:textFill>
            <w14:solidFill>
              <w14:schemeClr w14:val="tx1"/>
            </w14:solidFill>
          </w14:textFill>
        </w:rPr>
        <w:t>六</w:t>
      </w:r>
      <w:r>
        <w:rPr>
          <w:rFonts w:hint="eastAsia" w:ascii="宋体" w:hAnsi="宋体" w:eastAsia="宋体" w:cs="宋体"/>
          <w:b/>
          <w:bCs/>
          <w:color w:val="000000" w:themeColor="text1"/>
          <w:highlight w:val="none"/>
          <w14:textFill>
            <w14:solidFill>
              <w14:schemeClr w14:val="tx1"/>
            </w14:solidFill>
          </w14:textFill>
        </w:rPr>
        <w:t>、付款方式</w:t>
      </w:r>
    </w:p>
    <w:p w14:paraId="1122F641">
      <w:pPr>
        <w:keepNext w:val="0"/>
        <w:keepLines w:val="0"/>
        <w:pageBreakBefore w:val="0"/>
        <w:widowControl w:val="0"/>
        <w:kinsoku/>
        <w:wordWrap/>
        <w:overflowPunct/>
        <w:topLinePunct w:val="0"/>
        <w:autoSpaceDE w:val="0"/>
        <w:autoSpaceDN w:val="0"/>
        <w:bidi w:val="0"/>
        <w:adjustRightInd/>
        <w:snapToGrid/>
        <w:spacing w:after="0" w:line="360" w:lineRule="auto"/>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Times New Roman" w:hAnsi="Times New Roman" w:cs="Times New Roman"/>
          <w:color w:val="000000" w:themeColor="text1"/>
          <w:szCs w:val="21"/>
          <w:highlight w:val="none"/>
          <w:lang w:eastAsia="zh-CN"/>
          <w14:textFill>
            <w14:solidFill>
              <w14:schemeClr w14:val="tx1"/>
            </w14:solidFill>
          </w14:textFill>
        </w:rPr>
        <w:t>按实结算，每半年</w:t>
      </w:r>
      <w:r>
        <w:rPr>
          <w:rFonts w:hint="eastAsia" w:ascii="Times New Roman" w:hAnsi="Times New Roman" w:cs="Times New Roman"/>
          <w:color w:val="000000" w:themeColor="text1"/>
          <w:szCs w:val="21"/>
          <w:highlight w:val="none"/>
          <w14:textFill>
            <w14:solidFill>
              <w14:schemeClr w14:val="tx1"/>
            </w14:solidFill>
          </w14:textFill>
        </w:rPr>
        <w:t>支付</w:t>
      </w:r>
      <w:r>
        <w:rPr>
          <w:rFonts w:hint="eastAsia" w:ascii="Times New Roman" w:hAnsi="Times New Roman" w:cs="Times New Roman"/>
          <w:color w:val="000000" w:themeColor="text1"/>
          <w:szCs w:val="21"/>
          <w:highlight w:val="none"/>
          <w:lang w:eastAsia="zh-CN"/>
          <w14:textFill>
            <w14:solidFill>
              <w14:schemeClr w14:val="tx1"/>
            </w14:solidFill>
          </w14:textFill>
        </w:rPr>
        <w:t>一次，经双方确认后支付已完工作量设计费。</w:t>
      </w:r>
    </w:p>
    <w:bookmarkEnd w:id="36"/>
    <w:bookmarkEnd w:id="37"/>
    <w:bookmarkEnd w:id="38"/>
    <w:p w14:paraId="646735B2">
      <w:pPr>
        <w:ind w:firstLine="482"/>
        <w:rPr>
          <w:rFonts w:hint="eastAsia" w:ascii="宋体" w:hAnsi="宋体" w:eastAsia="宋体" w:cs="宋体"/>
          <w:b/>
          <w:bCs/>
          <w:color w:val="000000" w:themeColor="text1"/>
          <w:highlight w:val="none"/>
          <w14:textFill>
            <w14:solidFill>
              <w14:schemeClr w14:val="tx1"/>
            </w14:solidFill>
          </w14:textFill>
        </w:rPr>
      </w:pPr>
    </w:p>
    <w:p w14:paraId="73CE1BC8">
      <w:pPr>
        <w:pStyle w:val="41"/>
        <w:jc w:val="left"/>
        <w:rPr>
          <w:rFonts w:hint="default"/>
          <w:b/>
          <w:bCs/>
          <w:color w:val="000000" w:themeColor="text1"/>
          <w:sz w:val="32"/>
          <w:szCs w:val="32"/>
          <w:highlight w:val="none"/>
          <w:lang w:val="en-US" w:eastAsia="zh-CN"/>
          <w14:textFill>
            <w14:solidFill>
              <w14:schemeClr w14:val="tx1"/>
            </w14:solidFill>
          </w14:textFill>
        </w:rPr>
      </w:pPr>
      <w:r>
        <w:rPr>
          <w:rFonts w:hint="eastAsia"/>
          <w:b/>
          <w:bCs/>
          <w:color w:val="000000" w:themeColor="text1"/>
          <w:sz w:val="32"/>
          <w:szCs w:val="32"/>
          <w:highlight w:val="none"/>
          <w:lang w:val="en-US" w:eastAsia="zh-CN"/>
          <w14:textFill>
            <w14:solidFill>
              <w14:schemeClr w14:val="tx1"/>
            </w14:solidFill>
          </w14:textFill>
        </w:rPr>
        <w:t>本章（第四章）均为实质性要求，投标供应商需在偏离表中进行响应，否则按废标处理。</w:t>
      </w:r>
    </w:p>
    <w:p w14:paraId="55F45C8D">
      <w:pPr>
        <w:rPr>
          <w:rFonts w:hint="eastAsia" w:ascii="Calibri" w:hAnsi="Times New Roman" w:eastAsia="宋体" w:cs="Times New Roman"/>
          <w:b/>
          <w:bCs/>
          <w:color w:val="000000" w:themeColor="text1"/>
          <w:kern w:val="0"/>
          <w:sz w:val="20"/>
          <w:szCs w:val="24"/>
          <w:highlight w:val="none"/>
          <w:lang w:val="en-US" w:eastAsia="zh-CN" w:bidi="ar-SA"/>
          <w14:textFill>
            <w14:solidFill>
              <w14:schemeClr w14:val="tx1"/>
            </w14:solidFill>
          </w14:textFill>
        </w:rPr>
      </w:pPr>
      <w:r>
        <w:rPr>
          <w:rFonts w:hint="eastAsia" w:ascii="Calibri" w:hAnsi="Times New Roman" w:eastAsia="宋体" w:cs="Times New Roman"/>
          <w:b/>
          <w:bCs/>
          <w:color w:val="000000" w:themeColor="text1"/>
          <w:kern w:val="0"/>
          <w:sz w:val="20"/>
          <w:szCs w:val="24"/>
          <w:highlight w:val="none"/>
          <w:lang w:val="en-US" w:eastAsia="zh-CN" w:bidi="ar-SA"/>
          <w14:textFill>
            <w14:solidFill>
              <w14:schemeClr w14:val="tx1"/>
            </w14:solidFill>
          </w14:textFill>
        </w:rPr>
        <w:br w:type="page"/>
      </w:r>
    </w:p>
    <w:p w14:paraId="02F20455">
      <w:pPr>
        <w:pStyle w:val="2"/>
        <w:rPr>
          <w:rFonts w:hint="eastAsia" w:ascii="宋体" w:hAnsi="宋体" w:eastAsia="宋体" w:cs="宋体"/>
          <w:color w:val="000000" w:themeColor="text1"/>
          <w:highlight w:val="none"/>
          <w14:textFill>
            <w14:solidFill>
              <w14:schemeClr w14:val="tx1"/>
            </w14:solidFill>
          </w14:textFill>
        </w:rPr>
      </w:pPr>
      <w:bookmarkStart w:id="39" w:name="OLE_LINK3"/>
      <w:r>
        <w:rPr>
          <w:rFonts w:hint="eastAsia" w:ascii="宋体" w:hAnsi="宋体" w:eastAsia="宋体" w:cs="宋体"/>
          <w:color w:val="000000" w:themeColor="text1"/>
          <w:highlight w:val="none"/>
          <w14:textFill>
            <w14:solidFill>
              <w14:schemeClr w14:val="tx1"/>
            </w14:solidFill>
          </w14:textFill>
        </w:rPr>
        <w:t>第五章  合同主要条款及格式</w:t>
      </w:r>
    </w:p>
    <w:p w14:paraId="199CD7C5">
      <w:pPr>
        <w:ind w:firstLine="480"/>
        <w:rPr>
          <w:rFonts w:hint="eastAsia" w:ascii="宋体" w:hAnsi="宋体" w:eastAsia="宋体" w:cs="宋体"/>
          <w:color w:val="000000" w:themeColor="text1"/>
          <w:highlight w:val="none"/>
          <w14:textFill>
            <w14:solidFill>
              <w14:schemeClr w14:val="tx1"/>
            </w14:solidFill>
          </w14:textFill>
        </w:rPr>
      </w:pPr>
      <w:bookmarkStart w:id="40" w:name="_Toc20823315"/>
      <w:bookmarkStart w:id="41" w:name="_Toc16938559"/>
      <w:bookmarkStart w:id="42" w:name="_Toc513029243"/>
      <w:r>
        <w:rPr>
          <w:rFonts w:hint="eastAsia" w:ascii="宋体" w:hAnsi="宋体" w:eastAsia="宋体" w:cs="宋体"/>
          <w:color w:val="000000" w:themeColor="text1"/>
          <w:highlight w:val="none"/>
          <w14:textFill>
            <w14:solidFill>
              <w14:schemeClr w14:val="tx1"/>
            </w14:solidFill>
          </w14:textFill>
        </w:rPr>
        <w:t>以下为中标后签订本项目合同的通用条款，中标人不得提出实质性的修改，关于专用条款将由采购人与中标人结合本项目具体情况协商后签订。</w:t>
      </w:r>
    </w:p>
    <w:bookmarkEnd w:id="39"/>
    <w:bookmarkEnd w:id="40"/>
    <w:bookmarkEnd w:id="41"/>
    <w:bookmarkEnd w:id="42"/>
    <w:p w14:paraId="03465143">
      <w:pPr>
        <w:spacing w:line="360" w:lineRule="auto"/>
        <w:jc w:val="center"/>
        <w:rPr>
          <w:color w:val="000000" w:themeColor="text1"/>
          <w:sz w:val="52"/>
          <w:szCs w:val="52"/>
          <w:highlight w:val="none"/>
          <w14:textFill>
            <w14:solidFill>
              <w14:schemeClr w14:val="tx1"/>
            </w14:solidFill>
          </w14:textFill>
        </w:rPr>
      </w:pPr>
      <w:bookmarkStart w:id="43" w:name="_Hlt16619369"/>
      <w:bookmarkEnd w:id="43"/>
      <w:r>
        <w:rPr>
          <w:b/>
          <w:bCs/>
          <w:color w:val="000000" w:themeColor="text1"/>
          <w:spacing w:val="-7"/>
          <w:sz w:val="52"/>
          <w:szCs w:val="52"/>
          <w:highlight w:val="none"/>
          <w14:textFill>
            <w14:solidFill>
              <w14:schemeClr w14:val="tx1"/>
            </w14:solidFill>
          </w14:textFill>
        </w:rPr>
        <w:t>建设工程设计合同</w:t>
      </w:r>
    </w:p>
    <w:p w14:paraId="2FCCE335">
      <w:pPr>
        <w:pStyle w:val="13"/>
        <w:ind w:firstLine="480"/>
        <w:rPr>
          <w:color w:val="000000" w:themeColor="text1"/>
          <w:highlight w:val="none"/>
          <w14:textFill>
            <w14:solidFill>
              <w14:schemeClr w14:val="tx1"/>
            </w14:solidFill>
          </w14:textFill>
        </w:rPr>
      </w:pPr>
    </w:p>
    <w:p w14:paraId="63997D52">
      <w:pPr>
        <w:pStyle w:val="13"/>
        <w:ind w:firstLine="480"/>
        <w:rPr>
          <w:color w:val="000000" w:themeColor="text1"/>
          <w:highlight w:val="none"/>
          <w14:textFill>
            <w14:solidFill>
              <w14:schemeClr w14:val="tx1"/>
            </w14:solidFill>
          </w14:textFill>
        </w:rPr>
      </w:pPr>
    </w:p>
    <w:p w14:paraId="79E77501">
      <w:pPr>
        <w:pStyle w:val="13"/>
        <w:spacing w:line="241" w:lineRule="auto"/>
        <w:ind w:firstLine="0" w:firstLineChars="0"/>
        <w:rPr>
          <w:color w:val="000000" w:themeColor="text1"/>
          <w:highlight w:val="none"/>
          <w14:textFill>
            <w14:solidFill>
              <w14:schemeClr w14:val="tx1"/>
            </w14:solidFill>
          </w14:textFill>
        </w:rPr>
      </w:pPr>
    </w:p>
    <w:p w14:paraId="3EE5A580">
      <w:pPr>
        <w:pStyle w:val="13"/>
        <w:spacing w:line="241" w:lineRule="auto"/>
        <w:ind w:firstLine="480"/>
        <w:rPr>
          <w:color w:val="000000" w:themeColor="text1"/>
          <w:highlight w:val="none"/>
          <w14:textFill>
            <w14:solidFill>
              <w14:schemeClr w14:val="tx1"/>
            </w14:solidFill>
          </w14:textFill>
        </w:rPr>
      </w:pPr>
    </w:p>
    <w:p w14:paraId="284C52EB">
      <w:pPr>
        <w:spacing w:before="101" w:line="226" w:lineRule="auto"/>
        <w:ind w:left="925"/>
        <w:rPr>
          <w:color w:val="000000" w:themeColor="text1"/>
          <w:sz w:val="31"/>
          <w:szCs w:val="31"/>
          <w:highlight w:val="none"/>
          <w14:textFill>
            <w14:solidFill>
              <w14:schemeClr w14:val="tx1"/>
            </w14:solidFill>
          </w14:textFill>
        </w:rPr>
      </w:pPr>
      <w:r>
        <w:rPr>
          <w:color w:val="000000" w:themeColor="text1"/>
          <w:spacing w:val="-3"/>
          <w:sz w:val="31"/>
          <w:szCs w:val="31"/>
          <w:highlight w:val="none"/>
          <w14:textFill>
            <w14:solidFill>
              <w14:schemeClr w14:val="tx1"/>
            </w14:solidFill>
          </w14:textFill>
        </w:rPr>
        <w:t>工程名称：</w:t>
      </w:r>
    </w:p>
    <w:p w14:paraId="3EF3A2A6">
      <w:pPr>
        <w:spacing w:before="201" w:line="226" w:lineRule="auto"/>
        <w:ind w:left="925"/>
        <w:rPr>
          <w:color w:val="000000" w:themeColor="text1"/>
          <w:sz w:val="31"/>
          <w:szCs w:val="31"/>
          <w:highlight w:val="none"/>
          <w14:textFill>
            <w14:solidFill>
              <w14:schemeClr w14:val="tx1"/>
            </w14:solidFill>
          </w14:textFill>
        </w:rPr>
      </w:pPr>
      <w:r>
        <w:rPr>
          <w:color w:val="000000" w:themeColor="text1"/>
          <w:spacing w:val="-6"/>
          <w:sz w:val="31"/>
          <w:szCs w:val="31"/>
          <w:highlight w:val="none"/>
          <w14:textFill>
            <w14:solidFill>
              <w14:schemeClr w14:val="tx1"/>
            </w14:solidFill>
          </w14:textFill>
        </w:rPr>
        <w:t>工程地点：</w:t>
      </w:r>
    </w:p>
    <w:p w14:paraId="36E6994A">
      <w:pPr>
        <w:spacing w:before="203" w:line="330" w:lineRule="auto"/>
        <w:ind w:right="546" w:firstLine="1450" w:firstLineChars="500"/>
        <w:rPr>
          <w:color w:val="000000" w:themeColor="text1"/>
          <w:sz w:val="31"/>
          <w:szCs w:val="31"/>
          <w:highlight w:val="none"/>
          <w14:textFill>
            <w14:solidFill>
              <w14:schemeClr w14:val="tx1"/>
            </w14:solidFill>
          </w14:textFill>
        </w:rPr>
      </w:pPr>
      <w:r>
        <w:rPr>
          <w:color w:val="000000" w:themeColor="text1"/>
          <w:spacing w:val="-10"/>
          <w:sz w:val="31"/>
          <w:szCs w:val="31"/>
          <w:highlight w:val="none"/>
          <w14:textFill>
            <w14:solidFill>
              <w14:schemeClr w14:val="tx1"/>
            </w14:solidFill>
          </w14:textFill>
        </w:rPr>
        <w:t>合同编号：</w:t>
      </w:r>
      <w:r>
        <w:rPr>
          <w:color w:val="000000" w:themeColor="text1"/>
          <w:spacing w:val="5"/>
          <w:sz w:val="31"/>
          <w:szCs w:val="31"/>
          <w:highlight w:val="none"/>
          <w14:textFill>
            <w14:solidFill>
              <w14:schemeClr w14:val="tx1"/>
            </w14:solidFill>
          </w14:textFill>
        </w:rPr>
        <w:t>（由设计人编填）</w:t>
      </w:r>
    </w:p>
    <w:p w14:paraId="534C8043">
      <w:pPr>
        <w:tabs>
          <w:tab w:val="left" w:pos="7787"/>
        </w:tabs>
        <w:spacing w:before="53" w:line="338" w:lineRule="auto"/>
        <w:ind w:left="921" w:right="546" w:firstLine="4"/>
        <w:jc w:val="both"/>
        <w:rPr>
          <w:color w:val="000000" w:themeColor="text1"/>
          <w:sz w:val="31"/>
          <w:szCs w:val="31"/>
          <w:highlight w:val="none"/>
          <w14:textFill>
            <w14:solidFill>
              <w14:schemeClr w14:val="tx1"/>
            </w14:solidFill>
          </w14:textFill>
        </w:rPr>
      </w:pPr>
      <w:r>
        <w:rPr>
          <w:color w:val="000000" w:themeColor="text1"/>
          <w:spacing w:val="5"/>
          <w:sz w:val="31"/>
          <w:szCs w:val="31"/>
          <w:highlight w:val="none"/>
          <w14:textFill>
            <w14:solidFill>
              <w14:schemeClr w14:val="tx1"/>
            </w14:solidFill>
          </w14:textFill>
        </w:rPr>
        <w:t>设计 证书等级：</w:t>
      </w:r>
      <w:r>
        <w:rPr>
          <w:color w:val="000000" w:themeColor="text1"/>
          <w:sz w:val="31"/>
          <w:szCs w:val="31"/>
          <w:highlight w:val="none"/>
          <w:u w:val="single"/>
          <w14:textFill>
            <w14:solidFill>
              <w14:schemeClr w14:val="tx1"/>
            </w14:solidFill>
          </w14:textFill>
        </w:rPr>
        <w:tab/>
      </w:r>
    </w:p>
    <w:p w14:paraId="17A6D352">
      <w:pPr>
        <w:tabs>
          <w:tab w:val="left" w:pos="7787"/>
        </w:tabs>
        <w:spacing w:before="53" w:line="338" w:lineRule="auto"/>
        <w:ind w:left="921" w:right="546" w:firstLine="4"/>
        <w:jc w:val="both"/>
        <w:rPr>
          <w:color w:val="000000" w:themeColor="text1"/>
          <w:sz w:val="31"/>
          <w:szCs w:val="31"/>
          <w:highlight w:val="none"/>
          <w14:textFill>
            <w14:solidFill>
              <w14:schemeClr w14:val="tx1"/>
            </w14:solidFill>
          </w14:textFill>
        </w:rPr>
      </w:pPr>
      <w:r>
        <w:rPr>
          <w:color w:val="000000" w:themeColor="text1"/>
          <w:spacing w:val="-2"/>
          <w:sz w:val="31"/>
          <w:szCs w:val="31"/>
          <w:highlight w:val="none"/>
          <w14:textFill>
            <w14:solidFill>
              <w14:schemeClr w14:val="tx1"/>
            </w14:solidFill>
          </w14:textFill>
        </w:rPr>
        <w:t>发包人：</w:t>
      </w:r>
      <w:r>
        <w:rPr>
          <w:color w:val="000000" w:themeColor="text1"/>
          <w:sz w:val="31"/>
          <w:szCs w:val="31"/>
          <w:highlight w:val="none"/>
          <w:u w:val="single"/>
          <w14:textFill>
            <w14:solidFill>
              <w14:schemeClr w14:val="tx1"/>
            </w14:solidFill>
          </w14:textFill>
        </w:rPr>
        <w:tab/>
      </w:r>
    </w:p>
    <w:p w14:paraId="1CB83691">
      <w:pPr>
        <w:tabs>
          <w:tab w:val="left" w:pos="7787"/>
        </w:tabs>
        <w:spacing w:before="53" w:line="338" w:lineRule="auto"/>
        <w:ind w:left="921" w:right="546" w:firstLine="4"/>
        <w:jc w:val="both"/>
        <w:rPr>
          <w:color w:val="000000" w:themeColor="text1"/>
          <w:sz w:val="31"/>
          <w:szCs w:val="31"/>
          <w:highlight w:val="none"/>
          <w14:textFill>
            <w14:solidFill>
              <w14:schemeClr w14:val="tx1"/>
            </w14:solidFill>
          </w14:textFill>
        </w:rPr>
      </w:pPr>
      <w:r>
        <w:rPr>
          <w:color w:val="000000" w:themeColor="text1"/>
          <w:spacing w:val="-2"/>
          <w:sz w:val="31"/>
          <w:szCs w:val="31"/>
          <w:highlight w:val="none"/>
          <w14:textFill>
            <w14:solidFill>
              <w14:schemeClr w14:val="tx1"/>
            </w14:solidFill>
          </w14:textFill>
        </w:rPr>
        <w:t>设计人：</w:t>
      </w:r>
      <w:r>
        <w:rPr>
          <w:color w:val="000000" w:themeColor="text1"/>
          <w:sz w:val="31"/>
          <w:szCs w:val="31"/>
          <w:highlight w:val="none"/>
          <w:u w:val="single"/>
          <w14:textFill>
            <w14:solidFill>
              <w14:schemeClr w14:val="tx1"/>
            </w14:solidFill>
          </w14:textFill>
        </w:rPr>
        <w:tab/>
      </w:r>
    </w:p>
    <w:p w14:paraId="54B09237">
      <w:pPr>
        <w:tabs>
          <w:tab w:val="left" w:pos="7787"/>
        </w:tabs>
        <w:spacing w:before="53" w:line="338" w:lineRule="auto"/>
        <w:ind w:left="921" w:right="546" w:firstLine="4"/>
        <w:jc w:val="both"/>
        <w:rPr>
          <w:color w:val="000000" w:themeColor="text1"/>
          <w:sz w:val="31"/>
          <w:szCs w:val="31"/>
          <w:highlight w:val="none"/>
          <w14:textFill>
            <w14:solidFill>
              <w14:schemeClr w14:val="tx1"/>
            </w14:solidFill>
          </w14:textFill>
        </w:rPr>
      </w:pPr>
      <w:r>
        <w:rPr>
          <w:color w:val="000000" w:themeColor="text1"/>
          <w:spacing w:val="-14"/>
          <w:sz w:val="31"/>
          <w:szCs w:val="31"/>
          <w:highlight w:val="none"/>
          <w14:textFill>
            <w14:solidFill>
              <w14:schemeClr w14:val="tx1"/>
            </w14:solidFill>
          </w14:textFill>
        </w:rPr>
        <w:t>签订日期：</w:t>
      </w:r>
    </w:p>
    <w:p w14:paraId="5174CF71">
      <w:pPr>
        <w:pStyle w:val="13"/>
        <w:spacing w:line="243" w:lineRule="auto"/>
        <w:ind w:firstLine="480"/>
        <w:rPr>
          <w:color w:val="000000" w:themeColor="text1"/>
          <w:highlight w:val="none"/>
          <w14:textFill>
            <w14:solidFill>
              <w14:schemeClr w14:val="tx1"/>
            </w14:solidFill>
          </w14:textFill>
        </w:rPr>
      </w:pPr>
    </w:p>
    <w:p w14:paraId="57033D7A">
      <w:pPr>
        <w:pStyle w:val="13"/>
        <w:spacing w:line="243" w:lineRule="auto"/>
        <w:ind w:firstLine="480"/>
        <w:rPr>
          <w:color w:val="000000" w:themeColor="text1"/>
          <w:highlight w:val="none"/>
          <w14:textFill>
            <w14:solidFill>
              <w14:schemeClr w14:val="tx1"/>
            </w14:solidFill>
          </w14:textFill>
        </w:rPr>
      </w:pPr>
    </w:p>
    <w:p w14:paraId="54573BD4">
      <w:pPr>
        <w:pStyle w:val="13"/>
        <w:spacing w:line="243" w:lineRule="auto"/>
        <w:ind w:firstLine="480"/>
        <w:rPr>
          <w:color w:val="000000" w:themeColor="text1"/>
          <w:highlight w:val="none"/>
          <w14:textFill>
            <w14:solidFill>
              <w14:schemeClr w14:val="tx1"/>
            </w14:solidFill>
          </w14:textFill>
        </w:rPr>
      </w:pPr>
    </w:p>
    <w:p w14:paraId="5D171284">
      <w:pPr>
        <w:pStyle w:val="13"/>
        <w:spacing w:line="243" w:lineRule="auto"/>
        <w:ind w:firstLine="480"/>
        <w:rPr>
          <w:color w:val="000000" w:themeColor="text1"/>
          <w:highlight w:val="none"/>
          <w14:textFill>
            <w14:solidFill>
              <w14:schemeClr w14:val="tx1"/>
            </w14:solidFill>
          </w14:textFill>
        </w:rPr>
      </w:pPr>
    </w:p>
    <w:p w14:paraId="16B5CD4E">
      <w:pPr>
        <w:pStyle w:val="13"/>
        <w:spacing w:line="244" w:lineRule="auto"/>
        <w:ind w:firstLine="480"/>
        <w:rPr>
          <w:rFonts w:eastAsiaTheme="minorEastAsia"/>
          <w:color w:val="000000" w:themeColor="text1"/>
          <w:highlight w:val="none"/>
          <w14:textFill>
            <w14:solidFill>
              <w14:schemeClr w14:val="tx1"/>
            </w14:solidFill>
          </w14:textFill>
        </w:rPr>
      </w:pPr>
    </w:p>
    <w:p w14:paraId="7AE55E31">
      <w:pPr>
        <w:spacing w:before="101" w:line="225" w:lineRule="auto"/>
        <w:ind w:left="2607"/>
        <w:rPr>
          <w:color w:val="000000" w:themeColor="text1"/>
          <w:spacing w:val="5"/>
          <w:sz w:val="31"/>
          <w:szCs w:val="31"/>
          <w:highlight w:val="none"/>
          <w14:textFill>
            <w14:solidFill>
              <w14:schemeClr w14:val="tx1"/>
            </w14:solidFill>
          </w14:textFill>
        </w:rPr>
      </w:pPr>
      <w:r>
        <w:rPr>
          <w:color w:val="000000" w:themeColor="text1"/>
          <w:spacing w:val="5"/>
          <w:sz w:val="31"/>
          <w:szCs w:val="31"/>
          <w:highlight w:val="none"/>
          <w14:textFill>
            <w14:solidFill>
              <w14:schemeClr w14:val="tx1"/>
            </w14:solidFill>
          </w14:textFill>
        </w:rPr>
        <w:t>中华人民共和国建设部</w:t>
      </w:r>
    </w:p>
    <w:p w14:paraId="080FAAEC">
      <w:pPr>
        <w:spacing w:before="101" w:line="225" w:lineRule="auto"/>
        <w:ind w:left="2607"/>
        <w:rPr>
          <w:color w:val="000000" w:themeColor="text1"/>
          <w:sz w:val="31"/>
          <w:szCs w:val="31"/>
          <w:highlight w:val="none"/>
          <w14:textFill>
            <w14:solidFill>
              <w14:schemeClr w14:val="tx1"/>
            </w14:solidFill>
          </w14:textFill>
        </w:rPr>
        <w:sectPr>
          <w:headerReference r:id="rId7" w:type="default"/>
          <w:footerReference r:id="rId8" w:type="default"/>
          <w:pgSz w:w="11907" w:h="16839"/>
          <w:pgMar w:top="1440" w:right="1080" w:bottom="1440" w:left="1080" w:header="850" w:footer="1103" w:gutter="0"/>
          <w:cols w:space="720" w:num="1"/>
        </w:sectPr>
      </w:pPr>
      <w:r>
        <w:rPr>
          <w:color w:val="000000" w:themeColor="text1"/>
          <w:spacing w:val="5"/>
          <w:sz w:val="31"/>
          <w:szCs w:val="31"/>
          <w:highlight w:val="none"/>
          <w14:textFill>
            <w14:solidFill>
              <w14:schemeClr w14:val="tx1"/>
            </w14:solidFill>
          </w14:textFill>
        </w:rPr>
        <w:t>国家工商行政管理局监制</w:t>
      </w:r>
    </w:p>
    <w:p w14:paraId="5958192F">
      <w:pPr>
        <w:spacing w:line="360" w:lineRule="auto"/>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发包人</w:t>
      </w:r>
      <w:r>
        <w:rPr>
          <w:rFonts w:hint="eastAsia"/>
          <w:color w:val="000000" w:themeColor="text1"/>
          <w:sz w:val="24"/>
          <w:szCs w:val="24"/>
          <w:highlight w:val="none"/>
          <w14:textFill>
            <w14:solidFill>
              <w14:schemeClr w14:val="tx1"/>
            </w14:solidFill>
          </w14:textFill>
        </w:rPr>
        <w:t>（甲方）</w:t>
      </w: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设计人</w:t>
      </w:r>
      <w:r>
        <w:rPr>
          <w:rFonts w:hint="eastAsia"/>
          <w:color w:val="000000" w:themeColor="text1"/>
          <w:sz w:val="24"/>
          <w:szCs w:val="24"/>
          <w:highlight w:val="none"/>
          <w14:textFill>
            <w14:solidFill>
              <w14:schemeClr w14:val="tx1"/>
            </w14:solidFill>
          </w14:textFill>
        </w:rPr>
        <w:t>（乙方）</w:t>
      </w:r>
      <w:r>
        <w:rPr>
          <w:color w:val="000000" w:themeColor="text1"/>
          <w:sz w:val="24"/>
          <w:szCs w:val="24"/>
          <w:highlight w:val="none"/>
          <w14:textFill>
            <w14:solidFill>
              <w14:schemeClr w14:val="tx1"/>
            </w14:solidFill>
          </w14:textFill>
        </w:rPr>
        <w:t>：</w:t>
      </w:r>
    </w:p>
    <w:p w14:paraId="034561FD">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发包人委托设计人承担 工程</w:t>
      </w:r>
      <w:r>
        <w:rPr>
          <w:rFonts w:hint="eastAsia"/>
          <w:color w:val="000000" w:themeColor="text1"/>
          <w:sz w:val="24"/>
          <w:szCs w:val="24"/>
          <w:highlight w:val="none"/>
          <w14:textFill>
            <w14:solidFill>
              <w14:schemeClr w14:val="tx1"/>
            </w14:solidFill>
          </w14:textFill>
        </w:rPr>
        <w:t>前期</w:t>
      </w:r>
      <w:r>
        <w:rPr>
          <w:color w:val="000000" w:themeColor="text1"/>
          <w:sz w:val="24"/>
          <w:szCs w:val="24"/>
          <w:highlight w:val="none"/>
          <w14:textFill>
            <w14:solidFill>
              <w14:schemeClr w14:val="tx1"/>
            </w14:solidFill>
          </w14:textFill>
        </w:rPr>
        <w:t>设计</w:t>
      </w:r>
      <w:r>
        <w:rPr>
          <w:rFonts w:hint="eastAsia"/>
          <w:color w:val="000000" w:themeColor="text1"/>
          <w:sz w:val="24"/>
          <w:szCs w:val="24"/>
          <w:highlight w:val="none"/>
          <w14:textFill>
            <w14:solidFill>
              <w14:schemeClr w14:val="tx1"/>
            </w14:solidFill>
          </w14:textFill>
        </w:rPr>
        <w:t>与咨询工作</w:t>
      </w:r>
      <w:r>
        <w:rPr>
          <w:color w:val="000000" w:themeColor="text1"/>
          <w:sz w:val="24"/>
          <w:szCs w:val="24"/>
          <w:highlight w:val="none"/>
          <w14:textFill>
            <w14:solidFill>
              <w14:schemeClr w14:val="tx1"/>
            </w14:solidFill>
          </w14:textFill>
        </w:rPr>
        <w:t>，经双方协商一致，签订本合同。</w:t>
      </w:r>
    </w:p>
    <w:p w14:paraId="469112E8">
      <w:pPr>
        <w:spacing w:line="360" w:lineRule="auto"/>
        <w:ind w:firstLine="482" w:firstLineChars="200"/>
        <w:rPr>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第一条</w:t>
      </w:r>
      <w:r>
        <w:rPr>
          <w:color w:val="000000" w:themeColor="text1"/>
          <w:sz w:val="24"/>
          <w:szCs w:val="24"/>
          <w:highlight w:val="none"/>
          <w14:textFill>
            <w14:solidFill>
              <w14:schemeClr w14:val="tx1"/>
            </w14:solidFill>
          </w14:textFill>
        </w:rPr>
        <w:t xml:space="preserve">  本合同依据下列文件签订：</w:t>
      </w:r>
    </w:p>
    <w:p w14:paraId="6F1541C8">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1.1《中华人民共和国民法典》</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《中华人民共和国建筑法》</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《建设工程勘察设计市场管理规定》。</w:t>
      </w:r>
    </w:p>
    <w:p w14:paraId="4C51B926">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1.2国家及地方有关建设工程勘察设计管理法规和规章。</w:t>
      </w:r>
    </w:p>
    <w:p w14:paraId="37A230D5">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1.3 建设工程批准文件。</w:t>
      </w:r>
    </w:p>
    <w:p w14:paraId="7E7B26DF">
      <w:pPr>
        <w:spacing w:line="360" w:lineRule="auto"/>
        <w:ind w:firstLine="482" w:firstLineChars="200"/>
        <w:rPr>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第二条</w:t>
      </w:r>
      <w:r>
        <w:rPr>
          <w:color w:val="000000" w:themeColor="text1"/>
          <w:sz w:val="24"/>
          <w:szCs w:val="24"/>
          <w:highlight w:val="none"/>
          <w14:textFill>
            <w14:solidFill>
              <w14:schemeClr w14:val="tx1"/>
            </w14:solidFill>
          </w14:textFill>
        </w:rPr>
        <w:t xml:space="preserve">  本合同设计项目的内容：名称、规模、阶段、投资及设计费等见下表：</w:t>
      </w:r>
    </w:p>
    <w:tbl>
      <w:tblPr>
        <w:tblStyle w:val="54"/>
        <w:tblW w:w="500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50"/>
        <w:gridCol w:w="1956"/>
        <w:gridCol w:w="1956"/>
        <w:gridCol w:w="1952"/>
        <w:gridCol w:w="1922"/>
        <w:gridCol w:w="26"/>
      </w:tblGrid>
      <w:tr w14:paraId="6BB58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pct"/>
          <w:trHeight w:val="312" w:hRule="atLeast"/>
        </w:trPr>
        <w:tc>
          <w:tcPr>
            <w:tcW w:w="999" w:type="pct"/>
            <w:vMerge w:val="restart"/>
            <w:tcBorders>
              <w:bottom w:val="nil"/>
            </w:tcBorders>
            <w:vAlign w:val="center"/>
          </w:tcPr>
          <w:p w14:paraId="55690474">
            <w:pPr>
              <w:pStyle w:val="102"/>
              <w:jc w:val="center"/>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序</w:t>
            </w:r>
            <w:r>
              <w:rPr>
                <w:color w:val="000000" w:themeColor="text1"/>
                <w:spacing w:val="-16"/>
                <w:highlight w:val="none"/>
                <w14:textFill>
                  <w14:solidFill>
                    <w14:schemeClr w14:val="tx1"/>
                  </w14:solidFill>
                </w14:textFill>
              </w:rPr>
              <w:t>号</w:t>
            </w:r>
          </w:p>
        </w:tc>
        <w:tc>
          <w:tcPr>
            <w:tcW w:w="1002" w:type="pct"/>
            <w:vMerge w:val="restart"/>
            <w:tcBorders>
              <w:bottom w:val="nil"/>
            </w:tcBorders>
            <w:vAlign w:val="center"/>
          </w:tcPr>
          <w:p w14:paraId="39F2C140">
            <w:pPr>
              <w:pStyle w:val="102"/>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项目名称</w:t>
            </w:r>
          </w:p>
        </w:tc>
        <w:tc>
          <w:tcPr>
            <w:tcW w:w="1002" w:type="pct"/>
            <w:vMerge w:val="restart"/>
            <w:tcBorders>
              <w:bottom w:val="nil"/>
            </w:tcBorders>
            <w:vAlign w:val="center"/>
          </w:tcPr>
          <w:p w14:paraId="388F2F86">
            <w:pPr>
              <w:pStyle w:val="102"/>
              <w:jc w:val="center"/>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建设规模</w:t>
            </w:r>
          </w:p>
        </w:tc>
        <w:tc>
          <w:tcPr>
            <w:tcW w:w="1000" w:type="pct"/>
            <w:vMerge w:val="restart"/>
            <w:tcBorders>
              <w:bottom w:val="nil"/>
            </w:tcBorders>
            <w:vAlign w:val="center"/>
          </w:tcPr>
          <w:p w14:paraId="7F87194D">
            <w:pPr>
              <w:pStyle w:val="102"/>
              <w:ind w:left="0" w:leftChars="0" w:firstLine="0" w:firstLineChars="0"/>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估算总</w:t>
            </w:r>
            <w:r>
              <w:rPr>
                <w:rFonts w:hint="eastAsia"/>
                <w:color w:val="000000" w:themeColor="text1"/>
                <w:spacing w:val="-2"/>
                <w:highlight w:val="none"/>
                <w14:textFill>
                  <w14:solidFill>
                    <w14:schemeClr w14:val="tx1"/>
                  </w14:solidFill>
                </w14:textFill>
              </w:rPr>
              <w:t>施工费</w:t>
            </w:r>
            <w:r>
              <w:rPr>
                <w:color w:val="000000" w:themeColor="text1"/>
                <w:spacing w:val="-6"/>
                <w:highlight w:val="none"/>
                <w14:textFill>
                  <w14:solidFill>
                    <w14:schemeClr w14:val="tx1"/>
                  </w14:solidFill>
                </w14:textFill>
              </w:rPr>
              <w:t>（万元）</w:t>
            </w:r>
          </w:p>
        </w:tc>
        <w:tc>
          <w:tcPr>
            <w:tcW w:w="984" w:type="pct"/>
            <w:vMerge w:val="restart"/>
            <w:tcBorders>
              <w:bottom w:val="nil"/>
            </w:tcBorders>
            <w:vAlign w:val="center"/>
          </w:tcPr>
          <w:p w14:paraId="3275D54E">
            <w:pPr>
              <w:pStyle w:val="102"/>
              <w:ind w:left="0" w:leftChars="0" w:firstLine="0"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设计咨询服务费率</w:t>
            </w:r>
          </w:p>
          <w:p w14:paraId="6173B00D">
            <w:pPr>
              <w:pStyle w:val="102"/>
              <w:jc w:val="center"/>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（元）</w:t>
            </w:r>
          </w:p>
        </w:tc>
      </w:tr>
      <w:tr w14:paraId="1C7BD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pct"/>
          <w:trHeight w:val="312" w:hRule="atLeast"/>
        </w:trPr>
        <w:tc>
          <w:tcPr>
            <w:tcW w:w="999" w:type="pct"/>
            <w:vMerge w:val="continue"/>
            <w:tcBorders>
              <w:top w:val="nil"/>
            </w:tcBorders>
          </w:tcPr>
          <w:p w14:paraId="0B4B8995">
            <w:pPr>
              <w:rPr>
                <w:color w:val="000000" w:themeColor="text1"/>
                <w:sz w:val="24"/>
                <w:szCs w:val="24"/>
                <w:highlight w:val="none"/>
                <w14:textFill>
                  <w14:solidFill>
                    <w14:schemeClr w14:val="tx1"/>
                  </w14:solidFill>
                </w14:textFill>
              </w:rPr>
            </w:pPr>
          </w:p>
        </w:tc>
        <w:tc>
          <w:tcPr>
            <w:tcW w:w="1002" w:type="pct"/>
            <w:vMerge w:val="continue"/>
            <w:tcBorders>
              <w:top w:val="nil"/>
            </w:tcBorders>
          </w:tcPr>
          <w:p w14:paraId="483CE1FA">
            <w:pPr>
              <w:rPr>
                <w:color w:val="000000" w:themeColor="text1"/>
                <w:sz w:val="24"/>
                <w:szCs w:val="24"/>
                <w:highlight w:val="none"/>
                <w14:textFill>
                  <w14:solidFill>
                    <w14:schemeClr w14:val="tx1"/>
                  </w14:solidFill>
                </w14:textFill>
              </w:rPr>
            </w:pPr>
          </w:p>
        </w:tc>
        <w:tc>
          <w:tcPr>
            <w:tcW w:w="1002" w:type="pct"/>
            <w:vMerge w:val="continue"/>
            <w:tcBorders>
              <w:top w:val="nil"/>
            </w:tcBorders>
          </w:tcPr>
          <w:p w14:paraId="224A6FD4">
            <w:pPr>
              <w:rPr>
                <w:color w:val="000000" w:themeColor="text1"/>
                <w:sz w:val="24"/>
                <w:szCs w:val="24"/>
                <w:highlight w:val="none"/>
                <w14:textFill>
                  <w14:solidFill>
                    <w14:schemeClr w14:val="tx1"/>
                  </w14:solidFill>
                </w14:textFill>
              </w:rPr>
            </w:pPr>
          </w:p>
        </w:tc>
        <w:tc>
          <w:tcPr>
            <w:tcW w:w="1000" w:type="pct"/>
            <w:vMerge w:val="continue"/>
            <w:tcBorders>
              <w:top w:val="nil"/>
            </w:tcBorders>
          </w:tcPr>
          <w:p w14:paraId="0C3E18DD">
            <w:pPr>
              <w:rPr>
                <w:color w:val="000000" w:themeColor="text1"/>
                <w:sz w:val="24"/>
                <w:szCs w:val="24"/>
                <w:highlight w:val="none"/>
                <w14:textFill>
                  <w14:solidFill>
                    <w14:schemeClr w14:val="tx1"/>
                  </w14:solidFill>
                </w14:textFill>
              </w:rPr>
            </w:pPr>
          </w:p>
        </w:tc>
        <w:tc>
          <w:tcPr>
            <w:tcW w:w="984" w:type="pct"/>
            <w:vMerge w:val="continue"/>
            <w:tcBorders>
              <w:top w:val="nil"/>
            </w:tcBorders>
          </w:tcPr>
          <w:p w14:paraId="591BB194">
            <w:pPr>
              <w:rPr>
                <w:color w:val="000000" w:themeColor="text1"/>
                <w:sz w:val="24"/>
                <w:szCs w:val="24"/>
                <w:highlight w:val="none"/>
                <w14:textFill>
                  <w14:solidFill>
                    <w14:schemeClr w14:val="tx1"/>
                  </w14:solidFill>
                </w14:textFill>
              </w:rPr>
            </w:pPr>
          </w:p>
        </w:tc>
      </w:tr>
      <w:tr w14:paraId="691BC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pct"/>
          <w:trHeight w:val="544" w:hRule="atLeast"/>
        </w:trPr>
        <w:tc>
          <w:tcPr>
            <w:tcW w:w="999" w:type="pct"/>
          </w:tcPr>
          <w:p w14:paraId="197CC8DF">
            <w:pPr>
              <w:rPr>
                <w:color w:val="000000" w:themeColor="text1"/>
                <w:sz w:val="24"/>
                <w:szCs w:val="24"/>
                <w:highlight w:val="none"/>
                <w14:textFill>
                  <w14:solidFill>
                    <w14:schemeClr w14:val="tx1"/>
                  </w14:solidFill>
                </w14:textFill>
              </w:rPr>
            </w:pPr>
          </w:p>
        </w:tc>
        <w:tc>
          <w:tcPr>
            <w:tcW w:w="1002" w:type="pct"/>
          </w:tcPr>
          <w:p w14:paraId="7CDD030F">
            <w:pPr>
              <w:rPr>
                <w:color w:val="000000" w:themeColor="text1"/>
                <w:sz w:val="24"/>
                <w:szCs w:val="24"/>
                <w:highlight w:val="none"/>
                <w14:textFill>
                  <w14:solidFill>
                    <w14:schemeClr w14:val="tx1"/>
                  </w14:solidFill>
                </w14:textFill>
              </w:rPr>
            </w:pPr>
          </w:p>
        </w:tc>
        <w:tc>
          <w:tcPr>
            <w:tcW w:w="1002" w:type="pct"/>
          </w:tcPr>
          <w:p w14:paraId="1034B5EE">
            <w:pPr>
              <w:rPr>
                <w:color w:val="000000" w:themeColor="text1"/>
                <w:sz w:val="24"/>
                <w:szCs w:val="24"/>
                <w:highlight w:val="none"/>
                <w14:textFill>
                  <w14:solidFill>
                    <w14:schemeClr w14:val="tx1"/>
                  </w14:solidFill>
                </w14:textFill>
              </w:rPr>
            </w:pPr>
          </w:p>
        </w:tc>
        <w:tc>
          <w:tcPr>
            <w:tcW w:w="1000" w:type="pct"/>
          </w:tcPr>
          <w:p w14:paraId="6914F789">
            <w:pPr>
              <w:rPr>
                <w:color w:val="000000" w:themeColor="text1"/>
                <w:sz w:val="24"/>
                <w:szCs w:val="24"/>
                <w:highlight w:val="none"/>
                <w14:textFill>
                  <w14:solidFill>
                    <w14:schemeClr w14:val="tx1"/>
                  </w14:solidFill>
                </w14:textFill>
              </w:rPr>
            </w:pPr>
          </w:p>
        </w:tc>
        <w:tc>
          <w:tcPr>
            <w:tcW w:w="984" w:type="pct"/>
          </w:tcPr>
          <w:p w14:paraId="57BB6598">
            <w:pPr>
              <w:rPr>
                <w:color w:val="000000" w:themeColor="text1"/>
                <w:sz w:val="24"/>
                <w:szCs w:val="24"/>
                <w:highlight w:val="none"/>
                <w14:textFill>
                  <w14:solidFill>
                    <w14:schemeClr w14:val="tx1"/>
                  </w14:solidFill>
                </w14:textFill>
              </w:rPr>
            </w:pPr>
          </w:p>
        </w:tc>
      </w:tr>
      <w:tr w14:paraId="6B60E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5000" w:type="pct"/>
            <w:gridSpan w:val="6"/>
          </w:tcPr>
          <w:p w14:paraId="2C7FE67F">
            <w:pPr>
              <w:pStyle w:val="102"/>
              <w:rPr>
                <w:color w:val="000000" w:themeColor="text1"/>
                <w:spacing w:val="-13"/>
                <w:highlight w:val="none"/>
                <w14:textFill>
                  <w14:solidFill>
                    <w14:schemeClr w14:val="tx1"/>
                  </w14:solidFill>
                </w14:textFill>
              </w:rPr>
            </w:pPr>
            <w:r>
              <w:rPr>
                <w:color w:val="000000" w:themeColor="text1"/>
                <w:spacing w:val="-13"/>
                <w:highlight w:val="none"/>
                <w14:textFill>
                  <w14:solidFill>
                    <w14:schemeClr w14:val="tx1"/>
                  </w14:solidFill>
                </w14:textFill>
              </w:rPr>
              <w:t>说</w:t>
            </w:r>
            <w:r>
              <w:rPr>
                <w:color w:val="000000" w:themeColor="text1"/>
                <w:spacing w:val="-32"/>
                <w:highlight w:val="none"/>
                <w14:textFill>
                  <w14:solidFill>
                    <w14:schemeClr w14:val="tx1"/>
                  </w14:solidFill>
                </w14:textFill>
              </w:rPr>
              <w:t>明</w:t>
            </w:r>
            <w:r>
              <w:rPr>
                <w:rFonts w:hint="eastAsia"/>
                <w:color w:val="000000" w:themeColor="text1"/>
                <w:spacing w:val="-32"/>
                <w:highlight w:val="none"/>
                <w14:textFill>
                  <w14:solidFill>
                    <w14:schemeClr w14:val="tx1"/>
                  </w14:solidFill>
                </w14:textFill>
              </w:rPr>
              <w:t>：设计结算价=施工控制价×报价费率</w:t>
            </w:r>
          </w:p>
        </w:tc>
      </w:tr>
    </w:tbl>
    <w:p w14:paraId="424EF412">
      <w:pPr>
        <w:spacing w:line="360" w:lineRule="auto"/>
        <w:ind w:firstLine="482" w:firstLineChars="200"/>
        <w:rPr>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第三条</w:t>
      </w:r>
      <w:r>
        <w:rPr>
          <w:color w:val="000000" w:themeColor="text1"/>
          <w:sz w:val="24"/>
          <w:szCs w:val="24"/>
          <w:highlight w:val="none"/>
          <w14:textFill>
            <w14:solidFill>
              <w14:schemeClr w14:val="tx1"/>
            </w14:solidFill>
          </w14:textFill>
        </w:rPr>
        <w:t xml:space="preserve">  发包人应向设计人提交的有关资料及文件</w:t>
      </w:r>
    </w:p>
    <w:tbl>
      <w:tblPr>
        <w:tblStyle w:val="54"/>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11"/>
        <w:gridCol w:w="3106"/>
        <w:gridCol w:w="978"/>
        <w:gridCol w:w="2334"/>
        <w:gridCol w:w="2123"/>
      </w:tblGrid>
      <w:tr w14:paraId="3BAC8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21" w:type="pct"/>
            <w:vAlign w:val="center"/>
          </w:tcPr>
          <w:p w14:paraId="1FF3485E">
            <w:pPr>
              <w:pStyle w:val="102"/>
              <w:jc w:val="center"/>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序号</w:t>
            </w:r>
          </w:p>
        </w:tc>
        <w:tc>
          <w:tcPr>
            <w:tcW w:w="1592" w:type="pct"/>
            <w:vAlign w:val="center"/>
          </w:tcPr>
          <w:p w14:paraId="7103996F">
            <w:pPr>
              <w:pStyle w:val="102"/>
              <w:jc w:val="center"/>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资料及文件名称</w:t>
            </w:r>
          </w:p>
        </w:tc>
        <w:tc>
          <w:tcPr>
            <w:tcW w:w="501" w:type="pct"/>
            <w:vAlign w:val="center"/>
          </w:tcPr>
          <w:p w14:paraId="5CEEF24C">
            <w:pPr>
              <w:pStyle w:val="102"/>
              <w:jc w:val="center"/>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份数</w:t>
            </w:r>
          </w:p>
        </w:tc>
        <w:tc>
          <w:tcPr>
            <w:tcW w:w="1196" w:type="pct"/>
            <w:vAlign w:val="center"/>
          </w:tcPr>
          <w:p w14:paraId="59C35932">
            <w:pPr>
              <w:pStyle w:val="102"/>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提交日期</w:t>
            </w:r>
          </w:p>
        </w:tc>
        <w:tc>
          <w:tcPr>
            <w:tcW w:w="1088" w:type="pct"/>
            <w:vAlign w:val="center"/>
          </w:tcPr>
          <w:p w14:paraId="5541965F">
            <w:pPr>
              <w:pStyle w:val="102"/>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有关事宜</w:t>
            </w:r>
          </w:p>
        </w:tc>
      </w:tr>
      <w:tr w14:paraId="52B4E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21" w:type="pct"/>
            <w:vAlign w:val="center"/>
          </w:tcPr>
          <w:p w14:paraId="55701B20">
            <w:pPr>
              <w:pStyle w:val="102"/>
              <w:rPr>
                <w:color w:val="000000" w:themeColor="text1"/>
                <w:spacing w:val="-3"/>
                <w:highlight w:val="none"/>
                <w14:textFill>
                  <w14:solidFill>
                    <w14:schemeClr w14:val="tx1"/>
                  </w14:solidFill>
                </w14:textFill>
              </w:rPr>
            </w:pPr>
          </w:p>
        </w:tc>
        <w:tc>
          <w:tcPr>
            <w:tcW w:w="1592" w:type="pct"/>
            <w:vAlign w:val="center"/>
          </w:tcPr>
          <w:p w14:paraId="3278130D">
            <w:pPr>
              <w:pStyle w:val="102"/>
              <w:rPr>
                <w:color w:val="000000" w:themeColor="text1"/>
                <w:spacing w:val="-3"/>
                <w:highlight w:val="none"/>
                <w14:textFill>
                  <w14:solidFill>
                    <w14:schemeClr w14:val="tx1"/>
                  </w14:solidFill>
                </w14:textFill>
              </w:rPr>
            </w:pPr>
          </w:p>
        </w:tc>
        <w:tc>
          <w:tcPr>
            <w:tcW w:w="501" w:type="pct"/>
            <w:vAlign w:val="center"/>
          </w:tcPr>
          <w:p w14:paraId="35C6268C">
            <w:pPr>
              <w:pStyle w:val="102"/>
              <w:rPr>
                <w:color w:val="000000" w:themeColor="text1"/>
                <w:spacing w:val="-3"/>
                <w:highlight w:val="none"/>
                <w14:textFill>
                  <w14:solidFill>
                    <w14:schemeClr w14:val="tx1"/>
                  </w14:solidFill>
                </w14:textFill>
              </w:rPr>
            </w:pPr>
          </w:p>
        </w:tc>
        <w:tc>
          <w:tcPr>
            <w:tcW w:w="1196" w:type="pct"/>
            <w:vAlign w:val="center"/>
          </w:tcPr>
          <w:p w14:paraId="2D39B1C9">
            <w:pPr>
              <w:pStyle w:val="102"/>
              <w:rPr>
                <w:color w:val="000000" w:themeColor="text1"/>
                <w:spacing w:val="-2"/>
                <w:highlight w:val="none"/>
                <w14:textFill>
                  <w14:solidFill>
                    <w14:schemeClr w14:val="tx1"/>
                  </w14:solidFill>
                </w14:textFill>
              </w:rPr>
            </w:pPr>
          </w:p>
        </w:tc>
        <w:tc>
          <w:tcPr>
            <w:tcW w:w="1088" w:type="pct"/>
            <w:vAlign w:val="center"/>
          </w:tcPr>
          <w:p w14:paraId="17993810">
            <w:pPr>
              <w:pStyle w:val="102"/>
              <w:rPr>
                <w:color w:val="000000" w:themeColor="text1"/>
                <w:spacing w:val="-2"/>
                <w:highlight w:val="none"/>
                <w14:textFill>
                  <w14:solidFill>
                    <w14:schemeClr w14:val="tx1"/>
                  </w14:solidFill>
                </w14:textFill>
              </w:rPr>
            </w:pPr>
          </w:p>
        </w:tc>
      </w:tr>
      <w:tr w14:paraId="660B0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21" w:type="pct"/>
            <w:vAlign w:val="center"/>
          </w:tcPr>
          <w:p w14:paraId="1866B1CB">
            <w:pPr>
              <w:pStyle w:val="102"/>
              <w:rPr>
                <w:color w:val="000000" w:themeColor="text1"/>
                <w:spacing w:val="-3"/>
                <w:highlight w:val="none"/>
                <w14:textFill>
                  <w14:solidFill>
                    <w14:schemeClr w14:val="tx1"/>
                  </w14:solidFill>
                </w14:textFill>
              </w:rPr>
            </w:pPr>
          </w:p>
        </w:tc>
        <w:tc>
          <w:tcPr>
            <w:tcW w:w="1592" w:type="pct"/>
            <w:vAlign w:val="center"/>
          </w:tcPr>
          <w:p w14:paraId="24399532">
            <w:pPr>
              <w:pStyle w:val="102"/>
              <w:rPr>
                <w:color w:val="000000" w:themeColor="text1"/>
                <w:spacing w:val="-3"/>
                <w:highlight w:val="none"/>
                <w14:textFill>
                  <w14:solidFill>
                    <w14:schemeClr w14:val="tx1"/>
                  </w14:solidFill>
                </w14:textFill>
              </w:rPr>
            </w:pPr>
          </w:p>
        </w:tc>
        <w:tc>
          <w:tcPr>
            <w:tcW w:w="501" w:type="pct"/>
            <w:vAlign w:val="center"/>
          </w:tcPr>
          <w:p w14:paraId="00BEC842">
            <w:pPr>
              <w:pStyle w:val="102"/>
              <w:rPr>
                <w:color w:val="000000" w:themeColor="text1"/>
                <w:spacing w:val="-3"/>
                <w:highlight w:val="none"/>
                <w14:textFill>
                  <w14:solidFill>
                    <w14:schemeClr w14:val="tx1"/>
                  </w14:solidFill>
                </w14:textFill>
              </w:rPr>
            </w:pPr>
          </w:p>
        </w:tc>
        <w:tc>
          <w:tcPr>
            <w:tcW w:w="1196" w:type="pct"/>
            <w:vAlign w:val="center"/>
          </w:tcPr>
          <w:p w14:paraId="69815386">
            <w:pPr>
              <w:pStyle w:val="102"/>
              <w:rPr>
                <w:color w:val="000000" w:themeColor="text1"/>
                <w:spacing w:val="-2"/>
                <w:highlight w:val="none"/>
                <w14:textFill>
                  <w14:solidFill>
                    <w14:schemeClr w14:val="tx1"/>
                  </w14:solidFill>
                </w14:textFill>
              </w:rPr>
            </w:pPr>
          </w:p>
        </w:tc>
        <w:tc>
          <w:tcPr>
            <w:tcW w:w="1088" w:type="pct"/>
            <w:vAlign w:val="center"/>
          </w:tcPr>
          <w:p w14:paraId="295A9D0A">
            <w:pPr>
              <w:pStyle w:val="102"/>
              <w:rPr>
                <w:color w:val="000000" w:themeColor="text1"/>
                <w:spacing w:val="-2"/>
                <w:highlight w:val="none"/>
                <w14:textFill>
                  <w14:solidFill>
                    <w14:schemeClr w14:val="tx1"/>
                  </w14:solidFill>
                </w14:textFill>
              </w:rPr>
            </w:pPr>
          </w:p>
        </w:tc>
      </w:tr>
      <w:tr w14:paraId="7AB7F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21" w:type="pct"/>
            <w:vAlign w:val="center"/>
          </w:tcPr>
          <w:p w14:paraId="4F479601">
            <w:pPr>
              <w:pStyle w:val="102"/>
              <w:rPr>
                <w:color w:val="000000" w:themeColor="text1"/>
                <w:spacing w:val="-3"/>
                <w:highlight w:val="none"/>
                <w14:textFill>
                  <w14:solidFill>
                    <w14:schemeClr w14:val="tx1"/>
                  </w14:solidFill>
                </w14:textFill>
              </w:rPr>
            </w:pPr>
          </w:p>
        </w:tc>
        <w:tc>
          <w:tcPr>
            <w:tcW w:w="1592" w:type="pct"/>
            <w:vAlign w:val="center"/>
          </w:tcPr>
          <w:p w14:paraId="29A6E8DB">
            <w:pPr>
              <w:pStyle w:val="102"/>
              <w:rPr>
                <w:color w:val="000000" w:themeColor="text1"/>
                <w:spacing w:val="-3"/>
                <w:highlight w:val="none"/>
                <w14:textFill>
                  <w14:solidFill>
                    <w14:schemeClr w14:val="tx1"/>
                  </w14:solidFill>
                </w14:textFill>
              </w:rPr>
            </w:pPr>
          </w:p>
        </w:tc>
        <w:tc>
          <w:tcPr>
            <w:tcW w:w="501" w:type="pct"/>
            <w:vAlign w:val="center"/>
          </w:tcPr>
          <w:p w14:paraId="6C029609">
            <w:pPr>
              <w:pStyle w:val="102"/>
              <w:rPr>
                <w:color w:val="000000" w:themeColor="text1"/>
                <w:spacing w:val="-3"/>
                <w:highlight w:val="none"/>
                <w14:textFill>
                  <w14:solidFill>
                    <w14:schemeClr w14:val="tx1"/>
                  </w14:solidFill>
                </w14:textFill>
              </w:rPr>
            </w:pPr>
          </w:p>
        </w:tc>
        <w:tc>
          <w:tcPr>
            <w:tcW w:w="1196" w:type="pct"/>
            <w:vAlign w:val="center"/>
          </w:tcPr>
          <w:p w14:paraId="5899DAE5">
            <w:pPr>
              <w:pStyle w:val="102"/>
              <w:rPr>
                <w:color w:val="000000" w:themeColor="text1"/>
                <w:spacing w:val="-2"/>
                <w:highlight w:val="none"/>
                <w14:textFill>
                  <w14:solidFill>
                    <w14:schemeClr w14:val="tx1"/>
                  </w14:solidFill>
                </w14:textFill>
              </w:rPr>
            </w:pPr>
          </w:p>
        </w:tc>
        <w:tc>
          <w:tcPr>
            <w:tcW w:w="1088" w:type="pct"/>
            <w:vAlign w:val="center"/>
          </w:tcPr>
          <w:p w14:paraId="228DF507">
            <w:pPr>
              <w:pStyle w:val="102"/>
              <w:rPr>
                <w:color w:val="000000" w:themeColor="text1"/>
                <w:spacing w:val="-2"/>
                <w:highlight w:val="none"/>
                <w14:textFill>
                  <w14:solidFill>
                    <w14:schemeClr w14:val="tx1"/>
                  </w14:solidFill>
                </w14:textFill>
              </w:rPr>
            </w:pPr>
          </w:p>
        </w:tc>
      </w:tr>
      <w:tr w14:paraId="71F10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21" w:type="pct"/>
            <w:vAlign w:val="center"/>
          </w:tcPr>
          <w:p w14:paraId="01505013">
            <w:pPr>
              <w:pStyle w:val="102"/>
              <w:rPr>
                <w:color w:val="000000" w:themeColor="text1"/>
                <w:spacing w:val="-3"/>
                <w:highlight w:val="none"/>
                <w14:textFill>
                  <w14:solidFill>
                    <w14:schemeClr w14:val="tx1"/>
                  </w14:solidFill>
                </w14:textFill>
              </w:rPr>
            </w:pPr>
          </w:p>
        </w:tc>
        <w:tc>
          <w:tcPr>
            <w:tcW w:w="1592" w:type="pct"/>
            <w:vAlign w:val="center"/>
          </w:tcPr>
          <w:p w14:paraId="77DE1124">
            <w:pPr>
              <w:pStyle w:val="102"/>
              <w:rPr>
                <w:color w:val="000000" w:themeColor="text1"/>
                <w:spacing w:val="-3"/>
                <w:highlight w:val="none"/>
                <w14:textFill>
                  <w14:solidFill>
                    <w14:schemeClr w14:val="tx1"/>
                  </w14:solidFill>
                </w14:textFill>
              </w:rPr>
            </w:pPr>
          </w:p>
        </w:tc>
        <w:tc>
          <w:tcPr>
            <w:tcW w:w="501" w:type="pct"/>
            <w:vAlign w:val="center"/>
          </w:tcPr>
          <w:p w14:paraId="5DB7C86E">
            <w:pPr>
              <w:pStyle w:val="102"/>
              <w:rPr>
                <w:color w:val="000000" w:themeColor="text1"/>
                <w:spacing w:val="-3"/>
                <w:highlight w:val="none"/>
                <w14:textFill>
                  <w14:solidFill>
                    <w14:schemeClr w14:val="tx1"/>
                  </w14:solidFill>
                </w14:textFill>
              </w:rPr>
            </w:pPr>
          </w:p>
        </w:tc>
        <w:tc>
          <w:tcPr>
            <w:tcW w:w="1196" w:type="pct"/>
            <w:vAlign w:val="center"/>
          </w:tcPr>
          <w:p w14:paraId="0A910B4B">
            <w:pPr>
              <w:pStyle w:val="102"/>
              <w:rPr>
                <w:color w:val="000000" w:themeColor="text1"/>
                <w:spacing w:val="-2"/>
                <w:highlight w:val="none"/>
                <w14:textFill>
                  <w14:solidFill>
                    <w14:schemeClr w14:val="tx1"/>
                  </w14:solidFill>
                </w14:textFill>
              </w:rPr>
            </w:pPr>
          </w:p>
        </w:tc>
        <w:tc>
          <w:tcPr>
            <w:tcW w:w="1088" w:type="pct"/>
            <w:vAlign w:val="center"/>
          </w:tcPr>
          <w:p w14:paraId="5D181902">
            <w:pPr>
              <w:pStyle w:val="102"/>
              <w:rPr>
                <w:color w:val="000000" w:themeColor="text1"/>
                <w:spacing w:val="-2"/>
                <w:highlight w:val="none"/>
                <w14:textFill>
                  <w14:solidFill>
                    <w14:schemeClr w14:val="tx1"/>
                  </w14:solidFill>
                </w14:textFill>
              </w:rPr>
            </w:pPr>
          </w:p>
        </w:tc>
      </w:tr>
      <w:tr w14:paraId="16AB7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21" w:type="pct"/>
            <w:vAlign w:val="center"/>
          </w:tcPr>
          <w:p w14:paraId="6B245DEB">
            <w:pPr>
              <w:pStyle w:val="102"/>
              <w:rPr>
                <w:color w:val="000000" w:themeColor="text1"/>
                <w:spacing w:val="-3"/>
                <w:highlight w:val="none"/>
                <w14:textFill>
                  <w14:solidFill>
                    <w14:schemeClr w14:val="tx1"/>
                  </w14:solidFill>
                </w14:textFill>
              </w:rPr>
            </w:pPr>
          </w:p>
        </w:tc>
        <w:tc>
          <w:tcPr>
            <w:tcW w:w="1592" w:type="pct"/>
            <w:vAlign w:val="center"/>
          </w:tcPr>
          <w:p w14:paraId="324F1AE6">
            <w:pPr>
              <w:pStyle w:val="102"/>
              <w:rPr>
                <w:color w:val="000000" w:themeColor="text1"/>
                <w:spacing w:val="-3"/>
                <w:highlight w:val="none"/>
                <w14:textFill>
                  <w14:solidFill>
                    <w14:schemeClr w14:val="tx1"/>
                  </w14:solidFill>
                </w14:textFill>
              </w:rPr>
            </w:pPr>
          </w:p>
        </w:tc>
        <w:tc>
          <w:tcPr>
            <w:tcW w:w="501" w:type="pct"/>
            <w:vAlign w:val="center"/>
          </w:tcPr>
          <w:p w14:paraId="136D1C47">
            <w:pPr>
              <w:pStyle w:val="102"/>
              <w:rPr>
                <w:color w:val="000000" w:themeColor="text1"/>
                <w:spacing w:val="-3"/>
                <w:highlight w:val="none"/>
                <w14:textFill>
                  <w14:solidFill>
                    <w14:schemeClr w14:val="tx1"/>
                  </w14:solidFill>
                </w14:textFill>
              </w:rPr>
            </w:pPr>
          </w:p>
        </w:tc>
        <w:tc>
          <w:tcPr>
            <w:tcW w:w="1196" w:type="pct"/>
            <w:vAlign w:val="center"/>
          </w:tcPr>
          <w:p w14:paraId="6FE25834">
            <w:pPr>
              <w:pStyle w:val="102"/>
              <w:rPr>
                <w:color w:val="000000" w:themeColor="text1"/>
                <w:spacing w:val="-2"/>
                <w:highlight w:val="none"/>
                <w14:textFill>
                  <w14:solidFill>
                    <w14:schemeClr w14:val="tx1"/>
                  </w14:solidFill>
                </w14:textFill>
              </w:rPr>
            </w:pPr>
          </w:p>
        </w:tc>
        <w:tc>
          <w:tcPr>
            <w:tcW w:w="1088" w:type="pct"/>
            <w:vAlign w:val="center"/>
          </w:tcPr>
          <w:p w14:paraId="6CDD9626">
            <w:pPr>
              <w:pStyle w:val="102"/>
              <w:rPr>
                <w:color w:val="000000" w:themeColor="text1"/>
                <w:spacing w:val="-2"/>
                <w:highlight w:val="none"/>
                <w14:textFill>
                  <w14:solidFill>
                    <w14:schemeClr w14:val="tx1"/>
                  </w14:solidFill>
                </w14:textFill>
              </w:rPr>
            </w:pPr>
          </w:p>
        </w:tc>
      </w:tr>
      <w:tr w14:paraId="4BEF4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21" w:type="pct"/>
            <w:vAlign w:val="center"/>
          </w:tcPr>
          <w:p w14:paraId="528E900C">
            <w:pPr>
              <w:pStyle w:val="102"/>
              <w:rPr>
                <w:color w:val="000000" w:themeColor="text1"/>
                <w:spacing w:val="-3"/>
                <w:highlight w:val="none"/>
                <w14:textFill>
                  <w14:solidFill>
                    <w14:schemeClr w14:val="tx1"/>
                  </w14:solidFill>
                </w14:textFill>
              </w:rPr>
            </w:pPr>
          </w:p>
        </w:tc>
        <w:tc>
          <w:tcPr>
            <w:tcW w:w="1592" w:type="pct"/>
            <w:vAlign w:val="center"/>
          </w:tcPr>
          <w:p w14:paraId="2C24A426">
            <w:pPr>
              <w:pStyle w:val="102"/>
              <w:rPr>
                <w:color w:val="000000" w:themeColor="text1"/>
                <w:spacing w:val="-3"/>
                <w:highlight w:val="none"/>
                <w14:textFill>
                  <w14:solidFill>
                    <w14:schemeClr w14:val="tx1"/>
                  </w14:solidFill>
                </w14:textFill>
              </w:rPr>
            </w:pPr>
          </w:p>
        </w:tc>
        <w:tc>
          <w:tcPr>
            <w:tcW w:w="501" w:type="pct"/>
            <w:vAlign w:val="center"/>
          </w:tcPr>
          <w:p w14:paraId="050680DC">
            <w:pPr>
              <w:pStyle w:val="102"/>
              <w:rPr>
                <w:color w:val="000000" w:themeColor="text1"/>
                <w:spacing w:val="-3"/>
                <w:highlight w:val="none"/>
                <w14:textFill>
                  <w14:solidFill>
                    <w14:schemeClr w14:val="tx1"/>
                  </w14:solidFill>
                </w14:textFill>
              </w:rPr>
            </w:pPr>
          </w:p>
        </w:tc>
        <w:tc>
          <w:tcPr>
            <w:tcW w:w="1196" w:type="pct"/>
            <w:vAlign w:val="center"/>
          </w:tcPr>
          <w:p w14:paraId="059DB659">
            <w:pPr>
              <w:pStyle w:val="102"/>
              <w:rPr>
                <w:color w:val="000000" w:themeColor="text1"/>
                <w:spacing w:val="-2"/>
                <w:highlight w:val="none"/>
                <w14:textFill>
                  <w14:solidFill>
                    <w14:schemeClr w14:val="tx1"/>
                  </w14:solidFill>
                </w14:textFill>
              </w:rPr>
            </w:pPr>
          </w:p>
        </w:tc>
        <w:tc>
          <w:tcPr>
            <w:tcW w:w="1088" w:type="pct"/>
            <w:vAlign w:val="center"/>
          </w:tcPr>
          <w:p w14:paraId="0979247B">
            <w:pPr>
              <w:pStyle w:val="102"/>
              <w:rPr>
                <w:color w:val="000000" w:themeColor="text1"/>
                <w:spacing w:val="-2"/>
                <w:highlight w:val="none"/>
                <w14:textFill>
                  <w14:solidFill>
                    <w14:schemeClr w14:val="tx1"/>
                  </w14:solidFill>
                </w14:textFill>
              </w:rPr>
            </w:pPr>
          </w:p>
        </w:tc>
      </w:tr>
    </w:tbl>
    <w:p w14:paraId="0049549E">
      <w:pPr>
        <w:spacing w:line="360" w:lineRule="auto"/>
        <w:ind w:firstLine="482" w:firstLineChars="200"/>
        <w:rPr>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第四条</w:t>
      </w:r>
      <w:r>
        <w:rPr>
          <w:color w:val="000000" w:themeColor="text1"/>
          <w:sz w:val="24"/>
          <w:szCs w:val="24"/>
          <w:highlight w:val="none"/>
          <w14:textFill>
            <w14:solidFill>
              <w14:schemeClr w14:val="tx1"/>
            </w14:solidFill>
          </w14:textFill>
        </w:rPr>
        <w:t xml:space="preserve">  设计人应向发包人交付的设计资料及文件：</w:t>
      </w:r>
    </w:p>
    <w:tbl>
      <w:tblPr>
        <w:tblStyle w:val="54"/>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30"/>
        <w:gridCol w:w="3093"/>
        <w:gridCol w:w="974"/>
        <w:gridCol w:w="2324"/>
        <w:gridCol w:w="2431"/>
      </w:tblGrid>
      <w:tr w14:paraId="44815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9" w:hRule="atLeast"/>
        </w:trPr>
        <w:tc>
          <w:tcPr>
            <w:tcW w:w="477" w:type="pct"/>
            <w:vAlign w:val="center"/>
          </w:tcPr>
          <w:p w14:paraId="53559B1F">
            <w:pPr>
              <w:pStyle w:val="102"/>
              <w:ind w:left="0" w:leftChars="0" w:firstLine="0" w:firstLineChars="0"/>
              <w:jc w:val="both"/>
              <w:rPr>
                <w:color w:val="000000" w:themeColor="text1"/>
                <w:spacing w:val="-3"/>
                <w:highlight w:val="none"/>
                <w14:textFill>
                  <w14:solidFill>
                    <w14:schemeClr w14:val="tx1"/>
                  </w14:solidFill>
                </w14:textFill>
              </w:rPr>
            </w:pPr>
            <w:r>
              <w:rPr>
                <w:color w:val="000000" w:themeColor="text1"/>
                <w:spacing w:val="-3"/>
                <w:highlight w:val="none"/>
                <w14:textFill>
                  <w14:solidFill>
                    <w14:schemeClr w14:val="tx1"/>
                  </w14:solidFill>
                </w14:textFill>
              </w:rPr>
              <w:t>序号</w:t>
            </w:r>
          </w:p>
        </w:tc>
        <w:tc>
          <w:tcPr>
            <w:tcW w:w="1585" w:type="pct"/>
            <w:vAlign w:val="center"/>
          </w:tcPr>
          <w:p w14:paraId="6E72A198">
            <w:pPr>
              <w:pStyle w:val="102"/>
              <w:jc w:val="center"/>
              <w:rPr>
                <w:color w:val="000000" w:themeColor="text1"/>
                <w:spacing w:val="-3"/>
                <w:highlight w:val="none"/>
                <w14:textFill>
                  <w14:solidFill>
                    <w14:schemeClr w14:val="tx1"/>
                  </w14:solidFill>
                </w14:textFill>
              </w:rPr>
            </w:pPr>
            <w:r>
              <w:rPr>
                <w:color w:val="000000" w:themeColor="text1"/>
                <w:spacing w:val="-3"/>
                <w:highlight w:val="none"/>
                <w14:textFill>
                  <w14:solidFill>
                    <w14:schemeClr w14:val="tx1"/>
                  </w14:solidFill>
                </w14:textFill>
              </w:rPr>
              <w:t>资料及文件名称</w:t>
            </w:r>
          </w:p>
        </w:tc>
        <w:tc>
          <w:tcPr>
            <w:tcW w:w="499" w:type="pct"/>
            <w:vAlign w:val="center"/>
          </w:tcPr>
          <w:p w14:paraId="0D637FE1">
            <w:pPr>
              <w:pStyle w:val="102"/>
              <w:jc w:val="center"/>
              <w:rPr>
                <w:color w:val="000000" w:themeColor="text1"/>
                <w:spacing w:val="-3"/>
                <w:highlight w:val="none"/>
                <w14:textFill>
                  <w14:solidFill>
                    <w14:schemeClr w14:val="tx1"/>
                  </w14:solidFill>
                </w14:textFill>
              </w:rPr>
            </w:pPr>
            <w:r>
              <w:rPr>
                <w:color w:val="000000" w:themeColor="text1"/>
                <w:spacing w:val="-3"/>
                <w:highlight w:val="none"/>
                <w14:textFill>
                  <w14:solidFill>
                    <w14:schemeClr w14:val="tx1"/>
                  </w14:solidFill>
                </w14:textFill>
              </w:rPr>
              <w:t>份数</w:t>
            </w:r>
          </w:p>
        </w:tc>
        <w:tc>
          <w:tcPr>
            <w:tcW w:w="1191" w:type="pct"/>
            <w:vAlign w:val="center"/>
          </w:tcPr>
          <w:p w14:paraId="56ADA14E">
            <w:pPr>
              <w:pStyle w:val="102"/>
              <w:jc w:val="center"/>
              <w:rPr>
                <w:color w:val="000000" w:themeColor="text1"/>
                <w:spacing w:val="-3"/>
                <w:highlight w:val="none"/>
                <w14:textFill>
                  <w14:solidFill>
                    <w14:schemeClr w14:val="tx1"/>
                  </w14:solidFill>
                </w14:textFill>
              </w:rPr>
            </w:pPr>
            <w:r>
              <w:rPr>
                <w:color w:val="000000" w:themeColor="text1"/>
                <w:spacing w:val="-3"/>
                <w:highlight w:val="none"/>
                <w14:textFill>
                  <w14:solidFill>
                    <w14:schemeClr w14:val="tx1"/>
                  </w14:solidFill>
                </w14:textFill>
              </w:rPr>
              <w:t>提交日期</w:t>
            </w:r>
          </w:p>
        </w:tc>
        <w:tc>
          <w:tcPr>
            <w:tcW w:w="1246" w:type="pct"/>
            <w:vAlign w:val="center"/>
          </w:tcPr>
          <w:p w14:paraId="3FE3E09C">
            <w:pPr>
              <w:pStyle w:val="102"/>
              <w:jc w:val="center"/>
              <w:rPr>
                <w:color w:val="000000" w:themeColor="text1"/>
                <w:spacing w:val="-3"/>
                <w:highlight w:val="none"/>
                <w14:textFill>
                  <w14:solidFill>
                    <w14:schemeClr w14:val="tx1"/>
                  </w14:solidFill>
                </w14:textFill>
              </w:rPr>
            </w:pPr>
            <w:r>
              <w:rPr>
                <w:color w:val="000000" w:themeColor="text1"/>
                <w:spacing w:val="-3"/>
                <w:highlight w:val="none"/>
                <w14:textFill>
                  <w14:solidFill>
                    <w14:schemeClr w14:val="tx1"/>
                  </w14:solidFill>
                </w14:textFill>
              </w:rPr>
              <w:t>有关事宜</w:t>
            </w:r>
          </w:p>
        </w:tc>
      </w:tr>
      <w:tr w14:paraId="15AC7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477" w:type="pct"/>
            <w:vAlign w:val="center"/>
          </w:tcPr>
          <w:p w14:paraId="76EF68DD">
            <w:pPr>
              <w:pStyle w:val="102"/>
              <w:rPr>
                <w:color w:val="000000" w:themeColor="text1"/>
                <w:spacing w:val="-3"/>
                <w:highlight w:val="none"/>
                <w14:textFill>
                  <w14:solidFill>
                    <w14:schemeClr w14:val="tx1"/>
                  </w14:solidFill>
                </w14:textFill>
              </w:rPr>
            </w:pPr>
          </w:p>
        </w:tc>
        <w:tc>
          <w:tcPr>
            <w:tcW w:w="1585" w:type="pct"/>
            <w:vAlign w:val="center"/>
          </w:tcPr>
          <w:p w14:paraId="787D9AFE">
            <w:pPr>
              <w:pStyle w:val="102"/>
              <w:rPr>
                <w:color w:val="000000" w:themeColor="text1"/>
                <w:spacing w:val="-3"/>
                <w:highlight w:val="none"/>
                <w14:textFill>
                  <w14:solidFill>
                    <w14:schemeClr w14:val="tx1"/>
                  </w14:solidFill>
                </w14:textFill>
              </w:rPr>
            </w:pPr>
          </w:p>
        </w:tc>
        <w:tc>
          <w:tcPr>
            <w:tcW w:w="499" w:type="pct"/>
            <w:vAlign w:val="center"/>
          </w:tcPr>
          <w:p w14:paraId="6041A178">
            <w:pPr>
              <w:pStyle w:val="102"/>
              <w:rPr>
                <w:color w:val="000000" w:themeColor="text1"/>
                <w:spacing w:val="-3"/>
                <w:highlight w:val="none"/>
                <w14:textFill>
                  <w14:solidFill>
                    <w14:schemeClr w14:val="tx1"/>
                  </w14:solidFill>
                </w14:textFill>
              </w:rPr>
            </w:pPr>
          </w:p>
        </w:tc>
        <w:tc>
          <w:tcPr>
            <w:tcW w:w="1191" w:type="pct"/>
            <w:vAlign w:val="center"/>
          </w:tcPr>
          <w:p w14:paraId="3FE56858">
            <w:pPr>
              <w:pStyle w:val="102"/>
              <w:rPr>
                <w:color w:val="000000" w:themeColor="text1"/>
                <w:spacing w:val="-3"/>
                <w:highlight w:val="none"/>
                <w14:textFill>
                  <w14:solidFill>
                    <w14:schemeClr w14:val="tx1"/>
                  </w14:solidFill>
                </w14:textFill>
              </w:rPr>
            </w:pPr>
          </w:p>
        </w:tc>
        <w:tc>
          <w:tcPr>
            <w:tcW w:w="1246" w:type="pct"/>
            <w:vAlign w:val="center"/>
          </w:tcPr>
          <w:p w14:paraId="7EBD9F39">
            <w:pPr>
              <w:pStyle w:val="102"/>
              <w:rPr>
                <w:color w:val="000000" w:themeColor="text1"/>
                <w:spacing w:val="-3"/>
                <w:highlight w:val="none"/>
                <w14:textFill>
                  <w14:solidFill>
                    <w14:schemeClr w14:val="tx1"/>
                  </w14:solidFill>
                </w14:textFill>
              </w:rPr>
            </w:pPr>
          </w:p>
        </w:tc>
      </w:tr>
      <w:tr w14:paraId="533CA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477" w:type="pct"/>
            <w:vAlign w:val="center"/>
          </w:tcPr>
          <w:p w14:paraId="2EA368B5">
            <w:pPr>
              <w:pStyle w:val="102"/>
              <w:rPr>
                <w:color w:val="000000" w:themeColor="text1"/>
                <w:spacing w:val="-3"/>
                <w:highlight w:val="none"/>
                <w14:textFill>
                  <w14:solidFill>
                    <w14:schemeClr w14:val="tx1"/>
                  </w14:solidFill>
                </w14:textFill>
              </w:rPr>
            </w:pPr>
          </w:p>
        </w:tc>
        <w:tc>
          <w:tcPr>
            <w:tcW w:w="1585" w:type="pct"/>
            <w:vAlign w:val="center"/>
          </w:tcPr>
          <w:p w14:paraId="050BCD42">
            <w:pPr>
              <w:pStyle w:val="102"/>
              <w:rPr>
                <w:color w:val="000000" w:themeColor="text1"/>
                <w:spacing w:val="-3"/>
                <w:highlight w:val="none"/>
                <w14:textFill>
                  <w14:solidFill>
                    <w14:schemeClr w14:val="tx1"/>
                  </w14:solidFill>
                </w14:textFill>
              </w:rPr>
            </w:pPr>
          </w:p>
        </w:tc>
        <w:tc>
          <w:tcPr>
            <w:tcW w:w="499" w:type="pct"/>
            <w:vAlign w:val="center"/>
          </w:tcPr>
          <w:p w14:paraId="7FBA7179">
            <w:pPr>
              <w:pStyle w:val="102"/>
              <w:rPr>
                <w:color w:val="000000" w:themeColor="text1"/>
                <w:spacing w:val="-3"/>
                <w:highlight w:val="none"/>
                <w14:textFill>
                  <w14:solidFill>
                    <w14:schemeClr w14:val="tx1"/>
                  </w14:solidFill>
                </w14:textFill>
              </w:rPr>
            </w:pPr>
          </w:p>
        </w:tc>
        <w:tc>
          <w:tcPr>
            <w:tcW w:w="1191" w:type="pct"/>
            <w:vAlign w:val="center"/>
          </w:tcPr>
          <w:p w14:paraId="4278BA82">
            <w:pPr>
              <w:pStyle w:val="102"/>
              <w:rPr>
                <w:color w:val="000000" w:themeColor="text1"/>
                <w:spacing w:val="-3"/>
                <w:highlight w:val="none"/>
                <w14:textFill>
                  <w14:solidFill>
                    <w14:schemeClr w14:val="tx1"/>
                  </w14:solidFill>
                </w14:textFill>
              </w:rPr>
            </w:pPr>
          </w:p>
        </w:tc>
        <w:tc>
          <w:tcPr>
            <w:tcW w:w="1246" w:type="pct"/>
            <w:vAlign w:val="center"/>
          </w:tcPr>
          <w:p w14:paraId="04308C01">
            <w:pPr>
              <w:pStyle w:val="102"/>
              <w:rPr>
                <w:color w:val="000000" w:themeColor="text1"/>
                <w:spacing w:val="-3"/>
                <w:highlight w:val="none"/>
                <w14:textFill>
                  <w14:solidFill>
                    <w14:schemeClr w14:val="tx1"/>
                  </w14:solidFill>
                </w14:textFill>
              </w:rPr>
            </w:pPr>
          </w:p>
        </w:tc>
      </w:tr>
      <w:tr w14:paraId="33AC5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477" w:type="pct"/>
            <w:vAlign w:val="center"/>
          </w:tcPr>
          <w:p w14:paraId="556F4853">
            <w:pPr>
              <w:pStyle w:val="102"/>
              <w:rPr>
                <w:color w:val="000000" w:themeColor="text1"/>
                <w:spacing w:val="-3"/>
                <w:highlight w:val="none"/>
                <w14:textFill>
                  <w14:solidFill>
                    <w14:schemeClr w14:val="tx1"/>
                  </w14:solidFill>
                </w14:textFill>
              </w:rPr>
            </w:pPr>
          </w:p>
        </w:tc>
        <w:tc>
          <w:tcPr>
            <w:tcW w:w="1585" w:type="pct"/>
            <w:vAlign w:val="center"/>
          </w:tcPr>
          <w:p w14:paraId="5C28F0E1">
            <w:pPr>
              <w:pStyle w:val="102"/>
              <w:rPr>
                <w:color w:val="000000" w:themeColor="text1"/>
                <w:spacing w:val="-3"/>
                <w:highlight w:val="none"/>
                <w14:textFill>
                  <w14:solidFill>
                    <w14:schemeClr w14:val="tx1"/>
                  </w14:solidFill>
                </w14:textFill>
              </w:rPr>
            </w:pPr>
          </w:p>
        </w:tc>
        <w:tc>
          <w:tcPr>
            <w:tcW w:w="499" w:type="pct"/>
            <w:vAlign w:val="center"/>
          </w:tcPr>
          <w:p w14:paraId="45221F5A">
            <w:pPr>
              <w:pStyle w:val="102"/>
              <w:rPr>
                <w:color w:val="000000" w:themeColor="text1"/>
                <w:spacing w:val="-3"/>
                <w:highlight w:val="none"/>
                <w14:textFill>
                  <w14:solidFill>
                    <w14:schemeClr w14:val="tx1"/>
                  </w14:solidFill>
                </w14:textFill>
              </w:rPr>
            </w:pPr>
          </w:p>
        </w:tc>
        <w:tc>
          <w:tcPr>
            <w:tcW w:w="1191" w:type="pct"/>
            <w:vAlign w:val="center"/>
          </w:tcPr>
          <w:p w14:paraId="63760676">
            <w:pPr>
              <w:pStyle w:val="102"/>
              <w:rPr>
                <w:color w:val="000000" w:themeColor="text1"/>
                <w:spacing w:val="-3"/>
                <w:highlight w:val="none"/>
                <w14:textFill>
                  <w14:solidFill>
                    <w14:schemeClr w14:val="tx1"/>
                  </w14:solidFill>
                </w14:textFill>
              </w:rPr>
            </w:pPr>
          </w:p>
        </w:tc>
        <w:tc>
          <w:tcPr>
            <w:tcW w:w="1246" w:type="pct"/>
            <w:vAlign w:val="center"/>
          </w:tcPr>
          <w:p w14:paraId="294A005A">
            <w:pPr>
              <w:pStyle w:val="102"/>
              <w:rPr>
                <w:color w:val="000000" w:themeColor="text1"/>
                <w:spacing w:val="-3"/>
                <w:highlight w:val="none"/>
                <w14:textFill>
                  <w14:solidFill>
                    <w14:schemeClr w14:val="tx1"/>
                  </w14:solidFill>
                </w14:textFill>
              </w:rPr>
            </w:pPr>
          </w:p>
        </w:tc>
      </w:tr>
      <w:tr w14:paraId="2260B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477" w:type="pct"/>
            <w:vAlign w:val="center"/>
          </w:tcPr>
          <w:p w14:paraId="17DE97EF">
            <w:pPr>
              <w:pStyle w:val="102"/>
              <w:rPr>
                <w:color w:val="000000" w:themeColor="text1"/>
                <w:spacing w:val="-3"/>
                <w:highlight w:val="none"/>
                <w14:textFill>
                  <w14:solidFill>
                    <w14:schemeClr w14:val="tx1"/>
                  </w14:solidFill>
                </w14:textFill>
              </w:rPr>
            </w:pPr>
          </w:p>
        </w:tc>
        <w:tc>
          <w:tcPr>
            <w:tcW w:w="1585" w:type="pct"/>
            <w:vAlign w:val="center"/>
          </w:tcPr>
          <w:p w14:paraId="21A7CD22">
            <w:pPr>
              <w:pStyle w:val="102"/>
              <w:rPr>
                <w:color w:val="000000" w:themeColor="text1"/>
                <w:spacing w:val="-3"/>
                <w:highlight w:val="none"/>
                <w14:textFill>
                  <w14:solidFill>
                    <w14:schemeClr w14:val="tx1"/>
                  </w14:solidFill>
                </w14:textFill>
              </w:rPr>
            </w:pPr>
          </w:p>
        </w:tc>
        <w:tc>
          <w:tcPr>
            <w:tcW w:w="499" w:type="pct"/>
            <w:vAlign w:val="center"/>
          </w:tcPr>
          <w:p w14:paraId="5E2040D6">
            <w:pPr>
              <w:pStyle w:val="102"/>
              <w:rPr>
                <w:color w:val="000000" w:themeColor="text1"/>
                <w:spacing w:val="-3"/>
                <w:highlight w:val="none"/>
                <w14:textFill>
                  <w14:solidFill>
                    <w14:schemeClr w14:val="tx1"/>
                  </w14:solidFill>
                </w14:textFill>
              </w:rPr>
            </w:pPr>
          </w:p>
        </w:tc>
        <w:tc>
          <w:tcPr>
            <w:tcW w:w="1191" w:type="pct"/>
            <w:vAlign w:val="center"/>
          </w:tcPr>
          <w:p w14:paraId="0DDD7F1E">
            <w:pPr>
              <w:pStyle w:val="102"/>
              <w:rPr>
                <w:color w:val="000000" w:themeColor="text1"/>
                <w:spacing w:val="-3"/>
                <w:highlight w:val="none"/>
                <w14:textFill>
                  <w14:solidFill>
                    <w14:schemeClr w14:val="tx1"/>
                  </w14:solidFill>
                </w14:textFill>
              </w:rPr>
            </w:pPr>
          </w:p>
        </w:tc>
        <w:tc>
          <w:tcPr>
            <w:tcW w:w="1246" w:type="pct"/>
            <w:vAlign w:val="center"/>
          </w:tcPr>
          <w:p w14:paraId="5E5EEBC1">
            <w:pPr>
              <w:pStyle w:val="102"/>
              <w:rPr>
                <w:color w:val="000000" w:themeColor="text1"/>
                <w:spacing w:val="-3"/>
                <w:highlight w:val="none"/>
                <w14:textFill>
                  <w14:solidFill>
                    <w14:schemeClr w14:val="tx1"/>
                  </w14:solidFill>
                </w14:textFill>
              </w:rPr>
            </w:pPr>
          </w:p>
        </w:tc>
      </w:tr>
      <w:tr w14:paraId="1997B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477" w:type="pct"/>
            <w:vAlign w:val="center"/>
          </w:tcPr>
          <w:p w14:paraId="41FCC41E">
            <w:pPr>
              <w:pStyle w:val="102"/>
              <w:rPr>
                <w:color w:val="000000" w:themeColor="text1"/>
                <w:spacing w:val="-3"/>
                <w:highlight w:val="none"/>
                <w14:textFill>
                  <w14:solidFill>
                    <w14:schemeClr w14:val="tx1"/>
                  </w14:solidFill>
                </w14:textFill>
              </w:rPr>
            </w:pPr>
          </w:p>
        </w:tc>
        <w:tc>
          <w:tcPr>
            <w:tcW w:w="1585" w:type="pct"/>
            <w:vAlign w:val="center"/>
          </w:tcPr>
          <w:p w14:paraId="218CF310">
            <w:pPr>
              <w:pStyle w:val="102"/>
              <w:rPr>
                <w:color w:val="000000" w:themeColor="text1"/>
                <w:spacing w:val="-3"/>
                <w:highlight w:val="none"/>
                <w14:textFill>
                  <w14:solidFill>
                    <w14:schemeClr w14:val="tx1"/>
                  </w14:solidFill>
                </w14:textFill>
              </w:rPr>
            </w:pPr>
          </w:p>
        </w:tc>
        <w:tc>
          <w:tcPr>
            <w:tcW w:w="499" w:type="pct"/>
            <w:vAlign w:val="center"/>
          </w:tcPr>
          <w:p w14:paraId="3C793D19">
            <w:pPr>
              <w:pStyle w:val="102"/>
              <w:rPr>
                <w:color w:val="000000" w:themeColor="text1"/>
                <w:spacing w:val="-3"/>
                <w:highlight w:val="none"/>
                <w14:textFill>
                  <w14:solidFill>
                    <w14:schemeClr w14:val="tx1"/>
                  </w14:solidFill>
                </w14:textFill>
              </w:rPr>
            </w:pPr>
          </w:p>
        </w:tc>
        <w:tc>
          <w:tcPr>
            <w:tcW w:w="1191" w:type="pct"/>
            <w:vAlign w:val="center"/>
          </w:tcPr>
          <w:p w14:paraId="514D7211">
            <w:pPr>
              <w:pStyle w:val="102"/>
              <w:rPr>
                <w:color w:val="000000" w:themeColor="text1"/>
                <w:spacing w:val="-3"/>
                <w:highlight w:val="none"/>
                <w14:textFill>
                  <w14:solidFill>
                    <w14:schemeClr w14:val="tx1"/>
                  </w14:solidFill>
                </w14:textFill>
              </w:rPr>
            </w:pPr>
          </w:p>
        </w:tc>
        <w:tc>
          <w:tcPr>
            <w:tcW w:w="1246" w:type="pct"/>
            <w:vAlign w:val="center"/>
          </w:tcPr>
          <w:p w14:paraId="66CE9C6D">
            <w:pPr>
              <w:pStyle w:val="102"/>
              <w:rPr>
                <w:color w:val="000000" w:themeColor="text1"/>
                <w:spacing w:val="-3"/>
                <w:highlight w:val="none"/>
                <w14:textFill>
                  <w14:solidFill>
                    <w14:schemeClr w14:val="tx1"/>
                  </w14:solidFill>
                </w14:textFill>
              </w:rPr>
            </w:pPr>
          </w:p>
        </w:tc>
      </w:tr>
    </w:tbl>
    <w:p w14:paraId="5E3687C1">
      <w:pPr>
        <w:spacing w:line="360" w:lineRule="auto"/>
        <w:ind w:firstLine="482" w:firstLineChars="200"/>
        <w:rPr>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第五条</w:t>
      </w:r>
      <w:r>
        <w:rPr>
          <w:color w:val="000000" w:themeColor="text1"/>
          <w:sz w:val="24"/>
          <w:szCs w:val="24"/>
          <w:highlight w:val="none"/>
          <w14:textFill>
            <w14:solidFill>
              <w14:schemeClr w14:val="tx1"/>
            </w14:solidFill>
          </w14:textFill>
        </w:rPr>
        <w:t xml:space="preserve">  设计的费用以人民币结算，本合同设计收费</w:t>
      </w:r>
      <w:r>
        <w:rPr>
          <w:rFonts w:hint="eastAsia"/>
          <w:color w:val="000000" w:themeColor="text1"/>
          <w:sz w:val="24"/>
          <w:szCs w:val="24"/>
          <w:highlight w:val="none"/>
          <w14:textFill>
            <w14:solidFill>
              <w14:schemeClr w14:val="tx1"/>
            </w14:solidFill>
          </w14:textFill>
        </w:rPr>
        <w:t>费率为%</w:t>
      </w:r>
      <w:r>
        <w:rPr>
          <w:color w:val="000000" w:themeColor="text1"/>
          <w:sz w:val="24"/>
          <w:szCs w:val="24"/>
          <w:highlight w:val="none"/>
          <w14:textFill>
            <w14:solidFill>
              <w14:schemeClr w14:val="tx1"/>
            </w14:solidFill>
          </w14:textFill>
        </w:rPr>
        <w:t>。</w:t>
      </w:r>
    </w:p>
    <w:p w14:paraId="02389F10">
      <w:pPr>
        <w:tabs>
          <w:tab w:val="left" w:pos="567"/>
        </w:tabs>
        <w:spacing w:line="360" w:lineRule="auto"/>
        <w:ind w:firstLine="480" w:firstLineChars="200"/>
        <w:rPr>
          <w:rFonts w:hint="eastAsia" w:ascii="Times New Roman" w:hAnsi="Times New Roman" w:cs="Times New Roman"/>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付款：</w:t>
      </w:r>
      <w:r>
        <w:rPr>
          <w:rFonts w:hint="eastAsia" w:ascii="Times New Roman" w:hAnsi="Times New Roman" w:cs="Times New Roman"/>
          <w:color w:val="000000" w:themeColor="text1"/>
          <w:szCs w:val="21"/>
          <w:highlight w:val="none"/>
          <w:lang w:eastAsia="zh-CN"/>
          <w14:textFill>
            <w14:solidFill>
              <w14:schemeClr w14:val="tx1"/>
            </w14:solidFill>
          </w14:textFill>
        </w:rPr>
        <w:t>按实结算，每半年</w:t>
      </w:r>
      <w:r>
        <w:rPr>
          <w:rFonts w:hint="eastAsia" w:ascii="Times New Roman" w:hAnsi="Times New Roman" w:cs="Times New Roman"/>
          <w:color w:val="000000" w:themeColor="text1"/>
          <w:szCs w:val="21"/>
          <w:highlight w:val="none"/>
          <w14:textFill>
            <w14:solidFill>
              <w14:schemeClr w14:val="tx1"/>
            </w14:solidFill>
          </w14:textFill>
        </w:rPr>
        <w:t>支付</w:t>
      </w:r>
      <w:r>
        <w:rPr>
          <w:rFonts w:hint="eastAsia" w:ascii="Times New Roman" w:hAnsi="Times New Roman" w:cs="Times New Roman"/>
          <w:color w:val="000000" w:themeColor="text1"/>
          <w:szCs w:val="21"/>
          <w:highlight w:val="none"/>
          <w:lang w:eastAsia="zh-CN"/>
          <w14:textFill>
            <w14:solidFill>
              <w14:schemeClr w14:val="tx1"/>
            </w14:solidFill>
          </w14:textFill>
        </w:rPr>
        <w:t>一次，经双方确认后支付已完工作量设计费。</w:t>
      </w:r>
    </w:p>
    <w:p w14:paraId="68D97043">
      <w:pPr>
        <w:keepNext w:val="0"/>
        <w:keepLines w:val="0"/>
        <w:pageBreakBefore w:val="0"/>
        <w:widowControl w:val="0"/>
        <w:kinsoku/>
        <w:wordWrap/>
        <w:overflowPunct/>
        <w:topLinePunct w:val="0"/>
        <w:autoSpaceDE w:val="0"/>
        <w:autoSpaceDN w:val="0"/>
        <w:bidi w:val="0"/>
        <w:adjustRightInd/>
        <w:snapToGrid/>
        <w:spacing w:after="0" w:line="360" w:lineRule="auto"/>
        <w:ind w:firstLine="480"/>
        <w:textAlignment w:val="auto"/>
        <w:rPr>
          <w:rFonts w:hint="eastAsia" w:ascii="宋体" w:hAnsi="宋体" w:eastAsia="宋体" w:cs="宋体"/>
          <w:color w:val="000000" w:themeColor="text1"/>
          <w:highlight w:val="none"/>
          <w14:textFill>
            <w14:solidFill>
              <w14:schemeClr w14:val="tx1"/>
            </w14:solidFill>
          </w14:textFill>
        </w:rPr>
      </w:pPr>
    </w:p>
    <w:p w14:paraId="1263F330">
      <w:pPr>
        <w:spacing w:line="360" w:lineRule="auto"/>
        <w:ind w:firstLine="482" w:firstLineChars="200"/>
        <w:rPr>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第六条</w:t>
      </w:r>
      <w:r>
        <w:rPr>
          <w:color w:val="000000" w:themeColor="text1"/>
          <w:sz w:val="24"/>
          <w:szCs w:val="24"/>
          <w:highlight w:val="none"/>
          <w14:textFill>
            <w14:solidFill>
              <w14:schemeClr w14:val="tx1"/>
            </w14:solidFill>
          </w14:textFill>
        </w:rPr>
        <w:t xml:space="preserve">  双方责任</w:t>
      </w:r>
    </w:p>
    <w:p w14:paraId="058ECB7A">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6.1 发包人责任：</w:t>
      </w:r>
    </w:p>
    <w:p w14:paraId="7188EE49">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6.1.1 发包人按本合同第三条规定的内容，在规定的时间内向设计人提交资料及文 件，并对其完整性、正确性及时限负责，发包人不得要求设计人违反国家有关标准进行 设计。</w:t>
      </w:r>
    </w:p>
    <w:p w14:paraId="5AB0CE89">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发包人提交上述资料及文件超过规定期限 15 天以内，设计人按合同第四条规定交 付设计时间顺延；超过规定期限 15 天以上时，设计人员有权重新确定提交设计文件的时间。</w:t>
      </w:r>
    </w:p>
    <w:p w14:paraId="4B0CF4AD">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6.1.2 发包人变更委托设计项目、规模、条件或因提交的资料错误，或所提交资料 作较大修改，以致造成设计人设计需返工时，双方除需另行协商签订补充协议（或另订合同）、重新明确有关条款外，发包人应按设计人所耗工作量向设计人增付设计费。</w:t>
      </w:r>
    </w:p>
    <w:p w14:paraId="00C743B6">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6.1.3 发包人要求设计人比合同规定时间提前交付设计资料及文件时，如果设计人 能够做到，发包人应根据设计人提前投入的工作量，向设计人支付赶工费。</w:t>
      </w:r>
    </w:p>
    <w:p w14:paraId="071B8ABC">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6.1.4 发包人应为派赴现场处理有关设计问题的工作人员提供必要的工作生活及交 通等方便条件。</w:t>
      </w:r>
    </w:p>
    <w:p w14:paraId="5019C851">
      <w:pPr>
        <w:spacing w:line="360" w:lineRule="auto"/>
        <w:ind w:firstLine="480" w:firstLineChars="200"/>
        <w:jc w:val="both"/>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6.1.5 发包人应保护设计人的投标书、设计方案、文件、资料图纸、数据、计算软 件和专利技术。未经设计人同意，发包人对设计人交付的设计资料及文件不得擅自修改、 复制或向第三人转让或用于本合同外的项目，如发生以上情况，发包人应负法律责任， 设计人有权向发包人提出索赔。</w:t>
      </w:r>
    </w:p>
    <w:p w14:paraId="0B24186B">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6.2 设计人责任：</w:t>
      </w:r>
    </w:p>
    <w:p w14:paraId="40C98024">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6.2.1 设计人应按国家技术规范、标准、规程及发包人提出的设计要求，进行工程 设计，按合同规定的进度要求提交质量合格的设计资料，并对其负责。</w:t>
      </w:r>
    </w:p>
    <w:p w14:paraId="1A0C9564">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6.2.2 设计合理使用年限为相关规范规定年限。</w:t>
      </w:r>
    </w:p>
    <w:p w14:paraId="1F6D5B1B">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6.2.3 设计人按本合同第二条和第四条规定的内容、进度及份数向发包人交付资料 及文件。</w:t>
      </w:r>
    </w:p>
    <w:p w14:paraId="57A89B78">
      <w:pPr>
        <w:spacing w:line="360" w:lineRule="auto"/>
        <w:ind w:firstLine="480" w:firstLineChars="200"/>
        <w:jc w:val="both"/>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6.2.4 设计人交付设计资料及文件后，按规定参加有关的设计审查，并根据审查结 论负责对不超出原定范围的内容做必要调整补充。设计人按合同规定时限交付设计资料 及文件，负责向发包人及施工单位进行设计交底、处理有关设计问题和参加竣工验收。</w:t>
      </w:r>
    </w:p>
    <w:p w14:paraId="1D2D6298">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6.2.5 设计人应保护发包人的知识产权，不得向第三人泄露、转让发包人提交的产 品图纸等技术经济资料。如发生以上情况并给发包人造成经济损失， 发包人有权向设计人索赔。</w:t>
      </w:r>
    </w:p>
    <w:p w14:paraId="790A7549">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6.3 任务书、相关文件制定、布局概念性方案及其他服务成果应得到业主认可。</w:t>
      </w:r>
    </w:p>
    <w:p w14:paraId="00A340B4">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6.4 设计过程中设计人与业主紧密配合，业主对任务书、相关文件制定、布局概念性方案的合理修改意见设计人应予以采纳。</w:t>
      </w:r>
    </w:p>
    <w:p w14:paraId="5E004EF1">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6.5 设计过程中业主要求设计人员一同前往外地考察，设计人应予以配合。设计人 员的路费、住宿费由设计人承担；餐费及其它费用由业主负担。</w:t>
      </w:r>
    </w:p>
    <w:p w14:paraId="3FCE9B0D">
      <w:pPr>
        <w:spacing w:line="360" w:lineRule="auto"/>
        <w:ind w:firstLine="482"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第七条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违约责任：</w:t>
      </w:r>
    </w:p>
    <w:p w14:paraId="62587D44">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设计人对设计资料及文件出现的遗漏或错误负责修改或补充。由于设计人员错 误造成工程质量事故损失，设计人除负责采取补救措施外，应免收直接受损失部分的设 计费，并赔偿发包人由此造成的损失，赔偿金额累计不超过合同额。</w:t>
      </w:r>
    </w:p>
    <w:p w14:paraId="6E8E3582">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由于设计人自身原因，延误了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规定的设计资料及设计文件的交付时间，每延误一天，应减收该项目设计费的千分之二。</w:t>
      </w:r>
    </w:p>
    <w:p w14:paraId="10ACF90D">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合同生效后，设计人要求终止或解除合同，设计人应双倍返还定金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5F94EF8D">
      <w:pPr>
        <w:spacing w:line="360" w:lineRule="auto"/>
        <w:ind w:firstLine="482"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第八条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其它</w:t>
      </w:r>
    </w:p>
    <w:p w14:paraId="0851C982">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8.1 发包人要求设计人派专人留驻施工现场进行配合与解决有关问题，设计人应予支持。</w:t>
      </w:r>
    </w:p>
    <w:p w14:paraId="437B45C5">
      <w:pPr>
        <w:spacing w:line="360" w:lineRule="auto"/>
        <w:ind w:firstLine="480" w:firstLineChars="200"/>
        <w:jc w:val="both"/>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8.2 设计人为本合同项目所采用的国家或地方标准图，由发包人自费向有关出版部  门购买。本合同第四条规定设计人交付的设计资料及文件份数超过《工程设计收费标准》 规定的份数，设计人另收工本费。</w:t>
      </w:r>
    </w:p>
    <w:p w14:paraId="01C8FF3F">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8.3 本工程设计资料及文件中，建筑材料、建筑构配件和设备，应当注明其规格、 型号、性能等技术指标，设计人不得指定生产厂、供应商。发包人需要设计人的设计人员配合加工定货时，所需要费用由发包人承担。</w:t>
      </w:r>
    </w:p>
    <w:p w14:paraId="65BDAAB5">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8.4 发包人委托设计人配合引进项目的设计任务，从询价、对外谈判、国内外技术考察直至建成投产的各个阶段，应吸收承担有关设计任务的设计人参加。出国费用，除制装费外，其它费用由发包人支付。</w:t>
      </w:r>
    </w:p>
    <w:p w14:paraId="545E1D2A">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8.5 发包人委托设计人承担本合同内容之外的工作服务，另行支付费用。</w:t>
      </w:r>
    </w:p>
    <w:p w14:paraId="2F15F603">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8.6由于不可抗力因素致使合同无法履行时，双方应及时协商解决。</w:t>
      </w:r>
    </w:p>
    <w:p w14:paraId="5859430D">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8.7 本合同发生争议，双方当事人应及时协商解决，也可由当地建设行政主管部门</w:t>
      </w:r>
    </w:p>
    <w:p w14:paraId="362F3CB8">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调解，调解不成时，双方当事人同意由南京仲裁委员会仲裁。未达成仲裁书面协议的，可向当地人民法院起诉。</w:t>
      </w:r>
    </w:p>
    <w:p w14:paraId="268B4080">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8.8 本合同一式陆份，发包人叁份，设计人叁份。</w:t>
      </w:r>
    </w:p>
    <w:p w14:paraId="2B7A08FF">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8.9 本合同经双方签章并在发包人向设计人支付订金后生效。</w:t>
      </w:r>
    </w:p>
    <w:p w14:paraId="6A47193A">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8.10本合同未尽事宜，双方可签订补充协议，有关协议及双方认可的来往电报、传真、会议纪要等，均为本合同组成部分，与本合同具有同等法律效力。</w:t>
      </w:r>
    </w:p>
    <w:p w14:paraId="78D80867">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8.11 其它约定事项：由甲乙双方共同商议。</w:t>
      </w:r>
    </w:p>
    <w:p w14:paraId="03AC6A17">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发包人名称：（盖章）              设计人名称：（盖章）</w:t>
      </w:r>
    </w:p>
    <w:p w14:paraId="4E48ACA9">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法定代表人：（签字）              法定代表人：（签字）</w:t>
      </w:r>
    </w:p>
    <w:p w14:paraId="1E959569">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授权代表：（签字）                授权代表：（签字）</w:t>
      </w:r>
    </w:p>
    <w:p w14:paraId="10872187">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住    所：                        住     所：</w:t>
      </w:r>
    </w:p>
    <w:p w14:paraId="70224E25">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邮政编码：                        邮政编码：</w:t>
      </w:r>
    </w:p>
    <w:p w14:paraId="46B73D3C">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   话：                         电    话：</w:t>
      </w:r>
    </w:p>
    <w:p w14:paraId="14D9F952">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传   真：                         传    真：</w:t>
      </w:r>
    </w:p>
    <w:p w14:paraId="2EA29C58">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开户银行：                        开户银行：</w:t>
      </w:r>
    </w:p>
    <w:p w14:paraId="65B116A0">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银行帐号：                        银行帐号：</w:t>
      </w:r>
    </w:p>
    <w:p w14:paraId="731B970E">
      <w:pPr>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    期：                        日    期：</w:t>
      </w:r>
    </w:p>
    <w:p w14:paraId="064BB335">
      <w:pPr>
        <w:pStyle w:val="2"/>
        <w:rPr>
          <w:rFonts w:hint="eastAsia" w:ascii="宋体" w:hAnsi="宋体" w:eastAsia="宋体" w:cs="宋体"/>
          <w:color w:val="000000" w:themeColor="text1"/>
          <w:highlight w:val="none"/>
          <w14:textFill>
            <w14:solidFill>
              <w14:schemeClr w14:val="tx1"/>
            </w14:solidFill>
          </w14:textFill>
        </w:rPr>
      </w:pPr>
    </w:p>
    <w:p w14:paraId="100E43C5">
      <w:pPr>
        <w:pStyle w:val="2"/>
        <w:rPr>
          <w:rFonts w:hint="eastAsia" w:ascii="宋体" w:hAnsi="宋体" w:eastAsia="宋体" w:cs="宋体"/>
          <w:color w:val="000000" w:themeColor="text1"/>
          <w:highlight w:val="none"/>
          <w14:textFill>
            <w14:solidFill>
              <w14:schemeClr w14:val="tx1"/>
            </w14:solidFill>
          </w14:textFill>
        </w:rPr>
      </w:pPr>
    </w:p>
    <w:p w14:paraId="0E601AC8">
      <w:pPr>
        <w:pStyle w:val="2"/>
        <w:rPr>
          <w:rFonts w:hint="eastAsia" w:ascii="宋体" w:hAnsi="宋体" w:eastAsia="宋体" w:cs="宋体"/>
          <w:color w:val="000000" w:themeColor="text1"/>
          <w:highlight w:val="none"/>
          <w14:textFill>
            <w14:solidFill>
              <w14:schemeClr w14:val="tx1"/>
            </w14:solidFill>
          </w14:textFill>
        </w:rPr>
      </w:pPr>
    </w:p>
    <w:p w14:paraId="79B975C7">
      <w:pPr>
        <w:pStyle w:val="2"/>
        <w:rPr>
          <w:rFonts w:hint="eastAsia" w:ascii="宋体" w:hAnsi="宋体" w:eastAsia="宋体" w:cs="宋体"/>
          <w:color w:val="000000" w:themeColor="text1"/>
          <w:highlight w:val="none"/>
          <w14:textFill>
            <w14:solidFill>
              <w14:schemeClr w14:val="tx1"/>
            </w14:solidFill>
          </w14:textFill>
        </w:rPr>
      </w:pPr>
    </w:p>
    <w:p w14:paraId="71939595">
      <w:pPr>
        <w:pStyle w:val="2"/>
        <w:rPr>
          <w:rFonts w:hint="eastAsia" w:ascii="宋体" w:hAnsi="宋体" w:eastAsia="宋体" w:cs="宋体"/>
          <w:color w:val="000000" w:themeColor="text1"/>
          <w:highlight w:val="none"/>
          <w14:textFill>
            <w14:solidFill>
              <w14:schemeClr w14:val="tx1"/>
            </w14:solidFill>
          </w14:textFill>
        </w:rPr>
      </w:pPr>
    </w:p>
    <w:p w14:paraId="20382470">
      <w:pPr>
        <w:pStyle w:val="2"/>
        <w:rPr>
          <w:rFonts w:hint="eastAsia" w:ascii="宋体" w:hAnsi="宋体" w:eastAsia="宋体" w:cs="宋体"/>
          <w:color w:val="000000" w:themeColor="text1"/>
          <w:highlight w:val="none"/>
          <w14:textFill>
            <w14:solidFill>
              <w14:schemeClr w14:val="tx1"/>
            </w14:solidFill>
          </w14:textFill>
        </w:rPr>
      </w:pPr>
    </w:p>
    <w:p w14:paraId="08AD3F17">
      <w:pPr>
        <w:pStyle w:val="2"/>
        <w:rPr>
          <w:rFonts w:hint="eastAsia" w:ascii="宋体" w:hAnsi="宋体" w:eastAsia="宋体" w:cs="宋体"/>
          <w:color w:val="000000" w:themeColor="text1"/>
          <w:highlight w:val="none"/>
          <w14:textFill>
            <w14:solidFill>
              <w14:schemeClr w14:val="tx1"/>
            </w14:solidFill>
          </w14:textFill>
        </w:rPr>
      </w:pPr>
    </w:p>
    <w:p w14:paraId="578B0C32">
      <w:pPr>
        <w:pStyle w:val="2"/>
        <w:rPr>
          <w:rFonts w:hint="eastAsia" w:ascii="宋体" w:hAnsi="宋体" w:eastAsia="宋体" w:cs="宋体"/>
          <w:color w:val="000000" w:themeColor="text1"/>
          <w:highlight w:val="none"/>
          <w14:textFill>
            <w14:solidFill>
              <w14:schemeClr w14:val="tx1"/>
            </w14:solidFill>
          </w14:textFill>
        </w:rPr>
      </w:pPr>
    </w:p>
    <w:p w14:paraId="6289A1C7">
      <w:pPr>
        <w:pStyle w:val="2"/>
        <w:rPr>
          <w:rFonts w:hint="eastAsia" w:ascii="宋体" w:hAnsi="宋体" w:eastAsia="宋体" w:cs="宋体"/>
          <w:color w:val="000000" w:themeColor="text1"/>
          <w:highlight w:val="none"/>
          <w14:textFill>
            <w14:solidFill>
              <w14:schemeClr w14:val="tx1"/>
            </w14:solidFill>
          </w14:textFill>
        </w:rPr>
      </w:pPr>
    </w:p>
    <w:p w14:paraId="4EA7E904">
      <w:pPr>
        <w:pStyle w:val="2"/>
        <w:rPr>
          <w:rFonts w:hint="eastAsia" w:ascii="宋体" w:hAnsi="宋体" w:eastAsia="宋体" w:cs="宋体"/>
          <w:color w:val="000000" w:themeColor="text1"/>
          <w:highlight w:val="none"/>
          <w14:textFill>
            <w14:solidFill>
              <w14:schemeClr w14:val="tx1"/>
            </w14:solidFill>
          </w14:textFill>
        </w:rPr>
      </w:pPr>
    </w:p>
    <w:p w14:paraId="78C1466D">
      <w:pPr>
        <w:pStyle w:val="2"/>
        <w:rPr>
          <w:rFonts w:hint="eastAsia" w:ascii="宋体" w:hAnsi="宋体" w:eastAsia="宋体" w:cs="宋体"/>
          <w:color w:val="000000" w:themeColor="text1"/>
          <w:highlight w:val="none"/>
          <w14:textFill>
            <w14:solidFill>
              <w14:schemeClr w14:val="tx1"/>
            </w14:solidFill>
          </w14:textFill>
        </w:rPr>
        <w:sectPr>
          <w:headerReference r:id="rId11" w:type="first"/>
          <w:footerReference r:id="rId14" w:type="first"/>
          <w:headerReference r:id="rId9" w:type="default"/>
          <w:footerReference r:id="rId12" w:type="default"/>
          <w:headerReference r:id="rId10" w:type="even"/>
          <w:footerReference r:id="rId13" w:type="even"/>
          <w:pgSz w:w="11910" w:h="16840"/>
          <w:pgMar w:top="1417" w:right="1080" w:bottom="1417" w:left="1080" w:header="794" w:footer="964" w:gutter="0"/>
          <w:cols w:space="720" w:num="1"/>
        </w:sectPr>
      </w:pPr>
    </w:p>
    <w:p w14:paraId="1A282BB4">
      <w:pPr>
        <w:pStyle w:val="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第六章  投标文件格式及附件</w:t>
      </w:r>
    </w:p>
    <w:p w14:paraId="12215C5B">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p>
    <w:p w14:paraId="24E0B8DF">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1.本部分内容仅提供格式参考。</w:t>
      </w:r>
    </w:p>
    <w:p w14:paraId="5C21041F">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2.投标人应按照以下文件的要求格式、内容制作投标文件，并编制目录及页码，混乱的编排导致投标文件被误读或查找不到，后果由投标人承担。</w:t>
      </w:r>
    </w:p>
    <w:p w14:paraId="79A8138B">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3.所附表格中要求回答的全部问题和信息都必须正面回答。</w:t>
      </w:r>
    </w:p>
    <w:p w14:paraId="4002A61F">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4.投标人提交的材料不予退还。</w:t>
      </w:r>
    </w:p>
    <w:p w14:paraId="40ABB905">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5.全部文件应按投标人须知以及前文中规定的语言和份数提交。</w:t>
      </w:r>
    </w:p>
    <w:p w14:paraId="16E5D2C8">
      <w:pPr>
        <w:ind w:firstLine="643"/>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09D3ED98">
      <w:pPr>
        <w:pStyle w:val="13"/>
        <w:ind w:firstLine="482"/>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投标文件封面格式：</w:t>
      </w:r>
    </w:p>
    <w:p w14:paraId="224E96C5">
      <w:pPr>
        <w:ind w:firstLine="964"/>
        <w:jc w:val="right"/>
        <w:rPr>
          <w:rFonts w:hint="eastAsia" w:ascii="宋体" w:hAnsi="宋体" w:eastAsia="宋体" w:cs="宋体"/>
          <w:b/>
          <w:color w:val="000000" w:themeColor="text1"/>
          <w:sz w:val="72"/>
          <w:highlight w:val="none"/>
          <w14:textFill>
            <w14:solidFill>
              <w14:schemeClr w14:val="tx1"/>
            </w14:solidFill>
          </w14:textFill>
        </w:rPr>
      </w:pPr>
      <w:r>
        <w:rPr>
          <w:rFonts w:hint="eastAsia" w:ascii="宋体" w:hAnsi="宋体" w:eastAsia="宋体" w:cs="宋体"/>
          <w:b/>
          <w:color w:val="000000" w:themeColor="text1"/>
          <w:sz w:val="48"/>
          <w:szCs w:val="20"/>
          <w:highlight w:val="none"/>
          <w14:textFill>
            <w14:solidFill>
              <w14:schemeClr w14:val="tx1"/>
            </w14:solidFill>
          </w14:textFill>
        </w:rPr>
        <w:t>正本/副本</w:t>
      </w:r>
    </w:p>
    <w:p w14:paraId="3BFAC009">
      <w:pPr>
        <w:ind w:firstLine="1446"/>
        <w:jc w:val="center"/>
        <w:rPr>
          <w:rFonts w:hint="eastAsia" w:ascii="宋体" w:hAnsi="宋体" w:eastAsia="宋体" w:cs="宋体"/>
          <w:b/>
          <w:color w:val="000000" w:themeColor="text1"/>
          <w:sz w:val="72"/>
          <w:highlight w:val="none"/>
          <w14:textFill>
            <w14:solidFill>
              <w14:schemeClr w14:val="tx1"/>
            </w14:solidFill>
          </w14:textFill>
        </w:rPr>
      </w:pPr>
    </w:p>
    <w:p w14:paraId="1DA5E327">
      <w:pPr>
        <w:ind w:firstLine="1446"/>
        <w:jc w:val="center"/>
        <w:rPr>
          <w:rFonts w:hint="eastAsia" w:ascii="宋体" w:hAnsi="宋体" w:eastAsia="宋体" w:cs="宋体"/>
          <w:b/>
          <w:color w:val="000000" w:themeColor="text1"/>
          <w:sz w:val="72"/>
          <w:highlight w:val="none"/>
          <w14:textFill>
            <w14:solidFill>
              <w14:schemeClr w14:val="tx1"/>
            </w14:solidFill>
          </w14:textFill>
        </w:rPr>
      </w:pPr>
      <w:r>
        <w:rPr>
          <w:rFonts w:hint="eastAsia" w:ascii="宋体" w:hAnsi="宋体" w:eastAsia="宋体" w:cs="宋体"/>
          <w:b/>
          <w:color w:val="000000" w:themeColor="text1"/>
          <w:sz w:val="72"/>
          <w:highlight w:val="none"/>
          <w14:textFill>
            <w14:solidFill>
              <w14:schemeClr w14:val="tx1"/>
            </w14:solidFill>
          </w14:textFill>
        </w:rPr>
        <w:t>投  标  文  件</w:t>
      </w:r>
    </w:p>
    <w:p w14:paraId="00080665">
      <w:pPr>
        <w:ind w:firstLine="723"/>
        <w:jc w:val="center"/>
        <w:rPr>
          <w:rFonts w:hint="eastAsia" w:ascii="宋体" w:hAnsi="宋体" w:eastAsia="宋体" w:cs="宋体"/>
          <w:b/>
          <w:color w:val="000000" w:themeColor="text1"/>
          <w:sz w:val="36"/>
          <w:highlight w:val="none"/>
          <w14:textFill>
            <w14:solidFill>
              <w14:schemeClr w14:val="tx1"/>
            </w14:solidFill>
          </w14:textFill>
        </w:rPr>
      </w:pPr>
    </w:p>
    <w:p w14:paraId="4EE9FF25">
      <w:pPr>
        <w:ind w:firstLine="723"/>
        <w:jc w:val="center"/>
        <w:rPr>
          <w:rFonts w:hint="eastAsia" w:ascii="宋体" w:hAnsi="宋体" w:eastAsia="宋体" w:cs="宋体"/>
          <w:b/>
          <w:color w:val="000000" w:themeColor="text1"/>
          <w:sz w:val="36"/>
          <w:highlight w:val="none"/>
          <w14:textFill>
            <w14:solidFill>
              <w14:schemeClr w14:val="tx1"/>
            </w14:solidFill>
          </w14:textFill>
        </w:rPr>
      </w:pPr>
    </w:p>
    <w:p w14:paraId="01EE1FF7">
      <w:pPr>
        <w:ind w:firstLine="723"/>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 xml:space="preserve">项目编号： </w:t>
      </w:r>
    </w:p>
    <w:p w14:paraId="274CE89A">
      <w:pPr>
        <w:ind w:firstLine="723"/>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 xml:space="preserve">项目名称： </w:t>
      </w:r>
    </w:p>
    <w:p w14:paraId="4C841352">
      <w:pPr>
        <w:ind w:firstLine="723"/>
        <w:rPr>
          <w:rFonts w:hint="eastAsia" w:ascii="宋体" w:hAnsi="宋体" w:eastAsia="宋体" w:cs="宋体"/>
          <w:b/>
          <w:color w:val="000000" w:themeColor="text1"/>
          <w:sz w:val="36"/>
          <w:highlight w:val="none"/>
          <w14:textFill>
            <w14:solidFill>
              <w14:schemeClr w14:val="tx1"/>
            </w14:solidFill>
          </w14:textFill>
        </w:rPr>
      </w:pPr>
    </w:p>
    <w:p w14:paraId="01E60430">
      <w:pPr>
        <w:ind w:firstLine="723"/>
        <w:rPr>
          <w:rFonts w:hint="eastAsia" w:ascii="宋体" w:hAnsi="宋体" w:eastAsia="宋体" w:cs="宋体"/>
          <w:b/>
          <w:color w:val="000000" w:themeColor="text1"/>
          <w:sz w:val="36"/>
          <w:highlight w:val="none"/>
          <w14:textFill>
            <w14:solidFill>
              <w14:schemeClr w14:val="tx1"/>
            </w14:solidFill>
          </w14:textFill>
        </w:rPr>
      </w:pPr>
    </w:p>
    <w:p w14:paraId="703B5F48">
      <w:pPr>
        <w:ind w:firstLine="723"/>
        <w:rPr>
          <w:rFonts w:hint="eastAsia" w:ascii="宋体" w:hAnsi="宋体" w:eastAsia="宋体" w:cs="宋体"/>
          <w:b/>
          <w:color w:val="000000" w:themeColor="text1"/>
          <w:sz w:val="36"/>
          <w:highlight w:val="none"/>
          <w14:textFill>
            <w14:solidFill>
              <w14:schemeClr w14:val="tx1"/>
            </w14:solidFill>
          </w14:textFill>
        </w:rPr>
      </w:pPr>
    </w:p>
    <w:p w14:paraId="30C32FB1">
      <w:pPr>
        <w:ind w:firstLine="723"/>
        <w:rPr>
          <w:rFonts w:hint="eastAsia" w:ascii="宋体" w:hAnsi="宋体" w:eastAsia="宋体" w:cs="宋体"/>
          <w:b/>
          <w:color w:val="000000" w:themeColor="text1"/>
          <w:sz w:val="36"/>
          <w:highlight w:val="none"/>
          <w14:textFill>
            <w14:solidFill>
              <w14:schemeClr w14:val="tx1"/>
            </w14:solidFill>
          </w14:textFill>
        </w:rPr>
      </w:pPr>
    </w:p>
    <w:p w14:paraId="4B095E4F">
      <w:pPr>
        <w:ind w:firstLine="723"/>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投标人名称（盖单位章）：</w:t>
      </w:r>
    </w:p>
    <w:p w14:paraId="4173E1B4">
      <w:pPr>
        <w:ind w:firstLine="723"/>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日      期：</w:t>
      </w:r>
    </w:p>
    <w:p w14:paraId="15A68A8A">
      <w:pPr>
        <w:pStyle w:val="8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44" w:name="_Toc405408732"/>
      <w:r>
        <w:rPr>
          <w:rFonts w:hint="eastAsia" w:ascii="宋体" w:hAnsi="宋体" w:eastAsia="宋体" w:cs="宋体"/>
          <w:color w:val="000000" w:themeColor="text1"/>
          <w:highlight w:val="none"/>
          <w14:textFill>
            <w14:solidFill>
              <w14:schemeClr w14:val="tx1"/>
            </w14:solidFill>
          </w14:textFill>
        </w:rPr>
        <w:t>评分索引表</w:t>
      </w:r>
    </w:p>
    <w:tbl>
      <w:tblPr>
        <w:tblStyle w:val="2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0D15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vAlign w:val="center"/>
          </w:tcPr>
          <w:p w14:paraId="311D82EF">
            <w:pPr>
              <w:pStyle w:val="95"/>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评分项目</w:t>
            </w:r>
          </w:p>
        </w:tc>
        <w:tc>
          <w:tcPr>
            <w:tcW w:w="3570" w:type="dxa"/>
            <w:vAlign w:val="center"/>
          </w:tcPr>
          <w:p w14:paraId="5434EA82">
            <w:pPr>
              <w:pStyle w:val="95"/>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在投标文件中的页码位置</w:t>
            </w:r>
          </w:p>
        </w:tc>
      </w:tr>
      <w:tr w14:paraId="06C5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0677DBD3">
            <w:pPr>
              <w:pStyle w:val="95"/>
              <w:rPr>
                <w:rFonts w:hint="eastAsia" w:ascii="宋体" w:hAnsi="宋体" w:eastAsia="宋体" w:cs="宋体"/>
                <w:color w:val="000000" w:themeColor="text1"/>
                <w:highlight w:val="none"/>
                <w14:textFill>
                  <w14:solidFill>
                    <w14:schemeClr w14:val="tx1"/>
                  </w14:solidFill>
                </w14:textFill>
              </w:rPr>
            </w:pPr>
          </w:p>
        </w:tc>
        <w:tc>
          <w:tcPr>
            <w:tcW w:w="3570" w:type="dxa"/>
          </w:tcPr>
          <w:p w14:paraId="3F38F2BD">
            <w:pPr>
              <w:pStyle w:val="95"/>
              <w:rPr>
                <w:rFonts w:hint="eastAsia" w:ascii="宋体" w:hAnsi="宋体" w:eastAsia="宋体" w:cs="宋体"/>
                <w:color w:val="000000" w:themeColor="text1"/>
                <w:highlight w:val="none"/>
                <w14:textFill>
                  <w14:solidFill>
                    <w14:schemeClr w14:val="tx1"/>
                  </w14:solidFill>
                </w14:textFill>
              </w:rPr>
            </w:pPr>
          </w:p>
        </w:tc>
      </w:tr>
      <w:tr w14:paraId="236C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0" w:type="dxa"/>
            <w:gridSpan w:val="2"/>
          </w:tcPr>
          <w:p w14:paraId="4EF4E117">
            <w:pPr>
              <w:pStyle w:val="95"/>
              <w:rPr>
                <w:rFonts w:hint="eastAsia" w:ascii="宋体" w:hAnsi="宋体" w:eastAsia="宋体" w:cs="宋体"/>
                <w:color w:val="000000" w:themeColor="text1"/>
                <w:highlight w:val="none"/>
                <w14:textFill>
                  <w14:solidFill>
                    <w14:schemeClr w14:val="tx1"/>
                  </w14:solidFill>
                </w14:textFill>
              </w:rPr>
            </w:pPr>
          </w:p>
        </w:tc>
      </w:tr>
      <w:tr w14:paraId="4D7D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029E155B">
            <w:pPr>
              <w:pStyle w:val="95"/>
              <w:rPr>
                <w:rFonts w:hint="eastAsia" w:ascii="宋体" w:hAnsi="宋体" w:eastAsia="宋体" w:cs="宋体"/>
                <w:color w:val="000000" w:themeColor="text1"/>
                <w:highlight w:val="none"/>
                <w14:textFill>
                  <w14:solidFill>
                    <w14:schemeClr w14:val="tx1"/>
                  </w14:solidFill>
                </w14:textFill>
              </w:rPr>
            </w:pPr>
          </w:p>
        </w:tc>
        <w:tc>
          <w:tcPr>
            <w:tcW w:w="3570" w:type="dxa"/>
          </w:tcPr>
          <w:p w14:paraId="05A60793">
            <w:pPr>
              <w:pStyle w:val="95"/>
              <w:rPr>
                <w:rFonts w:hint="eastAsia" w:ascii="宋体" w:hAnsi="宋体" w:eastAsia="宋体" w:cs="宋体"/>
                <w:color w:val="000000" w:themeColor="text1"/>
                <w:highlight w:val="none"/>
                <w14:textFill>
                  <w14:solidFill>
                    <w14:schemeClr w14:val="tx1"/>
                  </w14:solidFill>
                </w14:textFill>
              </w:rPr>
            </w:pPr>
          </w:p>
        </w:tc>
      </w:tr>
      <w:tr w14:paraId="4C26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57F7A809">
            <w:pPr>
              <w:pStyle w:val="95"/>
              <w:rPr>
                <w:rFonts w:hint="eastAsia" w:ascii="宋体" w:hAnsi="宋体" w:eastAsia="宋体" w:cs="宋体"/>
                <w:color w:val="000000" w:themeColor="text1"/>
                <w:highlight w:val="none"/>
                <w14:textFill>
                  <w14:solidFill>
                    <w14:schemeClr w14:val="tx1"/>
                  </w14:solidFill>
                </w14:textFill>
              </w:rPr>
            </w:pPr>
          </w:p>
        </w:tc>
        <w:tc>
          <w:tcPr>
            <w:tcW w:w="3570" w:type="dxa"/>
          </w:tcPr>
          <w:p w14:paraId="52F640F4">
            <w:pPr>
              <w:pStyle w:val="95"/>
              <w:rPr>
                <w:rFonts w:hint="eastAsia" w:ascii="宋体" w:hAnsi="宋体" w:eastAsia="宋体" w:cs="宋体"/>
                <w:color w:val="000000" w:themeColor="text1"/>
                <w:highlight w:val="none"/>
                <w14:textFill>
                  <w14:solidFill>
                    <w14:schemeClr w14:val="tx1"/>
                  </w14:solidFill>
                </w14:textFill>
              </w:rPr>
            </w:pPr>
          </w:p>
        </w:tc>
      </w:tr>
      <w:tr w14:paraId="03A4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0224E556">
            <w:pPr>
              <w:pStyle w:val="95"/>
              <w:rPr>
                <w:rFonts w:hint="eastAsia" w:ascii="宋体" w:hAnsi="宋体" w:eastAsia="宋体" w:cs="宋体"/>
                <w:color w:val="000000" w:themeColor="text1"/>
                <w:highlight w:val="none"/>
                <w14:textFill>
                  <w14:solidFill>
                    <w14:schemeClr w14:val="tx1"/>
                  </w14:solidFill>
                </w14:textFill>
              </w:rPr>
            </w:pPr>
          </w:p>
        </w:tc>
        <w:tc>
          <w:tcPr>
            <w:tcW w:w="3570" w:type="dxa"/>
          </w:tcPr>
          <w:p w14:paraId="5C7EB2F6">
            <w:pPr>
              <w:pStyle w:val="95"/>
              <w:rPr>
                <w:rFonts w:hint="eastAsia" w:ascii="宋体" w:hAnsi="宋体" w:eastAsia="宋体" w:cs="宋体"/>
                <w:color w:val="000000" w:themeColor="text1"/>
                <w:highlight w:val="none"/>
                <w14:textFill>
                  <w14:solidFill>
                    <w14:schemeClr w14:val="tx1"/>
                  </w14:solidFill>
                </w14:textFill>
              </w:rPr>
            </w:pPr>
          </w:p>
        </w:tc>
      </w:tr>
      <w:tr w14:paraId="4B98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56E9B7A1">
            <w:pPr>
              <w:pStyle w:val="95"/>
              <w:rPr>
                <w:rFonts w:hint="eastAsia" w:ascii="宋体" w:hAnsi="宋体" w:eastAsia="宋体" w:cs="宋体"/>
                <w:color w:val="000000" w:themeColor="text1"/>
                <w:highlight w:val="none"/>
                <w14:textFill>
                  <w14:solidFill>
                    <w14:schemeClr w14:val="tx1"/>
                  </w14:solidFill>
                </w14:textFill>
              </w:rPr>
            </w:pPr>
          </w:p>
        </w:tc>
        <w:tc>
          <w:tcPr>
            <w:tcW w:w="3570" w:type="dxa"/>
          </w:tcPr>
          <w:p w14:paraId="5F369253">
            <w:pPr>
              <w:pStyle w:val="95"/>
              <w:rPr>
                <w:rFonts w:hint="eastAsia" w:ascii="宋体" w:hAnsi="宋体" w:eastAsia="宋体" w:cs="宋体"/>
                <w:color w:val="000000" w:themeColor="text1"/>
                <w:highlight w:val="none"/>
                <w14:textFill>
                  <w14:solidFill>
                    <w14:schemeClr w14:val="tx1"/>
                  </w14:solidFill>
                </w14:textFill>
              </w:rPr>
            </w:pPr>
          </w:p>
        </w:tc>
      </w:tr>
      <w:tr w14:paraId="7EA4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2E53C384">
            <w:pPr>
              <w:pStyle w:val="95"/>
              <w:rPr>
                <w:rFonts w:hint="eastAsia" w:ascii="宋体" w:hAnsi="宋体" w:eastAsia="宋体" w:cs="宋体"/>
                <w:color w:val="000000" w:themeColor="text1"/>
                <w:highlight w:val="none"/>
                <w14:textFill>
                  <w14:solidFill>
                    <w14:schemeClr w14:val="tx1"/>
                  </w14:solidFill>
                </w14:textFill>
              </w:rPr>
            </w:pPr>
          </w:p>
        </w:tc>
        <w:tc>
          <w:tcPr>
            <w:tcW w:w="3570" w:type="dxa"/>
          </w:tcPr>
          <w:p w14:paraId="5E8064B6">
            <w:pPr>
              <w:pStyle w:val="95"/>
              <w:rPr>
                <w:rFonts w:hint="eastAsia" w:ascii="宋体" w:hAnsi="宋体" w:eastAsia="宋体" w:cs="宋体"/>
                <w:color w:val="000000" w:themeColor="text1"/>
                <w:highlight w:val="none"/>
                <w14:textFill>
                  <w14:solidFill>
                    <w14:schemeClr w14:val="tx1"/>
                  </w14:solidFill>
                </w14:textFill>
              </w:rPr>
            </w:pPr>
          </w:p>
        </w:tc>
      </w:tr>
      <w:tr w14:paraId="2C7B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0" w:type="dxa"/>
            <w:gridSpan w:val="2"/>
          </w:tcPr>
          <w:p w14:paraId="069F6891">
            <w:pPr>
              <w:pStyle w:val="95"/>
              <w:rPr>
                <w:rFonts w:hint="eastAsia" w:ascii="宋体" w:hAnsi="宋体" w:eastAsia="宋体" w:cs="宋体"/>
                <w:color w:val="000000" w:themeColor="text1"/>
                <w:highlight w:val="none"/>
                <w14:textFill>
                  <w14:solidFill>
                    <w14:schemeClr w14:val="tx1"/>
                  </w14:solidFill>
                </w14:textFill>
              </w:rPr>
            </w:pPr>
          </w:p>
        </w:tc>
      </w:tr>
      <w:tr w14:paraId="778D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0E520269">
            <w:pPr>
              <w:pStyle w:val="95"/>
              <w:rPr>
                <w:rFonts w:hint="eastAsia" w:ascii="宋体" w:hAnsi="宋体" w:eastAsia="宋体" w:cs="宋体"/>
                <w:color w:val="000000" w:themeColor="text1"/>
                <w:highlight w:val="none"/>
                <w14:textFill>
                  <w14:solidFill>
                    <w14:schemeClr w14:val="tx1"/>
                  </w14:solidFill>
                </w14:textFill>
              </w:rPr>
            </w:pPr>
          </w:p>
        </w:tc>
        <w:tc>
          <w:tcPr>
            <w:tcW w:w="3570" w:type="dxa"/>
          </w:tcPr>
          <w:p w14:paraId="7B333BE6">
            <w:pPr>
              <w:pStyle w:val="95"/>
              <w:rPr>
                <w:rFonts w:hint="eastAsia" w:ascii="宋体" w:hAnsi="宋体" w:eastAsia="宋体" w:cs="宋体"/>
                <w:color w:val="000000" w:themeColor="text1"/>
                <w:highlight w:val="none"/>
                <w14:textFill>
                  <w14:solidFill>
                    <w14:schemeClr w14:val="tx1"/>
                  </w14:solidFill>
                </w14:textFill>
              </w:rPr>
            </w:pPr>
          </w:p>
        </w:tc>
      </w:tr>
      <w:tr w14:paraId="6415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1A788B30">
            <w:pPr>
              <w:pStyle w:val="95"/>
              <w:rPr>
                <w:rFonts w:hint="eastAsia" w:ascii="宋体" w:hAnsi="宋体" w:eastAsia="宋体" w:cs="宋体"/>
                <w:color w:val="000000" w:themeColor="text1"/>
                <w:highlight w:val="none"/>
                <w14:textFill>
                  <w14:solidFill>
                    <w14:schemeClr w14:val="tx1"/>
                  </w14:solidFill>
                </w14:textFill>
              </w:rPr>
            </w:pPr>
          </w:p>
        </w:tc>
        <w:tc>
          <w:tcPr>
            <w:tcW w:w="3570" w:type="dxa"/>
          </w:tcPr>
          <w:p w14:paraId="1D807500">
            <w:pPr>
              <w:pStyle w:val="95"/>
              <w:rPr>
                <w:rFonts w:hint="eastAsia" w:ascii="宋体" w:hAnsi="宋体" w:eastAsia="宋体" w:cs="宋体"/>
                <w:color w:val="000000" w:themeColor="text1"/>
                <w:highlight w:val="none"/>
                <w14:textFill>
                  <w14:solidFill>
                    <w14:schemeClr w14:val="tx1"/>
                  </w14:solidFill>
                </w14:textFill>
              </w:rPr>
            </w:pPr>
          </w:p>
        </w:tc>
      </w:tr>
      <w:tr w14:paraId="27D8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1DB310AD">
            <w:pPr>
              <w:pStyle w:val="95"/>
              <w:rPr>
                <w:rFonts w:hint="eastAsia" w:ascii="宋体" w:hAnsi="宋体" w:eastAsia="宋体" w:cs="宋体"/>
                <w:color w:val="000000" w:themeColor="text1"/>
                <w:highlight w:val="none"/>
                <w14:textFill>
                  <w14:solidFill>
                    <w14:schemeClr w14:val="tx1"/>
                  </w14:solidFill>
                </w14:textFill>
              </w:rPr>
            </w:pPr>
          </w:p>
        </w:tc>
        <w:tc>
          <w:tcPr>
            <w:tcW w:w="3570" w:type="dxa"/>
          </w:tcPr>
          <w:p w14:paraId="79936D66">
            <w:pPr>
              <w:pStyle w:val="95"/>
              <w:rPr>
                <w:rFonts w:hint="eastAsia" w:ascii="宋体" w:hAnsi="宋体" w:eastAsia="宋体" w:cs="宋体"/>
                <w:color w:val="000000" w:themeColor="text1"/>
                <w:highlight w:val="none"/>
                <w14:textFill>
                  <w14:solidFill>
                    <w14:schemeClr w14:val="tx1"/>
                  </w14:solidFill>
                </w14:textFill>
              </w:rPr>
            </w:pPr>
          </w:p>
        </w:tc>
      </w:tr>
      <w:tr w14:paraId="1B8A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44B7E362">
            <w:pPr>
              <w:pStyle w:val="95"/>
              <w:rPr>
                <w:rFonts w:hint="eastAsia" w:ascii="宋体" w:hAnsi="宋体" w:eastAsia="宋体" w:cs="宋体"/>
                <w:color w:val="000000" w:themeColor="text1"/>
                <w:highlight w:val="none"/>
                <w14:textFill>
                  <w14:solidFill>
                    <w14:schemeClr w14:val="tx1"/>
                  </w14:solidFill>
                </w14:textFill>
              </w:rPr>
            </w:pPr>
          </w:p>
        </w:tc>
        <w:tc>
          <w:tcPr>
            <w:tcW w:w="3570" w:type="dxa"/>
          </w:tcPr>
          <w:p w14:paraId="5D9AED2F">
            <w:pPr>
              <w:pStyle w:val="95"/>
              <w:rPr>
                <w:rFonts w:hint="eastAsia" w:ascii="宋体" w:hAnsi="宋体" w:eastAsia="宋体" w:cs="宋体"/>
                <w:color w:val="000000" w:themeColor="text1"/>
                <w:highlight w:val="none"/>
                <w14:textFill>
                  <w14:solidFill>
                    <w14:schemeClr w14:val="tx1"/>
                  </w14:solidFill>
                </w14:textFill>
              </w:rPr>
            </w:pPr>
          </w:p>
        </w:tc>
      </w:tr>
      <w:tr w14:paraId="2034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187A04B3">
            <w:pPr>
              <w:pStyle w:val="95"/>
              <w:rPr>
                <w:rFonts w:hint="eastAsia" w:ascii="宋体" w:hAnsi="宋体" w:eastAsia="宋体" w:cs="宋体"/>
                <w:color w:val="000000" w:themeColor="text1"/>
                <w:highlight w:val="none"/>
                <w14:textFill>
                  <w14:solidFill>
                    <w14:schemeClr w14:val="tx1"/>
                  </w14:solidFill>
                </w14:textFill>
              </w:rPr>
            </w:pPr>
          </w:p>
        </w:tc>
        <w:tc>
          <w:tcPr>
            <w:tcW w:w="3570" w:type="dxa"/>
          </w:tcPr>
          <w:p w14:paraId="1C1301B3">
            <w:pPr>
              <w:pStyle w:val="95"/>
              <w:rPr>
                <w:rFonts w:hint="eastAsia" w:ascii="宋体" w:hAnsi="宋体" w:eastAsia="宋体" w:cs="宋体"/>
                <w:color w:val="000000" w:themeColor="text1"/>
                <w:highlight w:val="none"/>
                <w14:textFill>
                  <w14:solidFill>
                    <w14:schemeClr w14:val="tx1"/>
                  </w14:solidFill>
                </w14:textFill>
              </w:rPr>
            </w:pPr>
          </w:p>
        </w:tc>
      </w:tr>
      <w:tr w14:paraId="7731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0" w:type="dxa"/>
            <w:gridSpan w:val="2"/>
          </w:tcPr>
          <w:p w14:paraId="29532EAA">
            <w:pPr>
              <w:pStyle w:val="95"/>
              <w:rPr>
                <w:rFonts w:hint="eastAsia" w:ascii="宋体" w:hAnsi="宋体" w:eastAsia="宋体" w:cs="宋体"/>
                <w:color w:val="000000" w:themeColor="text1"/>
                <w:highlight w:val="none"/>
                <w14:textFill>
                  <w14:solidFill>
                    <w14:schemeClr w14:val="tx1"/>
                  </w14:solidFill>
                </w14:textFill>
              </w:rPr>
            </w:pPr>
          </w:p>
        </w:tc>
      </w:tr>
      <w:tr w14:paraId="6E06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538D7C70">
            <w:pPr>
              <w:pStyle w:val="95"/>
              <w:rPr>
                <w:rFonts w:hint="eastAsia" w:ascii="宋体" w:hAnsi="宋体" w:eastAsia="宋体" w:cs="宋体"/>
                <w:color w:val="000000" w:themeColor="text1"/>
                <w:highlight w:val="none"/>
                <w14:textFill>
                  <w14:solidFill>
                    <w14:schemeClr w14:val="tx1"/>
                  </w14:solidFill>
                </w14:textFill>
              </w:rPr>
            </w:pPr>
          </w:p>
        </w:tc>
        <w:tc>
          <w:tcPr>
            <w:tcW w:w="3570" w:type="dxa"/>
          </w:tcPr>
          <w:p w14:paraId="75EBB185">
            <w:pPr>
              <w:pStyle w:val="95"/>
              <w:rPr>
                <w:rFonts w:hint="eastAsia" w:ascii="宋体" w:hAnsi="宋体" w:eastAsia="宋体" w:cs="宋体"/>
                <w:color w:val="000000" w:themeColor="text1"/>
                <w:highlight w:val="none"/>
                <w14:textFill>
                  <w14:solidFill>
                    <w14:schemeClr w14:val="tx1"/>
                  </w14:solidFill>
                </w14:textFill>
              </w:rPr>
            </w:pPr>
          </w:p>
        </w:tc>
      </w:tr>
      <w:tr w14:paraId="5B07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0073CBA7">
            <w:pPr>
              <w:pStyle w:val="95"/>
              <w:rPr>
                <w:rFonts w:hint="eastAsia" w:ascii="宋体" w:hAnsi="宋体" w:eastAsia="宋体" w:cs="宋体"/>
                <w:color w:val="000000" w:themeColor="text1"/>
                <w:highlight w:val="none"/>
                <w14:textFill>
                  <w14:solidFill>
                    <w14:schemeClr w14:val="tx1"/>
                  </w14:solidFill>
                </w14:textFill>
              </w:rPr>
            </w:pPr>
          </w:p>
        </w:tc>
        <w:tc>
          <w:tcPr>
            <w:tcW w:w="3570" w:type="dxa"/>
          </w:tcPr>
          <w:p w14:paraId="75586429">
            <w:pPr>
              <w:pStyle w:val="95"/>
              <w:rPr>
                <w:rFonts w:hint="eastAsia" w:ascii="宋体" w:hAnsi="宋体" w:eastAsia="宋体" w:cs="宋体"/>
                <w:color w:val="000000" w:themeColor="text1"/>
                <w:highlight w:val="none"/>
                <w14:textFill>
                  <w14:solidFill>
                    <w14:schemeClr w14:val="tx1"/>
                  </w14:solidFill>
                </w14:textFill>
              </w:rPr>
            </w:pPr>
          </w:p>
        </w:tc>
      </w:tr>
      <w:tr w14:paraId="4BDD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48533614">
            <w:pPr>
              <w:pStyle w:val="95"/>
              <w:rPr>
                <w:rFonts w:hint="eastAsia" w:ascii="宋体" w:hAnsi="宋体" w:eastAsia="宋体" w:cs="宋体"/>
                <w:color w:val="000000" w:themeColor="text1"/>
                <w:highlight w:val="none"/>
                <w14:textFill>
                  <w14:solidFill>
                    <w14:schemeClr w14:val="tx1"/>
                  </w14:solidFill>
                </w14:textFill>
              </w:rPr>
            </w:pPr>
          </w:p>
        </w:tc>
        <w:tc>
          <w:tcPr>
            <w:tcW w:w="3570" w:type="dxa"/>
          </w:tcPr>
          <w:p w14:paraId="3B4E74A2">
            <w:pPr>
              <w:pStyle w:val="95"/>
              <w:rPr>
                <w:rFonts w:hint="eastAsia" w:ascii="宋体" w:hAnsi="宋体" w:eastAsia="宋体" w:cs="宋体"/>
                <w:color w:val="000000" w:themeColor="text1"/>
                <w:highlight w:val="none"/>
                <w14:textFill>
                  <w14:solidFill>
                    <w14:schemeClr w14:val="tx1"/>
                  </w14:solidFill>
                </w14:textFill>
              </w:rPr>
            </w:pPr>
          </w:p>
        </w:tc>
      </w:tr>
      <w:tr w14:paraId="4E2D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0" w:type="dxa"/>
            <w:gridSpan w:val="2"/>
          </w:tcPr>
          <w:p w14:paraId="017059AF">
            <w:pPr>
              <w:pStyle w:val="95"/>
              <w:rPr>
                <w:rFonts w:hint="eastAsia" w:ascii="宋体" w:hAnsi="宋体" w:eastAsia="宋体" w:cs="宋体"/>
                <w:color w:val="000000" w:themeColor="text1"/>
                <w:highlight w:val="none"/>
                <w14:textFill>
                  <w14:solidFill>
                    <w14:schemeClr w14:val="tx1"/>
                  </w14:solidFill>
                </w14:textFill>
              </w:rPr>
            </w:pPr>
          </w:p>
        </w:tc>
      </w:tr>
      <w:tr w14:paraId="4054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3B73A591">
            <w:pPr>
              <w:pStyle w:val="95"/>
              <w:rPr>
                <w:rFonts w:hint="eastAsia" w:ascii="宋体" w:hAnsi="宋体" w:eastAsia="宋体" w:cs="宋体"/>
                <w:color w:val="000000" w:themeColor="text1"/>
                <w:highlight w:val="none"/>
                <w14:textFill>
                  <w14:solidFill>
                    <w14:schemeClr w14:val="tx1"/>
                  </w14:solidFill>
                </w14:textFill>
              </w:rPr>
            </w:pPr>
          </w:p>
        </w:tc>
        <w:tc>
          <w:tcPr>
            <w:tcW w:w="3570" w:type="dxa"/>
          </w:tcPr>
          <w:p w14:paraId="5EA3788D">
            <w:pPr>
              <w:pStyle w:val="95"/>
              <w:rPr>
                <w:rFonts w:hint="eastAsia" w:ascii="宋体" w:hAnsi="宋体" w:eastAsia="宋体" w:cs="宋体"/>
                <w:color w:val="000000" w:themeColor="text1"/>
                <w:highlight w:val="none"/>
                <w14:textFill>
                  <w14:solidFill>
                    <w14:schemeClr w14:val="tx1"/>
                  </w14:solidFill>
                </w14:textFill>
              </w:rPr>
            </w:pPr>
          </w:p>
        </w:tc>
      </w:tr>
      <w:tr w14:paraId="065A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Borders>
              <w:bottom w:val="single" w:color="auto" w:sz="4" w:space="0"/>
            </w:tcBorders>
          </w:tcPr>
          <w:p w14:paraId="09B1466F">
            <w:pPr>
              <w:pStyle w:val="95"/>
              <w:rPr>
                <w:rFonts w:hint="eastAsia" w:ascii="宋体" w:hAnsi="宋体" w:eastAsia="宋体" w:cs="宋体"/>
                <w:color w:val="000000" w:themeColor="text1"/>
                <w:highlight w:val="none"/>
                <w14:textFill>
                  <w14:solidFill>
                    <w14:schemeClr w14:val="tx1"/>
                  </w14:solidFill>
                </w14:textFill>
              </w:rPr>
            </w:pPr>
          </w:p>
        </w:tc>
        <w:tc>
          <w:tcPr>
            <w:tcW w:w="3570" w:type="dxa"/>
            <w:tcBorders>
              <w:bottom w:val="single" w:color="auto" w:sz="4" w:space="0"/>
            </w:tcBorders>
          </w:tcPr>
          <w:p w14:paraId="70E7C419">
            <w:pPr>
              <w:pStyle w:val="95"/>
              <w:rPr>
                <w:rFonts w:hint="eastAsia" w:ascii="宋体" w:hAnsi="宋体" w:eastAsia="宋体" w:cs="宋体"/>
                <w:color w:val="000000" w:themeColor="text1"/>
                <w:highlight w:val="none"/>
                <w14:textFill>
                  <w14:solidFill>
                    <w14:schemeClr w14:val="tx1"/>
                  </w14:solidFill>
                </w14:textFill>
              </w:rPr>
            </w:pPr>
          </w:p>
        </w:tc>
      </w:tr>
    </w:tbl>
    <w:p w14:paraId="6768498B">
      <w:pPr>
        <w:pStyle w:val="8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45" w:name="_Toc489655320"/>
      <w:r>
        <w:rPr>
          <w:rFonts w:hint="eastAsia" w:ascii="宋体" w:hAnsi="宋体" w:eastAsia="宋体" w:cs="宋体"/>
          <w:color w:val="000000" w:themeColor="text1"/>
          <w:highlight w:val="none"/>
          <w14:textFill>
            <w14:solidFill>
              <w14:schemeClr w14:val="tx1"/>
            </w14:solidFill>
          </w14:textFill>
        </w:rPr>
        <w:t>投标文件主要目录</w:t>
      </w:r>
      <w:bookmarkEnd w:id="44"/>
      <w:bookmarkEnd w:id="45"/>
      <w:r>
        <w:rPr>
          <w:rFonts w:hint="eastAsia" w:ascii="宋体" w:hAnsi="宋体" w:eastAsia="宋体" w:cs="宋体"/>
          <w:color w:val="000000" w:themeColor="text1"/>
          <w:highlight w:val="none"/>
          <w14:textFill>
            <w14:solidFill>
              <w14:schemeClr w14:val="tx1"/>
            </w14:solidFill>
          </w14:textFill>
        </w:rPr>
        <w:t>及相关证明材料格式、附件</w:t>
      </w:r>
    </w:p>
    <w:p w14:paraId="26DA3729">
      <w:pPr>
        <w:ind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（注：投标人根据附件编制投标文件并制作目录（须生成页码））</w:t>
      </w:r>
    </w:p>
    <w:p w14:paraId="1C82D552">
      <w:pPr>
        <w:ind w:firstLine="482"/>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623E71D2">
      <w:pPr>
        <w:pStyle w:val="3"/>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目录一、投标申请及声明格式</w:t>
      </w:r>
    </w:p>
    <w:p w14:paraId="10A166A0">
      <w:pPr>
        <w:ind w:firstLine="0" w:firstLineChars="0"/>
        <w:jc w:val="center"/>
        <w:rPr>
          <w:rFonts w:hint="eastAsia" w:ascii="宋体" w:hAnsi="宋体" w:eastAsia="宋体" w:cs="宋体"/>
          <w:b/>
          <w:bCs/>
          <w:color w:val="000000" w:themeColor="text1"/>
          <w:sz w:val="32"/>
          <w:szCs w:val="28"/>
          <w:highlight w:val="none"/>
          <w14:textFill>
            <w14:solidFill>
              <w14:schemeClr w14:val="tx1"/>
            </w14:solidFill>
          </w14:textFill>
        </w:rPr>
      </w:pPr>
      <w:r>
        <w:rPr>
          <w:rFonts w:hint="eastAsia" w:ascii="宋体" w:hAnsi="宋体" w:eastAsia="宋体" w:cs="宋体"/>
          <w:b/>
          <w:bCs/>
          <w:color w:val="000000" w:themeColor="text1"/>
          <w:sz w:val="32"/>
          <w:szCs w:val="28"/>
          <w:highlight w:val="none"/>
          <w14:textFill>
            <w14:solidFill>
              <w14:schemeClr w14:val="tx1"/>
            </w14:solidFill>
          </w14:textFill>
        </w:rPr>
        <w:t>投标申请及声明</w:t>
      </w:r>
    </w:p>
    <w:p w14:paraId="1AEAB9BB">
      <w:pPr>
        <w:pStyle w:val="13"/>
        <w:spacing w:line="264" w:lineRule="auto"/>
        <w:ind w:firstLine="0" w:firstLineChars="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致：</w:t>
      </w:r>
      <w:r>
        <w:rPr>
          <w:rFonts w:hint="eastAsia" w:ascii="宋体" w:hAnsi="宋体" w:cs="宋体"/>
          <w:color w:val="000000" w:themeColor="text1"/>
          <w:highlight w:val="none"/>
          <w:lang w:eastAsia="zh-CN"/>
          <w14:textFill>
            <w14:solidFill>
              <w14:schemeClr w14:val="tx1"/>
            </w14:solidFill>
          </w14:textFill>
        </w:rPr>
        <w:t>南京市栖霞区市政设施综合养护管理所</w:t>
      </w:r>
    </w:p>
    <w:p w14:paraId="39E3F7DA">
      <w:pPr>
        <w:pStyle w:val="13"/>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根据贵方</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（项目名称）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（项目编号）</w:t>
      </w:r>
      <w:r>
        <w:rPr>
          <w:rFonts w:hint="eastAsia" w:ascii="宋体" w:hAnsi="宋体" w:cs="宋体"/>
          <w:color w:val="000000" w:themeColor="text1"/>
          <w:highlight w:val="none"/>
          <w:lang w:val="en-US" w:eastAsia="zh-CN"/>
          <w14:textFill>
            <w14:solidFill>
              <w14:schemeClr w14:val="tx1"/>
            </w14:solidFill>
          </w14:textFill>
        </w:rPr>
        <w:t>招标文件</w:t>
      </w:r>
      <w:r>
        <w:rPr>
          <w:rFonts w:hint="eastAsia" w:ascii="宋体" w:hAnsi="宋体" w:eastAsia="宋体" w:cs="宋体"/>
          <w:color w:val="000000" w:themeColor="text1"/>
          <w:highlight w:val="none"/>
          <w14:textFill>
            <w14:solidFill>
              <w14:schemeClr w14:val="tx1"/>
            </w14:solidFill>
          </w14:textFill>
        </w:rPr>
        <w:t>，正式授权下述签字人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（姓名和职务）代表投标人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（投标人名称），提交投标文件。</w:t>
      </w:r>
    </w:p>
    <w:p w14:paraId="79A83385">
      <w:pPr>
        <w:pStyle w:val="13"/>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据此函，签字人兹宣布声明和承诺如下：</w:t>
      </w:r>
    </w:p>
    <w:p w14:paraId="44CD608A">
      <w:pPr>
        <w:pStyle w:val="13"/>
        <w:tabs>
          <w:tab w:val="left" w:pos="780"/>
        </w:tabs>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1.我方的资格条件符合政府采购法和本次招标要求，我方同意并向贵方提供了与投标有关的所有证据和资料。</w:t>
      </w:r>
    </w:p>
    <w:p w14:paraId="15FD6547">
      <w:pPr>
        <w:pStyle w:val="13"/>
        <w:tabs>
          <w:tab w:val="left" w:pos="780"/>
        </w:tabs>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2.按招标要求，我方投标</w:t>
      </w:r>
      <w:r>
        <w:rPr>
          <w:rFonts w:hint="eastAsia" w:ascii="宋体" w:hAnsi="宋体" w:cs="宋体"/>
          <w:color w:val="000000" w:themeColor="text1"/>
          <w:highlight w:val="none"/>
          <w:lang w:val="en-US" w:eastAsia="zh-CN"/>
          <w14:textFill>
            <w14:solidFill>
              <w14:schemeClr w14:val="tx1"/>
            </w14:solidFill>
          </w14:textFill>
        </w:rPr>
        <w:t>费率</w:t>
      </w:r>
      <w:r>
        <w:rPr>
          <w:rFonts w:hint="eastAsia" w:ascii="宋体" w:hAnsi="宋体" w:eastAsia="宋体" w:cs="宋体"/>
          <w:color w:val="000000" w:themeColor="text1"/>
          <w:highlight w:val="none"/>
          <w14:textFill>
            <w14:solidFill>
              <w14:schemeClr w14:val="tx1"/>
            </w14:solidFill>
          </w14:textFill>
        </w:rPr>
        <w:t>为</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小写</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，（大写）</w:t>
      </w:r>
      <w:r>
        <w:rPr>
          <w:rFonts w:hint="eastAsia" w:ascii="宋体" w:hAnsi="宋体" w:cs="宋体"/>
          <w:color w:val="000000" w:themeColor="text1"/>
          <w:highlight w:val="none"/>
          <w:lang w:eastAsia="zh-CN"/>
          <w14:textFill>
            <w14:solidFill>
              <w14:schemeClr w14:val="tx1"/>
            </w14:solidFill>
          </w14:textFill>
        </w:rPr>
        <w:t>百分之</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352311C9">
      <w:pPr>
        <w:pStyle w:val="13"/>
        <w:tabs>
          <w:tab w:val="left" w:pos="780"/>
        </w:tabs>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3.我方参加本次采购活动前三年内，在经营活动中没有重大违法记录。</w:t>
      </w:r>
    </w:p>
    <w:p w14:paraId="1D6E2051">
      <w:pPr>
        <w:pStyle w:val="13"/>
        <w:tabs>
          <w:tab w:val="left" w:pos="780"/>
        </w:tabs>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4.本项目</w:t>
      </w:r>
      <w:r>
        <w:rPr>
          <w:rFonts w:hint="eastAsia" w:ascii="宋体" w:hAnsi="宋体" w:eastAsia="宋体" w:cs="宋体"/>
          <w:color w:val="000000" w:themeColor="text1"/>
          <w:highlight w:val="none"/>
          <w:lang w:val="en-US"/>
          <w14:textFill>
            <w14:solidFill>
              <w14:schemeClr w14:val="tx1"/>
            </w14:solidFill>
          </w14:textFill>
        </w:rPr>
        <w:t>服务期限</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满足招标文件要求</w:t>
      </w:r>
      <w:r>
        <w:rPr>
          <w:rFonts w:hint="eastAsia" w:ascii="宋体" w:hAnsi="宋体" w:eastAsia="宋体" w:cs="宋体"/>
          <w:color w:val="000000" w:themeColor="text1"/>
          <w:highlight w:val="none"/>
          <w14:textFill>
            <w14:solidFill>
              <w14:schemeClr w14:val="tx1"/>
            </w14:solidFill>
          </w14:textFill>
        </w:rPr>
        <w:t>。</w:t>
      </w:r>
    </w:p>
    <w:p w14:paraId="24DA842A">
      <w:pPr>
        <w:pStyle w:val="13"/>
        <w:tabs>
          <w:tab w:val="left" w:pos="780"/>
        </w:tabs>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5.我方已详细阅读全部招标文件及其有效补充文件，我们放弃对招标文件任何误解的权利，提交投标文件后，不对招标文件本身提出质疑。</w:t>
      </w:r>
    </w:p>
    <w:p w14:paraId="6E0D16B2">
      <w:pPr>
        <w:pStyle w:val="13"/>
        <w:tabs>
          <w:tab w:val="left" w:pos="780"/>
        </w:tabs>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6.我们同意从规定的开标日期起遵循本投标文件，并在规定的投标有效期期满之前均具有约束力。</w:t>
      </w:r>
    </w:p>
    <w:p w14:paraId="072CA9E5">
      <w:pPr>
        <w:pStyle w:val="13"/>
        <w:tabs>
          <w:tab w:val="left" w:pos="780"/>
        </w:tabs>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7.一旦我方中标，我方将根据招标文件的规定严格履行合同，并保证于承诺的时间完成</w:t>
      </w:r>
      <w:r>
        <w:rPr>
          <w:rFonts w:hint="eastAsia" w:ascii="宋体" w:hAnsi="宋体" w:cs="宋体"/>
          <w:color w:val="000000" w:themeColor="text1"/>
          <w:highlight w:val="none"/>
          <w:lang w:val="en-US" w:eastAsia="zh-CN"/>
          <w14:textFill>
            <w14:solidFill>
              <w14:schemeClr w14:val="tx1"/>
            </w14:solidFill>
          </w14:textFill>
        </w:rPr>
        <w:t>内提供合格的服务</w:t>
      </w:r>
      <w:r>
        <w:rPr>
          <w:rFonts w:hint="eastAsia" w:ascii="宋体" w:hAnsi="宋体" w:eastAsia="宋体" w:cs="宋体"/>
          <w:color w:val="000000" w:themeColor="text1"/>
          <w:highlight w:val="none"/>
          <w14:textFill>
            <w14:solidFill>
              <w14:schemeClr w14:val="tx1"/>
            </w14:solidFill>
          </w14:textFill>
        </w:rPr>
        <w:t>。</w:t>
      </w:r>
    </w:p>
    <w:p w14:paraId="577E7A26">
      <w:pPr>
        <w:pStyle w:val="13"/>
        <w:tabs>
          <w:tab w:val="left" w:pos="780"/>
        </w:tabs>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我方决不提供虚假材料谋取中标、决不采取不正当手段诋毁、排挤其他投标人、决不与采购人、其他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2A20FA58">
      <w:pPr>
        <w:pStyle w:val="13"/>
        <w:tabs>
          <w:tab w:val="left" w:pos="780"/>
        </w:tabs>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9.与</w:t>
      </w:r>
      <w:r>
        <w:rPr>
          <w:rFonts w:hint="eastAsia" w:ascii="宋体" w:hAnsi="宋体" w:cs="宋体"/>
          <w:color w:val="000000" w:themeColor="text1"/>
          <w:highlight w:val="none"/>
          <w:lang w:eastAsia="zh-CN"/>
          <w14:textFill>
            <w14:solidFill>
              <w14:schemeClr w14:val="tx1"/>
            </w14:solidFill>
          </w14:textFill>
        </w:rPr>
        <w:t>本次</w:t>
      </w:r>
      <w:r>
        <w:rPr>
          <w:rFonts w:hint="eastAsia" w:ascii="宋体" w:hAnsi="宋体" w:eastAsia="宋体" w:cs="宋体"/>
          <w:color w:val="000000" w:themeColor="text1"/>
          <w:highlight w:val="none"/>
          <w14:textFill>
            <w14:solidFill>
              <w14:schemeClr w14:val="tx1"/>
            </w14:solidFill>
          </w14:textFill>
        </w:rPr>
        <w:t>投标有关的正式联系方式为：</w:t>
      </w:r>
    </w:p>
    <w:p w14:paraId="4E30C315">
      <w:pPr>
        <w:pStyle w:val="13"/>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w:t>
      </w:r>
    </w:p>
    <w:p w14:paraId="3FB8D08D">
      <w:pPr>
        <w:pStyle w:val="13"/>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电话：</w:t>
      </w:r>
    </w:p>
    <w:p w14:paraId="3025757C">
      <w:pPr>
        <w:pStyle w:val="13"/>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传真：</w:t>
      </w:r>
    </w:p>
    <w:p w14:paraId="2818DBBB">
      <w:pPr>
        <w:pStyle w:val="13"/>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开户银行：</w:t>
      </w:r>
    </w:p>
    <w:p w14:paraId="5CB26BED">
      <w:pPr>
        <w:pStyle w:val="13"/>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银行账号：</w:t>
      </w:r>
    </w:p>
    <w:p w14:paraId="43E33884">
      <w:pPr>
        <w:spacing w:after="120"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投标人授权代表姓名（签字）：</w:t>
      </w:r>
    </w:p>
    <w:p w14:paraId="7EFBFC7C">
      <w:pPr>
        <w:spacing w:after="120"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投标人名称：（盖章）</w:t>
      </w:r>
    </w:p>
    <w:p w14:paraId="24122DC4">
      <w:pPr>
        <w:spacing w:after="120"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w:t>
      </w:r>
      <w:r>
        <w:rPr>
          <w:rFonts w:hint="eastAsia" w:ascii="宋体" w:hAnsi="宋体" w:eastAsia="宋体" w:cs="宋体"/>
          <w:color w:val="000000" w:themeColor="text1"/>
          <w:highlight w:val="none"/>
          <w:lang w:val="en-US"/>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w:t>
      </w:r>
    </w:p>
    <w:p w14:paraId="68727079">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951BB9C">
      <w:pPr>
        <w:pStyle w:val="3"/>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目录二、法定代表人授权书格式</w:t>
      </w:r>
    </w:p>
    <w:p w14:paraId="1F97077F">
      <w:pPr>
        <w:ind w:firstLine="0" w:firstLineChars="0"/>
        <w:jc w:val="center"/>
        <w:rPr>
          <w:rFonts w:hint="eastAsia" w:ascii="宋体" w:hAnsi="宋体" w:eastAsia="宋体" w:cs="宋体"/>
          <w:b/>
          <w:bCs/>
          <w:color w:val="000000" w:themeColor="text1"/>
          <w:sz w:val="32"/>
          <w:szCs w:val="28"/>
          <w:highlight w:val="none"/>
          <w14:textFill>
            <w14:solidFill>
              <w14:schemeClr w14:val="tx1"/>
            </w14:solidFill>
          </w14:textFill>
        </w:rPr>
      </w:pPr>
      <w:r>
        <w:rPr>
          <w:rFonts w:hint="eastAsia" w:ascii="宋体" w:hAnsi="宋体" w:eastAsia="宋体" w:cs="宋体"/>
          <w:b/>
          <w:bCs/>
          <w:color w:val="000000" w:themeColor="text1"/>
          <w:sz w:val="32"/>
          <w:szCs w:val="28"/>
          <w:highlight w:val="none"/>
          <w14:textFill>
            <w14:solidFill>
              <w14:schemeClr w14:val="tx1"/>
            </w14:solidFill>
          </w14:textFill>
        </w:rPr>
        <w:t>法定代表人授权委托书</w:t>
      </w:r>
    </w:p>
    <w:p w14:paraId="000752FB">
      <w:pPr>
        <w:pStyle w:val="13"/>
        <w:widowControl/>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南京市栖霞区市政设施综合养护管理所</w:t>
      </w:r>
      <w:r>
        <w:rPr>
          <w:rFonts w:hint="eastAsia" w:ascii="宋体" w:hAnsi="宋体" w:eastAsia="宋体" w:cs="宋体"/>
          <w:color w:val="000000" w:themeColor="text1"/>
          <w:highlight w:val="none"/>
          <w14:textFill>
            <w14:solidFill>
              <w14:schemeClr w14:val="tx1"/>
            </w14:solidFill>
          </w14:textFill>
        </w:rPr>
        <w:t>：</w:t>
      </w:r>
    </w:p>
    <w:p w14:paraId="3407115F">
      <w:pPr>
        <w:pStyle w:val="13"/>
        <w:widowControl/>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本授权书声明：注册于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（投标人住址）的</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（投标人名称）法定代表人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（法定代表人姓名、职务）代表本公司授权在下面签字的（</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投标人代表姓名、职务）为本公司的合法代理人，就贵方组织的</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（项目名称），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（项目编号）投标，以本公司名义处理一切与之有关的事务。</w:t>
      </w:r>
    </w:p>
    <w:p w14:paraId="0E32271C">
      <w:pPr>
        <w:pStyle w:val="13"/>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代理人无转委托权，特此委托。</w:t>
      </w:r>
    </w:p>
    <w:p w14:paraId="351303C3">
      <w:pPr>
        <w:pStyle w:val="13"/>
        <w:widowControl/>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委托期限：自本授权委托书签署之日起至投标有效期届满之日止。</w:t>
      </w:r>
    </w:p>
    <w:p w14:paraId="35841839">
      <w:pPr>
        <w:widowControl/>
        <w:spacing w:after="120"/>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w:t>
      </w:r>
      <w:r>
        <w:rPr>
          <w:rFonts w:hint="eastAsia" w:ascii="宋体" w:hAnsi="宋体" w:eastAsia="宋体" w:cs="宋体"/>
          <w:color w:val="000000" w:themeColor="text1"/>
          <w:szCs w:val="21"/>
          <w:highlight w:val="none"/>
          <w14:textFill>
            <w14:solidFill>
              <w14:schemeClr w14:val="tx1"/>
            </w14:solidFill>
          </w14:textFill>
        </w:rPr>
        <w:t>定代表人（签字</w:t>
      </w:r>
      <w:r>
        <w:rPr>
          <w:rFonts w:hint="eastAsia" w:ascii="宋体" w:hAnsi="宋体" w:eastAsia="宋体" w:cs="宋体"/>
          <w:color w:val="000000" w:themeColor="text1"/>
          <w:szCs w:val="21"/>
          <w:highlight w:val="none"/>
          <w:lang w:val="en-US"/>
          <w14:textFill>
            <w14:solidFill>
              <w14:schemeClr w14:val="tx1"/>
            </w14:solidFill>
          </w14:textFill>
        </w:rPr>
        <w:t>或盖章</w:t>
      </w:r>
      <w:r>
        <w:rPr>
          <w:rFonts w:hint="eastAsia" w:ascii="宋体" w:hAnsi="宋体" w:eastAsia="宋体" w:cs="宋体"/>
          <w:color w:val="000000" w:themeColor="text1"/>
          <w:szCs w:val="21"/>
          <w:highlight w:val="none"/>
          <w14:textFill>
            <w14:solidFill>
              <w14:schemeClr w14:val="tx1"/>
            </w14:solidFill>
          </w14:textFill>
        </w:rPr>
        <w:t>）：</w:t>
      </w:r>
    </w:p>
    <w:p w14:paraId="27A20804">
      <w:pPr>
        <w:widowControl/>
        <w:spacing w:after="120"/>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w:t>
      </w:r>
      <w:r>
        <w:rPr>
          <w:rFonts w:hint="eastAsia" w:ascii="宋体" w:hAnsi="宋体" w:eastAsia="宋体" w:cs="宋体"/>
          <w:color w:val="000000" w:themeColor="text1"/>
          <w:szCs w:val="21"/>
          <w:highlight w:val="none"/>
          <w:lang w:val="en-US"/>
          <w14:textFill>
            <w14:solidFill>
              <w14:schemeClr w14:val="tx1"/>
            </w14:solidFill>
          </w14:textFill>
        </w:rPr>
        <w:t>代表</w:t>
      </w:r>
      <w:r>
        <w:rPr>
          <w:rFonts w:hint="eastAsia" w:ascii="宋体" w:hAnsi="宋体" w:eastAsia="宋体" w:cs="宋体"/>
          <w:color w:val="000000" w:themeColor="text1"/>
          <w:szCs w:val="21"/>
          <w:highlight w:val="none"/>
          <w14:textFill>
            <w14:solidFill>
              <w14:schemeClr w14:val="tx1"/>
            </w14:solidFill>
          </w14:textFill>
        </w:rPr>
        <w:t>（签字）：</w:t>
      </w:r>
    </w:p>
    <w:p w14:paraId="0E1A5BF8">
      <w:pPr>
        <w:widowControl/>
        <w:tabs>
          <w:tab w:val="left" w:pos="1440"/>
        </w:tabs>
        <w:spacing w:after="120"/>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lang w:val="en-US"/>
          <w14:textFill>
            <w14:solidFill>
              <w14:schemeClr w14:val="tx1"/>
            </w14:solidFill>
          </w14:textFill>
        </w:rPr>
        <w:t>名称</w:t>
      </w:r>
      <w:r>
        <w:rPr>
          <w:rFonts w:hint="eastAsia" w:ascii="宋体" w:hAnsi="宋体" w:eastAsia="宋体" w:cs="宋体"/>
          <w:color w:val="000000" w:themeColor="text1"/>
          <w:szCs w:val="21"/>
          <w:highlight w:val="none"/>
          <w14:textFill>
            <w14:solidFill>
              <w14:schemeClr w14:val="tx1"/>
            </w14:solidFill>
          </w14:textFill>
        </w:rPr>
        <w:t>：（盖章）</w:t>
      </w:r>
    </w:p>
    <w:p w14:paraId="2446FCC2">
      <w:pPr>
        <w:widowControl/>
        <w:tabs>
          <w:tab w:val="left" w:pos="1440"/>
        </w:tabs>
        <w:spacing w:after="120"/>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      年    月    日</w:t>
      </w:r>
    </w:p>
    <w:p w14:paraId="525B52C7">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4836DE5">
      <w:pPr>
        <w:pStyle w:val="8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附：法定代表人有效期内的身份证复印件（正反面）</w:t>
      </w:r>
    </w:p>
    <w:tbl>
      <w:tblPr>
        <w:tblStyle w:val="28"/>
        <w:tblpPr w:leftFromText="180" w:rightFromText="180" w:vertAnchor="text" w:horzAnchor="page" w:tblpX="1334" w:tblpY="162"/>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284"/>
        <w:gridCol w:w="4677"/>
      </w:tblGrid>
      <w:tr w14:paraId="7052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4678" w:type="dxa"/>
            <w:vAlign w:val="center"/>
          </w:tcPr>
          <w:p w14:paraId="111B9641">
            <w:pPr>
              <w:pStyle w:val="95"/>
              <w:jc w:val="center"/>
              <w:rPr>
                <w:rFonts w:hint="eastAsia" w:ascii="宋体" w:hAnsi="宋体" w:eastAsia="宋体" w:cs="宋体"/>
                <w:i/>
                <w:iCs/>
                <w:color w:val="000000" w:themeColor="text1"/>
                <w:highlight w:val="none"/>
                <w14:textFill>
                  <w14:solidFill>
                    <w14:schemeClr w14:val="tx1"/>
                  </w14:solidFill>
                </w14:textFill>
              </w:rPr>
            </w:pPr>
            <w:r>
              <w:rPr>
                <w:rFonts w:hint="eastAsia" w:ascii="宋体" w:hAnsi="宋体" w:eastAsia="宋体" w:cs="宋体"/>
                <w:i/>
                <w:iCs/>
                <w:color w:val="000000" w:themeColor="text1"/>
                <w:highlight w:val="none"/>
                <w14:textFill>
                  <w14:solidFill>
                    <w14:schemeClr w14:val="tx1"/>
                  </w14:solidFill>
                </w14:textFill>
              </w:rPr>
              <w:t>身份证正面</w:t>
            </w:r>
          </w:p>
        </w:tc>
        <w:tc>
          <w:tcPr>
            <w:tcW w:w="284" w:type="dxa"/>
            <w:tcBorders>
              <w:top w:val="nil"/>
              <w:bottom w:val="nil"/>
            </w:tcBorders>
          </w:tcPr>
          <w:p w14:paraId="6A5FE798">
            <w:pPr>
              <w:pStyle w:val="95"/>
              <w:jc w:val="center"/>
              <w:rPr>
                <w:rFonts w:hint="eastAsia" w:ascii="宋体" w:hAnsi="宋体" w:eastAsia="宋体" w:cs="宋体"/>
                <w:i/>
                <w:iCs/>
                <w:color w:val="000000" w:themeColor="text1"/>
                <w:highlight w:val="none"/>
                <w14:textFill>
                  <w14:solidFill>
                    <w14:schemeClr w14:val="tx1"/>
                  </w14:solidFill>
                </w14:textFill>
              </w:rPr>
            </w:pPr>
          </w:p>
        </w:tc>
        <w:tc>
          <w:tcPr>
            <w:tcW w:w="4677" w:type="dxa"/>
            <w:vAlign w:val="center"/>
          </w:tcPr>
          <w:p w14:paraId="7C44A3F5">
            <w:pPr>
              <w:pStyle w:val="95"/>
              <w:jc w:val="center"/>
              <w:rPr>
                <w:rFonts w:hint="eastAsia" w:ascii="宋体" w:hAnsi="宋体" w:eastAsia="宋体" w:cs="宋体"/>
                <w:i/>
                <w:iCs/>
                <w:color w:val="000000" w:themeColor="text1"/>
                <w:highlight w:val="none"/>
                <w14:textFill>
                  <w14:solidFill>
                    <w14:schemeClr w14:val="tx1"/>
                  </w14:solidFill>
                </w14:textFill>
              </w:rPr>
            </w:pPr>
            <w:r>
              <w:rPr>
                <w:rFonts w:hint="eastAsia" w:ascii="宋体" w:hAnsi="宋体" w:eastAsia="宋体" w:cs="宋体"/>
                <w:i/>
                <w:iCs/>
                <w:color w:val="000000" w:themeColor="text1"/>
                <w:highlight w:val="none"/>
                <w14:textFill>
                  <w14:solidFill>
                    <w14:schemeClr w14:val="tx1"/>
                  </w14:solidFill>
                </w14:textFill>
              </w:rPr>
              <w:t>身份证反面</w:t>
            </w:r>
          </w:p>
        </w:tc>
      </w:tr>
    </w:tbl>
    <w:tbl>
      <w:tblPr>
        <w:tblStyle w:val="28"/>
        <w:tblpPr w:leftFromText="180" w:rightFromText="180" w:vertAnchor="text" w:horzAnchor="page" w:tblpX="1403" w:tblpY="3994"/>
        <w:tblOverlap w:val="never"/>
        <w:tblW w:w="9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278"/>
        <w:gridCol w:w="4695"/>
      </w:tblGrid>
      <w:tr w14:paraId="69DE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4678" w:type="dxa"/>
            <w:vAlign w:val="center"/>
          </w:tcPr>
          <w:p w14:paraId="36FC8AD9">
            <w:pPr>
              <w:pStyle w:val="95"/>
              <w:jc w:val="center"/>
              <w:rPr>
                <w:rFonts w:hint="eastAsia" w:ascii="宋体" w:hAnsi="宋体" w:eastAsia="宋体" w:cs="宋体"/>
                <w:i/>
                <w:iCs/>
                <w:color w:val="000000" w:themeColor="text1"/>
                <w:highlight w:val="none"/>
                <w14:textFill>
                  <w14:solidFill>
                    <w14:schemeClr w14:val="tx1"/>
                  </w14:solidFill>
                </w14:textFill>
              </w:rPr>
            </w:pPr>
            <w:r>
              <w:rPr>
                <w:rFonts w:hint="eastAsia" w:ascii="宋体" w:hAnsi="宋体" w:eastAsia="宋体" w:cs="宋体"/>
                <w:i/>
                <w:iCs/>
                <w:color w:val="000000" w:themeColor="text1"/>
                <w:highlight w:val="none"/>
                <w14:textFill>
                  <w14:solidFill>
                    <w14:schemeClr w14:val="tx1"/>
                  </w14:solidFill>
                </w14:textFill>
              </w:rPr>
              <w:t>身份证正面</w:t>
            </w:r>
          </w:p>
        </w:tc>
        <w:tc>
          <w:tcPr>
            <w:tcW w:w="278" w:type="dxa"/>
            <w:tcBorders>
              <w:top w:val="nil"/>
              <w:bottom w:val="nil"/>
            </w:tcBorders>
          </w:tcPr>
          <w:p w14:paraId="11678086">
            <w:pPr>
              <w:pStyle w:val="95"/>
              <w:jc w:val="center"/>
              <w:rPr>
                <w:rFonts w:hint="eastAsia" w:ascii="宋体" w:hAnsi="宋体" w:eastAsia="宋体" w:cs="宋体"/>
                <w:i/>
                <w:iCs/>
                <w:color w:val="000000" w:themeColor="text1"/>
                <w:highlight w:val="none"/>
                <w14:textFill>
                  <w14:solidFill>
                    <w14:schemeClr w14:val="tx1"/>
                  </w14:solidFill>
                </w14:textFill>
              </w:rPr>
            </w:pPr>
          </w:p>
        </w:tc>
        <w:tc>
          <w:tcPr>
            <w:tcW w:w="4695" w:type="dxa"/>
            <w:vAlign w:val="center"/>
          </w:tcPr>
          <w:p w14:paraId="4ABA586A">
            <w:pPr>
              <w:pStyle w:val="95"/>
              <w:jc w:val="center"/>
              <w:rPr>
                <w:rFonts w:hint="eastAsia" w:ascii="宋体" w:hAnsi="宋体" w:eastAsia="宋体" w:cs="宋体"/>
                <w:i/>
                <w:iCs/>
                <w:color w:val="000000" w:themeColor="text1"/>
                <w:highlight w:val="none"/>
                <w14:textFill>
                  <w14:solidFill>
                    <w14:schemeClr w14:val="tx1"/>
                  </w14:solidFill>
                </w14:textFill>
              </w:rPr>
            </w:pPr>
            <w:r>
              <w:rPr>
                <w:rFonts w:hint="eastAsia" w:ascii="宋体" w:hAnsi="宋体" w:eastAsia="宋体" w:cs="宋体"/>
                <w:i/>
                <w:iCs/>
                <w:color w:val="000000" w:themeColor="text1"/>
                <w:highlight w:val="none"/>
                <w14:textFill>
                  <w14:solidFill>
                    <w14:schemeClr w14:val="tx1"/>
                  </w14:solidFill>
                </w14:textFill>
              </w:rPr>
              <w:t>身份证反面</w:t>
            </w:r>
          </w:p>
        </w:tc>
      </w:tr>
    </w:tbl>
    <w:p w14:paraId="20E47E8E">
      <w:pPr>
        <w:pStyle w:val="13"/>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授权代表有效期内的身份证复印件（正反面）</w:t>
      </w:r>
    </w:p>
    <w:p w14:paraId="78D7E061">
      <w:pPr>
        <w:pStyle w:val="13"/>
        <w:widowControl/>
        <w:ind w:firstLine="480"/>
        <w:rPr>
          <w:rFonts w:hint="eastAsia" w:ascii="宋体" w:hAnsi="宋体" w:eastAsia="宋体" w:cs="宋体"/>
          <w:color w:val="000000" w:themeColor="text1"/>
          <w:highlight w:val="none"/>
          <w14:textFill>
            <w14:solidFill>
              <w14:schemeClr w14:val="tx1"/>
            </w14:solidFill>
          </w14:textFill>
        </w:rPr>
      </w:pPr>
    </w:p>
    <w:p w14:paraId="0CC7DE6E">
      <w:pPr>
        <w:pStyle w:val="13"/>
        <w:widowControl/>
        <w:ind w:firstLine="480"/>
        <w:rPr>
          <w:rFonts w:hint="eastAsia" w:ascii="宋体" w:hAnsi="宋体" w:eastAsia="宋体" w:cs="宋体"/>
          <w:color w:val="000000" w:themeColor="text1"/>
          <w:highlight w:val="none"/>
          <w14:textFill>
            <w14:solidFill>
              <w14:schemeClr w14:val="tx1"/>
            </w14:solidFill>
          </w14:textFill>
        </w:rPr>
      </w:pPr>
    </w:p>
    <w:p w14:paraId="6AACD8BB">
      <w:pPr>
        <w:pStyle w:val="13"/>
        <w:widowControl/>
        <w:ind w:firstLine="480"/>
        <w:rPr>
          <w:rFonts w:hint="eastAsia" w:ascii="宋体" w:hAnsi="宋体" w:eastAsia="宋体" w:cs="宋体"/>
          <w:color w:val="000000" w:themeColor="text1"/>
          <w:highlight w:val="none"/>
          <w14:textFill>
            <w14:solidFill>
              <w14:schemeClr w14:val="tx1"/>
            </w14:solidFill>
          </w14:textFill>
        </w:rPr>
      </w:pPr>
    </w:p>
    <w:p w14:paraId="040375AC">
      <w:pPr>
        <w:pStyle w:val="13"/>
        <w:widowControl/>
        <w:ind w:firstLine="482"/>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投标人近半年内任意一个月为授权委托人缴纳社保的证明材料：</w:t>
      </w:r>
    </w:p>
    <w:p w14:paraId="13C60501">
      <w:pPr>
        <w:pStyle w:val="13"/>
        <w:widowControl/>
        <w:ind w:firstLine="482"/>
        <w:rPr>
          <w:rFonts w:hint="eastAsia" w:ascii="宋体" w:hAnsi="宋体" w:eastAsia="宋体" w:cs="宋体"/>
          <w:b/>
          <w:bCs/>
          <w:color w:val="000000" w:themeColor="text1"/>
          <w:highlight w:val="none"/>
          <w14:textFill>
            <w14:solidFill>
              <w14:schemeClr w14:val="tx1"/>
            </w14:solidFill>
          </w14:textFill>
        </w:rPr>
      </w:pPr>
    </w:p>
    <w:p w14:paraId="2EBAAFB6">
      <w:pPr>
        <w:ind w:firstLine="482"/>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4AF3A35F">
      <w:pPr>
        <w:pStyle w:val="3"/>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目录三、开标一览表格式</w:t>
      </w:r>
    </w:p>
    <w:p w14:paraId="7FCF4D92">
      <w:pPr>
        <w:ind w:firstLine="0" w:firstLineChars="0"/>
        <w:jc w:val="center"/>
        <w:rPr>
          <w:rFonts w:hint="eastAsia" w:ascii="宋体" w:hAnsi="宋体" w:eastAsia="宋体" w:cs="宋体"/>
          <w:b/>
          <w:bCs/>
          <w:color w:val="000000" w:themeColor="text1"/>
          <w:sz w:val="32"/>
          <w:szCs w:val="28"/>
          <w:highlight w:val="none"/>
          <w14:textFill>
            <w14:solidFill>
              <w14:schemeClr w14:val="tx1"/>
            </w14:solidFill>
          </w14:textFill>
        </w:rPr>
      </w:pPr>
      <w:r>
        <w:rPr>
          <w:rFonts w:hint="eastAsia" w:ascii="宋体" w:hAnsi="宋体" w:eastAsia="宋体" w:cs="宋体"/>
          <w:b/>
          <w:bCs/>
          <w:color w:val="000000" w:themeColor="text1"/>
          <w:sz w:val="32"/>
          <w:szCs w:val="28"/>
          <w:highlight w:val="none"/>
          <w14:textFill>
            <w14:solidFill>
              <w14:schemeClr w14:val="tx1"/>
            </w14:solidFill>
          </w14:textFill>
        </w:rPr>
        <w:t>开标一览表</w:t>
      </w:r>
    </w:p>
    <w:tbl>
      <w:tblPr>
        <w:tblStyle w:val="28"/>
        <w:tblW w:w="997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068"/>
        <w:gridCol w:w="5911"/>
      </w:tblGrid>
      <w:tr w14:paraId="4CBDD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4068" w:type="dxa"/>
            <w:tcBorders>
              <w:top w:val="single" w:color="auto" w:sz="4" w:space="0"/>
              <w:left w:val="single" w:color="auto" w:sz="4" w:space="0"/>
              <w:bottom w:val="single" w:color="auto" w:sz="4" w:space="0"/>
              <w:right w:val="single" w:color="auto" w:sz="4" w:space="0"/>
            </w:tcBorders>
            <w:vAlign w:val="center"/>
          </w:tcPr>
          <w:p w14:paraId="4EDFE6FB">
            <w:pPr>
              <w:pStyle w:val="9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p>
        </w:tc>
        <w:tc>
          <w:tcPr>
            <w:tcW w:w="5911" w:type="dxa"/>
            <w:tcBorders>
              <w:top w:val="single" w:color="auto" w:sz="4" w:space="0"/>
              <w:left w:val="single" w:color="auto" w:sz="4" w:space="0"/>
              <w:bottom w:val="single" w:color="auto" w:sz="4" w:space="0"/>
              <w:right w:val="single" w:color="auto" w:sz="4" w:space="0"/>
            </w:tcBorders>
            <w:vAlign w:val="center"/>
          </w:tcPr>
          <w:p w14:paraId="7EACF848">
            <w:pPr>
              <w:pStyle w:val="9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项目编号：</w:t>
            </w:r>
          </w:p>
        </w:tc>
      </w:tr>
      <w:tr w14:paraId="45618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63" w:hRule="atLeast"/>
        </w:trPr>
        <w:tc>
          <w:tcPr>
            <w:tcW w:w="4068" w:type="dxa"/>
            <w:tcBorders>
              <w:top w:val="single" w:color="auto" w:sz="4" w:space="0"/>
              <w:left w:val="single" w:color="auto" w:sz="4" w:space="0"/>
              <w:bottom w:val="single" w:color="auto" w:sz="4" w:space="0"/>
              <w:right w:val="single" w:color="auto" w:sz="4" w:space="0"/>
            </w:tcBorders>
            <w:vAlign w:val="center"/>
          </w:tcPr>
          <w:p w14:paraId="2B1A9B2C">
            <w:pPr>
              <w:pStyle w:val="9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w:t>
            </w:r>
            <w:r>
              <w:rPr>
                <w:rFonts w:hint="eastAsia" w:ascii="宋体" w:hAnsi="宋体" w:cs="宋体"/>
                <w:color w:val="000000" w:themeColor="text1"/>
                <w:highlight w:val="none"/>
                <w:lang w:val="en-US" w:eastAsia="zh-CN"/>
                <w14:textFill>
                  <w14:solidFill>
                    <w14:schemeClr w14:val="tx1"/>
                  </w14:solidFill>
                </w14:textFill>
              </w:rPr>
              <w:t>费率</w:t>
            </w:r>
            <w:r>
              <w:rPr>
                <w:rFonts w:hint="eastAsia" w:ascii="宋体" w:hAnsi="宋体" w:eastAsia="宋体" w:cs="宋体"/>
                <w:color w:val="000000" w:themeColor="text1"/>
                <w:highlight w:val="none"/>
                <w14:textFill>
                  <w14:solidFill>
                    <w14:schemeClr w14:val="tx1"/>
                  </w14:solidFill>
                </w14:textFill>
              </w:rPr>
              <w:t>（人民币）</w:t>
            </w:r>
          </w:p>
        </w:tc>
        <w:tc>
          <w:tcPr>
            <w:tcW w:w="5911" w:type="dxa"/>
            <w:tcBorders>
              <w:top w:val="single" w:color="auto" w:sz="4" w:space="0"/>
              <w:left w:val="single" w:color="auto" w:sz="4" w:space="0"/>
              <w:bottom w:val="single" w:color="auto" w:sz="4" w:space="0"/>
              <w:right w:val="single" w:color="auto" w:sz="4" w:space="0"/>
            </w:tcBorders>
            <w:vAlign w:val="center"/>
          </w:tcPr>
          <w:p w14:paraId="36BFC23F">
            <w:pPr>
              <w:pStyle w:val="95"/>
              <w:rPr>
                <w:rFonts w:hint="eastAsia" w:ascii="宋体" w:hAnsi="宋体" w:eastAsia="宋体" w:cs="宋体"/>
                <w:b/>
                <w:bCs/>
                <w:color w:val="000000" w:themeColor="text1"/>
                <w:highlight w:val="none"/>
                <w14:textFill>
                  <w14:solidFill>
                    <w14:schemeClr w14:val="tx1"/>
                  </w14:solidFill>
                </w14:textFill>
              </w:rPr>
            </w:pPr>
          </w:p>
          <w:p w14:paraId="758BCDDD">
            <w:pPr>
              <w:pStyle w:val="95"/>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 xml:space="preserve">小写：                </w:t>
            </w:r>
            <w:r>
              <w:rPr>
                <w:rFonts w:hint="eastAsia" w:ascii="宋体" w:hAnsi="宋体" w:cs="宋体"/>
                <w:b/>
                <w:bCs/>
                <w:color w:val="000000" w:themeColor="text1"/>
                <w:highlight w:val="none"/>
                <w:lang w:val="en-US" w:eastAsia="zh-CN"/>
                <w14:textFill>
                  <w14:solidFill>
                    <w14:schemeClr w14:val="tx1"/>
                  </w14:solidFill>
                </w14:textFill>
              </w:rPr>
              <w:t>%</w:t>
            </w:r>
          </w:p>
          <w:p w14:paraId="0F659578">
            <w:pPr>
              <w:pStyle w:val="95"/>
              <w:rPr>
                <w:rFonts w:hint="eastAsia" w:ascii="宋体" w:hAnsi="宋体" w:eastAsia="宋体" w:cs="宋体"/>
                <w:b/>
                <w:bCs/>
                <w:color w:val="000000" w:themeColor="text1"/>
                <w:highlight w:val="none"/>
                <w14:textFill>
                  <w14:solidFill>
                    <w14:schemeClr w14:val="tx1"/>
                  </w14:solidFill>
                </w14:textFill>
              </w:rPr>
            </w:pPr>
          </w:p>
          <w:p w14:paraId="4723CB93">
            <w:pPr>
              <w:pStyle w:val="95"/>
              <w:rPr>
                <w:rFonts w:hint="eastAsia" w:ascii="宋体" w:hAnsi="宋体" w:eastAsia="宋体" w:cs="宋体"/>
                <w:b/>
                <w:bCs/>
                <w:color w:val="000000" w:themeColor="text1"/>
                <w:highlight w:val="none"/>
                <w14:textFill>
                  <w14:solidFill>
                    <w14:schemeClr w14:val="tx1"/>
                  </w14:solidFill>
                </w14:textFill>
              </w:rPr>
            </w:pPr>
          </w:p>
          <w:p w14:paraId="43459BF8">
            <w:pPr>
              <w:pStyle w:val="95"/>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大写：</w:t>
            </w:r>
            <w:r>
              <w:rPr>
                <w:rFonts w:hint="eastAsia" w:ascii="宋体" w:hAnsi="宋体" w:cs="宋体"/>
                <w:b/>
                <w:bCs/>
                <w:color w:val="000000" w:themeColor="text1"/>
                <w:highlight w:val="none"/>
                <w:lang w:val="en-US" w:eastAsia="zh-CN"/>
                <w14:textFill>
                  <w14:solidFill>
                    <w14:schemeClr w14:val="tx1"/>
                  </w14:solidFill>
                </w14:textFill>
              </w:rPr>
              <w:t>百分之</w:t>
            </w:r>
          </w:p>
          <w:p w14:paraId="607D6391">
            <w:pPr>
              <w:pStyle w:val="95"/>
              <w:rPr>
                <w:rFonts w:hint="eastAsia" w:ascii="宋体" w:hAnsi="宋体" w:eastAsia="宋体" w:cs="宋体"/>
                <w:b/>
                <w:bCs/>
                <w:color w:val="000000" w:themeColor="text1"/>
                <w:highlight w:val="none"/>
                <w14:textFill>
                  <w14:solidFill>
                    <w14:schemeClr w14:val="tx1"/>
                  </w14:solidFill>
                </w14:textFill>
              </w:rPr>
            </w:pPr>
          </w:p>
        </w:tc>
      </w:tr>
    </w:tbl>
    <w:p w14:paraId="7F8D96E2">
      <w:pPr>
        <w:ind w:firstLine="480"/>
        <w:rPr>
          <w:rFonts w:hint="eastAsia" w:ascii="宋体" w:hAnsi="宋体" w:eastAsia="宋体" w:cs="宋体"/>
          <w:color w:val="000000" w:themeColor="text1"/>
          <w:highlight w:val="none"/>
          <w14:textFill>
            <w14:solidFill>
              <w14:schemeClr w14:val="tx1"/>
            </w14:solidFill>
          </w14:textFill>
        </w:rPr>
      </w:pPr>
    </w:p>
    <w:p w14:paraId="75E245D3">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投标人名称：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（盖章）</w:t>
      </w:r>
    </w:p>
    <w:p w14:paraId="049D94E2">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说明：</w:t>
      </w:r>
    </w:p>
    <w:p w14:paraId="78CF70DA">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14:textFill>
            <w14:solidFill>
              <w14:schemeClr w14:val="tx1"/>
            </w14:solidFill>
          </w14:textFill>
        </w:rPr>
        <w:t>投标</w:t>
      </w:r>
      <w:r>
        <w:rPr>
          <w:rFonts w:hint="eastAsia" w:cs="宋体"/>
          <w:color w:val="000000" w:themeColor="text1"/>
          <w:highlight w:val="none"/>
          <w:lang w:val="en-US" w:eastAsia="zh-CN"/>
          <w14:textFill>
            <w14:solidFill>
              <w14:schemeClr w14:val="tx1"/>
            </w14:solidFill>
          </w14:textFill>
        </w:rPr>
        <w:t>费率</w:t>
      </w:r>
      <w:r>
        <w:rPr>
          <w:rFonts w:hint="eastAsia" w:ascii="宋体" w:hAnsi="宋体" w:eastAsia="宋体" w:cs="宋体"/>
          <w:color w:val="000000" w:themeColor="text1"/>
          <w:highlight w:val="none"/>
          <w14:textFill>
            <w14:solidFill>
              <w14:schemeClr w14:val="tx1"/>
            </w14:solidFill>
          </w14:textFill>
        </w:rPr>
        <w:t>包含完成本项目的全部费用。</w:t>
      </w:r>
    </w:p>
    <w:p w14:paraId="492957CD">
      <w:pPr>
        <w:ind w:firstLine="482"/>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521A3002">
      <w:pPr>
        <w:pStyle w:val="3"/>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目录四、分项报价表</w:t>
      </w:r>
    </w:p>
    <w:p w14:paraId="51B0A314">
      <w:pPr>
        <w:ind w:firstLine="0" w:firstLineChars="0"/>
        <w:jc w:val="center"/>
        <w:rPr>
          <w:rFonts w:hint="eastAsia" w:ascii="宋体" w:hAnsi="宋体" w:eastAsia="宋体" w:cs="宋体"/>
          <w:b/>
          <w:bCs/>
          <w:color w:val="000000" w:themeColor="text1"/>
          <w:sz w:val="32"/>
          <w:szCs w:val="28"/>
          <w:highlight w:val="none"/>
          <w14:textFill>
            <w14:solidFill>
              <w14:schemeClr w14:val="tx1"/>
            </w14:solidFill>
          </w14:textFill>
        </w:rPr>
      </w:pPr>
      <w:r>
        <w:rPr>
          <w:rFonts w:hint="eastAsia" w:ascii="宋体" w:hAnsi="宋体" w:eastAsia="宋体" w:cs="宋体"/>
          <w:b/>
          <w:bCs/>
          <w:color w:val="000000" w:themeColor="text1"/>
          <w:sz w:val="32"/>
          <w:szCs w:val="28"/>
          <w:highlight w:val="none"/>
          <w14:textFill>
            <w14:solidFill>
              <w14:schemeClr w14:val="tx1"/>
            </w14:solidFill>
          </w14:textFill>
        </w:rPr>
        <w:t>分项报价表</w:t>
      </w:r>
    </w:p>
    <w:tbl>
      <w:tblPr>
        <w:tblStyle w:val="28"/>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6"/>
        <w:gridCol w:w="1763"/>
        <w:gridCol w:w="1764"/>
        <w:gridCol w:w="1309"/>
        <w:gridCol w:w="453"/>
        <w:gridCol w:w="1764"/>
        <w:gridCol w:w="1779"/>
      </w:tblGrid>
      <w:tr w14:paraId="5B0C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2954" w:type="pct"/>
            <w:gridSpan w:val="4"/>
            <w:tcBorders>
              <w:top w:val="single" w:color="auto" w:sz="4" w:space="0"/>
              <w:left w:val="single" w:color="auto" w:sz="4" w:space="0"/>
              <w:right w:val="single" w:color="auto" w:sz="4" w:space="0"/>
            </w:tcBorders>
            <w:vAlign w:val="center"/>
          </w:tcPr>
          <w:p w14:paraId="006D14C1">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p>
        </w:tc>
        <w:tc>
          <w:tcPr>
            <w:tcW w:w="2045" w:type="pct"/>
            <w:gridSpan w:val="3"/>
            <w:tcBorders>
              <w:top w:val="single" w:color="auto" w:sz="4" w:space="0"/>
              <w:left w:val="single" w:color="auto" w:sz="4" w:space="0"/>
              <w:right w:val="single" w:color="auto" w:sz="4" w:space="0"/>
            </w:tcBorders>
            <w:vAlign w:val="center"/>
          </w:tcPr>
          <w:p w14:paraId="73C1E576">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项目编号：</w:t>
            </w:r>
          </w:p>
        </w:tc>
      </w:tr>
      <w:tr w14:paraId="4A454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79" w:type="pct"/>
            <w:vAlign w:val="center"/>
          </w:tcPr>
          <w:p w14:paraId="63A01C50">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902" w:type="pct"/>
            <w:vAlign w:val="center"/>
          </w:tcPr>
          <w:p w14:paraId="106B06A7">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服务内容</w:t>
            </w:r>
          </w:p>
        </w:tc>
        <w:tc>
          <w:tcPr>
            <w:tcW w:w="903" w:type="pct"/>
            <w:vAlign w:val="center"/>
          </w:tcPr>
          <w:p w14:paraId="74EAE31F">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服务期</w:t>
            </w:r>
          </w:p>
        </w:tc>
        <w:tc>
          <w:tcPr>
            <w:tcW w:w="902" w:type="pct"/>
            <w:gridSpan w:val="2"/>
            <w:vAlign w:val="center"/>
          </w:tcPr>
          <w:p w14:paraId="72180DC6">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数量</w:t>
            </w:r>
          </w:p>
        </w:tc>
        <w:tc>
          <w:tcPr>
            <w:tcW w:w="903" w:type="pct"/>
            <w:vAlign w:val="center"/>
          </w:tcPr>
          <w:p w14:paraId="1FD56C54">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分项单位</w:t>
            </w:r>
          </w:p>
        </w:tc>
        <w:tc>
          <w:tcPr>
            <w:tcW w:w="908" w:type="pct"/>
            <w:vAlign w:val="center"/>
          </w:tcPr>
          <w:p w14:paraId="59A98EAF">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统一费率</w:t>
            </w:r>
          </w:p>
        </w:tc>
      </w:tr>
      <w:tr w14:paraId="716FA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79" w:type="pct"/>
            <w:vAlign w:val="center"/>
          </w:tcPr>
          <w:p w14:paraId="5E19A115">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902" w:type="pct"/>
            <w:vAlign w:val="center"/>
          </w:tcPr>
          <w:p w14:paraId="18457BDF">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3" w:type="pct"/>
            <w:vAlign w:val="center"/>
          </w:tcPr>
          <w:p w14:paraId="3CADDA4D">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2" w:type="pct"/>
            <w:gridSpan w:val="2"/>
            <w:vAlign w:val="center"/>
          </w:tcPr>
          <w:p w14:paraId="749C8FF7">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3" w:type="pct"/>
            <w:vAlign w:val="center"/>
          </w:tcPr>
          <w:p w14:paraId="354BE853">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8" w:type="pct"/>
            <w:vMerge w:val="restart"/>
            <w:vAlign w:val="center"/>
          </w:tcPr>
          <w:p w14:paraId="3C1C79B7">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46C2A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79" w:type="pct"/>
            <w:vAlign w:val="center"/>
          </w:tcPr>
          <w:p w14:paraId="648F03DD">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902" w:type="pct"/>
            <w:vAlign w:val="center"/>
          </w:tcPr>
          <w:p w14:paraId="5D941D82">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3" w:type="pct"/>
            <w:vAlign w:val="center"/>
          </w:tcPr>
          <w:p w14:paraId="163CF778">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2" w:type="pct"/>
            <w:gridSpan w:val="2"/>
            <w:vAlign w:val="center"/>
          </w:tcPr>
          <w:p w14:paraId="3BEE7802">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3" w:type="pct"/>
            <w:vAlign w:val="center"/>
          </w:tcPr>
          <w:p w14:paraId="467EAE28">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8" w:type="pct"/>
            <w:vMerge w:val="continue"/>
            <w:vAlign w:val="center"/>
          </w:tcPr>
          <w:p w14:paraId="04EC0EAD">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4C5E6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79" w:type="pct"/>
            <w:vAlign w:val="center"/>
          </w:tcPr>
          <w:p w14:paraId="3381FC58">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902" w:type="pct"/>
            <w:vAlign w:val="center"/>
          </w:tcPr>
          <w:p w14:paraId="1CBA809B">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3" w:type="pct"/>
            <w:vAlign w:val="center"/>
          </w:tcPr>
          <w:p w14:paraId="39E47C79">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2" w:type="pct"/>
            <w:gridSpan w:val="2"/>
            <w:vAlign w:val="center"/>
          </w:tcPr>
          <w:p w14:paraId="0D87F059">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3" w:type="pct"/>
            <w:vAlign w:val="center"/>
          </w:tcPr>
          <w:p w14:paraId="331C3743">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8" w:type="pct"/>
            <w:vMerge w:val="continue"/>
            <w:vAlign w:val="center"/>
          </w:tcPr>
          <w:p w14:paraId="5C80D044">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0DBD4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79" w:type="pct"/>
            <w:vAlign w:val="center"/>
          </w:tcPr>
          <w:p w14:paraId="5DA52F26">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902" w:type="pct"/>
            <w:vAlign w:val="center"/>
          </w:tcPr>
          <w:p w14:paraId="250E9AD3">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903" w:type="pct"/>
            <w:vAlign w:val="center"/>
          </w:tcPr>
          <w:p w14:paraId="3C565836">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2" w:type="pct"/>
            <w:gridSpan w:val="2"/>
            <w:vAlign w:val="center"/>
          </w:tcPr>
          <w:p w14:paraId="5782D500">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3" w:type="pct"/>
            <w:vAlign w:val="center"/>
          </w:tcPr>
          <w:p w14:paraId="5132427B">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8" w:type="pct"/>
            <w:vMerge w:val="continue"/>
            <w:vAlign w:val="center"/>
          </w:tcPr>
          <w:p w14:paraId="102D4E97">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bl>
    <w:p w14:paraId="45F64033">
      <w:pPr>
        <w:pStyle w:val="13"/>
        <w:ind w:firstLine="480"/>
        <w:rPr>
          <w:rFonts w:hint="eastAsia" w:ascii="宋体" w:hAnsi="宋体" w:eastAsia="宋体" w:cs="宋体"/>
          <w:color w:val="000000" w:themeColor="text1"/>
          <w:highlight w:val="none"/>
          <w14:textFill>
            <w14:solidFill>
              <w14:schemeClr w14:val="tx1"/>
            </w14:solidFill>
          </w14:textFill>
        </w:rPr>
      </w:pPr>
    </w:p>
    <w:p w14:paraId="1309BD05">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投标人名称：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（盖章）</w:t>
      </w:r>
    </w:p>
    <w:p w14:paraId="77A53025">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说明：</w:t>
      </w:r>
    </w:p>
    <w:p w14:paraId="1734F8A6">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1、如果行数不够，请自行增加。</w:t>
      </w:r>
    </w:p>
    <w:p w14:paraId="6633BFDC">
      <w:pPr>
        <w:ind w:firstLine="482"/>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6A5446AB">
      <w:pPr>
        <w:pStyle w:val="3"/>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目录五、技术条款偏离表格式</w:t>
      </w:r>
    </w:p>
    <w:p w14:paraId="3E27EF9A">
      <w:pPr>
        <w:ind w:firstLine="0" w:firstLineChars="0"/>
        <w:jc w:val="center"/>
        <w:rPr>
          <w:rFonts w:hint="eastAsia" w:ascii="宋体" w:hAnsi="宋体" w:eastAsia="宋体" w:cs="宋体"/>
          <w:b/>
          <w:bCs/>
          <w:color w:val="000000" w:themeColor="text1"/>
          <w:sz w:val="32"/>
          <w:szCs w:val="28"/>
          <w:highlight w:val="none"/>
          <w14:textFill>
            <w14:solidFill>
              <w14:schemeClr w14:val="tx1"/>
            </w14:solidFill>
          </w14:textFill>
        </w:rPr>
      </w:pPr>
      <w:r>
        <w:rPr>
          <w:rFonts w:hint="eastAsia" w:ascii="宋体" w:hAnsi="宋体" w:eastAsia="宋体" w:cs="宋体"/>
          <w:b/>
          <w:bCs/>
          <w:color w:val="000000" w:themeColor="text1"/>
          <w:sz w:val="32"/>
          <w:szCs w:val="28"/>
          <w:highlight w:val="none"/>
          <w14:textFill>
            <w14:solidFill>
              <w14:schemeClr w14:val="tx1"/>
            </w14:solidFill>
          </w14:textFill>
        </w:rPr>
        <w:t>技术条款偏离表</w:t>
      </w:r>
    </w:p>
    <w:tbl>
      <w:tblPr>
        <w:tblStyle w:val="28"/>
        <w:tblW w:w="9594" w:type="dxa"/>
        <w:jc w:val="center"/>
        <w:tblLayout w:type="fixed"/>
        <w:tblCellMar>
          <w:top w:w="0" w:type="dxa"/>
          <w:left w:w="0" w:type="dxa"/>
          <w:bottom w:w="0" w:type="dxa"/>
          <w:right w:w="0" w:type="dxa"/>
        </w:tblCellMar>
      </w:tblPr>
      <w:tblGrid>
        <w:gridCol w:w="924"/>
        <w:gridCol w:w="1620"/>
        <w:gridCol w:w="2700"/>
        <w:gridCol w:w="2432"/>
        <w:gridCol w:w="975"/>
        <w:gridCol w:w="943"/>
      </w:tblGrid>
      <w:tr w14:paraId="4256E816">
        <w:tblPrEx>
          <w:tblCellMar>
            <w:top w:w="0" w:type="dxa"/>
            <w:left w:w="0" w:type="dxa"/>
            <w:bottom w:w="0" w:type="dxa"/>
            <w:right w:w="0" w:type="dxa"/>
          </w:tblCellMar>
        </w:tblPrEx>
        <w:trPr>
          <w:trHeight w:val="624" w:hRule="atLeast"/>
          <w:jc w:val="center"/>
        </w:trPr>
        <w:tc>
          <w:tcPr>
            <w:tcW w:w="5244" w:type="dxa"/>
            <w:gridSpan w:val="3"/>
            <w:tcBorders>
              <w:top w:val="single" w:color="auto" w:sz="4" w:space="0"/>
              <w:left w:val="single" w:color="auto" w:sz="4" w:space="0"/>
              <w:bottom w:val="single" w:color="auto" w:sz="4" w:space="0"/>
              <w:right w:val="single" w:color="auto" w:sz="4" w:space="0"/>
            </w:tcBorders>
            <w:vAlign w:val="center"/>
          </w:tcPr>
          <w:p w14:paraId="1D1FCCDA">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p>
        </w:tc>
        <w:tc>
          <w:tcPr>
            <w:tcW w:w="4350" w:type="dxa"/>
            <w:gridSpan w:val="3"/>
            <w:tcBorders>
              <w:top w:val="single" w:color="auto" w:sz="4" w:space="0"/>
              <w:left w:val="single" w:color="auto" w:sz="4" w:space="0"/>
              <w:bottom w:val="single" w:color="auto" w:sz="4" w:space="0"/>
              <w:right w:val="single" w:color="auto" w:sz="4" w:space="0"/>
            </w:tcBorders>
            <w:vAlign w:val="center"/>
          </w:tcPr>
          <w:p w14:paraId="68027BDE">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项目编号：</w:t>
            </w:r>
          </w:p>
        </w:tc>
      </w:tr>
      <w:tr w14:paraId="6EB5675C">
        <w:tblPrEx>
          <w:tblCellMar>
            <w:top w:w="0" w:type="dxa"/>
            <w:left w:w="0" w:type="dxa"/>
            <w:bottom w:w="0" w:type="dxa"/>
            <w:right w:w="0" w:type="dxa"/>
          </w:tblCellMar>
        </w:tblPrEx>
        <w:trPr>
          <w:trHeight w:val="624"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1B12782D">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2E990435">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招标文件条目号</w:t>
            </w:r>
          </w:p>
        </w:tc>
        <w:tc>
          <w:tcPr>
            <w:tcW w:w="2700" w:type="dxa"/>
            <w:tcBorders>
              <w:top w:val="single" w:color="auto" w:sz="4" w:space="0"/>
              <w:left w:val="single" w:color="auto" w:sz="4" w:space="0"/>
              <w:bottom w:val="single" w:color="auto" w:sz="4" w:space="0"/>
              <w:right w:val="single" w:color="auto" w:sz="4" w:space="0"/>
            </w:tcBorders>
            <w:vAlign w:val="center"/>
          </w:tcPr>
          <w:p w14:paraId="3F431F06">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招标要求规格</w:t>
            </w:r>
          </w:p>
        </w:tc>
        <w:tc>
          <w:tcPr>
            <w:tcW w:w="2432" w:type="dxa"/>
            <w:tcBorders>
              <w:top w:val="single" w:color="auto" w:sz="4" w:space="0"/>
              <w:left w:val="single" w:color="auto" w:sz="4" w:space="0"/>
              <w:bottom w:val="single" w:color="auto" w:sz="4" w:space="0"/>
              <w:right w:val="single" w:color="auto" w:sz="4" w:space="0"/>
            </w:tcBorders>
            <w:vAlign w:val="center"/>
          </w:tcPr>
          <w:p w14:paraId="0D0A04BF">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投标响应</w:t>
            </w:r>
          </w:p>
        </w:tc>
        <w:tc>
          <w:tcPr>
            <w:tcW w:w="975" w:type="dxa"/>
            <w:tcBorders>
              <w:top w:val="single" w:color="auto" w:sz="4" w:space="0"/>
              <w:left w:val="single" w:color="auto" w:sz="4" w:space="0"/>
              <w:bottom w:val="single" w:color="auto" w:sz="4" w:space="0"/>
              <w:right w:val="single" w:color="auto" w:sz="4" w:space="0"/>
            </w:tcBorders>
            <w:vAlign w:val="center"/>
          </w:tcPr>
          <w:p w14:paraId="5464C583">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偏离</w:t>
            </w:r>
          </w:p>
        </w:tc>
        <w:tc>
          <w:tcPr>
            <w:tcW w:w="943" w:type="dxa"/>
            <w:tcBorders>
              <w:top w:val="single" w:color="auto" w:sz="4" w:space="0"/>
              <w:left w:val="single" w:color="auto" w:sz="4" w:space="0"/>
              <w:bottom w:val="single" w:color="auto" w:sz="4" w:space="0"/>
              <w:right w:val="single" w:color="auto" w:sz="4" w:space="0"/>
            </w:tcBorders>
            <w:vAlign w:val="center"/>
          </w:tcPr>
          <w:p w14:paraId="38FA2049">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页码</w:t>
            </w:r>
          </w:p>
        </w:tc>
      </w:tr>
      <w:tr w14:paraId="2AFDCBEB">
        <w:tblPrEx>
          <w:tblCellMar>
            <w:top w:w="0" w:type="dxa"/>
            <w:left w:w="0" w:type="dxa"/>
            <w:bottom w:w="0" w:type="dxa"/>
            <w:right w:w="0" w:type="dxa"/>
          </w:tblCellMar>
        </w:tblPrEx>
        <w:trPr>
          <w:trHeight w:val="624"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404B2244">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1D6E6FA2">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30BD6707">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432" w:type="dxa"/>
            <w:tcBorders>
              <w:top w:val="single" w:color="auto" w:sz="4" w:space="0"/>
              <w:left w:val="single" w:color="auto" w:sz="4" w:space="0"/>
              <w:bottom w:val="single" w:color="auto" w:sz="4" w:space="0"/>
              <w:right w:val="single" w:color="auto" w:sz="4" w:space="0"/>
            </w:tcBorders>
            <w:vAlign w:val="center"/>
          </w:tcPr>
          <w:p w14:paraId="6D2654D4">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vAlign w:val="center"/>
          </w:tcPr>
          <w:p w14:paraId="72912852">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45C4D3CA">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255AC721">
        <w:tblPrEx>
          <w:tblCellMar>
            <w:top w:w="0" w:type="dxa"/>
            <w:left w:w="0" w:type="dxa"/>
            <w:bottom w:w="0" w:type="dxa"/>
            <w:right w:w="0" w:type="dxa"/>
          </w:tblCellMar>
        </w:tblPrEx>
        <w:trPr>
          <w:trHeight w:val="624"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6584C08C">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30DBB452">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77A1721F">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432" w:type="dxa"/>
            <w:tcBorders>
              <w:top w:val="single" w:color="auto" w:sz="4" w:space="0"/>
              <w:left w:val="single" w:color="auto" w:sz="4" w:space="0"/>
              <w:bottom w:val="single" w:color="auto" w:sz="4" w:space="0"/>
              <w:right w:val="single" w:color="auto" w:sz="4" w:space="0"/>
            </w:tcBorders>
            <w:vAlign w:val="center"/>
          </w:tcPr>
          <w:p w14:paraId="07A40248">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vAlign w:val="center"/>
          </w:tcPr>
          <w:p w14:paraId="39F830BD">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01729F6D">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517D2913">
        <w:tblPrEx>
          <w:tblCellMar>
            <w:top w:w="0" w:type="dxa"/>
            <w:left w:w="0" w:type="dxa"/>
            <w:bottom w:w="0" w:type="dxa"/>
            <w:right w:w="0" w:type="dxa"/>
          </w:tblCellMar>
        </w:tblPrEx>
        <w:trPr>
          <w:trHeight w:val="624"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26960F1D">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65CE8D82">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40179EBD">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432" w:type="dxa"/>
            <w:tcBorders>
              <w:top w:val="single" w:color="auto" w:sz="4" w:space="0"/>
              <w:left w:val="single" w:color="auto" w:sz="4" w:space="0"/>
              <w:bottom w:val="single" w:color="auto" w:sz="4" w:space="0"/>
              <w:right w:val="single" w:color="auto" w:sz="4" w:space="0"/>
            </w:tcBorders>
            <w:vAlign w:val="center"/>
          </w:tcPr>
          <w:p w14:paraId="65318709">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vAlign w:val="center"/>
          </w:tcPr>
          <w:p w14:paraId="38163DF6">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4853CA1A">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bl>
    <w:p w14:paraId="499DB1BE">
      <w:pPr>
        <w:ind w:firstLine="480"/>
        <w:rPr>
          <w:rFonts w:hint="eastAsia" w:ascii="宋体" w:hAnsi="宋体" w:eastAsia="宋体" w:cs="宋体"/>
          <w:color w:val="000000" w:themeColor="text1"/>
          <w:highlight w:val="none"/>
          <w14:textFill>
            <w14:solidFill>
              <w14:schemeClr w14:val="tx1"/>
            </w14:solidFill>
          </w14:textFill>
        </w:rPr>
      </w:pPr>
    </w:p>
    <w:p w14:paraId="41B898D2">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投标人名称：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（盖章）</w:t>
      </w:r>
    </w:p>
    <w:p w14:paraId="61CB7F1D">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说明：</w:t>
      </w:r>
    </w:p>
    <w:p w14:paraId="56D858AC">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1、如果行数不够，请自行增加；</w:t>
      </w:r>
    </w:p>
    <w:p w14:paraId="44CE8FDB">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2、偏离包括正偏离、无偏离、负偏离，正偏离指供应商的响应高于招标文件要求，无偏离指供应商的响应等于招标文件要求，负偏离指供应商的响应低于招标文件要求。</w:t>
      </w:r>
    </w:p>
    <w:p w14:paraId="4371A870">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3、投标响应作为投标文件重要的组成部分，不应通过简单拷贝或简单标注“符合”“满足”。</w:t>
      </w:r>
    </w:p>
    <w:p w14:paraId="7A57AF65">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4、如招标文件要求提供相应证明材料的，应在偏离表中注明证明材料所在投标文件的页码位置，否则评标委员会有权作负偏离处理</w:t>
      </w:r>
    </w:p>
    <w:p w14:paraId="10F0A650">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7B28FED6">
      <w:pPr>
        <w:pStyle w:val="3"/>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目录六、商务条款偏离表格式</w:t>
      </w:r>
    </w:p>
    <w:p w14:paraId="6EC54549">
      <w:pPr>
        <w:ind w:firstLine="0" w:firstLineChars="0"/>
        <w:jc w:val="center"/>
        <w:rPr>
          <w:rFonts w:hint="eastAsia" w:ascii="宋体" w:hAnsi="宋体" w:eastAsia="宋体" w:cs="宋体"/>
          <w:b/>
          <w:bCs/>
          <w:color w:val="000000" w:themeColor="text1"/>
          <w:sz w:val="32"/>
          <w:szCs w:val="28"/>
          <w:highlight w:val="none"/>
          <w14:textFill>
            <w14:solidFill>
              <w14:schemeClr w14:val="tx1"/>
            </w14:solidFill>
          </w14:textFill>
        </w:rPr>
      </w:pPr>
      <w:r>
        <w:rPr>
          <w:rFonts w:hint="eastAsia" w:ascii="宋体" w:hAnsi="宋体" w:eastAsia="宋体" w:cs="宋体"/>
          <w:b/>
          <w:bCs/>
          <w:color w:val="000000" w:themeColor="text1"/>
          <w:sz w:val="32"/>
          <w:szCs w:val="28"/>
          <w:highlight w:val="none"/>
          <w14:textFill>
            <w14:solidFill>
              <w14:schemeClr w14:val="tx1"/>
            </w14:solidFill>
          </w14:textFill>
        </w:rPr>
        <w:t>商务条款偏离表</w:t>
      </w:r>
    </w:p>
    <w:tbl>
      <w:tblPr>
        <w:tblStyle w:val="28"/>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1"/>
        <w:gridCol w:w="1620"/>
        <w:gridCol w:w="2700"/>
        <w:gridCol w:w="2331"/>
        <w:gridCol w:w="1065"/>
        <w:gridCol w:w="849"/>
      </w:tblGrid>
      <w:tr w14:paraId="2888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Header/>
          <w:jc w:val="center"/>
        </w:trPr>
        <w:tc>
          <w:tcPr>
            <w:tcW w:w="5311" w:type="dxa"/>
            <w:gridSpan w:val="3"/>
            <w:tcBorders>
              <w:top w:val="single" w:color="auto" w:sz="4" w:space="0"/>
              <w:left w:val="single" w:color="auto" w:sz="4" w:space="0"/>
              <w:right w:val="single" w:color="auto" w:sz="4" w:space="0"/>
            </w:tcBorders>
            <w:vAlign w:val="center"/>
          </w:tcPr>
          <w:p w14:paraId="20FFF0F1">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p>
        </w:tc>
        <w:tc>
          <w:tcPr>
            <w:tcW w:w="4245" w:type="dxa"/>
            <w:gridSpan w:val="3"/>
            <w:tcBorders>
              <w:top w:val="single" w:color="auto" w:sz="4" w:space="0"/>
              <w:left w:val="single" w:color="auto" w:sz="4" w:space="0"/>
              <w:right w:val="single" w:color="auto" w:sz="4" w:space="0"/>
            </w:tcBorders>
            <w:vAlign w:val="center"/>
          </w:tcPr>
          <w:p w14:paraId="15CB04ED">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项目编号：</w:t>
            </w:r>
          </w:p>
        </w:tc>
      </w:tr>
      <w:tr w14:paraId="12E1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91" w:type="dxa"/>
            <w:tcBorders>
              <w:left w:val="single" w:color="auto" w:sz="4" w:space="0"/>
              <w:right w:val="single" w:color="auto" w:sz="4" w:space="0"/>
            </w:tcBorders>
            <w:vAlign w:val="center"/>
          </w:tcPr>
          <w:p w14:paraId="1F8108B0">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1620" w:type="dxa"/>
            <w:tcBorders>
              <w:left w:val="single" w:color="auto" w:sz="4" w:space="0"/>
              <w:right w:val="single" w:color="auto" w:sz="4" w:space="0"/>
            </w:tcBorders>
            <w:vAlign w:val="center"/>
          </w:tcPr>
          <w:p w14:paraId="34370348">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招标文件条目号</w:t>
            </w:r>
          </w:p>
        </w:tc>
        <w:tc>
          <w:tcPr>
            <w:tcW w:w="2700" w:type="dxa"/>
            <w:tcBorders>
              <w:left w:val="single" w:color="auto" w:sz="4" w:space="0"/>
              <w:right w:val="single" w:color="auto" w:sz="4" w:space="0"/>
            </w:tcBorders>
            <w:vAlign w:val="center"/>
          </w:tcPr>
          <w:p w14:paraId="3D85B59A">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招标文件要求的商务条款</w:t>
            </w:r>
          </w:p>
        </w:tc>
        <w:tc>
          <w:tcPr>
            <w:tcW w:w="2331" w:type="dxa"/>
            <w:tcBorders>
              <w:left w:val="single" w:color="auto" w:sz="4" w:space="0"/>
              <w:right w:val="single" w:color="auto" w:sz="4" w:space="0"/>
            </w:tcBorders>
            <w:vAlign w:val="center"/>
          </w:tcPr>
          <w:p w14:paraId="4D94A39F">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投标响应</w:t>
            </w:r>
          </w:p>
        </w:tc>
        <w:tc>
          <w:tcPr>
            <w:tcW w:w="1065" w:type="dxa"/>
            <w:tcBorders>
              <w:left w:val="single" w:color="auto" w:sz="4" w:space="0"/>
              <w:right w:val="single" w:color="auto" w:sz="4" w:space="0"/>
            </w:tcBorders>
            <w:vAlign w:val="center"/>
          </w:tcPr>
          <w:p w14:paraId="5A55D9F6">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偏离</w:t>
            </w:r>
          </w:p>
        </w:tc>
        <w:tc>
          <w:tcPr>
            <w:tcW w:w="849" w:type="dxa"/>
            <w:tcBorders>
              <w:left w:val="single" w:color="auto" w:sz="4" w:space="0"/>
              <w:right w:val="single" w:color="auto" w:sz="4" w:space="0"/>
            </w:tcBorders>
            <w:vAlign w:val="center"/>
          </w:tcPr>
          <w:p w14:paraId="2A978BFC">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页码</w:t>
            </w:r>
          </w:p>
        </w:tc>
      </w:tr>
      <w:tr w14:paraId="6A84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91" w:type="dxa"/>
            <w:tcBorders>
              <w:left w:val="single" w:color="auto" w:sz="4" w:space="0"/>
              <w:right w:val="single" w:color="auto" w:sz="4" w:space="0"/>
            </w:tcBorders>
            <w:vAlign w:val="center"/>
          </w:tcPr>
          <w:p w14:paraId="030C85D2">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620" w:type="dxa"/>
            <w:tcBorders>
              <w:left w:val="single" w:color="auto" w:sz="4" w:space="0"/>
              <w:right w:val="single" w:color="auto" w:sz="4" w:space="0"/>
            </w:tcBorders>
            <w:vAlign w:val="center"/>
          </w:tcPr>
          <w:p w14:paraId="12767008">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700" w:type="dxa"/>
            <w:tcBorders>
              <w:left w:val="single" w:color="auto" w:sz="4" w:space="0"/>
              <w:right w:val="single" w:color="auto" w:sz="4" w:space="0"/>
            </w:tcBorders>
            <w:vAlign w:val="center"/>
          </w:tcPr>
          <w:p w14:paraId="64B492DC">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331" w:type="dxa"/>
            <w:tcBorders>
              <w:left w:val="single" w:color="auto" w:sz="4" w:space="0"/>
              <w:right w:val="single" w:color="auto" w:sz="4" w:space="0"/>
            </w:tcBorders>
            <w:vAlign w:val="center"/>
          </w:tcPr>
          <w:p w14:paraId="7E72FC5A">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65" w:type="dxa"/>
            <w:tcBorders>
              <w:left w:val="single" w:color="auto" w:sz="4" w:space="0"/>
              <w:right w:val="single" w:color="auto" w:sz="4" w:space="0"/>
            </w:tcBorders>
            <w:vAlign w:val="center"/>
          </w:tcPr>
          <w:p w14:paraId="1C480142">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49" w:type="dxa"/>
            <w:tcBorders>
              <w:left w:val="single" w:color="auto" w:sz="4" w:space="0"/>
              <w:right w:val="single" w:color="auto" w:sz="4" w:space="0"/>
            </w:tcBorders>
            <w:vAlign w:val="center"/>
          </w:tcPr>
          <w:p w14:paraId="1164FE7F">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55BE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91" w:type="dxa"/>
            <w:tcBorders>
              <w:left w:val="single" w:color="auto" w:sz="4" w:space="0"/>
              <w:right w:val="single" w:color="auto" w:sz="4" w:space="0"/>
            </w:tcBorders>
            <w:vAlign w:val="center"/>
          </w:tcPr>
          <w:p w14:paraId="65F98D4C">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620" w:type="dxa"/>
            <w:tcBorders>
              <w:left w:val="single" w:color="auto" w:sz="4" w:space="0"/>
              <w:right w:val="single" w:color="auto" w:sz="4" w:space="0"/>
            </w:tcBorders>
            <w:vAlign w:val="center"/>
          </w:tcPr>
          <w:p w14:paraId="31AE9D0A">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700" w:type="dxa"/>
            <w:tcBorders>
              <w:left w:val="single" w:color="auto" w:sz="4" w:space="0"/>
              <w:right w:val="single" w:color="auto" w:sz="4" w:space="0"/>
            </w:tcBorders>
            <w:vAlign w:val="center"/>
          </w:tcPr>
          <w:p w14:paraId="12CB48D9">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331" w:type="dxa"/>
            <w:tcBorders>
              <w:left w:val="single" w:color="auto" w:sz="4" w:space="0"/>
              <w:right w:val="single" w:color="auto" w:sz="4" w:space="0"/>
            </w:tcBorders>
            <w:vAlign w:val="center"/>
          </w:tcPr>
          <w:p w14:paraId="1BB679DC">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65" w:type="dxa"/>
            <w:tcBorders>
              <w:left w:val="single" w:color="auto" w:sz="4" w:space="0"/>
              <w:right w:val="single" w:color="auto" w:sz="4" w:space="0"/>
            </w:tcBorders>
            <w:vAlign w:val="center"/>
          </w:tcPr>
          <w:p w14:paraId="426DBC45">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49" w:type="dxa"/>
            <w:tcBorders>
              <w:left w:val="single" w:color="auto" w:sz="4" w:space="0"/>
              <w:right w:val="single" w:color="auto" w:sz="4" w:space="0"/>
            </w:tcBorders>
            <w:vAlign w:val="center"/>
          </w:tcPr>
          <w:p w14:paraId="06DC8A9F">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256F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91" w:type="dxa"/>
            <w:tcBorders>
              <w:left w:val="single" w:color="auto" w:sz="4" w:space="0"/>
              <w:right w:val="single" w:color="auto" w:sz="4" w:space="0"/>
            </w:tcBorders>
            <w:vAlign w:val="center"/>
          </w:tcPr>
          <w:p w14:paraId="0E979906">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620" w:type="dxa"/>
            <w:tcBorders>
              <w:left w:val="single" w:color="auto" w:sz="4" w:space="0"/>
              <w:right w:val="single" w:color="auto" w:sz="4" w:space="0"/>
            </w:tcBorders>
            <w:vAlign w:val="center"/>
          </w:tcPr>
          <w:p w14:paraId="68D6413C">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700" w:type="dxa"/>
            <w:tcBorders>
              <w:left w:val="single" w:color="auto" w:sz="4" w:space="0"/>
              <w:right w:val="single" w:color="auto" w:sz="4" w:space="0"/>
            </w:tcBorders>
            <w:vAlign w:val="center"/>
          </w:tcPr>
          <w:p w14:paraId="7E9194A0">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331" w:type="dxa"/>
            <w:tcBorders>
              <w:left w:val="single" w:color="auto" w:sz="4" w:space="0"/>
              <w:right w:val="single" w:color="auto" w:sz="4" w:space="0"/>
            </w:tcBorders>
            <w:vAlign w:val="center"/>
          </w:tcPr>
          <w:p w14:paraId="31FFCBAA">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65" w:type="dxa"/>
            <w:tcBorders>
              <w:left w:val="single" w:color="auto" w:sz="4" w:space="0"/>
              <w:right w:val="single" w:color="auto" w:sz="4" w:space="0"/>
            </w:tcBorders>
            <w:vAlign w:val="center"/>
          </w:tcPr>
          <w:p w14:paraId="3D35173E">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49" w:type="dxa"/>
            <w:tcBorders>
              <w:left w:val="single" w:color="auto" w:sz="4" w:space="0"/>
              <w:right w:val="single" w:color="auto" w:sz="4" w:space="0"/>
            </w:tcBorders>
            <w:vAlign w:val="center"/>
          </w:tcPr>
          <w:p w14:paraId="38C9813D">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bl>
    <w:p w14:paraId="4B548D29">
      <w:pPr>
        <w:ind w:firstLine="480"/>
        <w:rPr>
          <w:rFonts w:hint="eastAsia" w:ascii="宋体" w:hAnsi="宋体" w:eastAsia="宋体" w:cs="宋体"/>
          <w:color w:val="000000" w:themeColor="text1"/>
          <w:highlight w:val="none"/>
          <w14:textFill>
            <w14:solidFill>
              <w14:schemeClr w14:val="tx1"/>
            </w14:solidFill>
          </w14:textFill>
        </w:rPr>
      </w:pPr>
    </w:p>
    <w:p w14:paraId="05B8357D">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投标人名称：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（盖章）</w:t>
      </w:r>
    </w:p>
    <w:p w14:paraId="06E8BCDA">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说明：</w:t>
      </w:r>
    </w:p>
    <w:p w14:paraId="29A1B2C4">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1、如果行数不够，请自行增加。</w:t>
      </w:r>
    </w:p>
    <w:p w14:paraId="3B53CC31">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、偏离包括正偏离、无偏离、负偏离，正偏离指供应商的响应高于招标文件要求，无偏离指供应商的响应等于招标文件要求，负偏离指供应商的响应低于招标文件要求。</w:t>
      </w:r>
    </w:p>
    <w:p w14:paraId="18CD361D">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、投标响应作为投标文件重要的组成部分，不应通过简单拷贝或简单标注“符合”“满足”。</w:t>
      </w:r>
    </w:p>
    <w:p w14:paraId="13A1C6DC">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、如招标文件要求提供相应证明材料的，应在偏离表中注明证明材料所在投标文件的页码位置，否则评标委员会有权作负偏离处理。</w:t>
      </w:r>
    </w:p>
    <w:p w14:paraId="4056B4F9">
      <w:pPr>
        <w:ind w:firstLine="482"/>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p w14:paraId="59698022">
      <w:pPr>
        <w:pStyle w:val="3"/>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目录七、服务方案</w:t>
      </w:r>
    </w:p>
    <w:p w14:paraId="3F6583B9">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技术方案及服务承诺应根据招标人对项目的要求、评标标准的要求及项目本身的特点编写。</w:t>
      </w:r>
    </w:p>
    <w:p w14:paraId="347B3536">
      <w:pPr>
        <w:ind w:firstLine="640"/>
        <w:rPr>
          <w:rFonts w:hint="eastAsia" w:ascii="宋体" w:hAnsi="宋体" w:eastAsia="宋体" w:cs="宋体"/>
          <w:color w:val="000000" w:themeColor="text1"/>
          <w:kern w:val="44"/>
          <w:sz w:val="32"/>
          <w:szCs w:val="36"/>
          <w:highlight w:val="none"/>
          <w14:textFill>
            <w14:solidFill>
              <w14:schemeClr w14:val="tx1"/>
            </w14:solidFill>
          </w14:textFill>
        </w:rPr>
      </w:pPr>
      <w:r>
        <w:rPr>
          <w:rFonts w:hint="eastAsia" w:ascii="宋体" w:hAnsi="宋体" w:eastAsia="宋体" w:cs="宋体"/>
          <w:color w:val="000000" w:themeColor="text1"/>
          <w:kern w:val="44"/>
          <w:sz w:val="32"/>
          <w:szCs w:val="36"/>
          <w:highlight w:val="none"/>
          <w14:textFill>
            <w14:solidFill>
              <w14:schemeClr w14:val="tx1"/>
            </w14:solidFill>
          </w14:textFill>
        </w:rPr>
        <w:br w:type="page"/>
      </w:r>
    </w:p>
    <w:p w14:paraId="75B52CC2">
      <w:pPr>
        <w:pStyle w:val="3"/>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目录八、拟参与本项目人员一览表</w:t>
      </w:r>
    </w:p>
    <w:p w14:paraId="42830E01">
      <w:pPr>
        <w:ind w:firstLine="0" w:firstLineChars="0"/>
        <w:jc w:val="center"/>
        <w:rPr>
          <w:rFonts w:hint="eastAsia" w:ascii="宋体" w:hAnsi="宋体" w:eastAsia="宋体" w:cs="宋体"/>
          <w:b/>
          <w:bCs/>
          <w:color w:val="000000" w:themeColor="text1"/>
          <w:sz w:val="32"/>
          <w:szCs w:val="28"/>
          <w:highlight w:val="none"/>
          <w14:textFill>
            <w14:solidFill>
              <w14:schemeClr w14:val="tx1"/>
            </w14:solidFill>
          </w14:textFill>
        </w:rPr>
      </w:pPr>
      <w:r>
        <w:rPr>
          <w:rFonts w:hint="eastAsia" w:ascii="宋体" w:hAnsi="宋体" w:eastAsia="宋体" w:cs="宋体"/>
          <w:b/>
          <w:bCs/>
          <w:color w:val="000000" w:themeColor="text1"/>
          <w:sz w:val="32"/>
          <w:szCs w:val="28"/>
          <w:highlight w:val="none"/>
          <w14:textFill>
            <w14:solidFill>
              <w14:schemeClr w14:val="tx1"/>
            </w14:solidFill>
          </w14:textFill>
        </w:rPr>
        <w:t>拟参与本项目人员一览表</w:t>
      </w:r>
    </w:p>
    <w:tbl>
      <w:tblPr>
        <w:tblStyle w:val="28"/>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9"/>
        <w:gridCol w:w="924"/>
        <w:gridCol w:w="684"/>
        <w:gridCol w:w="731"/>
        <w:gridCol w:w="1171"/>
        <w:gridCol w:w="960"/>
        <w:gridCol w:w="298"/>
        <w:gridCol w:w="755"/>
        <w:gridCol w:w="1026"/>
        <w:gridCol w:w="909"/>
        <w:gridCol w:w="876"/>
        <w:gridCol w:w="878"/>
      </w:tblGrid>
      <w:tr w14:paraId="6FEC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5397" w:type="dxa"/>
            <w:gridSpan w:val="7"/>
            <w:tcBorders>
              <w:top w:val="single" w:color="auto" w:sz="4" w:space="0"/>
              <w:left w:val="single" w:color="auto" w:sz="4" w:space="0"/>
              <w:right w:val="single" w:color="auto" w:sz="4" w:space="0"/>
            </w:tcBorders>
            <w:vAlign w:val="center"/>
          </w:tcPr>
          <w:p w14:paraId="38BD1C33">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p>
        </w:tc>
        <w:tc>
          <w:tcPr>
            <w:tcW w:w="4444" w:type="dxa"/>
            <w:gridSpan w:val="5"/>
            <w:tcBorders>
              <w:top w:val="single" w:color="auto" w:sz="4" w:space="0"/>
              <w:left w:val="single" w:color="auto" w:sz="4" w:space="0"/>
              <w:right w:val="single" w:color="auto" w:sz="4" w:space="0"/>
            </w:tcBorders>
            <w:vAlign w:val="center"/>
          </w:tcPr>
          <w:p w14:paraId="067C76F5">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项目编号：</w:t>
            </w:r>
          </w:p>
        </w:tc>
      </w:tr>
      <w:tr w14:paraId="08ACD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9" w:type="dxa"/>
            <w:vAlign w:val="center"/>
          </w:tcPr>
          <w:p w14:paraId="5965A8AB">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924" w:type="dxa"/>
            <w:vAlign w:val="center"/>
          </w:tcPr>
          <w:p w14:paraId="2C049BBD">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姓名</w:t>
            </w:r>
          </w:p>
        </w:tc>
        <w:tc>
          <w:tcPr>
            <w:tcW w:w="684" w:type="dxa"/>
            <w:vAlign w:val="center"/>
          </w:tcPr>
          <w:p w14:paraId="47D75F8D">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性别</w:t>
            </w:r>
          </w:p>
        </w:tc>
        <w:tc>
          <w:tcPr>
            <w:tcW w:w="731" w:type="dxa"/>
            <w:vAlign w:val="center"/>
          </w:tcPr>
          <w:p w14:paraId="2C797F69">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年龄</w:t>
            </w:r>
          </w:p>
        </w:tc>
        <w:tc>
          <w:tcPr>
            <w:tcW w:w="1171" w:type="dxa"/>
            <w:vAlign w:val="center"/>
          </w:tcPr>
          <w:p w14:paraId="4C19BB28">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专业</w:t>
            </w:r>
          </w:p>
        </w:tc>
        <w:tc>
          <w:tcPr>
            <w:tcW w:w="960" w:type="dxa"/>
            <w:vAlign w:val="center"/>
          </w:tcPr>
          <w:p w14:paraId="122DC979">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学历</w:t>
            </w:r>
          </w:p>
        </w:tc>
        <w:tc>
          <w:tcPr>
            <w:tcW w:w="1053" w:type="dxa"/>
            <w:gridSpan w:val="2"/>
            <w:vAlign w:val="center"/>
          </w:tcPr>
          <w:p w14:paraId="0196D591">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执业</w:t>
            </w:r>
          </w:p>
          <w:p w14:paraId="128BCE68">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资格</w:t>
            </w:r>
          </w:p>
        </w:tc>
        <w:tc>
          <w:tcPr>
            <w:tcW w:w="1026" w:type="dxa"/>
            <w:vAlign w:val="center"/>
          </w:tcPr>
          <w:p w14:paraId="187A1E23">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证书号</w:t>
            </w:r>
          </w:p>
        </w:tc>
        <w:tc>
          <w:tcPr>
            <w:tcW w:w="909" w:type="dxa"/>
            <w:tcBorders>
              <w:right w:val="single" w:color="auto" w:sz="4" w:space="0"/>
            </w:tcBorders>
            <w:vAlign w:val="center"/>
          </w:tcPr>
          <w:p w14:paraId="1FE2E618">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技术职</w:t>
            </w:r>
          </w:p>
          <w:p w14:paraId="5EA1D97B">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称</w:t>
            </w:r>
          </w:p>
        </w:tc>
        <w:tc>
          <w:tcPr>
            <w:tcW w:w="876" w:type="dxa"/>
            <w:tcBorders>
              <w:left w:val="single" w:color="auto" w:sz="4" w:space="0"/>
            </w:tcBorders>
            <w:vAlign w:val="center"/>
          </w:tcPr>
          <w:p w14:paraId="02213312">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相关工</w:t>
            </w:r>
          </w:p>
          <w:p w14:paraId="4EB0DA35">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作年限</w:t>
            </w:r>
          </w:p>
        </w:tc>
        <w:tc>
          <w:tcPr>
            <w:tcW w:w="878" w:type="dxa"/>
            <w:vAlign w:val="center"/>
          </w:tcPr>
          <w:p w14:paraId="71B00496">
            <w:pPr>
              <w:pStyle w:val="95"/>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14:paraId="31B1A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9" w:type="dxa"/>
            <w:vAlign w:val="center"/>
          </w:tcPr>
          <w:p w14:paraId="6AB8D227">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24" w:type="dxa"/>
            <w:vAlign w:val="center"/>
          </w:tcPr>
          <w:p w14:paraId="4F631DA6">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684" w:type="dxa"/>
            <w:vAlign w:val="center"/>
          </w:tcPr>
          <w:p w14:paraId="28755055">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731" w:type="dxa"/>
            <w:vAlign w:val="center"/>
          </w:tcPr>
          <w:p w14:paraId="37979D5A">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171" w:type="dxa"/>
            <w:vAlign w:val="center"/>
          </w:tcPr>
          <w:p w14:paraId="4E7C62AE">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60" w:type="dxa"/>
            <w:vAlign w:val="center"/>
          </w:tcPr>
          <w:p w14:paraId="14E29703">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53" w:type="dxa"/>
            <w:gridSpan w:val="2"/>
            <w:vAlign w:val="center"/>
          </w:tcPr>
          <w:p w14:paraId="53C813D9">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26" w:type="dxa"/>
            <w:vAlign w:val="center"/>
          </w:tcPr>
          <w:p w14:paraId="3DAE49CB">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9" w:type="dxa"/>
            <w:vAlign w:val="center"/>
          </w:tcPr>
          <w:p w14:paraId="6251C20B">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6" w:type="dxa"/>
            <w:vAlign w:val="center"/>
          </w:tcPr>
          <w:p w14:paraId="758DFCE7">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8" w:type="dxa"/>
            <w:vAlign w:val="center"/>
          </w:tcPr>
          <w:p w14:paraId="632C331C">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3E6CE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9" w:type="dxa"/>
            <w:vAlign w:val="center"/>
          </w:tcPr>
          <w:p w14:paraId="07C004F8">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24" w:type="dxa"/>
            <w:vAlign w:val="center"/>
          </w:tcPr>
          <w:p w14:paraId="6C8B486D">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684" w:type="dxa"/>
            <w:vAlign w:val="center"/>
          </w:tcPr>
          <w:p w14:paraId="36666F7D">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731" w:type="dxa"/>
            <w:vAlign w:val="center"/>
          </w:tcPr>
          <w:p w14:paraId="12CFEBD9">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171" w:type="dxa"/>
            <w:vAlign w:val="center"/>
          </w:tcPr>
          <w:p w14:paraId="4D97AAB7">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60" w:type="dxa"/>
            <w:vAlign w:val="center"/>
          </w:tcPr>
          <w:p w14:paraId="4E7D01E0">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53" w:type="dxa"/>
            <w:gridSpan w:val="2"/>
            <w:vAlign w:val="center"/>
          </w:tcPr>
          <w:p w14:paraId="2CBDCE96">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26" w:type="dxa"/>
            <w:vAlign w:val="center"/>
          </w:tcPr>
          <w:p w14:paraId="08AB0CAA">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9" w:type="dxa"/>
            <w:vAlign w:val="center"/>
          </w:tcPr>
          <w:p w14:paraId="251183C4">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6" w:type="dxa"/>
            <w:vAlign w:val="center"/>
          </w:tcPr>
          <w:p w14:paraId="2BF8BDE9">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8" w:type="dxa"/>
            <w:vAlign w:val="center"/>
          </w:tcPr>
          <w:p w14:paraId="009A66F8">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5DDB3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9" w:type="dxa"/>
            <w:vAlign w:val="center"/>
          </w:tcPr>
          <w:p w14:paraId="737F12BE">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24" w:type="dxa"/>
            <w:vAlign w:val="center"/>
          </w:tcPr>
          <w:p w14:paraId="6CFF08D8">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684" w:type="dxa"/>
            <w:vAlign w:val="center"/>
          </w:tcPr>
          <w:p w14:paraId="0F033032">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731" w:type="dxa"/>
            <w:vAlign w:val="center"/>
          </w:tcPr>
          <w:p w14:paraId="085CAD08">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171" w:type="dxa"/>
            <w:vAlign w:val="center"/>
          </w:tcPr>
          <w:p w14:paraId="6666CE97">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60" w:type="dxa"/>
            <w:vAlign w:val="center"/>
          </w:tcPr>
          <w:p w14:paraId="11106A06">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53" w:type="dxa"/>
            <w:gridSpan w:val="2"/>
            <w:vAlign w:val="center"/>
          </w:tcPr>
          <w:p w14:paraId="3DC022A0">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26" w:type="dxa"/>
            <w:vAlign w:val="center"/>
          </w:tcPr>
          <w:p w14:paraId="0EFD21AE">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9" w:type="dxa"/>
            <w:vAlign w:val="center"/>
          </w:tcPr>
          <w:p w14:paraId="2001C39D">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6" w:type="dxa"/>
            <w:vAlign w:val="center"/>
          </w:tcPr>
          <w:p w14:paraId="7EBA28BC">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8" w:type="dxa"/>
            <w:vAlign w:val="center"/>
          </w:tcPr>
          <w:p w14:paraId="46B9B82C">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1A395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9" w:type="dxa"/>
            <w:vAlign w:val="center"/>
          </w:tcPr>
          <w:p w14:paraId="3EE00A04">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24" w:type="dxa"/>
            <w:vAlign w:val="center"/>
          </w:tcPr>
          <w:p w14:paraId="33ED1C09">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684" w:type="dxa"/>
            <w:vAlign w:val="center"/>
          </w:tcPr>
          <w:p w14:paraId="2A596448">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731" w:type="dxa"/>
            <w:vAlign w:val="center"/>
          </w:tcPr>
          <w:p w14:paraId="4268DDEC">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171" w:type="dxa"/>
            <w:vAlign w:val="center"/>
          </w:tcPr>
          <w:p w14:paraId="4C167050">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60" w:type="dxa"/>
            <w:vAlign w:val="center"/>
          </w:tcPr>
          <w:p w14:paraId="13DF9524">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53" w:type="dxa"/>
            <w:gridSpan w:val="2"/>
            <w:vAlign w:val="center"/>
          </w:tcPr>
          <w:p w14:paraId="03694506">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26" w:type="dxa"/>
            <w:vAlign w:val="center"/>
          </w:tcPr>
          <w:p w14:paraId="78899A78">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9" w:type="dxa"/>
            <w:vAlign w:val="center"/>
          </w:tcPr>
          <w:p w14:paraId="51F7DCA3">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6" w:type="dxa"/>
            <w:vAlign w:val="center"/>
          </w:tcPr>
          <w:p w14:paraId="2CD83A8C">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8" w:type="dxa"/>
            <w:vAlign w:val="center"/>
          </w:tcPr>
          <w:p w14:paraId="7E4AE4D2">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4E3B6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9" w:type="dxa"/>
            <w:vAlign w:val="center"/>
          </w:tcPr>
          <w:p w14:paraId="24A27F3A">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24" w:type="dxa"/>
            <w:vAlign w:val="center"/>
          </w:tcPr>
          <w:p w14:paraId="08F79FE7">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684" w:type="dxa"/>
            <w:vAlign w:val="center"/>
          </w:tcPr>
          <w:p w14:paraId="1EBE0D81">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731" w:type="dxa"/>
            <w:vAlign w:val="center"/>
          </w:tcPr>
          <w:p w14:paraId="7C18C442">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171" w:type="dxa"/>
            <w:vAlign w:val="center"/>
          </w:tcPr>
          <w:p w14:paraId="5D2E133B">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60" w:type="dxa"/>
            <w:vAlign w:val="center"/>
          </w:tcPr>
          <w:p w14:paraId="4BA4B6FE">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53" w:type="dxa"/>
            <w:gridSpan w:val="2"/>
            <w:vAlign w:val="center"/>
          </w:tcPr>
          <w:p w14:paraId="090D1215">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26" w:type="dxa"/>
            <w:vAlign w:val="center"/>
          </w:tcPr>
          <w:p w14:paraId="557B6101">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9" w:type="dxa"/>
            <w:vAlign w:val="center"/>
          </w:tcPr>
          <w:p w14:paraId="79455819">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6" w:type="dxa"/>
            <w:vAlign w:val="center"/>
          </w:tcPr>
          <w:p w14:paraId="7451B722">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8" w:type="dxa"/>
            <w:vAlign w:val="center"/>
          </w:tcPr>
          <w:p w14:paraId="7DEB7D86">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320BC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9" w:type="dxa"/>
            <w:vAlign w:val="center"/>
          </w:tcPr>
          <w:p w14:paraId="57D28175">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24" w:type="dxa"/>
            <w:vAlign w:val="center"/>
          </w:tcPr>
          <w:p w14:paraId="41BD3B86">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684" w:type="dxa"/>
            <w:vAlign w:val="center"/>
          </w:tcPr>
          <w:p w14:paraId="13A14B3D">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731" w:type="dxa"/>
            <w:vAlign w:val="center"/>
          </w:tcPr>
          <w:p w14:paraId="2DD0288C">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171" w:type="dxa"/>
            <w:vAlign w:val="center"/>
          </w:tcPr>
          <w:p w14:paraId="25B03DFB">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60" w:type="dxa"/>
            <w:vAlign w:val="center"/>
          </w:tcPr>
          <w:p w14:paraId="754685B8">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53" w:type="dxa"/>
            <w:gridSpan w:val="2"/>
            <w:vAlign w:val="center"/>
          </w:tcPr>
          <w:p w14:paraId="2D84E53F">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26" w:type="dxa"/>
            <w:vAlign w:val="center"/>
          </w:tcPr>
          <w:p w14:paraId="5E5B7009">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9" w:type="dxa"/>
            <w:vAlign w:val="center"/>
          </w:tcPr>
          <w:p w14:paraId="74E5F46A">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6" w:type="dxa"/>
            <w:vAlign w:val="center"/>
          </w:tcPr>
          <w:p w14:paraId="34DE7CF8">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8" w:type="dxa"/>
            <w:vAlign w:val="center"/>
          </w:tcPr>
          <w:p w14:paraId="566D16AD">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7E713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9" w:type="dxa"/>
            <w:vAlign w:val="center"/>
          </w:tcPr>
          <w:p w14:paraId="094BBCB1">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24" w:type="dxa"/>
            <w:vAlign w:val="center"/>
          </w:tcPr>
          <w:p w14:paraId="39927585">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684" w:type="dxa"/>
            <w:vAlign w:val="center"/>
          </w:tcPr>
          <w:p w14:paraId="42B33107">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731" w:type="dxa"/>
            <w:vAlign w:val="center"/>
          </w:tcPr>
          <w:p w14:paraId="6F6CBED8">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171" w:type="dxa"/>
            <w:vAlign w:val="center"/>
          </w:tcPr>
          <w:p w14:paraId="39E2547D">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60" w:type="dxa"/>
            <w:vAlign w:val="center"/>
          </w:tcPr>
          <w:p w14:paraId="3AD0082B">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53" w:type="dxa"/>
            <w:gridSpan w:val="2"/>
            <w:vAlign w:val="center"/>
          </w:tcPr>
          <w:p w14:paraId="59D61B68">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26" w:type="dxa"/>
            <w:vAlign w:val="center"/>
          </w:tcPr>
          <w:p w14:paraId="05E6510E">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9" w:type="dxa"/>
            <w:vAlign w:val="center"/>
          </w:tcPr>
          <w:p w14:paraId="6FC04B9E">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6" w:type="dxa"/>
            <w:vAlign w:val="center"/>
          </w:tcPr>
          <w:p w14:paraId="3F21DBD1">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8" w:type="dxa"/>
            <w:vAlign w:val="center"/>
          </w:tcPr>
          <w:p w14:paraId="10FABEAA">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48F7B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9" w:type="dxa"/>
            <w:vAlign w:val="center"/>
          </w:tcPr>
          <w:p w14:paraId="591D6714">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24" w:type="dxa"/>
            <w:vAlign w:val="center"/>
          </w:tcPr>
          <w:p w14:paraId="58084C0C">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684" w:type="dxa"/>
            <w:vAlign w:val="center"/>
          </w:tcPr>
          <w:p w14:paraId="515A43C5">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731" w:type="dxa"/>
            <w:vAlign w:val="center"/>
          </w:tcPr>
          <w:p w14:paraId="0EE6CD7D">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171" w:type="dxa"/>
            <w:vAlign w:val="center"/>
          </w:tcPr>
          <w:p w14:paraId="4765DD9F">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60" w:type="dxa"/>
            <w:vAlign w:val="center"/>
          </w:tcPr>
          <w:p w14:paraId="29F3F2DB">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53" w:type="dxa"/>
            <w:gridSpan w:val="2"/>
            <w:vAlign w:val="center"/>
          </w:tcPr>
          <w:p w14:paraId="0EB88A16">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26" w:type="dxa"/>
            <w:vAlign w:val="center"/>
          </w:tcPr>
          <w:p w14:paraId="58962F41">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9" w:type="dxa"/>
            <w:vAlign w:val="center"/>
          </w:tcPr>
          <w:p w14:paraId="149FB279">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6" w:type="dxa"/>
            <w:vAlign w:val="center"/>
          </w:tcPr>
          <w:p w14:paraId="4D8E87F9">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8" w:type="dxa"/>
            <w:vAlign w:val="center"/>
          </w:tcPr>
          <w:p w14:paraId="70034840">
            <w:pPr>
              <w:pStyle w:val="95"/>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bl>
    <w:p w14:paraId="61FD27F5">
      <w:pPr>
        <w:ind w:firstLine="480"/>
        <w:rPr>
          <w:rFonts w:hint="eastAsia" w:ascii="宋体" w:hAnsi="宋体" w:eastAsia="宋体" w:cs="宋体"/>
          <w:color w:val="000000" w:themeColor="text1"/>
          <w:highlight w:val="none"/>
          <w14:textFill>
            <w14:solidFill>
              <w14:schemeClr w14:val="tx1"/>
            </w14:solidFill>
          </w14:textFill>
        </w:rPr>
      </w:pPr>
    </w:p>
    <w:p w14:paraId="47F2C941">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投标人名称：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（盖章）</w:t>
      </w:r>
    </w:p>
    <w:p w14:paraId="481FA7FE">
      <w:pPr>
        <w:ind w:firstLine="480"/>
        <w:rPr>
          <w:rFonts w:hint="eastAsia" w:ascii="宋体" w:hAnsi="宋体" w:eastAsia="宋体" w:cs="宋体"/>
          <w:color w:val="000000" w:themeColor="text1"/>
          <w:highlight w:val="none"/>
          <w14:textFill>
            <w14:solidFill>
              <w14:schemeClr w14:val="tx1"/>
            </w14:solidFill>
          </w14:textFill>
        </w:rPr>
      </w:pPr>
    </w:p>
    <w:p w14:paraId="017C8BE7">
      <w:pPr>
        <w:pStyle w:val="3"/>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目录九、投标需要的其他证明文件及材料</w:t>
      </w:r>
    </w:p>
    <w:p w14:paraId="220FBB1E">
      <w:pPr>
        <w:ind w:firstLine="0" w:firstLineChars="0"/>
        <w:jc w:val="center"/>
        <w:rPr>
          <w:rFonts w:hint="eastAsia" w:ascii="宋体" w:hAnsi="宋体" w:eastAsia="宋体" w:cs="宋体"/>
          <w:b/>
          <w:bCs/>
          <w:color w:val="000000" w:themeColor="text1"/>
          <w:sz w:val="32"/>
          <w:szCs w:val="28"/>
          <w:highlight w:val="none"/>
          <w14:textFill>
            <w14:solidFill>
              <w14:schemeClr w14:val="tx1"/>
            </w14:solidFill>
          </w14:textFill>
        </w:rPr>
      </w:pPr>
      <w:r>
        <w:rPr>
          <w:rFonts w:hint="eastAsia" w:ascii="宋体" w:hAnsi="宋体" w:eastAsia="宋体" w:cs="宋体"/>
          <w:b/>
          <w:bCs/>
          <w:color w:val="000000" w:themeColor="text1"/>
          <w:sz w:val="32"/>
          <w:szCs w:val="28"/>
          <w:highlight w:val="none"/>
          <w14:textFill>
            <w14:solidFill>
              <w14:schemeClr w14:val="tx1"/>
            </w14:solidFill>
          </w14:textFill>
        </w:rPr>
        <w:t>投标需要的其他证明文件及材料（若有）</w:t>
      </w:r>
    </w:p>
    <w:p w14:paraId="508A2918">
      <w:pPr>
        <w:ind w:firstLine="482"/>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p w14:paraId="5F574FBA">
      <w:pPr>
        <w:pStyle w:val="3"/>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目录十一、资格性审查响应对照表</w:t>
      </w:r>
    </w:p>
    <w:p w14:paraId="339A782D">
      <w:pPr>
        <w:ind w:firstLine="0" w:firstLineChars="0"/>
        <w:jc w:val="center"/>
        <w:rPr>
          <w:rFonts w:hint="eastAsia" w:ascii="宋体" w:hAnsi="宋体" w:eastAsia="宋体" w:cs="宋体"/>
          <w:b/>
          <w:bCs/>
          <w:color w:val="000000" w:themeColor="text1"/>
          <w:sz w:val="32"/>
          <w:szCs w:val="28"/>
          <w:highlight w:val="none"/>
          <w14:textFill>
            <w14:solidFill>
              <w14:schemeClr w14:val="tx1"/>
            </w14:solidFill>
          </w14:textFill>
        </w:rPr>
      </w:pPr>
      <w:r>
        <w:rPr>
          <w:rFonts w:hint="eastAsia" w:ascii="宋体" w:hAnsi="宋体" w:eastAsia="宋体" w:cs="宋体"/>
          <w:b/>
          <w:bCs/>
          <w:color w:val="000000" w:themeColor="text1"/>
          <w:sz w:val="32"/>
          <w:szCs w:val="28"/>
          <w:highlight w:val="none"/>
          <w14:textFill>
            <w14:solidFill>
              <w14:schemeClr w14:val="tx1"/>
            </w14:solidFill>
          </w14:textFill>
        </w:rPr>
        <w:t>资格性审查响应对照表</w:t>
      </w:r>
    </w:p>
    <w:p w14:paraId="48011583">
      <w:pPr>
        <w:ind w:firstLine="480"/>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                                   项目编号：</w:t>
      </w:r>
      <w:r>
        <w:rPr>
          <w:rFonts w:hint="eastAsia" w:ascii="宋体" w:hAnsi="宋体" w:eastAsia="宋体" w:cs="宋体"/>
          <w:color w:val="000000" w:themeColor="text1"/>
          <w:highlight w:val="none"/>
          <w:lang w:val="en-US"/>
          <w14:textFill>
            <w14:solidFill>
              <w14:schemeClr w14:val="tx1"/>
            </w14:solidFill>
          </w14:textFill>
        </w:rPr>
        <w:t xml:space="preserve">        采购包号：</w:t>
      </w:r>
    </w:p>
    <w:tbl>
      <w:tblPr>
        <w:tblStyle w:val="28"/>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5186"/>
        <w:gridCol w:w="1941"/>
        <w:gridCol w:w="1785"/>
      </w:tblGrid>
      <w:tr w14:paraId="0CBC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6CA32126">
            <w:pPr>
              <w:pStyle w:val="95"/>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5186" w:type="dxa"/>
            <w:vAlign w:val="center"/>
          </w:tcPr>
          <w:p w14:paraId="493B917C">
            <w:pPr>
              <w:pStyle w:val="95"/>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资格性审查响应内容</w:t>
            </w:r>
          </w:p>
        </w:tc>
        <w:tc>
          <w:tcPr>
            <w:tcW w:w="1941" w:type="dxa"/>
            <w:vAlign w:val="center"/>
          </w:tcPr>
          <w:p w14:paraId="0D49246E">
            <w:pPr>
              <w:pStyle w:val="95"/>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是否响应</w:t>
            </w:r>
          </w:p>
          <w:p w14:paraId="4A075665">
            <w:pPr>
              <w:pStyle w:val="95"/>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（填是或者否）</w:t>
            </w:r>
          </w:p>
        </w:tc>
        <w:tc>
          <w:tcPr>
            <w:tcW w:w="1785" w:type="dxa"/>
            <w:vAlign w:val="center"/>
          </w:tcPr>
          <w:p w14:paraId="168A30A5">
            <w:pPr>
              <w:pStyle w:val="95"/>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投标文件中的</w:t>
            </w:r>
          </w:p>
          <w:p w14:paraId="4E78D626">
            <w:pPr>
              <w:pStyle w:val="95"/>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页码位置</w:t>
            </w:r>
          </w:p>
        </w:tc>
      </w:tr>
      <w:tr w14:paraId="3341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2F59457E">
            <w:pPr>
              <w:pStyle w:val="9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5186" w:type="dxa"/>
            <w:vAlign w:val="center"/>
          </w:tcPr>
          <w:p w14:paraId="0ECBC306">
            <w:pPr>
              <w:pStyle w:val="95"/>
              <w:rPr>
                <w:rFonts w:hint="eastAsia" w:ascii="宋体" w:hAnsi="宋体" w:eastAsia="宋体" w:cs="宋体"/>
                <w:color w:val="000000" w:themeColor="text1"/>
                <w:highlight w:val="none"/>
                <w14:textFill>
                  <w14:solidFill>
                    <w14:schemeClr w14:val="tx1"/>
                  </w14:solidFill>
                </w14:textFill>
              </w:rPr>
            </w:pPr>
          </w:p>
        </w:tc>
        <w:tc>
          <w:tcPr>
            <w:tcW w:w="1941" w:type="dxa"/>
            <w:vAlign w:val="center"/>
          </w:tcPr>
          <w:p w14:paraId="3A058543">
            <w:pPr>
              <w:pStyle w:val="95"/>
              <w:rPr>
                <w:rFonts w:hint="eastAsia" w:ascii="宋体" w:hAnsi="宋体" w:eastAsia="宋体" w:cs="宋体"/>
                <w:color w:val="000000" w:themeColor="text1"/>
                <w:highlight w:val="none"/>
                <w14:textFill>
                  <w14:solidFill>
                    <w14:schemeClr w14:val="tx1"/>
                  </w14:solidFill>
                </w14:textFill>
              </w:rPr>
            </w:pPr>
          </w:p>
        </w:tc>
        <w:tc>
          <w:tcPr>
            <w:tcW w:w="1785" w:type="dxa"/>
            <w:vAlign w:val="center"/>
          </w:tcPr>
          <w:p w14:paraId="00D62B25">
            <w:pPr>
              <w:pStyle w:val="95"/>
              <w:rPr>
                <w:rFonts w:hint="eastAsia" w:ascii="宋体" w:hAnsi="宋体" w:eastAsia="宋体" w:cs="宋体"/>
                <w:color w:val="000000" w:themeColor="text1"/>
                <w:highlight w:val="none"/>
                <w14:textFill>
                  <w14:solidFill>
                    <w14:schemeClr w14:val="tx1"/>
                  </w14:solidFill>
                </w14:textFill>
              </w:rPr>
            </w:pPr>
          </w:p>
        </w:tc>
      </w:tr>
      <w:tr w14:paraId="1965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7DBDD6A4">
            <w:pPr>
              <w:pStyle w:val="9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5186" w:type="dxa"/>
            <w:vAlign w:val="center"/>
          </w:tcPr>
          <w:p w14:paraId="76E045D4">
            <w:pPr>
              <w:pStyle w:val="95"/>
              <w:rPr>
                <w:rFonts w:hint="eastAsia" w:ascii="宋体" w:hAnsi="宋体" w:eastAsia="宋体" w:cs="宋体"/>
                <w:color w:val="000000" w:themeColor="text1"/>
                <w:highlight w:val="none"/>
                <w14:textFill>
                  <w14:solidFill>
                    <w14:schemeClr w14:val="tx1"/>
                  </w14:solidFill>
                </w14:textFill>
              </w:rPr>
            </w:pPr>
          </w:p>
        </w:tc>
        <w:tc>
          <w:tcPr>
            <w:tcW w:w="1941" w:type="dxa"/>
            <w:vAlign w:val="center"/>
          </w:tcPr>
          <w:p w14:paraId="14E3BBFF">
            <w:pPr>
              <w:pStyle w:val="95"/>
              <w:rPr>
                <w:rFonts w:hint="eastAsia" w:ascii="宋体" w:hAnsi="宋体" w:eastAsia="宋体" w:cs="宋体"/>
                <w:color w:val="000000" w:themeColor="text1"/>
                <w:highlight w:val="none"/>
                <w14:textFill>
                  <w14:solidFill>
                    <w14:schemeClr w14:val="tx1"/>
                  </w14:solidFill>
                </w14:textFill>
              </w:rPr>
            </w:pPr>
          </w:p>
        </w:tc>
        <w:tc>
          <w:tcPr>
            <w:tcW w:w="1785" w:type="dxa"/>
            <w:vAlign w:val="center"/>
          </w:tcPr>
          <w:p w14:paraId="7FAFE15A">
            <w:pPr>
              <w:pStyle w:val="95"/>
              <w:rPr>
                <w:rFonts w:hint="eastAsia" w:ascii="宋体" w:hAnsi="宋体" w:eastAsia="宋体" w:cs="宋体"/>
                <w:color w:val="000000" w:themeColor="text1"/>
                <w:highlight w:val="none"/>
                <w14:textFill>
                  <w14:solidFill>
                    <w14:schemeClr w14:val="tx1"/>
                  </w14:solidFill>
                </w14:textFill>
              </w:rPr>
            </w:pPr>
          </w:p>
        </w:tc>
      </w:tr>
      <w:tr w14:paraId="4F65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5A14ED9D">
            <w:pPr>
              <w:pStyle w:val="9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5186" w:type="dxa"/>
            <w:vAlign w:val="center"/>
          </w:tcPr>
          <w:p w14:paraId="6FEC9778">
            <w:pPr>
              <w:pStyle w:val="95"/>
              <w:rPr>
                <w:rFonts w:hint="eastAsia" w:ascii="宋体" w:hAnsi="宋体" w:eastAsia="宋体" w:cs="宋体"/>
                <w:color w:val="000000" w:themeColor="text1"/>
                <w:highlight w:val="none"/>
                <w14:textFill>
                  <w14:solidFill>
                    <w14:schemeClr w14:val="tx1"/>
                  </w14:solidFill>
                </w14:textFill>
              </w:rPr>
            </w:pPr>
          </w:p>
        </w:tc>
        <w:tc>
          <w:tcPr>
            <w:tcW w:w="1941" w:type="dxa"/>
            <w:vAlign w:val="center"/>
          </w:tcPr>
          <w:p w14:paraId="627BC4F6">
            <w:pPr>
              <w:pStyle w:val="95"/>
              <w:rPr>
                <w:rFonts w:hint="eastAsia" w:ascii="宋体" w:hAnsi="宋体" w:eastAsia="宋体" w:cs="宋体"/>
                <w:color w:val="000000" w:themeColor="text1"/>
                <w:highlight w:val="none"/>
                <w14:textFill>
                  <w14:solidFill>
                    <w14:schemeClr w14:val="tx1"/>
                  </w14:solidFill>
                </w14:textFill>
              </w:rPr>
            </w:pPr>
          </w:p>
        </w:tc>
        <w:tc>
          <w:tcPr>
            <w:tcW w:w="1785" w:type="dxa"/>
            <w:vAlign w:val="center"/>
          </w:tcPr>
          <w:p w14:paraId="414000A3">
            <w:pPr>
              <w:pStyle w:val="95"/>
              <w:rPr>
                <w:rFonts w:hint="eastAsia" w:ascii="宋体" w:hAnsi="宋体" w:eastAsia="宋体" w:cs="宋体"/>
                <w:color w:val="000000" w:themeColor="text1"/>
                <w:highlight w:val="none"/>
                <w14:textFill>
                  <w14:solidFill>
                    <w14:schemeClr w14:val="tx1"/>
                  </w14:solidFill>
                </w14:textFill>
              </w:rPr>
            </w:pPr>
          </w:p>
        </w:tc>
      </w:tr>
      <w:tr w14:paraId="4670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79DFA737">
            <w:pPr>
              <w:pStyle w:val="9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5186" w:type="dxa"/>
            <w:vAlign w:val="center"/>
          </w:tcPr>
          <w:p w14:paraId="141ED5A1">
            <w:pPr>
              <w:pStyle w:val="95"/>
              <w:rPr>
                <w:rFonts w:hint="eastAsia" w:ascii="宋体" w:hAnsi="宋体" w:eastAsia="宋体" w:cs="宋体"/>
                <w:color w:val="000000" w:themeColor="text1"/>
                <w:highlight w:val="none"/>
                <w14:textFill>
                  <w14:solidFill>
                    <w14:schemeClr w14:val="tx1"/>
                  </w14:solidFill>
                </w14:textFill>
              </w:rPr>
            </w:pPr>
          </w:p>
        </w:tc>
        <w:tc>
          <w:tcPr>
            <w:tcW w:w="1941" w:type="dxa"/>
            <w:vAlign w:val="center"/>
          </w:tcPr>
          <w:p w14:paraId="7DF643A6">
            <w:pPr>
              <w:pStyle w:val="95"/>
              <w:rPr>
                <w:rFonts w:hint="eastAsia" w:ascii="宋体" w:hAnsi="宋体" w:eastAsia="宋体" w:cs="宋体"/>
                <w:color w:val="000000" w:themeColor="text1"/>
                <w:highlight w:val="none"/>
                <w14:textFill>
                  <w14:solidFill>
                    <w14:schemeClr w14:val="tx1"/>
                  </w14:solidFill>
                </w14:textFill>
              </w:rPr>
            </w:pPr>
          </w:p>
        </w:tc>
        <w:tc>
          <w:tcPr>
            <w:tcW w:w="1785" w:type="dxa"/>
            <w:vAlign w:val="center"/>
          </w:tcPr>
          <w:p w14:paraId="6B8E200D">
            <w:pPr>
              <w:pStyle w:val="95"/>
              <w:rPr>
                <w:rFonts w:hint="eastAsia" w:ascii="宋体" w:hAnsi="宋体" w:eastAsia="宋体" w:cs="宋体"/>
                <w:color w:val="000000" w:themeColor="text1"/>
                <w:highlight w:val="none"/>
                <w14:textFill>
                  <w14:solidFill>
                    <w14:schemeClr w14:val="tx1"/>
                  </w14:solidFill>
                </w14:textFill>
              </w:rPr>
            </w:pPr>
          </w:p>
        </w:tc>
      </w:tr>
      <w:tr w14:paraId="4368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676563FB">
            <w:pPr>
              <w:pStyle w:val="9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5186" w:type="dxa"/>
            <w:vAlign w:val="center"/>
          </w:tcPr>
          <w:p w14:paraId="37B98553">
            <w:pPr>
              <w:pStyle w:val="95"/>
              <w:rPr>
                <w:rFonts w:hint="eastAsia" w:ascii="宋体" w:hAnsi="宋体" w:eastAsia="宋体" w:cs="宋体"/>
                <w:color w:val="000000" w:themeColor="text1"/>
                <w:highlight w:val="none"/>
                <w14:textFill>
                  <w14:solidFill>
                    <w14:schemeClr w14:val="tx1"/>
                  </w14:solidFill>
                </w14:textFill>
              </w:rPr>
            </w:pPr>
          </w:p>
        </w:tc>
        <w:tc>
          <w:tcPr>
            <w:tcW w:w="1941" w:type="dxa"/>
            <w:vAlign w:val="center"/>
          </w:tcPr>
          <w:p w14:paraId="633CA5A1">
            <w:pPr>
              <w:pStyle w:val="95"/>
              <w:rPr>
                <w:rFonts w:hint="eastAsia" w:ascii="宋体" w:hAnsi="宋体" w:eastAsia="宋体" w:cs="宋体"/>
                <w:color w:val="000000" w:themeColor="text1"/>
                <w:highlight w:val="none"/>
                <w14:textFill>
                  <w14:solidFill>
                    <w14:schemeClr w14:val="tx1"/>
                  </w14:solidFill>
                </w14:textFill>
              </w:rPr>
            </w:pPr>
          </w:p>
        </w:tc>
        <w:tc>
          <w:tcPr>
            <w:tcW w:w="1785" w:type="dxa"/>
            <w:vAlign w:val="center"/>
          </w:tcPr>
          <w:p w14:paraId="28AB0195">
            <w:pPr>
              <w:pStyle w:val="95"/>
              <w:rPr>
                <w:rFonts w:hint="eastAsia" w:ascii="宋体" w:hAnsi="宋体" w:eastAsia="宋体" w:cs="宋体"/>
                <w:color w:val="000000" w:themeColor="text1"/>
                <w:highlight w:val="none"/>
                <w14:textFill>
                  <w14:solidFill>
                    <w14:schemeClr w14:val="tx1"/>
                  </w14:solidFill>
                </w14:textFill>
              </w:rPr>
            </w:pPr>
          </w:p>
        </w:tc>
      </w:tr>
    </w:tbl>
    <w:p w14:paraId="652085D1">
      <w:pPr>
        <w:ind w:firstLine="480"/>
        <w:rPr>
          <w:rFonts w:hint="eastAsia" w:ascii="宋体" w:hAnsi="宋体" w:eastAsia="宋体" w:cs="宋体"/>
          <w:color w:val="000000" w:themeColor="text1"/>
          <w:highlight w:val="none"/>
          <w14:textFill>
            <w14:solidFill>
              <w14:schemeClr w14:val="tx1"/>
            </w14:solidFill>
          </w14:textFill>
        </w:rPr>
      </w:pPr>
    </w:p>
    <w:p w14:paraId="2BBA944B">
      <w:pP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投标人名称：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（盖章）</w:t>
      </w:r>
    </w:p>
    <w:p w14:paraId="2FD7D445">
      <w:pPr>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说明：如果行数不够，请自行增加。</w:t>
      </w:r>
      <w:bookmarkStart w:id="46" w:name="_bookmark0"/>
      <w:bookmarkEnd w:id="46"/>
      <w:r>
        <w:rPr>
          <w:rFonts w:hint="eastAsia" w:ascii="宋体" w:hAnsi="宋体" w:eastAsia="宋体" w:cs="宋体"/>
          <w:b/>
          <w:color w:val="000000" w:themeColor="text1"/>
          <w:highlight w:val="none"/>
          <w14:textFill>
            <w14:solidFill>
              <w14:schemeClr w14:val="tx1"/>
            </w14:solidFill>
          </w14:textFill>
        </w:rPr>
        <w:br w:type="page"/>
      </w:r>
    </w:p>
    <w:p w14:paraId="05F71870">
      <w:pPr>
        <w:pStyle w:val="3"/>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目录十二、资格证明文件</w:t>
      </w:r>
    </w:p>
    <w:p w14:paraId="73712B18">
      <w:pPr>
        <w:ind w:firstLine="0" w:firstLineChars="0"/>
        <w:jc w:val="center"/>
        <w:rPr>
          <w:rFonts w:hint="eastAsia" w:ascii="宋体" w:hAnsi="宋体" w:eastAsia="宋体" w:cs="宋体"/>
          <w:b/>
          <w:bCs/>
          <w:color w:val="000000" w:themeColor="text1"/>
          <w:sz w:val="32"/>
          <w:szCs w:val="28"/>
          <w:highlight w:val="none"/>
          <w14:textFill>
            <w14:solidFill>
              <w14:schemeClr w14:val="tx1"/>
            </w14:solidFill>
          </w14:textFill>
        </w:rPr>
      </w:pPr>
      <w:bookmarkStart w:id="47" w:name="_Toc489655335"/>
      <w:r>
        <w:rPr>
          <w:rFonts w:hint="eastAsia" w:ascii="宋体" w:hAnsi="宋体" w:eastAsia="宋体" w:cs="宋体"/>
          <w:b/>
          <w:bCs/>
          <w:color w:val="000000" w:themeColor="text1"/>
          <w:sz w:val="32"/>
          <w:szCs w:val="28"/>
          <w:highlight w:val="none"/>
          <w14:textFill>
            <w14:solidFill>
              <w14:schemeClr w14:val="tx1"/>
            </w14:solidFill>
          </w14:textFill>
        </w:rPr>
        <w:t>资格证明文件</w:t>
      </w:r>
      <w:bookmarkEnd w:id="47"/>
    </w:p>
    <w:p w14:paraId="15B6B6C1">
      <w:pPr>
        <w:pStyle w:val="3"/>
        <w:ind w:firstLine="482"/>
        <w:rPr>
          <w:rFonts w:hint="eastAsia" w:ascii="宋体" w:hAnsi="宋体" w:eastAsia="宋体" w:cs="宋体"/>
          <w:color w:val="000000" w:themeColor="text1"/>
          <w:highlight w:val="none"/>
          <w:lang w:val="en-US" w:eastAsia="zh-CN"/>
          <w14:textFill>
            <w14:solidFill>
              <w14:schemeClr w14:val="tx1"/>
            </w14:solidFill>
          </w14:textFill>
        </w:rPr>
      </w:pPr>
    </w:p>
    <w:p w14:paraId="6B282A7A">
      <w:pPr>
        <w:pStyle w:val="3"/>
        <w:ind w:firstLine="482"/>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目录十三、</w:t>
      </w:r>
      <w:r>
        <w:rPr>
          <w:rFonts w:hint="eastAsia" w:ascii="宋体" w:hAnsi="宋体" w:eastAsia="宋体" w:cs="宋体"/>
          <w:color w:val="000000" w:themeColor="text1"/>
          <w:highlight w:val="none"/>
          <w:lang w:val="zh-CN"/>
          <w14:textFill>
            <w14:solidFill>
              <w14:schemeClr w14:val="tx1"/>
            </w14:solidFill>
          </w14:textFill>
        </w:rPr>
        <w:t>《南京市政府采购供应商信用记录表暨信用承诺书》</w:t>
      </w:r>
    </w:p>
    <w:p w14:paraId="0DC2DFC2">
      <w:pPr>
        <w:widowControl/>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南京市政府采购供应商信用记录表暨信用承诺书</w:t>
      </w:r>
    </w:p>
    <w:p w14:paraId="6B43E597">
      <w:pPr>
        <w:widowControl/>
        <w:jc w:val="righ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20   年  月   日</w:t>
      </w:r>
    </w:p>
    <w:p w14:paraId="6AD0A10B">
      <w:pPr>
        <w:widowControl/>
        <w:rPr>
          <w:rFonts w:hint="eastAsia" w:ascii="宋体" w:hAnsi="宋体" w:cs="宋体"/>
          <w:color w:val="000000" w:themeColor="text1"/>
          <w:sz w:val="28"/>
          <w:szCs w:val="28"/>
          <w:highlight w:val="none"/>
          <w14:textFill>
            <w14:solidFill>
              <w14:schemeClr w14:val="tx1"/>
            </w14:solidFill>
          </w14:textFill>
        </w:rPr>
      </w:pPr>
    </w:p>
    <w:tbl>
      <w:tblPr>
        <w:tblStyle w:val="28"/>
        <w:tblW w:w="986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37"/>
        <w:gridCol w:w="2205"/>
        <w:gridCol w:w="2048"/>
        <w:gridCol w:w="3472"/>
      </w:tblGrid>
      <w:tr w14:paraId="06965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2137" w:type="dxa"/>
            <w:noWrap w:val="0"/>
            <w:vAlign w:val="center"/>
          </w:tcPr>
          <w:p w14:paraId="18F5C896">
            <w:pPr>
              <w:widowControl/>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单位名称</w:t>
            </w:r>
          </w:p>
        </w:tc>
        <w:tc>
          <w:tcPr>
            <w:tcW w:w="2205" w:type="dxa"/>
            <w:noWrap w:val="0"/>
            <w:vAlign w:val="center"/>
          </w:tcPr>
          <w:p w14:paraId="54BD80A0">
            <w:pPr>
              <w:widowControl/>
              <w:rPr>
                <w:rFonts w:hint="eastAsia" w:ascii="宋体" w:hAnsi="宋体" w:cs="宋体"/>
                <w:b/>
                <w:bCs/>
                <w:color w:val="000000" w:themeColor="text1"/>
                <w:sz w:val="28"/>
                <w:szCs w:val="28"/>
                <w:highlight w:val="none"/>
                <w14:textFill>
                  <w14:solidFill>
                    <w14:schemeClr w14:val="tx1"/>
                  </w14:solidFill>
                </w14:textFill>
              </w:rPr>
            </w:pPr>
          </w:p>
        </w:tc>
        <w:tc>
          <w:tcPr>
            <w:tcW w:w="2048" w:type="dxa"/>
            <w:noWrap w:val="0"/>
            <w:vAlign w:val="center"/>
          </w:tcPr>
          <w:p w14:paraId="0A670144">
            <w:pPr>
              <w:widowControl/>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统一社会信用代码</w:t>
            </w:r>
          </w:p>
        </w:tc>
        <w:tc>
          <w:tcPr>
            <w:tcW w:w="3472" w:type="dxa"/>
            <w:noWrap w:val="0"/>
            <w:vAlign w:val="center"/>
          </w:tcPr>
          <w:p w14:paraId="66402F44">
            <w:pPr>
              <w:widowControl/>
              <w:rPr>
                <w:rFonts w:hint="eastAsia" w:ascii="宋体" w:hAnsi="宋体" w:cs="宋体"/>
                <w:b/>
                <w:bCs/>
                <w:color w:val="000000" w:themeColor="text1"/>
                <w:sz w:val="28"/>
                <w:szCs w:val="28"/>
                <w:highlight w:val="none"/>
                <w14:textFill>
                  <w14:solidFill>
                    <w14:schemeClr w14:val="tx1"/>
                  </w14:solidFill>
                </w14:textFill>
              </w:rPr>
            </w:pPr>
          </w:p>
        </w:tc>
      </w:tr>
      <w:tr w14:paraId="43451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2137" w:type="dxa"/>
            <w:noWrap w:val="0"/>
            <w:vAlign w:val="center"/>
          </w:tcPr>
          <w:p w14:paraId="26F0DACE">
            <w:pPr>
              <w:widowControl/>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法定代表人</w:t>
            </w:r>
          </w:p>
        </w:tc>
        <w:tc>
          <w:tcPr>
            <w:tcW w:w="2205" w:type="dxa"/>
            <w:noWrap w:val="0"/>
            <w:vAlign w:val="center"/>
          </w:tcPr>
          <w:p w14:paraId="1F1B8B70">
            <w:pPr>
              <w:widowControl/>
              <w:rPr>
                <w:rFonts w:hint="eastAsia" w:ascii="宋体" w:hAnsi="宋体" w:cs="宋体"/>
                <w:b/>
                <w:bCs/>
                <w:color w:val="000000" w:themeColor="text1"/>
                <w:sz w:val="28"/>
                <w:szCs w:val="28"/>
                <w:highlight w:val="none"/>
                <w14:textFill>
                  <w14:solidFill>
                    <w14:schemeClr w14:val="tx1"/>
                  </w14:solidFill>
                </w14:textFill>
              </w:rPr>
            </w:pPr>
          </w:p>
        </w:tc>
        <w:tc>
          <w:tcPr>
            <w:tcW w:w="2048" w:type="dxa"/>
            <w:noWrap w:val="0"/>
            <w:vAlign w:val="center"/>
          </w:tcPr>
          <w:p w14:paraId="4B26608E">
            <w:pPr>
              <w:widowControl/>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联系人</w:t>
            </w:r>
          </w:p>
        </w:tc>
        <w:tc>
          <w:tcPr>
            <w:tcW w:w="3472" w:type="dxa"/>
            <w:noWrap w:val="0"/>
            <w:vAlign w:val="center"/>
          </w:tcPr>
          <w:p w14:paraId="7028B6FE">
            <w:pPr>
              <w:widowControl/>
              <w:rPr>
                <w:rFonts w:hint="eastAsia" w:ascii="宋体" w:hAnsi="宋体" w:cs="宋体"/>
                <w:b/>
                <w:bCs/>
                <w:color w:val="000000" w:themeColor="text1"/>
                <w:sz w:val="28"/>
                <w:szCs w:val="28"/>
                <w:highlight w:val="none"/>
                <w14:textFill>
                  <w14:solidFill>
                    <w14:schemeClr w14:val="tx1"/>
                  </w14:solidFill>
                </w14:textFill>
              </w:rPr>
            </w:pPr>
          </w:p>
        </w:tc>
      </w:tr>
      <w:tr w14:paraId="04260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2137" w:type="dxa"/>
            <w:noWrap w:val="0"/>
            <w:vAlign w:val="center"/>
          </w:tcPr>
          <w:p w14:paraId="25E5107F">
            <w:pPr>
              <w:widowControl/>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联系地址</w:t>
            </w:r>
          </w:p>
        </w:tc>
        <w:tc>
          <w:tcPr>
            <w:tcW w:w="2205" w:type="dxa"/>
            <w:noWrap w:val="0"/>
            <w:vAlign w:val="center"/>
          </w:tcPr>
          <w:p w14:paraId="1DCBF6B0">
            <w:pPr>
              <w:widowControl/>
              <w:rPr>
                <w:rFonts w:hint="eastAsia" w:ascii="宋体" w:hAnsi="宋体" w:cs="宋体"/>
                <w:b/>
                <w:bCs/>
                <w:color w:val="000000" w:themeColor="text1"/>
                <w:sz w:val="28"/>
                <w:szCs w:val="28"/>
                <w:highlight w:val="none"/>
                <w14:textFill>
                  <w14:solidFill>
                    <w14:schemeClr w14:val="tx1"/>
                  </w14:solidFill>
                </w14:textFill>
              </w:rPr>
            </w:pPr>
          </w:p>
        </w:tc>
        <w:tc>
          <w:tcPr>
            <w:tcW w:w="2048" w:type="dxa"/>
            <w:noWrap w:val="0"/>
            <w:vAlign w:val="center"/>
          </w:tcPr>
          <w:p w14:paraId="520BBDB7">
            <w:pPr>
              <w:widowControl/>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联系电话</w:t>
            </w:r>
          </w:p>
        </w:tc>
        <w:tc>
          <w:tcPr>
            <w:tcW w:w="3472" w:type="dxa"/>
            <w:noWrap w:val="0"/>
            <w:vAlign w:val="center"/>
          </w:tcPr>
          <w:p w14:paraId="02877732">
            <w:pPr>
              <w:widowControl/>
              <w:rPr>
                <w:rFonts w:hint="eastAsia" w:ascii="宋体" w:hAnsi="宋体" w:cs="宋体"/>
                <w:b/>
                <w:bCs/>
                <w:color w:val="000000" w:themeColor="text1"/>
                <w:sz w:val="28"/>
                <w:szCs w:val="28"/>
                <w:highlight w:val="none"/>
                <w14:textFill>
                  <w14:solidFill>
                    <w14:schemeClr w14:val="tx1"/>
                  </w14:solidFill>
                </w14:textFill>
              </w:rPr>
            </w:pPr>
          </w:p>
        </w:tc>
      </w:tr>
      <w:tr w14:paraId="05CEF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0" w:hRule="atLeast"/>
          <w:jc w:val="center"/>
        </w:trPr>
        <w:tc>
          <w:tcPr>
            <w:tcW w:w="2137" w:type="dxa"/>
            <w:noWrap w:val="0"/>
            <w:vAlign w:val="center"/>
          </w:tcPr>
          <w:p w14:paraId="0F0D73AB">
            <w:pPr>
              <w:widowControl/>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诚信档案记录情况</w:t>
            </w:r>
          </w:p>
        </w:tc>
        <w:tc>
          <w:tcPr>
            <w:tcW w:w="7725" w:type="dxa"/>
            <w:gridSpan w:val="3"/>
            <w:noWrap w:val="0"/>
            <w:vAlign w:val="center"/>
          </w:tcPr>
          <w:p w14:paraId="68163B3A">
            <w:pPr>
              <w:widowControl/>
              <w:rPr>
                <w:rFonts w:hint="eastAsia" w:ascii="宋体" w:hAnsi="宋体" w:cs="宋体"/>
                <w:b/>
                <w:bCs/>
                <w:color w:val="000000" w:themeColor="text1"/>
                <w:sz w:val="28"/>
                <w:szCs w:val="28"/>
                <w:highlight w:val="none"/>
                <w14:textFill>
                  <w14:solidFill>
                    <w14:schemeClr w14:val="tx1"/>
                  </w14:solidFill>
                </w14:textFill>
              </w:rPr>
            </w:pPr>
          </w:p>
        </w:tc>
      </w:tr>
      <w:tr w14:paraId="16D2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5" w:hRule="atLeast"/>
          <w:jc w:val="center"/>
        </w:trPr>
        <w:tc>
          <w:tcPr>
            <w:tcW w:w="2137" w:type="dxa"/>
            <w:vMerge w:val="restart"/>
            <w:noWrap w:val="0"/>
            <w:vAlign w:val="center"/>
          </w:tcPr>
          <w:p w14:paraId="6D3858D2">
            <w:pPr>
              <w:widowControl/>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信用承诺</w:t>
            </w:r>
          </w:p>
        </w:tc>
        <w:tc>
          <w:tcPr>
            <w:tcW w:w="7725" w:type="dxa"/>
            <w:gridSpan w:val="3"/>
            <w:noWrap w:val="0"/>
            <w:vAlign w:val="center"/>
          </w:tcPr>
          <w:p w14:paraId="3D0F1908">
            <w:pPr>
              <w:widowControl/>
              <w:ind w:left="42" w:firstLine="56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我公司自愿参加贵中心（公司）组织的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tc>
      </w:tr>
      <w:tr w14:paraId="63C86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45" w:hRule="atLeast"/>
          <w:jc w:val="center"/>
        </w:trPr>
        <w:tc>
          <w:tcPr>
            <w:tcW w:w="2137" w:type="dxa"/>
            <w:vMerge w:val="continue"/>
            <w:noWrap w:val="0"/>
            <w:vAlign w:val="center"/>
          </w:tcPr>
          <w:p w14:paraId="66425988">
            <w:pPr>
              <w:widowControl/>
              <w:rPr>
                <w:rFonts w:hint="eastAsia" w:ascii="宋体" w:hAnsi="宋体" w:cs="宋体"/>
                <w:color w:val="000000" w:themeColor="text1"/>
                <w:sz w:val="28"/>
                <w:szCs w:val="28"/>
                <w:highlight w:val="none"/>
                <w14:textFill>
                  <w14:solidFill>
                    <w14:schemeClr w14:val="tx1"/>
                  </w14:solidFill>
                </w14:textFill>
              </w:rPr>
            </w:pPr>
          </w:p>
        </w:tc>
        <w:tc>
          <w:tcPr>
            <w:tcW w:w="7725" w:type="dxa"/>
            <w:gridSpan w:val="3"/>
            <w:noWrap w:val="0"/>
            <w:vAlign w:val="center"/>
          </w:tcPr>
          <w:p w14:paraId="4FD68018">
            <w:pPr>
              <w:widowControl/>
              <w:ind w:left="378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供应商名称（盖章）∶</w:t>
            </w:r>
          </w:p>
          <w:p w14:paraId="4F95B5E5">
            <w:pPr>
              <w:widowControl/>
              <w:ind w:left="378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法定代表人（签字）∶</w:t>
            </w:r>
          </w:p>
          <w:p w14:paraId="442EF894">
            <w:pPr>
              <w:widowControl/>
              <w:ind w:left="378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二O  年  月  日</w:t>
            </w:r>
          </w:p>
        </w:tc>
      </w:tr>
    </w:tbl>
    <w:p w14:paraId="77D4712D">
      <w:pPr>
        <w:spacing w:before="50" w:after="50"/>
        <w:ind w:firstLine="275"/>
        <w:rPr>
          <w:rFonts w:hint="eastAsia" w:ascii="宋体" w:hAnsi="宋体" w:cs="宋体"/>
          <w:b/>
          <w:color w:val="000000" w:themeColor="text1"/>
          <w:sz w:val="28"/>
          <w:szCs w:val="28"/>
          <w:highlight w:val="none"/>
          <w14:textFill>
            <w14:solidFill>
              <w14:schemeClr w14:val="tx1"/>
            </w14:solidFill>
          </w14:textFill>
        </w:rPr>
      </w:pPr>
    </w:p>
    <w:p w14:paraId="5AF46DE9">
      <w:pPr>
        <w:spacing w:line="360" w:lineRule="auto"/>
        <w:jc w:val="left"/>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cs="宋体"/>
          <w:b w:val="0"/>
          <w:bCs w:val="0"/>
          <w:color w:val="000000" w:themeColor="text1"/>
          <w:sz w:val="21"/>
          <w:szCs w:val="21"/>
          <w:highlight w:val="none"/>
          <w:lang w:eastAsia="zh-CN"/>
          <w14:textFill>
            <w14:solidFill>
              <w14:schemeClr w14:val="tx1"/>
            </w14:solidFill>
          </w14:textFill>
        </w:rPr>
        <w:t>注：上表</w:t>
      </w:r>
      <w:r>
        <w:rPr>
          <w:rFonts w:hint="eastAsia" w:ascii="宋体" w:hAnsi="宋体" w:cs="宋体"/>
          <w:b w:val="0"/>
          <w:bCs w:val="0"/>
          <w:color w:val="000000" w:themeColor="text1"/>
          <w:sz w:val="21"/>
          <w:szCs w:val="21"/>
          <w:highlight w:val="none"/>
          <w14:textFill>
            <w14:solidFill>
              <w14:schemeClr w14:val="tx1"/>
            </w14:solidFill>
          </w14:textFill>
        </w:rPr>
        <w:t>仅为示范格式，直接填写无效，需至“南京政府采购供应商诚信档案管理系统”在线打印</w:t>
      </w:r>
      <w:r>
        <w:rPr>
          <w:rFonts w:hint="eastAsia" w:cs="宋体"/>
          <w:b w:val="0"/>
          <w:bCs w:val="0"/>
          <w:color w:val="000000" w:themeColor="text1"/>
          <w:sz w:val="21"/>
          <w:szCs w:val="21"/>
          <w:highlight w:val="none"/>
          <w:lang w:eastAsia="zh-CN"/>
          <w14:textFill>
            <w14:solidFill>
              <w14:schemeClr w14:val="tx1"/>
            </w14:solidFill>
          </w14:textFill>
        </w:rPr>
        <w:t>。</w:t>
      </w:r>
    </w:p>
    <w:p w14:paraId="171012A7">
      <w:pPr>
        <w:pStyle w:val="3"/>
        <w:ind w:firstLine="482"/>
        <w:rPr>
          <w:rFonts w:hint="eastAsia" w:ascii="宋体" w:hAnsi="宋体" w:eastAsia="宋体" w:cs="宋体"/>
          <w:color w:val="000000" w:themeColor="text1"/>
          <w:highlight w:val="none"/>
          <w:lang w:eastAsia="zh-CN"/>
          <w14:textFill>
            <w14:solidFill>
              <w14:schemeClr w14:val="tx1"/>
            </w14:solidFill>
          </w14:textFill>
        </w:rPr>
      </w:pPr>
    </w:p>
    <w:sectPr>
      <w:pgSz w:w="11910" w:h="16840"/>
      <w:pgMar w:top="1417" w:right="1080" w:bottom="1417" w:left="1080" w:header="794" w:footer="9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FDFC2">
    <w:pPr>
      <w:pStyle w:val="1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1" name="文本框 1028"/>
              <wp:cNvGraphicFramePr/>
              <a:graphic xmlns:a="http://schemas.openxmlformats.org/drawingml/2006/main">
                <a:graphicData uri="http://schemas.microsoft.com/office/word/2010/wordprocessingShape">
                  <wps:wsp>
                    <wps:cNvSpPr>
                      <a:spLocks noChangeArrowheads="1"/>
                    </wps:cNvSpPr>
                    <wps:spPr>
                      <a:xfrm>
                        <a:off x="0" y="0"/>
                        <a:ext cx="972185" cy="147955"/>
                      </a:xfrm>
                      <a:prstGeom prst="rect">
                        <a:avLst/>
                      </a:prstGeom>
                      <a:noFill/>
                      <a:ln>
                        <a:noFill/>
                      </a:ln>
                      <a:effectLst/>
                    </wps:spPr>
                    <wps:txbx>
                      <w:txbxContent>
                        <w:p w14:paraId="4DFAFDEF">
                          <w:pPr>
                            <w:pStyle w:val="18"/>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wrap="none" lIns="0" tIns="0" rIns="0" bIns="0">
                      <a:spAutoFit/>
                    </wps:bodyPr>
                  </wps:wsp>
                </a:graphicData>
              </a:graphic>
            </wp:anchor>
          </w:drawing>
        </mc:Choice>
        <mc:Fallback>
          <w:pict>
            <v:rect id="文本框 1028" o:spid="_x0000_s1026" o:spt="1"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x1U4e0gAAAAQBAAAPAAAA&#10;AAAAAAEAIAAAACIAAABkcnMvZG93bnJldi54bWxQSwECFAAUAAAACACHTuJAjp1dJ+IBAADDAwAA&#10;DgAAAAAAAAABACAAAAAhAQAAZHJzL2Uyb0RvYy54bWxQSwUGAAAAAAYABgBZAQAAdQUAAAAA&#10;">
              <v:fill on="f" focussize="0,0"/>
              <v:stroke on="f"/>
              <v:imagedata o:title=""/>
              <o:lock v:ext="edit" aspectratio="f"/>
              <v:textbox inset="0mm,0mm,0mm,0mm" style="mso-fit-shape-to-text:t;">
                <w:txbxContent>
                  <w:p w14:paraId="4DFAFDEF">
                    <w:pPr>
                      <w:pStyle w:val="18"/>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EE883">
    <w:pPr>
      <w:spacing w:line="167" w:lineRule="auto"/>
      <w:ind w:left="4090"/>
      <w:rPr>
        <w:rFonts w:ascii="Calibri" w:hAnsi="Calibri" w:eastAsia="Calibri" w:cs="Calibri"/>
        <w:sz w:val="18"/>
        <w:szCs w:val="18"/>
      </w:rPr>
    </w:pPr>
    <w:r>
      <w:rPr>
        <w:rFonts w:ascii="Calibri" w:hAnsi="Calibri" w:eastAsia="Calibri" w:cs="Calibri"/>
        <w:spacing w:val="-4"/>
        <w:sz w:val="18"/>
        <w:szCs w:val="18"/>
      </w:rPr>
      <w:t>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159A5">
    <w:pPr>
      <w:pStyle w:val="18"/>
      <w:ind w:firstLine="360"/>
      <w:jc w:val="center"/>
    </w:pPr>
    <w:r>
      <w:rPr>
        <w:rFonts w:hint="eastAsia"/>
      </w:rPr>
      <w:t>第</w:t>
    </w:r>
    <w:r>
      <w:fldChar w:fldCharType="begin"/>
    </w:r>
    <w:r>
      <w:instrText xml:space="preserve"> PAGE  \* Arabic  \* MERGEFORMAT </w:instrText>
    </w:r>
    <w:r>
      <w:fldChar w:fldCharType="separate"/>
    </w:r>
    <w:r>
      <w:t>4</w:t>
    </w:r>
    <w:r>
      <w:fldChar w:fldCharType="end"/>
    </w:r>
    <w:r>
      <w:rPr>
        <w:rFonts w:hint="eastAsia"/>
      </w:rPr>
      <w:t>页共</w:t>
    </w:r>
    <w:r>
      <w:fldChar w:fldCharType="begin"/>
    </w:r>
    <w:r>
      <w:instrText xml:space="preserve"> NUMPAGES  \* Arabic  \* MERGEFORMAT </w:instrText>
    </w:r>
    <w:r>
      <w:fldChar w:fldCharType="separate"/>
    </w:r>
    <w:r>
      <w:t>67</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0118C">
    <w:pPr>
      <w:pStyle w:val="1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BFE4D">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92B75">
    <w:pPr>
      <w:pStyle w:val="20"/>
      <w:pBdr>
        <w:bottom w:val="single" w:color="auto" w:sz="4"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45D8B">
    <w:pPr>
      <w:pStyle w:val="20"/>
      <w:jc w:val="left"/>
      <w:rPr>
        <w:rFonts w:ascii="微软雅黑" w:hAnsi="微软雅黑" w:eastAsia="微软雅黑"/>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F29D2">
    <w:pPr>
      <w:pStyle w:val="20"/>
      <w:ind w:firstLine="0" w:firstLineChars="0"/>
      <w:jc w:val="left"/>
    </w:pPr>
    <w:r>
      <w:rPr>
        <w:rFonts w:hint="eastAsia" w:ascii="微软雅黑" w:hAnsi="微软雅黑" w:eastAsia="微软雅黑"/>
        <w:b/>
        <w:bCs/>
      </w:rPr>
      <w:t xml:space="preserve">                                    </w:t>
    </w:r>
    <w:r>
      <w:rPr>
        <w:rFonts w:hint="eastAsia" w:ascii="微软雅黑" w:hAnsi="微软雅黑" w:eastAsia="微软雅黑"/>
        <w:b/>
        <w:bCs/>
        <w:lang w:val="en-US"/>
      </w:rPr>
      <w:t xml:space="preserve">             </w:t>
    </w:r>
    <w:r>
      <w:rPr>
        <w:rFonts w:hint="eastAsia" w:ascii="微软雅黑" w:hAnsi="微软雅黑" w:eastAsia="微软雅黑"/>
        <w:b/>
        <w:bCs/>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73F8A">
    <w:pPr>
      <w:pStyle w:val="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D53E3">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70183"/>
    <w:multiLevelType w:val="singleLevel"/>
    <w:tmpl w:val="AA570183"/>
    <w:lvl w:ilvl="0" w:tentative="0">
      <w:start w:val="4"/>
      <w:numFmt w:val="chineseCounting"/>
      <w:suff w:val="nothing"/>
      <w:lvlText w:val="%1、"/>
      <w:lvlJc w:val="left"/>
      <w:rPr>
        <w:rFonts w:hint="eastAsia"/>
      </w:rPr>
    </w:lvl>
  </w:abstractNum>
  <w:abstractNum w:abstractNumId="1">
    <w:nsid w:val="AC138E99"/>
    <w:multiLevelType w:val="singleLevel"/>
    <w:tmpl w:val="AC138E9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LeaveBackslashAlone/>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6C07B8"/>
    <w:rsid w:val="000363EB"/>
    <w:rsid w:val="00043708"/>
    <w:rsid w:val="000527D5"/>
    <w:rsid w:val="000B28F6"/>
    <w:rsid w:val="001965CB"/>
    <w:rsid w:val="0025708B"/>
    <w:rsid w:val="00277AE5"/>
    <w:rsid w:val="0028170C"/>
    <w:rsid w:val="002A7989"/>
    <w:rsid w:val="0031491F"/>
    <w:rsid w:val="00342B20"/>
    <w:rsid w:val="00365E6E"/>
    <w:rsid w:val="00377B2D"/>
    <w:rsid w:val="003800D7"/>
    <w:rsid w:val="00382DEE"/>
    <w:rsid w:val="00386882"/>
    <w:rsid w:val="003C0048"/>
    <w:rsid w:val="003C0512"/>
    <w:rsid w:val="00487386"/>
    <w:rsid w:val="004A4B00"/>
    <w:rsid w:val="00550252"/>
    <w:rsid w:val="00551A98"/>
    <w:rsid w:val="005757E1"/>
    <w:rsid w:val="0059705E"/>
    <w:rsid w:val="005B52EC"/>
    <w:rsid w:val="00660242"/>
    <w:rsid w:val="00693AE9"/>
    <w:rsid w:val="006A2F3F"/>
    <w:rsid w:val="006C07B8"/>
    <w:rsid w:val="00705034"/>
    <w:rsid w:val="007333F5"/>
    <w:rsid w:val="00761211"/>
    <w:rsid w:val="00785CCB"/>
    <w:rsid w:val="007D384F"/>
    <w:rsid w:val="007D754D"/>
    <w:rsid w:val="007F2BE8"/>
    <w:rsid w:val="00810921"/>
    <w:rsid w:val="00843285"/>
    <w:rsid w:val="00870686"/>
    <w:rsid w:val="008A052F"/>
    <w:rsid w:val="008C59E7"/>
    <w:rsid w:val="008D3BE5"/>
    <w:rsid w:val="00903D7F"/>
    <w:rsid w:val="00914C5E"/>
    <w:rsid w:val="00930726"/>
    <w:rsid w:val="00A375D8"/>
    <w:rsid w:val="00A42231"/>
    <w:rsid w:val="00A80BE5"/>
    <w:rsid w:val="00AA7010"/>
    <w:rsid w:val="00B43D21"/>
    <w:rsid w:val="00B602E8"/>
    <w:rsid w:val="00B661B5"/>
    <w:rsid w:val="00B811F5"/>
    <w:rsid w:val="00B947FD"/>
    <w:rsid w:val="00C821C4"/>
    <w:rsid w:val="00C97A1B"/>
    <w:rsid w:val="00CB5BA0"/>
    <w:rsid w:val="00CD040A"/>
    <w:rsid w:val="00D0696E"/>
    <w:rsid w:val="00D56B6D"/>
    <w:rsid w:val="00D64AE1"/>
    <w:rsid w:val="00D7170A"/>
    <w:rsid w:val="00E04CA5"/>
    <w:rsid w:val="00E60BE6"/>
    <w:rsid w:val="00ED13AC"/>
    <w:rsid w:val="00F10C84"/>
    <w:rsid w:val="00F44820"/>
    <w:rsid w:val="00F90111"/>
    <w:rsid w:val="00F961C5"/>
    <w:rsid w:val="00FE5D79"/>
    <w:rsid w:val="00FE6C42"/>
    <w:rsid w:val="01BE7323"/>
    <w:rsid w:val="01E21263"/>
    <w:rsid w:val="023D0B8F"/>
    <w:rsid w:val="02AD361F"/>
    <w:rsid w:val="03247A18"/>
    <w:rsid w:val="037078AA"/>
    <w:rsid w:val="03B95FF4"/>
    <w:rsid w:val="048C54B6"/>
    <w:rsid w:val="04FF3EDA"/>
    <w:rsid w:val="0579427F"/>
    <w:rsid w:val="060A67D9"/>
    <w:rsid w:val="06163BD1"/>
    <w:rsid w:val="068E3B1D"/>
    <w:rsid w:val="06F45911"/>
    <w:rsid w:val="074455BF"/>
    <w:rsid w:val="074B20D5"/>
    <w:rsid w:val="075B34AE"/>
    <w:rsid w:val="08365E65"/>
    <w:rsid w:val="0924138E"/>
    <w:rsid w:val="09F45FD8"/>
    <w:rsid w:val="09F90EB5"/>
    <w:rsid w:val="0A6A629A"/>
    <w:rsid w:val="0B386398"/>
    <w:rsid w:val="0B85559E"/>
    <w:rsid w:val="0BE30372"/>
    <w:rsid w:val="0D274B1B"/>
    <w:rsid w:val="0D8F5E9B"/>
    <w:rsid w:val="0E3031CD"/>
    <w:rsid w:val="0E326BA2"/>
    <w:rsid w:val="0E545297"/>
    <w:rsid w:val="0E611762"/>
    <w:rsid w:val="0FFA00C0"/>
    <w:rsid w:val="10394744"/>
    <w:rsid w:val="10523A58"/>
    <w:rsid w:val="105C72B8"/>
    <w:rsid w:val="10D44F9F"/>
    <w:rsid w:val="115132F3"/>
    <w:rsid w:val="1182211B"/>
    <w:rsid w:val="11C314B3"/>
    <w:rsid w:val="126E2443"/>
    <w:rsid w:val="12A165D1"/>
    <w:rsid w:val="135C5C23"/>
    <w:rsid w:val="13A02D0F"/>
    <w:rsid w:val="13BA0AF5"/>
    <w:rsid w:val="14643D5A"/>
    <w:rsid w:val="14B30A71"/>
    <w:rsid w:val="14C8078D"/>
    <w:rsid w:val="158E72E0"/>
    <w:rsid w:val="159D0BFD"/>
    <w:rsid w:val="15D953DD"/>
    <w:rsid w:val="15E2762C"/>
    <w:rsid w:val="1606273F"/>
    <w:rsid w:val="169B60BC"/>
    <w:rsid w:val="16B01160"/>
    <w:rsid w:val="16F01CA5"/>
    <w:rsid w:val="173503D8"/>
    <w:rsid w:val="17601F74"/>
    <w:rsid w:val="178D623F"/>
    <w:rsid w:val="17AD77C6"/>
    <w:rsid w:val="17C83153"/>
    <w:rsid w:val="17E67998"/>
    <w:rsid w:val="180E140F"/>
    <w:rsid w:val="18990547"/>
    <w:rsid w:val="190A1374"/>
    <w:rsid w:val="19310B57"/>
    <w:rsid w:val="1A0F4768"/>
    <w:rsid w:val="1A436A27"/>
    <w:rsid w:val="1B43350B"/>
    <w:rsid w:val="1B48372E"/>
    <w:rsid w:val="1B5978AE"/>
    <w:rsid w:val="1BC81072"/>
    <w:rsid w:val="1C3B7FB7"/>
    <w:rsid w:val="1C5E01EB"/>
    <w:rsid w:val="1D66769D"/>
    <w:rsid w:val="1E5304E0"/>
    <w:rsid w:val="1E7A4533"/>
    <w:rsid w:val="1EE07FAC"/>
    <w:rsid w:val="1F486752"/>
    <w:rsid w:val="1F855BB8"/>
    <w:rsid w:val="1FEA7809"/>
    <w:rsid w:val="20DB35F6"/>
    <w:rsid w:val="20E57263"/>
    <w:rsid w:val="20EA55E7"/>
    <w:rsid w:val="213953F3"/>
    <w:rsid w:val="21AF1149"/>
    <w:rsid w:val="220F465B"/>
    <w:rsid w:val="22176C0E"/>
    <w:rsid w:val="22675C42"/>
    <w:rsid w:val="236E0751"/>
    <w:rsid w:val="250E32C5"/>
    <w:rsid w:val="252A06A8"/>
    <w:rsid w:val="258E0C37"/>
    <w:rsid w:val="25B11864"/>
    <w:rsid w:val="25E66FDE"/>
    <w:rsid w:val="267A740D"/>
    <w:rsid w:val="26CD709A"/>
    <w:rsid w:val="27363334"/>
    <w:rsid w:val="280F35C8"/>
    <w:rsid w:val="281C0C36"/>
    <w:rsid w:val="285F2003"/>
    <w:rsid w:val="295F1914"/>
    <w:rsid w:val="2A622692"/>
    <w:rsid w:val="2AA86705"/>
    <w:rsid w:val="2AEA6EEB"/>
    <w:rsid w:val="2B8C1B31"/>
    <w:rsid w:val="2BEC4909"/>
    <w:rsid w:val="2BF06D58"/>
    <w:rsid w:val="2CD77367"/>
    <w:rsid w:val="2CD95027"/>
    <w:rsid w:val="2D0C4506"/>
    <w:rsid w:val="2D3539B7"/>
    <w:rsid w:val="2DB40AEB"/>
    <w:rsid w:val="2DC53663"/>
    <w:rsid w:val="2DEE4968"/>
    <w:rsid w:val="2E8A0FF7"/>
    <w:rsid w:val="2E92444C"/>
    <w:rsid w:val="2F34284F"/>
    <w:rsid w:val="2F462582"/>
    <w:rsid w:val="2F4B5DEA"/>
    <w:rsid w:val="30112B90"/>
    <w:rsid w:val="30AC28B9"/>
    <w:rsid w:val="30B83D2A"/>
    <w:rsid w:val="30CC121C"/>
    <w:rsid w:val="30ED7159"/>
    <w:rsid w:val="31BA06E0"/>
    <w:rsid w:val="31E57C3B"/>
    <w:rsid w:val="31FC60CF"/>
    <w:rsid w:val="32A01FA9"/>
    <w:rsid w:val="3341553A"/>
    <w:rsid w:val="337A0A4C"/>
    <w:rsid w:val="33B26438"/>
    <w:rsid w:val="34911C6B"/>
    <w:rsid w:val="34D81ECE"/>
    <w:rsid w:val="35337105"/>
    <w:rsid w:val="35957DBF"/>
    <w:rsid w:val="35AA6E05"/>
    <w:rsid w:val="35BB19E2"/>
    <w:rsid w:val="36254176"/>
    <w:rsid w:val="36774C43"/>
    <w:rsid w:val="369D49C9"/>
    <w:rsid w:val="36AD0757"/>
    <w:rsid w:val="372238D5"/>
    <w:rsid w:val="383E4B44"/>
    <w:rsid w:val="384D4762"/>
    <w:rsid w:val="38AC16A8"/>
    <w:rsid w:val="392161DB"/>
    <w:rsid w:val="3A2A31CC"/>
    <w:rsid w:val="3A563FC1"/>
    <w:rsid w:val="3A6C05AB"/>
    <w:rsid w:val="3A744447"/>
    <w:rsid w:val="3AC56A51"/>
    <w:rsid w:val="3CE533DA"/>
    <w:rsid w:val="3D1E744E"/>
    <w:rsid w:val="3D7D7AB7"/>
    <w:rsid w:val="3E10092B"/>
    <w:rsid w:val="3E281D66"/>
    <w:rsid w:val="3E90381A"/>
    <w:rsid w:val="3EAE5A4E"/>
    <w:rsid w:val="3EB5346B"/>
    <w:rsid w:val="3EE85404"/>
    <w:rsid w:val="3F43088C"/>
    <w:rsid w:val="3FF656F1"/>
    <w:rsid w:val="40760F1D"/>
    <w:rsid w:val="41720FB5"/>
    <w:rsid w:val="41D4552E"/>
    <w:rsid w:val="43355282"/>
    <w:rsid w:val="439C4A38"/>
    <w:rsid w:val="443552D4"/>
    <w:rsid w:val="458734FE"/>
    <w:rsid w:val="45B839F8"/>
    <w:rsid w:val="45B85DAB"/>
    <w:rsid w:val="45D27A5C"/>
    <w:rsid w:val="465677C5"/>
    <w:rsid w:val="46853445"/>
    <w:rsid w:val="46A77952"/>
    <w:rsid w:val="471B73A3"/>
    <w:rsid w:val="475E767E"/>
    <w:rsid w:val="47F04301"/>
    <w:rsid w:val="48435459"/>
    <w:rsid w:val="48DD58AD"/>
    <w:rsid w:val="498802FA"/>
    <w:rsid w:val="4A7C2DC2"/>
    <w:rsid w:val="4B375749"/>
    <w:rsid w:val="4B4D3E54"/>
    <w:rsid w:val="4C123554"/>
    <w:rsid w:val="4D203FBB"/>
    <w:rsid w:val="4D251BC4"/>
    <w:rsid w:val="4D2C7D80"/>
    <w:rsid w:val="4D4B6D6F"/>
    <w:rsid w:val="4DFC0584"/>
    <w:rsid w:val="4E533A73"/>
    <w:rsid w:val="4FF83086"/>
    <w:rsid w:val="4FFF435B"/>
    <w:rsid w:val="504D3319"/>
    <w:rsid w:val="50AF285D"/>
    <w:rsid w:val="50CB6419"/>
    <w:rsid w:val="515F3303"/>
    <w:rsid w:val="5195707B"/>
    <w:rsid w:val="51D13CFE"/>
    <w:rsid w:val="520C2507"/>
    <w:rsid w:val="52177456"/>
    <w:rsid w:val="52336E61"/>
    <w:rsid w:val="523A3680"/>
    <w:rsid w:val="53966FC4"/>
    <w:rsid w:val="53E144A4"/>
    <w:rsid w:val="542E39C2"/>
    <w:rsid w:val="54362B2C"/>
    <w:rsid w:val="56BB4D49"/>
    <w:rsid w:val="570153C4"/>
    <w:rsid w:val="570C1492"/>
    <w:rsid w:val="570C5CDB"/>
    <w:rsid w:val="57272975"/>
    <w:rsid w:val="578A30A4"/>
    <w:rsid w:val="584A1AD3"/>
    <w:rsid w:val="59B7237F"/>
    <w:rsid w:val="5A1C31E9"/>
    <w:rsid w:val="5A2267DB"/>
    <w:rsid w:val="5AC80A85"/>
    <w:rsid w:val="5B7B6323"/>
    <w:rsid w:val="5B9062AB"/>
    <w:rsid w:val="5BBE3939"/>
    <w:rsid w:val="5BD50D5A"/>
    <w:rsid w:val="5C8D3F3B"/>
    <w:rsid w:val="5CE91697"/>
    <w:rsid w:val="5D814602"/>
    <w:rsid w:val="5DEA21A7"/>
    <w:rsid w:val="5E0100AE"/>
    <w:rsid w:val="5E505434"/>
    <w:rsid w:val="5F183558"/>
    <w:rsid w:val="5F4B4EC7"/>
    <w:rsid w:val="604858AA"/>
    <w:rsid w:val="60912DAE"/>
    <w:rsid w:val="610B0DB2"/>
    <w:rsid w:val="61500EBB"/>
    <w:rsid w:val="631A2DA9"/>
    <w:rsid w:val="637349EC"/>
    <w:rsid w:val="6401649C"/>
    <w:rsid w:val="64996C5F"/>
    <w:rsid w:val="64C35653"/>
    <w:rsid w:val="651A43D8"/>
    <w:rsid w:val="65B14822"/>
    <w:rsid w:val="65E16FBD"/>
    <w:rsid w:val="66FE4F15"/>
    <w:rsid w:val="67092027"/>
    <w:rsid w:val="670C5884"/>
    <w:rsid w:val="67AE7AD6"/>
    <w:rsid w:val="67D11094"/>
    <w:rsid w:val="686228FF"/>
    <w:rsid w:val="68626F50"/>
    <w:rsid w:val="68CA1553"/>
    <w:rsid w:val="690F7322"/>
    <w:rsid w:val="696A37E6"/>
    <w:rsid w:val="69AC334B"/>
    <w:rsid w:val="69DD52B6"/>
    <w:rsid w:val="69FE7127"/>
    <w:rsid w:val="6A763298"/>
    <w:rsid w:val="6AA87672"/>
    <w:rsid w:val="6B0F38F1"/>
    <w:rsid w:val="6B457FEE"/>
    <w:rsid w:val="6B7C2DA0"/>
    <w:rsid w:val="6BAC119F"/>
    <w:rsid w:val="6BBE4C73"/>
    <w:rsid w:val="6C31213D"/>
    <w:rsid w:val="6D212F68"/>
    <w:rsid w:val="6D761CA9"/>
    <w:rsid w:val="6E0634E2"/>
    <w:rsid w:val="6E8C1058"/>
    <w:rsid w:val="6EB2165A"/>
    <w:rsid w:val="6F5A2F04"/>
    <w:rsid w:val="6FAA5C3A"/>
    <w:rsid w:val="702F4391"/>
    <w:rsid w:val="703D260A"/>
    <w:rsid w:val="70655197"/>
    <w:rsid w:val="70CD591E"/>
    <w:rsid w:val="710F044A"/>
    <w:rsid w:val="722440F4"/>
    <w:rsid w:val="727662A7"/>
    <w:rsid w:val="727B7457"/>
    <w:rsid w:val="72AB5F51"/>
    <w:rsid w:val="74081166"/>
    <w:rsid w:val="74582108"/>
    <w:rsid w:val="74BF4BC8"/>
    <w:rsid w:val="750E2950"/>
    <w:rsid w:val="751029E3"/>
    <w:rsid w:val="76690DDC"/>
    <w:rsid w:val="772F5D06"/>
    <w:rsid w:val="773D55E5"/>
    <w:rsid w:val="77634289"/>
    <w:rsid w:val="776B5CAF"/>
    <w:rsid w:val="781E0F73"/>
    <w:rsid w:val="798B088A"/>
    <w:rsid w:val="79F24465"/>
    <w:rsid w:val="7A6F34F2"/>
    <w:rsid w:val="7A7E7D04"/>
    <w:rsid w:val="7AA4290D"/>
    <w:rsid w:val="7AD73AD7"/>
    <w:rsid w:val="7B5A54E3"/>
    <w:rsid w:val="7BC848D9"/>
    <w:rsid w:val="7BCB7231"/>
    <w:rsid w:val="7CC81CBD"/>
    <w:rsid w:val="7D2012E9"/>
    <w:rsid w:val="7D817FF3"/>
    <w:rsid w:val="7EA907F9"/>
    <w:rsid w:val="7EC64112"/>
    <w:rsid w:val="7EEA6A27"/>
    <w:rsid w:val="7EEA7C71"/>
    <w:rsid w:val="7EFB200E"/>
    <w:rsid w:val="7F032C71"/>
    <w:rsid w:val="7F0F1615"/>
    <w:rsid w:val="7F645716"/>
    <w:rsid w:val="7F8939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qFormat="1" w:uiPriority="39" w:semiHidden="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semiHidden="0" w:name="table of authorities"/>
    <w:lsdException w:uiPriority="0" w:name="macro"/>
    <w:lsdException w:uiPriority="0" w:name="toa heading"/>
    <w:lsdException w:uiPriority="0" w:semiHidden="0" w:name="List"/>
    <w:lsdException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0" w:semiHidden="0" w:name="Body Text Indent"/>
    <w:lsdException w:uiPriority="0" w:name="List Continue"/>
    <w:lsdException w:uiPriority="0" w:semiHidden="0" w:name="List Continue 2"/>
    <w:lsdException w:uiPriority="0" w:semiHidden="0" w:name="List Continue 3"/>
    <w:lsdException w:uiPriority="0" w:semiHidden="0" w:name="List Continue 4"/>
    <w:lsdException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uiPriority="0" w:name="HTML Cite"/>
    <w:lsdException w:qFormat="1" w:uiPriority="0" w:name="HTML Code"/>
    <w:lsdException w:uiPriority="0" w:name="HTML Definition"/>
    <w:lsdException w:qFormat="1" w:uiPriority="0" w:name="HTML Keyboard"/>
    <w:lsdException w:uiPriority="0" w:name="HTML Preformatted"/>
    <w:lsdException w:qFormat="1" w:uiPriority="0" w:name="HTML Sample"/>
    <w:lsdException w:qFormat="1"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160" w:line="360" w:lineRule="auto"/>
      <w:ind w:firstLine="260" w:firstLineChars="200"/>
    </w:pPr>
    <w:rPr>
      <w:rFonts w:ascii="宋体" w:hAnsi="宋体" w:eastAsia="宋体" w:cs="宋体"/>
      <w:sz w:val="24"/>
      <w:szCs w:val="22"/>
      <w:lang w:val="zh-CN" w:eastAsia="zh-CN" w:bidi="zh-CN"/>
    </w:rPr>
  </w:style>
  <w:style w:type="paragraph" w:styleId="2">
    <w:name w:val="heading 1"/>
    <w:next w:val="1"/>
    <w:qFormat/>
    <w:uiPriority w:val="1"/>
    <w:pPr>
      <w:widowControl w:val="0"/>
      <w:spacing w:before="120" w:after="120" w:line="278" w:lineRule="auto"/>
      <w:jc w:val="center"/>
      <w:outlineLvl w:val="0"/>
    </w:pPr>
    <w:rPr>
      <w:rFonts w:ascii="宋体" w:hAnsi="宋体" w:eastAsia="宋体" w:cs="宋体"/>
      <w:b/>
      <w:bCs/>
      <w:kern w:val="44"/>
      <w:sz w:val="32"/>
      <w:szCs w:val="30"/>
      <w:lang w:val="en-US" w:eastAsia="zh-CN" w:bidi="ar-SA"/>
    </w:rPr>
  </w:style>
  <w:style w:type="paragraph" w:styleId="3">
    <w:name w:val="heading 2"/>
    <w:next w:val="1"/>
    <w:qFormat/>
    <w:uiPriority w:val="1"/>
    <w:pPr>
      <w:widowControl w:val="0"/>
      <w:autoSpaceDE w:val="0"/>
      <w:autoSpaceDN w:val="0"/>
      <w:spacing w:after="160" w:line="360" w:lineRule="auto"/>
      <w:ind w:firstLine="260" w:firstLineChars="200"/>
      <w:outlineLvl w:val="1"/>
    </w:pPr>
    <w:rPr>
      <w:rFonts w:ascii="Times New Roman" w:hAnsi="Times New Roman" w:eastAsia="宋体" w:cs="Times New Roman"/>
      <w:b/>
      <w:sz w:val="24"/>
      <w:lang w:val="en-US" w:eastAsia="zh-CN" w:bidi="ar-SA"/>
    </w:rPr>
  </w:style>
  <w:style w:type="paragraph" w:styleId="4">
    <w:name w:val="heading 3"/>
    <w:next w:val="1"/>
    <w:qFormat/>
    <w:uiPriority w:val="1"/>
    <w:pPr>
      <w:widowControl w:val="0"/>
      <w:autoSpaceDE w:val="0"/>
      <w:autoSpaceDN w:val="0"/>
      <w:spacing w:after="160" w:line="360" w:lineRule="auto"/>
      <w:ind w:firstLine="260" w:firstLineChars="200"/>
      <w:outlineLvl w:val="2"/>
    </w:pPr>
    <w:rPr>
      <w:rFonts w:ascii="Times New Roman" w:hAnsi="Times New Roman" w:eastAsia="宋体" w:cs="Times New Roman"/>
      <w:b/>
      <w:sz w:val="24"/>
      <w:lang w:val="en-US" w:eastAsia="zh-CN" w:bidi="ar-SA"/>
    </w:rPr>
  </w:style>
  <w:style w:type="paragraph" w:styleId="5">
    <w:name w:val="heading 4"/>
    <w:basedOn w:val="1"/>
    <w:next w:val="1"/>
    <w:qFormat/>
    <w:uiPriority w:val="1"/>
    <w:pPr>
      <w:spacing w:after="120"/>
      <w:outlineLvl w:val="3"/>
    </w:pPr>
    <w:rPr>
      <w:rFonts w:ascii="Times New Roman" w:hAnsi="Times New Roman" w:cs="Times New Roman"/>
    </w:rPr>
  </w:style>
  <w:style w:type="paragraph" w:styleId="6">
    <w:name w:val="heading 5"/>
    <w:next w:val="1"/>
    <w:link w:val="74"/>
    <w:unhideWhenUsed/>
    <w:qFormat/>
    <w:uiPriority w:val="0"/>
    <w:pPr>
      <w:widowControl w:val="0"/>
      <w:spacing w:after="120" w:line="440" w:lineRule="exact"/>
      <w:outlineLvl w:val="4"/>
    </w:pPr>
    <w:rPr>
      <w:rFonts w:ascii="Times New Roman" w:hAnsi="Times New Roman" w:eastAsia="宋体" w:cs="Times New Roman"/>
      <w:sz w:val="24"/>
      <w:lang w:val="en-US" w:eastAsia="zh-CN" w:bidi="ar-SA"/>
    </w:rPr>
  </w:style>
  <w:style w:type="paragraph" w:styleId="7">
    <w:name w:val="heading 6"/>
    <w:next w:val="1"/>
    <w:semiHidden/>
    <w:unhideWhenUsed/>
    <w:qFormat/>
    <w:uiPriority w:val="0"/>
    <w:pPr>
      <w:widowControl w:val="0"/>
      <w:spacing w:after="120" w:line="360" w:lineRule="auto"/>
      <w:outlineLvl w:val="5"/>
    </w:pPr>
    <w:rPr>
      <w:rFonts w:ascii="Times New Roman" w:hAnsi="Times New Roman" w:eastAsia="宋体" w:cs="Times New Roman"/>
      <w:sz w:val="24"/>
      <w:lang w:val="en-US" w:eastAsia="zh-CN" w:bidi="ar-SA"/>
    </w:rPr>
  </w:style>
  <w:style w:type="paragraph" w:styleId="8">
    <w:name w:val="heading 7"/>
    <w:next w:val="1"/>
    <w:semiHidden/>
    <w:unhideWhenUsed/>
    <w:qFormat/>
    <w:uiPriority w:val="0"/>
    <w:pPr>
      <w:widowControl w:val="0"/>
      <w:spacing w:after="120" w:line="360" w:lineRule="auto"/>
      <w:outlineLvl w:val="6"/>
    </w:pPr>
    <w:rPr>
      <w:rFonts w:ascii="Times New Roman" w:hAnsi="Times New Roman" w:eastAsia="宋体" w:cs="Times New Roman"/>
      <w:sz w:val="24"/>
      <w:lang w:val="en-US" w:eastAsia="zh-CN" w:bidi="ar-SA"/>
    </w:rPr>
  </w:style>
  <w:style w:type="paragraph" w:styleId="9">
    <w:name w:val="heading 8"/>
    <w:next w:val="1"/>
    <w:semiHidden/>
    <w:unhideWhenUsed/>
    <w:qFormat/>
    <w:uiPriority w:val="0"/>
    <w:pPr>
      <w:widowControl w:val="0"/>
      <w:spacing w:after="120" w:line="360" w:lineRule="auto"/>
      <w:outlineLvl w:val="7"/>
    </w:pPr>
    <w:rPr>
      <w:rFonts w:ascii="Times New Roman" w:hAnsi="Times New Roman" w:eastAsia="宋体" w:cs="Times New Roman"/>
      <w:sz w:val="24"/>
      <w:lang w:val="en-US" w:eastAsia="zh-CN" w:bidi="ar-SA"/>
    </w:rPr>
  </w:style>
  <w:style w:type="paragraph" w:styleId="10">
    <w:name w:val="heading 9"/>
    <w:next w:val="1"/>
    <w:semiHidden/>
    <w:unhideWhenUsed/>
    <w:qFormat/>
    <w:uiPriority w:val="0"/>
    <w:pPr>
      <w:widowControl w:val="0"/>
      <w:spacing w:after="120" w:line="360" w:lineRule="auto"/>
      <w:outlineLvl w:val="8"/>
    </w:pPr>
    <w:rPr>
      <w:rFonts w:ascii="Times New Roman" w:hAnsi="Times New Roman" w:eastAsia="宋体" w:cs="Times New Roman"/>
      <w:sz w:val="24"/>
      <w:lang w:val="en-US" w:eastAsia="zh-CN"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44"/>
    <w:qFormat/>
    <w:uiPriority w:val="99"/>
    <w:pPr>
      <w:ind w:firstLine="420"/>
    </w:pPr>
    <w:rPr>
      <w:b/>
      <w:szCs w:val="20"/>
    </w:rPr>
  </w:style>
  <w:style w:type="paragraph" w:styleId="12">
    <w:name w:val="annotation text"/>
    <w:basedOn w:val="1"/>
    <w:link w:val="45"/>
    <w:qFormat/>
    <w:uiPriority w:val="99"/>
    <w:rPr>
      <w:sz w:val="20"/>
      <w:szCs w:val="24"/>
    </w:rPr>
  </w:style>
  <w:style w:type="paragraph" w:styleId="13">
    <w:name w:val="Body Text"/>
    <w:basedOn w:val="1"/>
    <w:link w:val="46"/>
    <w:qFormat/>
    <w:uiPriority w:val="1"/>
    <w:pPr>
      <w:spacing w:after="120"/>
      <w:ind w:firstLine="420"/>
    </w:pPr>
    <w:rPr>
      <w:rFonts w:ascii="Times New Roman" w:hAnsi="Times New Roman" w:cs="Times New Roman"/>
    </w:rPr>
  </w:style>
  <w:style w:type="paragraph" w:styleId="14">
    <w:name w:val="Body Text Indent"/>
    <w:basedOn w:val="1"/>
    <w:link w:val="47"/>
    <w:unhideWhenUsed/>
    <w:qFormat/>
    <w:uiPriority w:val="0"/>
    <w:pPr>
      <w:spacing w:after="120"/>
      <w:ind w:left="420" w:leftChars="200"/>
    </w:pPr>
  </w:style>
  <w:style w:type="paragraph" w:styleId="15">
    <w:name w:val="index 4"/>
    <w:basedOn w:val="1"/>
    <w:next w:val="1"/>
    <w:unhideWhenUsed/>
    <w:qFormat/>
    <w:uiPriority w:val="99"/>
    <w:pPr>
      <w:autoSpaceDE/>
      <w:autoSpaceDN/>
      <w:spacing w:before="100" w:beforeAutospacing="1" w:after="100" w:afterAutospacing="1"/>
      <w:ind w:left="600" w:leftChars="600"/>
      <w:jc w:val="both"/>
    </w:pPr>
    <w:rPr>
      <w:rFonts w:ascii="Times New Roman" w:hAnsi="Times New Roman" w:cs="Times New Roman"/>
      <w:kern w:val="2"/>
      <w:sz w:val="21"/>
      <w:szCs w:val="21"/>
      <w:lang w:val="en-US" w:bidi="ar-SA"/>
    </w:rPr>
  </w:style>
  <w:style w:type="paragraph" w:styleId="16">
    <w:name w:val="Plain Text"/>
    <w:basedOn w:val="1"/>
    <w:link w:val="48"/>
    <w:qFormat/>
    <w:uiPriority w:val="0"/>
    <w:pPr>
      <w:autoSpaceDE/>
      <w:autoSpaceDN/>
      <w:jc w:val="both"/>
    </w:pPr>
    <w:rPr>
      <w:rFonts w:hAnsi="Courier New" w:cs="Courier New"/>
      <w:sz w:val="20"/>
      <w:szCs w:val="21"/>
      <w:lang w:val="en-US" w:bidi="ar-SA"/>
    </w:rPr>
  </w:style>
  <w:style w:type="paragraph" w:styleId="17">
    <w:name w:val="Balloon Text"/>
    <w:basedOn w:val="1"/>
    <w:link w:val="49"/>
    <w:qFormat/>
    <w:uiPriority w:val="0"/>
    <w:rPr>
      <w:sz w:val="18"/>
      <w:szCs w:val="18"/>
    </w:rPr>
  </w:style>
  <w:style w:type="paragraph" w:styleId="18">
    <w:name w:val="footer"/>
    <w:basedOn w:val="1"/>
    <w:link w:val="50"/>
    <w:qFormat/>
    <w:uiPriority w:val="0"/>
    <w:pPr>
      <w:tabs>
        <w:tab w:val="center" w:pos="4153"/>
        <w:tab w:val="right" w:pos="8306"/>
      </w:tabs>
      <w:snapToGrid w:val="0"/>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1">
    <w:name w:val="Subtitle"/>
    <w:qFormat/>
    <w:uiPriority w:val="0"/>
    <w:pPr>
      <w:widowControl w:val="0"/>
      <w:spacing w:after="240" w:line="278" w:lineRule="auto"/>
      <w:jc w:val="center"/>
    </w:pPr>
    <w:rPr>
      <w:rFonts w:ascii="Times New Roman" w:hAnsi="Times New Roman" w:eastAsia="宋体" w:cs="Times New Roman"/>
      <w:kern w:val="28"/>
      <w:sz w:val="21"/>
      <w:lang w:val="en-US" w:eastAsia="zh-CN" w:bidi="ar-SA"/>
    </w:rPr>
  </w:style>
  <w:style w:type="paragraph" w:styleId="22">
    <w:name w:val="toc 9"/>
    <w:basedOn w:val="1"/>
    <w:next w:val="1"/>
    <w:unhideWhenUsed/>
    <w:qFormat/>
    <w:uiPriority w:val="39"/>
    <w:pPr>
      <w:ind w:left="3360" w:leftChars="1600"/>
      <w:jc w:val="both"/>
    </w:pPr>
    <w:rPr>
      <w:rFonts w:ascii="Calibri" w:hAnsi="Calibri"/>
      <w:kern w:val="2"/>
      <w:sz w:val="21"/>
    </w:rPr>
  </w:style>
  <w:style w:type="paragraph" w:styleId="23">
    <w:name w:val="Normal (Web)"/>
    <w:basedOn w:val="1"/>
    <w:qFormat/>
    <w:uiPriority w:val="0"/>
    <w:pPr>
      <w:autoSpaceDE/>
      <w:autoSpaceDN/>
      <w:spacing w:beforeAutospacing="1" w:afterAutospacing="1"/>
    </w:pPr>
    <w:rPr>
      <w:rFonts w:ascii="Calibri" w:hAnsi="Calibri" w:cs="Times New Roman"/>
      <w:szCs w:val="24"/>
      <w:lang w:val="en-US" w:bidi="ar-SA"/>
    </w:rPr>
  </w:style>
  <w:style w:type="paragraph" w:styleId="24">
    <w:name w:val="Title"/>
    <w:qFormat/>
    <w:uiPriority w:val="0"/>
    <w:pPr>
      <w:spacing w:before="240" w:after="240" w:line="278" w:lineRule="auto"/>
      <w:jc w:val="center"/>
    </w:pPr>
    <w:rPr>
      <w:rFonts w:ascii="Times New Roman" w:hAnsi="Times New Roman" w:eastAsia="宋体" w:cs="Times New Roman"/>
      <w:b/>
      <w:sz w:val="32"/>
      <w:lang w:val="en-US" w:eastAsia="zh-CN" w:bidi="ar-SA"/>
    </w:rPr>
  </w:style>
  <w:style w:type="paragraph" w:styleId="25">
    <w:name w:val="annotation subject"/>
    <w:basedOn w:val="12"/>
    <w:next w:val="12"/>
    <w:link w:val="52"/>
    <w:qFormat/>
    <w:uiPriority w:val="0"/>
    <w:rPr>
      <w:b/>
      <w:bCs/>
      <w:sz w:val="22"/>
      <w:szCs w:val="22"/>
    </w:rPr>
  </w:style>
  <w:style w:type="paragraph" w:styleId="26">
    <w:name w:val="Body Text First Indent"/>
    <w:basedOn w:val="13"/>
    <w:link w:val="53"/>
    <w:unhideWhenUsed/>
    <w:qFormat/>
    <w:uiPriority w:val="0"/>
    <w:pPr>
      <w:ind w:firstLine="100" w:firstLineChars="100"/>
    </w:pPr>
    <w:rPr>
      <w:sz w:val="22"/>
    </w:rPr>
  </w:style>
  <w:style w:type="paragraph" w:styleId="27">
    <w:name w:val="Body Text First Indent 2"/>
    <w:basedOn w:val="14"/>
    <w:qFormat/>
    <w:uiPriority w:val="0"/>
    <w:pPr>
      <w:ind w:firstLine="420"/>
    </w:pPr>
    <w:rPr>
      <w:rFonts w:ascii="Calibri" w:hAnsi="Calibri"/>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FollowedHyperlink"/>
    <w:basedOn w:val="30"/>
    <w:semiHidden/>
    <w:unhideWhenUsed/>
    <w:qFormat/>
    <w:uiPriority w:val="0"/>
    <w:rPr>
      <w:color w:val="800080"/>
      <w:u w:val="none"/>
    </w:rPr>
  </w:style>
  <w:style w:type="character" w:styleId="33">
    <w:name w:val="Emphasis"/>
    <w:basedOn w:val="30"/>
    <w:qFormat/>
    <w:uiPriority w:val="20"/>
    <w:rPr>
      <w:i/>
      <w:iCs/>
    </w:rPr>
  </w:style>
  <w:style w:type="character" w:styleId="34">
    <w:name w:val="HTML Typewriter"/>
    <w:basedOn w:val="30"/>
    <w:semiHidden/>
    <w:unhideWhenUsed/>
    <w:qFormat/>
    <w:uiPriority w:val="0"/>
    <w:rPr>
      <w:rFonts w:hint="default" w:ascii="monospace" w:hAnsi="monospace" w:eastAsia="monospace" w:cs="monospace"/>
      <w:sz w:val="20"/>
    </w:rPr>
  </w:style>
  <w:style w:type="character" w:styleId="35">
    <w:name w:val="HTML Acronym"/>
    <w:basedOn w:val="30"/>
    <w:semiHidden/>
    <w:unhideWhenUsed/>
    <w:qFormat/>
    <w:uiPriority w:val="0"/>
  </w:style>
  <w:style w:type="character" w:styleId="36">
    <w:name w:val="Hyperlink"/>
    <w:basedOn w:val="30"/>
    <w:qFormat/>
    <w:uiPriority w:val="0"/>
    <w:rPr>
      <w:color w:val="0000FF"/>
      <w:u w:val="single"/>
    </w:rPr>
  </w:style>
  <w:style w:type="character" w:styleId="37">
    <w:name w:val="HTML Code"/>
    <w:basedOn w:val="30"/>
    <w:semiHidden/>
    <w:unhideWhenUsed/>
    <w:qFormat/>
    <w:uiPriority w:val="0"/>
    <w:rPr>
      <w:rFonts w:hint="default" w:ascii="monospace" w:hAnsi="monospace" w:eastAsia="monospace" w:cs="monospace"/>
      <w:sz w:val="20"/>
    </w:rPr>
  </w:style>
  <w:style w:type="character" w:styleId="38">
    <w:name w:val="annotation reference"/>
    <w:basedOn w:val="30"/>
    <w:qFormat/>
    <w:uiPriority w:val="0"/>
    <w:rPr>
      <w:sz w:val="21"/>
      <w:szCs w:val="21"/>
    </w:rPr>
  </w:style>
  <w:style w:type="character" w:styleId="39">
    <w:name w:val="HTML Keyboard"/>
    <w:basedOn w:val="30"/>
    <w:semiHidden/>
    <w:unhideWhenUsed/>
    <w:qFormat/>
    <w:uiPriority w:val="0"/>
    <w:rPr>
      <w:rFonts w:hint="default" w:ascii="monospace" w:hAnsi="monospace" w:eastAsia="monospace" w:cs="monospace"/>
      <w:sz w:val="20"/>
    </w:rPr>
  </w:style>
  <w:style w:type="character" w:styleId="40">
    <w:name w:val="HTML Sample"/>
    <w:basedOn w:val="30"/>
    <w:semiHidden/>
    <w:unhideWhenUsed/>
    <w:qFormat/>
    <w:uiPriority w:val="0"/>
    <w:rPr>
      <w:rFonts w:ascii="monospace" w:hAnsi="monospace" w:eastAsia="monospace" w:cs="monospace"/>
    </w:rPr>
  </w:style>
  <w:style w:type="paragraph" w:styleId="41">
    <w:name w:val="List Paragraph"/>
    <w:basedOn w:val="1"/>
    <w:qFormat/>
    <w:uiPriority w:val="34"/>
    <w:pPr>
      <w:ind w:left="223" w:firstLine="420"/>
    </w:pPr>
  </w:style>
  <w:style w:type="paragraph" w:customStyle="1" w:styleId="42">
    <w:name w:val="[Normal]"/>
    <w:qFormat/>
    <w:uiPriority w:val="99"/>
    <w:pPr>
      <w:spacing w:after="160" w:line="278" w:lineRule="auto"/>
    </w:pPr>
    <w:rPr>
      <w:rFonts w:ascii="方正仿宋简体" w:hAnsi="方正仿宋简体" w:eastAsia="方正仿宋简体" w:cs="Courier New"/>
      <w:sz w:val="24"/>
      <w:szCs w:val="22"/>
      <w:lang w:val="zh-CN" w:eastAsia="zh-CN" w:bidi="ar-SA"/>
    </w:rPr>
  </w:style>
  <w:style w:type="paragraph" w:customStyle="1" w:styleId="43">
    <w:name w:val="正文1"/>
    <w:next w:val="1"/>
    <w:qFormat/>
    <w:uiPriority w:val="0"/>
    <w:pPr>
      <w:widowControl w:val="0"/>
      <w:spacing w:after="160" w:line="278" w:lineRule="auto"/>
      <w:jc w:val="both"/>
    </w:pPr>
    <w:rPr>
      <w:rFonts w:ascii="Calibri" w:hAnsi="Calibri" w:eastAsia="宋体" w:cs="Times New Roman"/>
      <w:lang w:val="en-US" w:eastAsia="zh-CN" w:bidi="ar-SA"/>
    </w:rPr>
  </w:style>
  <w:style w:type="character" w:customStyle="1" w:styleId="44">
    <w:name w:val="正文缩进 字符"/>
    <w:link w:val="11"/>
    <w:qFormat/>
    <w:locked/>
    <w:uiPriority w:val="99"/>
    <w:rPr>
      <w:rFonts w:ascii="宋体" w:hAnsi="宋体" w:cs="宋体"/>
      <w:b/>
      <w:sz w:val="24"/>
      <w:lang w:val="zh-CN" w:bidi="zh-CN"/>
    </w:rPr>
  </w:style>
  <w:style w:type="character" w:customStyle="1" w:styleId="45">
    <w:name w:val="批注文字 字符1"/>
    <w:basedOn w:val="30"/>
    <w:link w:val="12"/>
    <w:qFormat/>
    <w:uiPriority w:val="0"/>
    <w:rPr>
      <w:rFonts w:ascii="宋体" w:hAnsi="宋体" w:cs="宋体"/>
      <w:szCs w:val="24"/>
      <w:lang w:val="zh-CN" w:bidi="zh-CN"/>
    </w:rPr>
  </w:style>
  <w:style w:type="character" w:customStyle="1" w:styleId="46">
    <w:name w:val="正文文本 字符"/>
    <w:basedOn w:val="30"/>
    <w:link w:val="13"/>
    <w:qFormat/>
    <w:uiPriority w:val="1"/>
    <w:rPr>
      <w:rFonts w:ascii="宋体" w:hAnsi="宋体" w:cs="宋体"/>
      <w:sz w:val="21"/>
      <w:szCs w:val="21"/>
      <w:lang w:val="zh-CN" w:bidi="zh-CN"/>
    </w:rPr>
  </w:style>
  <w:style w:type="character" w:customStyle="1" w:styleId="47">
    <w:name w:val="正文文本缩进 字符"/>
    <w:basedOn w:val="30"/>
    <w:link w:val="14"/>
    <w:semiHidden/>
    <w:qFormat/>
    <w:uiPriority w:val="0"/>
    <w:rPr>
      <w:rFonts w:ascii="宋体" w:hAnsi="宋体" w:cs="宋体"/>
      <w:sz w:val="22"/>
      <w:szCs w:val="22"/>
      <w:lang w:val="zh-CN" w:bidi="zh-CN"/>
    </w:rPr>
  </w:style>
  <w:style w:type="character" w:customStyle="1" w:styleId="48">
    <w:name w:val="纯文本 字符1"/>
    <w:link w:val="16"/>
    <w:qFormat/>
    <w:locked/>
    <w:uiPriority w:val="0"/>
    <w:rPr>
      <w:rFonts w:ascii="宋体" w:hAnsi="Courier New" w:cs="Courier New"/>
      <w:szCs w:val="21"/>
    </w:rPr>
  </w:style>
  <w:style w:type="character" w:customStyle="1" w:styleId="49">
    <w:name w:val="批注框文本 字符"/>
    <w:basedOn w:val="30"/>
    <w:link w:val="17"/>
    <w:qFormat/>
    <w:uiPriority w:val="0"/>
    <w:rPr>
      <w:rFonts w:ascii="宋体" w:hAnsi="宋体" w:cs="宋体"/>
      <w:sz w:val="18"/>
      <w:szCs w:val="18"/>
      <w:lang w:val="zh-CN" w:bidi="zh-CN"/>
    </w:rPr>
  </w:style>
  <w:style w:type="character" w:customStyle="1" w:styleId="50">
    <w:name w:val="页脚 字符"/>
    <w:basedOn w:val="30"/>
    <w:link w:val="18"/>
    <w:qFormat/>
    <w:uiPriority w:val="0"/>
    <w:rPr>
      <w:rFonts w:ascii="宋体" w:hAnsi="宋体" w:cs="宋体"/>
      <w:sz w:val="18"/>
      <w:szCs w:val="18"/>
      <w:lang w:val="zh-CN" w:bidi="zh-CN"/>
    </w:rPr>
  </w:style>
  <w:style w:type="character" w:customStyle="1" w:styleId="51">
    <w:name w:val="页眉 字符"/>
    <w:basedOn w:val="30"/>
    <w:link w:val="20"/>
    <w:qFormat/>
    <w:uiPriority w:val="0"/>
    <w:rPr>
      <w:rFonts w:ascii="宋体" w:hAnsi="宋体" w:cs="宋体"/>
      <w:sz w:val="18"/>
      <w:szCs w:val="18"/>
      <w:lang w:val="zh-CN" w:bidi="zh-CN"/>
    </w:rPr>
  </w:style>
  <w:style w:type="character" w:customStyle="1" w:styleId="52">
    <w:name w:val="批注主题 字符"/>
    <w:basedOn w:val="45"/>
    <w:link w:val="25"/>
    <w:qFormat/>
    <w:uiPriority w:val="0"/>
    <w:rPr>
      <w:rFonts w:ascii="宋体" w:hAnsi="宋体" w:cs="宋体"/>
      <w:szCs w:val="24"/>
      <w:lang w:val="zh-CN" w:bidi="zh-CN"/>
    </w:rPr>
  </w:style>
  <w:style w:type="character" w:customStyle="1" w:styleId="53">
    <w:name w:val="正文文本首行缩进 字符"/>
    <w:basedOn w:val="46"/>
    <w:link w:val="26"/>
    <w:semiHidden/>
    <w:qFormat/>
    <w:uiPriority w:val="0"/>
    <w:rPr>
      <w:rFonts w:ascii="宋体" w:hAnsi="宋体" w:cs="宋体"/>
      <w:sz w:val="22"/>
      <w:szCs w:val="22"/>
      <w:lang w:val="zh-CN" w:bidi="zh-CN"/>
    </w:rPr>
  </w:style>
  <w:style w:type="table" w:customStyle="1" w:styleId="54">
    <w:name w:val="Table Normal"/>
    <w:unhideWhenUsed/>
    <w:qFormat/>
    <w:uiPriority w:val="2"/>
    <w:tblPr>
      <w:tblCellMar>
        <w:top w:w="0" w:type="dxa"/>
        <w:left w:w="0" w:type="dxa"/>
        <w:bottom w:w="0" w:type="dxa"/>
        <w:right w:w="0" w:type="dxa"/>
      </w:tblCellMar>
    </w:tblPr>
  </w:style>
  <w:style w:type="paragraph" w:customStyle="1" w:styleId="55">
    <w:name w:val="列表段落1"/>
    <w:basedOn w:val="1"/>
    <w:qFormat/>
    <w:uiPriority w:val="34"/>
    <w:pPr>
      <w:ind w:left="223" w:firstLine="420"/>
    </w:pPr>
  </w:style>
  <w:style w:type="paragraph" w:customStyle="1" w:styleId="56">
    <w:name w:val="Table Paragraph"/>
    <w:basedOn w:val="1"/>
    <w:qFormat/>
    <w:uiPriority w:val="1"/>
  </w:style>
  <w:style w:type="paragraph" w:customStyle="1" w:styleId="57">
    <w:name w:val="首行缩进"/>
    <w:basedOn w:val="1"/>
    <w:next w:val="1"/>
    <w:qFormat/>
    <w:uiPriority w:val="0"/>
    <w:pPr>
      <w:ind w:firstLine="480"/>
    </w:pPr>
    <w:rPr>
      <w:rFonts w:eastAsia="Calibri"/>
      <w:sz w:val="20"/>
      <w:szCs w:val="20"/>
    </w:rPr>
  </w:style>
  <w:style w:type="paragraph" w:customStyle="1" w:styleId="58">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character" w:customStyle="1" w:styleId="59">
    <w:name w:val="font21"/>
    <w:basedOn w:val="30"/>
    <w:qFormat/>
    <w:uiPriority w:val="0"/>
    <w:rPr>
      <w:rFonts w:hint="eastAsia" w:ascii="宋体" w:hAnsi="宋体" w:eastAsia="宋体" w:cs="宋体"/>
      <w:color w:val="000000"/>
      <w:sz w:val="22"/>
      <w:szCs w:val="22"/>
      <w:u w:val="none"/>
    </w:rPr>
  </w:style>
  <w:style w:type="character" w:customStyle="1" w:styleId="60">
    <w:name w:val="纯文本 字符"/>
    <w:basedOn w:val="30"/>
    <w:semiHidden/>
    <w:qFormat/>
    <w:uiPriority w:val="0"/>
    <w:rPr>
      <w:rFonts w:ascii="宋体" w:hAnsi="Courier New" w:eastAsia="宋体" w:cs="Courier New"/>
      <w:sz w:val="22"/>
      <w:szCs w:val="22"/>
      <w:lang w:val="zh-CN" w:bidi="zh-CN"/>
    </w:rPr>
  </w:style>
  <w:style w:type="paragraph" w:customStyle="1" w:styleId="61">
    <w:name w:val="pa-0"/>
    <w:basedOn w:val="1"/>
    <w:qFormat/>
    <w:uiPriority w:val="0"/>
    <w:pPr>
      <w:widowControl/>
      <w:autoSpaceDE/>
      <w:autoSpaceDN/>
      <w:spacing w:before="150" w:after="150"/>
    </w:pPr>
    <w:rPr>
      <w:szCs w:val="24"/>
      <w:lang w:val="en-US" w:bidi="ar-SA"/>
    </w:rPr>
  </w:style>
  <w:style w:type="character" w:customStyle="1" w:styleId="62">
    <w:name w:val="批注文字 字符"/>
    <w:qFormat/>
    <w:uiPriority w:val="99"/>
    <w:rPr>
      <w:rFonts w:eastAsia="宋体"/>
      <w:kern w:val="2"/>
      <w:lang w:val="en-US" w:eastAsia="zh-CN" w:bidi="ar-SA"/>
    </w:rPr>
  </w:style>
  <w:style w:type="character" w:customStyle="1" w:styleId="63">
    <w:name w:val="fontstyle01"/>
    <w:qFormat/>
    <w:uiPriority w:val="0"/>
    <w:rPr>
      <w:rFonts w:hint="eastAsia" w:ascii="仿宋" w:hAnsi="仿宋" w:eastAsia="仿宋"/>
      <w:color w:val="000000"/>
      <w:sz w:val="28"/>
      <w:szCs w:val="28"/>
    </w:rPr>
  </w:style>
  <w:style w:type="character" w:customStyle="1" w:styleId="64">
    <w:name w:val="NormalCharacter"/>
    <w:qFormat/>
    <w:uiPriority w:val="0"/>
    <w:rPr>
      <w:rFonts w:ascii="Times New Roman" w:hAnsi="Times New Roman" w:eastAsia="宋体" w:cs="Times New Roman"/>
      <w:kern w:val="2"/>
      <w:sz w:val="21"/>
      <w:szCs w:val="22"/>
      <w:lang w:val="en-US" w:eastAsia="zh-CN" w:bidi="ar-SA"/>
    </w:rPr>
  </w:style>
  <w:style w:type="paragraph" w:customStyle="1" w:styleId="65">
    <w:name w:val="正文1_0"/>
    <w:qFormat/>
    <w:uiPriority w:val="0"/>
    <w:pPr>
      <w:widowControl w:val="0"/>
      <w:spacing w:after="160" w:line="278" w:lineRule="auto"/>
      <w:jc w:val="both"/>
    </w:pPr>
    <w:rPr>
      <w:rFonts w:ascii="Calibri" w:hAnsi="Calibri" w:eastAsia="宋体" w:cs="Times New Roman"/>
      <w:szCs w:val="24"/>
      <w:lang w:val="en-US" w:eastAsia="zh-CN" w:bidi="ar-SA"/>
    </w:rPr>
  </w:style>
  <w:style w:type="paragraph" w:customStyle="1" w:styleId="66">
    <w:name w:val="标题 61"/>
    <w:basedOn w:val="1"/>
    <w:qFormat/>
    <w:uiPriority w:val="1"/>
    <w:pPr>
      <w:ind w:left="680"/>
      <w:outlineLvl w:val="6"/>
    </w:pPr>
    <w:rPr>
      <w:szCs w:val="24"/>
      <w:lang w:val="en-US" w:bidi="ar-SA"/>
    </w:rPr>
  </w:style>
  <w:style w:type="paragraph" w:customStyle="1" w:styleId="67">
    <w:name w:val="标题 71"/>
    <w:basedOn w:val="1"/>
    <w:qFormat/>
    <w:uiPriority w:val="1"/>
    <w:pPr>
      <w:spacing w:before="93"/>
      <w:ind w:left="664" w:right="994"/>
      <w:jc w:val="center"/>
      <w:outlineLvl w:val="7"/>
    </w:pPr>
    <w:rPr>
      <w:b/>
      <w:bCs/>
      <w:lang w:val="en-US" w:bidi="ar-SA"/>
    </w:rPr>
  </w:style>
  <w:style w:type="paragraph" w:customStyle="1" w:styleId="68">
    <w:name w:val="标题 31"/>
    <w:basedOn w:val="1"/>
    <w:next w:val="69"/>
    <w:qFormat/>
    <w:uiPriority w:val="1"/>
    <w:pPr>
      <w:ind w:left="1"/>
      <w:jc w:val="center"/>
      <w:outlineLvl w:val="3"/>
    </w:pPr>
    <w:rPr>
      <w:b/>
      <w:bCs/>
      <w:sz w:val="28"/>
      <w:szCs w:val="28"/>
      <w:lang w:val="en-US" w:bidi="ar-SA"/>
    </w:rPr>
  </w:style>
  <w:style w:type="paragraph" w:customStyle="1" w:styleId="69">
    <w:name w:val="正文缩进1"/>
    <w:basedOn w:val="1"/>
    <w:qFormat/>
    <w:uiPriority w:val="0"/>
    <w:pPr>
      <w:ind w:firstLine="420"/>
    </w:pPr>
    <w:rPr>
      <w:szCs w:val="20"/>
    </w:rPr>
  </w:style>
  <w:style w:type="character" w:customStyle="1" w:styleId="70">
    <w:name w:val="标题1"/>
    <w:basedOn w:val="30"/>
    <w:qFormat/>
    <w:uiPriority w:val="0"/>
  </w:style>
  <w:style w:type="paragraph" w:customStyle="1" w:styleId="71">
    <w:name w:val="修订1"/>
    <w:hidden/>
    <w:semiHidden/>
    <w:qFormat/>
    <w:uiPriority w:val="99"/>
    <w:pPr>
      <w:spacing w:after="160" w:line="278" w:lineRule="auto"/>
    </w:pPr>
    <w:rPr>
      <w:rFonts w:ascii="宋体" w:hAnsi="宋体" w:eastAsia="宋体" w:cs="宋体"/>
      <w:sz w:val="22"/>
      <w:szCs w:val="22"/>
      <w:lang w:val="zh-CN" w:eastAsia="zh-CN" w:bidi="zh-CN"/>
    </w:rPr>
  </w:style>
  <w:style w:type="paragraph" w:customStyle="1" w:styleId="72">
    <w:name w:val="修订2"/>
    <w:hidden/>
    <w:semiHidden/>
    <w:qFormat/>
    <w:uiPriority w:val="99"/>
    <w:pPr>
      <w:spacing w:after="160" w:line="278" w:lineRule="auto"/>
    </w:pPr>
    <w:rPr>
      <w:rFonts w:ascii="宋体" w:hAnsi="宋体" w:eastAsia="宋体" w:cs="宋体"/>
      <w:sz w:val="22"/>
      <w:szCs w:val="22"/>
      <w:lang w:val="zh-CN" w:eastAsia="zh-CN" w:bidi="zh-CN"/>
    </w:rPr>
  </w:style>
  <w:style w:type="character" w:customStyle="1" w:styleId="73">
    <w:name w:val="font11"/>
    <w:basedOn w:val="30"/>
    <w:qFormat/>
    <w:uiPriority w:val="0"/>
    <w:rPr>
      <w:rFonts w:hint="eastAsia" w:ascii="微软雅黑" w:hAnsi="微软雅黑" w:eastAsia="微软雅黑" w:cs="微软雅黑"/>
      <w:b/>
      <w:bCs/>
      <w:color w:val="000000"/>
      <w:sz w:val="18"/>
      <w:szCs w:val="18"/>
      <w:u w:val="none"/>
    </w:rPr>
  </w:style>
  <w:style w:type="character" w:customStyle="1" w:styleId="74">
    <w:name w:val="标题 5 字符"/>
    <w:basedOn w:val="30"/>
    <w:link w:val="6"/>
    <w:semiHidden/>
    <w:qFormat/>
    <w:uiPriority w:val="0"/>
    <w:rPr>
      <w:rFonts w:ascii="宋体" w:hAnsi="宋体" w:cs="宋体"/>
      <w:b/>
      <w:bCs/>
      <w:sz w:val="28"/>
      <w:szCs w:val="28"/>
      <w:lang w:val="zh-CN" w:bidi="zh-CN"/>
    </w:rPr>
  </w:style>
  <w:style w:type="paragraph" w:customStyle="1" w:styleId="75">
    <w:name w:val="标题 41"/>
    <w:basedOn w:val="1"/>
    <w:qFormat/>
    <w:uiPriority w:val="1"/>
    <w:pPr>
      <w:ind w:left="618"/>
      <w:outlineLvl w:val="4"/>
    </w:pPr>
    <w:rPr>
      <w:b/>
      <w:bCs/>
    </w:rPr>
  </w:style>
  <w:style w:type="paragraph" w:customStyle="1" w:styleId="76">
    <w:name w:val="正文_13"/>
    <w:basedOn w:val="1"/>
    <w:qFormat/>
    <w:uiPriority w:val="0"/>
    <w:rPr>
      <w:szCs w:val="21"/>
    </w:rPr>
  </w:style>
  <w:style w:type="character" w:customStyle="1" w:styleId="77">
    <w:name w:val="纯文本 Char1"/>
    <w:qFormat/>
    <w:uiPriority w:val="0"/>
    <w:rPr>
      <w:rFonts w:ascii="宋体" w:hAnsi="Courier New"/>
      <w:kern w:val="2"/>
      <w:sz w:val="21"/>
    </w:rPr>
  </w:style>
  <w:style w:type="paragraph" w:styleId="78">
    <w:name w:val="No Spacing"/>
    <w:qFormat/>
    <w:uiPriority w:val="1"/>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79">
    <w:name w:val="无间隔1"/>
    <w:qFormat/>
    <w:uiPriority w:val="1"/>
    <w:pPr>
      <w:spacing w:after="160" w:line="278" w:lineRule="auto"/>
    </w:pPr>
    <w:rPr>
      <w:rFonts w:ascii="Times New Roman" w:hAnsi="Times New Roman" w:eastAsia="宋体" w:cs="Times New Roman"/>
      <w:sz w:val="22"/>
      <w:lang w:val="en-US" w:eastAsia="zh-CN" w:bidi="ar-SA"/>
    </w:rPr>
  </w:style>
  <w:style w:type="paragraph" w:customStyle="1" w:styleId="80">
    <w:name w:val="附录标题"/>
    <w:next w:val="1"/>
    <w:qFormat/>
    <w:uiPriority w:val="0"/>
    <w:pPr>
      <w:widowControl w:val="0"/>
      <w:spacing w:after="240" w:line="278" w:lineRule="auto"/>
      <w:outlineLvl w:val="0"/>
    </w:pPr>
    <w:rPr>
      <w:rFonts w:ascii="Times New Roman" w:hAnsi="Times New Roman" w:eastAsia="宋体" w:cs="Times New Roman"/>
      <w:b/>
      <w:sz w:val="24"/>
      <w:lang w:val="en-US" w:eastAsia="zh-CN" w:bidi="ar-SA"/>
    </w:rPr>
  </w:style>
  <w:style w:type="paragraph" w:customStyle="1" w:styleId="81">
    <w:name w:val="章前标题"/>
    <w:next w:val="1"/>
    <w:qFormat/>
    <w:uiPriority w:val="0"/>
    <w:pPr>
      <w:widowControl w:val="0"/>
      <w:spacing w:before="240" w:after="240" w:line="278" w:lineRule="auto"/>
      <w:jc w:val="center"/>
    </w:pPr>
    <w:rPr>
      <w:rFonts w:ascii="黑体" w:hAnsi="黑体" w:eastAsia="黑体" w:cs="黑体"/>
      <w:kern w:val="44"/>
      <w:sz w:val="32"/>
      <w:szCs w:val="36"/>
      <w:lang w:val="en-US" w:eastAsia="zh-CN" w:bidi="ar-SA"/>
    </w:rPr>
  </w:style>
  <w:style w:type="paragraph" w:customStyle="1" w:styleId="82">
    <w:name w:val="章节标题"/>
    <w:next w:val="1"/>
    <w:qFormat/>
    <w:uiPriority w:val="0"/>
    <w:pPr>
      <w:widowControl w:val="0"/>
      <w:spacing w:before="240" w:after="240" w:line="278" w:lineRule="auto"/>
      <w:jc w:val="center"/>
      <w:outlineLvl w:val="0"/>
    </w:pPr>
    <w:rPr>
      <w:rFonts w:ascii="Times New Roman" w:hAnsi="Times New Roman" w:eastAsia="黑体" w:cs="Times New Roman"/>
      <w:kern w:val="44"/>
      <w:sz w:val="32"/>
      <w:szCs w:val="36"/>
      <w:lang w:val="en-US" w:eastAsia="zh-CN" w:bidi="ar-SA"/>
    </w:rPr>
  </w:style>
  <w:style w:type="paragraph" w:customStyle="1" w:styleId="83">
    <w:name w:val="文档说明标题"/>
    <w:next w:val="1"/>
    <w:qFormat/>
    <w:uiPriority w:val="0"/>
    <w:pPr>
      <w:widowControl w:val="0"/>
      <w:spacing w:before="240" w:after="240" w:line="278" w:lineRule="auto"/>
      <w:jc w:val="center"/>
    </w:pPr>
    <w:rPr>
      <w:rFonts w:ascii="Times New Roman" w:hAnsi="Times New Roman" w:eastAsia="宋体" w:cs="Times New Roman"/>
      <w:b/>
      <w:sz w:val="32"/>
      <w:lang w:val="en-US" w:eastAsia="zh-CN" w:bidi="ar-SA"/>
    </w:rPr>
  </w:style>
  <w:style w:type="paragraph" w:customStyle="1" w:styleId="84">
    <w:name w:val="内嵌文档标题1"/>
    <w:next w:val="1"/>
    <w:qFormat/>
    <w:uiPriority w:val="0"/>
    <w:pPr>
      <w:widowControl w:val="0"/>
      <w:spacing w:before="240" w:after="240" w:line="360" w:lineRule="auto"/>
      <w:jc w:val="center"/>
      <w:outlineLvl w:val="0"/>
    </w:pPr>
    <w:rPr>
      <w:rFonts w:ascii="Times New Roman" w:hAnsi="Times New Roman" w:eastAsia="宋体" w:cs="Times New Roman"/>
      <w:b/>
      <w:kern w:val="2"/>
      <w:sz w:val="24"/>
      <w:lang w:val="en-US" w:eastAsia="zh-CN" w:bidi="ar-SA"/>
    </w:rPr>
  </w:style>
  <w:style w:type="paragraph" w:customStyle="1" w:styleId="85">
    <w:name w:val="强调标题"/>
    <w:next w:val="1"/>
    <w:qFormat/>
    <w:uiPriority w:val="0"/>
    <w:pPr>
      <w:spacing w:after="120" w:line="360" w:lineRule="auto"/>
      <w:ind w:firstLine="420" w:firstLineChars="200"/>
      <w:outlineLvl w:val="0"/>
    </w:pPr>
    <w:rPr>
      <w:rFonts w:ascii="Calibri" w:hAnsi="Calibri" w:eastAsia="宋体" w:cs="Times New Roman"/>
      <w:b/>
      <w:sz w:val="24"/>
      <w:lang w:val="en-US" w:eastAsia="zh-CN" w:bidi="ar-SA"/>
    </w:rPr>
  </w:style>
  <w:style w:type="paragraph" w:customStyle="1" w:styleId="86">
    <w:name w:val="表格标题"/>
    <w:next w:val="1"/>
    <w:qFormat/>
    <w:uiPriority w:val="0"/>
    <w:pPr>
      <w:widowControl w:val="0"/>
      <w:spacing w:before="240" w:after="240" w:line="278" w:lineRule="auto"/>
      <w:jc w:val="center"/>
    </w:pPr>
    <w:rPr>
      <w:rFonts w:ascii="宋体" w:hAnsi="宋体" w:eastAsia="宋体" w:cs="宋体"/>
      <w:b/>
      <w:sz w:val="24"/>
      <w:szCs w:val="22"/>
      <w:lang w:val="en-US" w:eastAsia="zh-CN" w:bidi="ar-SA"/>
    </w:rPr>
  </w:style>
  <w:style w:type="paragraph" w:customStyle="1" w:styleId="87">
    <w:name w:val="内嵌文档标题2"/>
    <w:next w:val="1"/>
    <w:qFormat/>
    <w:uiPriority w:val="0"/>
    <w:pPr>
      <w:widowControl w:val="0"/>
      <w:shd w:val="clear" w:color="auto" w:fill="FFFFFF"/>
      <w:spacing w:before="240" w:after="240" w:line="360" w:lineRule="auto"/>
      <w:jc w:val="center"/>
      <w:outlineLvl w:val="0"/>
    </w:pPr>
    <w:rPr>
      <w:rFonts w:ascii="宋体" w:hAnsi="宋体" w:eastAsia="宋体" w:cs="宋体"/>
      <w:b/>
      <w:bCs/>
      <w:sz w:val="24"/>
      <w:szCs w:val="30"/>
      <w:lang w:val="en-US" w:eastAsia="zh-CN" w:bidi="ar-SA"/>
    </w:rPr>
  </w:style>
  <w:style w:type="paragraph" w:customStyle="1" w:styleId="88">
    <w:name w:val="标题 11"/>
    <w:basedOn w:val="1"/>
    <w:qFormat/>
    <w:uiPriority w:val="1"/>
    <w:pPr>
      <w:spacing w:before="30"/>
      <w:ind w:left="664" w:right="665"/>
      <w:jc w:val="center"/>
      <w:outlineLvl w:val="1"/>
    </w:pPr>
    <w:rPr>
      <w:b/>
      <w:bCs/>
      <w:sz w:val="32"/>
      <w:szCs w:val="32"/>
    </w:rPr>
  </w:style>
  <w:style w:type="paragraph" w:customStyle="1" w:styleId="89">
    <w:name w:val="纯文本1"/>
    <w:basedOn w:val="1"/>
    <w:qFormat/>
    <w:uiPriority w:val="0"/>
    <w:pPr>
      <w:ind w:firstLine="200"/>
    </w:pPr>
    <w:rPr>
      <w:rFonts w:hAnsi="Courier New"/>
      <w:sz w:val="20"/>
      <w:szCs w:val="20"/>
    </w:rPr>
  </w:style>
  <w:style w:type="paragraph" w:customStyle="1" w:styleId="90">
    <w:name w:val="页眉1"/>
    <w:basedOn w:val="1"/>
    <w:qFormat/>
    <w:uiPriority w:val="99"/>
    <w:pPr>
      <w:pBdr>
        <w:bottom w:val="single" w:color="000000" w:sz="6" w:space="1"/>
      </w:pBdr>
      <w:tabs>
        <w:tab w:val="center" w:pos="4153"/>
        <w:tab w:val="right" w:pos="8306"/>
      </w:tabs>
      <w:jc w:val="center"/>
    </w:pPr>
    <w:rPr>
      <w:sz w:val="18"/>
      <w:szCs w:val="18"/>
    </w:rPr>
  </w:style>
  <w:style w:type="paragraph" w:customStyle="1" w:styleId="91">
    <w:name w:val="页脚1"/>
    <w:basedOn w:val="1"/>
    <w:qFormat/>
    <w:uiPriority w:val="0"/>
    <w:pPr>
      <w:tabs>
        <w:tab w:val="center" w:pos="4153"/>
        <w:tab w:val="right" w:pos="8306"/>
      </w:tabs>
    </w:pPr>
    <w:rPr>
      <w:sz w:val="18"/>
      <w:szCs w:val="20"/>
    </w:rPr>
  </w:style>
  <w:style w:type="character" w:customStyle="1" w:styleId="92">
    <w:name w:val="页码1"/>
    <w:qFormat/>
    <w:uiPriority w:val="0"/>
    <w:rPr>
      <w:rFonts w:ascii="宋体" w:hAnsi="宋体" w:eastAsia="宋体" w:cs="宋体"/>
      <w:sz w:val="24"/>
      <w:szCs w:val="22"/>
      <w:lang w:val="zh-CN" w:eastAsia="zh-CN" w:bidi="zh-CN"/>
    </w:rPr>
  </w:style>
  <w:style w:type="paragraph" w:customStyle="1" w:styleId="93">
    <w:name w:val="Char"/>
    <w:basedOn w:val="1"/>
    <w:next w:val="94"/>
    <w:qFormat/>
    <w:uiPriority w:val="0"/>
    <w:pPr>
      <w:spacing w:line="240" w:lineRule="exact"/>
    </w:pPr>
    <w:rPr>
      <w:rFonts w:ascii="Verdana" w:hAnsi="Verdana"/>
      <w:sz w:val="20"/>
      <w:szCs w:val="20"/>
      <w:lang w:eastAsia="en-US"/>
    </w:rPr>
  </w:style>
  <w:style w:type="paragraph" w:customStyle="1" w:styleId="94">
    <w:name w:val="reader-word-layer reader-word-s66-5 reader-word-s66-6"/>
    <w:basedOn w:val="1"/>
    <w:next w:val="22"/>
    <w:qFormat/>
    <w:uiPriority w:val="0"/>
    <w:pPr>
      <w:spacing w:before="100" w:beforeAutospacing="1" w:after="100" w:afterAutospacing="1" w:line="240" w:lineRule="auto"/>
      <w:ind w:firstLine="0" w:firstLineChars="0"/>
    </w:pPr>
    <w:rPr>
      <w:rFonts w:ascii="Times New Roman" w:hAnsi="Times New Roman"/>
      <w:kern w:val="2"/>
      <w:szCs w:val="24"/>
      <w:lang w:bidi="ar-SA"/>
    </w:rPr>
  </w:style>
  <w:style w:type="paragraph" w:customStyle="1" w:styleId="95">
    <w:name w:val="表格正文"/>
    <w:qFormat/>
    <w:uiPriority w:val="0"/>
    <w:pPr>
      <w:autoSpaceDE w:val="0"/>
      <w:autoSpaceDN w:val="0"/>
      <w:spacing w:after="160" w:line="278" w:lineRule="auto"/>
    </w:pPr>
    <w:rPr>
      <w:rFonts w:hint="eastAsia" w:ascii="Times New Roman" w:hAnsi="Times New Roman" w:eastAsia="宋体" w:cs="Times New Roman"/>
      <w:sz w:val="24"/>
      <w:szCs w:val="18"/>
      <w:lang w:val="en-US" w:eastAsia="zh-CN" w:bidi="ar-SA"/>
    </w:rPr>
  </w:style>
  <w:style w:type="paragraph" w:customStyle="1" w:styleId="96">
    <w:name w:val="招标"/>
    <w:basedOn w:val="1"/>
    <w:qFormat/>
    <w:uiPriority w:val="0"/>
    <w:pPr>
      <w:spacing w:line="400" w:lineRule="exact"/>
      <w:ind w:firstLine="420"/>
    </w:pPr>
  </w:style>
  <w:style w:type="paragraph" w:customStyle="1" w:styleId="97">
    <w:name w:val="修订3"/>
    <w:hidden/>
    <w:unhideWhenUsed/>
    <w:qFormat/>
    <w:uiPriority w:val="99"/>
    <w:rPr>
      <w:rFonts w:ascii="宋体" w:hAnsi="宋体" w:eastAsia="宋体" w:cs="宋体"/>
      <w:sz w:val="24"/>
      <w:szCs w:val="22"/>
      <w:lang w:val="zh-CN" w:eastAsia="zh-CN" w:bidi="zh-CN"/>
    </w:rPr>
  </w:style>
  <w:style w:type="paragraph" w:customStyle="1" w:styleId="98">
    <w:name w:val="修订4"/>
    <w:hidden/>
    <w:unhideWhenUsed/>
    <w:qFormat/>
    <w:uiPriority w:val="99"/>
    <w:rPr>
      <w:rFonts w:ascii="宋体" w:hAnsi="宋体" w:eastAsia="宋体" w:cs="宋体"/>
      <w:sz w:val="24"/>
      <w:szCs w:val="22"/>
      <w:lang w:val="zh-CN" w:eastAsia="zh-CN" w:bidi="zh-CN"/>
    </w:rPr>
  </w:style>
  <w:style w:type="paragraph" w:customStyle="1" w:styleId="99">
    <w:name w:val="修订5"/>
    <w:hidden/>
    <w:unhideWhenUsed/>
    <w:qFormat/>
    <w:uiPriority w:val="99"/>
    <w:rPr>
      <w:rFonts w:ascii="宋体" w:hAnsi="宋体" w:eastAsia="宋体" w:cs="宋体"/>
      <w:sz w:val="24"/>
      <w:szCs w:val="22"/>
      <w:lang w:val="zh-CN" w:eastAsia="zh-CN" w:bidi="zh-CN"/>
    </w:rPr>
  </w:style>
  <w:style w:type="paragraph" w:customStyle="1" w:styleId="100">
    <w:name w:val="BodyText"/>
    <w:basedOn w:val="1"/>
    <w:qFormat/>
    <w:uiPriority w:val="0"/>
    <w:pPr>
      <w:spacing w:after="120"/>
      <w:jc w:val="both"/>
      <w:textAlignment w:val="baseline"/>
    </w:pPr>
    <w:rPr>
      <w:rFonts w:ascii="Calibri" w:eastAsia="宋体"/>
      <w:kern w:val="0"/>
      <w:sz w:val="20"/>
      <w:szCs w:val="24"/>
      <w:lang w:val="en-US" w:eastAsia="zh-CN" w:bidi="ar-SA"/>
    </w:rPr>
  </w:style>
  <w:style w:type="paragraph" w:customStyle="1" w:styleId="10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2">
    <w:name w:val="Table Text"/>
    <w:basedOn w:val="1"/>
    <w:semiHidden/>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15421</Words>
  <Characters>16400</Characters>
  <Lines>1231</Lines>
  <Paragraphs>1180</Paragraphs>
  <TotalTime>21</TotalTime>
  <ScaleCrop>false</ScaleCrop>
  <LinksUpToDate>false</LinksUpToDate>
  <CharactersWithSpaces>16499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2025-05-25T23:08:00Z</dcterms:created>
  <dc:creator>Administrator</dc:creator>
  <cp:lastModifiedBy>代理</cp:lastModifiedBy>
  <cp:lastPrinted>2022-09-02T18:13:00Z</cp:lastPrinted>
  <dcterms:modified xsi:type="dcterms:W3CDTF">2025-07-11T05:52:48Z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WPS 文字</vt:lpwstr>
  </property>
  <property fmtid="{D5CDD505-2E9C-101B-9397-08002B2CF9AE}" pid="4" name="LastSaved">
    <vt:filetime>2020-08-23T00:00:00Z</vt:filetime>
  </property>
  <property fmtid="{D5CDD505-2E9C-101B-9397-08002B2CF9AE}" pid="5" name="KSOProductBuildVer">
    <vt:lpwstr>2052-12.1.0.21915</vt:lpwstr>
  </property>
  <property fmtid="{D5CDD505-2E9C-101B-9397-08002B2CF9AE}" pid="6" name="ICV">
    <vt:lpwstr>23E0BEC365054A09A7163BA1013D7040_13</vt:lpwstr>
  </property>
  <property fmtid="{D5CDD505-2E9C-101B-9397-08002B2CF9AE}" pid="7" name="KSOTemplateDocerSaveRecord">
    <vt:lpwstr>eyJoZGlkIjoiMzYwM2E0OTM1MTNmYjdhZDYzZTk0ZmY4ODg5YjlmZWEiLCJ1c2VySWQiOiI0MzkyODMxNDkifQ==</vt:lpwstr>
  </property>
</Properties>
</file>