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77B17">
      <w:pPr>
        <w:widowControl/>
        <w:spacing w:line="360" w:lineRule="auto"/>
        <w:jc w:val="center"/>
        <w:rPr>
          <w:rFonts w:ascii="宋体" w:hAnsi="宋体" w:cs="宋体"/>
          <w:b/>
          <w:bCs/>
          <w:sz w:val="48"/>
          <w:szCs w:val="48"/>
        </w:rPr>
      </w:pPr>
    </w:p>
    <w:p w14:paraId="736A09CD">
      <w:pPr>
        <w:pStyle w:val="49"/>
      </w:pPr>
    </w:p>
    <w:p w14:paraId="4607059E">
      <w:pPr>
        <w:spacing w:line="360" w:lineRule="auto"/>
        <w:jc w:val="center"/>
        <w:rPr>
          <w:rFonts w:ascii="宋体" w:hAnsi="宋体" w:cs="宋体"/>
          <w:b/>
          <w:bCs/>
          <w:color w:val="000000"/>
          <w:sz w:val="44"/>
          <w:szCs w:val="44"/>
        </w:rPr>
      </w:pPr>
    </w:p>
    <w:p w14:paraId="166F59E4">
      <w:pPr>
        <w:widowControl/>
        <w:spacing w:line="360" w:lineRule="auto"/>
        <w:jc w:val="center"/>
        <w:rPr>
          <w:rFonts w:ascii="宋体" w:hAnsi="宋体" w:cs="宋体"/>
          <w:b/>
          <w:kern w:val="0"/>
          <w:sz w:val="56"/>
          <w:szCs w:val="56"/>
        </w:rPr>
      </w:pPr>
      <w:r>
        <w:rPr>
          <w:rFonts w:hint="eastAsia" w:ascii="宋体" w:hAnsi="宋体" w:cs="宋体"/>
          <w:b/>
          <w:kern w:val="0"/>
          <w:sz w:val="56"/>
          <w:szCs w:val="56"/>
        </w:rPr>
        <w:t>南京市生态空间管控区域评估调整项目</w:t>
      </w:r>
    </w:p>
    <w:p w14:paraId="48D82AFD">
      <w:pPr>
        <w:widowControl/>
        <w:spacing w:line="360" w:lineRule="auto"/>
        <w:rPr>
          <w:rFonts w:ascii="宋体" w:hAnsi="宋体" w:cs="宋体"/>
          <w:b/>
          <w:kern w:val="0"/>
          <w:sz w:val="32"/>
          <w:szCs w:val="32"/>
        </w:rPr>
      </w:pPr>
    </w:p>
    <w:p w14:paraId="27F5F75D">
      <w:pPr>
        <w:widowControl/>
        <w:spacing w:line="360" w:lineRule="auto"/>
        <w:jc w:val="center"/>
        <w:rPr>
          <w:rFonts w:ascii="宋体" w:hAnsi="宋体" w:cs="宋体"/>
          <w:b/>
          <w:kern w:val="0"/>
          <w:sz w:val="72"/>
          <w:szCs w:val="72"/>
        </w:rPr>
      </w:pPr>
    </w:p>
    <w:p w14:paraId="221F8141"/>
    <w:p w14:paraId="2DAE659E"/>
    <w:p w14:paraId="167D316C">
      <w:pPr>
        <w:widowControl/>
        <w:spacing w:line="360" w:lineRule="auto"/>
        <w:jc w:val="center"/>
        <w:rPr>
          <w:rFonts w:ascii="宋体" w:hAnsi="宋体" w:cs="宋体"/>
          <w:b/>
          <w:kern w:val="0"/>
          <w:sz w:val="36"/>
          <w:szCs w:val="36"/>
        </w:rPr>
      </w:pPr>
      <w:r>
        <w:rPr>
          <w:rFonts w:hint="eastAsia" w:ascii="宋体" w:hAnsi="宋体" w:cs="宋体"/>
          <w:b/>
          <w:kern w:val="0"/>
          <w:sz w:val="72"/>
          <w:szCs w:val="72"/>
        </w:rPr>
        <w:t>招 标 文 件</w:t>
      </w:r>
    </w:p>
    <w:p w14:paraId="5BDDB999">
      <w:pPr>
        <w:widowControl/>
        <w:spacing w:line="360" w:lineRule="auto"/>
        <w:jc w:val="center"/>
        <w:rPr>
          <w:rFonts w:ascii="宋体" w:hAnsi="宋体" w:cs="宋体"/>
          <w:b/>
          <w:kern w:val="0"/>
          <w:sz w:val="72"/>
          <w:szCs w:val="72"/>
        </w:rPr>
      </w:pPr>
      <w:r>
        <w:rPr>
          <w:rFonts w:hint="eastAsia" w:ascii="宋体" w:hAnsi="宋体" w:cs="宋体"/>
          <w:b/>
          <w:kern w:val="0"/>
          <w:sz w:val="36"/>
          <w:szCs w:val="36"/>
        </w:rPr>
        <w:t>项目编号：ZB066025E1ZC00561</w:t>
      </w:r>
    </w:p>
    <w:p w14:paraId="642619B7"/>
    <w:p w14:paraId="24B57A57">
      <w:pPr>
        <w:widowControl/>
        <w:spacing w:line="360" w:lineRule="auto"/>
        <w:jc w:val="center"/>
        <w:rPr>
          <w:rFonts w:ascii="宋体" w:hAnsi="宋体" w:cs="宋体"/>
          <w:b/>
          <w:kern w:val="0"/>
          <w:sz w:val="36"/>
          <w:szCs w:val="36"/>
        </w:rPr>
      </w:pPr>
    </w:p>
    <w:p w14:paraId="612334EB">
      <w:pPr>
        <w:pStyle w:val="19"/>
      </w:pPr>
    </w:p>
    <w:p w14:paraId="1EB208FE"/>
    <w:p w14:paraId="2F0FC826">
      <w:pPr>
        <w:pStyle w:val="19"/>
      </w:pPr>
    </w:p>
    <w:p w14:paraId="0B7E2569">
      <w:pPr>
        <w:pStyle w:val="19"/>
      </w:pPr>
    </w:p>
    <w:p w14:paraId="016DEB30">
      <w:pPr>
        <w:spacing w:line="360" w:lineRule="auto"/>
        <w:jc w:val="center"/>
        <w:rPr>
          <w:rFonts w:ascii="宋体" w:hAnsi="宋体" w:cs="宋体"/>
          <w:b/>
          <w:color w:val="000000"/>
          <w:sz w:val="32"/>
          <w:szCs w:val="32"/>
        </w:rPr>
      </w:pPr>
      <w:r>
        <w:rPr>
          <w:rFonts w:hint="eastAsia" w:ascii="宋体" w:hAnsi="宋体" w:cs="宋体"/>
          <w:b/>
          <w:color w:val="000000"/>
          <w:sz w:val="32"/>
          <w:szCs w:val="32"/>
        </w:rPr>
        <w:t>采购人：南京市规划和自然资源局</w:t>
      </w:r>
    </w:p>
    <w:p w14:paraId="70E45332">
      <w:pPr>
        <w:spacing w:line="360" w:lineRule="auto"/>
        <w:jc w:val="center"/>
        <w:rPr>
          <w:rFonts w:ascii="宋体" w:hAnsi="宋体" w:cs="宋体"/>
          <w:b/>
          <w:color w:val="000000"/>
          <w:sz w:val="32"/>
          <w:szCs w:val="32"/>
        </w:rPr>
      </w:pPr>
      <w:r>
        <w:rPr>
          <w:rFonts w:hint="eastAsia" w:ascii="宋体" w:hAnsi="宋体" w:cs="宋体"/>
          <w:b/>
          <w:color w:val="000000"/>
          <w:sz w:val="32"/>
          <w:szCs w:val="32"/>
        </w:rPr>
        <w:t>采购代理机构：江苏省设备成套股份有限公司</w:t>
      </w:r>
    </w:p>
    <w:p w14:paraId="02589F4D">
      <w:pPr>
        <w:spacing w:line="360" w:lineRule="auto"/>
        <w:jc w:val="center"/>
        <w:rPr>
          <w:rFonts w:ascii="宋体" w:hAnsi="宋体" w:cs="宋体"/>
          <w:b/>
          <w:color w:val="000000"/>
          <w:sz w:val="32"/>
          <w:szCs w:val="32"/>
        </w:rPr>
      </w:pPr>
      <w:r>
        <w:rPr>
          <w:rFonts w:hint="eastAsia" w:ascii="宋体" w:hAnsi="宋体" w:cs="宋体"/>
          <w:b/>
          <w:color w:val="000000"/>
          <w:sz w:val="32"/>
          <w:szCs w:val="32"/>
        </w:rPr>
        <w:t>2025年</w:t>
      </w:r>
      <w:r>
        <w:rPr>
          <w:rFonts w:hint="eastAsia" w:ascii="宋体" w:hAnsi="宋体" w:cs="宋体"/>
          <w:b/>
          <w:color w:val="000000"/>
          <w:sz w:val="32"/>
          <w:szCs w:val="32"/>
          <w:lang w:val="en-US" w:eastAsia="zh-CN"/>
        </w:rPr>
        <w:t>7</w:t>
      </w:r>
      <w:r>
        <w:rPr>
          <w:rFonts w:hint="eastAsia" w:ascii="宋体" w:hAnsi="宋体" w:cs="宋体"/>
          <w:b/>
          <w:color w:val="000000"/>
          <w:sz w:val="32"/>
          <w:szCs w:val="32"/>
        </w:rPr>
        <w:t>月</w:t>
      </w:r>
    </w:p>
    <w:p w14:paraId="1CE40ED6">
      <w:pPr>
        <w:spacing w:line="360" w:lineRule="auto"/>
        <w:jc w:val="center"/>
        <w:rPr>
          <w:rFonts w:ascii="宋体" w:hAnsi="宋体" w:cs="宋体"/>
          <w:b/>
          <w:color w:val="000000"/>
          <w:sz w:val="32"/>
          <w:szCs w:val="32"/>
          <w:lang w:val="zh-CN"/>
        </w:rPr>
        <w:sectPr>
          <w:headerReference r:id="rId4" w:type="first"/>
          <w:headerReference r:id="rId3" w:type="default"/>
          <w:footerReference r:id="rId5" w:type="default"/>
          <w:pgSz w:w="11906" w:h="16838"/>
          <w:pgMar w:top="1440" w:right="1800" w:bottom="1440" w:left="1800" w:header="851" w:footer="680" w:gutter="0"/>
          <w:cols w:space="720" w:num="1"/>
          <w:titlePg/>
          <w:docGrid w:linePitch="290" w:charSpace="0"/>
        </w:sectPr>
      </w:pPr>
    </w:p>
    <w:p w14:paraId="7419F49E">
      <w:pPr>
        <w:rPr>
          <w:rFonts w:ascii="宋体" w:hAnsi="宋体" w:cs="宋体"/>
          <w:sz w:val="36"/>
          <w:szCs w:val="36"/>
          <w:lang w:val="zh-CN"/>
        </w:rPr>
      </w:pPr>
    </w:p>
    <w:p w14:paraId="22CA502E">
      <w:pPr>
        <w:pStyle w:val="162"/>
        <w:jc w:val="center"/>
        <w:rPr>
          <w:rFonts w:ascii="宋体" w:hAnsi="宋体" w:cs="宋体"/>
          <w:color w:val="auto"/>
          <w:sz w:val="36"/>
          <w:szCs w:val="36"/>
        </w:rPr>
      </w:pPr>
      <w:r>
        <w:rPr>
          <w:rFonts w:hint="eastAsia" w:ascii="宋体" w:hAnsi="宋体" w:cs="宋体"/>
          <w:color w:val="auto"/>
          <w:sz w:val="36"/>
          <w:szCs w:val="36"/>
          <w:lang w:val="zh-CN"/>
        </w:rPr>
        <w:t>目  录</w:t>
      </w:r>
    </w:p>
    <w:p w14:paraId="4672B513">
      <w:pPr>
        <w:pStyle w:val="34"/>
        <w:tabs>
          <w:tab w:val="right" w:leader="dot" w:pos="8496"/>
        </w:tabs>
        <w:rPr>
          <w:rFonts w:asciiTheme="minorHAnsi" w:hAnsiTheme="minorHAnsi" w:eastAsiaTheme="minorEastAsia" w:cstheme="minorBidi"/>
          <w:szCs w:val="22"/>
        </w:rPr>
      </w:pPr>
      <w:r>
        <w:rPr>
          <w:rFonts w:hint="eastAsia"/>
        </w:rPr>
        <w:fldChar w:fldCharType="begin"/>
      </w:r>
      <w:r>
        <w:rPr>
          <w:rFonts w:hint="eastAsia"/>
        </w:rPr>
        <w:instrText xml:space="preserve">TOC \o "1-1" \h \u </w:instrText>
      </w:r>
      <w:r>
        <w:rPr>
          <w:rFonts w:hint="eastAsia"/>
        </w:rPr>
        <w:fldChar w:fldCharType="separate"/>
      </w:r>
      <w:r>
        <w:fldChar w:fldCharType="begin"/>
      </w:r>
      <w:r>
        <w:instrText xml:space="preserve"> HYPERLINK \l "_Toc181611528" </w:instrText>
      </w:r>
      <w:r>
        <w:fldChar w:fldCharType="separate"/>
      </w:r>
      <w:r>
        <w:rPr>
          <w:rStyle w:val="57"/>
          <w:rFonts w:hint="eastAsia" w:ascii="宋体" w:hAnsi="宋体" w:cs="宋体"/>
          <w:kern w:val="0"/>
        </w:rPr>
        <w:t>第一章</w:t>
      </w:r>
      <w:r>
        <w:rPr>
          <w:rStyle w:val="57"/>
          <w:rFonts w:hint="eastAsia" w:ascii="宋体" w:hAnsi="宋体" w:cs="宋体"/>
        </w:rPr>
        <w:t xml:space="preserve"> 招标公告</w:t>
      </w:r>
      <w:r>
        <w:rPr>
          <w:rFonts w:hint="eastAsia"/>
        </w:rPr>
        <w:tab/>
      </w:r>
      <w:r>
        <w:rPr>
          <w:rFonts w:hint="eastAsia"/>
        </w:rPr>
        <w:fldChar w:fldCharType="begin"/>
      </w:r>
      <w:r>
        <w:rPr>
          <w:rFonts w:hint="eastAsia"/>
        </w:rPr>
        <w:instrText xml:space="preserve"> </w:instrText>
      </w:r>
      <w:r>
        <w:instrText xml:space="preserve">PAGEREF _Toc181611528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99974DE">
      <w:pPr>
        <w:pStyle w:val="34"/>
        <w:tabs>
          <w:tab w:val="right" w:leader="dot" w:pos="8496"/>
        </w:tabs>
        <w:rPr>
          <w:rFonts w:asciiTheme="minorHAnsi" w:hAnsiTheme="minorHAnsi" w:eastAsiaTheme="minorEastAsia" w:cstheme="minorBidi"/>
          <w:szCs w:val="22"/>
        </w:rPr>
      </w:pPr>
      <w:r>
        <w:fldChar w:fldCharType="begin"/>
      </w:r>
      <w:r>
        <w:instrText xml:space="preserve"> HYPERLINK \l "_Toc181611529" </w:instrText>
      </w:r>
      <w:r>
        <w:fldChar w:fldCharType="separate"/>
      </w:r>
      <w:r>
        <w:rPr>
          <w:rStyle w:val="57"/>
          <w:rFonts w:hint="eastAsia" w:ascii="宋体" w:hAnsi="宋体" w:cs="宋体"/>
        </w:rPr>
        <w:t>第二章 投标人须知</w:t>
      </w:r>
      <w:r>
        <w:rPr>
          <w:rFonts w:hint="eastAsia"/>
        </w:rPr>
        <w:tab/>
      </w:r>
      <w:r>
        <w:rPr>
          <w:rFonts w:hint="eastAsia"/>
        </w:rPr>
        <w:fldChar w:fldCharType="begin"/>
      </w:r>
      <w:r>
        <w:rPr>
          <w:rFonts w:hint="eastAsia"/>
        </w:rPr>
        <w:instrText xml:space="preserve"> </w:instrText>
      </w:r>
      <w:r>
        <w:instrText xml:space="preserve">PAGEREF _Toc181611529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4F252FC1">
      <w:pPr>
        <w:pStyle w:val="34"/>
        <w:tabs>
          <w:tab w:val="right" w:leader="dot" w:pos="8496"/>
        </w:tabs>
        <w:rPr>
          <w:rFonts w:asciiTheme="minorHAnsi" w:hAnsiTheme="minorHAnsi" w:eastAsiaTheme="minorEastAsia" w:cstheme="minorBidi"/>
          <w:szCs w:val="22"/>
        </w:rPr>
      </w:pPr>
      <w:r>
        <w:fldChar w:fldCharType="begin"/>
      </w:r>
      <w:r>
        <w:instrText xml:space="preserve"> HYPERLINK \l "_Toc181611530" </w:instrText>
      </w:r>
      <w:r>
        <w:fldChar w:fldCharType="separate"/>
      </w:r>
      <w:r>
        <w:rPr>
          <w:rStyle w:val="57"/>
          <w:rFonts w:hint="eastAsia" w:ascii="宋体" w:hAnsi="宋体" w:cs="宋体"/>
          <w:kern w:val="0"/>
        </w:rPr>
        <w:t>第三章 评标标准</w:t>
      </w:r>
      <w:r>
        <w:rPr>
          <w:rFonts w:hint="eastAsia"/>
        </w:rPr>
        <w:tab/>
      </w:r>
      <w:r>
        <w:rPr>
          <w:rFonts w:hint="eastAsia"/>
        </w:rPr>
        <w:fldChar w:fldCharType="begin"/>
      </w:r>
      <w:r>
        <w:rPr>
          <w:rFonts w:hint="eastAsia"/>
        </w:rPr>
        <w:instrText xml:space="preserve"> </w:instrText>
      </w:r>
      <w:r>
        <w:instrText xml:space="preserve">PAGEREF _Toc181611530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14:paraId="60A5E769">
      <w:pPr>
        <w:pStyle w:val="34"/>
        <w:tabs>
          <w:tab w:val="right" w:leader="dot" w:pos="8496"/>
        </w:tabs>
        <w:rPr>
          <w:rFonts w:asciiTheme="minorHAnsi" w:hAnsiTheme="minorHAnsi" w:eastAsiaTheme="minorEastAsia" w:cstheme="minorBidi"/>
          <w:szCs w:val="22"/>
        </w:rPr>
      </w:pPr>
      <w:r>
        <w:fldChar w:fldCharType="begin"/>
      </w:r>
      <w:r>
        <w:instrText xml:space="preserve"> HYPERLINK \l "_Toc181611531" </w:instrText>
      </w:r>
      <w:r>
        <w:fldChar w:fldCharType="separate"/>
      </w:r>
      <w:r>
        <w:rPr>
          <w:rStyle w:val="57"/>
          <w:rFonts w:hint="eastAsia" w:ascii="宋体" w:hAnsi="宋体" w:cs="宋体"/>
          <w:kern w:val="0"/>
        </w:rPr>
        <w:t>第四章 采购需求</w:t>
      </w:r>
      <w:r>
        <w:rPr>
          <w:rFonts w:hint="eastAsia"/>
        </w:rPr>
        <w:tab/>
      </w:r>
      <w:r>
        <w:rPr>
          <w:rFonts w:hint="eastAsia"/>
        </w:rPr>
        <w:fldChar w:fldCharType="begin"/>
      </w:r>
      <w:r>
        <w:rPr>
          <w:rFonts w:hint="eastAsia"/>
        </w:rPr>
        <w:instrText xml:space="preserve"> </w:instrText>
      </w:r>
      <w:r>
        <w:instrText xml:space="preserve">PAGEREF _Toc181611531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14:paraId="57ABA15A">
      <w:pPr>
        <w:pStyle w:val="34"/>
        <w:tabs>
          <w:tab w:val="right" w:leader="dot" w:pos="8496"/>
        </w:tabs>
        <w:rPr>
          <w:rFonts w:asciiTheme="minorHAnsi" w:hAnsiTheme="minorHAnsi" w:eastAsiaTheme="minorEastAsia" w:cstheme="minorBidi"/>
          <w:szCs w:val="22"/>
        </w:rPr>
      </w:pPr>
      <w:r>
        <w:fldChar w:fldCharType="begin"/>
      </w:r>
      <w:r>
        <w:instrText xml:space="preserve"> HYPERLINK \l "_Toc181611532" </w:instrText>
      </w:r>
      <w:r>
        <w:fldChar w:fldCharType="separate"/>
      </w:r>
      <w:r>
        <w:rPr>
          <w:rStyle w:val="57"/>
          <w:rFonts w:hint="eastAsia" w:ascii="宋体" w:hAnsi="宋体" w:cs="宋体"/>
        </w:rPr>
        <w:t>第五章 合同主要条款及格式</w:t>
      </w:r>
      <w:r>
        <w:rPr>
          <w:rFonts w:hint="eastAsia"/>
        </w:rPr>
        <w:tab/>
      </w:r>
      <w:r>
        <w:rPr>
          <w:rFonts w:hint="eastAsia"/>
        </w:rPr>
        <w:fldChar w:fldCharType="begin"/>
      </w:r>
      <w:r>
        <w:rPr>
          <w:rFonts w:hint="eastAsia"/>
        </w:rPr>
        <w:instrText xml:space="preserve"> </w:instrText>
      </w:r>
      <w:r>
        <w:instrText xml:space="preserve">PAGEREF _Toc181611532 \h</w:instrText>
      </w:r>
      <w:r>
        <w:rPr>
          <w:rFonts w:hint="eastAsia"/>
        </w:rPr>
        <w:instrText xml:space="preserve"> </w:instrText>
      </w:r>
      <w:r>
        <w:rPr>
          <w:rFonts w:hint="eastAsia"/>
        </w:rPr>
        <w:fldChar w:fldCharType="separate"/>
      </w:r>
      <w:r>
        <w:t>24</w:t>
      </w:r>
      <w:r>
        <w:rPr>
          <w:rFonts w:hint="eastAsia"/>
        </w:rPr>
        <w:fldChar w:fldCharType="end"/>
      </w:r>
      <w:r>
        <w:rPr>
          <w:rFonts w:hint="eastAsia"/>
        </w:rPr>
        <w:fldChar w:fldCharType="end"/>
      </w:r>
    </w:p>
    <w:p w14:paraId="6E59DD59">
      <w:pPr>
        <w:pStyle w:val="34"/>
        <w:tabs>
          <w:tab w:val="right" w:leader="dot" w:pos="8496"/>
        </w:tabs>
        <w:rPr>
          <w:rFonts w:asciiTheme="minorHAnsi" w:hAnsiTheme="minorHAnsi" w:eastAsiaTheme="minorEastAsia" w:cstheme="minorBidi"/>
          <w:szCs w:val="22"/>
        </w:rPr>
      </w:pPr>
      <w:r>
        <w:fldChar w:fldCharType="begin"/>
      </w:r>
      <w:r>
        <w:instrText xml:space="preserve"> HYPERLINK \l "_Toc181611533" </w:instrText>
      </w:r>
      <w:r>
        <w:fldChar w:fldCharType="separate"/>
      </w:r>
      <w:r>
        <w:rPr>
          <w:rStyle w:val="57"/>
          <w:rFonts w:hint="eastAsia" w:ascii="宋体" w:hAnsi="宋体" w:cs="宋体"/>
        </w:rPr>
        <w:t>第六章 投标文件格式及附件</w:t>
      </w:r>
      <w:r>
        <w:rPr>
          <w:rFonts w:hint="eastAsia"/>
        </w:rPr>
        <w:tab/>
      </w:r>
      <w:r>
        <w:rPr>
          <w:rFonts w:hint="eastAsia"/>
        </w:rPr>
        <w:fldChar w:fldCharType="begin"/>
      </w:r>
      <w:r>
        <w:rPr>
          <w:rFonts w:hint="eastAsia"/>
        </w:rPr>
        <w:instrText xml:space="preserve"> </w:instrText>
      </w:r>
      <w:r>
        <w:instrText xml:space="preserve">PAGEREF _Toc181611533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14:paraId="088D8F81">
      <w:pPr>
        <w:pStyle w:val="3"/>
        <w:numPr>
          <w:ilvl w:val="0"/>
          <w:numId w:val="0"/>
        </w:numPr>
        <w:jc w:val="both"/>
        <w:rPr>
          <w:rFonts w:ascii="宋体" w:hAnsi="宋体" w:cs="宋体"/>
          <w:kern w:val="0"/>
          <w:szCs w:val="21"/>
        </w:rPr>
        <w:sectPr>
          <w:footerReference r:id="rId6" w:type="default"/>
          <w:type w:val="continuous"/>
          <w:pgSz w:w="11906" w:h="16838"/>
          <w:pgMar w:top="1440" w:right="1800" w:bottom="1440" w:left="1600" w:header="851" w:footer="992" w:gutter="0"/>
          <w:cols w:space="0" w:num="1"/>
          <w:docGrid w:type="lines" w:linePitch="312" w:charSpace="0"/>
        </w:sectPr>
      </w:pPr>
      <w:r>
        <w:rPr>
          <w:rFonts w:hint="eastAsia"/>
        </w:rPr>
        <w:fldChar w:fldCharType="end"/>
      </w:r>
      <w:bookmarkStart w:id="0" w:name="_Toc481057143"/>
    </w:p>
    <w:p w14:paraId="39C6F831">
      <w:pPr>
        <w:pStyle w:val="3"/>
        <w:rPr>
          <w:rFonts w:ascii="宋体" w:hAnsi="宋体" w:cs="宋体"/>
          <w:kern w:val="0"/>
          <w:szCs w:val="21"/>
        </w:rPr>
      </w:pPr>
      <w:r>
        <w:rPr>
          <w:rFonts w:hint="eastAsia" w:ascii="宋体" w:hAnsi="宋体" w:cs="宋体"/>
          <w:kern w:val="0"/>
          <w:sz w:val="36"/>
          <w:szCs w:val="36"/>
          <w:shd w:val="clear" w:color="auto" w:fill="FFFFFF"/>
        </w:rPr>
        <w:t xml:space="preserve"> </w:t>
      </w:r>
      <w:bookmarkStart w:id="1" w:name="_Toc181611528"/>
      <w:r>
        <w:rPr>
          <w:rFonts w:hint="eastAsia" w:ascii="宋体" w:hAnsi="宋体" w:cs="宋体"/>
        </w:rPr>
        <w:t>招标公告</w:t>
      </w:r>
      <w:bookmarkEnd w:id="0"/>
      <w:bookmarkEnd w:id="1"/>
    </w:p>
    <w:p w14:paraId="212C4FB6">
      <w:pPr>
        <w:widowControl/>
        <w:pBdr>
          <w:top w:val="single" w:color="auto" w:sz="4" w:space="1"/>
          <w:left w:val="single" w:color="auto" w:sz="4" w:space="4"/>
          <w:bottom w:val="single" w:color="auto" w:sz="4" w:space="1"/>
          <w:right w:val="single" w:color="auto" w:sz="4" w:space="4"/>
        </w:pBdr>
        <w:spacing w:line="360" w:lineRule="auto"/>
        <w:ind w:firstLine="454" w:firstLineChars="200"/>
        <w:rPr>
          <w:rFonts w:ascii="宋体" w:hAnsi="宋体" w:cs="宋体"/>
          <w:b/>
          <w:bCs/>
          <w:spacing w:val="8"/>
          <w:kern w:val="0"/>
        </w:rPr>
      </w:pPr>
      <w:bookmarkStart w:id="16" w:name="_GoBack"/>
      <w:r>
        <w:rPr>
          <w:rFonts w:hint="eastAsia" w:ascii="宋体" w:hAnsi="宋体" w:cs="宋体"/>
          <w:b/>
          <w:bCs/>
          <w:spacing w:val="8"/>
          <w:kern w:val="0"/>
        </w:rPr>
        <w:t>项目概况</w:t>
      </w:r>
    </w:p>
    <w:p w14:paraId="3BFABFC6">
      <w:pPr>
        <w:widowControl/>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kern w:val="0"/>
        </w:rPr>
      </w:pPr>
      <w:r>
        <w:rPr>
          <w:rFonts w:hint="eastAsia" w:ascii="宋体" w:hAnsi="宋体" w:cs="宋体"/>
          <w:b/>
          <w:bCs/>
          <w:u w:val="single"/>
        </w:rPr>
        <w:t>南京市生态空间管控区域评估调整项目</w:t>
      </w:r>
      <w:r>
        <w:rPr>
          <w:rFonts w:hint="eastAsia" w:ascii="宋体" w:hAnsi="宋体" w:cs="宋体"/>
          <w:spacing w:val="8"/>
          <w:kern w:val="0"/>
        </w:rPr>
        <w:t>的潜在供应商应在</w:t>
      </w:r>
      <w:r>
        <w:rPr>
          <w:rFonts w:hint="eastAsia" w:ascii="宋体" w:hAnsi="宋体" w:cs="宋体"/>
          <w:b/>
          <w:bCs/>
          <w:u w:val="single"/>
        </w:rPr>
        <w:t>江苏省</w:t>
      </w:r>
      <w:r>
        <w:rPr>
          <w:rFonts w:hint="eastAsia" w:ascii="宋体" w:hAnsi="宋体" w:cs="宋体"/>
          <w:b/>
          <w:bCs/>
          <w:color w:val="000000"/>
          <w:spacing w:val="8"/>
          <w:kern w:val="0"/>
          <w:u w:val="single"/>
        </w:rPr>
        <w:t>南京市鼓楼区清江南路18号鼓楼创新广场D栋10楼1001室</w:t>
      </w:r>
      <w:r>
        <w:rPr>
          <w:rFonts w:hint="eastAsia" w:ascii="宋体" w:hAnsi="宋体" w:cs="宋体"/>
        </w:rPr>
        <w:t>获取采购文件，并于</w:t>
      </w:r>
      <w:r>
        <w:rPr>
          <w:rFonts w:hint="eastAsia" w:ascii="宋体" w:hAnsi="宋体" w:cs="宋体"/>
          <w:b/>
          <w:bCs/>
          <w:szCs w:val="21"/>
          <w:u w:val="single"/>
        </w:rPr>
        <w:t>2025年7月</w:t>
      </w:r>
      <w:r>
        <w:rPr>
          <w:rFonts w:hint="eastAsia" w:ascii="宋体" w:hAnsi="宋体" w:cs="宋体"/>
          <w:b/>
          <w:bCs/>
          <w:szCs w:val="21"/>
          <w:u w:val="single"/>
          <w:lang w:val="en-US" w:eastAsia="zh-CN"/>
        </w:rPr>
        <w:t>28</w:t>
      </w:r>
      <w:r>
        <w:rPr>
          <w:rFonts w:hint="eastAsia" w:ascii="宋体" w:hAnsi="宋体" w:cs="宋体"/>
          <w:b/>
          <w:bCs/>
          <w:szCs w:val="21"/>
          <w:u w:val="single"/>
        </w:rPr>
        <w:t>日14点30分</w:t>
      </w:r>
      <w:r>
        <w:rPr>
          <w:rFonts w:hint="eastAsia" w:ascii="宋体" w:hAnsi="宋体" w:cs="宋体"/>
          <w:kern w:val="0"/>
        </w:rPr>
        <w:t>（北京时间）前递交投标文件。</w:t>
      </w:r>
    </w:p>
    <w:p w14:paraId="1D9BF3C9">
      <w:pPr>
        <w:widowControl/>
        <w:spacing w:line="460" w:lineRule="exact"/>
        <w:ind w:firstLine="369"/>
        <w:rPr>
          <w:rFonts w:ascii="宋体" w:hAnsi="宋体" w:cs="宋体"/>
          <w:spacing w:val="8"/>
          <w:kern w:val="0"/>
          <w:szCs w:val="21"/>
        </w:rPr>
      </w:pPr>
    </w:p>
    <w:p w14:paraId="02E42C3B">
      <w:pPr>
        <w:widowControl/>
        <w:spacing w:line="460" w:lineRule="exact"/>
        <w:outlineLvl w:val="1"/>
        <w:rPr>
          <w:rFonts w:ascii="宋体" w:hAnsi="宋体" w:cs="宋体"/>
          <w:b/>
          <w:spacing w:val="8"/>
          <w:kern w:val="0"/>
          <w:sz w:val="24"/>
        </w:rPr>
      </w:pPr>
      <w:r>
        <w:rPr>
          <w:rFonts w:hint="eastAsia" w:ascii="宋体" w:hAnsi="宋体" w:cs="宋体"/>
          <w:b/>
          <w:spacing w:val="8"/>
          <w:kern w:val="0"/>
          <w:sz w:val="24"/>
        </w:rPr>
        <w:t>一、项目基本情况</w:t>
      </w:r>
    </w:p>
    <w:p w14:paraId="06818E7B">
      <w:pPr>
        <w:adjustRightInd w:val="0"/>
        <w:spacing w:line="360" w:lineRule="auto"/>
        <w:ind w:firstLine="420" w:firstLineChars="200"/>
        <w:rPr>
          <w:rFonts w:ascii="宋体" w:hAnsi="宋体" w:cs="宋体"/>
          <w:bCs/>
          <w:szCs w:val="21"/>
        </w:rPr>
      </w:pPr>
      <w:r>
        <w:rPr>
          <w:rFonts w:hint="eastAsia" w:ascii="宋体" w:hAnsi="宋体" w:cs="宋体"/>
          <w:bCs/>
          <w:szCs w:val="21"/>
        </w:rPr>
        <w:t>1.1项目编号：ZB066025E1ZC00561</w:t>
      </w:r>
    </w:p>
    <w:p w14:paraId="3343BD42">
      <w:pPr>
        <w:adjustRightInd w:val="0"/>
        <w:spacing w:line="360" w:lineRule="auto"/>
        <w:ind w:firstLine="420" w:firstLineChars="200"/>
        <w:rPr>
          <w:rFonts w:ascii="宋体" w:hAnsi="宋体" w:cs="宋体"/>
          <w:spacing w:val="8"/>
          <w:kern w:val="0"/>
          <w:szCs w:val="21"/>
        </w:rPr>
      </w:pPr>
      <w:r>
        <w:rPr>
          <w:rFonts w:hint="eastAsia" w:ascii="宋体" w:hAnsi="宋体" w:cs="宋体"/>
          <w:bCs/>
          <w:szCs w:val="21"/>
        </w:rPr>
        <w:t>1.</w:t>
      </w:r>
      <w:r>
        <w:rPr>
          <w:rFonts w:hint="eastAsia" w:ascii="宋体" w:hAnsi="宋体" w:cs="宋体"/>
          <w:spacing w:val="8"/>
          <w:kern w:val="0"/>
          <w:szCs w:val="21"/>
        </w:rPr>
        <w:t>2项目名称：南京市生态空间管控区域评估调整项目</w:t>
      </w:r>
    </w:p>
    <w:p w14:paraId="48C05CC4">
      <w:pPr>
        <w:tabs>
          <w:tab w:val="left" w:pos="3757"/>
        </w:tabs>
        <w:adjustRightInd w:val="0"/>
        <w:spacing w:line="360" w:lineRule="auto"/>
        <w:ind w:firstLine="420" w:firstLineChars="200"/>
        <w:rPr>
          <w:rFonts w:ascii="宋体" w:hAnsi="宋体" w:cs="宋体"/>
          <w:spacing w:val="8"/>
          <w:kern w:val="0"/>
          <w:szCs w:val="21"/>
        </w:rPr>
      </w:pPr>
      <w:r>
        <w:rPr>
          <w:rFonts w:hint="eastAsia" w:ascii="宋体" w:hAnsi="宋体" w:cs="宋体"/>
          <w:bCs/>
          <w:szCs w:val="21"/>
        </w:rPr>
        <w:t>1.3</w:t>
      </w:r>
      <w:r>
        <w:rPr>
          <w:rFonts w:hint="eastAsia" w:ascii="宋体" w:hAnsi="宋体" w:cs="宋体"/>
          <w:spacing w:val="8"/>
          <w:kern w:val="0"/>
          <w:szCs w:val="21"/>
        </w:rPr>
        <w:t>预算金额：人民币</w:t>
      </w:r>
      <w:r>
        <w:rPr>
          <w:rFonts w:ascii="宋体" w:hAnsi="宋体" w:cs="宋体"/>
          <w:spacing w:val="8"/>
          <w:kern w:val="0"/>
          <w:szCs w:val="21"/>
        </w:rPr>
        <w:t>80</w:t>
      </w:r>
      <w:r>
        <w:rPr>
          <w:rFonts w:hint="eastAsia" w:ascii="宋体" w:hAnsi="宋体" w:cs="宋体"/>
          <w:spacing w:val="8"/>
          <w:kern w:val="0"/>
          <w:szCs w:val="21"/>
        </w:rPr>
        <w:t>万元</w:t>
      </w:r>
    </w:p>
    <w:p w14:paraId="16B3A6F5">
      <w:pPr>
        <w:adjustRightInd w:val="0"/>
        <w:spacing w:line="360" w:lineRule="auto"/>
        <w:ind w:firstLine="420" w:firstLineChars="200"/>
        <w:rPr>
          <w:rFonts w:ascii="宋体" w:hAnsi="宋体" w:cs="宋体"/>
          <w:spacing w:val="8"/>
          <w:kern w:val="0"/>
          <w:szCs w:val="21"/>
        </w:rPr>
      </w:pPr>
      <w:r>
        <w:rPr>
          <w:rFonts w:hint="eastAsia" w:ascii="宋体" w:hAnsi="宋体" w:cs="宋体"/>
          <w:bCs/>
          <w:szCs w:val="21"/>
        </w:rPr>
        <w:t>1.4</w:t>
      </w:r>
      <w:r>
        <w:rPr>
          <w:rFonts w:hint="eastAsia" w:ascii="宋体" w:hAnsi="宋体" w:cs="宋体"/>
          <w:spacing w:val="8"/>
          <w:kern w:val="0"/>
          <w:szCs w:val="21"/>
        </w:rPr>
        <w:t>最高限价：人民币</w:t>
      </w:r>
      <w:r>
        <w:rPr>
          <w:rFonts w:ascii="宋体" w:hAnsi="宋体" w:cs="宋体"/>
          <w:spacing w:val="8"/>
          <w:kern w:val="0"/>
          <w:szCs w:val="21"/>
        </w:rPr>
        <w:t>80</w:t>
      </w:r>
      <w:r>
        <w:rPr>
          <w:rFonts w:hint="eastAsia" w:ascii="宋体" w:hAnsi="宋体" w:cs="宋体"/>
          <w:spacing w:val="8"/>
          <w:kern w:val="0"/>
          <w:szCs w:val="21"/>
        </w:rPr>
        <w:t>万元</w:t>
      </w:r>
    </w:p>
    <w:p w14:paraId="0518B569">
      <w:pPr>
        <w:adjustRightInd w:val="0"/>
        <w:spacing w:line="360" w:lineRule="auto"/>
        <w:ind w:firstLine="420" w:firstLineChars="200"/>
        <w:rPr>
          <w:rFonts w:ascii="宋体" w:hAnsi="宋体" w:cs="宋体"/>
          <w:szCs w:val="21"/>
        </w:rPr>
      </w:pPr>
      <w:r>
        <w:rPr>
          <w:rFonts w:hint="eastAsia" w:ascii="宋体" w:hAnsi="宋体" w:cs="宋体"/>
          <w:bCs/>
          <w:szCs w:val="21"/>
        </w:rPr>
        <w:t>1.5</w:t>
      </w:r>
      <w:r>
        <w:rPr>
          <w:rFonts w:hint="eastAsia" w:ascii="宋体" w:hAnsi="宋体" w:cs="宋体"/>
          <w:spacing w:val="8"/>
          <w:kern w:val="0"/>
          <w:szCs w:val="21"/>
        </w:rPr>
        <w:t>采购需求：</w:t>
      </w:r>
      <w:bookmarkStart w:id="2" w:name="_Hlk173936262"/>
      <w:r>
        <w:rPr>
          <w:rFonts w:hint="eastAsia" w:ascii="宋体" w:hAnsi="宋体" w:cs="宋体"/>
          <w:spacing w:val="8"/>
          <w:kern w:val="0"/>
          <w:szCs w:val="21"/>
        </w:rPr>
        <w:t>以江苏省相关文件为依据，完整准确全面贯彻新发展理念，制定全市生态空间管控区域评估技术方案操作细则，指导全市各区结合现状情况和资源环境承载力评价结果对现行生态空间管控区域开展评估优化工作，承担玄武、秦淮、建邺、鼓楼四区的评估报告和优化方案编制技术工作，统筹市域生态空间管控区域总体面积和布局，在审查、汇总区级成果基础上编制形成市级成果、建立数据库，组织审查论证并修改完善后，由市政府上报省政府。具体需求详见招标文件。</w:t>
      </w:r>
      <w:bookmarkEnd w:id="2"/>
    </w:p>
    <w:p w14:paraId="1FF43DA9">
      <w:pPr>
        <w:widowControl/>
        <w:spacing w:line="360" w:lineRule="auto"/>
        <w:ind w:firstLine="420" w:firstLineChars="200"/>
        <w:rPr>
          <w:rFonts w:ascii="宋体" w:hAnsi="宋体" w:cs="宋体"/>
          <w:spacing w:val="8"/>
          <w:kern w:val="0"/>
          <w:szCs w:val="21"/>
        </w:rPr>
      </w:pPr>
      <w:r>
        <w:rPr>
          <w:rFonts w:hint="eastAsia" w:ascii="宋体" w:hAnsi="宋体" w:cs="宋体"/>
          <w:bCs/>
          <w:szCs w:val="21"/>
        </w:rPr>
        <w:t>1.6</w:t>
      </w:r>
      <w:r>
        <w:rPr>
          <w:rFonts w:hint="eastAsia" w:ascii="宋体" w:hAnsi="宋体" w:cs="宋体"/>
          <w:spacing w:val="8"/>
          <w:kern w:val="0"/>
          <w:szCs w:val="21"/>
        </w:rPr>
        <w:t>合同履行期限：至所有合同内容履行完毕。</w:t>
      </w:r>
    </w:p>
    <w:p w14:paraId="77EE3EEE">
      <w:pPr>
        <w:widowControl/>
        <w:spacing w:line="360" w:lineRule="auto"/>
        <w:ind w:firstLine="420" w:firstLineChars="200"/>
        <w:rPr>
          <w:rFonts w:ascii="宋体" w:hAnsi="宋体" w:cs="宋体"/>
          <w:bCs/>
          <w:szCs w:val="21"/>
        </w:rPr>
      </w:pPr>
      <w:r>
        <w:rPr>
          <w:rFonts w:hint="eastAsia" w:ascii="宋体" w:hAnsi="宋体" w:cs="宋体"/>
          <w:bCs/>
          <w:szCs w:val="21"/>
        </w:rPr>
        <w:t>1.7行业划分：科学研究和技术服务业。</w:t>
      </w:r>
    </w:p>
    <w:p w14:paraId="09F115B1">
      <w:pPr>
        <w:spacing w:line="360" w:lineRule="auto"/>
        <w:ind w:firstLine="420" w:firstLineChars="200"/>
        <w:rPr>
          <w:rFonts w:ascii="宋体" w:hAnsi="宋体" w:cs="宋体"/>
          <w:bCs/>
          <w:szCs w:val="21"/>
          <w:highlight w:val="none"/>
        </w:rPr>
      </w:pPr>
      <w:r>
        <w:rPr>
          <w:rFonts w:hint="eastAsia" w:ascii="宋体" w:hAnsi="宋体" w:cs="宋体"/>
          <w:bCs/>
          <w:szCs w:val="21"/>
          <w:highlight w:val="none"/>
        </w:rPr>
        <w:t>1.8本项目非专门面向中小企业（或监狱企业或残疾人福利性单位）采购。</w:t>
      </w:r>
    </w:p>
    <w:p w14:paraId="00D9EA11">
      <w:pPr>
        <w:spacing w:line="360" w:lineRule="auto"/>
        <w:ind w:firstLine="420" w:firstLineChars="200"/>
        <w:rPr>
          <w:rFonts w:ascii="宋体" w:hAnsi="宋体" w:cs="宋体"/>
          <w:bCs/>
          <w:szCs w:val="21"/>
        </w:rPr>
      </w:pPr>
      <w:r>
        <w:rPr>
          <w:rFonts w:hint="eastAsia" w:ascii="宋体" w:hAnsi="宋体" w:cs="宋体"/>
          <w:bCs/>
          <w:szCs w:val="21"/>
          <w:highlight w:val="none"/>
        </w:rPr>
        <w:t>1.9</w:t>
      </w:r>
      <w:r>
        <w:rPr>
          <w:rFonts w:hint="eastAsia" w:ascii="宋体" w:hAnsi="宋体" w:cs="宋体"/>
          <w:spacing w:val="8"/>
          <w:kern w:val="0"/>
          <w:szCs w:val="21"/>
          <w:highlight w:val="none"/>
        </w:rPr>
        <w:t>本项目接受联合体投</w:t>
      </w:r>
      <w:r>
        <w:rPr>
          <w:rFonts w:hint="eastAsia" w:ascii="宋体" w:hAnsi="宋体" w:cs="宋体"/>
          <w:spacing w:val="8"/>
          <w:kern w:val="0"/>
          <w:szCs w:val="21"/>
        </w:rPr>
        <w:t>标</w:t>
      </w:r>
      <w:r>
        <w:rPr>
          <w:rFonts w:hint="eastAsia" w:ascii="宋体" w:hAnsi="宋体" w:cs="宋体"/>
          <w:bCs/>
          <w:szCs w:val="21"/>
        </w:rPr>
        <w:t>。</w:t>
      </w:r>
    </w:p>
    <w:p w14:paraId="42F53B95">
      <w:pPr>
        <w:spacing w:line="360" w:lineRule="auto"/>
        <w:ind w:firstLine="420" w:firstLineChars="200"/>
        <w:rPr>
          <w:rFonts w:ascii="宋体" w:hAnsi="宋体" w:cs="宋体"/>
          <w:bCs/>
          <w:szCs w:val="21"/>
        </w:rPr>
      </w:pPr>
    </w:p>
    <w:p w14:paraId="54FB9FD1">
      <w:pPr>
        <w:widowControl/>
        <w:spacing w:line="460" w:lineRule="exact"/>
        <w:outlineLvl w:val="1"/>
        <w:rPr>
          <w:rFonts w:ascii="宋体" w:hAnsi="宋体" w:cs="宋体"/>
          <w:b/>
          <w:spacing w:val="8"/>
          <w:kern w:val="0"/>
          <w:sz w:val="24"/>
        </w:rPr>
      </w:pPr>
      <w:r>
        <w:rPr>
          <w:rFonts w:hint="eastAsia" w:ascii="宋体" w:hAnsi="宋体" w:cs="宋体"/>
          <w:b/>
          <w:spacing w:val="8"/>
          <w:kern w:val="0"/>
          <w:sz w:val="24"/>
        </w:rPr>
        <w:t>二、申请人的资格要求</w:t>
      </w:r>
    </w:p>
    <w:p w14:paraId="542EEE50">
      <w:pPr>
        <w:widowControl/>
        <w:spacing w:line="360" w:lineRule="auto"/>
        <w:ind w:firstLine="454" w:firstLineChars="200"/>
        <w:rPr>
          <w:rFonts w:ascii="宋体" w:hAnsi="宋体" w:cs="宋体"/>
          <w:b/>
          <w:spacing w:val="8"/>
          <w:kern w:val="0"/>
          <w:szCs w:val="21"/>
        </w:rPr>
      </w:pPr>
      <w:r>
        <w:rPr>
          <w:rFonts w:hint="eastAsia" w:ascii="宋体" w:hAnsi="宋体" w:cs="宋体"/>
          <w:b/>
          <w:spacing w:val="8"/>
          <w:kern w:val="0"/>
          <w:szCs w:val="21"/>
        </w:rPr>
        <w:t>2.1满足《中华人民共和国政府采购法》第二十二条规定；</w:t>
      </w:r>
    </w:p>
    <w:p w14:paraId="277967A7">
      <w:pPr>
        <w:spacing w:line="360" w:lineRule="auto"/>
        <w:ind w:firstLine="420" w:firstLineChars="200"/>
        <w:rPr>
          <w:rFonts w:ascii="宋体" w:hAnsi="宋体" w:cs="宋体"/>
          <w:bCs/>
          <w:szCs w:val="21"/>
        </w:rPr>
      </w:pPr>
      <w:r>
        <w:rPr>
          <w:rFonts w:hint="eastAsia" w:ascii="宋体" w:hAnsi="宋体" w:cs="宋体"/>
          <w:bCs/>
          <w:szCs w:val="21"/>
        </w:rPr>
        <w:t>（1）具有独立承担民事责任的能力（提供法人或者其他组织的营业执照；供应商为自然人的，提供其身份证）；</w:t>
      </w:r>
    </w:p>
    <w:p w14:paraId="778A3D6B">
      <w:pPr>
        <w:spacing w:line="360" w:lineRule="auto"/>
        <w:ind w:firstLine="420" w:firstLineChars="200"/>
        <w:rPr>
          <w:rFonts w:ascii="宋体" w:hAnsi="宋体" w:cs="宋体"/>
          <w:bCs/>
          <w:szCs w:val="21"/>
        </w:rPr>
      </w:pPr>
      <w:r>
        <w:rPr>
          <w:rFonts w:hint="eastAsia" w:ascii="宋体" w:hAnsi="宋体" w:cs="宋体"/>
          <w:bCs/>
          <w:szCs w:val="21"/>
        </w:rPr>
        <w:t>（2）具有良好的商业信誉和健全的财务会计制度（提供</w:t>
      </w:r>
      <w:r>
        <w:rPr>
          <w:rFonts w:hint="eastAsia" w:ascii="宋体" w:hAnsi="宋体" w:cs="宋体"/>
          <w:spacing w:val="8"/>
          <w:kern w:val="0"/>
          <w:szCs w:val="21"/>
        </w:rPr>
        <w:t>2023年度或2024年度</w:t>
      </w:r>
      <w:r>
        <w:rPr>
          <w:rFonts w:hint="eastAsia" w:ascii="宋体" w:hAnsi="宋体" w:cs="宋体"/>
          <w:bCs/>
          <w:szCs w:val="21"/>
        </w:rPr>
        <w:t>的财务报表，或投标截止时间前六个月内银行出具的资信证明）；</w:t>
      </w:r>
    </w:p>
    <w:p w14:paraId="0D632437">
      <w:pPr>
        <w:spacing w:line="360" w:lineRule="auto"/>
        <w:ind w:firstLine="420" w:firstLineChars="200"/>
        <w:rPr>
          <w:rFonts w:ascii="宋体" w:hAnsi="宋体" w:cs="宋体"/>
          <w:bCs/>
          <w:szCs w:val="21"/>
        </w:rPr>
      </w:pPr>
      <w:r>
        <w:rPr>
          <w:rFonts w:hint="eastAsia" w:ascii="宋体" w:hAnsi="宋体" w:cs="宋体"/>
          <w:bCs/>
          <w:szCs w:val="21"/>
        </w:rPr>
        <w:t>（3）具有履行合同所必需的设备和专业技术能力（供应商根据履行采购项目合同需要，提供履行合同所必需的设备和专业技术能力的证明材料）；</w:t>
      </w:r>
    </w:p>
    <w:p w14:paraId="2F710CA7">
      <w:pPr>
        <w:spacing w:line="360" w:lineRule="auto"/>
        <w:ind w:firstLine="420" w:firstLineChars="200"/>
        <w:rPr>
          <w:rFonts w:ascii="宋体" w:hAnsi="宋体" w:cs="宋体"/>
          <w:bCs/>
          <w:szCs w:val="21"/>
        </w:rPr>
      </w:pPr>
      <w:r>
        <w:rPr>
          <w:rFonts w:hint="eastAsia" w:ascii="宋体" w:hAnsi="宋体" w:cs="宋体"/>
          <w:bCs/>
          <w:szCs w:val="21"/>
        </w:rPr>
        <w:t>（4）有依法缴纳税收和社会保障资金的良好记录（提供参加本次政府采购活动前半年内至少一个月：</w:t>
      </w:r>
      <w:r>
        <w:rPr>
          <w:rFonts w:hint="eastAsia" w:ascii="宋体" w:hAnsi="宋体" w:cs="宋体"/>
          <w:bCs/>
          <w:szCs w:val="21"/>
        </w:rPr>
        <w:fldChar w:fldCharType="begin"/>
      </w:r>
      <w:r>
        <w:rPr>
          <w:rFonts w:hint="eastAsia" w:ascii="宋体" w:hAnsi="宋体" w:cs="宋体"/>
          <w:bCs/>
          <w:szCs w:val="21"/>
        </w:rPr>
        <w:instrText xml:space="preserve"> EQ \o\ac(○,1)</w:instrText>
      </w:r>
      <w:r>
        <w:rPr>
          <w:rFonts w:hint="eastAsia" w:ascii="宋体" w:hAnsi="宋体" w:cs="宋体"/>
          <w:bCs/>
          <w:szCs w:val="21"/>
        </w:rPr>
        <w:fldChar w:fldCharType="end"/>
      </w:r>
      <w:r>
        <w:rPr>
          <w:rFonts w:hint="eastAsia" w:ascii="宋体" w:hAnsi="宋体" w:cs="宋体"/>
          <w:bCs/>
          <w:szCs w:val="21"/>
        </w:rPr>
        <w:t>缴纳税收的凭证；</w:t>
      </w:r>
      <w:r>
        <w:rPr>
          <w:rFonts w:hint="eastAsia" w:ascii="宋体" w:hAnsi="宋体" w:cs="宋体"/>
          <w:bCs/>
          <w:szCs w:val="21"/>
        </w:rPr>
        <w:fldChar w:fldCharType="begin"/>
      </w:r>
      <w:r>
        <w:rPr>
          <w:rFonts w:hint="eastAsia" w:ascii="宋体" w:hAnsi="宋体" w:cs="宋体"/>
          <w:bCs/>
          <w:szCs w:val="21"/>
        </w:rPr>
        <w:instrText xml:space="preserve"> EQ \o\ac(○,2)</w:instrText>
      </w:r>
      <w:r>
        <w:rPr>
          <w:rFonts w:hint="eastAsia" w:ascii="宋体" w:hAnsi="宋体" w:cs="宋体"/>
          <w:bCs/>
          <w:szCs w:val="21"/>
        </w:rPr>
        <w:fldChar w:fldCharType="end"/>
      </w:r>
      <w:r>
        <w:rPr>
          <w:rFonts w:hint="eastAsia" w:ascii="宋体" w:hAnsi="宋体" w:cs="宋体"/>
          <w:bCs/>
          <w:szCs w:val="21"/>
        </w:rPr>
        <w:t>缴纳社会保险的凭据），依法享受免缴、缓缴的，提供证明材料；</w:t>
      </w:r>
    </w:p>
    <w:p w14:paraId="1EFF1EC3">
      <w:pPr>
        <w:spacing w:line="360" w:lineRule="auto"/>
        <w:ind w:firstLine="420" w:firstLineChars="200"/>
        <w:rPr>
          <w:rFonts w:ascii="宋体" w:hAnsi="宋体" w:cs="宋体"/>
          <w:bCs/>
          <w:szCs w:val="21"/>
        </w:rPr>
      </w:pPr>
      <w:r>
        <w:rPr>
          <w:rFonts w:hint="eastAsia" w:ascii="宋体" w:hAnsi="宋体" w:cs="宋体"/>
          <w:bCs/>
          <w:szCs w:val="21"/>
        </w:rPr>
        <w:t>（5）参加政府采购活动前三年内，在经营活动中没有重大违法记录（提供承诺书）；</w:t>
      </w:r>
    </w:p>
    <w:p w14:paraId="3C4BEC3E">
      <w:pPr>
        <w:spacing w:line="360" w:lineRule="auto"/>
        <w:ind w:firstLine="420" w:firstLineChars="200"/>
        <w:rPr>
          <w:rFonts w:ascii="宋体" w:hAnsi="宋体" w:cs="宋体"/>
          <w:bCs/>
          <w:szCs w:val="21"/>
        </w:rPr>
      </w:pPr>
      <w:r>
        <w:rPr>
          <w:rFonts w:hint="eastAsia" w:ascii="宋体" w:hAnsi="宋体" w:cs="宋体"/>
          <w:bCs/>
          <w:szCs w:val="21"/>
        </w:rPr>
        <w:t>（6）法律、行政法规规定的其他条件：无。</w:t>
      </w:r>
    </w:p>
    <w:p w14:paraId="47B2D25A">
      <w:pPr>
        <w:adjustRightInd w:val="0"/>
        <w:snapToGrid w:val="0"/>
        <w:spacing w:line="360" w:lineRule="auto"/>
        <w:ind w:firstLine="454" w:firstLineChars="200"/>
        <w:jc w:val="left"/>
        <w:rPr>
          <w:rFonts w:ascii="宋体" w:hAnsi="宋体" w:cs="宋体"/>
          <w:b/>
          <w:spacing w:val="8"/>
          <w:kern w:val="0"/>
          <w:szCs w:val="21"/>
        </w:rPr>
      </w:pPr>
      <w:r>
        <w:rPr>
          <w:rFonts w:hint="eastAsia" w:ascii="宋体" w:hAnsi="宋体" w:cs="宋体"/>
          <w:b/>
          <w:spacing w:val="8"/>
          <w:kern w:val="0"/>
          <w:szCs w:val="21"/>
        </w:rPr>
        <w:t>2.2落实政府采购政策需满足的资格要求：本项目非专门面向中小企业（或监狱企业或残疾人福利性单位）采购。</w:t>
      </w:r>
    </w:p>
    <w:p w14:paraId="323C99A4">
      <w:pPr>
        <w:spacing w:line="360" w:lineRule="auto"/>
        <w:ind w:firstLine="458" w:firstLineChars="202"/>
        <w:rPr>
          <w:rFonts w:ascii="宋体" w:hAnsi="宋体" w:cs="宋体"/>
          <w:b/>
          <w:spacing w:val="8"/>
          <w:kern w:val="0"/>
          <w:szCs w:val="21"/>
        </w:rPr>
      </w:pPr>
      <w:r>
        <w:rPr>
          <w:rFonts w:hint="eastAsia" w:ascii="宋体" w:hAnsi="宋体" w:cs="宋体"/>
          <w:b/>
          <w:spacing w:val="8"/>
          <w:kern w:val="0"/>
          <w:szCs w:val="21"/>
        </w:rPr>
        <w:t>2.3采购人根据采购项目的特殊要求规定的特定条件，并提供符合特殊要求的证明</w:t>
      </w:r>
      <w:r>
        <w:rPr>
          <w:rFonts w:hint="eastAsia" w:ascii="宋体" w:hAnsi="宋体" w:cs="宋体"/>
          <w:b/>
          <w:szCs w:val="21"/>
        </w:rPr>
        <w:t>材料或者情况</w:t>
      </w:r>
      <w:r>
        <w:rPr>
          <w:rFonts w:hint="eastAsia" w:ascii="宋体" w:hAnsi="宋体" w:cs="宋体"/>
          <w:b/>
          <w:spacing w:val="8"/>
          <w:kern w:val="0"/>
          <w:szCs w:val="21"/>
        </w:rPr>
        <w:t>说明：</w:t>
      </w:r>
      <w:r>
        <w:rPr>
          <w:rFonts w:hint="eastAsia" w:ascii="宋体" w:hAnsi="宋体" w:cs="宋体"/>
          <w:b/>
          <w:szCs w:val="21"/>
        </w:rPr>
        <w:t>供应商须具有城乡规划编制甲级及以上资质。（提供</w:t>
      </w:r>
      <w:r>
        <w:rPr>
          <w:rFonts w:hint="eastAsia" w:ascii="宋体" w:hAnsi="宋体" w:cs="宋体"/>
          <w:b/>
          <w:szCs w:val="21"/>
          <w:lang w:val="en-US" w:eastAsia="zh-CN"/>
        </w:rPr>
        <w:t>有效期内的</w:t>
      </w:r>
      <w:r>
        <w:rPr>
          <w:rFonts w:hint="eastAsia" w:ascii="宋体" w:hAnsi="宋体" w:cs="宋体"/>
          <w:b/>
          <w:szCs w:val="21"/>
        </w:rPr>
        <w:t>证书复印件并加盖公章）</w:t>
      </w:r>
      <w:r>
        <w:rPr>
          <w:rFonts w:hint="eastAsia" w:ascii="宋体" w:hAnsi="宋体" w:cs="宋体"/>
          <w:szCs w:val="21"/>
        </w:rPr>
        <w:t>。</w:t>
      </w:r>
    </w:p>
    <w:p w14:paraId="59DF0557">
      <w:pPr>
        <w:spacing w:line="360" w:lineRule="auto"/>
        <w:ind w:firstLine="426" w:firstLineChars="202"/>
        <w:rPr>
          <w:rFonts w:ascii="宋体" w:hAnsi="宋体" w:cs="宋体"/>
          <w:b/>
          <w:szCs w:val="21"/>
        </w:rPr>
      </w:pPr>
      <w:r>
        <w:rPr>
          <w:rFonts w:hint="eastAsia" w:ascii="宋体" w:hAnsi="宋体" w:cs="宋体"/>
          <w:b/>
          <w:szCs w:val="21"/>
        </w:rPr>
        <w:t>2.4提供《南京市政府采购供应商信用记录表暨信用承诺书》网站在线打印，法定代表人签字并盖单位公章。</w:t>
      </w:r>
    </w:p>
    <w:p w14:paraId="5BDCAF7F">
      <w:pPr>
        <w:spacing w:line="360" w:lineRule="auto"/>
        <w:ind w:firstLine="426" w:firstLineChars="202"/>
        <w:rPr>
          <w:rFonts w:ascii="宋体" w:hAnsi="宋体" w:cs="宋体"/>
          <w:b/>
          <w:szCs w:val="21"/>
        </w:rPr>
      </w:pPr>
      <w:r>
        <w:rPr>
          <w:rFonts w:hint="eastAsia" w:ascii="宋体" w:hAnsi="宋体" w:cs="宋体"/>
          <w:b/>
          <w:szCs w:val="21"/>
        </w:rPr>
        <w:t>2.5 拒绝下述供应商参加本次招标活动：</w:t>
      </w:r>
    </w:p>
    <w:p w14:paraId="3C45939F">
      <w:pPr>
        <w:spacing w:line="360" w:lineRule="auto"/>
        <w:ind w:firstLine="424" w:firstLineChars="202"/>
        <w:rPr>
          <w:rFonts w:ascii="宋体" w:hAnsi="宋体" w:cs="宋体"/>
          <w:bCs/>
          <w:szCs w:val="21"/>
        </w:rPr>
      </w:pPr>
      <w:r>
        <w:rPr>
          <w:rFonts w:hint="eastAsia" w:ascii="宋体" w:hAnsi="宋体" w:cs="宋体"/>
          <w:bCs/>
          <w:szCs w:val="21"/>
        </w:rPr>
        <w:t>（1）单位负责人为同一人或者存在直接控股、管理关系的不同供应商，不得参加同一合同项下的政府采购活动。</w:t>
      </w:r>
    </w:p>
    <w:p w14:paraId="543D1799">
      <w:pPr>
        <w:spacing w:line="360" w:lineRule="auto"/>
        <w:ind w:firstLine="424" w:firstLineChars="202"/>
        <w:rPr>
          <w:rFonts w:ascii="宋体" w:hAnsi="宋体" w:cs="宋体"/>
          <w:bCs/>
          <w:szCs w:val="21"/>
        </w:rPr>
      </w:pPr>
      <w:r>
        <w:rPr>
          <w:rFonts w:hint="eastAsia" w:ascii="宋体" w:hAnsi="宋体" w:cs="宋体"/>
          <w:bCs/>
          <w:szCs w:val="21"/>
        </w:rPr>
        <w:t>（2）为采购项目提供整体设计、规范编制或者项目管理、监理、检测等服务的供应商，不得参加本项目的采购活动。</w:t>
      </w:r>
    </w:p>
    <w:p w14:paraId="46BF2472">
      <w:pPr>
        <w:spacing w:line="360" w:lineRule="auto"/>
        <w:ind w:firstLine="420" w:firstLineChars="200"/>
        <w:rPr>
          <w:rFonts w:ascii="宋体" w:hAnsi="宋体" w:cs="宋体"/>
          <w:bCs/>
          <w:szCs w:val="21"/>
        </w:rPr>
      </w:pPr>
      <w:r>
        <w:rPr>
          <w:rFonts w:hint="eastAsia" w:ascii="宋体" w:hAnsi="宋体" w:cs="宋体"/>
          <w:bCs/>
          <w:szCs w:val="21"/>
        </w:rPr>
        <w:t>（3）供应商被“信用中国”网站（www.creditchina.gov.cn）、“中国政府采购网”(www.ccgp.gov.cn)列入失信被执行人、</w:t>
      </w:r>
      <w:r>
        <w:rPr>
          <w:rFonts w:hint="eastAsia" w:ascii="宋体" w:hAnsi="宋体" w:cs="宋体"/>
          <w:bCs/>
          <w:szCs w:val="21"/>
          <w:lang w:eastAsia="zh-CN"/>
        </w:rPr>
        <w:t>重大税收违法失信主体名单</w:t>
      </w:r>
      <w:r>
        <w:rPr>
          <w:rFonts w:hint="eastAsia" w:ascii="宋体" w:hAnsi="宋体" w:cs="宋体"/>
          <w:bCs/>
          <w:szCs w:val="21"/>
        </w:rPr>
        <w:t>、政府采购严重违法失信行为记录名单。</w:t>
      </w:r>
    </w:p>
    <w:p w14:paraId="1A9D45F9">
      <w:pPr>
        <w:pStyle w:val="60"/>
        <w:spacing w:line="360" w:lineRule="auto"/>
        <w:rPr>
          <w:rFonts w:ascii="宋体" w:hAnsi="宋体" w:cs="宋体"/>
          <w:bCs/>
          <w:szCs w:val="21"/>
        </w:rPr>
      </w:pPr>
      <w:r>
        <w:rPr>
          <w:rFonts w:hint="eastAsia" w:ascii="宋体" w:hAnsi="宋体" w:cs="宋体"/>
          <w:bCs/>
          <w:szCs w:val="21"/>
        </w:rPr>
        <w:t>2.6对于接受供应商以联合体形式参加采购活动的项目：</w:t>
      </w:r>
    </w:p>
    <w:p w14:paraId="48A96CAC">
      <w:pPr>
        <w:pStyle w:val="60"/>
        <w:spacing w:line="360" w:lineRule="auto"/>
        <w:rPr>
          <w:rFonts w:ascii="宋体" w:hAnsi="宋体" w:cs="宋体"/>
          <w:bCs/>
          <w:szCs w:val="21"/>
        </w:rPr>
      </w:pPr>
      <w:r>
        <w:rPr>
          <w:rFonts w:hint="eastAsia" w:ascii="宋体" w:hAnsi="宋体" w:cs="宋体"/>
          <w:bCs/>
          <w:szCs w:val="21"/>
        </w:rPr>
        <w:t>1）两个以上的自然人、法人或者其他组织可以组成一个联合体，以一个供应商的身份共同参加政府采购。</w:t>
      </w:r>
    </w:p>
    <w:p w14:paraId="0B5590A4">
      <w:pPr>
        <w:pStyle w:val="60"/>
        <w:spacing w:line="360" w:lineRule="auto"/>
        <w:rPr>
          <w:rFonts w:ascii="宋体" w:hAnsi="宋体" w:cs="宋体"/>
          <w:bCs/>
          <w:szCs w:val="21"/>
        </w:rPr>
      </w:pPr>
      <w:r>
        <w:rPr>
          <w:rFonts w:hint="eastAsia" w:ascii="宋体" w:hAnsi="宋体" w:cs="宋体"/>
          <w:bCs/>
          <w:szCs w:val="21"/>
        </w:rPr>
        <w:t>2）以联合体形式进行政府采购的，参加联合体的供应商均应当具备政府采购法第二十二条规定的条件，并应当向采购人提交联合协议，载明联合体各方承担的工作和义务。联合体各方应当共同与采购人签订采购合同，就采购合同约定的事项对采购人承担连带责任。</w:t>
      </w:r>
    </w:p>
    <w:p w14:paraId="6F7026F0">
      <w:pPr>
        <w:pStyle w:val="60"/>
        <w:spacing w:line="360" w:lineRule="auto"/>
        <w:rPr>
          <w:rFonts w:ascii="宋体" w:hAnsi="宋体" w:cs="宋体"/>
          <w:bCs/>
          <w:szCs w:val="21"/>
        </w:rPr>
      </w:pPr>
      <w:r>
        <w:rPr>
          <w:rFonts w:hint="eastAsia" w:ascii="宋体" w:hAnsi="宋体" w:cs="宋体"/>
          <w:bCs/>
          <w:szCs w:val="21"/>
        </w:rPr>
        <w:t>3）联合体中有同类资质的供应商按照联合体分工承担相同工作的，应当按照资质等级较低的供应商确定资质等级。</w:t>
      </w:r>
    </w:p>
    <w:p w14:paraId="20E82844">
      <w:pPr>
        <w:pStyle w:val="60"/>
        <w:spacing w:line="360" w:lineRule="auto"/>
        <w:rPr>
          <w:rFonts w:ascii="宋体" w:hAnsi="宋体" w:cs="宋体"/>
          <w:bCs/>
          <w:szCs w:val="21"/>
        </w:rPr>
      </w:pPr>
      <w:r>
        <w:rPr>
          <w:rFonts w:hint="eastAsia" w:ascii="宋体" w:hAnsi="宋体" w:cs="宋体"/>
          <w:bCs/>
          <w:szCs w:val="21"/>
        </w:rPr>
        <w:t>4）以联合体形式参加政府采购活动的，联合体各方不得再单独参加或者与其他供应商另外组成联合体参加同一合同项下的政府采购活动。</w:t>
      </w:r>
    </w:p>
    <w:p w14:paraId="78BF5A9A">
      <w:pPr>
        <w:pStyle w:val="60"/>
        <w:spacing w:line="360" w:lineRule="auto"/>
      </w:pPr>
      <w:r>
        <w:rPr>
          <w:rFonts w:hint="eastAsia" w:ascii="宋体" w:hAnsi="宋体" w:cs="宋体"/>
          <w:bCs/>
          <w:szCs w:val="21"/>
        </w:rPr>
        <w:t>5）联合体成员存在不良信用记录的，视同联合体存在不良信用记录。</w:t>
      </w:r>
    </w:p>
    <w:p w14:paraId="4E736033">
      <w:pPr>
        <w:widowControl/>
        <w:spacing w:line="460" w:lineRule="exact"/>
        <w:outlineLvl w:val="9"/>
        <w:rPr>
          <w:rFonts w:hint="eastAsia" w:ascii="宋体" w:hAnsi="宋体" w:cs="宋体"/>
          <w:b/>
          <w:spacing w:val="8"/>
          <w:kern w:val="0"/>
          <w:sz w:val="24"/>
        </w:rPr>
      </w:pPr>
    </w:p>
    <w:p w14:paraId="2DE5F76A">
      <w:pPr>
        <w:widowControl/>
        <w:spacing w:line="460" w:lineRule="exact"/>
        <w:outlineLvl w:val="1"/>
        <w:rPr>
          <w:rFonts w:ascii="宋体" w:hAnsi="宋体" w:cs="宋体"/>
          <w:b/>
          <w:spacing w:val="8"/>
          <w:kern w:val="0"/>
          <w:sz w:val="24"/>
        </w:rPr>
      </w:pPr>
      <w:r>
        <w:rPr>
          <w:rFonts w:hint="eastAsia" w:ascii="宋体" w:hAnsi="宋体" w:cs="宋体"/>
          <w:b/>
          <w:spacing w:val="8"/>
          <w:kern w:val="0"/>
          <w:sz w:val="24"/>
        </w:rPr>
        <w:t>三、获取招标文件</w:t>
      </w:r>
    </w:p>
    <w:p w14:paraId="6A517AB7">
      <w:pPr>
        <w:widowControl/>
        <w:shd w:val="clear" w:color="auto" w:fill="FFFFFF" w:themeFill="background1"/>
        <w:spacing w:line="360" w:lineRule="auto"/>
        <w:ind w:firstLine="452" w:firstLineChars="200"/>
        <w:rPr>
          <w:rFonts w:ascii="宋体" w:hAnsi="宋体" w:cs="宋体"/>
          <w:spacing w:val="8"/>
          <w:kern w:val="0"/>
          <w:szCs w:val="21"/>
        </w:rPr>
      </w:pPr>
      <w:r>
        <w:rPr>
          <w:rFonts w:hint="eastAsia" w:ascii="宋体" w:hAnsi="宋体" w:cs="宋体"/>
          <w:spacing w:val="8"/>
          <w:kern w:val="0"/>
          <w:szCs w:val="21"/>
        </w:rPr>
        <w:t>3.1</w:t>
      </w:r>
      <w:r>
        <w:rPr>
          <w:rFonts w:hint="eastAsia" w:ascii="宋体" w:hAnsi="宋体" w:cs="宋体"/>
          <w:b/>
          <w:bCs/>
          <w:spacing w:val="8"/>
          <w:kern w:val="0"/>
          <w:szCs w:val="21"/>
        </w:rPr>
        <w:t>时间：</w:t>
      </w:r>
      <w:r>
        <w:rPr>
          <w:rFonts w:hint="eastAsia" w:ascii="宋体" w:hAnsi="宋体" w:cs="宋体"/>
          <w:b/>
          <w:bCs/>
        </w:rPr>
        <w:t>2025年</w:t>
      </w:r>
      <w:r>
        <w:rPr>
          <w:rFonts w:ascii="宋体" w:hAnsi="宋体" w:cs="宋体"/>
          <w:b/>
          <w:bCs/>
        </w:rPr>
        <w:t>7</w:t>
      </w:r>
      <w:r>
        <w:rPr>
          <w:rFonts w:hint="eastAsia" w:ascii="宋体" w:hAnsi="宋体" w:cs="宋体"/>
          <w:b/>
          <w:bCs/>
        </w:rPr>
        <w:t>月</w:t>
      </w:r>
      <w:r>
        <w:rPr>
          <w:rFonts w:hint="eastAsia" w:ascii="宋体" w:hAnsi="宋体" w:cs="宋体"/>
          <w:b/>
          <w:bCs/>
          <w:lang w:val="en-US" w:eastAsia="zh-CN"/>
        </w:rPr>
        <w:t>7</w:t>
      </w:r>
      <w:r>
        <w:rPr>
          <w:rFonts w:hint="eastAsia" w:ascii="宋体" w:hAnsi="宋体" w:cs="宋体"/>
          <w:b/>
          <w:bCs/>
        </w:rPr>
        <w:t>日</w:t>
      </w:r>
      <w:r>
        <w:rPr>
          <w:rFonts w:hint="eastAsia" w:ascii="宋体" w:hAnsi="宋体" w:cs="宋体"/>
          <w:b/>
          <w:bCs/>
          <w:spacing w:val="8"/>
          <w:kern w:val="0"/>
          <w:szCs w:val="21"/>
        </w:rPr>
        <w:t>至</w:t>
      </w:r>
      <w:r>
        <w:rPr>
          <w:rFonts w:hint="eastAsia" w:ascii="宋体" w:hAnsi="宋体" w:cs="宋体"/>
          <w:b/>
          <w:bCs/>
        </w:rPr>
        <w:t>2025</w:t>
      </w:r>
      <w:r>
        <w:rPr>
          <w:rFonts w:hint="eastAsia" w:ascii="宋体" w:hAnsi="宋体" w:cs="宋体"/>
          <w:b/>
          <w:bCs/>
          <w:spacing w:val="8"/>
          <w:kern w:val="0"/>
          <w:szCs w:val="21"/>
        </w:rPr>
        <w:t>年</w:t>
      </w:r>
      <w:r>
        <w:rPr>
          <w:rFonts w:ascii="宋体" w:hAnsi="宋体" w:cs="宋体"/>
          <w:b/>
          <w:bCs/>
        </w:rPr>
        <w:t>7</w:t>
      </w:r>
      <w:r>
        <w:rPr>
          <w:rFonts w:hint="eastAsia" w:ascii="宋体" w:hAnsi="宋体" w:cs="宋体"/>
          <w:b/>
          <w:bCs/>
          <w:spacing w:val="8"/>
          <w:kern w:val="0"/>
          <w:szCs w:val="21"/>
        </w:rPr>
        <w:t>月</w:t>
      </w:r>
      <w:r>
        <w:rPr>
          <w:rFonts w:hint="eastAsia" w:ascii="宋体" w:hAnsi="宋体" w:cs="宋体"/>
          <w:b/>
          <w:bCs/>
          <w:spacing w:val="8"/>
          <w:kern w:val="0"/>
          <w:szCs w:val="21"/>
          <w:lang w:val="en-US" w:eastAsia="zh-CN"/>
        </w:rPr>
        <w:t>14</w:t>
      </w:r>
      <w:r>
        <w:rPr>
          <w:rFonts w:hint="eastAsia" w:ascii="宋体" w:hAnsi="宋体" w:cs="宋体"/>
          <w:b/>
          <w:bCs/>
          <w:spacing w:val="8"/>
          <w:kern w:val="0"/>
          <w:szCs w:val="21"/>
        </w:rPr>
        <w:t>日17时30分。</w:t>
      </w:r>
      <w:r>
        <w:rPr>
          <w:rFonts w:hint="eastAsia" w:ascii="宋体" w:hAnsi="宋体" w:cs="宋体"/>
          <w:spacing w:val="8"/>
          <w:kern w:val="0"/>
          <w:szCs w:val="21"/>
        </w:rPr>
        <w:t>（北京时间，法定节假日除外）</w:t>
      </w:r>
    </w:p>
    <w:p w14:paraId="52DDBD2F">
      <w:pPr>
        <w:widowControl/>
        <w:shd w:val="clear" w:color="auto" w:fill="FFFFFF" w:themeFill="background1"/>
        <w:spacing w:line="360" w:lineRule="auto"/>
        <w:ind w:firstLine="452" w:firstLineChars="200"/>
        <w:rPr>
          <w:rFonts w:ascii="宋体" w:hAnsi="宋体" w:cs="宋体"/>
          <w:spacing w:val="8"/>
          <w:kern w:val="0"/>
          <w:szCs w:val="21"/>
        </w:rPr>
      </w:pPr>
      <w:r>
        <w:rPr>
          <w:rFonts w:hint="eastAsia" w:ascii="宋体" w:hAnsi="宋体" w:cs="宋体"/>
          <w:spacing w:val="8"/>
          <w:kern w:val="0"/>
          <w:szCs w:val="21"/>
        </w:rPr>
        <w:t>3.2地点及方式：</w:t>
      </w:r>
    </w:p>
    <w:p w14:paraId="1FAF93D6">
      <w:pPr>
        <w:widowControl/>
        <w:spacing w:line="360" w:lineRule="auto"/>
        <w:ind w:firstLine="420" w:firstLineChars="200"/>
        <w:rPr>
          <w:rFonts w:ascii="宋体" w:hAnsi="宋体" w:cs="宋体"/>
          <w:szCs w:val="21"/>
        </w:rPr>
      </w:pPr>
      <w:r>
        <w:rPr>
          <w:rFonts w:hint="eastAsia" w:ascii="宋体" w:hAnsi="宋体" w:cs="宋体"/>
          <w:szCs w:val="21"/>
        </w:rPr>
        <w:t>（1）纸质采购文件工本费：人民币100元/套，纸质采购文件获取地点：南京市鼓楼区清江南路18号鼓楼创新广场D栋10楼1001室。</w:t>
      </w:r>
    </w:p>
    <w:p w14:paraId="3611121B">
      <w:pPr>
        <w:widowControl/>
        <w:spacing w:line="360" w:lineRule="auto"/>
        <w:ind w:firstLine="420" w:firstLineChars="200"/>
        <w:rPr>
          <w:rFonts w:ascii="宋体" w:hAnsi="宋体" w:cs="宋体"/>
          <w:szCs w:val="21"/>
        </w:rPr>
      </w:pPr>
      <w:r>
        <w:rPr>
          <w:rFonts w:hint="eastAsia" w:ascii="宋体" w:hAnsi="宋体" w:cs="宋体"/>
          <w:szCs w:val="21"/>
        </w:rPr>
        <w:t>（2）供应商获取纸质采购文件前须前往登录江苏国企阳光交易平台（网址为：https://www.jsygjy.cn）按照要求进行实名会员注册、完善相关信息及选择项目报名、下载文件。</w:t>
      </w:r>
    </w:p>
    <w:p w14:paraId="47F05E44">
      <w:pPr>
        <w:widowControl/>
        <w:spacing w:line="360" w:lineRule="auto"/>
        <w:ind w:firstLine="420" w:firstLineChars="200"/>
        <w:rPr>
          <w:rFonts w:ascii="宋体" w:hAnsi="宋体" w:cs="宋体"/>
          <w:szCs w:val="21"/>
        </w:rPr>
      </w:pPr>
      <w:r>
        <w:rPr>
          <w:rFonts w:hint="eastAsia" w:ascii="宋体" w:hAnsi="宋体" w:cs="宋体"/>
          <w:szCs w:val="21"/>
        </w:rPr>
        <w:t>（3）平台网址为：https://www.jsygjy.cn。下载者首次登录平台前，须前往平台免费注册，注册成功且完善相关信息后，可以及时参与平台上所有发布的项目。</w:t>
      </w:r>
    </w:p>
    <w:p w14:paraId="6B5D22FA">
      <w:pPr>
        <w:widowControl/>
        <w:spacing w:line="360" w:lineRule="auto"/>
        <w:ind w:firstLine="420" w:firstLineChars="200"/>
        <w:rPr>
          <w:rFonts w:ascii="宋体" w:hAnsi="宋体" w:cs="宋体"/>
          <w:szCs w:val="21"/>
        </w:rPr>
      </w:pPr>
      <w:r>
        <w:rPr>
          <w:rFonts w:hint="eastAsia" w:ascii="宋体" w:hAnsi="宋体" w:cs="宋体"/>
          <w:szCs w:val="21"/>
        </w:rPr>
        <w:t>（4）下载者应充分考虑平台注册、信息检查、资料上传、购标确认、费用支付所需时间，下载者必须在获取时间内完成支付，否则将无法保证获取文件。未按照本公告要求获得本项目文件的，采购代理机构不予接收其响应文件。</w:t>
      </w:r>
    </w:p>
    <w:p w14:paraId="6F13CD93">
      <w:pPr>
        <w:widowControl/>
        <w:spacing w:line="360" w:lineRule="auto"/>
        <w:ind w:firstLine="420" w:firstLineChars="200"/>
        <w:rPr>
          <w:rFonts w:ascii="宋体" w:hAnsi="宋体" w:cs="宋体"/>
          <w:szCs w:val="21"/>
        </w:rPr>
      </w:pPr>
      <w:r>
        <w:rPr>
          <w:rFonts w:hint="eastAsia" w:ascii="宋体" w:hAnsi="宋体" w:cs="宋体"/>
          <w:szCs w:val="21"/>
        </w:rPr>
        <w:t>（5）下载者需要发票的，须通过平台“费用管理”模块进行操作。招标文件服务费发票由招标代理机构开具；下载者可在“费用管理--发票管理”下载发票。</w:t>
      </w:r>
    </w:p>
    <w:p w14:paraId="65C26AE0">
      <w:pPr>
        <w:widowControl/>
        <w:spacing w:line="360" w:lineRule="auto"/>
        <w:ind w:firstLine="420" w:firstLineChars="200"/>
        <w:rPr>
          <w:rFonts w:ascii="宋体" w:hAnsi="宋体" w:cs="宋体"/>
          <w:szCs w:val="21"/>
        </w:rPr>
      </w:pPr>
      <w:r>
        <w:rPr>
          <w:rFonts w:hint="eastAsia" w:ascii="宋体" w:hAnsi="宋体" w:cs="宋体"/>
          <w:szCs w:val="21"/>
        </w:rPr>
        <w:t>（6）平台网站首页“帮助中心”提供操作手册，下载者可以下载并根据操作手册提示进行注册、登录等操作。平台会通过短信提醒下载者进行注册、支付、下载等操作。供应商平台咨询电话：</w:t>
      </w:r>
      <w:r>
        <w:rPr>
          <w:rFonts w:ascii="宋体" w:hAnsi="宋体" w:cs="宋体"/>
          <w:szCs w:val="21"/>
        </w:rPr>
        <w:t>025-83306809</w:t>
      </w:r>
      <w:r>
        <w:rPr>
          <w:rFonts w:hint="eastAsia" w:ascii="宋体" w:hAnsi="宋体" w:cs="宋体"/>
          <w:szCs w:val="21"/>
        </w:rPr>
        <w:t>。</w:t>
      </w:r>
    </w:p>
    <w:p w14:paraId="38F86487">
      <w:pPr>
        <w:widowControl/>
        <w:spacing w:line="360" w:lineRule="auto"/>
        <w:ind w:firstLine="420" w:firstLineChars="200"/>
        <w:rPr>
          <w:rFonts w:ascii="宋体" w:hAnsi="宋体" w:cs="宋体"/>
          <w:szCs w:val="21"/>
        </w:rPr>
      </w:pPr>
      <w:r>
        <w:rPr>
          <w:rFonts w:hint="eastAsia" w:ascii="宋体" w:hAnsi="宋体" w:cs="宋体"/>
          <w:szCs w:val="21"/>
        </w:rPr>
        <w:t>（7）联合体响应（如允许）的，联合体各方应当指定牵头人，并授权其以自身名义在平台办理注册、下载文件、缴纳保证金等手续，其在平台的办理行为，对联合体各方均具有约束力。</w:t>
      </w:r>
    </w:p>
    <w:p w14:paraId="2C355E9E">
      <w:pPr>
        <w:widowControl/>
        <w:shd w:val="clear" w:color="auto" w:fill="FFFFFF" w:themeFill="background1"/>
        <w:spacing w:line="360" w:lineRule="auto"/>
        <w:ind w:firstLine="452" w:firstLineChars="200"/>
        <w:rPr>
          <w:rFonts w:ascii="宋体" w:hAnsi="宋体" w:cs="宋体"/>
          <w:szCs w:val="21"/>
        </w:rPr>
      </w:pPr>
      <w:r>
        <w:rPr>
          <w:rFonts w:hint="eastAsia" w:ascii="宋体" w:hAnsi="宋体" w:cs="宋体"/>
          <w:spacing w:val="8"/>
          <w:kern w:val="0"/>
          <w:szCs w:val="21"/>
        </w:rPr>
        <w:t>3.3招标文件服务费</w:t>
      </w:r>
      <w:r>
        <w:rPr>
          <w:rFonts w:hint="eastAsia" w:ascii="宋体" w:hAnsi="宋体" w:cs="宋体"/>
          <w:szCs w:val="21"/>
        </w:rPr>
        <w:t>每套100元，售后不退。</w:t>
      </w:r>
    </w:p>
    <w:p w14:paraId="167BA97E">
      <w:pPr>
        <w:widowControl/>
        <w:spacing w:line="360" w:lineRule="auto"/>
        <w:ind w:firstLine="480" w:firstLineChars="200"/>
        <w:rPr>
          <w:rFonts w:ascii="宋体" w:hAnsi="宋体" w:cs="宋体"/>
          <w:spacing w:val="15"/>
          <w:szCs w:val="21"/>
          <w:shd w:val="clear" w:color="auto" w:fill="FFFFFF"/>
        </w:rPr>
      </w:pPr>
    </w:p>
    <w:p w14:paraId="2122154D">
      <w:pPr>
        <w:widowControl/>
        <w:spacing w:line="360" w:lineRule="auto"/>
        <w:outlineLvl w:val="1"/>
        <w:rPr>
          <w:rFonts w:ascii="宋体" w:hAnsi="宋体" w:cs="宋体"/>
          <w:b/>
          <w:spacing w:val="8"/>
          <w:kern w:val="0"/>
          <w:sz w:val="24"/>
        </w:rPr>
      </w:pPr>
      <w:r>
        <w:rPr>
          <w:rFonts w:hint="eastAsia" w:ascii="宋体" w:hAnsi="宋体" w:cs="宋体"/>
          <w:b/>
          <w:spacing w:val="8"/>
          <w:kern w:val="0"/>
          <w:sz w:val="24"/>
        </w:rPr>
        <w:t>四、提交投标文件截止时间、开标时间和地点</w:t>
      </w:r>
    </w:p>
    <w:p w14:paraId="3397EC3C">
      <w:pPr>
        <w:widowControl/>
        <w:spacing w:line="360" w:lineRule="auto"/>
        <w:ind w:firstLine="452" w:firstLineChars="200"/>
        <w:rPr>
          <w:rFonts w:ascii="宋体" w:hAnsi="宋体" w:cs="宋体"/>
          <w:spacing w:val="8"/>
          <w:kern w:val="0"/>
          <w:szCs w:val="21"/>
        </w:rPr>
      </w:pPr>
      <w:r>
        <w:rPr>
          <w:rFonts w:hint="eastAsia" w:ascii="宋体" w:hAnsi="宋体" w:cs="宋体"/>
          <w:spacing w:val="8"/>
          <w:kern w:val="0"/>
          <w:szCs w:val="21"/>
        </w:rPr>
        <w:t>4.1提交投标文件截止及开标时间：</w:t>
      </w:r>
      <w:r>
        <w:rPr>
          <w:rFonts w:hint="eastAsia" w:ascii="宋体" w:hAnsi="宋体" w:cs="宋体"/>
          <w:b/>
          <w:bCs/>
          <w:spacing w:val="8"/>
          <w:kern w:val="0"/>
          <w:szCs w:val="21"/>
        </w:rPr>
        <w:t>2025年7月</w:t>
      </w:r>
      <w:r>
        <w:rPr>
          <w:rFonts w:hint="eastAsia" w:ascii="宋体" w:hAnsi="宋体" w:cs="宋体"/>
          <w:b/>
          <w:bCs/>
          <w:spacing w:val="8"/>
          <w:kern w:val="0"/>
          <w:szCs w:val="21"/>
          <w:lang w:val="en-US" w:eastAsia="zh-CN"/>
        </w:rPr>
        <w:t>28</w:t>
      </w:r>
      <w:r>
        <w:rPr>
          <w:rFonts w:hint="eastAsia" w:ascii="宋体" w:hAnsi="宋体" w:cs="宋体"/>
          <w:b/>
          <w:bCs/>
          <w:spacing w:val="8"/>
          <w:kern w:val="0"/>
          <w:szCs w:val="21"/>
        </w:rPr>
        <w:t>日14点30分</w:t>
      </w:r>
      <w:r>
        <w:rPr>
          <w:rFonts w:hint="eastAsia" w:ascii="宋体" w:hAnsi="宋体" w:cs="宋体"/>
          <w:spacing w:val="8"/>
          <w:kern w:val="0"/>
          <w:szCs w:val="21"/>
        </w:rPr>
        <w:t>（北京时间）</w:t>
      </w:r>
    </w:p>
    <w:p w14:paraId="664E9BA7">
      <w:pPr>
        <w:widowControl/>
        <w:spacing w:line="360" w:lineRule="auto"/>
        <w:ind w:firstLine="452" w:firstLineChars="200"/>
        <w:rPr>
          <w:rFonts w:hint="eastAsia" w:ascii="宋体" w:hAnsi="宋体" w:eastAsia="宋体" w:cs="宋体"/>
          <w:spacing w:val="8"/>
          <w:kern w:val="0"/>
          <w:szCs w:val="21"/>
          <w:lang w:eastAsia="zh-CN"/>
        </w:rPr>
      </w:pPr>
      <w:r>
        <w:rPr>
          <w:rFonts w:hint="eastAsia" w:ascii="宋体" w:hAnsi="宋体" w:cs="宋体"/>
          <w:spacing w:val="8"/>
          <w:kern w:val="0"/>
          <w:szCs w:val="21"/>
        </w:rPr>
        <w:t>4.2提交投标文件地点及开标地点：南京市鼓楼区清江南路18号鼓楼创新广场D栋11楼</w:t>
      </w:r>
      <w:r>
        <w:rPr>
          <w:rFonts w:hint="eastAsia" w:ascii="宋体" w:hAnsi="宋体" w:cs="宋体"/>
          <w:spacing w:val="8"/>
          <w:kern w:val="0"/>
          <w:szCs w:val="21"/>
          <w:lang w:eastAsia="zh-CN"/>
        </w:rPr>
        <w:t>1号开标室</w:t>
      </w:r>
    </w:p>
    <w:p w14:paraId="70B6380C">
      <w:pPr>
        <w:widowControl/>
        <w:spacing w:line="360" w:lineRule="auto"/>
        <w:ind w:firstLine="452" w:firstLineChars="200"/>
        <w:rPr>
          <w:rFonts w:ascii="宋体" w:hAnsi="宋体" w:cs="宋体"/>
          <w:szCs w:val="21"/>
        </w:rPr>
      </w:pPr>
      <w:r>
        <w:rPr>
          <w:rFonts w:hint="eastAsia" w:ascii="宋体" w:hAnsi="宋体" w:cs="宋体"/>
          <w:spacing w:val="8"/>
          <w:kern w:val="0"/>
          <w:szCs w:val="21"/>
        </w:rPr>
        <w:t>4.3</w:t>
      </w:r>
      <w:r>
        <w:rPr>
          <w:rFonts w:hint="eastAsia" w:ascii="宋体" w:hAnsi="宋体" w:cs="宋体"/>
          <w:b/>
          <w:bCs/>
          <w:szCs w:val="21"/>
        </w:rPr>
        <w:t>投标人应提供投标文件一式伍份（正本壹份、副本肆份），所有投标文件均应密封后递交，同时应提供电子版投标文件壹份（电子版须为投标文件正本加盖公章、签字后形成PDF扫描件，扫描件内容应与纸质投标文件正本完全一致、U盘形式（单独封装）、随纸质正本文件一并提交）。</w:t>
      </w:r>
      <w:r>
        <w:rPr>
          <w:rFonts w:hint="eastAsia" w:ascii="宋体" w:hAnsi="宋体" w:cs="宋体"/>
          <w:szCs w:val="21"/>
        </w:rPr>
        <w:t>当电子版文件和纸质正本文件不一致时，以纸质正本文件为准。电子版文件用于辅助评标和平台存档，投标人需承担前述不一致造成的不利后果。</w:t>
      </w:r>
    </w:p>
    <w:p w14:paraId="19911128">
      <w:pPr>
        <w:widowControl/>
        <w:spacing w:line="460" w:lineRule="exact"/>
        <w:ind w:firstLine="370"/>
        <w:rPr>
          <w:rFonts w:ascii="宋体" w:hAnsi="宋体" w:cs="宋体"/>
          <w:spacing w:val="8"/>
          <w:kern w:val="0"/>
          <w:szCs w:val="21"/>
        </w:rPr>
      </w:pPr>
    </w:p>
    <w:p w14:paraId="6D4BFB7A">
      <w:pPr>
        <w:widowControl/>
        <w:spacing w:line="460" w:lineRule="exact"/>
        <w:outlineLvl w:val="1"/>
        <w:rPr>
          <w:rFonts w:ascii="宋体" w:hAnsi="宋体" w:cs="宋体"/>
          <w:b/>
          <w:spacing w:val="8"/>
          <w:kern w:val="0"/>
          <w:sz w:val="24"/>
        </w:rPr>
      </w:pPr>
      <w:r>
        <w:rPr>
          <w:rFonts w:hint="eastAsia" w:ascii="宋体" w:hAnsi="宋体" w:cs="宋体"/>
          <w:b/>
          <w:spacing w:val="8"/>
          <w:kern w:val="0"/>
          <w:sz w:val="24"/>
        </w:rPr>
        <w:t>五、公告期限</w:t>
      </w:r>
    </w:p>
    <w:p w14:paraId="16FB7042">
      <w:pPr>
        <w:widowControl/>
        <w:spacing w:line="460" w:lineRule="exact"/>
        <w:ind w:firstLine="370"/>
        <w:rPr>
          <w:rFonts w:ascii="宋体" w:hAnsi="宋体" w:cs="宋体"/>
          <w:spacing w:val="8"/>
          <w:kern w:val="0"/>
          <w:szCs w:val="21"/>
        </w:rPr>
      </w:pPr>
      <w:r>
        <w:rPr>
          <w:rFonts w:hint="eastAsia" w:ascii="宋体" w:hAnsi="宋体" w:cs="宋体"/>
          <w:spacing w:val="8"/>
          <w:kern w:val="0"/>
          <w:szCs w:val="21"/>
        </w:rPr>
        <w:t>自本公告发布之日起5个工作日。</w:t>
      </w:r>
    </w:p>
    <w:p w14:paraId="470E4E0C">
      <w:pPr>
        <w:widowControl/>
        <w:spacing w:line="460" w:lineRule="exact"/>
        <w:ind w:firstLine="370"/>
        <w:rPr>
          <w:rFonts w:ascii="宋体" w:hAnsi="宋体" w:cs="宋体"/>
          <w:spacing w:val="8"/>
          <w:kern w:val="0"/>
          <w:szCs w:val="21"/>
        </w:rPr>
      </w:pPr>
    </w:p>
    <w:p w14:paraId="0AD4F36F">
      <w:pPr>
        <w:widowControl/>
        <w:spacing w:line="460" w:lineRule="exact"/>
        <w:outlineLvl w:val="1"/>
        <w:rPr>
          <w:rFonts w:ascii="宋体" w:hAnsi="宋体" w:cs="宋体"/>
          <w:b/>
          <w:spacing w:val="8"/>
          <w:kern w:val="0"/>
          <w:sz w:val="24"/>
        </w:rPr>
      </w:pPr>
      <w:r>
        <w:rPr>
          <w:rFonts w:hint="eastAsia" w:ascii="宋体" w:hAnsi="宋体" w:cs="宋体"/>
          <w:b/>
          <w:spacing w:val="8"/>
          <w:kern w:val="0"/>
          <w:sz w:val="24"/>
        </w:rPr>
        <w:t>六、其他补充事宜</w:t>
      </w:r>
    </w:p>
    <w:p w14:paraId="268BB155">
      <w:pPr>
        <w:widowControl/>
        <w:spacing w:line="360" w:lineRule="auto"/>
        <w:ind w:firstLine="363" w:firstLineChars="173"/>
        <w:rPr>
          <w:rFonts w:ascii="宋体" w:hAnsi="宋体" w:cs="宋体"/>
          <w:szCs w:val="21"/>
          <w:lang w:val="zh-CN"/>
        </w:rPr>
      </w:pPr>
      <w:r>
        <w:rPr>
          <w:rFonts w:hint="eastAsia" w:ascii="宋体" w:hAnsi="宋体" w:cs="宋体"/>
          <w:szCs w:val="21"/>
          <w:lang w:val="zh-CN"/>
        </w:rPr>
        <w:t>6.1本项目在</w:t>
      </w:r>
      <w:r>
        <w:rPr>
          <w:rFonts w:hint="eastAsia" w:ascii="宋体" w:hAnsi="宋体" w:cs="宋体"/>
          <w:b/>
          <w:bCs/>
          <w:szCs w:val="21"/>
          <w:lang w:val="zh-CN"/>
        </w:rPr>
        <w:t>南京公共采购信息网</w:t>
      </w:r>
      <w:r>
        <w:rPr>
          <w:rFonts w:hint="eastAsia" w:ascii="宋体" w:hAnsi="宋体" w:cs="宋体"/>
          <w:szCs w:val="21"/>
          <w:lang w:val="zh-CN"/>
        </w:rPr>
        <w:t>网站发布公告。</w:t>
      </w:r>
    </w:p>
    <w:p w14:paraId="581ED2B5">
      <w:pPr>
        <w:widowControl/>
        <w:spacing w:line="360" w:lineRule="auto"/>
        <w:ind w:firstLine="363" w:firstLineChars="173"/>
        <w:rPr>
          <w:rFonts w:ascii="宋体" w:hAnsi="宋体" w:cs="宋体"/>
          <w:szCs w:val="21"/>
        </w:rPr>
      </w:pPr>
      <w:r>
        <w:rPr>
          <w:rFonts w:hint="eastAsia" w:ascii="宋体" w:hAnsi="宋体" w:cs="宋体"/>
          <w:szCs w:val="21"/>
          <w:lang w:val="zh-CN"/>
        </w:rPr>
        <w:t>6.</w:t>
      </w:r>
      <w:r>
        <w:rPr>
          <w:rFonts w:hint="eastAsia" w:ascii="宋体" w:hAnsi="宋体" w:cs="宋体"/>
          <w:szCs w:val="21"/>
        </w:rPr>
        <w:t>2投标人应当从采购代理机构合法获得招标项目的招标文件。本次招标请按“项目”获取招标文件，编制、提交投标文件，并按“项目”开标、评标。</w:t>
      </w:r>
    </w:p>
    <w:p w14:paraId="318658E0">
      <w:pPr>
        <w:widowControl/>
        <w:spacing w:line="360" w:lineRule="auto"/>
        <w:ind w:firstLine="363" w:firstLineChars="173"/>
        <w:rPr>
          <w:rFonts w:ascii="宋体" w:hAnsi="宋体" w:cs="宋体"/>
          <w:bCs/>
          <w:szCs w:val="21"/>
        </w:rPr>
      </w:pPr>
      <w:r>
        <w:rPr>
          <w:rFonts w:hint="eastAsia" w:ascii="宋体" w:hAnsi="宋体" w:cs="宋体"/>
          <w:bCs/>
          <w:szCs w:val="21"/>
        </w:rPr>
        <w:t>6.3 勘察现场：无。</w:t>
      </w:r>
    </w:p>
    <w:p w14:paraId="0A0C4B2A">
      <w:pPr>
        <w:widowControl/>
        <w:spacing w:line="360" w:lineRule="auto"/>
        <w:ind w:firstLine="365" w:firstLineChars="173"/>
        <w:rPr>
          <w:rFonts w:ascii="宋体" w:hAnsi="宋体" w:cs="宋体"/>
          <w:b/>
          <w:bCs/>
          <w:szCs w:val="21"/>
          <w:lang w:val="zh-CN"/>
        </w:rPr>
      </w:pPr>
      <w:r>
        <w:rPr>
          <w:rFonts w:hint="eastAsia" w:ascii="宋体" w:hAnsi="宋体" w:cs="宋体"/>
          <w:b/>
          <w:bCs/>
          <w:szCs w:val="21"/>
          <w:lang w:val="zh-CN"/>
        </w:rPr>
        <w:t>6.</w:t>
      </w:r>
      <w:r>
        <w:rPr>
          <w:rFonts w:hint="eastAsia" w:ascii="宋体" w:hAnsi="宋体" w:cs="宋体"/>
          <w:b/>
          <w:bCs/>
          <w:szCs w:val="21"/>
        </w:rPr>
        <w:t>4政府采购信用承诺</w:t>
      </w:r>
    </w:p>
    <w:p w14:paraId="14AC502B">
      <w:pPr>
        <w:widowControl/>
        <w:wordWrap w:val="0"/>
        <w:spacing w:line="360" w:lineRule="auto"/>
        <w:ind w:firstLine="363" w:firstLineChars="173"/>
        <w:jc w:val="left"/>
        <w:rPr>
          <w:rFonts w:ascii="宋体" w:hAnsi="宋体" w:cs="宋体"/>
          <w:szCs w:val="21"/>
          <w:lang w:val="zh-CN"/>
        </w:rPr>
      </w:pPr>
      <w:r>
        <w:rPr>
          <w:rFonts w:hint="eastAsia" w:ascii="宋体" w:hAnsi="宋体" w:cs="宋体"/>
          <w:szCs w:val="21"/>
          <w:lang w:val="zh-CN"/>
        </w:rPr>
        <w:t>根据《关于在政府采购活动中推行信用承诺制的通知》宁财购通〔2021〕5号规定，</w:t>
      </w:r>
      <w:r>
        <w:rPr>
          <w:rFonts w:hint="eastAsia" w:ascii="宋体" w:hAnsi="宋体" w:cs="宋体"/>
          <w:szCs w:val="21"/>
        </w:rPr>
        <w:t>参加</w:t>
      </w:r>
      <w:r>
        <w:rPr>
          <w:rFonts w:hint="eastAsia" w:ascii="宋体" w:hAnsi="宋体" w:cs="宋体"/>
          <w:szCs w:val="21"/>
          <w:lang w:val="zh-CN"/>
        </w:rPr>
        <w:t>南京地区采购活动的供应商，应以书面形式向采购人或政府采购代理机构作出信用承诺。供应商应尽早做好承诺工作，点击“南京公共采购信息网”</w:t>
      </w:r>
      <w:r>
        <w:rPr>
          <w:rFonts w:hint="eastAsia" w:ascii="宋体" w:hAnsi="宋体" w:cs="宋体"/>
          <w:szCs w:val="21"/>
        </w:rPr>
        <w:t>首页</w:t>
      </w:r>
      <w:r>
        <w:rPr>
          <w:rFonts w:hint="eastAsia" w:ascii="宋体" w:hAnsi="宋体" w:cs="宋体"/>
          <w:szCs w:val="21"/>
          <w:lang w:val="zh-CN"/>
        </w:rPr>
        <w:t>（https://njgc.jfh.com/）‘南京市政府采购供应商诚信档案’系统链接打开系统页面（http://180.101.238.212:8280/hodeframe2018_cxda/index.action;jsessionid=769BA9C8E1729422E7173B991C8EC1E5）登录（未注册的供应商应先点击‘供应商注册点这里’并按要求完成注册），然后在“信用记录”模块页面点击“信用记录打印”下载本单位《南京市政府采购供应商信用记录表暨信用承诺书》，</w:t>
      </w:r>
      <w:r>
        <w:rPr>
          <w:rStyle w:val="53"/>
          <w:rFonts w:hint="eastAsia" w:ascii="宋体" w:hAnsi="宋体" w:cs="宋体"/>
          <w:b w:val="0"/>
          <w:bCs/>
          <w:color w:val="000000"/>
          <w:szCs w:val="21"/>
          <w:shd w:val="clear" w:color="auto" w:fill="FFFFFF"/>
        </w:rPr>
        <w:t>由法定代表人签字并盖单位公章，随响应文件一并递交。</w:t>
      </w:r>
    </w:p>
    <w:p w14:paraId="318C4728">
      <w:pPr>
        <w:widowControl/>
        <w:spacing w:line="360" w:lineRule="auto"/>
        <w:ind w:firstLine="363" w:firstLineChars="173"/>
        <w:rPr>
          <w:rFonts w:ascii="宋体" w:hAnsi="宋体" w:cs="宋体"/>
          <w:szCs w:val="21"/>
          <w:lang w:val="zh-CN"/>
        </w:rPr>
      </w:pPr>
      <w:r>
        <w:rPr>
          <w:rFonts w:hint="eastAsia" w:ascii="宋体" w:hAnsi="宋体" w:cs="宋体"/>
          <w:szCs w:val="21"/>
          <w:lang w:val="zh-CN"/>
        </w:rPr>
        <w:t>在政府采购资格审查环节，供应商只需提供书面《南京市政府采购供应商信用记录表暨信用承诺书》，即可替代以下证明材料：</w:t>
      </w:r>
    </w:p>
    <w:p w14:paraId="6D929295">
      <w:pPr>
        <w:widowControl/>
        <w:spacing w:line="360" w:lineRule="auto"/>
        <w:ind w:firstLine="363" w:firstLineChars="173"/>
        <w:rPr>
          <w:rFonts w:ascii="宋体" w:hAnsi="宋体" w:cs="宋体"/>
          <w:szCs w:val="21"/>
          <w:lang w:val="zh-CN"/>
        </w:rPr>
      </w:pPr>
      <w:r>
        <w:rPr>
          <w:rFonts w:hint="eastAsia" w:ascii="宋体" w:hAnsi="宋体" w:cs="宋体"/>
          <w:szCs w:val="21"/>
          <w:lang w:val="zh-CN"/>
        </w:rPr>
        <w:t>（1）符合国家相关规定的财务状况报告；</w:t>
      </w:r>
    </w:p>
    <w:p w14:paraId="2B0E6227">
      <w:pPr>
        <w:widowControl/>
        <w:spacing w:line="360" w:lineRule="auto"/>
        <w:ind w:firstLine="363" w:firstLineChars="173"/>
        <w:rPr>
          <w:rFonts w:ascii="宋体" w:hAnsi="宋体" w:cs="宋体"/>
          <w:szCs w:val="21"/>
          <w:lang w:val="zh-CN"/>
        </w:rPr>
      </w:pPr>
      <w:r>
        <w:rPr>
          <w:rFonts w:hint="eastAsia" w:ascii="宋体" w:hAnsi="宋体" w:cs="宋体"/>
          <w:szCs w:val="21"/>
          <w:lang w:val="zh-CN"/>
        </w:rPr>
        <w:t>（2）依法缴纳税收的证明材料；</w:t>
      </w:r>
    </w:p>
    <w:p w14:paraId="61D84E1A">
      <w:pPr>
        <w:widowControl/>
        <w:spacing w:line="360" w:lineRule="auto"/>
        <w:ind w:firstLine="363" w:firstLineChars="173"/>
        <w:rPr>
          <w:rFonts w:ascii="宋体" w:hAnsi="宋体" w:cs="宋体"/>
          <w:szCs w:val="21"/>
          <w:lang w:val="zh-CN"/>
        </w:rPr>
      </w:pPr>
      <w:r>
        <w:rPr>
          <w:rFonts w:hint="eastAsia" w:ascii="宋体" w:hAnsi="宋体" w:cs="宋体"/>
          <w:szCs w:val="21"/>
          <w:lang w:val="zh-CN"/>
        </w:rPr>
        <w:t>（3）依法缴纳社会保障资金的证明材料；</w:t>
      </w:r>
    </w:p>
    <w:p w14:paraId="423936C7">
      <w:pPr>
        <w:widowControl/>
        <w:spacing w:line="360" w:lineRule="auto"/>
        <w:ind w:firstLine="363" w:firstLineChars="173"/>
        <w:rPr>
          <w:rFonts w:ascii="宋体" w:hAnsi="宋体" w:cs="宋体"/>
          <w:szCs w:val="21"/>
          <w:lang w:val="zh-CN"/>
        </w:rPr>
      </w:pPr>
      <w:r>
        <w:rPr>
          <w:rFonts w:hint="eastAsia" w:ascii="宋体" w:hAnsi="宋体" w:cs="宋体"/>
          <w:szCs w:val="21"/>
          <w:lang w:val="zh-CN"/>
        </w:rPr>
        <w:t>（4）具备履行政府采购合同所必需的设备和专业技术能力的证明材料；</w:t>
      </w:r>
    </w:p>
    <w:p w14:paraId="27F74962">
      <w:pPr>
        <w:widowControl/>
        <w:spacing w:line="360" w:lineRule="auto"/>
        <w:ind w:firstLine="363" w:firstLineChars="173"/>
        <w:rPr>
          <w:rFonts w:ascii="宋体" w:hAnsi="宋体" w:cs="宋体"/>
          <w:szCs w:val="21"/>
          <w:lang w:val="zh-CN"/>
        </w:rPr>
      </w:pPr>
      <w:r>
        <w:rPr>
          <w:rFonts w:hint="eastAsia" w:ascii="宋体" w:hAnsi="宋体" w:cs="宋体"/>
          <w:szCs w:val="21"/>
          <w:lang w:val="zh-CN"/>
        </w:rPr>
        <w:t>（5）参加政府采购活动前三年内在经营活动中没有重大违法记录的证明材料；</w:t>
      </w:r>
    </w:p>
    <w:p w14:paraId="54C70D51">
      <w:pPr>
        <w:widowControl/>
        <w:spacing w:line="360" w:lineRule="auto"/>
        <w:ind w:firstLine="363" w:firstLineChars="173"/>
        <w:rPr>
          <w:rFonts w:ascii="宋体" w:hAnsi="宋体" w:cs="宋体"/>
          <w:szCs w:val="21"/>
          <w:lang w:val="zh-CN"/>
        </w:rPr>
      </w:pPr>
      <w:r>
        <w:rPr>
          <w:rFonts w:hint="eastAsia" w:ascii="宋体" w:hAnsi="宋体" w:cs="宋体"/>
          <w:szCs w:val="21"/>
          <w:lang w:val="zh-CN"/>
        </w:rPr>
        <w:t>（6）未被列入失信被执行人、重大税收违法失信主体、政府采购严重违法失信行为记录名单的证明材料。</w:t>
      </w:r>
    </w:p>
    <w:p w14:paraId="7356B8A9">
      <w:pPr>
        <w:widowControl/>
        <w:spacing w:line="360" w:lineRule="auto"/>
        <w:ind w:firstLine="363" w:firstLineChars="173"/>
        <w:rPr>
          <w:rFonts w:ascii="宋体" w:hAnsi="宋体" w:cs="宋体"/>
          <w:szCs w:val="21"/>
          <w:lang w:val="zh-CN"/>
        </w:rPr>
      </w:pPr>
      <w:r>
        <w:rPr>
          <w:rFonts w:hint="eastAsia" w:ascii="宋体" w:hAnsi="宋体" w:cs="宋体"/>
          <w:szCs w:val="21"/>
          <w:lang w:val="zh-CN"/>
        </w:rPr>
        <w:t>供应商在中标（成交）后，应按采购文件要求，将上述由信用承诺书替代的证明材料提交采购人或采购代理机构核验。经核验无误后，由采购人或采购代理机构发出中标（成交）通知书。</w:t>
      </w:r>
    </w:p>
    <w:p w14:paraId="60F71C3C">
      <w:pPr>
        <w:widowControl/>
        <w:spacing w:line="360" w:lineRule="auto"/>
        <w:ind w:firstLine="365" w:firstLineChars="173"/>
        <w:rPr>
          <w:rFonts w:ascii="宋体" w:hAnsi="宋体" w:cs="宋体"/>
          <w:b/>
          <w:bCs/>
          <w:szCs w:val="21"/>
          <w:lang w:val="zh-CN"/>
        </w:rPr>
      </w:pPr>
      <w:r>
        <w:rPr>
          <w:rFonts w:hint="eastAsia" w:ascii="宋体" w:hAnsi="宋体" w:cs="宋体"/>
          <w:b/>
          <w:bCs/>
          <w:szCs w:val="21"/>
          <w:lang w:val="zh-CN"/>
        </w:rPr>
        <w:t>供应商涉及以下情形的，不适用信用承诺：</w:t>
      </w:r>
    </w:p>
    <w:p w14:paraId="030318EB">
      <w:pPr>
        <w:widowControl/>
        <w:spacing w:line="360" w:lineRule="auto"/>
        <w:ind w:firstLine="365" w:firstLineChars="173"/>
        <w:rPr>
          <w:rFonts w:ascii="宋体" w:hAnsi="宋体" w:cs="宋体"/>
          <w:b/>
          <w:bCs/>
          <w:szCs w:val="21"/>
          <w:lang w:val="zh-CN"/>
        </w:rPr>
      </w:pPr>
      <w:r>
        <w:rPr>
          <w:rFonts w:hint="eastAsia" w:ascii="宋体" w:hAnsi="宋体" w:cs="宋体"/>
          <w:b/>
          <w:bCs/>
          <w:szCs w:val="21"/>
          <w:lang w:val="zh-CN"/>
        </w:rPr>
        <w:t>（1）供应商被列入严重失信主体名单；</w:t>
      </w:r>
    </w:p>
    <w:p w14:paraId="28DFB129">
      <w:pPr>
        <w:widowControl/>
        <w:spacing w:line="360" w:lineRule="auto"/>
        <w:ind w:firstLine="365" w:firstLineChars="173"/>
        <w:rPr>
          <w:rFonts w:ascii="宋体" w:hAnsi="宋体" w:cs="宋体"/>
          <w:b/>
          <w:bCs/>
          <w:szCs w:val="21"/>
          <w:lang w:val="zh-CN"/>
        </w:rPr>
      </w:pPr>
      <w:r>
        <w:rPr>
          <w:rFonts w:hint="eastAsia" w:ascii="宋体" w:hAnsi="宋体" w:cs="宋体"/>
          <w:b/>
          <w:bCs/>
          <w:szCs w:val="21"/>
          <w:lang w:val="zh-CN"/>
        </w:rPr>
        <w:t>（2）被相关监管部门作出行政处罚且尚在处罚有效期内；</w:t>
      </w:r>
    </w:p>
    <w:p w14:paraId="289C37CF">
      <w:pPr>
        <w:widowControl/>
        <w:spacing w:line="360" w:lineRule="auto"/>
        <w:ind w:firstLine="365" w:firstLineChars="173"/>
        <w:rPr>
          <w:rFonts w:ascii="宋体" w:hAnsi="宋体" w:cs="宋体"/>
          <w:b/>
          <w:bCs/>
          <w:szCs w:val="21"/>
          <w:lang w:val="zh-CN"/>
        </w:rPr>
      </w:pPr>
      <w:r>
        <w:rPr>
          <w:rFonts w:hint="eastAsia" w:ascii="宋体" w:hAnsi="宋体" w:cs="宋体"/>
          <w:b/>
          <w:bCs/>
          <w:szCs w:val="21"/>
          <w:lang w:val="zh-CN"/>
        </w:rPr>
        <w:t>（3）其他法律、行政法规规定的不适用信用承诺的情形。</w:t>
      </w:r>
    </w:p>
    <w:p w14:paraId="0C15B660">
      <w:pPr>
        <w:widowControl/>
        <w:spacing w:line="360" w:lineRule="auto"/>
        <w:ind w:firstLine="365" w:firstLineChars="173"/>
        <w:rPr>
          <w:rFonts w:ascii="宋体" w:hAnsi="宋体" w:cs="宋体"/>
          <w:b/>
          <w:bCs/>
          <w:szCs w:val="21"/>
          <w:lang w:val="zh-CN"/>
        </w:rPr>
      </w:pPr>
      <w:r>
        <w:rPr>
          <w:rFonts w:hint="eastAsia" w:ascii="宋体" w:hAnsi="宋体" w:cs="宋体"/>
          <w:b/>
          <w:bCs/>
          <w:szCs w:val="21"/>
          <w:lang w:val="zh-CN"/>
        </w:rPr>
        <w:t>供应商对信用承诺内容的真实性、合法性、有效性负责。如作出虚假信用承诺，视同为“提供虚假材料谋取中标、成交”的违法行为。</w:t>
      </w:r>
    </w:p>
    <w:p w14:paraId="380240DD">
      <w:pPr>
        <w:pStyle w:val="60"/>
        <w:rPr>
          <w:rFonts w:ascii="宋体" w:hAnsi="宋体" w:cs="宋体"/>
        </w:rPr>
      </w:pPr>
    </w:p>
    <w:p w14:paraId="497F3CC5">
      <w:pPr>
        <w:widowControl/>
        <w:shd w:val="clear" w:color="auto" w:fill="FFFFFF" w:themeFill="background1"/>
        <w:spacing w:line="360" w:lineRule="auto"/>
        <w:rPr>
          <w:rFonts w:ascii="宋体" w:hAnsi="宋体" w:cs="宋体"/>
          <w:b/>
          <w:spacing w:val="8"/>
          <w:kern w:val="0"/>
          <w:sz w:val="24"/>
        </w:rPr>
      </w:pPr>
      <w:r>
        <w:rPr>
          <w:rFonts w:hint="eastAsia" w:ascii="宋体" w:hAnsi="宋体" w:cs="宋体"/>
          <w:b/>
          <w:spacing w:val="8"/>
          <w:kern w:val="0"/>
          <w:sz w:val="24"/>
        </w:rPr>
        <w:t>七、对本次招标提出询问，请按以下方式联系</w:t>
      </w:r>
    </w:p>
    <w:p w14:paraId="314B2D48">
      <w:pPr>
        <w:widowControl/>
        <w:spacing w:line="360" w:lineRule="auto"/>
        <w:ind w:firstLine="363" w:firstLineChars="173"/>
        <w:rPr>
          <w:rFonts w:ascii="宋体" w:hAnsi="宋体" w:cs="宋体"/>
          <w:bCs/>
          <w:szCs w:val="21"/>
        </w:rPr>
      </w:pPr>
      <w:r>
        <w:rPr>
          <w:rFonts w:hint="eastAsia" w:ascii="宋体" w:hAnsi="宋体" w:cs="宋体"/>
          <w:bCs/>
          <w:szCs w:val="21"/>
        </w:rPr>
        <w:t>7.1采购人信息</w:t>
      </w:r>
    </w:p>
    <w:p w14:paraId="2C14E339">
      <w:pPr>
        <w:widowControl/>
        <w:spacing w:line="360" w:lineRule="auto"/>
        <w:ind w:firstLine="363" w:firstLineChars="173"/>
        <w:rPr>
          <w:rFonts w:ascii="宋体" w:hAnsi="宋体" w:cs="宋体"/>
          <w:bCs/>
          <w:szCs w:val="21"/>
        </w:rPr>
      </w:pPr>
      <w:r>
        <w:rPr>
          <w:rFonts w:hint="eastAsia" w:ascii="宋体" w:hAnsi="宋体" w:cs="宋体"/>
          <w:bCs/>
          <w:szCs w:val="21"/>
        </w:rPr>
        <w:t>名称：南京市规划和自然资源局</w:t>
      </w:r>
    </w:p>
    <w:p w14:paraId="385DC0CC">
      <w:pPr>
        <w:widowControl/>
        <w:spacing w:line="360" w:lineRule="auto"/>
        <w:ind w:firstLine="363" w:firstLineChars="173"/>
        <w:rPr>
          <w:rFonts w:ascii="宋体" w:hAnsi="宋体" w:cs="宋体"/>
          <w:bCs/>
          <w:szCs w:val="21"/>
        </w:rPr>
      </w:pPr>
      <w:r>
        <w:rPr>
          <w:rFonts w:hint="eastAsia" w:ascii="宋体" w:hAnsi="宋体" w:cs="宋体"/>
          <w:bCs/>
          <w:szCs w:val="21"/>
        </w:rPr>
        <w:t>地址：南京市鼓楼区中山路171号</w:t>
      </w:r>
    </w:p>
    <w:p w14:paraId="7D5002E2">
      <w:pPr>
        <w:widowControl/>
        <w:spacing w:line="360" w:lineRule="auto"/>
        <w:ind w:firstLine="390" w:firstLineChars="173"/>
        <w:rPr>
          <w:rFonts w:ascii="宋体" w:hAnsi="宋体" w:cs="宋体"/>
          <w:spacing w:val="8"/>
          <w:kern w:val="0"/>
          <w:szCs w:val="21"/>
        </w:rPr>
      </w:pPr>
      <w:r>
        <w:rPr>
          <w:rFonts w:hint="eastAsia" w:ascii="宋体" w:hAnsi="宋体" w:cs="宋体"/>
          <w:spacing w:val="8"/>
          <w:kern w:val="0"/>
          <w:szCs w:val="21"/>
        </w:rPr>
        <w:t>联系人：刘小庆</w:t>
      </w:r>
    </w:p>
    <w:p w14:paraId="7658051C">
      <w:pPr>
        <w:widowControl/>
        <w:spacing w:line="360" w:lineRule="auto"/>
        <w:ind w:firstLine="390" w:firstLineChars="173"/>
        <w:rPr>
          <w:rFonts w:ascii="宋体" w:hAnsi="宋体" w:cs="宋体"/>
          <w:spacing w:val="8"/>
          <w:kern w:val="0"/>
          <w:szCs w:val="21"/>
        </w:rPr>
      </w:pPr>
      <w:r>
        <w:rPr>
          <w:rFonts w:hint="eastAsia" w:ascii="宋体" w:hAnsi="宋体" w:cs="宋体"/>
          <w:spacing w:val="8"/>
          <w:kern w:val="0"/>
          <w:szCs w:val="21"/>
        </w:rPr>
        <w:t>联系电话：</w:t>
      </w:r>
      <w:r>
        <w:rPr>
          <w:rFonts w:hint="eastAsia" w:ascii="宋体" w:hAnsi="宋体" w:cs="宋体"/>
          <w:spacing w:val="8"/>
          <w:kern w:val="0"/>
          <w:szCs w:val="21"/>
          <w:lang w:val="en-US" w:eastAsia="zh-CN"/>
        </w:rPr>
        <w:t>025-</w:t>
      </w:r>
      <w:r>
        <w:rPr>
          <w:rFonts w:hint="eastAsia" w:ascii="宋体" w:hAnsi="宋体" w:cs="宋体"/>
          <w:spacing w:val="8"/>
          <w:kern w:val="0"/>
          <w:szCs w:val="21"/>
        </w:rPr>
        <w:t>89691420</w:t>
      </w:r>
    </w:p>
    <w:p w14:paraId="2E800CF3">
      <w:pPr>
        <w:widowControl/>
        <w:spacing w:line="360" w:lineRule="auto"/>
        <w:ind w:firstLine="390" w:firstLineChars="173"/>
        <w:rPr>
          <w:rFonts w:ascii="宋体" w:hAnsi="宋体" w:cs="宋体"/>
          <w:spacing w:val="8"/>
          <w:kern w:val="0"/>
          <w:szCs w:val="21"/>
        </w:rPr>
      </w:pPr>
      <w:r>
        <w:rPr>
          <w:rFonts w:hint="eastAsia" w:ascii="宋体" w:hAnsi="宋体" w:cs="宋体"/>
          <w:spacing w:val="8"/>
          <w:kern w:val="0"/>
          <w:szCs w:val="21"/>
        </w:rPr>
        <w:t>7.2采购代理机构信息</w:t>
      </w:r>
    </w:p>
    <w:p w14:paraId="017D8944">
      <w:pPr>
        <w:widowControl/>
        <w:spacing w:line="360" w:lineRule="auto"/>
        <w:ind w:firstLine="390" w:firstLineChars="173"/>
        <w:rPr>
          <w:rFonts w:ascii="宋体" w:hAnsi="宋体" w:cs="宋体"/>
          <w:spacing w:val="8"/>
          <w:kern w:val="0"/>
          <w:szCs w:val="21"/>
        </w:rPr>
      </w:pPr>
      <w:r>
        <w:rPr>
          <w:rFonts w:hint="eastAsia" w:ascii="宋体" w:hAnsi="宋体" w:cs="宋体"/>
          <w:spacing w:val="8"/>
          <w:kern w:val="0"/>
          <w:szCs w:val="21"/>
        </w:rPr>
        <w:t>名称：江苏省设备成套股份有限公司</w:t>
      </w:r>
    </w:p>
    <w:p w14:paraId="4807B804">
      <w:pPr>
        <w:widowControl/>
        <w:spacing w:line="360" w:lineRule="auto"/>
        <w:ind w:firstLine="390" w:firstLineChars="173"/>
        <w:rPr>
          <w:rFonts w:ascii="宋体" w:hAnsi="宋体" w:cs="宋体"/>
          <w:spacing w:val="8"/>
          <w:kern w:val="0"/>
          <w:szCs w:val="21"/>
        </w:rPr>
      </w:pPr>
      <w:r>
        <w:rPr>
          <w:rFonts w:hint="eastAsia" w:ascii="宋体" w:hAnsi="宋体" w:cs="宋体"/>
          <w:spacing w:val="8"/>
          <w:kern w:val="0"/>
          <w:szCs w:val="21"/>
        </w:rPr>
        <w:t>联 系 人：任雨恒 唐大维</w:t>
      </w:r>
    </w:p>
    <w:p w14:paraId="6B2B41C6">
      <w:pPr>
        <w:widowControl/>
        <w:spacing w:line="360" w:lineRule="auto"/>
        <w:ind w:firstLine="390" w:firstLineChars="173"/>
        <w:rPr>
          <w:rFonts w:ascii="宋体" w:hAnsi="宋体" w:cs="宋体"/>
          <w:spacing w:val="8"/>
          <w:kern w:val="0"/>
          <w:szCs w:val="21"/>
        </w:rPr>
      </w:pPr>
      <w:r>
        <w:rPr>
          <w:rFonts w:hint="eastAsia" w:ascii="宋体" w:hAnsi="宋体" w:cs="宋体"/>
          <w:spacing w:val="8"/>
          <w:kern w:val="0"/>
          <w:szCs w:val="21"/>
        </w:rPr>
        <w:t>电    话：025-83316480 025-86639285</w:t>
      </w:r>
    </w:p>
    <w:p w14:paraId="758749CE">
      <w:pPr>
        <w:widowControl/>
        <w:spacing w:line="360" w:lineRule="auto"/>
        <w:ind w:firstLine="390" w:firstLineChars="173"/>
        <w:rPr>
          <w:rFonts w:ascii="宋体" w:hAnsi="宋体" w:cs="宋体"/>
          <w:spacing w:val="8"/>
          <w:kern w:val="0"/>
          <w:szCs w:val="21"/>
        </w:rPr>
      </w:pPr>
      <w:r>
        <w:rPr>
          <w:rFonts w:hint="eastAsia" w:ascii="宋体" w:hAnsi="宋体" w:cs="宋体"/>
          <w:spacing w:val="8"/>
          <w:kern w:val="0"/>
          <w:szCs w:val="21"/>
        </w:rPr>
        <w:t>电子邮箱：renyh@jcec.cn</w:t>
      </w:r>
    </w:p>
    <w:p w14:paraId="62274DDC">
      <w:pPr>
        <w:widowControl/>
        <w:spacing w:line="360" w:lineRule="auto"/>
        <w:ind w:firstLine="390" w:firstLineChars="173"/>
        <w:rPr>
          <w:rFonts w:ascii="宋体" w:hAnsi="宋体" w:cs="宋体"/>
          <w:spacing w:val="8"/>
          <w:kern w:val="0"/>
          <w:szCs w:val="21"/>
        </w:rPr>
      </w:pPr>
      <w:r>
        <w:rPr>
          <w:rFonts w:hint="eastAsia" w:ascii="宋体" w:hAnsi="宋体" w:cs="宋体"/>
          <w:spacing w:val="8"/>
          <w:kern w:val="0"/>
          <w:szCs w:val="21"/>
        </w:rPr>
        <w:t xml:space="preserve">地址：江苏省南京市鼓楼区清江南路18号鼓楼创新广场D栋10楼1001室 </w:t>
      </w:r>
    </w:p>
    <w:p w14:paraId="18E2CBAA">
      <w:pPr>
        <w:widowControl/>
        <w:spacing w:line="360" w:lineRule="auto"/>
        <w:ind w:firstLine="390" w:firstLineChars="173"/>
        <w:rPr>
          <w:rFonts w:ascii="宋体" w:hAnsi="宋体" w:cs="宋体"/>
          <w:spacing w:val="8"/>
          <w:kern w:val="0"/>
          <w:szCs w:val="21"/>
        </w:rPr>
      </w:pPr>
      <w:r>
        <w:rPr>
          <w:rFonts w:hint="eastAsia" w:ascii="宋体" w:hAnsi="宋体" w:cs="宋体"/>
          <w:spacing w:val="8"/>
          <w:kern w:val="0"/>
          <w:szCs w:val="21"/>
        </w:rPr>
        <w:t>7.3项目联系方式</w:t>
      </w:r>
    </w:p>
    <w:p w14:paraId="646F9F98">
      <w:pPr>
        <w:widowControl/>
        <w:spacing w:line="360" w:lineRule="auto"/>
        <w:ind w:firstLine="390" w:firstLineChars="173"/>
        <w:rPr>
          <w:rFonts w:ascii="宋体" w:hAnsi="宋体" w:cs="宋体"/>
          <w:spacing w:val="8"/>
          <w:kern w:val="0"/>
          <w:szCs w:val="21"/>
        </w:rPr>
      </w:pPr>
      <w:r>
        <w:rPr>
          <w:rFonts w:hint="eastAsia" w:ascii="宋体" w:hAnsi="宋体" w:cs="宋体"/>
          <w:spacing w:val="8"/>
          <w:kern w:val="0"/>
          <w:szCs w:val="21"/>
        </w:rPr>
        <w:t>项目联系人：任雨恒 唐大维</w:t>
      </w:r>
    </w:p>
    <w:p w14:paraId="1161ADAC">
      <w:pPr>
        <w:widowControl/>
        <w:spacing w:line="360" w:lineRule="auto"/>
        <w:ind w:firstLine="390" w:firstLineChars="173"/>
        <w:rPr>
          <w:rFonts w:ascii="宋体" w:hAnsi="宋体" w:cs="宋体"/>
          <w:spacing w:val="8"/>
          <w:kern w:val="0"/>
          <w:szCs w:val="21"/>
        </w:rPr>
      </w:pPr>
      <w:r>
        <w:rPr>
          <w:rFonts w:hint="eastAsia" w:ascii="宋体" w:hAnsi="宋体" w:cs="宋体"/>
          <w:spacing w:val="8"/>
          <w:kern w:val="0"/>
          <w:szCs w:val="21"/>
        </w:rPr>
        <w:t>电    话：025-83316480 025-86639285</w:t>
      </w:r>
    </w:p>
    <w:p w14:paraId="41675BFE">
      <w:pPr>
        <w:widowControl/>
        <w:shd w:val="clear" w:color="auto" w:fill="FFFFFF" w:themeFill="background1"/>
        <w:spacing w:line="460" w:lineRule="exact"/>
        <w:rPr>
          <w:rFonts w:hint="eastAsia" w:ascii="宋体" w:hAnsi="宋体" w:cs="宋体"/>
          <w:b/>
          <w:spacing w:val="8"/>
          <w:kern w:val="0"/>
          <w:sz w:val="24"/>
        </w:rPr>
      </w:pPr>
    </w:p>
    <w:p w14:paraId="027A6554">
      <w:pPr>
        <w:widowControl/>
        <w:shd w:val="clear" w:color="auto" w:fill="FFFFFF" w:themeFill="background1"/>
        <w:spacing w:line="460" w:lineRule="exact"/>
      </w:pPr>
      <w:r>
        <w:rPr>
          <w:rFonts w:hint="eastAsia" w:ascii="宋体" w:hAnsi="宋体" w:cs="宋体"/>
          <w:b/>
          <w:spacing w:val="8"/>
          <w:kern w:val="0"/>
          <w:sz w:val="24"/>
        </w:rPr>
        <w:t>八、本项目为分散采购限额标准以下内控采购项目。</w:t>
      </w:r>
    </w:p>
    <w:bookmarkEnd w:id="16"/>
    <w:p w14:paraId="2C8E027C">
      <w:pPr>
        <w:rPr>
          <w:rFonts w:ascii="宋体" w:hAnsi="宋体" w:cs="宋体"/>
        </w:rPr>
      </w:pPr>
      <w:r>
        <w:rPr>
          <w:rFonts w:hint="eastAsia" w:ascii="宋体" w:hAnsi="宋体" w:cs="宋体"/>
        </w:rPr>
        <w:br w:type="page"/>
      </w:r>
    </w:p>
    <w:p w14:paraId="5F022703">
      <w:pPr>
        <w:pStyle w:val="3"/>
        <w:numPr>
          <w:ilvl w:val="0"/>
          <w:numId w:val="0"/>
        </w:numPr>
        <w:rPr>
          <w:rFonts w:ascii="宋体" w:hAnsi="宋体" w:cs="宋体"/>
        </w:rPr>
      </w:pPr>
      <w:bookmarkStart w:id="3" w:name="_Toc181611529"/>
      <w:r>
        <w:rPr>
          <w:rFonts w:hint="eastAsia" w:ascii="宋体" w:hAnsi="宋体" w:cs="宋体"/>
        </w:rPr>
        <w:t>第二章</w:t>
      </w:r>
      <w:bookmarkStart w:id="4" w:name="_Toc452625218"/>
      <w:r>
        <w:rPr>
          <w:rFonts w:hint="eastAsia" w:ascii="宋体" w:hAnsi="宋体" w:cs="宋体"/>
        </w:rPr>
        <w:t xml:space="preserve"> 投标人须知</w:t>
      </w:r>
      <w:bookmarkEnd w:id="3"/>
      <w:bookmarkEnd w:id="4"/>
    </w:p>
    <w:p w14:paraId="709F985F">
      <w:pPr>
        <w:widowControl/>
        <w:spacing w:line="360" w:lineRule="auto"/>
        <w:ind w:firstLine="424" w:firstLineChars="201"/>
        <w:rPr>
          <w:rFonts w:ascii="宋体" w:hAnsi="宋体" w:cs="宋体"/>
          <w:kern w:val="0"/>
          <w:szCs w:val="21"/>
        </w:rPr>
      </w:pPr>
      <w:r>
        <w:rPr>
          <w:rFonts w:hint="eastAsia" w:ascii="宋体" w:hAnsi="宋体" w:cs="宋体"/>
          <w:b/>
          <w:bCs/>
          <w:kern w:val="0"/>
          <w:szCs w:val="21"/>
        </w:rPr>
        <w:t>一、总 则</w:t>
      </w:r>
    </w:p>
    <w:p w14:paraId="35A55F23">
      <w:pPr>
        <w:widowControl/>
        <w:spacing w:line="360" w:lineRule="auto"/>
        <w:ind w:firstLine="420"/>
        <w:rPr>
          <w:rFonts w:ascii="宋体" w:hAnsi="宋体" w:cs="宋体"/>
          <w:kern w:val="0"/>
          <w:szCs w:val="21"/>
        </w:rPr>
      </w:pPr>
      <w:r>
        <w:rPr>
          <w:rFonts w:hint="eastAsia" w:ascii="宋体" w:hAnsi="宋体" w:cs="宋体"/>
          <w:b/>
          <w:bCs/>
          <w:kern w:val="0"/>
          <w:szCs w:val="21"/>
        </w:rPr>
        <w:t>1、参照法律</w:t>
      </w:r>
    </w:p>
    <w:p w14:paraId="243F877A">
      <w:pPr>
        <w:widowControl/>
        <w:shd w:val="clear" w:color="auto" w:fill="FFFFFF"/>
        <w:spacing w:line="360" w:lineRule="auto"/>
        <w:ind w:firstLine="420"/>
        <w:rPr>
          <w:rFonts w:ascii="宋体" w:hAnsi="宋体" w:cs="宋体"/>
          <w:kern w:val="0"/>
          <w:szCs w:val="21"/>
        </w:rPr>
      </w:pPr>
      <w:r>
        <w:rPr>
          <w:rFonts w:hint="eastAsia" w:ascii="宋体" w:hAnsi="宋体" w:cs="宋体"/>
          <w:kern w:val="0"/>
          <w:szCs w:val="21"/>
        </w:rPr>
        <w:t>本项目为非依法必招项目，属于采购人内控采购。</w:t>
      </w:r>
    </w:p>
    <w:p w14:paraId="343D0AEB">
      <w:pPr>
        <w:widowControl/>
        <w:spacing w:line="360" w:lineRule="auto"/>
        <w:ind w:firstLine="420"/>
        <w:rPr>
          <w:rFonts w:ascii="宋体" w:hAnsi="宋体" w:cs="宋体"/>
          <w:kern w:val="0"/>
          <w:szCs w:val="21"/>
        </w:rPr>
      </w:pPr>
      <w:r>
        <w:rPr>
          <w:rFonts w:hint="eastAsia" w:ascii="宋体" w:hAnsi="宋体" w:cs="宋体"/>
          <w:b/>
          <w:bCs/>
          <w:kern w:val="0"/>
          <w:szCs w:val="21"/>
        </w:rPr>
        <w:t>2、定义</w:t>
      </w:r>
    </w:p>
    <w:p w14:paraId="24D8AAAC">
      <w:pPr>
        <w:widowControl/>
        <w:spacing w:line="360" w:lineRule="auto"/>
        <w:ind w:firstLine="420"/>
        <w:rPr>
          <w:rFonts w:ascii="宋体" w:hAnsi="宋体" w:cs="宋体"/>
          <w:kern w:val="0"/>
          <w:szCs w:val="21"/>
        </w:rPr>
      </w:pPr>
      <w:r>
        <w:rPr>
          <w:rFonts w:hint="eastAsia" w:ascii="宋体" w:hAnsi="宋体" w:cs="宋体"/>
          <w:kern w:val="0"/>
          <w:szCs w:val="21"/>
        </w:rPr>
        <w:t>2.1“采购人”是指依法进行政府采购的国家机关、事业单位、团体组织。</w:t>
      </w:r>
    </w:p>
    <w:p w14:paraId="27183F09">
      <w:pPr>
        <w:widowControl/>
        <w:spacing w:line="360" w:lineRule="auto"/>
        <w:ind w:firstLine="420"/>
        <w:rPr>
          <w:rFonts w:ascii="宋体" w:hAnsi="宋体" w:cs="宋体"/>
          <w:kern w:val="0"/>
          <w:szCs w:val="21"/>
        </w:rPr>
      </w:pPr>
      <w:r>
        <w:rPr>
          <w:rFonts w:hint="eastAsia" w:ascii="宋体" w:hAnsi="宋体" w:cs="宋体"/>
          <w:kern w:val="0"/>
          <w:szCs w:val="21"/>
        </w:rPr>
        <w:t>2.2“投标人（供应商）”是指参加投标竞争，并符合招标文件规定资格条件的法人、其他组织或者自然人。</w:t>
      </w:r>
    </w:p>
    <w:p w14:paraId="6836F8BC">
      <w:pPr>
        <w:widowControl/>
        <w:spacing w:line="360" w:lineRule="auto"/>
        <w:ind w:firstLine="420"/>
        <w:rPr>
          <w:rFonts w:ascii="宋体" w:hAnsi="宋体" w:cs="宋体"/>
          <w:kern w:val="0"/>
          <w:szCs w:val="21"/>
        </w:rPr>
      </w:pPr>
      <w:r>
        <w:rPr>
          <w:rFonts w:hint="eastAsia" w:ascii="宋体" w:hAnsi="宋体" w:cs="宋体"/>
          <w:kern w:val="0"/>
          <w:szCs w:val="21"/>
        </w:rPr>
        <w:t>2.3“采购代理机构”是指集中采购机构和集中采购机构以外的采购代理机构，集中采购机构以外的采购代理机构，是从事采购代理业务的社会中介机构。</w:t>
      </w:r>
    </w:p>
    <w:p w14:paraId="1FF1348B">
      <w:pPr>
        <w:widowControl/>
        <w:spacing w:line="360" w:lineRule="auto"/>
        <w:ind w:firstLine="420"/>
        <w:rPr>
          <w:rFonts w:ascii="宋体" w:hAnsi="宋体" w:cs="宋体"/>
          <w:kern w:val="0"/>
          <w:szCs w:val="21"/>
        </w:rPr>
      </w:pPr>
      <w:r>
        <w:rPr>
          <w:rFonts w:hint="eastAsia" w:ascii="宋体" w:hAnsi="宋体" w:cs="宋体"/>
          <w:kern w:val="0"/>
          <w:szCs w:val="21"/>
        </w:rPr>
        <w:t>2.4“货物和服务”指本招标文件中所述</w:t>
      </w:r>
      <w:r>
        <w:rPr>
          <w:rFonts w:hint="eastAsia" w:ascii="宋体" w:hAnsi="宋体" w:cs="宋体"/>
          <w:bCs/>
          <w:kern w:val="0"/>
          <w:szCs w:val="21"/>
        </w:rPr>
        <w:t>产品</w:t>
      </w:r>
      <w:r>
        <w:rPr>
          <w:rFonts w:hint="eastAsia" w:ascii="宋体" w:hAnsi="宋体" w:cs="宋体"/>
          <w:kern w:val="0"/>
          <w:szCs w:val="21"/>
        </w:rPr>
        <w:t>及相关服务。</w:t>
      </w:r>
    </w:p>
    <w:p w14:paraId="03796FB9">
      <w:pPr>
        <w:widowControl/>
        <w:spacing w:line="360" w:lineRule="auto"/>
        <w:ind w:firstLine="420"/>
        <w:rPr>
          <w:rFonts w:ascii="宋体" w:hAnsi="宋体" w:cs="宋体"/>
          <w:kern w:val="0"/>
          <w:szCs w:val="21"/>
        </w:rPr>
      </w:pPr>
      <w:r>
        <w:rPr>
          <w:rFonts w:hint="eastAsia" w:ascii="宋体" w:hAnsi="宋体" w:cs="宋体"/>
          <w:kern w:val="0"/>
          <w:szCs w:val="21"/>
        </w:rPr>
        <w:t>2.5“用户或使用单位”是指使用货物，接受服务的单位。</w:t>
      </w:r>
    </w:p>
    <w:p w14:paraId="64BFBAA9">
      <w:pPr>
        <w:widowControl/>
        <w:spacing w:line="360" w:lineRule="auto"/>
        <w:ind w:firstLine="420"/>
        <w:rPr>
          <w:rFonts w:ascii="宋体" w:hAnsi="宋体" w:cs="宋体"/>
          <w:kern w:val="0"/>
          <w:szCs w:val="21"/>
        </w:rPr>
      </w:pPr>
      <w:r>
        <w:rPr>
          <w:rFonts w:hint="eastAsia" w:ascii="宋体" w:hAnsi="宋体" w:cs="宋体"/>
          <w:b/>
          <w:bCs/>
          <w:kern w:val="0"/>
          <w:szCs w:val="21"/>
        </w:rPr>
        <w:t>3、政策功能</w:t>
      </w:r>
    </w:p>
    <w:p w14:paraId="2A68D6EA">
      <w:pPr>
        <w:widowControl/>
        <w:spacing w:line="360" w:lineRule="auto"/>
        <w:ind w:firstLine="420"/>
        <w:rPr>
          <w:rFonts w:ascii="宋体" w:hAnsi="宋体" w:cs="宋体"/>
          <w:kern w:val="0"/>
          <w:szCs w:val="21"/>
        </w:rPr>
      </w:pPr>
      <w:r>
        <w:rPr>
          <w:rFonts w:hint="eastAsia" w:ascii="宋体" w:hAnsi="宋体" w:cs="宋体"/>
          <w:kern w:val="0"/>
          <w:szCs w:val="21"/>
        </w:rPr>
        <w:t>3.1政府采购促进中小企业发展，在政府采购活动中，供应商提供的货物、工程或者服务符合《政府采购促进中小企业发展管理办法》（财库〔2020〕46号）的规定的，享受中小企业扶持政策。中小企业参加政府采购活动，应当出具《中小企业声明函》（格式见第六章），否则不得享受相关中小企业扶持政策。（“中小企业划型标准”详见《关于印发中小企业划型标准规定的通知》工信部联企业〔2011〕300号及《国家统计局关于印发&lt;统计上大中小微型企业划分办法（2017）&gt;的通知》国统〔2017〕213号）。</w:t>
      </w:r>
    </w:p>
    <w:p w14:paraId="1309899B">
      <w:pPr>
        <w:widowControl/>
        <w:spacing w:line="360" w:lineRule="auto"/>
        <w:ind w:firstLine="420"/>
        <w:rPr>
          <w:rFonts w:ascii="宋体" w:hAnsi="宋体" w:cs="宋体"/>
          <w:kern w:val="0"/>
          <w:szCs w:val="21"/>
        </w:rPr>
      </w:pPr>
      <w:r>
        <w:rPr>
          <w:rFonts w:hint="eastAsia" w:ascii="宋体" w:hAnsi="宋体" w:cs="宋体"/>
          <w:kern w:val="0"/>
          <w:szCs w:val="21"/>
        </w:rPr>
        <w:t>3.2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关于政府采购支持监狱企业发展有关问题的通知》（财库〔2014〕68号）。</w:t>
      </w:r>
    </w:p>
    <w:p w14:paraId="6FF0B46E">
      <w:pPr>
        <w:widowControl/>
        <w:spacing w:line="360" w:lineRule="auto"/>
        <w:ind w:firstLine="420"/>
        <w:rPr>
          <w:rFonts w:ascii="宋体" w:hAnsi="宋体" w:cs="宋体"/>
          <w:kern w:val="0"/>
          <w:szCs w:val="21"/>
        </w:rPr>
      </w:pPr>
      <w:r>
        <w:rPr>
          <w:rFonts w:hint="eastAsia" w:ascii="宋体" w:hAnsi="宋体" w:cs="宋体"/>
          <w:kern w:val="0"/>
          <w:szCs w:val="21"/>
        </w:rPr>
        <w:t>3.3政府采购促进残疾人就业政策，残疾人福利性单位提供的产品和服务在评标时将获得优势，参加投标的残疾人福利性单位，应当提供《残疾人福利性单位声明函》，残疾人福利性单位享受政府采购支持政策的要求详见《关于促进残疾人就业政府采购政策的通知》（财库〔2017〕141号）。</w:t>
      </w:r>
    </w:p>
    <w:p w14:paraId="0046D7DA">
      <w:pPr>
        <w:widowControl/>
        <w:spacing w:line="360" w:lineRule="auto"/>
        <w:ind w:firstLine="420"/>
        <w:rPr>
          <w:rFonts w:ascii="宋体" w:hAnsi="宋体" w:cs="宋体"/>
          <w:kern w:val="0"/>
          <w:szCs w:val="21"/>
        </w:rPr>
      </w:pPr>
      <w:r>
        <w:rPr>
          <w:rFonts w:hint="eastAsia" w:ascii="宋体" w:hAnsi="宋体" w:cs="宋体"/>
          <w:kern w:val="0"/>
          <w:szCs w:val="21"/>
        </w:rPr>
        <w:t>3.4政府采购节能产品、环境标志产品实施品目清单管理。拟采购产品属于节能产品品目清单规定必须强制采购的，实行强制采购。拟采购产品属于节能产品、环境标志产品品目清单规定优先采购的，在性能、技术、服务等指标同等条件下，实行优先采购，优先采购的评审标准详见本招标文件第三章。参加政府采购活动的节能产品、环境标志产品投标人应当提供国家确定的认证机构出具的、处于有效期之内的节能产品、环境标志产品认证证书。</w:t>
      </w:r>
    </w:p>
    <w:p w14:paraId="38D36B49">
      <w:pPr>
        <w:widowControl/>
        <w:spacing w:line="360" w:lineRule="auto"/>
        <w:ind w:firstLine="420"/>
        <w:rPr>
          <w:rFonts w:ascii="宋体" w:hAnsi="宋体" w:cs="宋体"/>
          <w:kern w:val="0"/>
          <w:szCs w:val="21"/>
        </w:rPr>
      </w:pPr>
      <w:r>
        <w:rPr>
          <w:rFonts w:hint="eastAsia" w:ascii="宋体" w:hAnsi="宋体" w:cs="宋体"/>
          <w:kern w:val="0"/>
          <w:szCs w:val="21"/>
        </w:rPr>
        <w:t>3.5强制采购信息安全产品。参加政府采购活动的信息安全产品投标人应当选择经国家认证的信息安全产品投标，并提供由国家信息安全认证中心按国家标准认证颁发的有效认证证书。</w:t>
      </w:r>
    </w:p>
    <w:p w14:paraId="21C7A5FE">
      <w:pPr>
        <w:widowControl/>
        <w:spacing w:line="360" w:lineRule="auto"/>
        <w:ind w:firstLine="420"/>
        <w:rPr>
          <w:rFonts w:ascii="宋体" w:hAnsi="宋体" w:cs="宋体"/>
          <w:kern w:val="0"/>
          <w:szCs w:val="21"/>
        </w:rPr>
      </w:pPr>
      <w:r>
        <w:rPr>
          <w:rFonts w:hint="eastAsia" w:ascii="宋体" w:hAnsi="宋体" w:cs="宋体"/>
          <w:kern w:val="0"/>
          <w:szCs w:val="21"/>
        </w:rPr>
        <w:t>3.6进口产品政策</w:t>
      </w:r>
    </w:p>
    <w:p w14:paraId="0337B44E">
      <w:pPr>
        <w:widowControl/>
        <w:spacing w:line="360" w:lineRule="auto"/>
        <w:ind w:firstLine="420"/>
        <w:rPr>
          <w:rFonts w:ascii="宋体" w:hAnsi="宋体" w:cs="宋体"/>
          <w:kern w:val="0"/>
          <w:szCs w:val="21"/>
        </w:rPr>
      </w:pPr>
      <w:r>
        <w:rPr>
          <w:rFonts w:hint="eastAsia" w:ascii="宋体" w:hAnsi="宋体" w:cs="宋体"/>
          <w:kern w:val="0"/>
          <w:szCs w:val="21"/>
        </w:rPr>
        <w:t>（1）除招标公告载明接受进口产品参加外，不允许进口产品参加。进口产品认定依照《财政部关于政府采购进口产品管理有关问题的通知》（财办库〔2008〕248号）的规定。</w:t>
      </w:r>
    </w:p>
    <w:p w14:paraId="0B0CBC34">
      <w:pPr>
        <w:widowControl/>
        <w:spacing w:line="360" w:lineRule="auto"/>
        <w:ind w:firstLine="420"/>
        <w:rPr>
          <w:rFonts w:ascii="宋体" w:hAnsi="宋体" w:cs="宋体"/>
          <w:kern w:val="0"/>
          <w:szCs w:val="21"/>
        </w:rPr>
      </w:pPr>
      <w:r>
        <w:rPr>
          <w:rFonts w:hint="eastAsia" w:ascii="宋体" w:hAnsi="宋体" w:cs="宋体"/>
          <w:kern w:val="0"/>
          <w:szCs w:val="21"/>
        </w:rPr>
        <w:t>（2）允许进口产品参加的，满足需求的国内产品可以参加。</w:t>
      </w:r>
    </w:p>
    <w:p w14:paraId="029CBC49">
      <w:pPr>
        <w:widowControl/>
        <w:spacing w:line="360" w:lineRule="auto"/>
        <w:ind w:firstLine="420"/>
        <w:rPr>
          <w:rFonts w:ascii="宋体" w:hAnsi="宋体" w:cs="宋体"/>
          <w:kern w:val="0"/>
          <w:szCs w:val="21"/>
        </w:rPr>
      </w:pPr>
      <w:r>
        <w:rPr>
          <w:rFonts w:hint="eastAsia" w:ascii="宋体" w:hAnsi="宋体" w:cs="宋体"/>
          <w:kern w:val="0"/>
          <w:szCs w:val="21"/>
        </w:rPr>
        <w:t>（3）允许进口产品参加的，优先采购向我国企业转让技术、与我国企业签订消化吸收再创新方案的投标人的进口产品。</w:t>
      </w:r>
    </w:p>
    <w:p w14:paraId="51EFF920">
      <w:pPr>
        <w:widowControl/>
        <w:spacing w:line="360" w:lineRule="auto"/>
        <w:ind w:firstLine="420"/>
        <w:rPr>
          <w:rFonts w:ascii="宋体" w:hAnsi="宋体" w:cs="宋体"/>
          <w:kern w:val="0"/>
          <w:szCs w:val="21"/>
        </w:rPr>
      </w:pPr>
      <w:r>
        <w:rPr>
          <w:rFonts w:hint="eastAsia" w:ascii="宋体" w:hAnsi="宋体" w:cs="宋体"/>
          <w:kern w:val="0"/>
          <w:szCs w:val="21"/>
        </w:rPr>
        <w:t>3.7未按要求提供相关材料的，不享受相关政策。</w:t>
      </w:r>
    </w:p>
    <w:p w14:paraId="7E352F8C">
      <w:pPr>
        <w:widowControl/>
        <w:spacing w:line="360" w:lineRule="auto"/>
        <w:ind w:firstLine="412"/>
        <w:rPr>
          <w:rFonts w:ascii="宋体" w:hAnsi="宋体" w:cs="宋体"/>
          <w:kern w:val="0"/>
          <w:szCs w:val="21"/>
        </w:rPr>
      </w:pPr>
      <w:r>
        <w:rPr>
          <w:rFonts w:hint="eastAsia" w:ascii="宋体" w:hAnsi="宋体" w:cs="宋体"/>
          <w:b/>
          <w:bCs/>
          <w:kern w:val="0"/>
          <w:szCs w:val="21"/>
        </w:rPr>
        <w:t>二、招标文件构成</w:t>
      </w:r>
    </w:p>
    <w:p w14:paraId="596DFF86">
      <w:pPr>
        <w:widowControl/>
        <w:spacing w:line="360" w:lineRule="auto"/>
        <w:ind w:firstLine="420"/>
        <w:rPr>
          <w:rFonts w:ascii="宋体" w:hAnsi="宋体" w:cs="宋体"/>
          <w:kern w:val="0"/>
          <w:szCs w:val="21"/>
        </w:rPr>
      </w:pPr>
      <w:r>
        <w:rPr>
          <w:rFonts w:hint="eastAsia" w:ascii="宋体" w:hAnsi="宋体" w:cs="宋体"/>
          <w:b/>
          <w:bCs/>
          <w:kern w:val="0"/>
          <w:szCs w:val="21"/>
        </w:rPr>
        <w:t>4、招标文件组成</w:t>
      </w:r>
    </w:p>
    <w:p w14:paraId="6BF0A6A5">
      <w:pPr>
        <w:widowControl/>
        <w:spacing w:line="360" w:lineRule="auto"/>
        <w:ind w:firstLine="420"/>
        <w:rPr>
          <w:rFonts w:ascii="宋体" w:hAnsi="宋体" w:cs="宋体"/>
          <w:kern w:val="0"/>
          <w:szCs w:val="21"/>
        </w:rPr>
      </w:pPr>
      <w:r>
        <w:rPr>
          <w:rFonts w:hint="eastAsia" w:ascii="宋体" w:hAnsi="宋体" w:cs="宋体"/>
          <w:kern w:val="0"/>
          <w:szCs w:val="21"/>
        </w:rPr>
        <w:t>4.1招标文件包括以下主要内容：招标公告；投标人须知；投标人应当提交的资格、资信证明文件；为落实政府采购政策，采购标的需满足的要求，以及投标人须提供的证明材料；投标文件编制要求、投标报价要求和投标保证金交纳、退还方式以及不予退还投标保证金的情形；招标项目预算金额，设定最高限价的，还应当公开最高限价；招标项目的技术规格、数量、服务标准、验收等要求，包括附件、图纸等；拟签订的合同文本；货物、服务提供的时间、地点、方式；采购资金的支付方式、时间、条件；评标方法、评标标准和投标无效情形；投标有效期；投标截止时间、开标时间及地点；采购代理机构代理费用的收取标准和方式；投标人信用信息查询渠道及截止时点、信用信息查询记录和证据留存的具体方式、信用信息的使用规则等；省级以上财政部门规定的其他事项。</w:t>
      </w:r>
    </w:p>
    <w:p w14:paraId="0A360886">
      <w:pPr>
        <w:widowControl/>
        <w:spacing w:line="360" w:lineRule="auto"/>
        <w:ind w:firstLine="420"/>
        <w:rPr>
          <w:rFonts w:ascii="宋体" w:hAnsi="宋体" w:cs="宋体"/>
          <w:kern w:val="0"/>
          <w:szCs w:val="21"/>
        </w:rPr>
      </w:pPr>
      <w:r>
        <w:rPr>
          <w:rFonts w:hint="eastAsia" w:ascii="宋体" w:hAnsi="宋体" w:cs="宋体"/>
          <w:kern w:val="0"/>
          <w:szCs w:val="21"/>
        </w:rPr>
        <w:t>4.2 招标的最小单位是标段。招标货物数量及技术要求中未分标段的，投标人对要求提供的货物和服务不得部分投标；招标货物数量及技术要求中已经分标段的，可以以标段为单位投标。</w:t>
      </w:r>
    </w:p>
    <w:p w14:paraId="55F1A477">
      <w:pPr>
        <w:widowControl/>
        <w:spacing w:line="360" w:lineRule="auto"/>
        <w:ind w:firstLine="420"/>
        <w:rPr>
          <w:rFonts w:ascii="宋体" w:hAnsi="宋体" w:cs="宋体"/>
          <w:kern w:val="0"/>
          <w:szCs w:val="21"/>
        </w:rPr>
      </w:pPr>
      <w:r>
        <w:rPr>
          <w:rFonts w:hint="eastAsia" w:ascii="宋体" w:hAnsi="宋体" w:cs="宋体"/>
          <w:kern w:val="0"/>
          <w:szCs w:val="21"/>
        </w:rPr>
        <w:t>4.3 采购代理机构如果要求投标人按照招标文件规定提交备选投标方案的，投标人可以提交备选方案；否则，备选方案将被拒绝。</w:t>
      </w:r>
    </w:p>
    <w:p w14:paraId="323F5461">
      <w:pPr>
        <w:widowControl/>
        <w:spacing w:line="360" w:lineRule="auto"/>
        <w:ind w:firstLine="420"/>
        <w:rPr>
          <w:rFonts w:ascii="宋体" w:hAnsi="宋体" w:cs="宋体"/>
          <w:kern w:val="0"/>
          <w:szCs w:val="21"/>
        </w:rPr>
      </w:pPr>
      <w:r>
        <w:rPr>
          <w:rFonts w:hint="eastAsia" w:ascii="宋体" w:hAnsi="宋体" w:cs="宋体"/>
          <w:kern w:val="0"/>
          <w:szCs w:val="21"/>
        </w:rPr>
        <w:t>4.4招标文件中要求的产品品牌或型号，是采购人根据项目所要实现的功能推荐的品牌或型号，仅供投标人参考，并不是限制条件。</w:t>
      </w:r>
    </w:p>
    <w:p w14:paraId="4294DD56">
      <w:pPr>
        <w:widowControl/>
        <w:spacing w:line="360" w:lineRule="auto"/>
        <w:ind w:firstLine="420"/>
        <w:rPr>
          <w:rFonts w:ascii="宋体" w:hAnsi="宋体" w:cs="宋体"/>
          <w:kern w:val="0"/>
          <w:szCs w:val="21"/>
        </w:rPr>
      </w:pPr>
      <w:r>
        <w:rPr>
          <w:rFonts w:hint="eastAsia" w:ascii="宋体" w:hAnsi="宋体" w:cs="宋体"/>
          <w:b/>
          <w:bCs/>
          <w:kern w:val="0"/>
          <w:szCs w:val="21"/>
        </w:rPr>
        <w:t>5、招标文件的澄清或者修改</w:t>
      </w:r>
    </w:p>
    <w:p w14:paraId="63FC0CBF">
      <w:pPr>
        <w:widowControl/>
        <w:spacing w:line="360" w:lineRule="auto"/>
        <w:ind w:firstLine="420"/>
        <w:rPr>
          <w:rFonts w:ascii="宋体" w:hAnsi="宋体" w:cs="宋体"/>
          <w:kern w:val="0"/>
          <w:szCs w:val="21"/>
        </w:rPr>
      </w:pPr>
      <w:r>
        <w:rPr>
          <w:rFonts w:hint="eastAsia" w:ascii="宋体" w:hAnsi="宋体" w:cs="宋体"/>
          <w:kern w:val="0"/>
          <w:szCs w:val="21"/>
        </w:rPr>
        <w:t>5.1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781F9CA">
      <w:pPr>
        <w:widowControl/>
        <w:spacing w:line="360" w:lineRule="auto"/>
        <w:ind w:firstLine="420"/>
        <w:rPr>
          <w:rFonts w:ascii="宋体" w:hAnsi="宋体" w:cs="宋体"/>
          <w:kern w:val="0"/>
          <w:szCs w:val="21"/>
        </w:rPr>
      </w:pPr>
      <w:r>
        <w:rPr>
          <w:rFonts w:hint="eastAsia" w:ascii="宋体" w:hAnsi="宋体" w:cs="宋体"/>
          <w:kern w:val="0"/>
          <w:szCs w:val="21"/>
        </w:rPr>
        <w:t>5.2澄清或者修改的内容可能影响投标文件编制的，采购人或者采购代理机构应当在投标截止时间至少5日前，以书面形式通知所有获取招标文件的潜在投标人；不足5日的，采购人或者采购代理机构应当顺延提交投标文件的截止时间。</w:t>
      </w:r>
    </w:p>
    <w:p w14:paraId="3058A4A2">
      <w:pPr>
        <w:widowControl/>
        <w:spacing w:line="360" w:lineRule="auto"/>
        <w:ind w:firstLine="420"/>
        <w:rPr>
          <w:rFonts w:ascii="宋体" w:hAnsi="宋体" w:cs="宋体"/>
          <w:kern w:val="0"/>
          <w:szCs w:val="21"/>
        </w:rPr>
      </w:pPr>
      <w:r>
        <w:rPr>
          <w:rFonts w:hint="eastAsia" w:ascii="宋体" w:hAnsi="宋体" w:cs="宋体"/>
          <w:b/>
          <w:bCs/>
          <w:kern w:val="0"/>
          <w:szCs w:val="21"/>
        </w:rPr>
        <w:t>三、投标文件的编制</w:t>
      </w:r>
    </w:p>
    <w:p w14:paraId="53B0A40E">
      <w:pPr>
        <w:widowControl/>
        <w:spacing w:line="360" w:lineRule="auto"/>
        <w:ind w:firstLine="420"/>
        <w:rPr>
          <w:rFonts w:ascii="宋体" w:hAnsi="宋体" w:cs="宋体"/>
          <w:kern w:val="0"/>
          <w:szCs w:val="21"/>
        </w:rPr>
      </w:pPr>
      <w:r>
        <w:rPr>
          <w:rFonts w:hint="eastAsia" w:ascii="宋体" w:hAnsi="宋体" w:cs="宋体"/>
          <w:b/>
          <w:bCs/>
          <w:kern w:val="0"/>
          <w:szCs w:val="21"/>
        </w:rPr>
        <w:t>6、投标文件的语言、计量单位、货币和编制</w:t>
      </w:r>
    </w:p>
    <w:p w14:paraId="3A9298AF">
      <w:pPr>
        <w:widowControl/>
        <w:spacing w:line="360" w:lineRule="auto"/>
        <w:ind w:firstLine="420"/>
        <w:rPr>
          <w:rFonts w:ascii="宋体" w:hAnsi="宋体" w:cs="宋体"/>
          <w:kern w:val="0"/>
          <w:szCs w:val="21"/>
        </w:rPr>
      </w:pPr>
      <w:r>
        <w:rPr>
          <w:rFonts w:hint="eastAsia" w:ascii="宋体" w:hAnsi="宋体" w:cs="宋体"/>
          <w:kern w:val="0"/>
          <w:szCs w:val="21"/>
        </w:rPr>
        <w:t>6.1投标人提交的投标文件、技术文件和资料，包括图纸中的说明，以及投标人与采购代理机构就有关投标的所有来往函电均应使用中文。投标文件中若有英文或其他语言文字的资料，应提供相应的中文翻译资料。对不同文本投标文件的解释发生异议的，以中文文本为准。</w:t>
      </w:r>
    </w:p>
    <w:p w14:paraId="24F8451F">
      <w:pPr>
        <w:widowControl/>
        <w:spacing w:line="360" w:lineRule="auto"/>
        <w:ind w:firstLine="420"/>
        <w:rPr>
          <w:rFonts w:ascii="宋体" w:hAnsi="宋体" w:cs="宋体"/>
          <w:kern w:val="0"/>
          <w:szCs w:val="21"/>
        </w:rPr>
      </w:pPr>
      <w:r>
        <w:rPr>
          <w:rFonts w:hint="eastAsia" w:ascii="宋体" w:hAnsi="宋体" w:cs="宋体"/>
          <w:kern w:val="0"/>
          <w:szCs w:val="21"/>
        </w:rPr>
        <w:t>6.2投标人所使用的计量单位应为国家法定计量单位。</w:t>
      </w:r>
    </w:p>
    <w:p w14:paraId="63807E0B">
      <w:pPr>
        <w:widowControl/>
        <w:spacing w:line="360" w:lineRule="auto"/>
        <w:ind w:firstLine="420"/>
        <w:rPr>
          <w:rFonts w:ascii="宋体" w:hAnsi="宋体" w:cs="宋体"/>
          <w:b/>
          <w:bCs/>
          <w:kern w:val="0"/>
          <w:szCs w:val="21"/>
        </w:rPr>
      </w:pPr>
      <w:r>
        <w:rPr>
          <w:rFonts w:hint="eastAsia" w:ascii="宋体" w:hAnsi="宋体" w:cs="宋体"/>
          <w:kern w:val="0"/>
          <w:szCs w:val="21"/>
        </w:rPr>
        <w:t>6.3投标人应用人民币报价。投标产品如果是进口产品的，应提供人民币与</w:t>
      </w:r>
      <w:r>
        <w:rPr>
          <w:rFonts w:hint="eastAsia" w:ascii="宋体" w:hAnsi="宋体" w:cs="宋体"/>
          <w:b/>
          <w:bCs/>
          <w:kern w:val="0"/>
          <w:szCs w:val="21"/>
        </w:rPr>
        <w:t>外币之间的汇率。</w:t>
      </w:r>
    </w:p>
    <w:p w14:paraId="53704649">
      <w:pPr>
        <w:widowControl/>
        <w:spacing w:line="360" w:lineRule="auto"/>
        <w:ind w:firstLine="420"/>
        <w:rPr>
          <w:rFonts w:ascii="宋体" w:hAnsi="宋体" w:cs="宋体"/>
          <w:kern w:val="0"/>
          <w:szCs w:val="21"/>
        </w:rPr>
      </w:pPr>
      <w:r>
        <w:rPr>
          <w:rFonts w:hint="eastAsia" w:ascii="宋体" w:hAnsi="宋体" w:cs="宋体"/>
          <w:kern w:val="0"/>
          <w:szCs w:val="21"/>
        </w:rPr>
        <w:t>6.4投标文件应按照招标文件规定的顺序打印、装订成册并编制目录。因编排混乱导致投标文件被误读或查找不到，责任由投标人承担。</w:t>
      </w:r>
    </w:p>
    <w:p w14:paraId="154533A4">
      <w:pPr>
        <w:widowControl/>
        <w:spacing w:line="360" w:lineRule="auto"/>
        <w:ind w:firstLine="420"/>
        <w:rPr>
          <w:rFonts w:ascii="宋体" w:hAnsi="宋体" w:cs="宋体"/>
          <w:kern w:val="0"/>
          <w:szCs w:val="21"/>
        </w:rPr>
      </w:pPr>
      <w:r>
        <w:rPr>
          <w:rFonts w:hint="eastAsia" w:ascii="宋体" w:hAnsi="宋体" w:cs="宋体"/>
          <w:kern w:val="0"/>
          <w:szCs w:val="21"/>
        </w:rPr>
        <w:t>6.5投标人应在投标文件中写清相应的项目编号、项目名称、投标人全称、地址、电话、传真等。</w:t>
      </w:r>
    </w:p>
    <w:p w14:paraId="1ADADB3E">
      <w:pPr>
        <w:widowControl/>
        <w:spacing w:line="360" w:lineRule="auto"/>
        <w:ind w:firstLine="412"/>
        <w:rPr>
          <w:rFonts w:ascii="宋体" w:hAnsi="宋体" w:cs="宋体"/>
          <w:kern w:val="0"/>
          <w:szCs w:val="21"/>
        </w:rPr>
      </w:pPr>
      <w:r>
        <w:rPr>
          <w:rFonts w:hint="eastAsia" w:ascii="宋体" w:hAnsi="宋体" w:cs="宋体"/>
          <w:bCs/>
          <w:kern w:val="0"/>
          <w:szCs w:val="21"/>
        </w:rPr>
        <w:t>6.6</w:t>
      </w:r>
      <w:r>
        <w:rPr>
          <w:rFonts w:hint="eastAsia" w:ascii="宋体" w:hAnsi="宋体" w:cs="宋体"/>
          <w:kern w:val="0"/>
          <w:szCs w:val="21"/>
        </w:rPr>
        <w:t>投标人根据招标文件载明的标的采购项目实际情况，拟在中标后将中标项目的非主体、非关键性工作交由他人完成的，应当在投标文件中载明。</w:t>
      </w:r>
    </w:p>
    <w:p w14:paraId="5919A9FF">
      <w:pPr>
        <w:widowControl/>
        <w:spacing w:line="360" w:lineRule="auto"/>
        <w:ind w:firstLine="420"/>
        <w:rPr>
          <w:rFonts w:ascii="宋体" w:hAnsi="宋体" w:cs="宋体"/>
          <w:b/>
          <w:bCs/>
          <w:kern w:val="0"/>
          <w:szCs w:val="21"/>
        </w:rPr>
      </w:pPr>
      <w:r>
        <w:rPr>
          <w:rFonts w:hint="eastAsia" w:ascii="宋体" w:hAnsi="宋体" w:cs="宋体"/>
          <w:b/>
          <w:bCs/>
          <w:kern w:val="0"/>
          <w:szCs w:val="21"/>
        </w:rPr>
        <w:t>7、联合体投标</w:t>
      </w:r>
    </w:p>
    <w:p w14:paraId="489B789F">
      <w:pPr>
        <w:widowControl/>
        <w:spacing w:line="360" w:lineRule="auto"/>
        <w:ind w:firstLine="420"/>
        <w:rPr>
          <w:rFonts w:ascii="宋体" w:hAnsi="宋体" w:cs="宋体"/>
          <w:bCs/>
          <w:kern w:val="0"/>
          <w:szCs w:val="21"/>
        </w:rPr>
      </w:pPr>
      <w:r>
        <w:rPr>
          <w:rFonts w:hint="eastAsia" w:ascii="宋体" w:hAnsi="宋体" w:cs="宋体"/>
          <w:bCs/>
          <w:kern w:val="0"/>
          <w:szCs w:val="21"/>
        </w:rPr>
        <w:t>7.1 两个以上的自然人、法人或者其他组织可以组成一个联合体，以一个投标人的身份共同参加政府采购。</w:t>
      </w:r>
    </w:p>
    <w:p w14:paraId="0F6F5590">
      <w:pPr>
        <w:widowControl/>
        <w:spacing w:line="360" w:lineRule="auto"/>
        <w:ind w:firstLine="420"/>
        <w:rPr>
          <w:rFonts w:ascii="宋体" w:hAnsi="宋体" w:cs="宋体"/>
          <w:bCs/>
          <w:kern w:val="0"/>
          <w:szCs w:val="21"/>
        </w:rPr>
      </w:pPr>
      <w:r>
        <w:rPr>
          <w:rFonts w:hint="eastAsia" w:ascii="宋体" w:hAnsi="宋体" w:cs="宋体"/>
          <w:bCs/>
          <w:kern w:val="0"/>
          <w:szCs w:val="21"/>
        </w:rPr>
        <w:t>7.2 联合体中有同类资质的投标人按照联合体分工承担相同工作的，按照资质等级较低的投标人确定资质等级。</w:t>
      </w:r>
    </w:p>
    <w:p w14:paraId="3D323B12">
      <w:pPr>
        <w:widowControl/>
        <w:spacing w:line="360" w:lineRule="auto"/>
        <w:ind w:firstLine="420"/>
        <w:rPr>
          <w:rFonts w:ascii="宋体" w:hAnsi="宋体" w:cs="宋体"/>
          <w:bCs/>
          <w:kern w:val="0"/>
          <w:szCs w:val="21"/>
        </w:rPr>
      </w:pPr>
      <w:r>
        <w:rPr>
          <w:rFonts w:hint="eastAsia" w:ascii="宋体" w:hAnsi="宋体" w:cs="宋体"/>
          <w:bCs/>
          <w:kern w:val="0"/>
          <w:szCs w:val="21"/>
        </w:rPr>
        <w:t>7.3 联合体各方之间应当签订联合体协议，明确约定联合体各方承担的工作和相应的责任，并将联合体协议连同投标文件一同提交。</w:t>
      </w:r>
    </w:p>
    <w:p w14:paraId="4B10FF80">
      <w:pPr>
        <w:widowControl/>
        <w:spacing w:line="360" w:lineRule="auto"/>
        <w:ind w:firstLine="412"/>
        <w:rPr>
          <w:rFonts w:ascii="宋体" w:hAnsi="宋体" w:cs="宋体"/>
          <w:kern w:val="0"/>
          <w:szCs w:val="21"/>
        </w:rPr>
      </w:pPr>
      <w:r>
        <w:rPr>
          <w:rFonts w:hint="eastAsia" w:ascii="宋体" w:hAnsi="宋体" w:cs="宋体"/>
          <w:bCs/>
          <w:kern w:val="0"/>
          <w:szCs w:val="21"/>
        </w:rPr>
        <w:t>7.4 以联合体形式参加政府采购活动的，联合体各方不得再单独参加或者与其他投标人另外组成联合体参加同一合同项下的政府采购活动。</w:t>
      </w:r>
    </w:p>
    <w:p w14:paraId="6626A2CC">
      <w:pPr>
        <w:widowControl/>
        <w:spacing w:line="360" w:lineRule="auto"/>
        <w:ind w:firstLine="420"/>
        <w:rPr>
          <w:rFonts w:ascii="宋体" w:hAnsi="宋体" w:cs="宋体"/>
          <w:kern w:val="0"/>
          <w:szCs w:val="21"/>
        </w:rPr>
      </w:pPr>
      <w:r>
        <w:rPr>
          <w:rFonts w:hint="eastAsia" w:ascii="宋体" w:hAnsi="宋体" w:cs="宋体"/>
          <w:b/>
          <w:bCs/>
          <w:kern w:val="0"/>
          <w:szCs w:val="21"/>
        </w:rPr>
        <w:t>8、投标文件的组成</w:t>
      </w:r>
    </w:p>
    <w:p w14:paraId="73404905">
      <w:pPr>
        <w:widowControl/>
        <w:spacing w:line="360" w:lineRule="auto"/>
        <w:ind w:firstLine="420"/>
        <w:jc w:val="left"/>
        <w:rPr>
          <w:rFonts w:ascii="宋体" w:hAnsi="宋体" w:cs="宋体"/>
          <w:b/>
          <w:kern w:val="0"/>
          <w:szCs w:val="21"/>
        </w:rPr>
      </w:pPr>
      <w:r>
        <w:rPr>
          <w:rFonts w:hint="eastAsia" w:ascii="宋体" w:hAnsi="宋体" w:cs="宋体"/>
          <w:kern w:val="0"/>
          <w:szCs w:val="21"/>
        </w:rPr>
        <w:t>8.1投标人应当根据招标文件要求编制投标文件，投标文件应对招标文件提出的要求和条件作出实质性响应，并在《商务条款偏离表》和《采购需求偏离表》等处逐条标明满足与否。</w:t>
      </w:r>
      <w:r>
        <w:rPr>
          <w:rFonts w:hint="eastAsia" w:ascii="宋体" w:hAnsi="宋体" w:cs="宋体"/>
          <w:b/>
          <w:kern w:val="0"/>
          <w:szCs w:val="21"/>
        </w:rPr>
        <w:t>对带</w:t>
      </w:r>
      <w:r>
        <w:rPr>
          <w:rFonts w:hint="eastAsia" w:ascii="宋体" w:hAnsi="宋体" w:cs="宋体"/>
          <w:b/>
          <w:bCs/>
          <w:kern w:val="0"/>
          <w:szCs w:val="21"/>
        </w:rPr>
        <w:t>星号（“</w:t>
      </w:r>
      <w:r>
        <w:rPr>
          <w:rFonts w:hint="eastAsia" w:ascii="宋体" w:hAnsi="宋体" w:cs="宋体"/>
          <w:b/>
          <w:bCs/>
        </w:rPr>
        <w:t>*</w:t>
      </w:r>
      <w:r>
        <w:rPr>
          <w:rFonts w:hint="eastAsia" w:ascii="宋体" w:hAnsi="宋体" w:cs="宋体"/>
          <w:b/>
          <w:bCs/>
          <w:kern w:val="0"/>
          <w:szCs w:val="21"/>
        </w:rPr>
        <w:t>”）的技术条款必须在投标文件中提供技术支持资料（如白皮书、彩页、手册、检测报告等），未提供技术支持资料的，视为未对招标文件实质性要求作出响应，评审时不予认可。</w:t>
      </w:r>
    </w:p>
    <w:p w14:paraId="043E27A7">
      <w:pPr>
        <w:widowControl/>
        <w:spacing w:line="360" w:lineRule="auto"/>
        <w:ind w:firstLine="420"/>
        <w:jc w:val="left"/>
        <w:rPr>
          <w:rFonts w:ascii="宋体" w:hAnsi="宋体" w:cs="宋体"/>
          <w:kern w:val="0"/>
          <w:szCs w:val="21"/>
        </w:rPr>
      </w:pPr>
      <w:r>
        <w:rPr>
          <w:rFonts w:hint="eastAsia" w:ascii="宋体" w:hAnsi="宋体" w:cs="宋体"/>
          <w:kern w:val="0"/>
          <w:szCs w:val="21"/>
        </w:rPr>
        <w:t>8.2 投标文件由商务、技术、价格以及其他部分内容组成。投标文件目录及有关格式按招标文件“第六章 投标文件格式及附件”的要求编制。</w:t>
      </w:r>
    </w:p>
    <w:p w14:paraId="5F83D542">
      <w:pPr>
        <w:widowControl/>
        <w:spacing w:line="360" w:lineRule="auto"/>
        <w:ind w:firstLine="420"/>
        <w:rPr>
          <w:rFonts w:ascii="宋体" w:hAnsi="宋体" w:cs="宋体"/>
          <w:kern w:val="0"/>
          <w:szCs w:val="21"/>
        </w:rPr>
      </w:pPr>
      <w:r>
        <w:rPr>
          <w:rFonts w:hint="eastAsia" w:ascii="宋体" w:hAnsi="宋体" w:cs="宋体"/>
          <w:b/>
          <w:bCs/>
          <w:kern w:val="0"/>
          <w:szCs w:val="21"/>
        </w:rPr>
        <w:t>9、投标文件的商务内容</w:t>
      </w:r>
    </w:p>
    <w:p w14:paraId="5F992987">
      <w:pPr>
        <w:widowControl/>
        <w:spacing w:line="360" w:lineRule="auto"/>
        <w:ind w:firstLine="420"/>
        <w:rPr>
          <w:rFonts w:ascii="宋体" w:hAnsi="宋体" w:cs="宋体"/>
          <w:kern w:val="0"/>
          <w:szCs w:val="21"/>
        </w:rPr>
      </w:pPr>
      <w:r>
        <w:rPr>
          <w:rFonts w:hint="eastAsia" w:ascii="宋体" w:hAnsi="宋体" w:cs="宋体"/>
          <w:kern w:val="0"/>
          <w:szCs w:val="21"/>
        </w:rPr>
        <w:t>9.1商务部分内容是证明投标人有资格参加投标和中标后有能力履行合同的文件，这些文件应能满足招标的要求，包括但不限于下列文件（</w:t>
      </w:r>
      <w:r>
        <w:rPr>
          <w:rFonts w:hint="eastAsia" w:ascii="宋体" w:hAnsi="宋体" w:cs="宋体"/>
          <w:b/>
          <w:kern w:val="0"/>
          <w:szCs w:val="21"/>
        </w:rPr>
        <w:t>（1）-（5）所述材料不得有缺失或提供不全或不满足招标文件的实质性要求</w:t>
      </w:r>
      <w:r>
        <w:rPr>
          <w:rFonts w:hint="eastAsia" w:ascii="宋体" w:hAnsi="宋体" w:cs="宋体"/>
          <w:kern w:val="0"/>
          <w:szCs w:val="21"/>
        </w:rPr>
        <w:t>）：</w:t>
      </w:r>
    </w:p>
    <w:p w14:paraId="11DB171B">
      <w:pPr>
        <w:widowControl/>
        <w:spacing w:line="360" w:lineRule="auto"/>
        <w:ind w:firstLine="420"/>
        <w:jc w:val="left"/>
        <w:rPr>
          <w:rFonts w:ascii="宋体" w:hAnsi="宋体" w:cs="宋体"/>
          <w:kern w:val="0"/>
          <w:szCs w:val="21"/>
        </w:rPr>
      </w:pPr>
      <w:r>
        <w:rPr>
          <w:rFonts w:hint="eastAsia" w:ascii="宋体" w:hAnsi="宋体" w:cs="宋体"/>
          <w:kern w:val="0"/>
          <w:szCs w:val="21"/>
        </w:rPr>
        <w:t>（1）投标函（投标申请及声明）</w:t>
      </w:r>
      <w:r>
        <w:rPr>
          <w:rFonts w:hint="eastAsia" w:ascii="宋体" w:hAnsi="宋体" w:cs="宋体"/>
          <w:bCs/>
          <w:szCs w:val="21"/>
        </w:rPr>
        <w:t>（</w:t>
      </w:r>
      <w:r>
        <w:rPr>
          <w:rFonts w:hint="eastAsia" w:ascii="宋体" w:hAnsi="宋体" w:cs="宋体"/>
          <w:b/>
          <w:bCs/>
          <w:szCs w:val="21"/>
        </w:rPr>
        <w:t>格式见第六章</w:t>
      </w:r>
      <w:r>
        <w:rPr>
          <w:rFonts w:hint="eastAsia" w:ascii="宋体" w:hAnsi="宋体" w:cs="宋体"/>
          <w:bCs/>
          <w:szCs w:val="21"/>
        </w:rPr>
        <w:t>）</w:t>
      </w:r>
      <w:r>
        <w:rPr>
          <w:rFonts w:hint="eastAsia" w:ascii="宋体" w:hAnsi="宋体" w:cs="宋体"/>
          <w:kern w:val="0"/>
          <w:szCs w:val="21"/>
        </w:rPr>
        <w:t>；</w:t>
      </w:r>
    </w:p>
    <w:p w14:paraId="1D123257">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（2）法定代表人授权书及委托代理人的身份证明文件的复印件</w:t>
      </w:r>
      <w:r>
        <w:rPr>
          <w:rFonts w:hint="eastAsia" w:ascii="宋体" w:hAnsi="宋体" w:cs="宋体"/>
          <w:bCs/>
          <w:szCs w:val="21"/>
        </w:rPr>
        <w:t>（</w:t>
      </w:r>
      <w:r>
        <w:rPr>
          <w:rFonts w:hint="eastAsia" w:ascii="宋体" w:hAnsi="宋体" w:cs="宋体"/>
          <w:b/>
          <w:bCs/>
          <w:szCs w:val="21"/>
        </w:rPr>
        <w:t>格式见第六章</w:t>
      </w:r>
      <w:r>
        <w:rPr>
          <w:rFonts w:hint="eastAsia" w:ascii="宋体" w:hAnsi="宋体" w:cs="宋体"/>
          <w:bCs/>
          <w:szCs w:val="21"/>
        </w:rPr>
        <w:t>）</w:t>
      </w:r>
      <w:r>
        <w:rPr>
          <w:rFonts w:hint="eastAsia" w:ascii="宋体" w:hAnsi="宋体" w:cs="宋体"/>
          <w:kern w:val="0"/>
          <w:szCs w:val="21"/>
        </w:rPr>
        <w:t>；</w:t>
      </w:r>
    </w:p>
    <w:p w14:paraId="5E21EAAD">
      <w:pPr>
        <w:widowControl/>
        <w:spacing w:line="360" w:lineRule="auto"/>
        <w:ind w:firstLine="420"/>
        <w:rPr>
          <w:rFonts w:ascii="宋体" w:hAnsi="宋体" w:cs="宋体"/>
          <w:kern w:val="0"/>
          <w:szCs w:val="21"/>
        </w:rPr>
      </w:pPr>
      <w:r>
        <w:rPr>
          <w:rFonts w:hint="eastAsia" w:ascii="宋体" w:hAnsi="宋体" w:cs="宋体"/>
          <w:kern w:val="0"/>
          <w:szCs w:val="21"/>
        </w:rPr>
        <w:t>（3）投标人资格资信证明文件：</w:t>
      </w:r>
    </w:p>
    <w:p w14:paraId="5634DC18">
      <w:pPr>
        <w:pStyle w:val="146"/>
        <w:numPr>
          <w:ilvl w:val="1"/>
          <w:numId w:val="3"/>
        </w:numPr>
        <w:tabs>
          <w:tab w:val="left" w:pos="840"/>
          <w:tab w:val="clear" w:pos="990"/>
        </w:tabs>
        <w:spacing w:line="360" w:lineRule="auto"/>
        <w:ind w:left="0" w:firstLine="367" w:firstLineChars="175"/>
        <w:rPr>
          <w:rFonts w:ascii="宋体" w:hAnsi="宋体" w:cs="宋体"/>
          <w:bCs/>
          <w:szCs w:val="21"/>
        </w:rPr>
      </w:pPr>
      <w:r>
        <w:rPr>
          <w:rFonts w:hint="eastAsia" w:ascii="宋体" w:hAnsi="宋体" w:cs="宋体"/>
          <w:bCs/>
          <w:szCs w:val="21"/>
        </w:rPr>
        <w:t>第一章招标公告中 2.1《中华人民共和国政府采购法》规定的资格条件证明文件；</w:t>
      </w:r>
    </w:p>
    <w:p w14:paraId="44EC581D">
      <w:pPr>
        <w:pStyle w:val="146"/>
        <w:numPr>
          <w:ilvl w:val="1"/>
          <w:numId w:val="3"/>
        </w:numPr>
        <w:tabs>
          <w:tab w:val="left" w:pos="840"/>
          <w:tab w:val="clear" w:pos="990"/>
        </w:tabs>
        <w:spacing w:line="360" w:lineRule="auto"/>
        <w:ind w:left="0" w:firstLine="367" w:firstLineChars="175"/>
        <w:rPr>
          <w:rFonts w:ascii="宋体" w:hAnsi="宋体" w:cs="宋体"/>
          <w:bCs/>
          <w:szCs w:val="21"/>
        </w:rPr>
      </w:pPr>
      <w:r>
        <w:rPr>
          <w:rFonts w:hint="eastAsia" w:ascii="宋体" w:hAnsi="宋体" w:cs="宋体"/>
          <w:bCs/>
          <w:szCs w:val="21"/>
        </w:rPr>
        <w:t>第一章招标公告中 2.2</w:t>
      </w:r>
      <w:r>
        <w:rPr>
          <w:rFonts w:hint="eastAsia" w:ascii="宋体" w:hAnsi="宋体" w:cs="宋体"/>
          <w:spacing w:val="8"/>
          <w:kern w:val="0"/>
          <w:szCs w:val="21"/>
        </w:rPr>
        <w:t>落实政府采购政策需满足的资格要求；</w:t>
      </w:r>
    </w:p>
    <w:p w14:paraId="39FD30BE">
      <w:pPr>
        <w:pStyle w:val="146"/>
        <w:numPr>
          <w:ilvl w:val="1"/>
          <w:numId w:val="3"/>
        </w:numPr>
        <w:tabs>
          <w:tab w:val="left" w:pos="840"/>
          <w:tab w:val="clear" w:pos="990"/>
        </w:tabs>
        <w:spacing w:line="360" w:lineRule="auto"/>
        <w:ind w:left="0" w:firstLine="367" w:firstLineChars="175"/>
        <w:rPr>
          <w:rFonts w:ascii="宋体" w:hAnsi="宋体" w:cs="宋体"/>
          <w:bCs/>
          <w:szCs w:val="21"/>
        </w:rPr>
      </w:pPr>
      <w:r>
        <w:rPr>
          <w:rFonts w:hint="eastAsia" w:ascii="宋体" w:hAnsi="宋体" w:cs="宋体"/>
          <w:bCs/>
          <w:szCs w:val="21"/>
        </w:rPr>
        <w:t>第一章招标公告中 2.3 采购人根据采购项目的特殊要求规定的特定条件证明文件。</w:t>
      </w:r>
    </w:p>
    <w:p w14:paraId="4143CB8E">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（4）开标一览表及附表</w:t>
      </w:r>
      <w:r>
        <w:rPr>
          <w:rFonts w:hint="eastAsia" w:ascii="宋体" w:hAnsi="宋体" w:cs="宋体"/>
          <w:bCs/>
          <w:szCs w:val="21"/>
        </w:rPr>
        <w:t>（</w:t>
      </w:r>
      <w:r>
        <w:rPr>
          <w:rFonts w:hint="eastAsia" w:ascii="宋体" w:hAnsi="宋体" w:cs="宋体"/>
          <w:b/>
          <w:bCs/>
          <w:szCs w:val="21"/>
        </w:rPr>
        <w:t>格式见第六章</w:t>
      </w:r>
      <w:r>
        <w:rPr>
          <w:rFonts w:hint="eastAsia" w:ascii="宋体" w:hAnsi="宋体" w:cs="宋体"/>
          <w:bCs/>
          <w:szCs w:val="21"/>
        </w:rPr>
        <w:t>）；</w:t>
      </w:r>
    </w:p>
    <w:p w14:paraId="60E4DAF4">
      <w:pPr>
        <w:widowControl/>
        <w:spacing w:line="360" w:lineRule="auto"/>
        <w:ind w:firstLine="420"/>
        <w:jc w:val="left"/>
        <w:rPr>
          <w:rFonts w:ascii="宋体" w:hAnsi="宋体" w:cs="宋体"/>
          <w:b/>
          <w:bCs/>
          <w:kern w:val="0"/>
          <w:szCs w:val="21"/>
        </w:rPr>
      </w:pPr>
      <w:r>
        <w:rPr>
          <w:rFonts w:hint="eastAsia" w:ascii="宋体" w:hAnsi="宋体" w:cs="宋体"/>
          <w:b/>
          <w:bCs/>
          <w:kern w:val="0"/>
          <w:szCs w:val="21"/>
        </w:rPr>
        <w:t>（5）《南京市政府采购供应商信用记录表暨信用承诺书》</w:t>
      </w:r>
      <w:r>
        <w:rPr>
          <w:rFonts w:hint="eastAsia" w:ascii="宋体" w:hAnsi="宋体" w:cs="宋体"/>
          <w:b/>
          <w:bCs/>
          <w:szCs w:val="21"/>
          <w:lang w:val="zh-CN"/>
        </w:rPr>
        <w:t>；</w:t>
      </w:r>
    </w:p>
    <w:p w14:paraId="46B0B0B6">
      <w:pPr>
        <w:widowControl/>
        <w:spacing w:line="360" w:lineRule="auto"/>
        <w:ind w:firstLine="420"/>
        <w:jc w:val="left"/>
        <w:rPr>
          <w:rFonts w:ascii="宋体" w:hAnsi="宋体" w:cs="宋体"/>
          <w:kern w:val="0"/>
          <w:szCs w:val="21"/>
        </w:rPr>
      </w:pPr>
      <w:r>
        <w:rPr>
          <w:rFonts w:hint="eastAsia" w:ascii="宋体" w:hAnsi="宋体" w:cs="宋体"/>
          <w:kern w:val="0"/>
          <w:szCs w:val="21"/>
        </w:rPr>
        <w:t>（6）《商务条款偏离表》；</w:t>
      </w:r>
    </w:p>
    <w:p w14:paraId="03780971">
      <w:pPr>
        <w:widowControl/>
        <w:spacing w:line="360" w:lineRule="auto"/>
        <w:ind w:firstLine="420"/>
        <w:jc w:val="left"/>
        <w:rPr>
          <w:rFonts w:ascii="宋体" w:hAnsi="宋体" w:cs="宋体"/>
          <w:kern w:val="0"/>
          <w:szCs w:val="21"/>
        </w:rPr>
      </w:pPr>
      <w:r>
        <w:rPr>
          <w:rFonts w:hint="eastAsia" w:ascii="宋体" w:hAnsi="宋体" w:cs="宋体"/>
          <w:kern w:val="0"/>
          <w:szCs w:val="21"/>
        </w:rPr>
        <w:t>（7）第三章评标标准中对应的所需证明材料（如有自行添加）；</w:t>
      </w:r>
    </w:p>
    <w:p w14:paraId="2F0EE6EE">
      <w:pPr>
        <w:widowControl/>
        <w:spacing w:line="360" w:lineRule="auto"/>
        <w:ind w:firstLine="420"/>
        <w:jc w:val="left"/>
        <w:rPr>
          <w:rFonts w:ascii="宋体" w:hAnsi="宋体" w:cs="宋体"/>
          <w:kern w:val="0"/>
          <w:szCs w:val="21"/>
        </w:rPr>
      </w:pPr>
      <w:r>
        <w:rPr>
          <w:rFonts w:hint="eastAsia" w:ascii="宋体" w:hAnsi="宋体" w:cs="宋体"/>
          <w:kern w:val="0"/>
          <w:szCs w:val="21"/>
        </w:rPr>
        <w:t>（8）要求采购人提供的配合（如有自拟并自行添加）；</w:t>
      </w:r>
    </w:p>
    <w:p w14:paraId="69BDF8BF">
      <w:pPr>
        <w:widowControl/>
        <w:spacing w:line="360" w:lineRule="auto"/>
        <w:ind w:firstLine="420"/>
        <w:jc w:val="left"/>
        <w:rPr>
          <w:rFonts w:ascii="宋体" w:hAnsi="宋体" w:cs="宋体"/>
          <w:kern w:val="0"/>
          <w:szCs w:val="21"/>
        </w:rPr>
      </w:pPr>
      <w:r>
        <w:rPr>
          <w:rFonts w:hint="eastAsia" w:ascii="宋体" w:hAnsi="宋体" w:cs="宋体"/>
          <w:kern w:val="0"/>
          <w:szCs w:val="21"/>
        </w:rPr>
        <w:t>（9）其他（投标人认为有必要提供的声明和文件，如有，自行拟定并添加）。</w:t>
      </w:r>
    </w:p>
    <w:p w14:paraId="37FCB1BF">
      <w:pPr>
        <w:widowControl/>
        <w:spacing w:line="360" w:lineRule="auto"/>
        <w:ind w:firstLine="420"/>
        <w:jc w:val="left"/>
        <w:rPr>
          <w:rFonts w:ascii="宋体" w:hAnsi="宋体" w:cs="宋体"/>
          <w:kern w:val="0"/>
          <w:szCs w:val="21"/>
        </w:rPr>
      </w:pPr>
      <w:r>
        <w:rPr>
          <w:rFonts w:hint="eastAsia" w:ascii="宋体" w:hAnsi="宋体" w:cs="宋体"/>
          <w:b/>
          <w:bCs/>
          <w:kern w:val="0"/>
          <w:szCs w:val="21"/>
        </w:rPr>
        <w:t>10、投标文件的技术内容</w:t>
      </w:r>
    </w:p>
    <w:p w14:paraId="743BB79D">
      <w:pPr>
        <w:widowControl/>
        <w:adjustRightInd w:val="0"/>
        <w:spacing w:line="360" w:lineRule="auto"/>
        <w:ind w:firstLine="420"/>
        <w:jc w:val="left"/>
        <w:rPr>
          <w:rFonts w:ascii="宋体" w:hAnsi="宋体" w:cs="宋体"/>
          <w:szCs w:val="21"/>
          <w:lang w:val="zh-CN"/>
        </w:rPr>
      </w:pPr>
      <w:r>
        <w:rPr>
          <w:rFonts w:hint="eastAsia" w:ascii="宋体" w:hAnsi="宋体" w:cs="宋体"/>
          <w:szCs w:val="21"/>
          <w:lang w:val="zh-CN"/>
        </w:rPr>
        <w:t>技术部分</w:t>
      </w:r>
      <w:r>
        <w:rPr>
          <w:rFonts w:hint="eastAsia" w:ascii="宋体" w:hAnsi="宋体" w:cs="宋体"/>
          <w:kern w:val="0"/>
          <w:szCs w:val="21"/>
        </w:rPr>
        <w:t>内容</w:t>
      </w:r>
      <w:r>
        <w:rPr>
          <w:rFonts w:hint="eastAsia" w:ascii="宋体" w:hAnsi="宋体" w:cs="宋体"/>
          <w:szCs w:val="21"/>
          <w:lang w:val="zh-CN"/>
        </w:rPr>
        <w:t>是证明</w:t>
      </w:r>
      <w:r>
        <w:rPr>
          <w:rFonts w:hint="eastAsia" w:ascii="宋体" w:hAnsi="宋体" w:cs="宋体"/>
          <w:szCs w:val="21"/>
        </w:rPr>
        <w:t>投标人提供的货物和服务是合格的、并符合招标文件要求的证明文件，以及</w:t>
      </w:r>
      <w:r>
        <w:rPr>
          <w:rFonts w:hint="eastAsia" w:ascii="宋体" w:hAnsi="宋体" w:cs="宋体"/>
          <w:szCs w:val="21"/>
          <w:lang w:val="zh-CN"/>
        </w:rPr>
        <w:t>对货物和服务的详细说明，这些文件可以是文字资料、图纸、数据</w:t>
      </w:r>
      <w:r>
        <w:rPr>
          <w:rFonts w:hint="eastAsia" w:ascii="宋体" w:hAnsi="宋体" w:cs="宋体"/>
          <w:szCs w:val="21"/>
        </w:rPr>
        <w:t>或其他证明文件</w:t>
      </w:r>
      <w:r>
        <w:rPr>
          <w:rFonts w:hint="eastAsia" w:ascii="宋体" w:hAnsi="宋体" w:cs="宋体"/>
          <w:szCs w:val="21"/>
          <w:lang w:val="zh-CN"/>
        </w:rPr>
        <w:t>等。提供的货物和服务如与招标文件要求有不符之处，应说明其差别之所在。包括但不限于下列文件：</w:t>
      </w:r>
    </w:p>
    <w:p w14:paraId="31FFE9F6">
      <w:pPr>
        <w:widowControl/>
        <w:adjustRightInd w:val="0"/>
        <w:spacing w:line="360" w:lineRule="auto"/>
        <w:ind w:firstLine="420"/>
        <w:jc w:val="left"/>
        <w:rPr>
          <w:rFonts w:ascii="宋体" w:hAnsi="宋体" w:cs="宋体"/>
          <w:kern w:val="0"/>
          <w:szCs w:val="21"/>
          <w:lang w:val="zh-CN"/>
        </w:rPr>
      </w:pPr>
      <w:r>
        <w:rPr>
          <w:rFonts w:hint="eastAsia" w:ascii="宋体" w:hAnsi="宋体" w:cs="宋体"/>
          <w:kern w:val="0"/>
          <w:szCs w:val="21"/>
          <w:lang w:val="zh-CN"/>
        </w:rPr>
        <w:t>（1）技术说明或服务方案；</w:t>
      </w:r>
    </w:p>
    <w:p w14:paraId="41BF59CF">
      <w:pPr>
        <w:widowControl/>
        <w:adjustRightInd w:val="0"/>
        <w:spacing w:line="360" w:lineRule="auto"/>
        <w:ind w:firstLine="420"/>
        <w:jc w:val="left"/>
        <w:rPr>
          <w:rFonts w:ascii="宋体" w:hAnsi="宋体" w:cs="宋体"/>
          <w:kern w:val="0"/>
          <w:szCs w:val="21"/>
          <w:lang w:val="zh-CN"/>
        </w:rPr>
      </w:pPr>
      <w:r>
        <w:rPr>
          <w:rFonts w:hint="eastAsia" w:ascii="宋体" w:hAnsi="宋体" w:cs="宋体"/>
          <w:kern w:val="0"/>
          <w:szCs w:val="21"/>
          <w:lang w:val="zh-CN"/>
        </w:rPr>
        <w:t>（2）《采购需求偏离表》；</w:t>
      </w:r>
    </w:p>
    <w:p w14:paraId="64E53310">
      <w:pPr>
        <w:widowControl/>
        <w:adjustRightInd w:val="0"/>
        <w:spacing w:line="360" w:lineRule="auto"/>
        <w:ind w:firstLine="420"/>
        <w:jc w:val="left"/>
        <w:rPr>
          <w:rFonts w:ascii="宋体" w:hAnsi="宋体" w:cs="宋体"/>
          <w:kern w:val="0"/>
          <w:szCs w:val="21"/>
          <w:lang w:val="zh-CN"/>
        </w:rPr>
      </w:pPr>
      <w:r>
        <w:rPr>
          <w:rFonts w:hint="eastAsia" w:ascii="宋体" w:hAnsi="宋体" w:cs="宋体"/>
          <w:kern w:val="0"/>
          <w:szCs w:val="21"/>
          <w:lang w:val="zh-CN"/>
        </w:rPr>
        <w:t>（3）服务承诺；</w:t>
      </w:r>
    </w:p>
    <w:p w14:paraId="47E4D6FC">
      <w:pPr>
        <w:widowControl/>
        <w:adjustRightInd w:val="0"/>
        <w:spacing w:line="360" w:lineRule="auto"/>
        <w:ind w:firstLine="420"/>
        <w:jc w:val="left"/>
        <w:rPr>
          <w:rFonts w:ascii="宋体" w:hAnsi="宋体" w:cs="宋体"/>
          <w:kern w:val="0"/>
          <w:szCs w:val="21"/>
          <w:lang w:val="zh-CN"/>
        </w:rPr>
      </w:pPr>
      <w:r>
        <w:rPr>
          <w:rFonts w:hint="eastAsia" w:ascii="宋体" w:hAnsi="宋体" w:cs="宋体"/>
          <w:kern w:val="0"/>
          <w:szCs w:val="21"/>
          <w:lang w:val="zh-CN"/>
        </w:rPr>
        <w:t>（4）投标人拟投入本项目的设备、人员情况一览表；</w:t>
      </w:r>
    </w:p>
    <w:p w14:paraId="31186A26">
      <w:pPr>
        <w:widowControl/>
        <w:adjustRightInd w:val="0"/>
        <w:spacing w:line="360" w:lineRule="auto"/>
        <w:ind w:firstLine="420"/>
        <w:jc w:val="left"/>
        <w:rPr>
          <w:rFonts w:ascii="宋体" w:hAnsi="宋体" w:cs="宋体"/>
          <w:kern w:val="0"/>
          <w:szCs w:val="21"/>
          <w:lang w:val="zh-CN"/>
        </w:rPr>
      </w:pPr>
      <w:r>
        <w:rPr>
          <w:rFonts w:hint="eastAsia" w:ascii="宋体" w:hAnsi="宋体" w:cs="宋体"/>
          <w:kern w:val="0"/>
          <w:szCs w:val="21"/>
          <w:lang w:val="zh-CN"/>
        </w:rPr>
        <w:t>（5）投标人认为需要提供的其他技术资料。</w:t>
      </w:r>
    </w:p>
    <w:p w14:paraId="10ACFD2A">
      <w:pPr>
        <w:widowControl/>
        <w:spacing w:line="360" w:lineRule="auto"/>
        <w:ind w:firstLine="420"/>
        <w:rPr>
          <w:rFonts w:ascii="宋体" w:hAnsi="宋体" w:cs="宋体"/>
          <w:kern w:val="0"/>
          <w:szCs w:val="21"/>
        </w:rPr>
      </w:pPr>
      <w:r>
        <w:rPr>
          <w:rFonts w:hint="eastAsia" w:ascii="宋体" w:hAnsi="宋体" w:cs="宋体"/>
          <w:b/>
          <w:bCs/>
          <w:kern w:val="0"/>
          <w:szCs w:val="21"/>
        </w:rPr>
        <w:t>11、投标文件的价格内容</w:t>
      </w:r>
    </w:p>
    <w:p w14:paraId="5778E110">
      <w:pPr>
        <w:widowControl/>
        <w:spacing w:line="360" w:lineRule="auto"/>
        <w:ind w:firstLine="420"/>
        <w:jc w:val="left"/>
        <w:rPr>
          <w:rFonts w:ascii="宋体" w:hAnsi="宋体" w:cs="宋体"/>
          <w:kern w:val="0"/>
          <w:szCs w:val="21"/>
        </w:rPr>
      </w:pPr>
      <w:r>
        <w:rPr>
          <w:rFonts w:hint="eastAsia" w:ascii="宋体" w:hAnsi="宋体" w:cs="宋体"/>
          <w:kern w:val="0"/>
          <w:szCs w:val="21"/>
        </w:rPr>
        <w:t>11.1价格部分内容是对采购标的价格构成的说明，招标文件如无特别说明，每一项货物及服务仅接受一个价格。</w:t>
      </w:r>
    </w:p>
    <w:p w14:paraId="535F147A">
      <w:pPr>
        <w:widowControl/>
        <w:spacing w:line="360" w:lineRule="auto"/>
        <w:ind w:firstLine="420"/>
        <w:rPr>
          <w:rFonts w:ascii="宋体" w:hAnsi="宋体" w:cs="宋体"/>
          <w:kern w:val="0"/>
          <w:szCs w:val="21"/>
        </w:rPr>
      </w:pPr>
      <w:r>
        <w:rPr>
          <w:rFonts w:hint="eastAsia" w:ascii="宋体" w:hAnsi="宋体" w:cs="宋体"/>
          <w:kern w:val="0"/>
          <w:szCs w:val="21"/>
        </w:rPr>
        <w:t>11.2报价应包含为履行本项目合同项下所有义务的全部含税费用（包括但不限于</w:t>
      </w:r>
      <w:r>
        <w:rPr>
          <w:rFonts w:hint="eastAsia" w:ascii="宋体" w:hAnsi="宋体" w:cs="宋体"/>
          <w:szCs w:val="21"/>
        </w:rPr>
        <w:t>货物设计、制造、包装、仓储、运输装卸、保险、安装、调试及其材料及验收合格之前保管及保修期内备品备件、专用工具、伴随服务、技术图纸资料、人员培训发生的所有含税费用、支付给员工的工资和国家强制缴纳的各种社会保障资金</w:t>
      </w:r>
      <w:r>
        <w:rPr>
          <w:rFonts w:hint="eastAsia" w:ascii="宋体" w:hAnsi="宋体" w:cs="宋体"/>
          <w:kern w:val="0"/>
          <w:szCs w:val="21"/>
        </w:rPr>
        <w:t>）</w:t>
      </w:r>
      <w:r>
        <w:rPr>
          <w:rFonts w:hint="eastAsia" w:ascii="宋体" w:hAnsi="宋体" w:cs="宋体"/>
          <w:kern w:val="0"/>
          <w:szCs w:val="21"/>
          <w:lang w:val="zh-CN"/>
        </w:rPr>
        <w:t>，</w:t>
      </w:r>
      <w:r>
        <w:rPr>
          <w:rFonts w:hint="eastAsia" w:ascii="宋体" w:hAnsi="宋体" w:cs="宋体"/>
          <w:bCs/>
          <w:szCs w:val="21"/>
        </w:rPr>
        <w:t>以</w:t>
      </w:r>
      <w:r>
        <w:rPr>
          <w:rFonts w:hint="eastAsia" w:ascii="宋体" w:hAnsi="宋体" w:cs="宋体"/>
          <w:szCs w:val="21"/>
        </w:rPr>
        <w:t>及投标人认为需要的其他费用等</w:t>
      </w:r>
      <w:r>
        <w:rPr>
          <w:rFonts w:hint="eastAsia" w:ascii="宋体" w:hAnsi="宋体" w:cs="宋体"/>
          <w:b/>
          <w:szCs w:val="21"/>
        </w:rPr>
        <w:t>。</w:t>
      </w:r>
    </w:p>
    <w:p w14:paraId="01A17B38">
      <w:pPr>
        <w:widowControl/>
        <w:spacing w:line="360" w:lineRule="auto"/>
        <w:ind w:firstLine="420"/>
        <w:rPr>
          <w:rFonts w:ascii="宋体" w:hAnsi="宋体" w:cs="宋体"/>
          <w:kern w:val="0"/>
          <w:szCs w:val="21"/>
        </w:rPr>
      </w:pPr>
      <w:r>
        <w:rPr>
          <w:rFonts w:hint="eastAsia" w:ascii="宋体" w:hAnsi="宋体" w:cs="宋体"/>
          <w:kern w:val="0"/>
          <w:szCs w:val="21"/>
        </w:rPr>
        <w:t>11.3投标人的任何错漏、优惠、竞争性报价不得作为减轻责任、减少服务、增加收费、降低质量的理由。</w:t>
      </w:r>
    </w:p>
    <w:p w14:paraId="2B00C03A">
      <w:pPr>
        <w:widowControl/>
        <w:spacing w:line="360" w:lineRule="auto"/>
        <w:ind w:firstLine="420"/>
        <w:rPr>
          <w:rFonts w:ascii="宋体" w:hAnsi="宋体" w:cs="宋体"/>
          <w:kern w:val="0"/>
          <w:szCs w:val="21"/>
        </w:rPr>
      </w:pPr>
      <w:r>
        <w:rPr>
          <w:rFonts w:hint="eastAsia" w:ascii="宋体" w:hAnsi="宋体" w:cs="宋体"/>
          <w:kern w:val="0"/>
          <w:szCs w:val="21"/>
        </w:rPr>
        <w:t>11.4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宋体" w:hAnsi="宋体" w:cs="宋体"/>
          <w:b/>
          <w:bCs/>
          <w:kern w:val="0"/>
          <w:szCs w:val="21"/>
        </w:rPr>
        <w:t>无效投标处理</w:t>
      </w:r>
      <w:r>
        <w:rPr>
          <w:rFonts w:hint="eastAsia" w:ascii="宋体" w:hAnsi="宋体" w:cs="宋体"/>
          <w:kern w:val="0"/>
          <w:szCs w:val="21"/>
        </w:rPr>
        <w:t>。</w:t>
      </w:r>
    </w:p>
    <w:p w14:paraId="56DB4357">
      <w:pPr>
        <w:widowControl/>
        <w:spacing w:line="360" w:lineRule="auto"/>
        <w:ind w:firstLine="420"/>
        <w:rPr>
          <w:rFonts w:ascii="宋体" w:hAnsi="宋体" w:cs="宋体"/>
          <w:kern w:val="0"/>
          <w:szCs w:val="21"/>
        </w:rPr>
      </w:pPr>
      <w:r>
        <w:rPr>
          <w:rFonts w:hint="eastAsia" w:ascii="宋体" w:hAnsi="宋体" w:cs="宋体"/>
          <w:kern w:val="0"/>
          <w:szCs w:val="21"/>
        </w:rPr>
        <w:t>11.5 投标人应在《开标一览表》《分项报价表》等标明投标货物和服务的单价、总价以及分项报价等。</w:t>
      </w:r>
    </w:p>
    <w:p w14:paraId="34B356E1">
      <w:pPr>
        <w:widowControl/>
        <w:spacing w:line="360" w:lineRule="auto"/>
        <w:ind w:firstLine="420"/>
        <w:rPr>
          <w:rFonts w:ascii="宋体" w:hAnsi="宋体" w:cs="宋体"/>
          <w:b/>
          <w:bCs/>
          <w:kern w:val="0"/>
          <w:szCs w:val="21"/>
        </w:rPr>
      </w:pPr>
      <w:r>
        <w:rPr>
          <w:rFonts w:hint="eastAsia" w:ascii="宋体" w:hAnsi="宋体" w:cs="宋体"/>
          <w:kern w:val="0"/>
          <w:szCs w:val="21"/>
        </w:rPr>
        <w:t>11.6 《开标一览表》一式两份，一份装订在投标文件中，一份单独封装，并标明“开标一览表”字样，随投标文件一并递交，以便唱标时使用。</w:t>
      </w:r>
      <w:r>
        <w:rPr>
          <w:rFonts w:hint="eastAsia" w:ascii="宋体" w:hAnsi="宋体" w:cs="宋体"/>
          <w:b/>
          <w:bCs/>
          <w:kern w:val="0"/>
          <w:szCs w:val="21"/>
        </w:rPr>
        <w:t>如两份开标一览表中的投标报价不一致，视为提交备选投标报价，作无效投标处理。</w:t>
      </w:r>
    </w:p>
    <w:p w14:paraId="5F18D80B">
      <w:pPr>
        <w:widowControl/>
        <w:spacing w:line="360" w:lineRule="auto"/>
        <w:ind w:firstLine="420"/>
        <w:rPr>
          <w:rFonts w:ascii="宋体" w:hAnsi="宋体" w:cs="宋体"/>
          <w:kern w:val="0"/>
          <w:szCs w:val="21"/>
        </w:rPr>
      </w:pPr>
      <w:r>
        <w:rPr>
          <w:rFonts w:hint="eastAsia" w:ascii="宋体" w:hAnsi="宋体" w:cs="宋体"/>
          <w:b/>
          <w:bCs/>
          <w:kern w:val="0"/>
          <w:szCs w:val="21"/>
        </w:rPr>
        <w:t>11.7本项目预算为：详见第一章</w:t>
      </w:r>
      <w:r>
        <w:rPr>
          <w:rFonts w:hint="eastAsia" w:ascii="宋体" w:hAnsi="宋体" w:cs="宋体"/>
          <w:bCs/>
          <w:kern w:val="0"/>
          <w:szCs w:val="21"/>
        </w:rPr>
        <w:t>。</w:t>
      </w:r>
    </w:p>
    <w:p w14:paraId="572503D3">
      <w:pPr>
        <w:widowControl/>
        <w:spacing w:line="360" w:lineRule="auto"/>
        <w:ind w:firstLine="420"/>
        <w:rPr>
          <w:rFonts w:ascii="宋体" w:hAnsi="宋体" w:cs="宋体"/>
          <w:kern w:val="0"/>
          <w:szCs w:val="21"/>
        </w:rPr>
      </w:pPr>
      <w:r>
        <w:rPr>
          <w:rFonts w:hint="eastAsia" w:ascii="宋体" w:hAnsi="宋体" w:cs="宋体"/>
          <w:b/>
          <w:bCs/>
          <w:kern w:val="0"/>
          <w:szCs w:val="21"/>
        </w:rPr>
        <w:t>12、投标文件的其他部分</w:t>
      </w:r>
    </w:p>
    <w:p w14:paraId="421089B9">
      <w:pPr>
        <w:widowControl/>
        <w:spacing w:line="360" w:lineRule="auto"/>
        <w:ind w:firstLine="420"/>
        <w:rPr>
          <w:rFonts w:ascii="宋体" w:hAnsi="宋体" w:cs="宋体"/>
          <w:kern w:val="0"/>
          <w:szCs w:val="21"/>
        </w:rPr>
      </w:pPr>
      <w:r>
        <w:rPr>
          <w:rFonts w:hint="eastAsia" w:ascii="宋体" w:hAnsi="宋体" w:cs="宋体"/>
          <w:kern w:val="0"/>
          <w:szCs w:val="21"/>
        </w:rPr>
        <w:t>12.1 其他部分由投标人根据编制投标文件需要提供的其他相关文件组成。</w:t>
      </w:r>
    </w:p>
    <w:p w14:paraId="0F805068">
      <w:pPr>
        <w:widowControl/>
        <w:spacing w:line="360" w:lineRule="auto"/>
        <w:ind w:firstLine="420"/>
        <w:rPr>
          <w:rFonts w:ascii="宋体" w:hAnsi="宋体" w:cs="宋体"/>
          <w:b/>
          <w:bCs/>
          <w:kern w:val="0"/>
          <w:szCs w:val="21"/>
        </w:rPr>
      </w:pPr>
      <w:r>
        <w:rPr>
          <w:rFonts w:hint="eastAsia" w:ascii="宋体" w:hAnsi="宋体" w:cs="宋体"/>
          <w:b/>
          <w:bCs/>
          <w:kern w:val="0"/>
          <w:szCs w:val="21"/>
        </w:rPr>
        <w:t>13、投标保证金（本项目无需缴纳投标保证金）</w:t>
      </w:r>
    </w:p>
    <w:p w14:paraId="48996339">
      <w:pPr>
        <w:widowControl/>
        <w:spacing w:line="360" w:lineRule="auto"/>
        <w:ind w:firstLine="420"/>
        <w:rPr>
          <w:rFonts w:ascii="宋体" w:hAnsi="宋体" w:cs="宋体"/>
          <w:b/>
          <w:bCs/>
          <w:kern w:val="0"/>
          <w:szCs w:val="21"/>
        </w:rPr>
      </w:pPr>
      <w:r>
        <w:rPr>
          <w:rFonts w:hint="eastAsia" w:ascii="宋体" w:hAnsi="宋体" w:cs="宋体"/>
          <w:b/>
          <w:bCs/>
          <w:kern w:val="0"/>
          <w:szCs w:val="21"/>
        </w:rPr>
        <w:t>14、投标有效期</w:t>
      </w:r>
    </w:p>
    <w:p w14:paraId="3F805973">
      <w:pPr>
        <w:widowControl/>
        <w:spacing w:line="360" w:lineRule="auto"/>
        <w:ind w:firstLine="420"/>
        <w:rPr>
          <w:rFonts w:ascii="宋体" w:hAnsi="宋体" w:cs="宋体"/>
          <w:kern w:val="0"/>
          <w:szCs w:val="21"/>
        </w:rPr>
      </w:pPr>
      <w:r>
        <w:rPr>
          <w:rFonts w:hint="eastAsia" w:ascii="宋体" w:hAnsi="宋体" w:cs="宋体"/>
          <w:kern w:val="0"/>
          <w:szCs w:val="21"/>
        </w:rPr>
        <w:t>14.1 自开标之日起</w:t>
      </w:r>
      <w:r>
        <w:rPr>
          <w:rFonts w:hint="eastAsia" w:ascii="宋体" w:hAnsi="宋体" w:cs="宋体"/>
          <w:b/>
          <w:kern w:val="0"/>
          <w:szCs w:val="21"/>
        </w:rPr>
        <w:t>90</w:t>
      </w:r>
      <w:r>
        <w:rPr>
          <w:rFonts w:hint="eastAsia" w:ascii="宋体" w:hAnsi="宋体" w:cs="宋体"/>
          <w:kern w:val="0"/>
          <w:szCs w:val="21"/>
        </w:rPr>
        <w:t>天内投标有效</w:t>
      </w:r>
      <w:r>
        <w:rPr>
          <w:rFonts w:hint="eastAsia" w:ascii="宋体" w:hAnsi="宋体" w:cs="宋体"/>
          <w:b/>
        </w:rPr>
        <w:t>，投标有效期从提交投标文件的截止之日起算。投标文件中承诺的投标有效期应当不少于招标文件中载明的投标有效期。</w:t>
      </w:r>
    </w:p>
    <w:p w14:paraId="39F45F27">
      <w:pPr>
        <w:widowControl/>
        <w:spacing w:line="360" w:lineRule="auto"/>
        <w:ind w:firstLine="420"/>
        <w:rPr>
          <w:rFonts w:ascii="宋体" w:hAnsi="宋体" w:cs="宋体"/>
          <w:kern w:val="0"/>
          <w:szCs w:val="21"/>
        </w:rPr>
      </w:pPr>
      <w:r>
        <w:rPr>
          <w:rFonts w:hint="eastAsia" w:ascii="宋体" w:hAnsi="宋体" w:cs="宋体"/>
          <w:kern w:val="0"/>
          <w:szCs w:val="21"/>
        </w:rPr>
        <w:t>14.2 特殊情况下，在原投标有效期截止之前，采购代理机构可要求投标人同意延长投标有效期，这种要求与答复均应以书面形式提交。投标人可拒绝这种要求，并且不影响投标保证金的退还。接受延长投标有效期的投标人将不会要求和允许修正其投标，而只会被要求相应地延长其投标保证金的有效期。在这种情况下，有关投标保证金的退还规定在延长了的有效期内继续有效。</w:t>
      </w:r>
    </w:p>
    <w:p w14:paraId="6EF334DB">
      <w:pPr>
        <w:widowControl/>
        <w:spacing w:line="360" w:lineRule="auto"/>
        <w:ind w:firstLine="420"/>
        <w:rPr>
          <w:rFonts w:ascii="宋体" w:hAnsi="宋体" w:cs="宋体"/>
          <w:kern w:val="0"/>
          <w:szCs w:val="21"/>
        </w:rPr>
      </w:pPr>
      <w:r>
        <w:rPr>
          <w:rFonts w:hint="eastAsia" w:ascii="宋体" w:hAnsi="宋体" w:cs="宋体"/>
          <w:b/>
          <w:bCs/>
          <w:kern w:val="0"/>
          <w:szCs w:val="21"/>
        </w:rPr>
        <w:t>15、投标文件签署</w:t>
      </w:r>
    </w:p>
    <w:p w14:paraId="033F9FA9">
      <w:pPr>
        <w:widowControl/>
        <w:spacing w:line="360" w:lineRule="auto"/>
        <w:ind w:firstLine="420"/>
        <w:rPr>
          <w:rFonts w:ascii="宋体" w:hAnsi="宋体" w:cs="宋体"/>
          <w:kern w:val="0"/>
          <w:szCs w:val="21"/>
        </w:rPr>
      </w:pPr>
      <w:r>
        <w:rPr>
          <w:rFonts w:hint="eastAsia" w:ascii="宋体" w:hAnsi="宋体" w:cs="宋体"/>
          <w:kern w:val="0"/>
          <w:szCs w:val="21"/>
        </w:rPr>
        <w:t>15.1 投标文件的正本和副本均应由投标人法定代表人或经正式授权并对投标人有约束力的委托代理人签字，如果它们之间内容有差异，则以正本为准。</w:t>
      </w:r>
    </w:p>
    <w:p w14:paraId="3ADCD1AA">
      <w:pPr>
        <w:widowControl/>
        <w:spacing w:line="360" w:lineRule="auto"/>
        <w:ind w:firstLine="420"/>
        <w:rPr>
          <w:rFonts w:ascii="宋体" w:hAnsi="宋体" w:cs="宋体"/>
          <w:kern w:val="0"/>
          <w:szCs w:val="21"/>
        </w:rPr>
      </w:pPr>
      <w:r>
        <w:rPr>
          <w:rFonts w:hint="eastAsia" w:ascii="宋体" w:hAnsi="宋体" w:cs="宋体"/>
          <w:b/>
          <w:bCs/>
          <w:kern w:val="0"/>
          <w:szCs w:val="21"/>
        </w:rPr>
        <w:t>16、投标费用</w:t>
      </w:r>
    </w:p>
    <w:p w14:paraId="4464343C">
      <w:pPr>
        <w:widowControl/>
        <w:spacing w:line="360" w:lineRule="auto"/>
        <w:ind w:firstLine="420"/>
        <w:rPr>
          <w:rFonts w:ascii="宋体" w:hAnsi="宋体" w:cs="宋体"/>
          <w:kern w:val="0"/>
          <w:szCs w:val="21"/>
        </w:rPr>
      </w:pPr>
      <w:r>
        <w:rPr>
          <w:rFonts w:hint="eastAsia" w:ascii="宋体" w:hAnsi="宋体" w:cs="宋体"/>
          <w:kern w:val="0"/>
          <w:szCs w:val="21"/>
        </w:rPr>
        <w:t>16.1 投标人应承担所有与准备和参加投标有关的费用，无论招标结果如何，采购代理机构和采购人在任何情况下均无义务和责任承担这些费用。</w:t>
      </w:r>
    </w:p>
    <w:p w14:paraId="5334CB98">
      <w:pPr>
        <w:widowControl/>
        <w:shd w:val="clear" w:color="auto" w:fill="FFFFFF"/>
        <w:spacing w:line="360" w:lineRule="auto"/>
        <w:ind w:firstLine="420"/>
        <w:rPr>
          <w:rFonts w:ascii="宋体" w:hAnsi="宋体" w:cs="宋体"/>
          <w:bCs/>
          <w:kern w:val="0"/>
          <w:szCs w:val="21"/>
        </w:rPr>
      </w:pPr>
      <w:r>
        <w:rPr>
          <w:rFonts w:hint="eastAsia" w:ascii="宋体" w:hAnsi="宋体" w:cs="宋体"/>
          <w:bCs/>
          <w:kern w:val="0"/>
          <w:szCs w:val="21"/>
        </w:rPr>
        <w:t>16.2 招标代理服务费：本次招标，中标人参照《招标代理服务费管理暂行办法》（国家发展计划委员会计价格【2002】1980号）代理服务招标收费基准费率计算（不足捌仟按照捌仟元整计取），在领取中标通知书前向采购代理机构支付招标服务费。本项费用无需在投标报价表中单列。</w:t>
      </w:r>
    </w:p>
    <w:p w14:paraId="2B737258">
      <w:pPr>
        <w:widowControl/>
        <w:spacing w:line="360" w:lineRule="auto"/>
        <w:ind w:firstLine="420"/>
        <w:rPr>
          <w:rFonts w:ascii="宋体" w:hAnsi="宋体" w:cs="宋体"/>
          <w:kern w:val="0"/>
          <w:szCs w:val="21"/>
        </w:rPr>
      </w:pPr>
      <w:r>
        <w:rPr>
          <w:rFonts w:hint="eastAsia" w:ascii="宋体" w:hAnsi="宋体" w:cs="宋体"/>
          <w:kern w:val="0"/>
          <w:szCs w:val="21"/>
        </w:rPr>
        <w:t>16.3开标公证费：无。</w:t>
      </w:r>
    </w:p>
    <w:p w14:paraId="06F65192">
      <w:pPr>
        <w:widowControl/>
        <w:spacing w:line="360" w:lineRule="auto"/>
        <w:ind w:firstLine="420"/>
        <w:rPr>
          <w:rFonts w:ascii="宋体" w:hAnsi="宋体" w:cs="宋体"/>
          <w:kern w:val="0"/>
          <w:szCs w:val="21"/>
        </w:rPr>
      </w:pPr>
      <w:r>
        <w:rPr>
          <w:rFonts w:hint="eastAsia" w:ascii="宋体" w:hAnsi="宋体" w:cs="宋体"/>
          <w:b/>
          <w:bCs/>
          <w:kern w:val="0"/>
          <w:szCs w:val="21"/>
        </w:rPr>
        <w:t>四、投标文件的递交</w:t>
      </w:r>
    </w:p>
    <w:p w14:paraId="32A3F8F9">
      <w:pPr>
        <w:widowControl/>
        <w:spacing w:line="360" w:lineRule="auto"/>
        <w:ind w:firstLine="420"/>
        <w:rPr>
          <w:rFonts w:ascii="宋体" w:hAnsi="宋体" w:cs="宋体"/>
          <w:kern w:val="0"/>
          <w:szCs w:val="21"/>
        </w:rPr>
      </w:pPr>
      <w:r>
        <w:rPr>
          <w:rFonts w:hint="eastAsia" w:ascii="宋体" w:hAnsi="宋体" w:cs="宋体"/>
          <w:b/>
          <w:bCs/>
          <w:kern w:val="0"/>
          <w:szCs w:val="21"/>
        </w:rPr>
        <w:t>17、投标文件的密封和递交</w:t>
      </w:r>
    </w:p>
    <w:p w14:paraId="5793455E">
      <w:pPr>
        <w:widowControl/>
        <w:spacing w:line="360" w:lineRule="auto"/>
        <w:ind w:firstLine="420"/>
        <w:rPr>
          <w:rFonts w:ascii="宋体" w:hAnsi="宋体" w:cs="宋体"/>
          <w:kern w:val="0"/>
          <w:szCs w:val="21"/>
        </w:rPr>
      </w:pPr>
      <w:r>
        <w:rPr>
          <w:rFonts w:hint="eastAsia" w:ascii="宋体" w:hAnsi="宋体" w:cs="宋体"/>
          <w:kern w:val="0"/>
          <w:szCs w:val="21"/>
        </w:rPr>
        <w:t>17.1</w:t>
      </w:r>
      <w:r>
        <w:rPr>
          <w:rFonts w:hint="eastAsia" w:ascii="宋体" w:hAnsi="宋体" w:cs="宋体"/>
          <w:b/>
          <w:bCs/>
          <w:kern w:val="0"/>
          <w:szCs w:val="21"/>
        </w:rPr>
        <w:t>投标人的</w:t>
      </w:r>
      <w:r>
        <w:rPr>
          <w:rFonts w:hint="eastAsia" w:ascii="宋体" w:hAnsi="宋体" w:cs="宋体"/>
          <w:b/>
        </w:rPr>
        <w:t>所有投标文件均应密封后递交，同时应提供电子版投标文件</w:t>
      </w:r>
      <w:r>
        <w:rPr>
          <w:rFonts w:hint="eastAsia" w:ascii="宋体" w:hAnsi="宋体" w:cs="宋体"/>
          <w:b/>
          <w:szCs w:val="21"/>
        </w:rPr>
        <w:t>壹份（电子版须为投标文件正本加盖公章、签字后形成PDF扫描件，扫描件内容应与纸质投标文件正本完全一致、U盘形式（单独封装）、随纸质正本文件一并提交）</w:t>
      </w:r>
      <w:r>
        <w:rPr>
          <w:rFonts w:hint="eastAsia" w:ascii="宋体" w:hAnsi="宋体" w:cs="宋体"/>
          <w:b/>
        </w:rPr>
        <w:t>。</w:t>
      </w:r>
      <w:r>
        <w:rPr>
          <w:rFonts w:hint="eastAsia" w:ascii="宋体" w:hAnsi="宋体" w:cs="宋体"/>
        </w:rPr>
        <w:t>当电子版文件和纸质正本文件不一致时，以纸质正本文件为准。</w:t>
      </w:r>
      <w:r>
        <w:rPr>
          <w:rFonts w:hint="eastAsia" w:ascii="宋体" w:hAnsi="宋体" w:cs="宋体"/>
          <w:kern w:val="0"/>
          <w:szCs w:val="21"/>
        </w:rPr>
        <w:t>每套投标文件须清楚标明“正本”、“副本”。</w:t>
      </w:r>
      <w:r>
        <w:rPr>
          <w:rFonts w:hint="eastAsia" w:ascii="宋体" w:hAnsi="宋体" w:cs="宋体"/>
        </w:rPr>
        <w:t>如果它们之间内容有差异，以正本为准。</w:t>
      </w:r>
    </w:p>
    <w:p w14:paraId="47D909FB">
      <w:pPr>
        <w:widowControl/>
        <w:spacing w:line="360" w:lineRule="auto"/>
        <w:ind w:firstLine="420"/>
        <w:rPr>
          <w:rFonts w:ascii="宋体" w:hAnsi="宋体" w:cs="宋体"/>
          <w:kern w:val="0"/>
          <w:szCs w:val="21"/>
        </w:rPr>
      </w:pPr>
      <w:r>
        <w:rPr>
          <w:rFonts w:hint="eastAsia" w:ascii="宋体" w:hAnsi="宋体" w:cs="宋体"/>
          <w:kern w:val="0"/>
          <w:szCs w:val="21"/>
        </w:rPr>
        <w:t xml:space="preserve">17.2 </w:t>
      </w:r>
      <w:r>
        <w:rPr>
          <w:rFonts w:hint="eastAsia" w:ascii="宋体" w:hAnsi="宋体" w:cs="宋体"/>
          <w:b/>
        </w:rPr>
        <w:t>投标文件正本和所有副本均需打印或用不褪色墨水书写，并由投标人的法定代表人或授权代表签字（或签章）并在招标文件中注明须加盖公章的地方加盖公章，如为授权代表签字的应附“法定代表人授权书”，正本必须为原件，但投标人的相关证明文件可采用复印件，采用复印件的，评标委员会认为需要时，投标人应提供原件供核对。</w:t>
      </w:r>
    </w:p>
    <w:p w14:paraId="6C60AC0F">
      <w:pPr>
        <w:widowControl/>
        <w:spacing w:line="360" w:lineRule="auto"/>
        <w:ind w:firstLine="420"/>
        <w:rPr>
          <w:rFonts w:ascii="宋体" w:hAnsi="宋体" w:cs="宋体"/>
          <w:kern w:val="0"/>
          <w:szCs w:val="21"/>
        </w:rPr>
      </w:pPr>
      <w:r>
        <w:rPr>
          <w:rFonts w:hint="eastAsia" w:ascii="宋体" w:hAnsi="宋体" w:cs="宋体"/>
          <w:kern w:val="0"/>
          <w:szCs w:val="21"/>
        </w:rPr>
        <w:t>17.3 投标文件不应有涂改、增删之处，如必须修改时，修改处必须有投标人法定代表人或授权代表签字（或签章），同时加盖投标人公章。</w:t>
      </w:r>
    </w:p>
    <w:p w14:paraId="53B5BF66">
      <w:pPr>
        <w:widowControl/>
        <w:spacing w:line="360" w:lineRule="auto"/>
        <w:ind w:firstLine="420"/>
        <w:rPr>
          <w:rFonts w:ascii="宋体" w:hAnsi="宋体" w:cs="宋体"/>
          <w:kern w:val="0"/>
          <w:szCs w:val="21"/>
        </w:rPr>
      </w:pPr>
      <w:r>
        <w:rPr>
          <w:rFonts w:hint="eastAsia" w:ascii="宋体" w:hAnsi="宋体" w:cs="宋体"/>
        </w:rPr>
        <w:t>17.4投标文件提倡按照A4幅面打印或复印并进行装订，如有资料超过A4幅面折叠成A4幅面；投标文件装订提倡采用胶装的形式。</w:t>
      </w:r>
    </w:p>
    <w:p w14:paraId="7E7C80F2">
      <w:pPr>
        <w:widowControl/>
        <w:spacing w:line="360" w:lineRule="auto"/>
        <w:ind w:firstLine="420"/>
        <w:rPr>
          <w:rFonts w:ascii="宋体" w:hAnsi="宋体" w:cs="宋体"/>
          <w:kern w:val="0"/>
          <w:szCs w:val="21"/>
        </w:rPr>
      </w:pPr>
      <w:r>
        <w:rPr>
          <w:rFonts w:hint="eastAsia" w:ascii="宋体" w:hAnsi="宋体" w:cs="宋体"/>
          <w:kern w:val="0"/>
          <w:szCs w:val="21"/>
        </w:rPr>
        <w:t xml:space="preserve">17.5 </w:t>
      </w:r>
      <w:r>
        <w:rPr>
          <w:rFonts w:hint="eastAsia" w:ascii="宋体" w:hAnsi="宋体" w:cs="宋体"/>
          <w:b/>
          <w:bCs/>
          <w:kern w:val="0"/>
          <w:szCs w:val="21"/>
        </w:rPr>
        <w:t>投标人应当在招标文件要求提交投标文件的截止时间前，将投标文件密封送达投标地点。</w:t>
      </w:r>
      <w:r>
        <w:rPr>
          <w:rFonts w:hint="eastAsia" w:ascii="宋体" w:hAnsi="宋体" w:cs="宋体"/>
          <w:kern w:val="0"/>
          <w:szCs w:val="21"/>
        </w:rPr>
        <w:t>任何单位和个人不得在开标前开启投标文件。</w:t>
      </w:r>
    </w:p>
    <w:p w14:paraId="096BBC67">
      <w:pPr>
        <w:widowControl/>
        <w:spacing w:line="360" w:lineRule="auto"/>
        <w:ind w:firstLine="420"/>
        <w:rPr>
          <w:rFonts w:ascii="宋体" w:hAnsi="宋体" w:cs="宋体"/>
          <w:kern w:val="0"/>
          <w:szCs w:val="21"/>
        </w:rPr>
      </w:pPr>
      <w:r>
        <w:rPr>
          <w:rFonts w:hint="eastAsia" w:ascii="宋体" w:hAnsi="宋体" w:cs="宋体"/>
          <w:b/>
          <w:bCs/>
          <w:kern w:val="0"/>
          <w:szCs w:val="21"/>
        </w:rPr>
        <w:t>18、有下列情形的投标文件将被拒收：</w:t>
      </w:r>
    </w:p>
    <w:p w14:paraId="052771E5">
      <w:pPr>
        <w:widowControl/>
        <w:spacing w:line="360" w:lineRule="auto"/>
        <w:ind w:firstLine="420"/>
        <w:rPr>
          <w:rFonts w:ascii="宋体" w:hAnsi="宋体" w:cs="宋体"/>
          <w:kern w:val="0"/>
          <w:szCs w:val="21"/>
        </w:rPr>
      </w:pPr>
      <w:r>
        <w:rPr>
          <w:rFonts w:hint="eastAsia" w:ascii="宋体" w:hAnsi="宋体" w:cs="宋体"/>
          <w:kern w:val="0"/>
          <w:szCs w:val="21"/>
        </w:rPr>
        <w:t>18.1逾期送达的；</w:t>
      </w:r>
    </w:p>
    <w:p w14:paraId="554913B0">
      <w:pPr>
        <w:widowControl/>
        <w:spacing w:line="360" w:lineRule="auto"/>
        <w:ind w:firstLine="420"/>
        <w:rPr>
          <w:rFonts w:ascii="宋体" w:hAnsi="宋体" w:cs="宋体"/>
          <w:kern w:val="0"/>
          <w:szCs w:val="21"/>
        </w:rPr>
      </w:pPr>
      <w:r>
        <w:rPr>
          <w:rFonts w:hint="eastAsia" w:ascii="宋体" w:hAnsi="宋体" w:cs="宋体"/>
          <w:kern w:val="0"/>
          <w:szCs w:val="21"/>
        </w:rPr>
        <w:t>18.2未按照招标文件要求密封的。</w:t>
      </w:r>
    </w:p>
    <w:p w14:paraId="6F853B4C">
      <w:pPr>
        <w:widowControl/>
        <w:spacing w:line="360" w:lineRule="auto"/>
        <w:ind w:firstLine="420"/>
        <w:rPr>
          <w:rFonts w:ascii="宋体" w:hAnsi="宋体" w:cs="宋体"/>
          <w:kern w:val="0"/>
          <w:szCs w:val="21"/>
        </w:rPr>
      </w:pPr>
      <w:r>
        <w:rPr>
          <w:rFonts w:hint="eastAsia" w:ascii="宋体" w:hAnsi="宋体" w:cs="宋体"/>
          <w:b/>
          <w:bCs/>
          <w:kern w:val="0"/>
          <w:szCs w:val="21"/>
        </w:rPr>
        <w:t>19、投标文件的修改和撤回</w:t>
      </w:r>
    </w:p>
    <w:p w14:paraId="6540D62E">
      <w:pPr>
        <w:widowControl/>
        <w:spacing w:line="360" w:lineRule="auto"/>
        <w:ind w:firstLine="420"/>
        <w:rPr>
          <w:rFonts w:ascii="宋体" w:hAnsi="宋体" w:cs="宋体"/>
          <w:kern w:val="0"/>
          <w:szCs w:val="21"/>
        </w:rPr>
      </w:pPr>
      <w:r>
        <w:rPr>
          <w:rFonts w:hint="eastAsia" w:ascii="宋体" w:hAnsi="宋体" w:cs="宋体"/>
          <w:kern w:val="0"/>
          <w:szCs w:val="21"/>
        </w:rPr>
        <w:t>19.1投标人在投标截止时间前，可以对所递交的投标文件进行补充、修改或者撤回，并书面通知采购人或者采购代理机构。补充、修改的内容应当按照招标文件要求签署、盖章、密封后，作为投标文件的组成部分。</w:t>
      </w:r>
    </w:p>
    <w:p w14:paraId="0365A16B">
      <w:pPr>
        <w:widowControl/>
        <w:spacing w:line="360" w:lineRule="auto"/>
        <w:ind w:firstLine="420"/>
        <w:rPr>
          <w:rFonts w:ascii="宋体" w:hAnsi="宋体" w:cs="宋体"/>
          <w:kern w:val="0"/>
          <w:szCs w:val="21"/>
        </w:rPr>
      </w:pPr>
      <w:r>
        <w:rPr>
          <w:rFonts w:hint="eastAsia" w:ascii="宋体" w:hAnsi="宋体" w:cs="宋体"/>
          <w:kern w:val="0"/>
          <w:szCs w:val="21"/>
        </w:rPr>
        <w:t>19.2 投标截止时间之后，投标文件不得撤回；如撤回，投标保证金不予退还。</w:t>
      </w:r>
    </w:p>
    <w:p w14:paraId="6CEE3F44">
      <w:pPr>
        <w:widowControl/>
        <w:spacing w:line="360" w:lineRule="auto"/>
        <w:ind w:firstLine="420"/>
        <w:rPr>
          <w:rFonts w:ascii="宋体" w:hAnsi="宋体" w:cs="宋体"/>
          <w:kern w:val="0"/>
          <w:szCs w:val="21"/>
        </w:rPr>
      </w:pPr>
      <w:r>
        <w:rPr>
          <w:rFonts w:hint="eastAsia" w:ascii="宋体" w:hAnsi="宋体" w:cs="宋体"/>
          <w:b/>
          <w:bCs/>
          <w:kern w:val="0"/>
          <w:szCs w:val="21"/>
        </w:rPr>
        <w:t>20、诚实信用</w:t>
      </w:r>
    </w:p>
    <w:p w14:paraId="0AFDF2CA">
      <w:pPr>
        <w:widowControl/>
        <w:spacing w:line="360" w:lineRule="auto"/>
        <w:ind w:firstLine="420"/>
        <w:rPr>
          <w:rFonts w:ascii="宋体" w:hAnsi="宋体" w:cs="宋体"/>
          <w:kern w:val="0"/>
          <w:szCs w:val="21"/>
        </w:rPr>
      </w:pPr>
      <w:r>
        <w:rPr>
          <w:rFonts w:hint="eastAsia" w:ascii="宋体" w:hAnsi="宋体" w:cs="宋体"/>
          <w:kern w:val="0"/>
          <w:szCs w:val="21"/>
        </w:rPr>
        <w:t>20.1投标人应当遵循公平竞争的原则，不得恶意串通，不得妨碍其他投标人的竞争行为，不得损害采购人或者其他投标人的合法权益。</w:t>
      </w:r>
    </w:p>
    <w:p w14:paraId="4B57F631">
      <w:pPr>
        <w:widowControl/>
        <w:spacing w:line="360" w:lineRule="auto"/>
        <w:ind w:firstLine="420"/>
        <w:rPr>
          <w:rFonts w:ascii="宋体" w:hAnsi="宋体" w:cs="宋体"/>
          <w:kern w:val="0"/>
          <w:szCs w:val="21"/>
        </w:rPr>
      </w:pPr>
      <w:r>
        <w:rPr>
          <w:rFonts w:hint="eastAsia" w:ascii="宋体" w:hAnsi="宋体" w:cs="宋体"/>
          <w:kern w:val="0"/>
          <w:szCs w:val="21"/>
        </w:rPr>
        <w:t>20.2在评标过程中发现投标人有上述情形的，评标委员会应当认定其投标无效，并书面报告本级财政部门。</w:t>
      </w:r>
    </w:p>
    <w:p w14:paraId="088C823B">
      <w:pPr>
        <w:widowControl/>
        <w:spacing w:line="360" w:lineRule="auto"/>
        <w:ind w:firstLine="420"/>
        <w:rPr>
          <w:rFonts w:ascii="宋体" w:hAnsi="宋体" w:cs="宋体"/>
          <w:kern w:val="0"/>
          <w:szCs w:val="21"/>
        </w:rPr>
      </w:pPr>
      <w:r>
        <w:rPr>
          <w:rFonts w:hint="eastAsia" w:ascii="宋体" w:hAnsi="宋体" w:cs="宋体"/>
          <w:b/>
          <w:bCs/>
          <w:kern w:val="0"/>
          <w:szCs w:val="21"/>
        </w:rPr>
        <w:t>五、开标、评标与定标</w:t>
      </w:r>
    </w:p>
    <w:p w14:paraId="116CCF67">
      <w:pPr>
        <w:widowControl/>
        <w:spacing w:line="360" w:lineRule="auto"/>
        <w:ind w:firstLine="420"/>
        <w:rPr>
          <w:rFonts w:ascii="宋体" w:hAnsi="宋体" w:cs="宋体"/>
          <w:kern w:val="0"/>
          <w:szCs w:val="21"/>
        </w:rPr>
      </w:pPr>
      <w:r>
        <w:rPr>
          <w:rFonts w:hint="eastAsia" w:ascii="宋体" w:hAnsi="宋体" w:cs="宋体"/>
          <w:b/>
          <w:bCs/>
          <w:kern w:val="0"/>
          <w:szCs w:val="21"/>
        </w:rPr>
        <w:t>21、开标</w:t>
      </w:r>
    </w:p>
    <w:p w14:paraId="165D5E37">
      <w:pPr>
        <w:widowControl/>
        <w:spacing w:line="360" w:lineRule="auto"/>
        <w:ind w:firstLine="420"/>
        <w:rPr>
          <w:rFonts w:ascii="宋体" w:hAnsi="宋体" w:cs="宋体"/>
          <w:kern w:val="0"/>
          <w:szCs w:val="21"/>
        </w:rPr>
      </w:pPr>
      <w:r>
        <w:rPr>
          <w:rFonts w:hint="eastAsia" w:ascii="宋体" w:hAnsi="宋体" w:cs="宋体"/>
          <w:kern w:val="0"/>
          <w:szCs w:val="21"/>
        </w:rPr>
        <w:t>21.1 采购代理机构将在招标文件确定的时间和地点进行公开开标。投标人应委派代表准时参加，参加开标的代表须签名报到以证明其出席。</w:t>
      </w:r>
    </w:p>
    <w:p w14:paraId="16F41583">
      <w:pPr>
        <w:widowControl/>
        <w:spacing w:line="360" w:lineRule="auto"/>
        <w:ind w:firstLine="420"/>
        <w:rPr>
          <w:rFonts w:ascii="宋体" w:hAnsi="宋体" w:cs="宋体"/>
          <w:kern w:val="0"/>
          <w:szCs w:val="21"/>
        </w:rPr>
      </w:pPr>
      <w:r>
        <w:rPr>
          <w:rFonts w:hint="eastAsia" w:ascii="宋体" w:hAnsi="宋体" w:cs="宋体"/>
          <w:kern w:val="0"/>
          <w:szCs w:val="21"/>
        </w:rPr>
        <w:t>21.2开标时，应当由投标人或者其推选的代表检查投标文件的密封情况；经确认无误后，由采购人或者采购代理机构工作人员当众拆封，宣布投标人名称、投标价格和招标文件规定的需要宣布的其他内容。</w:t>
      </w:r>
    </w:p>
    <w:p w14:paraId="2CE9F88A">
      <w:pPr>
        <w:widowControl/>
        <w:spacing w:line="360" w:lineRule="auto"/>
        <w:ind w:firstLine="420"/>
        <w:rPr>
          <w:rFonts w:ascii="宋体" w:hAnsi="宋体" w:cs="宋体"/>
          <w:kern w:val="0"/>
          <w:szCs w:val="21"/>
        </w:rPr>
      </w:pPr>
      <w:r>
        <w:rPr>
          <w:rFonts w:hint="eastAsia" w:ascii="宋体" w:hAnsi="宋体" w:cs="宋体"/>
          <w:kern w:val="0"/>
          <w:szCs w:val="21"/>
        </w:rPr>
        <w:t>21.3投标人不足3家的，不得开标。</w:t>
      </w:r>
    </w:p>
    <w:p w14:paraId="26F09795">
      <w:pPr>
        <w:widowControl/>
        <w:spacing w:line="360" w:lineRule="auto"/>
        <w:ind w:firstLine="420"/>
        <w:rPr>
          <w:rFonts w:ascii="宋体" w:hAnsi="宋体" w:cs="宋体"/>
          <w:kern w:val="0"/>
          <w:szCs w:val="21"/>
        </w:rPr>
      </w:pPr>
      <w:r>
        <w:rPr>
          <w:rFonts w:hint="eastAsia" w:ascii="宋体" w:hAnsi="宋体" w:cs="宋体"/>
          <w:kern w:val="0"/>
          <w:szCs w:val="21"/>
        </w:rPr>
        <w:t>21.4开标过程由采购代理机构负责记录，由参加开标的各投标人代表和相关工作人员签字确认后随招标文件一并存档。</w:t>
      </w:r>
    </w:p>
    <w:p w14:paraId="76F3F39C">
      <w:pPr>
        <w:spacing w:line="360" w:lineRule="auto"/>
        <w:ind w:firstLine="420" w:firstLineChars="200"/>
        <w:rPr>
          <w:rFonts w:ascii="宋体" w:hAnsi="宋体" w:cs="宋体"/>
        </w:rPr>
      </w:pPr>
      <w:r>
        <w:rPr>
          <w:rFonts w:hint="eastAsia" w:ascii="宋体" w:hAnsi="宋体" w:cs="宋体"/>
        </w:rPr>
        <w:t>投标人代表对开标过程和开标记录有疑义，以及认为采购人、采购代理机构相关工作人员有需要回避的情形的，应当场提出询问或者回避申请。采购人、采购代理机构对投标人代表提出的询问或者回避申请及时处理。</w:t>
      </w:r>
    </w:p>
    <w:p w14:paraId="07D5A8A1">
      <w:pPr>
        <w:spacing w:line="360" w:lineRule="auto"/>
        <w:ind w:firstLine="420" w:firstLineChars="200"/>
        <w:rPr>
          <w:rFonts w:ascii="宋体" w:hAnsi="宋体" w:cs="宋体"/>
        </w:rPr>
      </w:pPr>
      <w:r>
        <w:rPr>
          <w:rFonts w:hint="eastAsia" w:ascii="宋体" w:hAnsi="宋体" w:cs="宋体"/>
        </w:rPr>
        <w:t>21.5投标人未参加开标的，视同认可开标结果。</w:t>
      </w:r>
    </w:p>
    <w:p w14:paraId="2AB2CCD5">
      <w:pPr>
        <w:spacing w:line="360" w:lineRule="auto"/>
        <w:ind w:firstLine="420" w:firstLineChars="200"/>
        <w:rPr>
          <w:rFonts w:ascii="宋体" w:hAnsi="宋体" w:cs="宋体"/>
        </w:rPr>
      </w:pPr>
      <w:r>
        <w:rPr>
          <w:rFonts w:hint="eastAsia" w:ascii="宋体" w:hAnsi="宋体" w:cs="宋体"/>
        </w:rPr>
        <w:t>21.6公开招标数额标准以上的采购项目，投标截止后投标人不足3家或者通过资格审查或符合性审查的投标人不足3家的，除采购任务取消情形外，按照以下方式处理：</w:t>
      </w:r>
    </w:p>
    <w:p w14:paraId="2868BE87">
      <w:pPr>
        <w:spacing w:line="360" w:lineRule="auto"/>
        <w:ind w:firstLine="420" w:firstLineChars="200"/>
        <w:rPr>
          <w:rFonts w:ascii="宋体" w:hAnsi="宋体" w:cs="宋体"/>
        </w:rPr>
      </w:pPr>
      <w:r>
        <w:rPr>
          <w:rFonts w:hint="eastAsia" w:ascii="宋体" w:hAnsi="宋体" w:cs="宋体"/>
        </w:rPr>
        <w:t>（1）招标文件存在不合理条款或者招标程序不符合规定的，采购人、采购代理机构改正后依法重新招标；</w:t>
      </w:r>
    </w:p>
    <w:p w14:paraId="55620EE4">
      <w:pPr>
        <w:widowControl/>
        <w:spacing w:line="360" w:lineRule="auto"/>
        <w:ind w:firstLine="420"/>
        <w:rPr>
          <w:rFonts w:ascii="宋体" w:hAnsi="宋体" w:cs="宋体"/>
          <w:kern w:val="0"/>
          <w:szCs w:val="21"/>
        </w:rPr>
      </w:pPr>
      <w:r>
        <w:rPr>
          <w:rFonts w:hint="eastAsia" w:ascii="宋体" w:hAnsi="宋体" w:cs="宋体"/>
        </w:rPr>
        <w:t>（2）招标文件没有不合理条款、招标程序符合规定，需要采用其他采购方式采购的，采购人依法报财政部门批准，</w:t>
      </w:r>
      <w:r>
        <w:rPr>
          <w:rFonts w:hint="eastAsia" w:ascii="宋体" w:hAnsi="宋体" w:cs="宋体"/>
          <w:kern w:val="0"/>
          <w:szCs w:val="21"/>
        </w:rPr>
        <w:t>经批准后，可变更为其他采购方式采购。</w:t>
      </w:r>
    </w:p>
    <w:p w14:paraId="2DE23678">
      <w:pPr>
        <w:widowControl/>
        <w:spacing w:line="360" w:lineRule="auto"/>
        <w:ind w:firstLine="420"/>
        <w:rPr>
          <w:rFonts w:ascii="宋体" w:hAnsi="宋体" w:cs="宋体"/>
          <w:kern w:val="0"/>
          <w:szCs w:val="21"/>
        </w:rPr>
      </w:pPr>
      <w:r>
        <w:rPr>
          <w:rFonts w:hint="eastAsia" w:ascii="宋体" w:hAnsi="宋体" w:cs="宋体"/>
          <w:b/>
          <w:bCs/>
          <w:kern w:val="0"/>
          <w:szCs w:val="21"/>
        </w:rPr>
        <w:t>22、评标</w:t>
      </w:r>
    </w:p>
    <w:p w14:paraId="5A5053D0">
      <w:pPr>
        <w:widowControl/>
        <w:spacing w:line="360" w:lineRule="auto"/>
        <w:ind w:firstLine="420"/>
        <w:rPr>
          <w:rFonts w:ascii="宋体" w:hAnsi="宋体" w:cs="宋体"/>
          <w:kern w:val="0"/>
          <w:szCs w:val="21"/>
        </w:rPr>
      </w:pPr>
      <w:r>
        <w:rPr>
          <w:rFonts w:hint="eastAsia" w:ascii="宋体" w:hAnsi="宋体" w:cs="宋体"/>
          <w:b/>
          <w:bCs/>
          <w:kern w:val="0"/>
          <w:szCs w:val="21"/>
        </w:rPr>
        <w:t>22.1 评标委员会</w:t>
      </w:r>
    </w:p>
    <w:p w14:paraId="56AC3192">
      <w:pPr>
        <w:widowControl/>
        <w:spacing w:line="360" w:lineRule="auto"/>
        <w:ind w:firstLine="420"/>
        <w:rPr>
          <w:rFonts w:ascii="宋体" w:hAnsi="宋体" w:cs="宋体"/>
          <w:bCs/>
          <w:kern w:val="0"/>
          <w:szCs w:val="21"/>
        </w:rPr>
      </w:pPr>
      <w:r>
        <w:rPr>
          <w:rFonts w:hint="eastAsia" w:ascii="宋体" w:hAnsi="宋体" w:cs="宋体"/>
          <w:b/>
          <w:bCs/>
          <w:kern w:val="0"/>
          <w:szCs w:val="21"/>
        </w:rPr>
        <w:t>22.1.1</w:t>
      </w:r>
      <w:r>
        <w:rPr>
          <w:rFonts w:hint="eastAsia" w:ascii="宋体" w:hAnsi="宋体" w:cs="宋体"/>
          <w:bCs/>
          <w:kern w:val="0"/>
          <w:szCs w:val="21"/>
        </w:rPr>
        <w:t>评标委员会负责具体评标事务，并独立履行下列职责：</w:t>
      </w:r>
    </w:p>
    <w:p w14:paraId="26F6942B">
      <w:pPr>
        <w:widowControl/>
        <w:spacing w:line="360" w:lineRule="auto"/>
        <w:ind w:firstLine="420"/>
        <w:rPr>
          <w:rFonts w:ascii="宋体" w:hAnsi="宋体" w:cs="宋体"/>
          <w:bCs/>
          <w:kern w:val="0"/>
          <w:szCs w:val="21"/>
        </w:rPr>
      </w:pPr>
      <w:r>
        <w:rPr>
          <w:rFonts w:hint="eastAsia" w:ascii="宋体" w:hAnsi="宋体" w:cs="宋体"/>
          <w:bCs/>
          <w:kern w:val="0"/>
          <w:szCs w:val="21"/>
        </w:rPr>
        <w:t>（一）审查、评价投标文件是否符合招标文件的商务、技术等实质性要求；</w:t>
      </w:r>
    </w:p>
    <w:p w14:paraId="5C9EFF33">
      <w:pPr>
        <w:widowControl/>
        <w:spacing w:line="360" w:lineRule="auto"/>
        <w:ind w:firstLine="420"/>
        <w:rPr>
          <w:rFonts w:ascii="宋体" w:hAnsi="宋体" w:cs="宋体"/>
          <w:bCs/>
          <w:kern w:val="0"/>
          <w:szCs w:val="21"/>
        </w:rPr>
      </w:pPr>
      <w:r>
        <w:rPr>
          <w:rFonts w:hint="eastAsia" w:ascii="宋体" w:hAnsi="宋体" w:cs="宋体"/>
          <w:bCs/>
          <w:kern w:val="0"/>
          <w:szCs w:val="21"/>
        </w:rPr>
        <w:t>（二）要求投标人对投标文件有关事项作出澄清或者说明；</w:t>
      </w:r>
    </w:p>
    <w:p w14:paraId="5AB12F9A">
      <w:pPr>
        <w:widowControl/>
        <w:spacing w:line="360" w:lineRule="auto"/>
        <w:ind w:firstLine="420"/>
        <w:rPr>
          <w:rFonts w:ascii="宋体" w:hAnsi="宋体" w:cs="宋体"/>
          <w:bCs/>
          <w:kern w:val="0"/>
          <w:szCs w:val="21"/>
        </w:rPr>
      </w:pPr>
      <w:r>
        <w:rPr>
          <w:rFonts w:hint="eastAsia" w:ascii="宋体" w:hAnsi="宋体" w:cs="宋体"/>
          <w:bCs/>
          <w:kern w:val="0"/>
          <w:szCs w:val="21"/>
        </w:rPr>
        <w:t>（三）对投标文件进行比较和评价；</w:t>
      </w:r>
    </w:p>
    <w:p w14:paraId="5A7C0C3F">
      <w:pPr>
        <w:widowControl/>
        <w:spacing w:line="360" w:lineRule="auto"/>
        <w:ind w:firstLine="420"/>
        <w:rPr>
          <w:rFonts w:ascii="宋体" w:hAnsi="宋体" w:cs="宋体"/>
          <w:bCs/>
          <w:kern w:val="0"/>
          <w:szCs w:val="21"/>
        </w:rPr>
      </w:pPr>
      <w:r>
        <w:rPr>
          <w:rFonts w:hint="eastAsia" w:ascii="宋体" w:hAnsi="宋体" w:cs="宋体"/>
          <w:bCs/>
          <w:kern w:val="0"/>
          <w:szCs w:val="21"/>
        </w:rPr>
        <w:t>（四）确定中标候选人名单，以及根据采购人委托直接确定中标人；</w:t>
      </w:r>
    </w:p>
    <w:p w14:paraId="63EEBCE7">
      <w:pPr>
        <w:widowControl/>
        <w:spacing w:line="360" w:lineRule="auto"/>
        <w:ind w:firstLine="420"/>
        <w:rPr>
          <w:rFonts w:ascii="宋体" w:hAnsi="宋体" w:cs="宋体"/>
          <w:kern w:val="0"/>
          <w:szCs w:val="21"/>
        </w:rPr>
      </w:pPr>
      <w:r>
        <w:rPr>
          <w:rFonts w:hint="eastAsia" w:ascii="宋体" w:hAnsi="宋体" w:cs="宋体"/>
          <w:bCs/>
          <w:kern w:val="0"/>
          <w:szCs w:val="21"/>
        </w:rPr>
        <w:t>（五）向采购人、采购代理机构或者有关部门报告评标中发现的违法行为。</w:t>
      </w:r>
    </w:p>
    <w:p w14:paraId="58D1D8F6">
      <w:pPr>
        <w:widowControl/>
        <w:spacing w:line="360" w:lineRule="auto"/>
        <w:ind w:firstLine="420"/>
        <w:rPr>
          <w:rFonts w:ascii="宋体" w:hAnsi="宋体" w:cs="宋体"/>
          <w:kern w:val="0"/>
          <w:szCs w:val="21"/>
        </w:rPr>
      </w:pPr>
      <w:r>
        <w:rPr>
          <w:rFonts w:hint="eastAsia" w:ascii="宋体" w:hAnsi="宋体" w:cs="宋体"/>
          <w:b/>
          <w:bCs/>
          <w:kern w:val="0"/>
          <w:szCs w:val="21"/>
        </w:rPr>
        <w:t xml:space="preserve">22.1.2 </w:t>
      </w:r>
      <w:r>
        <w:rPr>
          <w:rFonts w:hint="eastAsia" w:ascii="宋体" w:hAnsi="宋体" w:cs="宋体"/>
          <w:kern w:val="0"/>
          <w:szCs w:val="21"/>
        </w:rPr>
        <w:t>评标委员会由</w:t>
      </w:r>
      <w:r>
        <w:rPr>
          <w:rFonts w:hint="eastAsia" w:ascii="宋体" w:hAnsi="宋体" w:cs="宋体"/>
          <w:bCs/>
          <w:kern w:val="0"/>
          <w:szCs w:val="21"/>
        </w:rPr>
        <w:t>采购人</w:t>
      </w:r>
      <w:r>
        <w:rPr>
          <w:rFonts w:hint="eastAsia" w:ascii="宋体" w:hAnsi="宋体" w:cs="宋体"/>
          <w:kern w:val="0"/>
          <w:szCs w:val="21"/>
        </w:rPr>
        <w:t>代表和有关技术、经济等方面的专家组成，独立开展评审工作。</w:t>
      </w:r>
    </w:p>
    <w:p w14:paraId="057D368E">
      <w:pPr>
        <w:widowControl/>
        <w:spacing w:line="360" w:lineRule="auto"/>
        <w:ind w:firstLine="420"/>
        <w:jc w:val="left"/>
        <w:rPr>
          <w:rFonts w:ascii="宋体" w:hAnsi="宋体" w:cs="宋体"/>
          <w:kern w:val="0"/>
          <w:szCs w:val="21"/>
        </w:rPr>
      </w:pPr>
      <w:r>
        <w:rPr>
          <w:rFonts w:hint="eastAsia" w:ascii="宋体" w:hAnsi="宋体" w:cs="宋体"/>
          <w:b/>
          <w:bCs/>
          <w:kern w:val="0"/>
          <w:szCs w:val="21"/>
        </w:rPr>
        <w:t>22.2  评标程序</w:t>
      </w:r>
    </w:p>
    <w:p w14:paraId="2FA28941">
      <w:pPr>
        <w:widowControl/>
        <w:spacing w:line="360" w:lineRule="auto"/>
        <w:ind w:firstLine="420"/>
        <w:jc w:val="left"/>
        <w:rPr>
          <w:rFonts w:ascii="宋体" w:hAnsi="宋体" w:cs="宋体"/>
          <w:b/>
          <w:kern w:val="0"/>
          <w:szCs w:val="21"/>
        </w:rPr>
      </w:pPr>
      <w:r>
        <w:rPr>
          <w:rFonts w:hint="eastAsia" w:ascii="宋体" w:hAnsi="宋体" w:cs="宋体"/>
          <w:b/>
          <w:kern w:val="0"/>
          <w:szCs w:val="21"/>
        </w:rPr>
        <w:t xml:space="preserve">22.2.1 </w:t>
      </w:r>
      <w:r>
        <w:rPr>
          <w:rFonts w:hint="eastAsia" w:ascii="宋体" w:hAnsi="宋体" w:cs="宋体"/>
          <w:b/>
          <w:bCs/>
          <w:kern w:val="0"/>
          <w:szCs w:val="21"/>
        </w:rPr>
        <w:t>投标文件的资格性检查。</w:t>
      </w:r>
      <w:r>
        <w:rPr>
          <w:rFonts w:hint="eastAsia" w:ascii="宋体" w:hAnsi="宋体" w:cs="宋体"/>
          <w:kern w:val="0"/>
          <w:szCs w:val="21"/>
        </w:rPr>
        <w:t>采购项目开标结束后，</w:t>
      </w:r>
      <w:r>
        <w:rPr>
          <w:rFonts w:hint="eastAsia" w:ascii="宋体" w:hAnsi="宋体" w:cs="宋体"/>
        </w:rPr>
        <w:t>采购人</w:t>
      </w:r>
      <w:r>
        <w:rPr>
          <w:rFonts w:hint="eastAsia" w:ascii="宋体" w:hAnsi="宋体" w:cs="宋体"/>
          <w:kern w:val="0"/>
          <w:szCs w:val="21"/>
        </w:rPr>
        <w:t>或者</w:t>
      </w:r>
      <w:r>
        <w:rPr>
          <w:rFonts w:hint="eastAsia" w:ascii="宋体" w:hAnsi="宋体" w:cs="宋体"/>
        </w:rPr>
        <w:t>采购代理机构</w:t>
      </w:r>
      <w:r>
        <w:rPr>
          <w:rFonts w:hint="eastAsia" w:ascii="宋体" w:hAnsi="宋体" w:cs="宋体"/>
          <w:kern w:val="0"/>
          <w:szCs w:val="21"/>
        </w:rPr>
        <w:t>应当依法对投标人的资格进行审查。合格投标人不足3家的，不得评标。</w:t>
      </w:r>
    </w:p>
    <w:p w14:paraId="097847C7">
      <w:pPr>
        <w:widowControl/>
        <w:spacing w:line="360" w:lineRule="auto"/>
        <w:ind w:firstLine="420"/>
        <w:jc w:val="left"/>
        <w:rPr>
          <w:rFonts w:ascii="宋体" w:hAnsi="宋体" w:cs="宋体"/>
          <w:kern w:val="0"/>
          <w:szCs w:val="21"/>
        </w:rPr>
      </w:pPr>
      <w:r>
        <w:rPr>
          <w:rFonts w:hint="eastAsia" w:ascii="宋体" w:hAnsi="宋体" w:cs="宋体"/>
          <w:b/>
          <w:bCs/>
          <w:kern w:val="0"/>
          <w:szCs w:val="21"/>
        </w:rPr>
        <w:t>22.2.2投标文件的符合性审查</w:t>
      </w:r>
      <w:r>
        <w:rPr>
          <w:rFonts w:hint="eastAsia" w:ascii="宋体" w:hAnsi="宋体" w:cs="宋体"/>
          <w:kern w:val="0"/>
          <w:szCs w:val="21"/>
        </w:rPr>
        <w:t>。评标委员会对通过资格性检查的投标人的投标文件进行符合性审查，以确定其是否满足招标文件的实质性要求。投标文件有下列情况之一的，在符合性检查时按照无效投标处理：</w:t>
      </w:r>
    </w:p>
    <w:p w14:paraId="66664381">
      <w:pPr>
        <w:widowControl/>
        <w:spacing w:line="360" w:lineRule="auto"/>
        <w:ind w:firstLine="420"/>
        <w:jc w:val="left"/>
        <w:rPr>
          <w:rFonts w:ascii="宋体" w:hAnsi="宋体" w:cs="宋体"/>
          <w:b/>
          <w:kern w:val="0"/>
          <w:szCs w:val="21"/>
        </w:rPr>
      </w:pPr>
      <w:r>
        <w:rPr>
          <w:rFonts w:hint="eastAsia" w:ascii="宋体" w:hAnsi="宋体" w:cs="宋体"/>
          <w:b/>
          <w:kern w:val="0"/>
          <w:szCs w:val="21"/>
        </w:rPr>
        <w:t>（1）未按照招标文件规定的要求密封、签署、盖章的</w:t>
      </w:r>
      <w:r>
        <w:rPr>
          <w:rFonts w:hint="eastAsia" w:ascii="宋体" w:hAnsi="宋体" w:cs="宋体"/>
          <w:b/>
          <w:bCs/>
          <w:kern w:val="0"/>
          <w:szCs w:val="21"/>
        </w:rPr>
        <w:t>；</w:t>
      </w:r>
    </w:p>
    <w:p w14:paraId="7C389E20">
      <w:pPr>
        <w:widowControl/>
        <w:spacing w:line="360" w:lineRule="auto"/>
        <w:ind w:firstLine="420"/>
        <w:jc w:val="left"/>
        <w:rPr>
          <w:rFonts w:ascii="宋体" w:hAnsi="宋体" w:cs="宋体"/>
          <w:b/>
          <w:kern w:val="0"/>
          <w:szCs w:val="21"/>
        </w:rPr>
      </w:pPr>
      <w:r>
        <w:rPr>
          <w:rFonts w:hint="eastAsia" w:ascii="宋体" w:hAnsi="宋体" w:cs="宋体"/>
          <w:b/>
          <w:kern w:val="0"/>
          <w:szCs w:val="21"/>
        </w:rPr>
        <w:t>（2）不具备招标文件中规定的资格要求的；</w:t>
      </w:r>
    </w:p>
    <w:p w14:paraId="231731E8">
      <w:pPr>
        <w:widowControl/>
        <w:spacing w:line="360" w:lineRule="auto"/>
        <w:ind w:firstLine="420"/>
        <w:jc w:val="left"/>
        <w:rPr>
          <w:rFonts w:ascii="宋体" w:hAnsi="宋体" w:cs="宋体"/>
          <w:b/>
          <w:kern w:val="0"/>
          <w:szCs w:val="21"/>
        </w:rPr>
      </w:pPr>
      <w:r>
        <w:rPr>
          <w:rFonts w:hint="eastAsia" w:ascii="宋体" w:hAnsi="宋体" w:cs="宋体"/>
          <w:b/>
          <w:kern w:val="0"/>
          <w:szCs w:val="21"/>
        </w:rPr>
        <w:t>（3）报价超过招标文件中规定的预算金额或者最高限价的；</w:t>
      </w:r>
    </w:p>
    <w:p w14:paraId="4BE2438F">
      <w:pPr>
        <w:widowControl/>
        <w:spacing w:line="360" w:lineRule="auto"/>
        <w:ind w:firstLine="420"/>
        <w:jc w:val="left"/>
        <w:rPr>
          <w:rFonts w:ascii="宋体" w:hAnsi="宋体" w:cs="宋体"/>
          <w:b/>
          <w:kern w:val="0"/>
          <w:szCs w:val="21"/>
        </w:rPr>
      </w:pPr>
      <w:r>
        <w:rPr>
          <w:rFonts w:hint="eastAsia" w:ascii="宋体" w:hAnsi="宋体" w:cs="宋体"/>
          <w:b/>
          <w:kern w:val="0"/>
          <w:szCs w:val="21"/>
        </w:rPr>
        <w:t>（4）投标文件含有采购人不能接受的附加条件的；</w:t>
      </w:r>
    </w:p>
    <w:p w14:paraId="42469A38">
      <w:pPr>
        <w:widowControl/>
        <w:spacing w:line="360" w:lineRule="auto"/>
        <w:ind w:firstLine="420"/>
        <w:jc w:val="left"/>
        <w:rPr>
          <w:rFonts w:ascii="宋体" w:hAnsi="宋体" w:cs="宋体"/>
          <w:b/>
          <w:kern w:val="0"/>
          <w:szCs w:val="21"/>
        </w:rPr>
      </w:pPr>
      <w:r>
        <w:rPr>
          <w:rFonts w:hint="eastAsia" w:ascii="宋体" w:hAnsi="宋体" w:cs="宋体"/>
          <w:b/>
          <w:kern w:val="0"/>
          <w:szCs w:val="21"/>
        </w:rPr>
        <w:t>（5）投标文件内容不全或不符合招标文件中规定的其他实质性要求的；</w:t>
      </w:r>
    </w:p>
    <w:p w14:paraId="299724F2">
      <w:pPr>
        <w:widowControl/>
        <w:spacing w:line="360" w:lineRule="auto"/>
        <w:ind w:firstLine="420"/>
        <w:rPr>
          <w:rFonts w:ascii="宋体" w:hAnsi="宋体" w:cs="宋体"/>
          <w:b/>
          <w:kern w:val="0"/>
          <w:szCs w:val="21"/>
        </w:rPr>
      </w:pPr>
      <w:r>
        <w:rPr>
          <w:rFonts w:hint="eastAsia" w:ascii="宋体" w:hAnsi="宋体" w:cs="宋体"/>
          <w:b/>
          <w:kern w:val="0"/>
          <w:szCs w:val="21"/>
        </w:rPr>
        <w:t>（6）现行法律、法规、规章和招标文件规定的其他无效情形。</w:t>
      </w:r>
    </w:p>
    <w:p w14:paraId="26712026">
      <w:pPr>
        <w:widowControl/>
        <w:spacing w:line="360" w:lineRule="auto"/>
        <w:ind w:firstLine="420"/>
        <w:rPr>
          <w:rFonts w:ascii="宋体" w:hAnsi="宋体" w:cs="宋体"/>
          <w:b/>
          <w:bCs/>
          <w:kern w:val="0"/>
          <w:szCs w:val="21"/>
        </w:rPr>
      </w:pPr>
      <w:r>
        <w:rPr>
          <w:rFonts w:hint="eastAsia" w:ascii="宋体" w:hAnsi="宋体" w:cs="宋体"/>
          <w:b/>
          <w:bCs/>
          <w:kern w:val="0"/>
          <w:szCs w:val="21"/>
        </w:rPr>
        <w:t>22.2.2.1 实质性要求是指本招标文件中用带星号（“</w:t>
      </w:r>
      <w:r>
        <w:rPr>
          <w:rFonts w:hint="eastAsia" w:ascii="宋体" w:hAnsi="宋体" w:cs="宋体"/>
          <w:b/>
          <w:bCs/>
        </w:rPr>
        <w:t>*</w:t>
      </w:r>
      <w:r>
        <w:rPr>
          <w:rFonts w:hint="eastAsia" w:ascii="宋体" w:hAnsi="宋体" w:cs="宋体"/>
          <w:b/>
          <w:bCs/>
          <w:kern w:val="0"/>
          <w:szCs w:val="21"/>
        </w:rPr>
        <w:t>”）、“必须”或“应（应当）”等其他文字说明的商务和技术要求。</w:t>
      </w:r>
    </w:p>
    <w:p w14:paraId="5CEB092D">
      <w:pPr>
        <w:widowControl/>
        <w:spacing w:line="360" w:lineRule="auto"/>
        <w:ind w:firstLine="420"/>
        <w:jc w:val="left"/>
        <w:rPr>
          <w:rFonts w:ascii="宋体" w:hAnsi="宋体" w:cs="宋体"/>
          <w:b/>
          <w:kern w:val="0"/>
          <w:szCs w:val="21"/>
        </w:rPr>
      </w:pPr>
      <w:r>
        <w:rPr>
          <w:rFonts w:hint="eastAsia" w:ascii="宋体" w:hAnsi="宋体" w:cs="宋体"/>
          <w:b/>
          <w:kern w:val="0"/>
          <w:szCs w:val="21"/>
        </w:rPr>
        <w:t>22.2.2.2</w:t>
      </w:r>
      <w:r>
        <w:rPr>
          <w:rFonts w:hint="eastAsia" w:ascii="宋体" w:hAnsi="宋体" w:cs="宋体"/>
          <w:kern w:val="0"/>
          <w:szCs w:val="21"/>
        </w:rPr>
        <w:t>有下列情形之一的予以废标：</w:t>
      </w:r>
    </w:p>
    <w:p w14:paraId="3FCBE61A">
      <w:pPr>
        <w:widowControl/>
        <w:spacing w:line="360" w:lineRule="auto"/>
        <w:ind w:firstLine="420"/>
        <w:rPr>
          <w:rFonts w:ascii="宋体" w:hAnsi="宋体" w:cs="宋体"/>
          <w:kern w:val="0"/>
          <w:szCs w:val="21"/>
        </w:rPr>
      </w:pPr>
      <w:r>
        <w:rPr>
          <w:rFonts w:hint="eastAsia" w:ascii="宋体" w:hAnsi="宋体" w:cs="宋体"/>
          <w:kern w:val="0"/>
          <w:szCs w:val="21"/>
        </w:rPr>
        <w:t>（1）符合专业条件的投标人或者对招标文件作实质性响应的投标人不足三家的；</w:t>
      </w:r>
    </w:p>
    <w:p w14:paraId="0C475CB9">
      <w:pPr>
        <w:widowControl/>
        <w:spacing w:line="360" w:lineRule="auto"/>
        <w:ind w:firstLine="420"/>
        <w:rPr>
          <w:rFonts w:ascii="宋体" w:hAnsi="宋体" w:cs="宋体"/>
          <w:kern w:val="0"/>
          <w:szCs w:val="21"/>
        </w:rPr>
      </w:pPr>
      <w:r>
        <w:rPr>
          <w:rFonts w:hint="eastAsia" w:ascii="宋体" w:hAnsi="宋体" w:cs="宋体"/>
          <w:kern w:val="0"/>
          <w:szCs w:val="21"/>
        </w:rPr>
        <w:t>（2）出现影响采购公正的违法、违规行为的；</w:t>
      </w:r>
    </w:p>
    <w:p w14:paraId="28BCE08D">
      <w:pPr>
        <w:widowControl/>
        <w:spacing w:line="360" w:lineRule="auto"/>
        <w:ind w:firstLine="420"/>
        <w:rPr>
          <w:rFonts w:ascii="宋体" w:hAnsi="宋体" w:cs="宋体"/>
          <w:kern w:val="0"/>
          <w:szCs w:val="21"/>
        </w:rPr>
      </w:pPr>
      <w:r>
        <w:rPr>
          <w:rFonts w:hint="eastAsia" w:ascii="宋体" w:hAnsi="宋体" w:cs="宋体"/>
          <w:kern w:val="0"/>
          <w:szCs w:val="21"/>
        </w:rPr>
        <w:t>（3）投标人的报价均超过了采购预算，采购人不能支付的；</w:t>
      </w:r>
    </w:p>
    <w:p w14:paraId="70FF55AA">
      <w:pPr>
        <w:widowControl/>
        <w:spacing w:line="360" w:lineRule="auto"/>
        <w:ind w:firstLine="420"/>
        <w:jc w:val="left"/>
        <w:rPr>
          <w:rFonts w:ascii="宋体" w:hAnsi="宋体" w:cs="宋体"/>
          <w:kern w:val="0"/>
          <w:szCs w:val="21"/>
        </w:rPr>
      </w:pPr>
      <w:r>
        <w:rPr>
          <w:rFonts w:hint="eastAsia" w:ascii="宋体" w:hAnsi="宋体" w:cs="宋体"/>
          <w:kern w:val="0"/>
          <w:szCs w:val="21"/>
        </w:rPr>
        <w:t>（4）因重大变故，采购任务取消的。</w:t>
      </w:r>
    </w:p>
    <w:p w14:paraId="0E864FCD">
      <w:pPr>
        <w:widowControl/>
        <w:spacing w:line="360" w:lineRule="auto"/>
        <w:ind w:firstLine="420"/>
        <w:jc w:val="left"/>
        <w:rPr>
          <w:rFonts w:ascii="宋体" w:hAnsi="宋体" w:cs="宋体"/>
          <w:kern w:val="0"/>
          <w:szCs w:val="21"/>
        </w:rPr>
      </w:pPr>
      <w:r>
        <w:rPr>
          <w:rFonts w:hint="eastAsia" w:ascii="宋体" w:hAnsi="宋体" w:cs="宋体"/>
          <w:kern w:val="0"/>
          <w:szCs w:val="21"/>
        </w:rPr>
        <w:t>22.2.3</w:t>
      </w:r>
      <w:r>
        <w:rPr>
          <w:rFonts w:hint="eastAsia" w:ascii="宋体" w:hAnsi="宋体" w:cs="宋体"/>
          <w:b/>
          <w:bCs/>
          <w:kern w:val="0"/>
          <w:szCs w:val="21"/>
        </w:rPr>
        <w:t>澄清有关问题</w:t>
      </w:r>
      <w:r>
        <w:rPr>
          <w:rFonts w:hint="eastAsia" w:ascii="宋体" w:hAnsi="宋体" w:cs="宋体"/>
          <w:kern w:val="0"/>
          <w:szCs w:val="21"/>
        </w:rPr>
        <w:t>。</w:t>
      </w:r>
    </w:p>
    <w:p w14:paraId="51B01475">
      <w:pPr>
        <w:widowControl/>
        <w:spacing w:line="360" w:lineRule="auto"/>
        <w:ind w:firstLine="420"/>
        <w:jc w:val="left"/>
        <w:rPr>
          <w:rFonts w:ascii="宋体" w:hAnsi="宋体" w:cs="宋体"/>
          <w:kern w:val="0"/>
          <w:szCs w:val="21"/>
        </w:rPr>
      </w:pPr>
      <w:r>
        <w:rPr>
          <w:rFonts w:hint="eastAsia" w:ascii="宋体" w:hAnsi="宋体" w:cs="宋体"/>
          <w:kern w:val="0"/>
          <w:szCs w:val="21"/>
        </w:rPr>
        <w:t>22.2.3.1对于投标文件中含义不明确、同类问题表述不一致或者有明显文字和计算错误的内容，评标委员会应当以书面形式要求投标人作出必要的澄清、说明或者补正。</w:t>
      </w:r>
    </w:p>
    <w:p w14:paraId="6B0DB40D">
      <w:pPr>
        <w:widowControl/>
        <w:spacing w:line="360" w:lineRule="auto"/>
        <w:ind w:firstLine="420"/>
        <w:jc w:val="left"/>
        <w:rPr>
          <w:rFonts w:ascii="宋体" w:hAnsi="宋体" w:cs="宋体"/>
          <w:kern w:val="0"/>
          <w:szCs w:val="21"/>
        </w:rPr>
      </w:pPr>
      <w:r>
        <w:rPr>
          <w:rFonts w:hint="eastAsia" w:ascii="宋体" w:hAnsi="宋体" w:cs="宋体"/>
          <w:kern w:val="0"/>
          <w:szCs w:val="21"/>
        </w:rPr>
        <w:t>22.2.3.2投标人的澄清、说明或者补正应当采用书面形式，并加盖公章，或者由法定代表人或其授权代表签字。投标人的澄清、说明或者补正不得超出投标文件的范围或者改变投标文件的实质性内容。</w:t>
      </w:r>
    </w:p>
    <w:p w14:paraId="07C157FA">
      <w:pPr>
        <w:widowControl/>
        <w:spacing w:line="360" w:lineRule="auto"/>
        <w:ind w:firstLine="420"/>
        <w:rPr>
          <w:rFonts w:ascii="宋体" w:hAnsi="宋体" w:cs="宋体"/>
          <w:kern w:val="0"/>
          <w:szCs w:val="21"/>
        </w:rPr>
      </w:pPr>
      <w:r>
        <w:rPr>
          <w:rFonts w:hint="eastAsia" w:ascii="宋体" w:hAnsi="宋体" w:cs="宋体"/>
          <w:kern w:val="0"/>
          <w:szCs w:val="21"/>
        </w:rPr>
        <w:t>22.2.3.3投标文件报价出现前后不一致的，除招标文件另有规定外，按照下列规定修正：</w:t>
      </w:r>
    </w:p>
    <w:p w14:paraId="1F58D209">
      <w:pPr>
        <w:widowControl/>
        <w:spacing w:line="360" w:lineRule="auto"/>
        <w:ind w:firstLine="420"/>
        <w:rPr>
          <w:rFonts w:ascii="宋体" w:hAnsi="宋体" w:cs="宋体"/>
          <w:kern w:val="0"/>
          <w:szCs w:val="21"/>
        </w:rPr>
      </w:pPr>
      <w:r>
        <w:rPr>
          <w:rFonts w:hint="eastAsia" w:ascii="宋体" w:hAnsi="宋体" w:cs="宋体"/>
          <w:kern w:val="0"/>
          <w:szCs w:val="21"/>
        </w:rPr>
        <w:t>（1）投标文件中开标一览表（报价表）内容与投标文件中相应内容不一致的，以开标一览表（报价表）为准；</w:t>
      </w:r>
    </w:p>
    <w:p w14:paraId="2D7E704C">
      <w:pPr>
        <w:widowControl/>
        <w:spacing w:line="360" w:lineRule="auto"/>
        <w:ind w:firstLine="420"/>
        <w:rPr>
          <w:rFonts w:ascii="宋体" w:hAnsi="宋体" w:cs="宋体"/>
          <w:kern w:val="0"/>
          <w:szCs w:val="21"/>
        </w:rPr>
      </w:pPr>
      <w:r>
        <w:rPr>
          <w:rFonts w:hint="eastAsia" w:ascii="宋体" w:hAnsi="宋体" w:cs="宋体"/>
          <w:kern w:val="0"/>
          <w:szCs w:val="21"/>
        </w:rPr>
        <w:t>（2）大写金额和小写金额不一致的，以大写金额为准；</w:t>
      </w:r>
    </w:p>
    <w:p w14:paraId="66A6E2F5">
      <w:pPr>
        <w:widowControl/>
        <w:spacing w:line="360" w:lineRule="auto"/>
        <w:ind w:firstLine="420"/>
        <w:rPr>
          <w:rFonts w:ascii="宋体" w:hAnsi="宋体" w:cs="宋体"/>
          <w:kern w:val="0"/>
          <w:szCs w:val="21"/>
        </w:rPr>
      </w:pPr>
      <w:r>
        <w:rPr>
          <w:rFonts w:hint="eastAsia" w:ascii="宋体" w:hAnsi="宋体" w:cs="宋体"/>
          <w:kern w:val="0"/>
          <w:szCs w:val="21"/>
        </w:rPr>
        <w:t>（3）单价金额小数点或者百分比有明显错位的，以开标一览表的总价为准，并修改单价；</w:t>
      </w:r>
    </w:p>
    <w:p w14:paraId="2B5DB88E">
      <w:pPr>
        <w:widowControl/>
        <w:spacing w:line="360" w:lineRule="auto"/>
        <w:ind w:firstLine="420"/>
        <w:rPr>
          <w:rFonts w:ascii="宋体" w:hAnsi="宋体" w:cs="宋体"/>
          <w:kern w:val="0"/>
          <w:szCs w:val="21"/>
        </w:rPr>
      </w:pPr>
      <w:r>
        <w:rPr>
          <w:rFonts w:hint="eastAsia" w:ascii="宋体" w:hAnsi="宋体" w:cs="宋体"/>
          <w:kern w:val="0"/>
          <w:szCs w:val="21"/>
        </w:rPr>
        <w:t>（4）总价金额与按单价汇总金额不一致的，以单价金额计算结果为准。</w:t>
      </w:r>
    </w:p>
    <w:p w14:paraId="457DFA79">
      <w:pPr>
        <w:widowControl/>
        <w:spacing w:line="360" w:lineRule="auto"/>
        <w:ind w:firstLine="420"/>
        <w:rPr>
          <w:rFonts w:ascii="宋体" w:hAnsi="宋体" w:cs="宋体"/>
          <w:b/>
          <w:kern w:val="0"/>
          <w:szCs w:val="21"/>
        </w:rPr>
      </w:pPr>
      <w:r>
        <w:rPr>
          <w:rFonts w:hint="eastAsia" w:ascii="宋体" w:hAnsi="宋体" w:cs="宋体"/>
          <w:kern w:val="0"/>
          <w:szCs w:val="21"/>
        </w:rPr>
        <w:t>同时出现两种以上不一致的，按照前款规定的顺序修正。</w:t>
      </w:r>
      <w:r>
        <w:rPr>
          <w:rFonts w:hint="eastAsia" w:ascii="宋体" w:hAnsi="宋体" w:cs="宋体"/>
          <w:b/>
          <w:kern w:val="0"/>
          <w:szCs w:val="21"/>
        </w:rPr>
        <w:t>修正后的报价按照前款规定经投标人确认后产生约束力，投标人不确认的，其投标无效。</w:t>
      </w:r>
    </w:p>
    <w:p w14:paraId="0CFEDA76">
      <w:pPr>
        <w:widowControl/>
        <w:spacing w:line="360" w:lineRule="auto"/>
        <w:ind w:firstLine="420"/>
        <w:jc w:val="left"/>
        <w:rPr>
          <w:rFonts w:ascii="宋体" w:hAnsi="宋体" w:cs="宋体"/>
          <w:kern w:val="0"/>
          <w:szCs w:val="21"/>
        </w:rPr>
      </w:pPr>
      <w:r>
        <w:rPr>
          <w:rFonts w:hint="eastAsia" w:ascii="宋体" w:hAnsi="宋体" w:cs="宋体"/>
          <w:kern w:val="0"/>
          <w:szCs w:val="21"/>
        </w:rPr>
        <w:t>22.2.3.4</w:t>
      </w:r>
      <w:r>
        <w:rPr>
          <w:rFonts w:hint="eastAsia" w:ascii="宋体" w:hAnsi="宋体" w:cs="宋体"/>
        </w:rPr>
        <w:t>评标委员会认为投标人的报价明显低于其他通过符合性审查投标人的报价，有可能影响产品质量或者不能诚信履约的，将要求其在评标现场合理的时间内提供书面说明，必要时提交相关证明材料；</w:t>
      </w:r>
      <w:r>
        <w:rPr>
          <w:rFonts w:hint="eastAsia" w:ascii="宋体" w:hAnsi="宋体" w:cs="宋体"/>
          <w:b/>
        </w:rPr>
        <w:t>投标人不能证明其报价合理性的，评标委员会将其作为无效投标处理。</w:t>
      </w:r>
    </w:p>
    <w:p w14:paraId="280FA6ED">
      <w:pPr>
        <w:widowControl/>
        <w:spacing w:line="360" w:lineRule="auto"/>
        <w:ind w:firstLine="420"/>
        <w:jc w:val="left"/>
        <w:rPr>
          <w:rFonts w:ascii="宋体" w:hAnsi="宋体" w:cs="宋体"/>
          <w:kern w:val="0"/>
          <w:szCs w:val="21"/>
        </w:rPr>
      </w:pPr>
      <w:r>
        <w:rPr>
          <w:rFonts w:hint="eastAsia" w:ascii="宋体" w:hAnsi="宋体" w:cs="宋体"/>
          <w:kern w:val="0"/>
          <w:szCs w:val="21"/>
        </w:rPr>
        <w:t>22.2.4</w:t>
      </w:r>
      <w:r>
        <w:rPr>
          <w:rFonts w:hint="eastAsia" w:ascii="宋体" w:hAnsi="宋体" w:cs="宋体"/>
          <w:bCs/>
          <w:kern w:val="0"/>
          <w:szCs w:val="21"/>
        </w:rPr>
        <w:t>比较与评价。</w:t>
      </w:r>
      <w:r>
        <w:rPr>
          <w:rFonts w:hint="eastAsia" w:ascii="宋体" w:hAnsi="宋体" w:cs="宋体"/>
          <w:kern w:val="0"/>
          <w:szCs w:val="21"/>
        </w:rPr>
        <w:t>评标委员会应当按照招标文件中规定的评标方法和标准，对符合性审查合格的投标文件进行商务和技术评估，综合比较与评价。</w:t>
      </w:r>
    </w:p>
    <w:p w14:paraId="7B83A591">
      <w:pPr>
        <w:widowControl/>
        <w:spacing w:line="360" w:lineRule="auto"/>
        <w:ind w:firstLine="420"/>
        <w:jc w:val="left"/>
        <w:rPr>
          <w:rFonts w:ascii="宋体" w:hAnsi="宋体" w:cs="宋体"/>
        </w:rPr>
      </w:pPr>
      <w:r>
        <w:rPr>
          <w:rFonts w:hint="eastAsia" w:ascii="宋体" w:hAnsi="宋体" w:cs="宋体"/>
          <w:kern w:val="0"/>
          <w:szCs w:val="21"/>
        </w:rPr>
        <w:t>22.2.5</w:t>
      </w:r>
      <w:r>
        <w:rPr>
          <w:rFonts w:hint="eastAsia" w:ascii="宋体" w:hAnsi="宋体" w:cs="宋体"/>
        </w:rPr>
        <w:t>相同品牌产品的投标</w:t>
      </w:r>
    </w:p>
    <w:p w14:paraId="047392DB">
      <w:pPr>
        <w:widowControl/>
        <w:spacing w:line="360" w:lineRule="auto"/>
        <w:ind w:firstLine="420"/>
        <w:jc w:val="left"/>
        <w:rPr>
          <w:rFonts w:ascii="宋体" w:hAnsi="宋体" w:cs="宋体"/>
          <w:kern w:val="0"/>
          <w:szCs w:val="21"/>
        </w:rPr>
      </w:pPr>
      <w:r>
        <w:rPr>
          <w:rFonts w:hint="eastAsia" w:ascii="宋体" w:hAnsi="宋体" w:cs="宋体"/>
          <w:kern w:val="0"/>
          <w:szCs w:val="21"/>
        </w:rPr>
        <w:t>采用最低评标价法的采购项目，提供相同品牌产品的不同投标人参加同一合同项下投标的，以其中通过资格审查、符合性审查且报价最低的参加评标；报价相同的，由采购人委托评标委员会按照招标文件规定的方式确定一个参加评标的投标人，招标文件未规定的采取随机抽取方式确定，其他投标无效。</w:t>
      </w:r>
    </w:p>
    <w:p w14:paraId="60D593AE">
      <w:pPr>
        <w:widowControl/>
        <w:spacing w:line="360" w:lineRule="auto"/>
        <w:ind w:firstLine="420"/>
        <w:jc w:val="left"/>
        <w:rPr>
          <w:rFonts w:ascii="宋体" w:hAnsi="宋体" w:cs="宋体"/>
          <w:kern w:val="0"/>
          <w:szCs w:val="21"/>
        </w:rPr>
      </w:pPr>
      <w:r>
        <w:rPr>
          <w:rFonts w:hint="eastAsia" w:ascii="宋体" w:hAnsi="宋体" w:cs="宋体"/>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委托评标委员会按照招标文件规定的方式确定一个投标人获得中标人推荐资格，招标文件未规定的采取随机抽取方式确定，其他同品牌投标人不作为中标候选人。</w:t>
      </w:r>
    </w:p>
    <w:p w14:paraId="7C8F55EB">
      <w:pPr>
        <w:widowControl/>
        <w:spacing w:line="360" w:lineRule="auto"/>
        <w:ind w:firstLine="420"/>
        <w:jc w:val="left"/>
        <w:rPr>
          <w:rFonts w:ascii="宋体" w:hAnsi="宋体" w:cs="宋体"/>
          <w:kern w:val="0"/>
          <w:szCs w:val="21"/>
        </w:rPr>
      </w:pPr>
      <w:r>
        <w:rPr>
          <w:rFonts w:hint="eastAsia" w:ascii="宋体" w:hAnsi="宋体" w:cs="宋体"/>
          <w:kern w:val="0"/>
          <w:szCs w:val="21"/>
        </w:rPr>
        <w:t>非单一产品采购项目，确定核心产品的方法在招标文件技术需求中载明。多家投标人提供的核心产品品牌相同的，按前两款规定处理。</w:t>
      </w:r>
    </w:p>
    <w:p w14:paraId="21E0252A">
      <w:pPr>
        <w:widowControl/>
        <w:spacing w:line="360" w:lineRule="auto"/>
        <w:ind w:firstLine="420"/>
        <w:jc w:val="left"/>
        <w:rPr>
          <w:rFonts w:ascii="宋体" w:hAnsi="宋体" w:cs="宋体"/>
          <w:kern w:val="0"/>
          <w:szCs w:val="21"/>
        </w:rPr>
      </w:pPr>
      <w:r>
        <w:rPr>
          <w:rFonts w:hint="eastAsia" w:ascii="宋体" w:hAnsi="宋体" w:cs="宋体"/>
          <w:b/>
          <w:bCs/>
          <w:kern w:val="0"/>
          <w:szCs w:val="21"/>
        </w:rPr>
        <w:t>22.3 评标方法和标准</w:t>
      </w:r>
    </w:p>
    <w:p w14:paraId="2EFE7B6C">
      <w:pPr>
        <w:widowControl/>
        <w:spacing w:line="360" w:lineRule="auto"/>
        <w:ind w:firstLine="420"/>
        <w:jc w:val="left"/>
        <w:rPr>
          <w:rFonts w:ascii="宋体" w:hAnsi="宋体" w:cs="宋体"/>
          <w:kern w:val="0"/>
          <w:szCs w:val="21"/>
        </w:rPr>
      </w:pPr>
      <w:r>
        <w:rPr>
          <w:rFonts w:hint="eastAsia" w:ascii="宋体" w:hAnsi="宋体" w:cs="宋体"/>
          <w:kern w:val="0"/>
          <w:szCs w:val="21"/>
        </w:rPr>
        <w:t>22.3.1评标方法分为最低评标价法和综合评分法。本次招标的评标方法和标准，详见本招标文件第三章。</w:t>
      </w:r>
    </w:p>
    <w:p w14:paraId="73D1BCCB">
      <w:pPr>
        <w:widowControl/>
        <w:spacing w:line="360" w:lineRule="auto"/>
        <w:ind w:firstLine="420"/>
        <w:jc w:val="left"/>
        <w:rPr>
          <w:rFonts w:ascii="宋体" w:hAnsi="宋体" w:cs="宋体"/>
          <w:kern w:val="0"/>
          <w:szCs w:val="21"/>
        </w:rPr>
      </w:pPr>
      <w:r>
        <w:rPr>
          <w:rFonts w:hint="eastAsia" w:ascii="宋体" w:hAnsi="宋体" w:cs="宋体"/>
          <w:kern w:val="0"/>
          <w:szCs w:val="21"/>
        </w:rPr>
        <w:t>22.3.2最低评标价法，是指投标文件满足招标文件全部实质性要求，且投标报价最低的投标人为中标候选人的评标方法。</w:t>
      </w:r>
    </w:p>
    <w:p w14:paraId="50449A6D">
      <w:pPr>
        <w:widowControl/>
        <w:spacing w:line="360" w:lineRule="auto"/>
        <w:ind w:firstLine="420"/>
        <w:jc w:val="left"/>
        <w:rPr>
          <w:rFonts w:ascii="宋体" w:hAnsi="宋体" w:cs="宋体"/>
          <w:kern w:val="0"/>
          <w:szCs w:val="21"/>
        </w:rPr>
      </w:pPr>
      <w:r>
        <w:rPr>
          <w:rFonts w:hint="eastAsia" w:ascii="宋体" w:hAnsi="宋体" w:cs="宋体"/>
          <w:kern w:val="0"/>
          <w:szCs w:val="21"/>
        </w:rPr>
        <w:t>采用最低评标价法评标时，除了算术修正和落实政府采购政策需进行的价格扣除外，不对投标人的投标价格进行任何调整。</w:t>
      </w:r>
    </w:p>
    <w:p w14:paraId="72E529FA">
      <w:pPr>
        <w:widowControl/>
        <w:spacing w:line="360" w:lineRule="auto"/>
        <w:ind w:firstLine="420"/>
        <w:jc w:val="left"/>
        <w:rPr>
          <w:rFonts w:ascii="宋体" w:hAnsi="宋体" w:cs="宋体"/>
          <w:kern w:val="0"/>
          <w:szCs w:val="21"/>
        </w:rPr>
      </w:pPr>
      <w:r>
        <w:rPr>
          <w:rFonts w:hint="eastAsia" w:ascii="宋体" w:hAnsi="宋体" w:cs="宋体"/>
          <w:kern w:val="0"/>
          <w:szCs w:val="21"/>
        </w:rPr>
        <w:t>22.3.3综合评分法，是指投标文件满足招标文件全部实质性要求，且按照评审因素的量化指标评审得分最高的投标人为中标候选人的评标方法。</w:t>
      </w:r>
    </w:p>
    <w:p w14:paraId="5C88489D">
      <w:pPr>
        <w:widowControl/>
        <w:spacing w:line="360" w:lineRule="auto"/>
        <w:ind w:firstLine="420"/>
        <w:jc w:val="left"/>
        <w:rPr>
          <w:rFonts w:ascii="宋体" w:hAnsi="宋体" w:cs="宋体"/>
          <w:kern w:val="0"/>
          <w:szCs w:val="21"/>
        </w:rPr>
      </w:pPr>
      <w:r>
        <w:rPr>
          <w:rFonts w:hint="eastAsia" w:ascii="宋体" w:hAnsi="宋体" w:cs="宋体"/>
          <w:kern w:val="0"/>
          <w:szCs w:val="21"/>
        </w:rPr>
        <w:t>评审因素，包括价格、技术、商务等。</w:t>
      </w:r>
    </w:p>
    <w:p w14:paraId="7356A558">
      <w:pPr>
        <w:widowControl/>
        <w:spacing w:line="360" w:lineRule="auto"/>
        <w:ind w:firstLine="420"/>
        <w:jc w:val="left"/>
        <w:rPr>
          <w:rFonts w:ascii="宋体" w:hAnsi="宋体" w:cs="宋体"/>
          <w:kern w:val="0"/>
          <w:szCs w:val="21"/>
        </w:rPr>
      </w:pPr>
      <w:r>
        <w:rPr>
          <w:rFonts w:hint="eastAsia" w:ascii="宋体" w:hAnsi="宋体" w:cs="宋体"/>
          <w:kern w:val="0"/>
          <w:szCs w:val="21"/>
        </w:rPr>
        <w:t>评标时，评标委员会各成员应当独立对每个投标人的投标文件进行评价，并汇总每个投标人的得分。</w:t>
      </w:r>
    </w:p>
    <w:p w14:paraId="5E1219E7">
      <w:pPr>
        <w:widowControl/>
        <w:spacing w:line="360" w:lineRule="auto"/>
        <w:ind w:firstLine="420"/>
        <w:jc w:val="left"/>
        <w:rPr>
          <w:rFonts w:ascii="宋体" w:hAnsi="宋体" w:cs="宋体"/>
          <w:kern w:val="0"/>
          <w:szCs w:val="21"/>
        </w:rPr>
      </w:pPr>
      <w:r>
        <w:rPr>
          <w:rFonts w:hint="eastAsia" w:ascii="宋体" w:hAnsi="宋体" w:cs="宋体"/>
          <w:kern w:val="0"/>
          <w:szCs w:val="21"/>
        </w:rPr>
        <w:t>价格分采用低价优先法计算，即满足招标文件要求且投标价格最低的投标报价为评标基准价，其价格分为满分。</w:t>
      </w:r>
    </w:p>
    <w:p w14:paraId="77789359">
      <w:pPr>
        <w:widowControl/>
        <w:spacing w:line="360" w:lineRule="auto"/>
        <w:ind w:firstLine="420"/>
        <w:jc w:val="left"/>
        <w:rPr>
          <w:rFonts w:ascii="宋体" w:hAnsi="宋体" w:cs="宋体"/>
          <w:kern w:val="0"/>
          <w:szCs w:val="21"/>
        </w:rPr>
      </w:pPr>
      <w:r>
        <w:rPr>
          <w:rFonts w:hint="eastAsia" w:ascii="宋体" w:hAnsi="宋体" w:cs="宋体"/>
          <w:kern w:val="0"/>
          <w:szCs w:val="21"/>
        </w:rPr>
        <w:t>评标总得分＝F1×A1＋F2×A2＋……＋Fn×An</w:t>
      </w:r>
    </w:p>
    <w:p w14:paraId="67B9B4C4">
      <w:pPr>
        <w:widowControl/>
        <w:spacing w:line="360" w:lineRule="auto"/>
        <w:ind w:firstLine="420"/>
        <w:jc w:val="left"/>
        <w:rPr>
          <w:rFonts w:ascii="宋体" w:hAnsi="宋体" w:cs="宋体"/>
          <w:kern w:val="0"/>
          <w:szCs w:val="21"/>
        </w:rPr>
      </w:pPr>
      <w:r>
        <w:rPr>
          <w:rFonts w:hint="eastAsia" w:ascii="宋体" w:hAnsi="宋体" w:cs="宋体"/>
          <w:kern w:val="0"/>
          <w:szCs w:val="21"/>
        </w:rPr>
        <w:t>F1、F2……Fn分别为各项评审因素的得分；</w:t>
      </w:r>
    </w:p>
    <w:p w14:paraId="5A58B1B9">
      <w:pPr>
        <w:widowControl/>
        <w:spacing w:line="360" w:lineRule="auto"/>
        <w:ind w:firstLine="420"/>
        <w:jc w:val="left"/>
        <w:rPr>
          <w:rFonts w:ascii="宋体" w:hAnsi="宋体" w:cs="宋体"/>
          <w:kern w:val="0"/>
          <w:szCs w:val="21"/>
        </w:rPr>
      </w:pPr>
      <w:r>
        <w:rPr>
          <w:rFonts w:hint="eastAsia" w:ascii="宋体" w:hAnsi="宋体" w:cs="宋体"/>
          <w:kern w:val="0"/>
          <w:szCs w:val="21"/>
        </w:rPr>
        <w:t>A1、A2、……An 分别为各项评审因素所占的权重(A1＋A2＋……＋An＝1)。</w:t>
      </w:r>
    </w:p>
    <w:p w14:paraId="17A6DCFA">
      <w:pPr>
        <w:widowControl/>
        <w:spacing w:line="360" w:lineRule="auto"/>
        <w:ind w:firstLine="420"/>
        <w:jc w:val="left"/>
        <w:rPr>
          <w:rFonts w:hint="eastAsia" w:ascii="宋体" w:hAnsi="宋体" w:cs="宋体"/>
          <w:kern w:val="0"/>
          <w:szCs w:val="21"/>
        </w:rPr>
      </w:pPr>
      <w:r>
        <w:rPr>
          <w:rFonts w:hint="eastAsia" w:ascii="宋体" w:hAnsi="宋体" w:cs="宋体"/>
          <w:kern w:val="0"/>
          <w:szCs w:val="21"/>
        </w:rPr>
        <w:t>因落实政府采购政策进行价格调整的，以调整后的价格计算评标基准价和投标报价。</w:t>
      </w:r>
    </w:p>
    <w:p w14:paraId="368ADC96">
      <w:pPr>
        <w:widowControl/>
        <w:shd w:val="clear" w:color="auto" w:fill="FFFFFF"/>
        <w:spacing w:line="360" w:lineRule="auto"/>
        <w:ind w:firstLine="420"/>
        <w:rPr>
          <w:rFonts w:hint="eastAsia" w:ascii="宋体" w:hAnsi="宋体" w:cs="宋体"/>
          <w:b/>
          <w:bCs/>
          <w:kern w:val="0"/>
          <w:szCs w:val="21"/>
        </w:rPr>
      </w:pPr>
      <w:r>
        <w:rPr>
          <w:rFonts w:hint="eastAsia" w:ascii="宋体" w:hAnsi="宋体" w:cs="宋体"/>
          <w:b/>
          <w:bCs/>
          <w:kern w:val="0"/>
          <w:szCs w:val="21"/>
        </w:rPr>
        <w:t>22.4 评标委员会启动异常低价投标审查的情形和具体要求</w:t>
      </w:r>
    </w:p>
    <w:p w14:paraId="083D2F1A">
      <w:pPr>
        <w:widowControl/>
        <w:shd w:val="clear" w:color="auto" w:fill="FFFFFF"/>
        <w:spacing w:line="360" w:lineRule="auto"/>
        <w:ind w:firstLine="420"/>
        <w:rPr>
          <w:rFonts w:hint="eastAsia" w:ascii="宋体" w:hAnsi="宋体" w:cs="宋体"/>
          <w:kern w:val="0"/>
          <w:szCs w:val="21"/>
        </w:rPr>
      </w:pPr>
      <w:r>
        <w:rPr>
          <w:rFonts w:hint="eastAsia" w:ascii="宋体" w:hAnsi="宋体" w:cs="宋体"/>
          <w:kern w:val="0"/>
          <w:szCs w:val="21"/>
        </w:rPr>
        <w:t xml:space="preserve">22.4.1评标过程中出现下列情形之一的，评标委员会应当启动异常低价投标审查程序： </w:t>
      </w:r>
    </w:p>
    <w:p w14:paraId="2E44AC4C">
      <w:pPr>
        <w:widowControl/>
        <w:shd w:val="clear" w:color="auto" w:fill="FFFFFF"/>
        <w:spacing w:line="360" w:lineRule="auto"/>
        <w:ind w:firstLine="420"/>
        <w:rPr>
          <w:rFonts w:hint="eastAsia" w:ascii="宋体" w:hAnsi="宋体" w:cs="宋体"/>
          <w:kern w:val="0"/>
          <w:szCs w:val="21"/>
        </w:rPr>
      </w:pPr>
      <w:r>
        <w:rPr>
          <w:rFonts w:hint="eastAsia" w:ascii="宋体" w:hAnsi="宋体" w:cs="宋体"/>
          <w:kern w:val="0"/>
          <w:szCs w:val="21"/>
        </w:rPr>
        <w:t xml:space="preserve">（1）投标报价低于招标项目预算50%的，即投标报价&lt;招标项目预算×50%； </w:t>
      </w:r>
    </w:p>
    <w:p w14:paraId="1B92ADC3">
      <w:pPr>
        <w:widowControl/>
        <w:shd w:val="clear" w:color="auto" w:fill="FFFFFF"/>
        <w:spacing w:line="360" w:lineRule="auto"/>
        <w:ind w:firstLine="420"/>
        <w:rPr>
          <w:rFonts w:hint="eastAsia" w:ascii="宋体" w:hAnsi="宋体" w:cs="宋体"/>
          <w:kern w:val="0"/>
          <w:szCs w:val="21"/>
        </w:rPr>
      </w:pPr>
      <w:r>
        <w:rPr>
          <w:rFonts w:hint="eastAsia" w:ascii="宋体" w:hAnsi="宋体" w:cs="宋体"/>
          <w:kern w:val="0"/>
          <w:szCs w:val="21"/>
        </w:rPr>
        <w:t xml:space="preserve">（2）投标报价低于招标项目最高限价45%的，即投标报价&lt;招标项目最高限价×45% ； </w:t>
      </w:r>
    </w:p>
    <w:p w14:paraId="6520D69F">
      <w:pPr>
        <w:widowControl/>
        <w:shd w:val="clear" w:color="auto" w:fill="FFFFFF"/>
        <w:spacing w:line="360" w:lineRule="auto"/>
        <w:ind w:firstLine="420"/>
        <w:rPr>
          <w:rFonts w:hint="eastAsia" w:ascii="宋体" w:hAnsi="宋体" w:cs="宋体"/>
          <w:kern w:val="0"/>
          <w:szCs w:val="21"/>
        </w:rPr>
      </w:pPr>
      <w:r>
        <w:rPr>
          <w:rFonts w:hint="eastAsia" w:ascii="宋体" w:hAnsi="宋体" w:cs="宋体"/>
          <w:kern w:val="0"/>
          <w:szCs w:val="21"/>
        </w:rPr>
        <w:t>（3）评标委员会认定的投标人报价过低、有可能影响产品质量或者不能诚信履约的其他情形。</w:t>
      </w:r>
    </w:p>
    <w:p w14:paraId="6607BDB5">
      <w:pPr>
        <w:widowControl/>
        <w:shd w:val="clear" w:color="auto" w:fill="FFFFFF"/>
        <w:spacing w:line="360" w:lineRule="auto"/>
        <w:ind w:firstLine="420"/>
        <w:rPr>
          <w:rFonts w:ascii="宋体" w:hAnsi="宋体" w:cs="宋体"/>
          <w:b/>
          <w:bCs/>
          <w:kern w:val="0"/>
          <w:szCs w:val="21"/>
        </w:rPr>
      </w:pPr>
      <w:r>
        <w:rPr>
          <w:rFonts w:hint="eastAsia" w:ascii="宋体" w:hAnsi="宋体" w:cs="宋体"/>
          <w:kern w:val="0"/>
          <w:szCs w:val="21"/>
        </w:rPr>
        <w:t>22.4.2 启动异常低价投标审查后，评标委员会应当要求相关投标人在评标现场合理的时间内，提供项目具体成本测算等与报价合理性相关的书面说明及相关证明材料，对投标价格作出解释，由评标委员会结合同类产品在主要电商平台的价格、该行业当地薪资水平等情况，依据专业经验对投标人报价合理性进行判断。</w:t>
      </w:r>
      <w:r>
        <w:rPr>
          <w:rFonts w:hint="eastAsia" w:ascii="宋体" w:hAnsi="宋体" w:cs="宋体"/>
          <w:b/>
          <w:bCs/>
          <w:kern w:val="0"/>
          <w:szCs w:val="21"/>
        </w:rPr>
        <w:t>投标人不提供书面说明、证明材料，或者提供的书面说明、证明材料不能证明其报价合理性的，评标委员会应当将其作为无效投标处理。审查相关情况应当在评审报告中进行记录。</w:t>
      </w:r>
    </w:p>
    <w:p w14:paraId="24A6C7FA">
      <w:pPr>
        <w:pStyle w:val="2"/>
      </w:pPr>
    </w:p>
    <w:p w14:paraId="77782355">
      <w:pPr>
        <w:widowControl/>
        <w:spacing w:line="360" w:lineRule="auto"/>
        <w:ind w:firstLine="420"/>
        <w:rPr>
          <w:rFonts w:ascii="宋体" w:hAnsi="宋体" w:cs="宋体"/>
          <w:b/>
          <w:kern w:val="0"/>
          <w:szCs w:val="21"/>
        </w:rPr>
      </w:pPr>
      <w:r>
        <w:rPr>
          <w:rFonts w:hint="eastAsia" w:ascii="宋体" w:hAnsi="宋体" w:cs="宋体"/>
          <w:b/>
          <w:bCs/>
          <w:kern w:val="0"/>
          <w:szCs w:val="21"/>
        </w:rPr>
        <w:t>23、</w:t>
      </w:r>
      <w:r>
        <w:rPr>
          <w:rFonts w:hint="eastAsia" w:ascii="宋体" w:hAnsi="宋体" w:cs="宋体"/>
          <w:b/>
          <w:kern w:val="0"/>
          <w:szCs w:val="21"/>
        </w:rPr>
        <w:t>确定中标人</w:t>
      </w:r>
    </w:p>
    <w:p w14:paraId="56F05CC7">
      <w:pPr>
        <w:widowControl/>
        <w:spacing w:line="360" w:lineRule="auto"/>
        <w:ind w:firstLine="420"/>
        <w:rPr>
          <w:rFonts w:ascii="宋体" w:hAnsi="宋体" w:cs="宋体"/>
          <w:kern w:val="0"/>
          <w:szCs w:val="21"/>
        </w:rPr>
      </w:pPr>
      <w:r>
        <w:rPr>
          <w:rFonts w:hint="eastAsia" w:ascii="宋体" w:hAnsi="宋体" w:cs="宋体"/>
          <w:kern w:val="0"/>
          <w:szCs w:val="21"/>
        </w:rPr>
        <w:t>23.1 采用最低评标价法的，评标结果按投标报价由低到高顺序排列。投标报价相同的并列。投标文件满足招标文件全部实质性要求且投标报价最低的投标人为排名第一的中标候选人。（本项目不适用）</w:t>
      </w:r>
    </w:p>
    <w:p w14:paraId="5E242385">
      <w:pPr>
        <w:widowControl/>
        <w:spacing w:line="360" w:lineRule="auto"/>
        <w:ind w:firstLine="420"/>
        <w:rPr>
          <w:rFonts w:ascii="宋体" w:hAnsi="宋体" w:cs="宋体"/>
          <w:kern w:val="0"/>
          <w:szCs w:val="21"/>
        </w:rPr>
      </w:pPr>
      <w:r>
        <w:rPr>
          <w:rFonts w:hint="eastAsia" w:ascii="宋体" w:hAnsi="宋体" w:cs="宋体"/>
          <w:kern w:val="0"/>
          <w:szCs w:val="21"/>
        </w:rPr>
        <w:t>23.2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B738E5E">
      <w:pPr>
        <w:widowControl/>
        <w:spacing w:line="360" w:lineRule="auto"/>
        <w:ind w:firstLine="420"/>
        <w:rPr>
          <w:rFonts w:ascii="宋体" w:hAnsi="宋体" w:cs="宋体"/>
          <w:kern w:val="0"/>
          <w:szCs w:val="21"/>
        </w:rPr>
      </w:pPr>
      <w:r>
        <w:rPr>
          <w:rFonts w:hint="eastAsia" w:ascii="宋体" w:hAnsi="宋体" w:cs="宋体"/>
          <w:kern w:val="0"/>
          <w:szCs w:val="21"/>
        </w:rPr>
        <w:t>23.3 中标人确定后，在 南京公共采购信息网 网站上公告中标结果，中标公告期为1个工作日，公告的同时向中标人发出中标通知书。</w:t>
      </w:r>
    </w:p>
    <w:p w14:paraId="0B2978F4">
      <w:pPr>
        <w:widowControl/>
        <w:spacing w:line="360" w:lineRule="auto"/>
        <w:ind w:firstLine="420"/>
        <w:rPr>
          <w:rFonts w:ascii="宋体" w:hAnsi="宋体" w:cs="宋体"/>
          <w:b/>
          <w:kern w:val="0"/>
          <w:szCs w:val="21"/>
        </w:rPr>
      </w:pPr>
      <w:r>
        <w:rPr>
          <w:rFonts w:hint="eastAsia" w:ascii="宋体" w:hAnsi="宋体" w:cs="宋体"/>
          <w:b/>
          <w:bCs/>
          <w:kern w:val="0"/>
          <w:szCs w:val="21"/>
        </w:rPr>
        <w:t>23.4 中标通知书对采购人和中标人具有同等法律效力。中标通知书发出后，采购人不得</w:t>
      </w:r>
      <w:r>
        <w:rPr>
          <w:rFonts w:hint="eastAsia" w:ascii="宋体" w:hAnsi="宋体" w:cs="宋体"/>
          <w:b/>
          <w:kern w:val="0"/>
          <w:szCs w:val="21"/>
        </w:rPr>
        <w:t>违法改变中标结果，中标人无正当理由不得放弃中标。</w:t>
      </w:r>
    </w:p>
    <w:p w14:paraId="5111E315">
      <w:pPr>
        <w:widowControl/>
        <w:spacing w:line="360" w:lineRule="auto"/>
        <w:ind w:firstLine="420"/>
        <w:rPr>
          <w:rFonts w:ascii="宋体" w:hAnsi="宋体" w:cs="宋体"/>
          <w:kern w:val="0"/>
          <w:szCs w:val="21"/>
        </w:rPr>
      </w:pPr>
      <w:r>
        <w:rPr>
          <w:rFonts w:hint="eastAsia" w:ascii="宋体" w:hAnsi="宋体" w:cs="宋体"/>
          <w:kern w:val="0"/>
          <w:szCs w:val="21"/>
        </w:rPr>
        <w:t>23.5 所有投标文件不论中标与否，均不退回。</w:t>
      </w:r>
    </w:p>
    <w:p w14:paraId="3641908B">
      <w:pPr>
        <w:widowControl/>
        <w:spacing w:line="360" w:lineRule="auto"/>
        <w:ind w:firstLine="412"/>
        <w:rPr>
          <w:rFonts w:ascii="宋体" w:hAnsi="宋体" w:cs="宋体"/>
          <w:kern w:val="0"/>
          <w:szCs w:val="21"/>
        </w:rPr>
      </w:pPr>
      <w:r>
        <w:rPr>
          <w:rFonts w:hint="eastAsia" w:ascii="宋体" w:hAnsi="宋体" w:cs="宋体"/>
          <w:b/>
          <w:bCs/>
          <w:kern w:val="0"/>
          <w:szCs w:val="21"/>
        </w:rPr>
        <w:t>24、编写评标报告</w:t>
      </w:r>
    </w:p>
    <w:p w14:paraId="0C52FE43">
      <w:pPr>
        <w:widowControl/>
        <w:spacing w:line="360" w:lineRule="auto"/>
        <w:ind w:firstLine="420"/>
        <w:rPr>
          <w:rFonts w:ascii="宋体" w:hAnsi="宋体" w:cs="宋体"/>
          <w:kern w:val="0"/>
          <w:szCs w:val="21"/>
        </w:rPr>
      </w:pPr>
      <w:r>
        <w:rPr>
          <w:rFonts w:hint="eastAsia" w:ascii="宋体" w:hAnsi="宋体" w:cs="宋体"/>
          <w:kern w:val="0"/>
          <w:szCs w:val="21"/>
        </w:rPr>
        <w:t>24.1评标委员会根据全体评标成员签字的原始评标记录和评标结果编写评标报告。</w:t>
      </w:r>
    </w:p>
    <w:p w14:paraId="66F11B0B">
      <w:pPr>
        <w:widowControl/>
        <w:spacing w:line="360" w:lineRule="auto"/>
        <w:ind w:firstLine="420"/>
        <w:rPr>
          <w:rFonts w:ascii="宋体" w:hAnsi="宋体" w:cs="宋体"/>
          <w:kern w:val="0"/>
          <w:szCs w:val="21"/>
        </w:rPr>
      </w:pPr>
      <w:r>
        <w:rPr>
          <w:rFonts w:hint="eastAsia" w:ascii="宋体" w:hAnsi="宋体" w:cs="宋体"/>
          <w:b/>
          <w:bCs/>
          <w:kern w:val="0"/>
          <w:szCs w:val="21"/>
        </w:rPr>
        <w:t>25、评标过程的保密性</w:t>
      </w:r>
    </w:p>
    <w:p w14:paraId="4AA75282">
      <w:pPr>
        <w:widowControl/>
        <w:spacing w:line="360" w:lineRule="auto"/>
        <w:ind w:firstLine="420"/>
        <w:rPr>
          <w:rFonts w:ascii="宋体" w:hAnsi="宋体" w:cs="宋体"/>
          <w:kern w:val="0"/>
          <w:szCs w:val="21"/>
        </w:rPr>
      </w:pPr>
      <w:r>
        <w:rPr>
          <w:rFonts w:hint="eastAsia" w:ascii="宋体" w:hAnsi="宋体" w:cs="宋体"/>
          <w:kern w:val="0"/>
          <w:szCs w:val="21"/>
        </w:rPr>
        <w:t>25.1 采购人和采购代理机构将采取必要措施，保证评标在严格保密的情况下进行。</w:t>
      </w:r>
    </w:p>
    <w:p w14:paraId="10151315">
      <w:pPr>
        <w:widowControl/>
        <w:spacing w:line="360" w:lineRule="auto"/>
        <w:ind w:firstLine="420"/>
        <w:rPr>
          <w:rFonts w:ascii="宋体" w:hAnsi="宋体" w:cs="宋体"/>
          <w:kern w:val="0"/>
          <w:szCs w:val="21"/>
        </w:rPr>
      </w:pPr>
      <w:r>
        <w:rPr>
          <w:rFonts w:hint="eastAsia" w:ascii="宋体" w:hAnsi="宋体" w:cs="宋体"/>
          <w:kern w:val="0"/>
          <w:szCs w:val="21"/>
        </w:rPr>
        <w:t>25.2 任何单位和个人不得非法干预、影响评标办法的确定，以及评标过程和结果。</w:t>
      </w:r>
    </w:p>
    <w:p w14:paraId="1389B58B">
      <w:pPr>
        <w:widowControl/>
        <w:spacing w:line="360" w:lineRule="auto"/>
        <w:ind w:firstLine="420"/>
        <w:rPr>
          <w:rFonts w:ascii="宋体" w:hAnsi="宋体" w:cs="宋体"/>
          <w:kern w:val="0"/>
          <w:szCs w:val="21"/>
        </w:rPr>
      </w:pPr>
      <w:r>
        <w:rPr>
          <w:rFonts w:hint="eastAsia" w:ascii="宋体" w:hAnsi="宋体" w:cs="宋体"/>
          <w:kern w:val="0"/>
          <w:szCs w:val="21"/>
        </w:rPr>
        <w:t>25.3 凡是与审查、澄清、评价和比较投标的有关资料等，均不向投标人及与评标无关的其他人员透露。</w:t>
      </w:r>
    </w:p>
    <w:p w14:paraId="25064FB8">
      <w:pPr>
        <w:widowControl/>
        <w:spacing w:line="360" w:lineRule="auto"/>
        <w:ind w:firstLine="420"/>
        <w:rPr>
          <w:rFonts w:ascii="宋体" w:hAnsi="宋体" w:cs="宋体"/>
          <w:kern w:val="0"/>
          <w:szCs w:val="21"/>
        </w:rPr>
      </w:pPr>
      <w:r>
        <w:rPr>
          <w:rFonts w:hint="eastAsia" w:ascii="宋体" w:hAnsi="宋体" w:cs="宋体"/>
          <w:b/>
          <w:bCs/>
          <w:kern w:val="0"/>
          <w:szCs w:val="21"/>
        </w:rPr>
        <w:t>六、签订合同</w:t>
      </w:r>
    </w:p>
    <w:p w14:paraId="7E2CFE7C">
      <w:pPr>
        <w:widowControl/>
        <w:spacing w:line="360" w:lineRule="auto"/>
        <w:ind w:firstLine="420"/>
        <w:rPr>
          <w:rFonts w:ascii="宋体" w:hAnsi="宋体" w:cs="宋体"/>
          <w:kern w:val="0"/>
          <w:szCs w:val="21"/>
        </w:rPr>
      </w:pPr>
      <w:r>
        <w:rPr>
          <w:rFonts w:hint="eastAsia" w:ascii="宋体" w:hAnsi="宋体" w:cs="宋体"/>
          <w:b/>
          <w:bCs/>
          <w:kern w:val="0"/>
          <w:szCs w:val="21"/>
        </w:rPr>
        <w:t>26、签订合同</w:t>
      </w:r>
    </w:p>
    <w:p w14:paraId="1F2BE78A">
      <w:pPr>
        <w:widowControl/>
        <w:spacing w:line="360" w:lineRule="auto"/>
        <w:ind w:firstLine="420"/>
        <w:rPr>
          <w:rFonts w:ascii="宋体" w:hAnsi="宋体" w:cs="宋体"/>
          <w:kern w:val="0"/>
          <w:szCs w:val="21"/>
        </w:rPr>
      </w:pPr>
      <w:r>
        <w:rPr>
          <w:rFonts w:hint="eastAsia" w:ascii="宋体" w:hAnsi="宋体" w:cs="宋体"/>
          <w:kern w:val="0"/>
          <w:szCs w:val="21"/>
        </w:rPr>
        <w:t>26.1采购人与中标人应当自中标通知书发出之日起30日内，按照招标文件和中标人投标文件的规定，签订书面合同。所签订的合同不得对招标文件确定的事项和中标人投标文件作实质性修改。</w:t>
      </w:r>
    </w:p>
    <w:p w14:paraId="725E62C9">
      <w:pPr>
        <w:widowControl/>
        <w:spacing w:line="360" w:lineRule="auto"/>
        <w:ind w:firstLine="420"/>
        <w:rPr>
          <w:rFonts w:ascii="宋体" w:hAnsi="宋体" w:cs="宋体"/>
          <w:b/>
          <w:bCs/>
          <w:szCs w:val="21"/>
        </w:rPr>
      </w:pPr>
      <w:r>
        <w:rPr>
          <w:rFonts w:hint="eastAsia" w:ascii="宋体" w:hAnsi="宋体" w:cs="宋体"/>
          <w:b/>
          <w:kern w:val="0"/>
          <w:szCs w:val="21"/>
        </w:rPr>
        <w:t>26.2</w:t>
      </w:r>
      <w:r>
        <w:rPr>
          <w:rFonts w:hint="eastAsia" w:ascii="宋体" w:hAnsi="宋体" w:cs="宋体"/>
          <w:szCs w:val="21"/>
        </w:rPr>
        <w:t>除继续履行将损害国家利益和社会公众利益的，政府采购合同的双方当事人不得擅自变更、中止或者终止合同。</w:t>
      </w:r>
      <w:r>
        <w:rPr>
          <w:rFonts w:hint="eastAsia" w:ascii="宋体" w:hAnsi="宋体" w:cs="宋体"/>
          <w:b/>
          <w:bCs/>
          <w:szCs w:val="21"/>
        </w:rPr>
        <w:t>放弃或拒绝签订合同的，中标人不得参加对该项目重新开展的采购活动，投标保证金不予退还</w:t>
      </w:r>
      <w:r>
        <w:rPr>
          <w:rFonts w:hint="eastAsia" w:ascii="宋体" w:hAnsi="宋体" w:cs="宋体"/>
          <w:b/>
          <w:bCs/>
          <w:kern w:val="0"/>
          <w:szCs w:val="21"/>
        </w:rPr>
        <w:t>，不收取投标保证金的项目，中标人应向采购人支付采购人为招标所发生的相关费用，</w:t>
      </w:r>
      <w:r>
        <w:rPr>
          <w:rFonts w:hint="eastAsia" w:ascii="宋体" w:hAnsi="宋体" w:cs="宋体"/>
          <w:b/>
          <w:bCs/>
          <w:szCs w:val="21"/>
        </w:rPr>
        <w:t>由财政部门列入不良行为记录名单，在一至三年内禁止参加政府采购活动，并予以通报。</w:t>
      </w:r>
    </w:p>
    <w:p w14:paraId="2A00A811">
      <w:pPr>
        <w:widowControl/>
        <w:spacing w:line="360" w:lineRule="auto"/>
        <w:ind w:firstLine="420"/>
        <w:rPr>
          <w:rFonts w:ascii="宋体" w:hAnsi="宋体" w:cs="宋体"/>
          <w:kern w:val="0"/>
          <w:szCs w:val="21"/>
        </w:rPr>
      </w:pPr>
      <w:r>
        <w:rPr>
          <w:rFonts w:hint="eastAsia" w:ascii="宋体" w:hAnsi="宋体" w:cs="宋体"/>
          <w:kern w:val="0"/>
          <w:szCs w:val="21"/>
        </w:rPr>
        <w:t>26.3采购人不得向中标人提出任何不合理的要求作为签订合同的条件。</w:t>
      </w:r>
    </w:p>
    <w:p w14:paraId="763C4F24">
      <w:pPr>
        <w:widowControl/>
        <w:spacing w:line="360" w:lineRule="auto"/>
        <w:ind w:firstLine="420"/>
        <w:rPr>
          <w:rFonts w:ascii="宋体" w:hAnsi="宋体" w:cs="宋体"/>
          <w:kern w:val="0"/>
          <w:szCs w:val="21"/>
        </w:rPr>
      </w:pPr>
      <w:r>
        <w:rPr>
          <w:rFonts w:hint="eastAsia" w:ascii="宋体" w:hAnsi="宋体" w:cs="宋体"/>
          <w:kern w:val="0"/>
          <w:szCs w:val="21"/>
        </w:rPr>
        <w:t>26.4中标人拒绝与采购人签订合同的，采购人可以按照评审报告推荐的中标或者成交候选人名单排序，确定下一候选人为中标或者成交供应商，也可以重新开展政府采购活动。</w:t>
      </w:r>
    </w:p>
    <w:p w14:paraId="02B51669">
      <w:pPr>
        <w:widowControl/>
        <w:spacing w:line="360" w:lineRule="auto"/>
        <w:ind w:firstLine="420"/>
        <w:rPr>
          <w:rFonts w:ascii="宋体" w:hAnsi="宋体" w:cs="宋体"/>
          <w:kern w:val="0"/>
          <w:szCs w:val="21"/>
        </w:rPr>
      </w:pPr>
      <w:r>
        <w:rPr>
          <w:rFonts w:hint="eastAsia" w:ascii="宋体" w:hAnsi="宋体" w:cs="宋体"/>
          <w:kern w:val="0"/>
          <w:szCs w:val="21"/>
        </w:rPr>
        <w:t>26.5 政府采购合同履行中，采购人需追加与合同标的相同的货物或者服务的，在不改变合同其他条款的前提下，可以与供应商协商签订补充合同，但所有补充合同的采购金额不得超过原合同采购金额的百分之十。</w:t>
      </w:r>
    </w:p>
    <w:p w14:paraId="78297735">
      <w:pPr>
        <w:widowControl/>
        <w:spacing w:line="360" w:lineRule="auto"/>
        <w:ind w:firstLine="420"/>
        <w:rPr>
          <w:rFonts w:ascii="宋体" w:hAnsi="宋体" w:cs="宋体"/>
          <w:kern w:val="0"/>
          <w:szCs w:val="21"/>
        </w:rPr>
      </w:pPr>
      <w:r>
        <w:rPr>
          <w:rFonts w:hint="eastAsia" w:ascii="宋体" w:hAnsi="宋体" w:cs="宋体"/>
          <w:kern w:val="0"/>
          <w:szCs w:val="21"/>
        </w:rPr>
        <w:t>26.6 采购人与中标人应当根据合同的约定依法履行合同义务。</w:t>
      </w:r>
    </w:p>
    <w:p w14:paraId="69CF2DE1">
      <w:pPr>
        <w:widowControl/>
        <w:spacing w:line="360" w:lineRule="auto"/>
        <w:ind w:firstLine="420"/>
        <w:rPr>
          <w:rFonts w:ascii="宋体" w:hAnsi="宋体" w:cs="宋体"/>
          <w:kern w:val="0"/>
          <w:szCs w:val="21"/>
        </w:rPr>
      </w:pPr>
      <w:r>
        <w:rPr>
          <w:rFonts w:hint="eastAsia" w:ascii="宋体" w:hAnsi="宋体" w:cs="宋体"/>
          <w:b/>
          <w:bCs/>
          <w:kern w:val="0"/>
          <w:szCs w:val="21"/>
        </w:rPr>
        <w:t>七、质疑和投诉</w:t>
      </w:r>
    </w:p>
    <w:p w14:paraId="4C200ACC">
      <w:pPr>
        <w:widowControl/>
        <w:spacing w:line="360" w:lineRule="auto"/>
        <w:ind w:firstLine="420"/>
        <w:rPr>
          <w:rFonts w:ascii="宋体" w:hAnsi="宋体" w:cs="宋体"/>
          <w:kern w:val="0"/>
          <w:szCs w:val="21"/>
        </w:rPr>
      </w:pPr>
      <w:r>
        <w:rPr>
          <w:rFonts w:hint="eastAsia" w:ascii="宋体" w:hAnsi="宋体" w:cs="宋体"/>
          <w:b/>
          <w:bCs/>
          <w:kern w:val="0"/>
          <w:szCs w:val="21"/>
        </w:rPr>
        <w:t>27、质疑</w:t>
      </w:r>
    </w:p>
    <w:p w14:paraId="044B09D5">
      <w:pPr>
        <w:widowControl/>
        <w:spacing w:line="360" w:lineRule="auto"/>
        <w:ind w:firstLine="420"/>
        <w:rPr>
          <w:rFonts w:ascii="宋体" w:hAnsi="宋体" w:cs="宋体"/>
          <w:kern w:val="0"/>
          <w:szCs w:val="21"/>
        </w:rPr>
      </w:pPr>
      <w:r>
        <w:rPr>
          <w:rFonts w:hint="eastAsia" w:ascii="宋体" w:hAnsi="宋体" w:cs="宋体"/>
          <w:kern w:val="0"/>
          <w:szCs w:val="21"/>
        </w:rPr>
        <w:t>27.1供应商对招标活动事项有疑问的，可以向采购代理机构提出询问，采购代理机构将依法作出答复，但答复的内容不涉及商业秘密</w:t>
      </w:r>
      <w:r>
        <w:rPr>
          <w:rFonts w:hint="eastAsia" w:ascii="宋体" w:hAnsi="宋体" w:cs="宋体"/>
          <w:b/>
          <w:bCs/>
          <w:kern w:val="0"/>
          <w:szCs w:val="21"/>
        </w:rPr>
        <w:t>。</w:t>
      </w:r>
    </w:p>
    <w:p w14:paraId="4DC4DC10">
      <w:pPr>
        <w:widowControl/>
        <w:spacing w:line="360" w:lineRule="auto"/>
        <w:ind w:firstLine="420"/>
        <w:rPr>
          <w:rFonts w:ascii="宋体" w:hAnsi="宋体" w:cs="宋体"/>
          <w:kern w:val="0"/>
          <w:szCs w:val="21"/>
        </w:rPr>
      </w:pPr>
      <w:r>
        <w:rPr>
          <w:rFonts w:hint="eastAsia" w:ascii="宋体" w:hAnsi="宋体" w:cs="宋体"/>
          <w:kern w:val="0"/>
          <w:szCs w:val="21"/>
        </w:rPr>
        <w:t>27.2提出质疑的供应商应当是参与所质疑项目采购活动的供应商。潜在供应商已依法获取其可质疑的采购文件的，可以对该文件提出质疑。</w:t>
      </w:r>
    </w:p>
    <w:p w14:paraId="143B27AF">
      <w:pPr>
        <w:widowControl/>
        <w:spacing w:line="360" w:lineRule="auto"/>
        <w:ind w:firstLine="420"/>
        <w:rPr>
          <w:rFonts w:ascii="宋体" w:hAnsi="宋体" w:cs="宋体"/>
          <w:kern w:val="0"/>
          <w:szCs w:val="21"/>
        </w:rPr>
      </w:pPr>
      <w:r>
        <w:rPr>
          <w:rFonts w:hint="eastAsia" w:ascii="宋体" w:hAnsi="宋体" w:cs="宋体"/>
          <w:szCs w:val="21"/>
        </w:rPr>
        <w:t>以联合体形式参加政府采购活动的，其质疑应当由组成联合体的所有供应商共同提出。</w:t>
      </w:r>
    </w:p>
    <w:p w14:paraId="3C6E1E32">
      <w:pPr>
        <w:widowControl/>
        <w:spacing w:line="360" w:lineRule="auto"/>
        <w:ind w:firstLine="420"/>
        <w:rPr>
          <w:rFonts w:ascii="宋体" w:hAnsi="宋体" w:cs="宋体"/>
          <w:kern w:val="0"/>
          <w:szCs w:val="21"/>
        </w:rPr>
      </w:pPr>
      <w:r>
        <w:rPr>
          <w:rFonts w:hint="eastAsia" w:ascii="宋体" w:hAnsi="宋体" w:cs="宋体"/>
          <w:kern w:val="0"/>
          <w:szCs w:val="21"/>
        </w:rPr>
        <w:t>27.3供应商认为采购文件、采购过程和中标结果使自己的合法权益受到损害的，可以在知道或者应知其权益受到损害之日起七个工作日内，将质疑文件原件送达采购人或采购代理机构。</w:t>
      </w:r>
    </w:p>
    <w:p w14:paraId="678931CA">
      <w:pPr>
        <w:widowControl/>
        <w:spacing w:line="360" w:lineRule="auto"/>
        <w:ind w:firstLine="420"/>
        <w:rPr>
          <w:rFonts w:ascii="宋体" w:hAnsi="宋体" w:cs="宋体"/>
          <w:kern w:val="0"/>
          <w:szCs w:val="21"/>
        </w:rPr>
      </w:pPr>
      <w:r>
        <w:rPr>
          <w:rFonts w:hint="eastAsia" w:ascii="宋体" w:hAnsi="宋体" w:cs="宋体"/>
          <w:kern w:val="0"/>
          <w:szCs w:val="21"/>
        </w:rPr>
        <w:t>供应商应知其权益受到损害之日，是指：对采购文件提出质疑的，应当在获取采购文件或者采购文件公告期限届满之日起七个工作日内提出；对采购过程提出质疑的，为各采购程序环节结束之日；对中标或者成交结果提出质疑的，为中标或者成交结果公告期限届满之日。</w:t>
      </w:r>
    </w:p>
    <w:p w14:paraId="1547F31E">
      <w:pPr>
        <w:widowControl/>
        <w:spacing w:line="360" w:lineRule="auto"/>
        <w:ind w:firstLine="420"/>
        <w:rPr>
          <w:rFonts w:ascii="宋体" w:hAnsi="宋体" w:cs="宋体"/>
          <w:b/>
          <w:bCs/>
          <w:kern w:val="0"/>
          <w:szCs w:val="21"/>
        </w:rPr>
      </w:pPr>
      <w:r>
        <w:rPr>
          <w:rFonts w:hint="eastAsia" w:ascii="宋体" w:hAnsi="宋体" w:cs="宋体"/>
          <w:b/>
          <w:bCs/>
        </w:rPr>
        <w:t>供应商必须在法定质疑期内一次性提出针对同一采购程序环节的质疑。</w:t>
      </w:r>
    </w:p>
    <w:p w14:paraId="04468C7C">
      <w:pPr>
        <w:widowControl/>
        <w:spacing w:line="360" w:lineRule="auto"/>
        <w:ind w:firstLine="420"/>
        <w:rPr>
          <w:rFonts w:ascii="宋体" w:hAnsi="宋体" w:cs="宋体"/>
          <w:kern w:val="0"/>
          <w:szCs w:val="21"/>
        </w:rPr>
      </w:pPr>
      <w:r>
        <w:rPr>
          <w:rFonts w:hint="eastAsia" w:ascii="宋体" w:hAnsi="宋体" w:cs="宋体"/>
          <w:kern w:val="0"/>
          <w:szCs w:val="21"/>
        </w:rPr>
        <w:t>27.4 供应商提出质疑应当提交质疑函和必要的证明材料。质疑函应当包括下列内容：</w:t>
      </w:r>
    </w:p>
    <w:p w14:paraId="21882892">
      <w:pPr>
        <w:widowControl/>
        <w:spacing w:line="360" w:lineRule="auto"/>
        <w:ind w:firstLine="420"/>
        <w:rPr>
          <w:rFonts w:ascii="宋体" w:hAnsi="宋体" w:cs="宋体"/>
          <w:kern w:val="0"/>
          <w:szCs w:val="21"/>
        </w:rPr>
      </w:pPr>
      <w:r>
        <w:rPr>
          <w:rFonts w:hint="eastAsia" w:ascii="宋体" w:hAnsi="宋体" w:cs="宋体"/>
          <w:kern w:val="0"/>
          <w:szCs w:val="21"/>
        </w:rPr>
        <w:t>（一）供应商的姓名或者名称、地址、邮编、联系人及联系电话；</w:t>
      </w:r>
    </w:p>
    <w:p w14:paraId="7F89335D">
      <w:pPr>
        <w:widowControl/>
        <w:spacing w:line="360" w:lineRule="auto"/>
        <w:ind w:firstLine="420"/>
        <w:rPr>
          <w:rFonts w:ascii="宋体" w:hAnsi="宋体" w:cs="宋体"/>
          <w:kern w:val="0"/>
          <w:szCs w:val="21"/>
        </w:rPr>
      </w:pPr>
      <w:r>
        <w:rPr>
          <w:rFonts w:hint="eastAsia" w:ascii="宋体" w:hAnsi="宋体" w:cs="宋体"/>
          <w:kern w:val="0"/>
          <w:szCs w:val="21"/>
        </w:rPr>
        <w:t>（二）质疑项目的名称、编号；</w:t>
      </w:r>
    </w:p>
    <w:p w14:paraId="4D847E2E">
      <w:pPr>
        <w:widowControl/>
        <w:spacing w:line="360" w:lineRule="auto"/>
        <w:ind w:firstLine="420"/>
        <w:rPr>
          <w:rFonts w:ascii="宋体" w:hAnsi="宋体" w:cs="宋体"/>
          <w:kern w:val="0"/>
          <w:szCs w:val="21"/>
        </w:rPr>
      </w:pPr>
      <w:r>
        <w:rPr>
          <w:rFonts w:hint="eastAsia" w:ascii="宋体" w:hAnsi="宋体" w:cs="宋体"/>
          <w:kern w:val="0"/>
          <w:szCs w:val="21"/>
        </w:rPr>
        <w:t>（三）具体、明确的质疑事项和与质疑事项相关的请求（具体条款）；</w:t>
      </w:r>
    </w:p>
    <w:p w14:paraId="6EE98D3D">
      <w:pPr>
        <w:widowControl/>
        <w:spacing w:line="360" w:lineRule="auto"/>
        <w:ind w:firstLine="420"/>
        <w:rPr>
          <w:rFonts w:ascii="宋体" w:hAnsi="宋体" w:cs="宋体"/>
          <w:kern w:val="0"/>
          <w:szCs w:val="21"/>
        </w:rPr>
      </w:pPr>
      <w:r>
        <w:rPr>
          <w:rFonts w:hint="eastAsia" w:ascii="宋体" w:hAnsi="宋体" w:cs="宋体"/>
          <w:kern w:val="0"/>
          <w:szCs w:val="21"/>
        </w:rPr>
        <w:t>（四）事实依据（具体条款）；</w:t>
      </w:r>
    </w:p>
    <w:p w14:paraId="10DC57E5">
      <w:pPr>
        <w:widowControl/>
        <w:spacing w:line="360" w:lineRule="auto"/>
        <w:ind w:firstLine="420"/>
        <w:rPr>
          <w:rFonts w:ascii="宋体" w:hAnsi="宋体" w:cs="宋体"/>
          <w:kern w:val="0"/>
          <w:szCs w:val="21"/>
        </w:rPr>
      </w:pPr>
      <w:r>
        <w:rPr>
          <w:rFonts w:hint="eastAsia" w:ascii="宋体" w:hAnsi="宋体" w:cs="宋体"/>
          <w:kern w:val="0"/>
          <w:szCs w:val="21"/>
        </w:rPr>
        <w:t>（五）必要的法律依据（具体条款）；</w:t>
      </w:r>
    </w:p>
    <w:p w14:paraId="7024B40C">
      <w:pPr>
        <w:widowControl/>
        <w:spacing w:line="360" w:lineRule="auto"/>
        <w:ind w:firstLine="420"/>
        <w:rPr>
          <w:rFonts w:ascii="宋体" w:hAnsi="宋体" w:cs="宋体"/>
          <w:kern w:val="0"/>
          <w:szCs w:val="21"/>
        </w:rPr>
      </w:pPr>
      <w:r>
        <w:rPr>
          <w:rFonts w:hint="eastAsia" w:ascii="宋体" w:hAnsi="宋体" w:cs="宋体"/>
          <w:kern w:val="0"/>
          <w:szCs w:val="21"/>
        </w:rPr>
        <w:t>（六）提出质疑的日期。</w:t>
      </w:r>
    </w:p>
    <w:p w14:paraId="4B1C119E">
      <w:pPr>
        <w:widowControl/>
        <w:spacing w:line="360" w:lineRule="auto"/>
        <w:ind w:firstLine="420"/>
        <w:rPr>
          <w:rFonts w:ascii="宋体" w:hAnsi="宋体" w:cs="宋体"/>
          <w:szCs w:val="21"/>
        </w:rPr>
      </w:pPr>
      <w:r>
        <w:rPr>
          <w:rFonts w:hint="eastAsia" w:ascii="宋体" w:hAnsi="宋体" w:cs="宋体"/>
          <w:szCs w:val="21"/>
        </w:rPr>
        <w:t>供应商为自然人的，应当由本人签字；供应商为法人或者其他组织的，应当由法定代表人、主要负责人，或者其授权代表签字或者盖章，并加盖公章。代理人提出质疑和投诉，应当提交供应商签署的授权委托书。其授权委托书应当载明代理人的姓名或者名称、代理事项、具体权限、期限和相关事项。</w:t>
      </w:r>
    </w:p>
    <w:p w14:paraId="0EDCAB8D">
      <w:pPr>
        <w:widowControl/>
        <w:spacing w:line="360" w:lineRule="auto"/>
        <w:ind w:firstLine="420"/>
        <w:rPr>
          <w:rFonts w:ascii="宋体" w:hAnsi="宋体" w:cs="宋体"/>
          <w:szCs w:val="21"/>
        </w:rPr>
      </w:pPr>
      <w:r>
        <w:rPr>
          <w:rFonts w:hint="eastAsia" w:ascii="宋体" w:hAnsi="宋体" w:cs="宋体"/>
          <w:szCs w:val="21"/>
        </w:rPr>
        <w:t>质疑函应当使用中文。相关当事人提供外文书证或者外国语视听资料的，应当附有中文译本，由翻译机构盖章或者翻译人员签名。</w:t>
      </w:r>
    </w:p>
    <w:p w14:paraId="42ADE8D5">
      <w:pPr>
        <w:widowControl/>
        <w:spacing w:line="360" w:lineRule="auto"/>
        <w:ind w:firstLine="420"/>
        <w:rPr>
          <w:rFonts w:ascii="宋体" w:hAnsi="宋体" w:cs="宋体"/>
          <w:kern w:val="0"/>
          <w:szCs w:val="21"/>
        </w:rPr>
      </w:pPr>
      <w:r>
        <w:rPr>
          <w:rFonts w:hint="eastAsia" w:ascii="宋体" w:hAnsi="宋体" w:cs="宋体"/>
          <w:kern w:val="0"/>
          <w:szCs w:val="21"/>
        </w:rPr>
        <w:t>27.5质疑函应当现场提交至采购代理机构联系人处，提交时应出示有效身份证明。未按上述要求提交质疑函的，质疑不予受理。</w:t>
      </w:r>
    </w:p>
    <w:p w14:paraId="24CA1E74">
      <w:pPr>
        <w:widowControl/>
        <w:spacing w:line="360" w:lineRule="auto"/>
        <w:ind w:firstLine="420"/>
        <w:rPr>
          <w:rFonts w:ascii="宋体" w:hAnsi="宋体" w:cs="宋体"/>
          <w:kern w:val="0"/>
          <w:szCs w:val="21"/>
        </w:rPr>
      </w:pPr>
      <w:r>
        <w:rPr>
          <w:rFonts w:hint="eastAsia" w:ascii="宋体" w:hAnsi="宋体" w:cs="宋体"/>
          <w:kern w:val="0"/>
          <w:szCs w:val="21"/>
        </w:rPr>
        <w:t>27.6 投标人不得虚假质疑和恶意质疑，并对质疑内容的真实性承担责任。投标人或者其他利害关系人通过捏造事实、伪造证明材料等方式提出异议或投诉，阻碍招投标活动正常进行的，属于严重不良行为，代理机构将提请财政部门将其列入不良行为记录名单，并依法予以处罚。</w:t>
      </w:r>
    </w:p>
    <w:p w14:paraId="78FF1144">
      <w:pPr>
        <w:widowControl/>
        <w:spacing w:line="360" w:lineRule="auto"/>
        <w:ind w:firstLine="420"/>
        <w:rPr>
          <w:rFonts w:ascii="宋体" w:hAnsi="宋体" w:cs="宋体"/>
          <w:kern w:val="0"/>
          <w:szCs w:val="21"/>
        </w:rPr>
      </w:pPr>
      <w:r>
        <w:rPr>
          <w:rFonts w:hint="eastAsia" w:ascii="宋体" w:hAnsi="宋体" w:cs="宋体"/>
          <w:kern w:val="0"/>
          <w:szCs w:val="21"/>
        </w:rPr>
        <w:t>27.7采购代理机构在收到投标人的书面质疑后将及时组织调查核实，在</w:t>
      </w:r>
      <w:r>
        <w:rPr>
          <w:rFonts w:hint="eastAsia" w:ascii="宋体" w:hAnsi="宋体" w:cs="宋体"/>
          <w:b/>
          <w:bCs/>
          <w:kern w:val="0"/>
          <w:szCs w:val="21"/>
        </w:rPr>
        <w:t>七个工作日内</w:t>
      </w:r>
      <w:r>
        <w:rPr>
          <w:rFonts w:hint="eastAsia" w:ascii="宋体" w:hAnsi="宋体" w:cs="宋体"/>
          <w:kern w:val="0"/>
          <w:szCs w:val="21"/>
        </w:rPr>
        <w:t>作出答复，并以书面或在网站公告形式通知质疑投标人和其他有关投标人，答复的内容不涉及商业秘密。</w:t>
      </w:r>
    </w:p>
    <w:p w14:paraId="6C4668B1">
      <w:pPr>
        <w:widowControl/>
        <w:spacing w:line="360" w:lineRule="auto"/>
        <w:ind w:firstLine="420"/>
        <w:rPr>
          <w:rFonts w:ascii="宋体" w:hAnsi="宋体" w:cs="宋体"/>
          <w:kern w:val="0"/>
          <w:szCs w:val="21"/>
        </w:rPr>
      </w:pPr>
      <w:r>
        <w:rPr>
          <w:rFonts w:hint="eastAsia" w:ascii="宋体" w:hAnsi="宋体" w:cs="宋体"/>
          <w:kern w:val="0"/>
          <w:szCs w:val="21"/>
        </w:rPr>
        <w:t>任何单位和个人对代理机构在招标采购活动中的违法行为，有权控告和检举，联系电话：025-86636139（采购代理机构质量管理部门）、025-86636853（采购代理机构纪检监察部门）。</w:t>
      </w:r>
    </w:p>
    <w:p w14:paraId="642B4C67">
      <w:pPr>
        <w:widowControl/>
        <w:numPr>
          <w:ilvl w:val="0"/>
          <w:numId w:val="4"/>
        </w:numPr>
        <w:spacing w:line="360" w:lineRule="auto"/>
        <w:ind w:firstLine="420"/>
        <w:rPr>
          <w:rFonts w:ascii="宋体" w:hAnsi="宋体" w:cs="宋体"/>
          <w:b/>
          <w:bCs/>
          <w:kern w:val="0"/>
          <w:szCs w:val="21"/>
        </w:rPr>
      </w:pPr>
      <w:r>
        <w:rPr>
          <w:rFonts w:hint="eastAsia" w:ascii="宋体" w:hAnsi="宋体" w:cs="宋体"/>
          <w:b/>
          <w:bCs/>
          <w:kern w:val="0"/>
          <w:szCs w:val="21"/>
        </w:rPr>
        <w:t>投诉（本项目不适用）</w:t>
      </w:r>
    </w:p>
    <w:p w14:paraId="6C1F003B">
      <w:pPr>
        <w:widowControl/>
        <w:spacing w:line="360" w:lineRule="auto"/>
        <w:ind w:firstLine="422" w:firstLineChars="200"/>
        <w:rPr>
          <w:rFonts w:ascii="宋体" w:hAnsi="宋体" w:cs="宋体"/>
          <w:b/>
          <w:bCs/>
          <w:kern w:val="0"/>
          <w:szCs w:val="21"/>
        </w:rPr>
      </w:pPr>
      <w:r>
        <w:rPr>
          <w:rFonts w:hint="eastAsia" w:ascii="宋体" w:hAnsi="宋体" w:cs="宋体"/>
          <w:b/>
          <w:bCs/>
          <w:kern w:val="0"/>
          <w:szCs w:val="21"/>
        </w:rPr>
        <w:t>29、其他</w:t>
      </w:r>
    </w:p>
    <w:p w14:paraId="7C58B816">
      <w:pPr>
        <w:pStyle w:val="61"/>
        <w:spacing w:line="360" w:lineRule="auto"/>
        <w:rPr>
          <w:rFonts w:ascii="宋体" w:hAnsi="宋体" w:cs="宋体"/>
        </w:rPr>
      </w:pPr>
      <w:r>
        <w:rPr>
          <w:rFonts w:hint="eastAsia" w:ascii="宋体" w:hAnsi="宋体" w:cs="宋体"/>
        </w:rPr>
        <w:t>29.1本项目根据江苏省财政厅关于加强政府绿色采购有关事项的通知（苏财购</w:t>
      </w:r>
      <w:r>
        <w:rPr>
          <w:rFonts w:hint="eastAsia" w:ascii="宋体" w:hAnsi="宋体" w:cs="宋体"/>
          <w:kern w:val="0"/>
          <w:szCs w:val="21"/>
        </w:rPr>
        <w:t>〔2023〕65号</w:t>
      </w:r>
      <w:r>
        <w:rPr>
          <w:rFonts w:hint="eastAsia" w:ascii="宋体" w:hAnsi="宋体" w:cs="宋体"/>
        </w:rPr>
        <w:t>）规定，执行绿色采购需求标准。</w:t>
      </w:r>
    </w:p>
    <w:p w14:paraId="729B307B">
      <w:pPr>
        <w:rPr>
          <w:rFonts w:ascii="宋体" w:hAnsi="宋体" w:cs="宋体"/>
          <w:kern w:val="0"/>
        </w:rPr>
      </w:pPr>
      <w:r>
        <w:rPr>
          <w:rFonts w:hint="eastAsia" w:ascii="宋体" w:hAnsi="宋体" w:cs="宋体"/>
          <w:kern w:val="0"/>
        </w:rPr>
        <w:br w:type="page"/>
      </w:r>
    </w:p>
    <w:p w14:paraId="469FCEB4">
      <w:pPr>
        <w:pStyle w:val="3"/>
        <w:numPr>
          <w:ilvl w:val="0"/>
          <w:numId w:val="0"/>
        </w:numPr>
        <w:rPr>
          <w:rFonts w:ascii="宋体" w:hAnsi="宋体" w:cs="宋体"/>
          <w:kern w:val="0"/>
        </w:rPr>
      </w:pPr>
      <w:bookmarkStart w:id="5" w:name="_Toc181611530"/>
      <w:bookmarkStart w:id="6" w:name="_Toc481057145"/>
      <w:r>
        <w:rPr>
          <w:rFonts w:hint="eastAsia" w:ascii="宋体" w:hAnsi="宋体" w:cs="宋体"/>
          <w:kern w:val="0"/>
        </w:rPr>
        <w:t>第三章 评标标准</w:t>
      </w:r>
      <w:bookmarkEnd w:id="5"/>
    </w:p>
    <w:bookmarkEnd w:id="6"/>
    <w:p w14:paraId="7BC99825">
      <w:pPr>
        <w:spacing w:line="360" w:lineRule="auto"/>
        <w:ind w:firstLine="420" w:firstLineChars="200"/>
        <w:rPr>
          <w:rFonts w:ascii="宋体" w:hAnsi="宋体" w:cs="宋体"/>
        </w:rPr>
      </w:pPr>
      <w:r>
        <w:rPr>
          <w:rFonts w:hint="eastAsia" w:ascii="宋体" w:hAnsi="宋体" w:cs="宋体"/>
        </w:rPr>
        <w:t>本项目采用综合评分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中标人。</w:t>
      </w:r>
    </w:p>
    <w:tbl>
      <w:tblPr>
        <w:tblStyle w:val="5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242"/>
        <w:gridCol w:w="6005"/>
        <w:gridCol w:w="804"/>
      </w:tblGrid>
      <w:tr w14:paraId="026F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Align w:val="center"/>
          </w:tcPr>
          <w:p w14:paraId="0D076E19">
            <w:pPr>
              <w:widowControl/>
              <w:snapToGrid w:val="0"/>
              <w:spacing w:line="216" w:lineRule="auto"/>
              <w:jc w:val="center"/>
              <w:rPr>
                <w:rFonts w:ascii="宋体" w:hAnsi="宋体" w:cs="仿宋"/>
                <w:b/>
                <w:bCs/>
                <w:szCs w:val="21"/>
              </w:rPr>
            </w:pPr>
            <w:r>
              <w:rPr>
                <w:rFonts w:hint="eastAsia" w:ascii="宋体" w:hAnsi="宋体" w:cs="仿宋"/>
                <w:b/>
                <w:bCs/>
                <w:szCs w:val="21"/>
              </w:rPr>
              <w:t>序号</w:t>
            </w:r>
          </w:p>
        </w:tc>
        <w:tc>
          <w:tcPr>
            <w:tcW w:w="712" w:type="pct"/>
            <w:vAlign w:val="center"/>
          </w:tcPr>
          <w:p w14:paraId="7117675B">
            <w:pPr>
              <w:widowControl/>
              <w:snapToGrid w:val="0"/>
              <w:spacing w:line="216" w:lineRule="auto"/>
              <w:jc w:val="center"/>
              <w:rPr>
                <w:rFonts w:ascii="宋体" w:hAnsi="宋体" w:cs="仿宋"/>
                <w:b/>
                <w:bCs/>
                <w:szCs w:val="21"/>
              </w:rPr>
            </w:pPr>
            <w:r>
              <w:rPr>
                <w:rFonts w:hint="eastAsia" w:ascii="宋体" w:hAnsi="宋体" w:cs="仿宋"/>
                <w:b/>
                <w:bCs/>
                <w:szCs w:val="21"/>
              </w:rPr>
              <w:t>评分因素</w:t>
            </w:r>
          </w:p>
        </w:tc>
        <w:tc>
          <w:tcPr>
            <w:tcW w:w="3443" w:type="pct"/>
            <w:vAlign w:val="center"/>
          </w:tcPr>
          <w:p w14:paraId="29E509B1">
            <w:pPr>
              <w:widowControl/>
              <w:snapToGrid w:val="0"/>
              <w:spacing w:line="216" w:lineRule="auto"/>
              <w:jc w:val="center"/>
              <w:rPr>
                <w:rFonts w:ascii="宋体" w:hAnsi="宋体" w:cs="仿宋"/>
                <w:b/>
                <w:bCs/>
                <w:szCs w:val="21"/>
              </w:rPr>
            </w:pPr>
            <w:r>
              <w:rPr>
                <w:rFonts w:hint="eastAsia" w:ascii="宋体" w:hAnsi="宋体" w:cs="仿宋"/>
                <w:b/>
                <w:bCs/>
                <w:szCs w:val="21"/>
              </w:rPr>
              <w:t>评审标准</w:t>
            </w:r>
          </w:p>
        </w:tc>
        <w:tc>
          <w:tcPr>
            <w:tcW w:w="461" w:type="pct"/>
            <w:vAlign w:val="center"/>
          </w:tcPr>
          <w:p w14:paraId="52B19A0D">
            <w:pPr>
              <w:widowControl/>
              <w:snapToGrid w:val="0"/>
              <w:spacing w:line="216" w:lineRule="auto"/>
              <w:jc w:val="center"/>
              <w:rPr>
                <w:rFonts w:ascii="宋体" w:hAnsi="宋体" w:cs="仿宋"/>
                <w:b/>
                <w:bCs/>
                <w:szCs w:val="21"/>
              </w:rPr>
            </w:pPr>
            <w:r>
              <w:rPr>
                <w:rFonts w:hint="eastAsia" w:ascii="宋体" w:hAnsi="宋体" w:cs="仿宋"/>
                <w:b/>
                <w:bCs/>
                <w:szCs w:val="21"/>
              </w:rPr>
              <w:t>分值</w:t>
            </w:r>
          </w:p>
        </w:tc>
      </w:tr>
      <w:tr w14:paraId="1805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Align w:val="center"/>
          </w:tcPr>
          <w:p w14:paraId="5E51317B">
            <w:pPr>
              <w:widowControl/>
              <w:snapToGrid w:val="0"/>
              <w:spacing w:line="216" w:lineRule="auto"/>
              <w:jc w:val="center"/>
              <w:rPr>
                <w:rFonts w:ascii="宋体" w:hAnsi="宋体" w:cs="仿宋"/>
                <w:b/>
                <w:bCs/>
                <w:szCs w:val="21"/>
              </w:rPr>
            </w:pPr>
            <w:r>
              <w:rPr>
                <w:rFonts w:hint="eastAsia" w:ascii="宋体" w:hAnsi="宋体" w:cs="仿宋"/>
                <w:b/>
                <w:bCs/>
                <w:szCs w:val="21"/>
              </w:rPr>
              <w:t>1</w:t>
            </w:r>
          </w:p>
        </w:tc>
        <w:tc>
          <w:tcPr>
            <w:tcW w:w="712" w:type="pct"/>
            <w:vAlign w:val="center"/>
          </w:tcPr>
          <w:p w14:paraId="6BE41179">
            <w:pPr>
              <w:spacing w:line="288" w:lineRule="auto"/>
              <w:jc w:val="center"/>
              <w:rPr>
                <w:b/>
                <w:bCs/>
                <w:shd w:val="clear" w:color="auto" w:fill="FFFFFF"/>
              </w:rPr>
            </w:pPr>
            <w:r>
              <w:rPr>
                <w:rFonts w:hint="eastAsia"/>
                <w:b/>
                <w:bCs/>
                <w:shd w:val="clear" w:color="auto" w:fill="FFFFFF"/>
              </w:rPr>
              <w:t>价格</w:t>
            </w:r>
          </w:p>
          <w:p w14:paraId="277F4E56">
            <w:pPr>
              <w:spacing w:line="288" w:lineRule="auto"/>
              <w:jc w:val="center"/>
              <w:rPr>
                <w:b/>
                <w:bCs/>
                <w:shd w:val="clear" w:color="auto" w:fill="FFFFFF"/>
              </w:rPr>
            </w:pPr>
            <w:r>
              <w:rPr>
                <w:rFonts w:hint="eastAsia"/>
                <w:b/>
                <w:bCs/>
                <w:shd w:val="clear" w:color="auto" w:fill="FFFFFF"/>
              </w:rPr>
              <w:t>（10分）</w:t>
            </w:r>
          </w:p>
        </w:tc>
        <w:tc>
          <w:tcPr>
            <w:tcW w:w="3443" w:type="pct"/>
            <w:vAlign w:val="center"/>
          </w:tcPr>
          <w:p w14:paraId="59ED0AFD">
            <w:pPr>
              <w:spacing w:line="288" w:lineRule="auto"/>
              <w:rPr>
                <w:shd w:val="clear" w:color="auto" w:fill="FFFFFF"/>
              </w:rPr>
            </w:pPr>
            <w:r>
              <w:rPr>
                <w:rFonts w:hint="eastAsia"/>
                <w:shd w:val="clear" w:color="auto" w:fill="FFFFFF"/>
              </w:rPr>
              <w:t>采用低价优先法计算，即满足招标文件要求且投标价格最低的投标报价为评标基准价，其价格分为满分。其他投标人的价格分统一按照下列公式计算：投标报价得分=(评标基准价/投标报价)×10，保留2位小数。</w:t>
            </w:r>
          </w:p>
        </w:tc>
        <w:tc>
          <w:tcPr>
            <w:tcW w:w="461" w:type="pct"/>
            <w:vAlign w:val="center"/>
          </w:tcPr>
          <w:p w14:paraId="75CB6C44">
            <w:pPr>
              <w:widowControl/>
              <w:snapToGrid w:val="0"/>
              <w:spacing w:line="216" w:lineRule="auto"/>
              <w:jc w:val="center"/>
              <w:rPr>
                <w:rFonts w:ascii="宋体" w:hAnsi="宋体" w:cs="仿宋"/>
                <w:b/>
                <w:bCs/>
                <w:szCs w:val="21"/>
              </w:rPr>
            </w:pPr>
            <w:r>
              <w:rPr>
                <w:rFonts w:hint="eastAsia" w:ascii="宋体" w:hAnsi="宋体" w:cs="仿宋"/>
                <w:b/>
                <w:bCs/>
                <w:szCs w:val="21"/>
              </w:rPr>
              <w:t>10</w:t>
            </w:r>
          </w:p>
        </w:tc>
      </w:tr>
      <w:tr w14:paraId="6C797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Align w:val="center"/>
          </w:tcPr>
          <w:p w14:paraId="68423B70">
            <w:pPr>
              <w:widowControl/>
              <w:snapToGrid w:val="0"/>
              <w:spacing w:line="216" w:lineRule="auto"/>
              <w:jc w:val="center"/>
              <w:rPr>
                <w:rFonts w:ascii="宋体" w:hAnsi="宋体" w:cs="仿宋"/>
                <w:b/>
                <w:bCs/>
                <w:szCs w:val="21"/>
              </w:rPr>
            </w:pPr>
            <w:r>
              <w:rPr>
                <w:rFonts w:hint="eastAsia" w:ascii="宋体" w:hAnsi="宋体" w:cs="仿宋"/>
                <w:b/>
                <w:bCs/>
                <w:szCs w:val="21"/>
              </w:rPr>
              <w:t>2.1</w:t>
            </w:r>
          </w:p>
        </w:tc>
        <w:tc>
          <w:tcPr>
            <w:tcW w:w="712" w:type="pct"/>
            <w:vMerge w:val="restart"/>
            <w:vAlign w:val="center"/>
          </w:tcPr>
          <w:p w14:paraId="4FEF34D1">
            <w:pPr>
              <w:spacing w:line="288" w:lineRule="auto"/>
              <w:jc w:val="center"/>
              <w:rPr>
                <w:b/>
                <w:bCs/>
                <w:shd w:val="clear" w:color="auto" w:fill="FFFFFF"/>
              </w:rPr>
            </w:pPr>
            <w:r>
              <w:rPr>
                <w:rFonts w:hint="eastAsia"/>
                <w:b/>
                <w:bCs/>
                <w:shd w:val="clear" w:color="auto" w:fill="FFFFFF"/>
              </w:rPr>
              <w:t>技术服务方案</w:t>
            </w:r>
          </w:p>
          <w:p w14:paraId="26CA1CCE">
            <w:pPr>
              <w:spacing w:line="288" w:lineRule="auto"/>
              <w:jc w:val="center"/>
              <w:rPr>
                <w:b/>
                <w:bCs/>
                <w:shd w:val="clear" w:color="auto" w:fill="FFFFFF"/>
              </w:rPr>
            </w:pPr>
            <w:r>
              <w:rPr>
                <w:rFonts w:hint="eastAsia"/>
                <w:b/>
                <w:bCs/>
                <w:shd w:val="clear" w:color="auto" w:fill="FFFFFF"/>
              </w:rPr>
              <w:t>（40分）</w:t>
            </w:r>
          </w:p>
        </w:tc>
        <w:tc>
          <w:tcPr>
            <w:tcW w:w="3443" w:type="pct"/>
          </w:tcPr>
          <w:p w14:paraId="10BAF746">
            <w:pPr>
              <w:spacing w:line="288" w:lineRule="auto"/>
              <w:rPr>
                <w:b/>
                <w:kern w:val="0"/>
              </w:rPr>
            </w:pPr>
            <w:r>
              <w:rPr>
                <w:rFonts w:hint="eastAsia"/>
                <w:b/>
                <w:kern w:val="0"/>
              </w:rPr>
              <w:t>评标委员会根据供应商对本项目的理解和解读程度进行评分：</w:t>
            </w:r>
          </w:p>
          <w:p w14:paraId="357FFE8D">
            <w:pPr>
              <w:spacing w:line="288" w:lineRule="auto"/>
              <w:rPr>
                <w:bCs/>
                <w:kern w:val="0"/>
              </w:rPr>
            </w:pPr>
            <w:r>
              <w:rPr>
                <w:rFonts w:hint="eastAsia"/>
                <w:bCs/>
                <w:kern w:val="0"/>
              </w:rPr>
              <w:t>①对项目的分析全面，重难点把握准确得15分；</w:t>
            </w:r>
          </w:p>
          <w:p w14:paraId="6739DD8E">
            <w:pPr>
              <w:spacing w:line="288" w:lineRule="auto"/>
              <w:rPr>
                <w:bCs/>
                <w:kern w:val="0"/>
              </w:rPr>
            </w:pPr>
            <w:r>
              <w:rPr>
                <w:rFonts w:hint="eastAsia"/>
                <w:bCs/>
                <w:kern w:val="0"/>
              </w:rPr>
              <w:t>②对项目的分析基本与项目要求相符，重难点把握基本准确得12分；</w:t>
            </w:r>
          </w:p>
          <w:p w14:paraId="2E7C6E1B">
            <w:pPr>
              <w:spacing w:line="288" w:lineRule="auto"/>
              <w:rPr>
                <w:bCs/>
                <w:kern w:val="0"/>
              </w:rPr>
            </w:pPr>
            <w:r>
              <w:rPr>
                <w:rFonts w:hint="eastAsia"/>
                <w:bCs/>
                <w:kern w:val="0"/>
              </w:rPr>
              <w:t>③对项目的分析</w:t>
            </w:r>
            <w:r>
              <w:rPr>
                <w:rFonts w:hint="eastAsia" w:ascii="宋体" w:hAnsi="宋体" w:cs="宋体"/>
              </w:rPr>
              <w:t>内容简单，条理模糊</w:t>
            </w:r>
            <w:r>
              <w:rPr>
                <w:rFonts w:hint="eastAsia"/>
                <w:bCs/>
                <w:kern w:val="0"/>
              </w:rPr>
              <w:t>，基本不符合实际的得9分</w:t>
            </w:r>
            <w:r>
              <w:rPr>
                <w:rFonts w:hint="eastAsia"/>
                <w:bCs/>
                <w:kern w:val="0"/>
                <w:szCs w:val="21"/>
              </w:rPr>
              <w:t>；</w:t>
            </w:r>
          </w:p>
          <w:p w14:paraId="4FB16FBA">
            <w:pPr>
              <w:spacing w:line="288" w:lineRule="auto"/>
              <w:rPr>
                <w:bCs/>
                <w:kern w:val="0"/>
              </w:rPr>
            </w:pPr>
            <w:r>
              <w:rPr>
                <w:rFonts w:hint="eastAsia"/>
                <w:bCs/>
                <w:kern w:val="0"/>
              </w:rPr>
              <w:t>④对项目的分析</w:t>
            </w:r>
            <w:r>
              <w:rPr>
                <w:rFonts w:hint="eastAsia" w:ascii="宋体" w:hAnsi="宋体" w:cs="宋体"/>
              </w:rPr>
              <w:t>内容</w:t>
            </w:r>
            <w:r>
              <w:rPr>
                <w:rFonts w:hint="eastAsia"/>
                <w:bCs/>
                <w:kern w:val="0"/>
              </w:rPr>
              <w:t>完全不符合实际的得6分</w:t>
            </w:r>
            <w:r>
              <w:rPr>
                <w:rFonts w:hint="eastAsia"/>
                <w:bCs/>
                <w:kern w:val="0"/>
                <w:szCs w:val="21"/>
              </w:rPr>
              <w:t>；</w:t>
            </w:r>
          </w:p>
          <w:p w14:paraId="1F80A242">
            <w:pPr>
              <w:spacing w:line="288" w:lineRule="auto"/>
              <w:rPr>
                <w:shd w:val="clear" w:color="auto" w:fill="FFFFFF"/>
              </w:rPr>
            </w:pPr>
            <w:r>
              <w:rPr>
                <w:rFonts w:hint="eastAsia" w:ascii="宋体" w:hAnsi="宋体" w:cs="宋体"/>
                <w:bCs/>
                <w:kern w:val="0"/>
              </w:rPr>
              <w:t>⑤</w:t>
            </w:r>
            <w:r>
              <w:rPr>
                <w:rFonts w:hint="eastAsia"/>
                <w:bCs/>
                <w:kern w:val="0"/>
              </w:rPr>
              <w:t>无此项分析的不得分。</w:t>
            </w:r>
          </w:p>
        </w:tc>
        <w:tc>
          <w:tcPr>
            <w:tcW w:w="461" w:type="pct"/>
            <w:vAlign w:val="center"/>
          </w:tcPr>
          <w:p w14:paraId="2EBEE58F">
            <w:pPr>
              <w:spacing w:line="288" w:lineRule="auto"/>
              <w:jc w:val="center"/>
              <w:rPr>
                <w:rFonts w:ascii="宋体" w:hAnsi="宋体" w:cs="仿宋"/>
                <w:b/>
                <w:bCs/>
                <w:szCs w:val="21"/>
              </w:rPr>
            </w:pPr>
            <w:r>
              <w:rPr>
                <w:rFonts w:hint="eastAsia"/>
                <w:b/>
                <w:bCs/>
                <w:kern w:val="0"/>
                <w:lang w:bidi="ar"/>
              </w:rPr>
              <w:t>15</w:t>
            </w:r>
          </w:p>
        </w:tc>
      </w:tr>
      <w:tr w14:paraId="62714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383" w:type="pct"/>
            <w:noWrap/>
            <w:vAlign w:val="center"/>
          </w:tcPr>
          <w:p w14:paraId="0B386DC4">
            <w:pPr>
              <w:widowControl/>
              <w:snapToGrid w:val="0"/>
              <w:spacing w:line="216" w:lineRule="auto"/>
              <w:jc w:val="center"/>
              <w:rPr>
                <w:rFonts w:ascii="宋体" w:hAnsi="宋体" w:cs="仿宋"/>
                <w:b/>
                <w:bCs/>
                <w:szCs w:val="21"/>
              </w:rPr>
            </w:pPr>
            <w:r>
              <w:rPr>
                <w:rFonts w:hint="eastAsia" w:ascii="宋体" w:hAnsi="宋体" w:cs="仿宋"/>
                <w:b/>
                <w:bCs/>
                <w:szCs w:val="21"/>
              </w:rPr>
              <w:t>2.2</w:t>
            </w:r>
          </w:p>
        </w:tc>
        <w:tc>
          <w:tcPr>
            <w:tcW w:w="712" w:type="pct"/>
            <w:vMerge w:val="continue"/>
            <w:vAlign w:val="center"/>
          </w:tcPr>
          <w:p w14:paraId="0ED7A863">
            <w:pPr>
              <w:spacing w:line="288" w:lineRule="auto"/>
              <w:jc w:val="center"/>
              <w:rPr>
                <w:b/>
                <w:bCs/>
                <w:shd w:val="clear" w:color="auto" w:fill="FFFFFF"/>
              </w:rPr>
            </w:pPr>
          </w:p>
        </w:tc>
        <w:tc>
          <w:tcPr>
            <w:tcW w:w="3443" w:type="pct"/>
          </w:tcPr>
          <w:p w14:paraId="78F0C4DE">
            <w:pPr>
              <w:spacing w:line="288" w:lineRule="auto"/>
              <w:jc w:val="left"/>
              <w:rPr>
                <w:b/>
                <w:bCs/>
              </w:rPr>
            </w:pPr>
            <w:r>
              <w:rPr>
                <w:rFonts w:hint="eastAsia"/>
                <w:b/>
                <w:bCs/>
                <w:kern w:val="0"/>
                <w:lang w:bidi="ar"/>
              </w:rPr>
              <w:t>评标委员会根据供应商提供的规划编制思路及技术路线进行评分：</w:t>
            </w:r>
          </w:p>
          <w:p w14:paraId="665F2E2E">
            <w:pPr>
              <w:spacing w:line="288" w:lineRule="auto"/>
              <w:rPr>
                <w:bCs/>
                <w:kern w:val="0"/>
              </w:rPr>
            </w:pPr>
            <w:r>
              <w:rPr>
                <w:rFonts w:hint="eastAsia"/>
                <w:bCs/>
                <w:kern w:val="0"/>
              </w:rPr>
              <w:t>①工作思路清晰、可行性高行，技术路线方案完备的得15分；</w:t>
            </w:r>
          </w:p>
          <w:p w14:paraId="1B147DFE">
            <w:pPr>
              <w:spacing w:line="288" w:lineRule="auto"/>
              <w:rPr>
                <w:bCs/>
                <w:kern w:val="0"/>
              </w:rPr>
            </w:pPr>
            <w:r>
              <w:rPr>
                <w:rFonts w:hint="eastAsia"/>
                <w:bCs/>
                <w:kern w:val="0"/>
              </w:rPr>
              <w:t>②工作思路比较清晰、可行性较高，技术路线方案比较完备的得</w:t>
            </w:r>
            <w:r>
              <w:rPr>
                <w:bCs/>
                <w:kern w:val="0"/>
              </w:rPr>
              <w:t>1</w:t>
            </w:r>
            <w:r>
              <w:rPr>
                <w:rFonts w:hint="eastAsia"/>
                <w:bCs/>
                <w:kern w:val="0"/>
              </w:rPr>
              <w:t>2分；</w:t>
            </w:r>
          </w:p>
          <w:p w14:paraId="34DF0B93">
            <w:pPr>
              <w:spacing w:line="288" w:lineRule="auto"/>
              <w:rPr>
                <w:bCs/>
                <w:kern w:val="0"/>
                <w:szCs w:val="21"/>
              </w:rPr>
            </w:pPr>
            <w:r>
              <w:rPr>
                <w:rFonts w:hint="eastAsia"/>
                <w:bCs/>
                <w:kern w:val="0"/>
              </w:rPr>
              <w:t>③工作思路、技术路线方案</w:t>
            </w:r>
            <w:r>
              <w:rPr>
                <w:rFonts w:hint="eastAsia" w:ascii="宋体" w:hAnsi="宋体" w:cs="宋体"/>
              </w:rPr>
              <w:t>简单，条理模糊</w:t>
            </w:r>
            <w:r>
              <w:rPr>
                <w:rFonts w:hint="eastAsia"/>
                <w:bCs/>
                <w:kern w:val="0"/>
              </w:rPr>
              <w:t>，基本不符合实际的得9分</w:t>
            </w:r>
            <w:r>
              <w:rPr>
                <w:rFonts w:hint="eastAsia"/>
                <w:bCs/>
                <w:kern w:val="0"/>
                <w:szCs w:val="21"/>
              </w:rPr>
              <w:t>；</w:t>
            </w:r>
          </w:p>
          <w:p w14:paraId="78E8FAF5">
            <w:pPr>
              <w:spacing w:line="288" w:lineRule="auto"/>
              <w:rPr>
                <w:bCs/>
                <w:kern w:val="0"/>
              </w:rPr>
            </w:pPr>
            <w:r>
              <w:rPr>
                <w:rFonts w:hint="eastAsia"/>
                <w:bCs/>
                <w:kern w:val="0"/>
              </w:rPr>
              <w:t>④工作思路、技术路线完全不符合实际的得6分</w:t>
            </w:r>
            <w:r>
              <w:rPr>
                <w:rFonts w:hint="eastAsia"/>
                <w:bCs/>
                <w:kern w:val="0"/>
                <w:szCs w:val="21"/>
              </w:rPr>
              <w:t>；</w:t>
            </w:r>
          </w:p>
          <w:p w14:paraId="6210369F">
            <w:pPr>
              <w:spacing w:line="288" w:lineRule="auto"/>
              <w:rPr>
                <w:shd w:val="clear" w:color="auto" w:fill="FFFFFF"/>
              </w:rPr>
            </w:pPr>
            <w:r>
              <w:rPr>
                <w:rFonts w:hint="eastAsia" w:ascii="宋体" w:hAnsi="宋体" w:cs="宋体"/>
                <w:bCs/>
                <w:kern w:val="0"/>
              </w:rPr>
              <w:t>⑤</w:t>
            </w:r>
            <w:r>
              <w:rPr>
                <w:rFonts w:hint="eastAsia"/>
                <w:bCs/>
                <w:kern w:val="0"/>
              </w:rPr>
              <w:t>无此项分析的不得分。</w:t>
            </w:r>
          </w:p>
        </w:tc>
        <w:tc>
          <w:tcPr>
            <w:tcW w:w="461" w:type="pct"/>
            <w:noWrap/>
            <w:vAlign w:val="center"/>
          </w:tcPr>
          <w:p w14:paraId="4AA621F3">
            <w:pPr>
              <w:spacing w:line="288" w:lineRule="auto"/>
              <w:jc w:val="center"/>
              <w:rPr>
                <w:rFonts w:ascii="宋体" w:hAnsi="宋体" w:cs="仿宋"/>
                <w:b/>
                <w:bCs/>
                <w:szCs w:val="21"/>
              </w:rPr>
            </w:pPr>
            <w:r>
              <w:rPr>
                <w:rFonts w:hint="eastAsia"/>
                <w:b/>
                <w:bCs/>
                <w:kern w:val="0"/>
                <w:lang w:bidi="ar"/>
              </w:rPr>
              <w:t>15</w:t>
            </w:r>
          </w:p>
        </w:tc>
      </w:tr>
      <w:tr w14:paraId="766A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vAlign w:val="center"/>
          </w:tcPr>
          <w:p w14:paraId="2F3A9DCB">
            <w:pPr>
              <w:widowControl/>
              <w:snapToGrid w:val="0"/>
              <w:spacing w:line="216" w:lineRule="auto"/>
              <w:jc w:val="center"/>
              <w:rPr>
                <w:rFonts w:ascii="宋体" w:hAnsi="宋体" w:cs="仿宋"/>
                <w:b/>
                <w:bCs/>
                <w:szCs w:val="21"/>
              </w:rPr>
            </w:pPr>
            <w:r>
              <w:rPr>
                <w:rFonts w:hint="eastAsia" w:ascii="宋体" w:hAnsi="宋体" w:cs="仿宋"/>
                <w:b/>
                <w:bCs/>
                <w:szCs w:val="21"/>
              </w:rPr>
              <w:t>2.3</w:t>
            </w:r>
          </w:p>
        </w:tc>
        <w:tc>
          <w:tcPr>
            <w:tcW w:w="712" w:type="pct"/>
            <w:vMerge w:val="continue"/>
            <w:vAlign w:val="center"/>
          </w:tcPr>
          <w:p w14:paraId="76C44A16">
            <w:pPr>
              <w:spacing w:line="288" w:lineRule="auto"/>
              <w:jc w:val="center"/>
              <w:rPr>
                <w:b/>
                <w:bCs/>
                <w:shd w:val="clear" w:color="auto" w:fill="FFFFFF"/>
              </w:rPr>
            </w:pPr>
          </w:p>
        </w:tc>
        <w:tc>
          <w:tcPr>
            <w:tcW w:w="3443" w:type="pct"/>
          </w:tcPr>
          <w:p w14:paraId="338A5EC4">
            <w:pPr>
              <w:spacing w:line="288" w:lineRule="auto"/>
              <w:rPr>
                <w:b/>
                <w:kern w:val="0"/>
              </w:rPr>
            </w:pPr>
            <w:r>
              <w:rPr>
                <w:rFonts w:hint="eastAsia"/>
                <w:b/>
                <w:kern w:val="0"/>
              </w:rPr>
              <w:t>评标委员会根据供应商提供的项目进度及组织计划进行评分：</w:t>
            </w:r>
          </w:p>
          <w:p w14:paraId="04083A1D">
            <w:pPr>
              <w:spacing w:line="288" w:lineRule="auto"/>
              <w:rPr>
                <w:bCs/>
                <w:kern w:val="0"/>
              </w:rPr>
            </w:pPr>
            <w:r>
              <w:rPr>
                <w:rFonts w:hint="eastAsia"/>
                <w:bCs/>
                <w:kern w:val="0"/>
              </w:rPr>
              <w:t>①对本项目的进度安排合理，阶段目标明确，人员配备合理的得</w:t>
            </w:r>
            <w:r>
              <w:rPr>
                <w:rFonts w:hint="eastAsia"/>
                <w:szCs w:val="21"/>
              </w:rPr>
              <w:t>10分</w:t>
            </w:r>
            <w:r>
              <w:rPr>
                <w:bCs/>
                <w:kern w:val="0"/>
              </w:rPr>
              <w:t>；</w:t>
            </w:r>
          </w:p>
          <w:p w14:paraId="7E690798">
            <w:pPr>
              <w:spacing w:line="288" w:lineRule="auto"/>
              <w:rPr>
                <w:bCs/>
                <w:kern w:val="0"/>
              </w:rPr>
            </w:pPr>
            <w:r>
              <w:rPr>
                <w:rFonts w:hint="eastAsia"/>
                <w:bCs/>
                <w:kern w:val="0"/>
              </w:rPr>
              <w:t>②对本项目的进度安排较合理，阶段目标较明确，人员配备较合理</w:t>
            </w:r>
            <w:r>
              <w:rPr>
                <w:rFonts w:hint="eastAsia"/>
                <w:szCs w:val="21"/>
              </w:rPr>
              <w:t>的得7分</w:t>
            </w:r>
            <w:r>
              <w:rPr>
                <w:bCs/>
                <w:kern w:val="0"/>
              </w:rPr>
              <w:t>；</w:t>
            </w:r>
          </w:p>
          <w:p w14:paraId="77D39FCD">
            <w:pPr>
              <w:spacing w:line="288" w:lineRule="auto"/>
              <w:rPr>
                <w:bCs/>
                <w:kern w:val="0"/>
              </w:rPr>
            </w:pPr>
            <w:r>
              <w:rPr>
                <w:rFonts w:hint="eastAsia"/>
                <w:bCs/>
                <w:kern w:val="0"/>
              </w:rPr>
              <w:t>③对本项目的进度安排，阶段目标、人员配备基本符合项目要求的</w:t>
            </w:r>
            <w:r>
              <w:rPr>
                <w:rFonts w:hint="eastAsia"/>
                <w:szCs w:val="21"/>
              </w:rPr>
              <w:t>得4分</w:t>
            </w:r>
            <w:r>
              <w:rPr>
                <w:bCs/>
                <w:kern w:val="0"/>
              </w:rPr>
              <w:t>；</w:t>
            </w:r>
          </w:p>
          <w:p w14:paraId="4036C4E1">
            <w:pPr>
              <w:spacing w:line="288" w:lineRule="auto"/>
              <w:rPr>
                <w:shd w:val="clear" w:color="auto" w:fill="FFFFFF"/>
              </w:rPr>
            </w:pPr>
            <w:r>
              <w:rPr>
                <w:rFonts w:hint="eastAsia"/>
                <w:bCs/>
                <w:kern w:val="0"/>
              </w:rPr>
              <w:t>④无此项分析的不得分。</w:t>
            </w:r>
          </w:p>
        </w:tc>
        <w:tc>
          <w:tcPr>
            <w:tcW w:w="461" w:type="pct"/>
            <w:noWrap/>
            <w:vAlign w:val="center"/>
          </w:tcPr>
          <w:p w14:paraId="552B3A5D">
            <w:pPr>
              <w:spacing w:line="288" w:lineRule="auto"/>
              <w:jc w:val="center"/>
              <w:rPr>
                <w:rFonts w:ascii="宋体" w:hAnsi="宋体" w:cs="仿宋"/>
                <w:b/>
                <w:bCs/>
                <w:szCs w:val="21"/>
              </w:rPr>
            </w:pPr>
            <w:r>
              <w:rPr>
                <w:rFonts w:hint="eastAsia"/>
                <w:b/>
                <w:bCs/>
                <w:kern w:val="0"/>
              </w:rPr>
              <w:t>10</w:t>
            </w:r>
          </w:p>
        </w:tc>
      </w:tr>
      <w:tr w14:paraId="2025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Align w:val="center"/>
          </w:tcPr>
          <w:p w14:paraId="6CCBFDE4">
            <w:pPr>
              <w:widowControl/>
              <w:snapToGrid w:val="0"/>
              <w:spacing w:line="216" w:lineRule="auto"/>
              <w:jc w:val="center"/>
              <w:rPr>
                <w:rFonts w:ascii="宋体" w:hAnsi="宋体" w:cs="仿宋"/>
                <w:b/>
                <w:bCs/>
                <w:szCs w:val="21"/>
              </w:rPr>
            </w:pPr>
            <w:r>
              <w:rPr>
                <w:rFonts w:hint="eastAsia" w:ascii="宋体" w:hAnsi="宋体" w:cs="仿宋"/>
                <w:b/>
                <w:bCs/>
                <w:szCs w:val="21"/>
              </w:rPr>
              <w:t>3.1</w:t>
            </w:r>
          </w:p>
        </w:tc>
        <w:tc>
          <w:tcPr>
            <w:tcW w:w="712" w:type="pct"/>
            <w:vMerge w:val="restart"/>
            <w:shd w:val="clear" w:color="auto" w:fill="auto"/>
            <w:vAlign w:val="center"/>
          </w:tcPr>
          <w:p w14:paraId="4C3EA09B">
            <w:pPr>
              <w:spacing w:line="288" w:lineRule="auto"/>
              <w:jc w:val="center"/>
              <w:rPr>
                <w:b/>
                <w:bCs/>
                <w:shd w:val="clear" w:color="auto" w:fill="FFFFFF"/>
              </w:rPr>
            </w:pPr>
            <w:r>
              <w:rPr>
                <w:rFonts w:hint="eastAsia"/>
                <w:b/>
                <w:bCs/>
                <w:shd w:val="clear" w:color="auto" w:fill="FFFFFF"/>
              </w:rPr>
              <w:t>供应商综合实力</w:t>
            </w:r>
          </w:p>
          <w:p w14:paraId="40B114D4">
            <w:pPr>
              <w:spacing w:line="288" w:lineRule="auto"/>
              <w:jc w:val="center"/>
              <w:rPr>
                <w:b/>
                <w:bCs/>
                <w:shd w:val="clear" w:color="auto" w:fill="FFFFFF"/>
              </w:rPr>
            </w:pPr>
            <w:r>
              <w:rPr>
                <w:rFonts w:hint="eastAsia"/>
                <w:b/>
                <w:bCs/>
                <w:shd w:val="clear" w:color="auto" w:fill="FFFFFF"/>
              </w:rPr>
              <w:t>（36分）</w:t>
            </w:r>
          </w:p>
        </w:tc>
        <w:tc>
          <w:tcPr>
            <w:tcW w:w="3443" w:type="pct"/>
            <w:vAlign w:val="center"/>
          </w:tcPr>
          <w:p w14:paraId="39B52DBD">
            <w:pPr>
              <w:spacing w:line="288" w:lineRule="auto"/>
              <w:jc w:val="left"/>
              <w:rPr>
                <w:b/>
                <w:bCs/>
                <w:shd w:val="clear" w:color="auto" w:fill="FFFFFF"/>
              </w:rPr>
            </w:pPr>
            <w:r>
              <w:rPr>
                <w:rFonts w:hint="eastAsia"/>
                <w:b/>
                <w:bCs/>
                <w:shd w:val="clear" w:color="auto" w:fill="FFFFFF"/>
              </w:rPr>
              <w:t>业绩情况：</w:t>
            </w:r>
          </w:p>
          <w:p w14:paraId="19882BE6">
            <w:pPr>
              <w:spacing w:line="288" w:lineRule="auto"/>
              <w:jc w:val="left"/>
              <w:rPr>
                <w:shd w:val="clear" w:color="auto" w:fill="FFFFFF"/>
              </w:rPr>
            </w:pPr>
            <w:r>
              <w:rPr>
                <w:rFonts w:hint="eastAsia"/>
                <w:shd w:val="clear" w:color="auto" w:fill="FFFFFF"/>
              </w:rPr>
              <w:t>①生态保护红线或生态空间管控区域划定、评估、调整等工作：</w:t>
            </w:r>
          </w:p>
          <w:p w14:paraId="633A0493">
            <w:pPr>
              <w:spacing w:line="288" w:lineRule="auto"/>
              <w:jc w:val="left"/>
              <w:rPr>
                <w:rFonts w:hint="eastAsia"/>
                <w:shd w:val="clear" w:color="auto" w:fill="FFFFFF"/>
              </w:rPr>
            </w:pPr>
            <w:r>
              <w:rPr>
                <w:rFonts w:hint="eastAsia"/>
                <w:shd w:val="clear" w:color="auto" w:fill="FFFFFF"/>
              </w:rPr>
              <w:t>供应商自2020年1月1日以来（以合同签订时间为准）承担过</w:t>
            </w:r>
          </w:p>
          <w:p w14:paraId="175CF82C">
            <w:pPr>
              <w:spacing w:line="288" w:lineRule="auto"/>
              <w:jc w:val="left"/>
              <w:rPr>
                <w:shd w:val="clear" w:color="auto" w:fill="FFFFFF"/>
              </w:rPr>
            </w:pPr>
            <w:r>
              <w:rPr>
                <w:rFonts w:hint="eastAsia"/>
                <w:shd w:val="clear" w:color="auto" w:fill="FFFFFF"/>
              </w:rPr>
              <w:t>生态保护红线划定、评估、调整或生态空间管控区域划定、评估、调整等工作的，每个得3分，最多得9分；</w:t>
            </w:r>
          </w:p>
          <w:p w14:paraId="49BE6FCB">
            <w:pPr>
              <w:spacing w:line="288" w:lineRule="auto"/>
              <w:jc w:val="left"/>
              <w:rPr>
                <w:shd w:val="clear" w:color="auto" w:fill="FFFFFF"/>
              </w:rPr>
            </w:pPr>
            <w:r>
              <w:rPr>
                <w:rFonts w:hint="eastAsia"/>
                <w:shd w:val="clear" w:color="auto" w:fill="FFFFFF"/>
              </w:rPr>
              <w:t>②城市控制线划定、研究、维护等工作：</w:t>
            </w:r>
          </w:p>
          <w:p w14:paraId="278201B7">
            <w:pPr>
              <w:spacing w:line="288" w:lineRule="auto"/>
              <w:jc w:val="left"/>
              <w:rPr>
                <w:shd w:val="clear" w:color="auto" w:fill="FFFFFF"/>
              </w:rPr>
            </w:pPr>
            <w:r>
              <w:rPr>
                <w:rFonts w:hint="eastAsia" w:ascii="宋体" w:hAnsi="宋体" w:cs="宋体"/>
                <w:kern w:val="0"/>
                <w:szCs w:val="21"/>
              </w:rPr>
              <w:t>供应商自2020年1月1日以来</w:t>
            </w:r>
            <w:r>
              <w:rPr>
                <w:rFonts w:hint="eastAsia"/>
                <w:shd w:val="clear" w:color="auto" w:fill="FFFFFF"/>
              </w:rPr>
              <w:t>（以合同签订时间为准）</w:t>
            </w:r>
            <w:r>
              <w:rPr>
                <w:rFonts w:hint="eastAsia" w:ascii="宋体" w:hAnsi="宋体" w:cs="宋体"/>
                <w:kern w:val="0"/>
                <w:szCs w:val="21"/>
              </w:rPr>
              <w:t>承担过城镇开发边界、永久基本农田、城市绿线等重要控制线划定、研究、维护等工作的，每一个得3分，本项最高得9分</w:t>
            </w:r>
            <w:r>
              <w:rPr>
                <w:rFonts w:hint="eastAsia"/>
                <w:shd w:val="clear" w:color="auto" w:fill="FFFFFF"/>
              </w:rPr>
              <w:t>。</w:t>
            </w:r>
          </w:p>
          <w:p w14:paraId="210D0BBF">
            <w:pPr>
              <w:spacing w:line="288" w:lineRule="auto"/>
              <w:jc w:val="left"/>
              <w:rPr>
                <w:shd w:val="clear" w:color="auto" w:fill="FFFFFF"/>
              </w:rPr>
            </w:pPr>
            <w:r>
              <w:rPr>
                <w:rFonts w:hint="eastAsia"/>
                <w:shd w:val="clear" w:color="auto" w:fill="FFFFFF"/>
              </w:rPr>
              <w:t>（须提供合同复印件加盖公章）</w:t>
            </w:r>
          </w:p>
        </w:tc>
        <w:tc>
          <w:tcPr>
            <w:tcW w:w="461" w:type="pct"/>
            <w:vAlign w:val="center"/>
          </w:tcPr>
          <w:p w14:paraId="0C89DE66">
            <w:pPr>
              <w:widowControl/>
              <w:shd w:val="clear" w:color="auto" w:fill="FFFFFF"/>
              <w:snapToGrid w:val="0"/>
              <w:spacing w:line="216" w:lineRule="auto"/>
              <w:jc w:val="center"/>
              <w:rPr>
                <w:rFonts w:ascii="宋体" w:hAnsi="宋体" w:cs="仿宋"/>
                <w:b/>
                <w:bCs/>
                <w:szCs w:val="21"/>
              </w:rPr>
            </w:pPr>
            <w:r>
              <w:rPr>
                <w:rFonts w:hint="eastAsia" w:ascii="宋体" w:hAnsi="宋体" w:cs="仿宋"/>
                <w:b/>
                <w:bCs/>
                <w:szCs w:val="21"/>
              </w:rPr>
              <w:t>18</w:t>
            </w:r>
          </w:p>
        </w:tc>
      </w:tr>
      <w:tr w14:paraId="42CF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vAlign w:val="center"/>
          </w:tcPr>
          <w:p w14:paraId="5E96F00D">
            <w:pPr>
              <w:widowControl/>
              <w:snapToGrid w:val="0"/>
              <w:spacing w:line="216" w:lineRule="auto"/>
              <w:jc w:val="center"/>
              <w:rPr>
                <w:rFonts w:ascii="宋体" w:hAnsi="宋体" w:cs="仿宋"/>
                <w:b/>
                <w:bCs/>
                <w:szCs w:val="21"/>
              </w:rPr>
            </w:pPr>
            <w:r>
              <w:rPr>
                <w:rFonts w:hint="eastAsia" w:ascii="宋体" w:hAnsi="宋体" w:cs="仿宋"/>
                <w:b/>
                <w:bCs/>
                <w:szCs w:val="21"/>
              </w:rPr>
              <w:t>3.2</w:t>
            </w:r>
          </w:p>
        </w:tc>
        <w:tc>
          <w:tcPr>
            <w:tcW w:w="712" w:type="pct"/>
            <w:vMerge w:val="continue"/>
            <w:vAlign w:val="center"/>
          </w:tcPr>
          <w:p w14:paraId="5F840E2B">
            <w:pPr>
              <w:spacing w:line="288" w:lineRule="auto"/>
              <w:jc w:val="center"/>
              <w:rPr>
                <w:b/>
                <w:bCs/>
                <w:shd w:val="clear" w:color="auto" w:fill="FFFFFF"/>
              </w:rPr>
            </w:pPr>
          </w:p>
        </w:tc>
        <w:tc>
          <w:tcPr>
            <w:tcW w:w="3443" w:type="pct"/>
            <w:vAlign w:val="center"/>
          </w:tcPr>
          <w:p w14:paraId="3EFDCE5A">
            <w:pPr>
              <w:spacing w:line="288" w:lineRule="auto"/>
              <w:jc w:val="left"/>
              <w:rPr>
                <w:rFonts w:ascii="宋体" w:hAnsi="宋体" w:cs="宋体"/>
                <w:b/>
                <w:bCs/>
                <w:kern w:val="0"/>
                <w:szCs w:val="21"/>
              </w:rPr>
            </w:pPr>
            <w:r>
              <w:rPr>
                <w:rFonts w:hint="eastAsia" w:ascii="宋体" w:hAnsi="宋体" w:cs="宋体"/>
                <w:b/>
                <w:bCs/>
                <w:kern w:val="0"/>
                <w:szCs w:val="21"/>
              </w:rPr>
              <w:t>奖项评价：</w:t>
            </w:r>
          </w:p>
          <w:p w14:paraId="27A22F48">
            <w:pPr>
              <w:spacing w:line="288" w:lineRule="auto"/>
              <w:jc w:val="left"/>
              <w:rPr>
                <w:rFonts w:ascii="宋体" w:hAnsi="宋体" w:cs="宋体"/>
                <w:kern w:val="0"/>
                <w:szCs w:val="21"/>
              </w:rPr>
            </w:pPr>
            <w:r>
              <w:rPr>
                <w:rFonts w:hint="eastAsia" w:ascii="宋体" w:hAnsi="宋体" w:cs="宋体"/>
                <w:kern w:val="0"/>
                <w:szCs w:val="21"/>
              </w:rPr>
              <w:t>供应商自2020年1月1日以来</w:t>
            </w:r>
            <w:r>
              <w:rPr>
                <w:rFonts w:hint="eastAsia"/>
                <w:shd w:val="clear" w:color="auto" w:fill="FFFFFF"/>
              </w:rPr>
              <w:t>（以</w:t>
            </w:r>
            <w:r>
              <w:rPr>
                <w:rFonts w:hint="eastAsia"/>
                <w:shd w:val="clear" w:color="auto" w:fill="FFFFFF"/>
                <w:lang w:val="en-US" w:eastAsia="zh-CN"/>
              </w:rPr>
              <w:t>证书</w:t>
            </w:r>
            <w:r>
              <w:rPr>
                <w:rFonts w:hint="eastAsia"/>
                <w:shd w:val="clear" w:color="auto" w:fill="FFFFFF"/>
              </w:rPr>
              <w:t>时间为准）</w:t>
            </w:r>
            <w:r>
              <w:rPr>
                <w:rFonts w:hint="eastAsia" w:ascii="宋体" w:hAnsi="宋体"/>
                <w:kern w:val="0"/>
                <w:szCs w:val="21"/>
              </w:rPr>
              <w:t>承担的上述项目获省级三等奖及以上的</w:t>
            </w:r>
            <w:r>
              <w:rPr>
                <w:rFonts w:hint="eastAsia" w:ascii="宋体" w:hAnsi="宋体" w:cs="宋体"/>
                <w:kern w:val="0"/>
                <w:szCs w:val="21"/>
              </w:rPr>
              <w:t>，每一个得6分；获市级二等奖及以上的，每一个得4分；获市级三等奖的，每一个得2分。本项最高得18分。</w:t>
            </w:r>
          </w:p>
          <w:p w14:paraId="11FFF8F3">
            <w:pPr>
              <w:spacing w:line="288" w:lineRule="auto"/>
              <w:jc w:val="left"/>
              <w:rPr>
                <w:shd w:val="clear" w:color="auto" w:fill="FFFFFF"/>
              </w:rPr>
            </w:pPr>
            <w:r>
              <w:rPr>
                <w:rFonts w:hint="eastAsia" w:ascii="宋体" w:hAnsi="宋体" w:cs="宋体"/>
                <w:kern w:val="0"/>
                <w:szCs w:val="21"/>
              </w:rPr>
              <w:t>（须提供获奖证书复印件加盖公章）</w:t>
            </w:r>
          </w:p>
        </w:tc>
        <w:tc>
          <w:tcPr>
            <w:tcW w:w="461" w:type="pct"/>
            <w:vAlign w:val="center"/>
          </w:tcPr>
          <w:p w14:paraId="3FFF5E3E">
            <w:pPr>
              <w:widowControl/>
              <w:shd w:val="clear" w:color="auto" w:fill="FFFFFF"/>
              <w:snapToGrid w:val="0"/>
              <w:spacing w:line="216" w:lineRule="auto"/>
              <w:jc w:val="center"/>
              <w:rPr>
                <w:rFonts w:ascii="宋体" w:hAnsi="宋体" w:cs="仿宋"/>
                <w:b/>
                <w:bCs/>
                <w:szCs w:val="21"/>
              </w:rPr>
            </w:pPr>
            <w:r>
              <w:rPr>
                <w:rFonts w:hint="eastAsia" w:ascii="宋体" w:hAnsi="宋体" w:cs="仿宋"/>
                <w:b/>
                <w:bCs/>
                <w:szCs w:val="21"/>
              </w:rPr>
              <w:t>18</w:t>
            </w:r>
          </w:p>
        </w:tc>
      </w:tr>
      <w:tr w14:paraId="6D54AA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51" w:hRule="atLeast"/>
          <w:jc w:val="center"/>
        </w:trPr>
        <w:tc>
          <w:tcPr>
            <w:tcW w:w="383" w:type="pct"/>
            <w:vAlign w:val="center"/>
          </w:tcPr>
          <w:p w14:paraId="6EBFE5E7">
            <w:pPr>
              <w:spacing w:line="288" w:lineRule="auto"/>
              <w:jc w:val="center"/>
              <w:rPr>
                <w:b/>
                <w:bCs/>
              </w:rPr>
            </w:pPr>
            <w:r>
              <w:rPr>
                <w:rFonts w:hint="eastAsia"/>
                <w:b/>
                <w:bCs/>
              </w:rPr>
              <w:t>4.1</w:t>
            </w:r>
          </w:p>
        </w:tc>
        <w:tc>
          <w:tcPr>
            <w:tcW w:w="712" w:type="pct"/>
            <w:vMerge w:val="restart"/>
            <w:vAlign w:val="center"/>
          </w:tcPr>
          <w:p w14:paraId="5BFAC1B4">
            <w:pPr>
              <w:pStyle w:val="19"/>
              <w:widowControl/>
              <w:spacing w:line="288" w:lineRule="auto"/>
              <w:rPr>
                <w:rFonts w:eastAsia="宋体"/>
                <w:sz w:val="21"/>
                <w:szCs w:val="21"/>
              </w:rPr>
            </w:pPr>
            <w:r>
              <w:rPr>
                <w:rFonts w:hint="eastAsia" w:eastAsia="宋体"/>
                <w:sz w:val="21"/>
                <w:szCs w:val="21"/>
              </w:rPr>
              <w:t>项目负责人及编制团队评价</w:t>
            </w:r>
          </w:p>
          <w:p w14:paraId="5A19FD24">
            <w:pPr>
              <w:pStyle w:val="19"/>
              <w:widowControl/>
              <w:spacing w:line="288" w:lineRule="auto"/>
              <w:rPr>
                <w:rFonts w:eastAsia="宋体"/>
                <w:sz w:val="21"/>
                <w:szCs w:val="21"/>
              </w:rPr>
            </w:pPr>
            <w:r>
              <w:rPr>
                <w:rFonts w:hint="eastAsia" w:eastAsia="宋体"/>
                <w:sz w:val="21"/>
                <w:szCs w:val="21"/>
              </w:rPr>
              <w:t>（</w:t>
            </w:r>
            <w:r>
              <w:rPr>
                <w:rFonts w:eastAsia="宋体"/>
                <w:sz w:val="21"/>
                <w:szCs w:val="21"/>
              </w:rPr>
              <w:t>14</w:t>
            </w:r>
            <w:r>
              <w:rPr>
                <w:rFonts w:hint="eastAsia" w:eastAsia="宋体"/>
                <w:sz w:val="21"/>
                <w:szCs w:val="21"/>
              </w:rPr>
              <w:t>分）</w:t>
            </w:r>
          </w:p>
        </w:tc>
        <w:tc>
          <w:tcPr>
            <w:tcW w:w="3443" w:type="pct"/>
            <w:vAlign w:val="center"/>
          </w:tcPr>
          <w:p w14:paraId="387E5072">
            <w:pPr>
              <w:spacing w:line="320" w:lineRule="exact"/>
              <w:rPr>
                <w:rFonts w:ascii="宋体" w:hAnsi="宋体" w:cs="宋体"/>
                <w:b/>
                <w:bCs/>
                <w:kern w:val="0"/>
                <w:szCs w:val="21"/>
              </w:rPr>
            </w:pPr>
            <w:r>
              <w:rPr>
                <w:rFonts w:hint="eastAsia" w:ascii="宋体" w:hAnsi="宋体" w:cs="宋体"/>
                <w:b/>
                <w:bCs/>
                <w:kern w:val="0"/>
                <w:szCs w:val="21"/>
              </w:rPr>
              <w:t>供应商拟委派的项目负责人：</w:t>
            </w:r>
          </w:p>
          <w:p w14:paraId="0FF9E16E">
            <w:pPr>
              <w:spacing w:line="320" w:lineRule="exact"/>
              <w:rPr>
                <w:rFonts w:ascii="宋体" w:hAnsi="宋体" w:cs="宋体"/>
                <w:kern w:val="0"/>
                <w:szCs w:val="21"/>
              </w:rPr>
            </w:pPr>
            <w:r>
              <w:rPr>
                <w:rFonts w:hint="eastAsia" w:ascii="宋体" w:hAnsi="宋体" w:cs="宋体"/>
                <w:kern w:val="0"/>
                <w:szCs w:val="21"/>
              </w:rPr>
              <w:t>项目负责人具有研究员级（或正高级）规划师职称得4分，具有高级规划师职称得2分；同时具有注册规划师职业资格加2分。本项最高得6分。</w:t>
            </w:r>
          </w:p>
          <w:p w14:paraId="078C898C">
            <w:pPr>
              <w:spacing w:line="320" w:lineRule="exact"/>
              <w:rPr>
                <w:rFonts w:ascii="宋体" w:hAnsi="宋体" w:cs="宋体"/>
                <w:kern w:val="0"/>
                <w:szCs w:val="21"/>
              </w:rPr>
            </w:pPr>
            <w:r>
              <w:rPr>
                <w:rFonts w:hint="eastAsia" w:ascii="宋体" w:hAnsi="宋体" w:cs="宋体"/>
                <w:kern w:val="0"/>
                <w:szCs w:val="21"/>
              </w:rPr>
              <w:t>（须提供职称证书、毕业证书等相应证明材料复印件加盖公章）</w:t>
            </w:r>
          </w:p>
        </w:tc>
        <w:tc>
          <w:tcPr>
            <w:tcW w:w="461" w:type="pct"/>
            <w:vAlign w:val="center"/>
          </w:tcPr>
          <w:p w14:paraId="0757B8BD">
            <w:pPr>
              <w:spacing w:line="320" w:lineRule="exact"/>
              <w:jc w:val="center"/>
              <w:rPr>
                <w:rFonts w:ascii="宋体" w:hAnsi="宋体" w:cs="宋体"/>
                <w:b/>
                <w:bCs/>
                <w:kern w:val="0"/>
                <w:szCs w:val="21"/>
              </w:rPr>
            </w:pPr>
            <w:r>
              <w:rPr>
                <w:rFonts w:ascii="宋体" w:hAnsi="宋体" w:cs="宋体"/>
                <w:b/>
                <w:bCs/>
                <w:kern w:val="0"/>
                <w:szCs w:val="21"/>
              </w:rPr>
              <w:t>6</w:t>
            </w:r>
          </w:p>
        </w:tc>
      </w:tr>
      <w:tr w14:paraId="54436B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2" w:hRule="atLeast"/>
          <w:jc w:val="center"/>
        </w:trPr>
        <w:tc>
          <w:tcPr>
            <w:tcW w:w="383" w:type="pct"/>
            <w:vAlign w:val="center"/>
          </w:tcPr>
          <w:p w14:paraId="5EDF20DF">
            <w:pPr>
              <w:spacing w:line="288" w:lineRule="auto"/>
              <w:jc w:val="center"/>
              <w:rPr>
                <w:b/>
                <w:bCs/>
              </w:rPr>
            </w:pPr>
            <w:r>
              <w:rPr>
                <w:rFonts w:hint="eastAsia"/>
                <w:b/>
                <w:bCs/>
              </w:rPr>
              <w:t>4.2</w:t>
            </w:r>
          </w:p>
        </w:tc>
        <w:tc>
          <w:tcPr>
            <w:tcW w:w="712" w:type="pct"/>
            <w:vMerge w:val="continue"/>
            <w:vAlign w:val="center"/>
          </w:tcPr>
          <w:p w14:paraId="1D375818">
            <w:pPr>
              <w:pStyle w:val="19"/>
              <w:widowControl/>
              <w:spacing w:line="288" w:lineRule="auto"/>
              <w:rPr>
                <w:rFonts w:eastAsia="宋体"/>
                <w:sz w:val="21"/>
                <w:szCs w:val="21"/>
              </w:rPr>
            </w:pPr>
          </w:p>
        </w:tc>
        <w:tc>
          <w:tcPr>
            <w:tcW w:w="3443" w:type="pct"/>
            <w:vAlign w:val="center"/>
          </w:tcPr>
          <w:p w14:paraId="217FFE08">
            <w:pPr>
              <w:spacing w:line="320" w:lineRule="exact"/>
              <w:rPr>
                <w:rFonts w:ascii="宋体" w:hAnsi="宋体" w:cs="宋体"/>
                <w:b/>
                <w:bCs/>
                <w:kern w:val="0"/>
                <w:szCs w:val="21"/>
              </w:rPr>
            </w:pPr>
            <w:r>
              <w:rPr>
                <w:rFonts w:hint="eastAsia" w:ascii="宋体" w:hAnsi="宋体" w:cs="宋体"/>
                <w:b/>
                <w:bCs/>
                <w:kern w:val="0"/>
                <w:szCs w:val="21"/>
              </w:rPr>
              <w:t>团队能力：</w:t>
            </w:r>
          </w:p>
          <w:p w14:paraId="7D2B13C8">
            <w:pPr>
              <w:pStyle w:val="17"/>
            </w:pPr>
            <w:r>
              <w:rPr>
                <w:rFonts w:hint="eastAsia"/>
              </w:rPr>
              <w:t>团队构成专业齐全，职责分配合理，须包括城市（乡）规划、环境资源、地理科学、地理信息等副高级及以上职称，每提供一个专业得2分，同一专业不重复得分。本项最高得分8分。</w:t>
            </w:r>
          </w:p>
          <w:p w14:paraId="0776EDC5">
            <w:pPr>
              <w:pStyle w:val="17"/>
            </w:pPr>
            <w:r>
              <w:rPr>
                <w:rFonts w:hint="eastAsia"/>
              </w:rPr>
              <w:t>（须提供职称证书、毕业证书等相应证明材料复印件加盖公章）</w:t>
            </w:r>
          </w:p>
        </w:tc>
        <w:tc>
          <w:tcPr>
            <w:tcW w:w="461" w:type="pct"/>
            <w:vAlign w:val="center"/>
          </w:tcPr>
          <w:p w14:paraId="4149C19D">
            <w:pPr>
              <w:spacing w:line="320" w:lineRule="exact"/>
              <w:jc w:val="center"/>
              <w:rPr>
                <w:rFonts w:ascii="宋体" w:hAnsi="宋体" w:cs="宋体"/>
                <w:b/>
                <w:bCs/>
                <w:kern w:val="0"/>
                <w:szCs w:val="21"/>
              </w:rPr>
            </w:pPr>
            <w:r>
              <w:rPr>
                <w:rFonts w:ascii="宋体" w:hAnsi="宋体" w:cs="宋体"/>
                <w:b/>
                <w:bCs/>
                <w:kern w:val="0"/>
                <w:szCs w:val="21"/>
              </w:rPr>
              <w:t>8</w:t>
            </w:r>
          </w:p>
        </w:tc>
      </w:tr>
      <w:tr w14:paraId="1E515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 w:type="pct"/>
            <w:noWrap/>
            <w:vAlign w:val="center"/>
          </w:tcPr>
          <w:p w14:paraId="6499B801">
            <w:pPr>
              <w:widowControl/>
              <w:snapToGrid w:val="0"/>
              <w:spacing w:line="216" w:lineRule="auto"/>
              <w:jc w:val="center"/>
              <w:rPr>
                <w:rFonts w:ascii="宋体" w:hAnsi="宋体" w:cs="仿宋"/>
                <w:b/>
                <w:bCs/>
                <w:szCs w:val="21"/>
              </w:rPr>
            </w:pPr>
            <w:r>
              <w:rPr>
                <w:rFonts w:hint="eastAsia" w:ascii="宋体" w:hAnsi="宋体" w:cs="仿宋"/>
                <w:b/>
                <w:bCs/>
                <w:szCs w:val="21"/>
              </w:rPr>
              <w:t>5</w:t>
            </w:r>
          </w:p>
        </w:tc>
        <w:tc>
          <w:tcPr>
            <w:tcW w:w="4155" w:type="pct"/>
            <w:gridSpan w:val="2"/>
            <w:noWrap/>
            <w:vAlign w:val="center"/>
          </w:tcPr>
          <w:p w14:paraId="136F3026">
            <w:pPr>
              <w:widowControl/>
              <w:snapToGrid w:val="0"/>
              <w:spacing w:line="216" w:lineRule="auto"/>
              <w:jc w:val="center"/>
              <w:rPr>
                <w:rFonts w:ascii="宋体" w:hAnsi="宋体" w:cs="仿宋"/>
                <w:b/>
                <w:bCs/>
                <w:szCs w:val="21"/>
              </w:rPr>
            </w:pPr>
            <w:r>
              <w:rPr>
                <w:rFonts w:hint="eastAsia" w:ascii="宋体" w:hAnsi="宋体" w:cs="仿宋"/>
                <w:b/>
                <w:bCs/>
                <w:szCs w:val="21"/>
              </w:rPr>
              <w:t>合计</w:t>
            </w:r>
          </w:p>
        </w:tc>
        <w:tc>
          <w:tcPr>
            <w:tcW w:w="461" w:type="pct"/>
            <w:noWrap/>
            <w:vAlign w:val="center"/>
          </w:tcPr>
          <w:p w14:paraId="7834D80D">
            <w:pPr>
              <w:widowControl/>
              <w:snapToGrid w:val="0"/>
              <w:spacing w:line="216" w:lineRule="auto"/>
              <w:jc w:val="center"/>
              <w:rPr>
                <w:rFonts w:ascii="宋体" w:hAnsi="宋体" w:cs="仿宋"/>
                <w:b/>
                <w:bCs/>
                <w:szCs w:val="21"/>
              </w:rPr>
            </w:pPr>
            <w:r>
              <w:rPr>
                <w:rFonts w:hint="eastAsia" w:ascii="宋体" w:hAnsi="宋体" w:cs="仿宋"/>
                <w:b/>
                <w:bCs/>
                <w:szCs w:val="21"/>
              </w:rPr>
              <w:t>100</w:t>
            </w:r>
          </w:p>
        </w:tc>
      </w:tr>
    </w:tbl>
    <w:p w14:paraId="1A21B04E">
      <w:pPr>
        <w:spacing w:line="360" w:lineRule="auto"/>
        <w:rPr>
          <w:rFonts w:ascii="宋体" w:hAnsi="宋体" w:cs="宋体"/>
        </w:rPr>
      </w:pPr>
    </w:p>
    <w:p w14:paraId="2C54C728">
      <w:pPr>
        <w:spacing w:line="360" w:lineRule="auto"/>
        <w:rPr>
          <w:rFonts w:ascii="宋体" w:hAnsi="宋体" w:cs="宋体"/>
          <w:b/>
          <w:bCs/>
          <w:sz w:val="22"/>
          <w:szCs w:val="22"/>
        </w:rPr>
      </w:pPr>
      <w:r>
        <w:rPr>
          <w:rFonts w:hint="eastAsia" w:ascii="宋体" w:hAnsi="宋体" w:cs="宋体"/>
          <w:b/>
          <w:bCs/>
          <w:sz w:val="22"/>
          <w:szCs w:val="22"/>
        </w:rPr>
        <w:t>说明：</w:t>
      </w:r>
    </w:p>
    <w:p w14:paraId="4B6916B5">
      <w:pPr>
        <w:spacing w:line="360" w:lineRule="auto"/>
        <w:rPr>
          <w:rFonts w:ascii="宋体" w:hAnsi="宋体" w:cs="宋体"/>
          <w:b/>
          <w:bCs/>
          <w:sz w:val="22"/>
          <w:szCs w:val="22"/>
        </w:rPr>
      </w:pPr>
      <w:r>
        <w:rPr>
          <w:rFonts w:hint="eastAsia" w:ascii="宋体" w:hAnsi="宋体" w:cs="宋体"/>
          <w:b/>
          <w:bCs/>
          <w:sz w:val="22"/>
          <w:szCs w:val="22"/>
        </w:rPr>
        <w:t>1、所有认证、证明和业绩均以有效清晰的证明文件的复印件为依据，原件备查。</w:t>
      </w:r>
    </w:p>
    <w:p w14:paraId="1998FB0B">
      <w:pPr>
        <w:spacing w:line="360" w:lineRule="auto"/>
        <w:rPr>
          <w:rFonts w:ascii="宋体" w:hAnsi="宋体" w:cs="宋体"/>
          <w:kern w:val="0"/>
        </w:rPr>
      </w:pPr>
      <w:r>
        <w:rPr>
          <w:rFonts w:hint="eastAsia" w:ascii="宋体" w:hAnsi="宋体" w:cs="宋体"/>
          <w:kern w:val="0"/>
        </w:rPr>
        <w:t>2.小微企业价格扣除</w:t>
      </w:r>
    </w:p>
    <w:p w14:paraId="1CE38DF2">
      <w:pPr>
        <w:spacing w:line="360" w:lineRule="auto"/>
        <w:rPr>
          <w:rFonts w:ascii="宋体" w:hAnsi="宋体" w:cs="宋体"/>
          <w:kern w:val="0"/>
        </w:rPr>
      </w:pPr>
      <w:r>
        <w:rPr>
          <w:rFonts w:hint="eastAsia" w:ascii="宋体" w:hAnsi="宋体" w:cs="宋体"/>
          <w:kern w:val="0"/>
        </w:rPr>
        <w:t>2.1对于专门面向中小企业或小型、微型企业的项目，只面向中小企业或小型、微型企业采购。对于非专门面向中小企业的项目，对小型和微型企业的价格给予10%的扣除，用扣除后的价格参与评审。</w:t>
      </w:r>
    </w:p>
    <w:p w14:paraId="60C93230">
      <w:pPr>
        <w:spacing w:line="360" w:lineRule="auto"/>
        <w:rPr>
          <w:rFonts w:ascii="宋体" w:hAnsi="宋体" w:cs="宋体"/>
          <w:kern w:val="0"/>
        </w:rPr>
      </w:pPr>
      <w:r>
        <w:rPr>
          <w:rFonts w:hint="eastAsia" w:ascii="宋体" w:hAnsi="宋体" w:cs="宋体"/>
          <w:kern w:val="0"/>
        </w:rPr>
        <w:t>2.2大中型企业和其他自然人、法人或者其他组织与小型、微型企业组成联合体共同参加投标，如果联合协议中约定，小型、微型企业的协议合同金额占到联合体协议合同总金额30%以上的，给予联合体4%的价格扣除。联合体各方均为小型、微型企业的，联合体视同为小型、微型企业给予10%价格扣除，用扣除后的价格参与评审。组成联合体的大中型企业和其他自然人、法人或者其他组织，与小型、微型企业之间不得存在投资关系。</w:t>
      </w:r>
    </w:p>
    <w:p w14:paraId="21973AE6">
      <w:pPr>
        <w:spacing w:line="360" w:lineRule="auto"/>
        <w:rPr>
          <w:rFonts w:ascii="宋体" w:hAnsi="宋体" w:cs="宋体"/>
          <w:kern w:val="0"/>
        </w:rPr>
      </w:pPr>
      <w:r>
        <w:rPr>
          <w:rFonts w:hint="eastAsia" w:ascii="宋体" w:hAnsi="宋体" w:cs="宋体"/>
          <w:kern w:val="0"/>
        </w:rPr>
        <w:t>3.监狱和戒毒企业的价格扣除</w:t>
      </w:r>
    </w:p>
    <w:p w14:paraId="41BB4CC4">
      <w:pPr>
        <w:spacing w:line="360" w:lineRule="auto"/>
        <w:rPr>
          <w:rFonts w:ascii="宋体" w:hAnsi="宋体" w:cs="宋体"/>
          <w:kern w:val="0"/>
        </w:rPr>
      </w:pPr>
      <w:r>
        <w:rPr>
          <w:rFonts w:hint="eastAsia" w:ascii="宋体" w:hAnsi="宋体" w:cs="宋体"/>
          <w:kern w:val="0"/>
        </w:rPr>
        <w:t>3.1 本项目对监狱和戒毒企业，给予10%的价格扣除，用扣除后的价格参与评审。</w:t>
      </w:r>
    </w:p>
    <w:p w14:paraId="497CD26B">
      <w:pPr>
        <w:spacing w:line="360" w:lineRule="auto"/>
        <w:rPr>
          <w:rFonts w:ascii="宋体" w:hAnsi="宋体" w:cs="宋体"/>
          <w:kern w:val="0"/>
        </w:rPr>
      </w:pPr>
      <w:r>
        <w:rPr>
          <w:rFonts w:hint="eastAsia" w:ascii="宋体" w:hAnsi="宋体" w:cs="宋体"/>
          <w:kern w:val="0"/>
        </w:rPr>
        <w:t>3.2 监狱企业需提供由省级以上监狱管理局、戒毒管理局（含新疆生产建设兵团）出具的属于监狱企业的证明文件。</w:t>
      </w:r>
    </w:p>
    <w:p w14:paraId="54A13D32">
      <w:pPr>
        <w:spacing w:line="360" w:lineRule="auto"/>
        <w:rPr>
          <w:rFonts w:ascii="宋体" w:hAnsi="宋体" w:cs="宋体"/>
          <w:kern w:val="0"/>
        </w:rPr>
      </w:pPr>
      <w:r>
        <w:rPr>
          <w:rFonts w:hint="eastAsia" w:ascii="宋体" w:hAnsi="宋体" w:cs="宋体"/>
          <w:kern w:val="0"/>
        </w:rPr>
        <w:t>3.3 监狱企业标准请参照《关于政府采购支持监狱企业发展有关问题的通知》（财库〔2014〕68号）。</w:t>
      </w:r>
    </w:p>
    <w:p w14:paraId="48B57756">
      <w:pPr>
        <w:spacing w:line="360" w:lineRule="auto"/>
        <w:rPr>
          <w:rFonts w:ascii="宋体" w:hAnsi="宋体" w:cs="宋体"/>
          <w:kern w:val="0"/>
        </w:rPr>
      </w:pPr>
      <w:r>
        <w:rPr>
          <w:rFonts w:hint="eastAsia" w:ascii="宋体" w:hAnsi="宋体" w:cs="宋体"/>
          <w:kern w:val="0"/>
        </w:rPr>
        <w:t>4.残疾人福利性单位的价格扣除</w:t>
      </w:r>
    </w:p>
    <w:p w14:paraId="74B005B7">
      <w:pPr>
        <w:spacing w:line="360" w:lineRule="auto"/>
        <w:rPr>
          <w:rFonts w:ascii="宋体" w:hAnsi="宋体" w:cs="宋体"/>
          <w:kern w:val="0"/>
        </w:rPr>
      </w:pPr>
      <w:r>
        <w:rPr>
          <w:rFonts w:hint="eastAsia" w:ascii="宋体" w:hAnsi="宋体" w:cs="宋体"/>
          <w:kern w:val="0"/>
        </w:rPr>
        <w:t>4.1 本项目对残疾人福利性单位，给予10%的价格扣除，用扣除后的价格参与评审。</w:t>
      </w:r>
    </w:p>
    <w:p w14:paraId="1FD837C4">
      <w:pPr>
        <w:spacing w:line="360" w:lineRule="auto"/>
        <w:rPr>
          <w:rFonts w:ascii="宋体" w:hAnsi="宋体" w:cs="宋体"/>
          <w:kern w:val="0"/>
        </w:rPr>
      </w:pPr>
      <w:r>
        <w:rPr>
          <w:rFonts w:hint="eastAsia" w:ascii="宋体" w:hAnsi="宋体" w:cs="宋体"/>
          <w:kern w:val="0"/>
        </w:rPr>
        <w:t>4.2 残疾人福利性单位需提供《残疾人福利性单位声明函》。</w:t>
      </w:r>
    </w:p>
    <w:p w14:paraId="44E01E76">
      <w:pPr>
        <w:spacing w:line="360" w:lineRule="auto"/>
        <w:rPr>
          <w:rFonts w:ascii="宋体" w:hAnsi="宋体" w:cs="宋体"/>
          <w:kern w:val="0"/>
        </w:rPr>
      </w:pPr>
      <w:r>
        <w:rPr>
          <w:rFonts w:hint="eastAsia" w:ascii="宋体" w:hAnsi="宋体" w:cs="宋体"/>
          <w:kern w:val="0"/>
        </w:rPr>
        <w:t>4.3 残疾人福利性单位标准请参照《关于促进残疾人就业政府采购政策的通知》（财库〔2017〕141号）。</w:t>
      </w:r>
    </w:p>
    <w:p w14:paraId="64FD80E9">
      <w:pPr>
        <w:spacing w:line="360" w:lineRule="auto"/>
        <w:rPr>
          <w:rFonts w:ascii="宋体" w:hAnsi="宋体" w:cs="宋体"/>
          <w:kern w:val="0"/>
        </w:rPr>
      </w:pPr>
      <w:r>
        <w:rPr>
          <w:rFonts w:hint="eastAsia" w:ascii="宋体" w:hAnsi="宋体" w:cs="宋体"/>
          <w:kern w:val="0"/>
        </w:rPr>
        <w:t>5. 监狱企业、残疾人福利性单位属于小型、微型企业的，不重复享受政策。</w:t>
      </w:r>
    </w:p>
    <w:p w14:paraId="6C4767FF">
      <w:pPr>
        <w:widowControl/>
        <w:jc w:val="left"/>
        <w:rPr>
          <w:rFonts w:ascii="宋体" w:hAnsi="宋体" w:cs="宋体"/>
          <w:b/>
          <w:bCs/>
          <w:kern w:val="0"/>
          <w:sz w:val="32"/>
          <w:szCs w:val="44"/>
        </w:rPr>
      </w:pPr>
      <w:r>
        <w:rPr>
          <w:rFonts w:hint="eastAsia" w:ascii="宋体" w:hAnsi="宋体" w:cs="宋体"/>
          <w:kern w:val="0"/>
        </w:rPr>
        <w:br w:type="page"/>
      </w:r>
    </w:p>
    <w:p w14:paraId="0A6D9D6C">
      <w:pPr>
        <w:pStyle w:val="3"/>
        <w:numPr>
          <w:ilvl w:val="0"/>
          <w:numId w:val="0"/>
        </w:numPr>
        <w:rPr>
          <w:rFonts w:ascii="宋体" w:hAnsi="宋体" w:cs="宋体"/>
          <w:kern w:val="0"/>
        </w:rPr>
      </w:pPr>
      <w:bookmarkStart w:id="7" w:name="_Toc181611531"/>
      <w:r>
        <w:rPr>
          <w:rFonts w:hint="eastAsia" w:ascii="宋体" w:hAnsi="宋体" w:cs="宋体"/>
          <w:kern w:val="0"/>
        </w:rPr>
        <w:t>第四章  采购需求</w:t>
      </w:r>
      <w:bookmarkEnd w:id="7"/>
      <w:bookmarkStart w:id="8" w:name="_Toc481057147"/>
    </w:p>
    <w:bookmarkEnd w:id="8"/>
    <w:p w14:paraId="3A53DE32">
      <w:pPr>
        <w:spacing w:line="360" w:lineRule="auto"/>
        <w:ind w:firstLine="422" w:firstLineChars="200"/>
        <w:jc w:val="left"/>
        <w:rPr>
          <w:rFonts w:ascii="宋体" w:hAnsi="宋体" w:cs="宋体"/>
          <w:b/>
          <w:szCs w:val="21"/>
        </w:rPr>
      </w:pPr>
      <w:r>
        <w:rPr>
          <w:rFonts w:hint="eastAsia" w:ascii="宋体" w:hAnsi="宋体" w:cs="宋体"/>
          <w:b/>
          <w:szCs w:val="21"/>
        </w:rPr>
        <w:t>一、项目概况</w:t>
      </w:r>
    </w:p>
    <w:p w14:paraId="4BCC7490">
      <w:pPr>
        <w:spacing w:line="360" w:lineRule="auto"/>
        <w:ind w:firstLine="420" w:firstLineChars="200"/>
        <w:rPr>
          <w:rFonts w:ascii="宋体" w:hAnsi="宋体" w:cs="宋体"/>
          <w:bCs/>
          <w:szCs w:val="21"/>
        </w:rPr>
      </w:pPr>
      <w:r>
        <w:rPr>
          <w:rFonts w:hint="eastAsia" w:ascii="宋体" w:hAnsi="宋体" w:cs="宋体"/>
          <w:bCs/>
          <w:szCs w:val="21"/>
        </w:rPr>
        <w:t>生态空间管控区域是江苏省委省政府贯彻习近平生态文明思想的独特探索与实践，也是建设美丽江苏的重要决策部署。为了加强生态环境保护与监管，省生态环境部门划定了生态空间管控区域，2020年按照省政府要求，涉及生态空间管控区域划定、调整职责由生态环境部门划转至自然资源部门，生态环境部门负责监督管理职责。2021年以来，随着《江苏省生态空间管控区域规划》、《生态空间管控区域调整管理办法》等文件的相继印发，其客观存在的划定范围不尽合理、空间图数不尽一致、管控要求不尽科学等问题逐渐暴露。2025年，省自然资源厅、省生态环境厅、省林业局联合组织开展生态空间管控区域评估工作，正式发布《关于印发生态空间管控区域评估工作方案和技术方案的函》（苏自然资函〔2025〕196号），明确要求设区市层面“统筹市域生态空间管控区域面积和布局，指导各县（市、区）有序推进评估工作，编制形成市级成果，组织论证后按程序上报”。</w:t>
      </w:r>
      <w:r>
        <w:rPr>
          <w:rFonts w:hint="eastAsia"/>
        </w:rPr>
        <w:t>因此，</w:t>
      </w:r>
      <w:r>
        <w:rPr>
          <w:rFonts w:hint="eastAsia" w:ascii="宋体" w:hAnsi="宋体" w:cs="宋体"/>
          <w:bCs/>
          <w:szCs w:val="21"/>
        </w:rPr>
        <w:t>科学评估生态空间管控区域的划定实施现状、合理调整其划定范围，对优化生态空间布局具有重要作用和意义。</w:t>
      </w:r>
    </w:p>
    <w:p w14:paraId="282A3D62">
      <w:pPr>
        <w:spacing w:line="360" w:lineRule="auto"/>
        <w:ind w:firstLine="422" w:firstLineChars="200"/>
        <w:jc w:val="left"/>
        <w:rPr>
          <w:rFonts w:ascii="宋体" w:hAnsi="宋体" w:cs="宋体"/>
          <w:b/>
          <w:szCs w:val="21"/>
        </w:rPr>
      </w:pPr>
      <w:r>
        <w:rPr>
          <w:rFonts w:hint="eastAsia" w:ascii="宋体" w:hAnsi="宋体" w:cs="宋体"/>
          <w:b/>
          <w:szCs w:val="21"/>
        </w:rPr>
        <w:t>二、工作任务</w:t>
      </w:r>
    </w:p>
    <w:p w14:paraId="2B8B51AF">
      <w:pPr>
        <w:spacing w:line="360" w:lineRule="auto"/>
        <w:ind w:firstLine="420" w:firstLineChars="200"/>
        <w:rPr>
          <w:rFonts w:ascii="宋体" w:hAnsi="宋体" w:cs="宋体"/>
          <w:bCs/>
          <w:szCs w:val="21"/>
        </w:rPr>
      </w:pPr>
      <w:r>
        <w:rPr>
          <w:rFonts w:hint="eastAsia" w:ascii="宋体" w:hAnsi="宋体" w:cs="宋体"/>
          <w:bCs/>
          <w:szCs w:val="21"/>
        </w:rPr>
        <w:t>本次工作分为两个部分，第一部分是完成省厅对市级层面要求的“设区市按照省级部署要求，结合资源环境承载能力指导各区开展评估工作，在汇总县级评估优化成果的基础上，形成市级评估优化成果（包含文本、表格、图件和数据库等）”以及“设区市对评估优化成果组织审查论证并修改完善，由市政府行文报送省政府”相关成果；第二部分是开展主城玄武区、秦淮区</w:t>
      </w:r>
      <w:r>
        <w:rPr>
          <w:rFonts w:ascii="宋体" w:hAnsi="宋体" w:cs="宋体"/>
          <w:bCs/>
          <w:szCs w:val="21"/>
        </w:rPr>
        <w:t>、</w:t>
      </w:r>
      <w:r>
        <w:rPr>
          <w:rFonts w:hint="eastAsia" w:ascii="宋体" w:hAnsi="宋体" w:cs="宋体"/>
          <w:bCs/>
          <w:szCs w:val="21"/>
        </w:rPr>
        <w:t>建邺区</w:t>
      </w:r>
      <w:r>
        <w:rPr>
          <w:rFonts w:ascii="宋体" w:hAnsi="宋体" w:cs="宋体"/>
          <w:bCs/>
          <w:szCs w:val="21"/>
        </w:rPr>
        <w:t>、</w:t>
      </w:r>
      <w:r>
        <w:rPr>
          <w:rFonts w:hint="eastAsia" w:ascii="宋体" w:hAnsi="宋体" w:cs="宋体"/>
          <w:bCs/>
          <w:szCs w:val="21"/>
        </w:rPr>
        <w:t>鼓楼区生态空间管控区域进行全面评估，形成评估报告，并对确有需要进行优化的，编制优化方案（包含文本、表格、图件和数据库等）提交市级汇总。具体包括：</w:t>
      </w:r>
    </w:p>
    <w:p w14:paraId="72253F79">
      <w:pPr>
        <w:spacing w:line="360" w:lineRule="auto"/>
        <w:ind w:firstLine="420" w:firstLineChars="200"/>
        <w:jc w:val="left"/>
        <w:rPr>
          <w:rFonts w:ascii="宋体" w:hAnsi="宋体" w:cs="宋体"/>
          <w:bCs/>
          <w:szCs w:val="21"/>
        </w:rPr>
      </w:pPr>
      <w:r>
        <w:rPr>
          <w:rFonts w:hint="eastAsia" w:ascii="宋体" w:hAnsi="宋体" w:cs="宋体"/>
          <w:bCs/>
          <w:szCs w:val="21"/>
        </w:rPr>
        <w:t>（1）前期工作准备：包括市级工作方案和技术方案的编制、深化、印发，并召集各区进行现场工作培训指导。</w:t>
      </w:r>
    </w:p>
    <w:p w14:paraId="55BD0C01">
      <w:pPr>
        <w:spacing w:line="360" w:lineRule="auto"/>
        <w:ind w:firstLine="420" w:firstLineChars="200"/>
        <w:rPr>
          <w:rFonts w:ascii="宋体" w:hAnsi="宋体" w:cs="宋体"/>
          <w:bCs/>
          <w:szCs w:val="21"/>
        </w:rPr>
      </w:pPr>
      <w:r>
        <w:rPr>
          <w:rFonts w:hint="eastAsia" w:ascii="宋体" w:hAnsi="宋体" w:cs="宋体"/>
          <w:bCs/>
          <w:szCs w:val="21"/>
        </w:rPr>
        <w:t>（2）基础资料收集：包括南京市生态空间管控</w:t>
      </w:r>
      <w:r>
        <w:rPr>
          <w:rFonts w:ascii="宋体" w:hAnsi="宋体" w:cs="宋体"/>
          <w:bCs/>
          <w:szCs w:val="21"/>
        </w:rPr>
        <w:t>区域</w:t>
      </w:r>
      <w:r>
        <w:rPr>
          <w:rFonts w:hint="eastAsia" w:ascii="宋体" w:hAnsi="宋体" w:cs="宋体"/>
          <w:bCs/>
          <w:szCs w:val="21"/>
        </w:rPr>
        <w:t>矢量数据、各区历年调整方案、资源环境承载力评价成果、高分辨率遥感影像、国土空间总体规划、国土变更调查、</w:t>
      </w:r>
      <w:r>
        <w:rPr>
          <w:rFonts w:ascii="宋体" w:hAnsi="宋体" w:cs="宋体"/>
          <w:bCs/>
          <w:szCs w:val="21"/>
        </w:rPr>
        <w:t>各类法定</w:t>
      </w:r>
      <w:r>
        <w:rPr>
          <w:rFonts w:hint="eastAsia" w:ascii="宋体" w:hAnsi="宋体" w:cs="宋体"/>
          <w:bCs/>
          <w:szCs w:val="21"/>
        </w:rPr>
        <w:t>保护区</w:t>
      </w:r>
      <w:r>
        <w:rPr>
          <w:rFonts w:ascii="宋体" w:hAnsi="宋体" w:cs="宋体"/>
          <w:bCs/>
          <w:szCs w:val="21"/>
        </w:rPr>
        <w:t>保护范围</w:t>
      </w:r>
      <w:r>
        <w:rPr>
          <w:rFonts w:hint="eastAsia" w:ascii="宋体" w:hAnsi="宋体" w:cs="宋体"/>
          <w:bCs/>
          <w:szCs w:val="21"/>
        </w:rPr>
        <w:t>等资料的整理收集，基础资料收集完成后统一下发各区。</w:t>
      </w:r>
    </w:p>
    <w:p w14:paraId="7225A812">
      <w:pPr>
        <w:spacing w:line="360" w:lineRule="auto"/>
        <w:ind w:firstLine="420" w:firstLineChars="200"/>
        <w:rPr>
          <w:rFonts w:ascii="宋体" w:hAnsi="宋体" w:cs="宋体"/>
          <w:bCs/>
          <w:szCs w:val="21"/>
        </w:rPr>
      </w:pPr>
      <w:r>
        <w:rPr>
          <w:rFonts w:hint="eastAsia" w:ascii="宋体" w:hAnsi="宋体" w:cs="宋体"/>
          <w:bCs/>
          <w:szCs w:val="21"/>
        </w:rPr>
        <w:t>（3）内业整理和外业调查：核实生态空间管控区域评估采用的基础数据真实可靠性、各类型管控区现行边界与法定（划定）范围的一致性；借助高分辨率遥感影像，逐一核查冲突图斑的矛盾情况；组织相关部门召开座谈会了解管控区现状问题；对冲突规模较大、空间分布较为集中的区域开展现场踏勘和实地核查。</w:t>
      </w:r>
    </w:p>
    <w:p w14:paraId="0C33864F">
      <w:pPr>
        <w:spacing w:line="360" w:lineRule="auto"/>
        <w:ind w:firstLine="420" w:firstLineChars="200"/>
        <w:rPr>
          <w:rFonts w:ascii="宋体" w:hAnsi="宋体" w:cs="宋体"/>
          <w:bCs/>
          <w:szCs w:val="21"/>
        </w:rPr>
      </w:pPr>
      <w:r>
        <w:rPr>
          <w:rFonts w:hint="eastAsia" w:ascii="宋体" w:hAnsi="宋体" w:cs="宋体"/>
          <w:bCs/>
          <w:szCs w:val="21"/>
        </w:rPr>
        <w:t>（4）市级审查：对各区评估和调整优化成果、数据库进行审查，统筹各区生态管控区面积，做好县级毗邻地区生态管控区衔接。</w:t>
      </w:r>
    </w:p>
    <w:p w14:paraId="7C1C0180">
      <w:pPr>
        <w:spacing w:line="360" w:lineRule="auto"/>
        <w:ind w:firstLine="420" w:firstLineChars="200"/>
        <w:rPr>
          <w:rFonts w:ascii="宋体" w:hAnsi="宋体" w:cs="宋体"/>
          <w:bCs/>
          <w:szCs w:val="21"/>
        </w:rPr>
      </w:pPr>
      <w:r>
        <w:rPr>
          <w:rFonts w:hint="eastAsia" w:ascii="宋体" w:hAnsi="宋体" w:cs="宋体"/>
          <w:bCs/>
          <w:szCs w:val="21"/>
        </w:rPr>
        <w:t>（5）市级成果编制：在汇总各区评估调整成果的基础上，编制市级评估优化成果和调整方案（包含文本、表格、图件和数据库等），建立市级生态空间</w:t>
      </w:r>
      <w:r>
        <w:rPr>
          <w:rFonts w:ascii="宋体" w:hAnsi="宋体" w:cs="宋体"/>
          <w:bCs/>
          <w:szCs w:val="21"/>
        </w:rPr>
        <w:t>管控区域</w:t>
      </w:r>
      <w:r>
        <w:rPr>
          <w:rFonts w:hint="eastAsia" w:ascii="宋体" w:hAnsi="宋体" w:cs="宋体"/>
          <w:bCs/>
          <w:szCs w:val="21"/>
        </w:rPr>
        <w:t>数据库。</w:t>
      </w:r>
    </w:p>
    <w:p w14:paraId="337EBE84">
      <w:pPr>
        <w:spacing w:line="360" w:lineRule="auto"/>
        <w:ind w:firstLine="420" w:firstLineChars="200"/>
        <w:rPr>
          <w:rFonts w:ascii="宋体" w:hAnsi="宋体" w:cs="宋体"/>
          <w:bCs/>
          <w:szCs w:val="21"/>
        </w:rPr>
      </w:pPr>
      <w:r>
        <w:rPr>
          <w:rFonts w:hint="eastAsia" w:ascii="宋体" w:hAnsi="宋体" w:cs="宋体"/>
          <w:bCs/>
          <w:szCs w:val="21"/>
        </w:rPr>
        <w:t>（6）市级成果论证验收：组织专家论证，开展公示</w:t>
      </w:r>
      <w:r>
        <w:rPr>
          <w:rFonts w:ascii="宋体" w:hAnsi="宋体" w:cs="宋体"/>
          <w:bCs/>
          <w:szCs w:val="21"/>
        </w:rPr>
        <w:t>、</w:t>
      </w:r>
      <w:r>
        <w:rPr>
          <w:rFonts w:hint="eastAsia" w:ascii="宋体" w:hAnsi="宋体" w:cs="宋体"/>
          <w:bCs/>
          <w:szCs w:val="21"/>
        </w:rPr>
        <w:t>部门</w:t>
      </w:r>
      <w:r>
        <w:rPr>
          <w:rFonts w:ascii="宋体" w:hAnsi="宋体" w:cs="宋体"/>
          <w:bCs/>
          <w:szCs w:val="21"/>
        </w:rPr>
        <w:t>意见征询</w:t>
      </w:r>
      <w:r>
        <w:rPr>
          <w:rFonts w:hint="eastAsia" w:ascii="宋体" w:hAnsi="宋体" w:cs="宋体"/>
          <w:bCs/>
          <w:szCs w:val="21"/>
        </w:rPr>
        <w:t>，</w:t>
      </w:r>
      <w:r>
        <w:rPr>
          <w:rFonts w:ascii="宋体" w:hAnsi="宋体" w:cs="宋体"/>
          <w:bCs/>
          <w:szCs w:val="21"/>
        </w:rPr>
        <w:t>充分落实公众意见</w:t>
      </w:r>
      <w:r>
        <w:rPr>
          <w:rFonts w:hint="eastAsia" w:ascii="宋体" w:hAnsi="宋体" w:cs="宋体"/>
          <w:bCs/>
          <w:szCs w:val="21"/>
        </w:rPr>
        <w:t>和相关生态行业主管部门意见，形成上报成果。</w:t>
      </w:r>
    </w:p>
    <w:p w14:paraId="4FADA8EA">
      <w:pPr>
        <w:spacing w:line="360" w:lineRule="auto"/>
        <w:ind w:firstLine="420" w:firstLineChars="200"/>
        <w:rPr>
          <w:rFonts w:ascii="宋体" w:hAnsi="宋体" w:cs="宋体"/>
          <w:bCs/>
          <w:szCs w:val="21"/>
        </w:rPr>
      </w:pPr>
      <w:r>
        <w:rPr>
          <w:rFonts w:hint="eastAsia" w:ascii="宋体" w:hAnsi="宋体" w:cs="宋体"/>
          <w:bCs/>
          <w:szCs w:val="21"/>
        </w:rPr>
        <w:t>（7）主城玄武区、秦淮区、建邺区、鼓楼区评估优化成果编制：按省、市要求开展评估分析，明确评估结论，编制优化方案。</w:t>
      </w:r>
    </w:p>
    <w:p w14:paraId="004291BE">
      <w:pPr>
        <w:spacing w:line="360" w:lineRule="auto"/>
        <w:ind w:firstLine="420" w:firstLineChars="200"/>
        <w:rPr>
          <w:rFonts w:ascii="宋体" w:hAnsi="宋体" w:cs="宋体"/>
          <w:bCs/>
          <w:szCs w:val="21"/>
        </w:rPr>
      </w:pPr>
      <w:r>
        <w:rPr>
          <w:rFonts w:hint="eastAsia" w:ascii="宋体" w:hAnsi="宋体" w:cs="宋体"/>
          <w:bCs/>
          <w:szCs w:val="21"/>
        </w:rPr>
        <w:t>（8）成果报送：包含全市评估报告、优化方案的电子文件（刻盘）、纸质文件及相关附件材料；主城四区的评估报告、优化方案的电子文件（刻盘）、主要成果的纸质文件及相关附件材料。</w:t>
      </w:r>
    </w:p>
    <w:p w14:paraId="2E7A7802">
      <w:pPr>
        <w:spacing w:line="360" w:lineRule="auto"/>
        <w:ind w:firstLine="420" w:firstLineChars="200"/>
      </w:pPr>
      <w:r>
        <w:rPr>
          <w:rFonts w:hint="eastAsia" w:ascii="宋体" w:hAnsi="宋体" w:cs="宋体"/>
          <w:bCs/>
          <w:szCs w:val="21"/>
        </w:rPr>
        <w:t>（9）成果归档：按要求完成所有成果的电子文件和相关纸质文件归档。</w:t>
      </w:r>
    </w:p>
    <w:p w14:paraId="184F2DB4">
      <w:pPr>
        <w:spacing w:line="360" w:lineRule="auto"/>
        <w:ind w:firstLine="422" w:firstLineChars="200"/>
        <w:jc w:val="left"/>
        <w:rPr>
          <w:rFonts w:ascii="宋体" w:hAnsi="宋体" w:cs="宋体"/>
          <w:b/>
          <w:szCs w:val="21"/>
        </w:rPr>
      </w:pPr>
      <w:r>
        <w:rPr>
          <w:rFonts w:hint="eastAsia" w:ascii="宋体" w:hAnsi="宋体" w:cs="宋体"/>
          <w:b/>
          <w:szCs w:val="21"/>
        </w:rPr>
        <w:t>三、时间要求</w:t>
      </w:r>
    </w:p>
    <w:p w14:paraId="738E93CF">
      <w:pPr>
        <w:spacing w:line="360" w:lineRule="auto"/>
        <w:ind w:firstLine="420" w:firstLineChars="200"/>
        <w:jc w:val="left"/>
        <w:rPr>
          <w:rFonts w:ascii="宋体" w:hAnsi="宋体" w:cs="宋体"/>
          <w:bCs/>
          <w:szCs w:val="21"/>
        </w:rPr>
      </w:pPr>
      <w:r>
        <w:rPr>
          <w:rFonts w:hint="eastAsia" w:ascii="宋体" w:hAnsi="宋体" w:cs="宋体"/>
          <w:bCs/>
          <w:szCs w:val="21"/>
        </w:rPr>
        <w:t>202</w:t>
      </w:r>
      <w:r>
        <w:rPr>
          <w:rFonts w:ascii="宋体" w:hAnsi="宋体" w:cs="宋体"/>
          <w:bCs/>
          <w:szCs w:val="21"/>
        </w:rPr>
        <w:t>5</w:t>
      </w:r>
      <w:r>
        <w:rPr>
          <w:rFonts w:hint="eastAsia" w:ascii="宋体" w:hAnsi="宋体" w:cs="宋体"/>
          <w:bCs/>
          <w:szCs w:val="21"/>
        </w:rPr>
        <w:t>年</w:t>
      </w:r>
      <w:r>
        <w:rPr>
          <w:rFonts w:ascii="宋体" w:hAnsi="宋体" w:cs="宋体"/>
          <w:bCs/>
          <w:szCs w:val="21"/>
        </w:rPr>
        <w:t>08</w:t>
      </w:r>
      <w:r>
        <w:rPr>
          <w:rFonts w:hint="eastAsia" w:ascii="宋体" w:hAnsi="宋体" w:cs="宋体"/>
          <w:bCs/>
          <w:szCs w:val="21"/>
        </w:rPr>
        <w:t>月，指导各区形成初步成果、</w:t>
      </w:r>
      <w:r>
        <w:rPr>
          <w:rFonts w:ascii="宋体" w:hAnsi="宋体" w:cs="宋体"/>
          <w:bCs/>
          <w:szCs w:val="21"/>
        </w:rPr>
        <w:t>完成主城四区初步成果</w:t>
      </w:r>
      <w:r>
        <w:rPr>
          <w:rFonts w:hint="eastAsia" w:ascii="宋体" w:hAnsi="宋体" w:cs="宋体"/>
          <w:bCs/>
          <w:szCs w:val="21"/>
        </w:rPr>
        <w:t>；</w:t>
      </w:r>
    </w:p>
    <w:p w14:paraId="0B965850">
      <w:pPr>
        <w:spacing w:line="360" w:lineRule="auto"/>
        <w:ind w:firstLine="420" w:firstLineChars="200"/>
        <w:jc w:val="left"/>
        <w:rPr>
          <w:rFonts w:ascii="宋体" w:hAnsi="宋体" w:cs="宋体"/>
          <w:bCs/>
          <w:szCs w:val="21"/>
        </w:rPr>
      </w:pPr>
      <w:r>
        <w:rPr>
          <w:rFonts w:hint="eastAsia" w:ascii="宋体" w:hAnsi="宋体" w:cs="宋体"/>
          <w:bCs/>
          <w:szCs w:val="21"/>
        </w:rPr>
        <w:t>202</w:t>
      </w:r>
      <w:r>
        <w:rPr>
          <w:rFonts w:ascii="宋体" w:hAnsi="宋体" w:cs="宋体"/>
          <w:bCs/>
          <w:szCs w:val="21"/>
        </w:rPr>
        <w:t>5</w:t>
      </w:r>
      <w:r>
        <w:rPr>
          <w:rFonts w:hint="eastAsia" w:ascii="宋体" w:hAnsi="宋体" w:cs="宋体"/>
          <w:bCs/>
          <w:szCs w:val="21"/>
        </w:rPr>
        <w:t>年</w:t>
      </w:r>
      <w:r>
        <w:rPr>
          <w:rFonts w:ascii="宋体" w:hAnsi="宋体" w:cs="宋体"/>
          <w:bCs/>
          <w:szCs w:val="21"/>
        </w:rPr>
        <w:t>10</w:t>
      </w:r>
      <w:r>
        <w:rPr>
          <w:rFonts w:hint="eastAsia" w:ascii="宋体" w:hAnsi="宋体" w:cs="宋体"/>
          <w:bCs/>
          <w:szCs w:val="21"/>
        </w:rPr>
        <w:t>月，完成市级方案深化成果；</w:t>
      </w:r>
    </w:p>
    <w:p w14:paraId="0E347361">
      <w:pPr>
        <w:spacing w:line="360" w:lineRule="auto"/>
        <w:ind w:firstLine="420" w:firstLineChars="200"/>
        <w:jc w:val="left"/>
        <w:rPr>
          <w:rFonts w:ascii="宋体" w:hAnsi="宋体" w:cs="宋体"/>
          <w:bCs/>
          <w:szCs w:val="21"/>
        </w:rPr>
      </w:pPr>
      <w:r>
        <w:rPr>
          <w:rFonts w:ascii="宋体" w:hAnsi="宋体" w:cs="宋体"/>
          <w:bCs/>
          <w:szCs w:val="21"/>
        </w:rPr>
        <w:t>2025</w:t>
      </w:r>
      <w:r>
        <w:rPr>
          <w:rFonts w:hint="eastAsia" w:ascii="宋体" w:hAnsi="宋体" w:cs="宋体"/>
          <w:bCs/>
          <w:szCs w:val="21"/>
        </w:rPr>
        <w:t>年1</w:t>
      </w:r>
      <w:r>
        <w:rPr>
          <w:rFonts w:ascii="宋体" w:hAnsi="宋体" w:cs="宋体"/>
          <w:bCs/>
          <w:szCs w:val="21"/>
        </w:rPr>
        <w:t>2</w:t>
      </w:r>
      <w:r>
        <w:rPr>
          <w:rFonts w:hint="eastAsia" w:ascii="宋体" w:hAnsi="宋体" w:cs="宋体"/>
          <w:bCs/>
          <w:szCs w:val="21"/>
        </w:rPr>
        <w:t>月，完成成果论证、验收、公示、上报</w:t>
      </w:r>
      <w:r>
        <w:rPr>
          <w:rFonts w:ascii="宋体" w:hAnsi="宋体" w:cs="宋体"/>
          <w:bCs/>
          <w:szCs w:val="21"/>
        </w:rPr>
        <w:t>、</w:t>
      </w:r>
      <w:r>
        <w:rPr>
          <w:rFonts w:hint="eastAsia" w:ascii="宋体" w:hAnsi="宋体" w:cs="宋体"/>
          <w:bCs/>
          <w:szCs w:val="21"/>
        </w:rPr>
        <w:t>归档等工作。</w:t>
      </w:r>
    </w:p>
    <w:p w14:paraId="16C0B36D">
      <w:pPr>
        <w:spacing w:line="360" w:lineRule="auto"/>
        <w:ind w:firstLine="422" w:firstLineChars="200"/>
        <w:jc w:val="left"/>
        <w:rPr>
          <w:rFonts w:ascii="宋体" w:hAnsi="宋体" w:cs="宋体"/>
          <w:b/>
          <w:szCs w:val="21"/>
        </w:rPr>
      </w:pPr>
      <w:r>
        <w:rPr>
          <w:rFonts w:hint="eastAsia" w:ascii="宋体" w:hAnsi="宋体" w:cs="宋体"/>
          <w:b/>
          <w:szCs w:val="21"/>
        </w:rPr>
        <w:t>四、服务期</w:t>
      </w:r>
    </w:p>
    <w:p w14:paraId="6EA62632">
      <w:pPr>
        <w:spacing w:line="360" w:lineRule="auto"/>
        <w:ind w:firstLine="452" w:firstLineChars="200"/>
        <w:jc w:val="left"/>
        <w:rPr>
          <w:rFonts w:ascii="宋体" w:hAnsi="宋体" w:cs="宋体"/>
          <w:bCs/>
          <w:szCs w:val="21"/>
        </w:rPr>
      </w:pPr>
      <w:r>
        <w:rPr>
          <w:rFonts w:hint="eastAsia" w:ascii="宋体" w:hAnsi="宋体" w:cs="宋体"/>
          <w:spacing w:val="8"/>
          <w:kern w:val="0"/>
        </w:rPr>
        <w:t>按采购人要求的时间节点完成</w:t>
      </w:r>
      <w:r>
        <w:rPr>
          <w:rFonts w:hint="eastAsia" w:ascii="宋体" w:hAnsi="宋体" w:cs="宋体"/>
          <w:bCs/>
          <w:szCs w:val="21"/>
        </w:rPr>
        <w:t>。</w:t>
      </w:r>
    </w:p>
    <w:p w14:paraId="14434A60">
      <w:pPr>
        <w:spacing w:line="360" w:lineRule="auto"/>
        <w:ind w:left="422"/>
        <w:jc w:val="left"/>
      </w:pPr>
      <w:r>
        <w:rPr>
          <w:rFonts w:hint="eastAsia" w:ascii="宋体" w:hAnsi="宋体" w:cs="宋体"/>
          <w:b/>
          <w:szCs w:val="21"/>
        </w:rPr>
        <w:t>五</w:t>
      </w:r>
      <w:r>
        <w:rPr>
          <w:rFonts w:ascii="宋体" w:hAnsi="宋体" w:cs="宋体"/>
          <w:b/>
          <w:szCs w:val="21"/>
        </w:rPr>
        <w:t>、</w:t>
      </w:r>
      <w:r>
        <w:rPr>
          <w:rFonts w:hint="eastAsia" w:ascii="宋体" w:hAnsi="宋体" w:cs="宋体"/>
          <w:b/>
          <w:szCs w:val="21"/>
        </w:rPr>
        <w:t>成果要求</w:t>
      </w:r>
    </w:p>
    <w:p w14:paraId="24BD84F9">
      <w:pPr>
        <w:spacing w:line="360" w:lineRule="auto"/>
        <w:ind w:firstLine="420" w:firstLineChars="200"/>
        <w:jc w:val="left"/>
        <w:rPr>
          <w:rFonts w:ascii="宋体" w:hAnsi="宋体" w:cs="宋体"/>
          <w:bCs/>
          <w:szCs w:val="21"/>
        </w:rPr>
      </w:pPr>
      <w:r>
        <w:rPr>
          <w:rFonts w:hint="eastAsia" w:ascii="宋体" w:hAnsi="宋体" w:cs="宋体"/>
          <w:bCs/>
          <w:szCs w:val="21"/>
        </w:rPr>
        <w:t>1、完成主城四区生态</w:t>
      </w:r>
      <w:r>
        <w:rPr>
          <w:rFonts w:ascii="宋体" w:hAnsi="宋体" w:cs="宋体"/>
          <w:bCs/>
          <w:szCs w:val="21"/>
        </w:rPr>
        <w:t>空间管控区域</w:t>
      </w:r>
      <w:r>
        <w:rPr>
          <w:rFonts w:hint="eastAsia" w:ascii="宋体" w:hAnsi="宋体" w:cs="宋体"/>
          <w:bCs/>
          <w:szCs w:val="21"/>
        </w:rPr>
        <w:t>的评估报告、优化方案、数据库。</w:t>
      </w:r>
    </w:p>
    <w:p w14:paraId="4EE84766">
      <w:pPr>
        <w:spacing w:line="360" w:lineRule="auto"/>
        <w:ind w:firstLine="420" w:firstLineChars="200"/>
        <w:jc w:val="left"/>
        <w:rPr>
          <w:rFonts w:ascii="宋体" w:hAnsi="宋体" w:cs="宋体"/>
          <w:bCs/>
          <w:szCs w:val="21"/>
        </w:rPr>
      </w:pPr>
      <w:r>
        <w:rPr>
          <w:rFonts w:hint="eastAsia" w:ascii="宋体" w:hAnsi="宋体" w:cs="宋体"/>
          <w:bCs/>
          <w:szCs w:val="21"/>
        </w:rPr>
        <w:t>2、完成南京市生态</w:t>
      </w:r>
      <w:r>
        <w:rPr>
          <w:rFonts w:ascii="宋体" w:hAnsi="宋体" w:cs="宋体"/>
          <w:bCs/>
          <w:szCs w:val="21"/>
        </w:rPr>
        <w:t>空间管控区域</w:t>
      </w:r>
      <w:r>
        <w:rPr>
          <w:rFonts w:hint="eastAsia" w:ascii="宋体" w:hAnsi="宋体" w:cs="宋体"/>
          <w:bCs/>
          <w:szCs w:val="21"/>
        </w:rPr>
        <w:t>的评估报告、优化方案、数据库。</w:t>
      </w:r>
    </w:p>
    <w:p w14:paraId="2C47FDDE">
      <w:pPr>
        <w:spacing w:line="360" w:lineRule="auto"/>
        <w:ind w:firstLine="422" w:firstLineChars="200"/>
        <w:jc w:val="left"/>
        <w:rPr>
          <w:rFonts w:ascii="宋体" w:hAnsi="宋体" w:cs="宋体"/>
          <w:b/>
          <w:szCs w:val="21"/>
        </w:rPr>
      </w:pPr>
      <w:r>
        <w:rPr>
          <w:rFonts w:hint="eastAsia" w:ascii="宋体" w:hAnsi="宋体" w:cs="宋体"/>
          <w:b/>
          <w:szCs w:val="21"/>
        </w:rPr>
        <w:t>六、付款方式</w:t>
      </w:r>
    </w:p>
    <w:p w14:paraId="5B71BEC4">
      <w:pPr>
        <w:spacing w:line="360" w:lineRule="auto"/>
        <w:ind w:firstLine="420" w:firstLineChars="200"/>
        <w:rPr>
          <w:rFonts w:ascii="宋体" w:hAnsi="宋体"/>
          <w:kern w:val="0"/>
          <w:szCs w:val="21"/>
          <w:lang w:bidi="ar"/>
        </w:rPr>
      </w:pPr>
      <w:r>
        <w:rPr>
          <w:rFonts w:hint="eastAsia" w:ascii="宋体" w:hAnsi="宋体" w:cs="宋体"/>
          <w:color w:val="000000"/>
          <w:kern w:val="0"/>
          <w:szCs w:val="21"/>
        </w:rPr>
        <w:t>（</w:t>
      </w:r>
      <w:r>
        <w:rPr>
          <w:rFonts w:hint="eastAsia" w:ascii="宋体" w:hAnsi="宋体"/>
          <w:kern w:val="0"/>
          <w:szCs w:val="21"/>
          <w:lang w:bidi="ar"/>
        </w:rPr>
        <w:t>1</w:t>
      </w:r>
      <w:r>
        <w:rPr>
          <w:rFonts w:hint="eastAsia" w:ascii="宋体" w:hAnsi="宋体" w:cs="宋体"/>
          <w:color w:val="000000"/>
          <w:kern w:val="0"/>
          <w:szCs w:val="21"/>
        </w:rPr>
        <w:t>）</w:t>
      </w:r>
      <w:r>
        <w:rPr>
          <w:rFonts w:hint="eastAsia" w:ascii="宋体" w:hAnsi="宋体"/>
          <w:kern w:val="0"/>
          <w:szCs w:val="21"/>
          <w:lang w:bidi="ar"/>
        </w:rPr>
        <w:t>合同签订后，</w:t>
      </w:r>
      <w:r>
        <w:rPr>
          <w:rFonts w:hint="eastAsia" w:ascii="宋体" w:hAnsi="宋体"/>
          <w:kern w:val="0"/>
          <w:szCs w:val="21"/>
          <w:lang w:val="en-US" w:eastAsia="zh-CN" w:bidi="ar"/>
        </w:rPr>
        <w:t>采购人</w:t>
      </w:r>
      <w:r>
        <w:rPr>
          <w:rFonts w:hint="eastAsia" w:ascii="宋体" w:hAnsi="宋体"/>
          <w:kern w:val="0"/>
          <w:szCs w:val="21"/>
          <w:lang w:bidi="ar"/>
        </w:rPr>
        <w:t>支付</w:t>
      </w:r>
      <w:r>
        <w:rPr>
          <w:rFonts w:hint="eastAsia" w:ascii="宋体" w:hAnsi="宋体"/>
          <w:kern w:val="0"/>
          <w:szCs w:val="21"/>
          <w:lang w:val="en-US" w:eastAsia="zh-CN" w:bidi="ar"/>
        </w:rPr>
        <w:t>中标人</w:t>
      </w:r>
      <w:r>
        <w:rPr>
          <w:rFonts w:hint="eastAsia" w:ascii="宋体" w:hAnsi="宋体"/>
          <w:kern w:val="0"/>
          <w:szCs w:val="21"/>
          <w:lang w:bidi="ar"/>
        </w:rPr>
        <w:t>项目费用的</w:t>
      </w:r>
      <w:r>
        <w:rPr>
          <w:rFonts w:ascii="宋体" w:hAnsi="宋体"/>
          <w:kern w:val="0"/>
          <w:szCs w:val="21"/>
          <w:lang w:bidi="ar"/>
        </w:rPr>
        <w:t>2</w:t>
      </w:r>
      <w:r>
        <w:rPr>
          <w:rFonts w:hint="eastAsia" w:ascii="宋体" w:hAnsi="宋体"/>
          <w:kern w:val="0"/>
          <w:szCs w:val="21"/>
          <w:lang w:bidi="ar"/>
        </w:rPr>
        <w:t>0%，运维服务期满支付剩余款项。</w:t>
      </w:r>
    </w:p>
    <w:p w14:paraId="16D3605B">
      <w:pPr>
        <w:spacing w:line="360" w:lineRule="auto"/>
        <w:ind w:firstLine="420" w:firstLineChars="200"/>
        <w:rPr>
          <w:rFonts w:ascii="宋体" w:hAnsi="宋体" w:cs="宋体"/>
          <w:color w:val="000000"/>
          <w:kern w:val="0"/>
          <w:szCs w:val="21"/>
        </w:rPr>
      </w:pPr>
      <w:r>
        <w:rPr>
          <w:rFonts w:hint="eastAsia" w:ascii="宋体" w:hAnsi="宋体"/>
          <w:kern w:val="0"/>
          <w:szCs w:val="21"/>
          <w:lang w:bidi="ar"/>
        </w:rPr>
        <w:t>（2）如服务期内发生主管部门信息安全通报事件的，达到两次的扣除项目费用的5%，超过两次的扣除项目费用的10%。</w:t>
      </w:r>
    </w:p>
    <w:p w14:paraId="5CDE6583">
      <w:pPr>
        <w:spacing w:line="360" w:lineRule="auto"/>
        <w:ind w:firstLine="420" w:firstLineChars="200"/>
        <w:jc w:val="left"/>
        <w:rPr>
          <w:rFonts w:ascii="宋体" w:hAnsi="宋体" w:cs="宋体"/>
          <w:bCs/>
          <w:szCs w:val="21"/>
        </w:rPr>
      </w:pPr>
    </w:p>
    <w:p w14:paraId="3CAF32C0">
      <w:pPr>
        <w:widowControl/>
        <w:shd w:val="clear" w:color="auto" w:fill="FFFFFF"/>
        <w:spacing w:line="360" w:lineRule="auto"/>
        <w:ind w:firstLine="420" w:firstLineChars="200"/>
        <w:rPr>
          <w:rFonts w:ascii="宋体" w:hAnsi="宋体" w:cs="宋体"/>
          <w:b/>
          <w:bCs/>
          <w:kern w:val="44"/>
          <w:sz w:val="32"/>
          <w:szCs w:val="44"/>
        </w:rPr>
      </w:pPr>
      <w:r>
        <w:rPr>
          <w:rFonts w:hint="eastAsia" w:ascii="宋体" w:hAnsi="宋体" w:cs="宋体"/>
        </w:rPr>
        <w:br w:type="page"/>
      </w:r>
    </w:p>
    <w:p w14:paraId="283ACE3D">
      <w:pPr>
        <w:pStyle w:val="3"/>
        <w:numPr>
          <w:ilvl w:val="0"/>
          <w:numId w:val="5"/>
        </w:numPr>
        <w:rPr>
          <w:rFonts w:ascii="宋体" w:hAnsi="宋体" w:cs="宋体"/>
        </w:rPr>
      </w:pPr>
      <w:r>
        <w:rPr>
          <w:rFonts w:hint="eastAsia" w:ascii="宋体" w:hAnsi="宋体" w:cs="宋体"/>
        </w:rPr>
        <w:t xml:space="preserve"> </w:t>
      </w:r>
      <w:bookmarkStart w:id="9" w:name="_Toc28129"/>
      <w:bookmarkStart w:id="10" w:name="_Toc181611532"/>
      <w:r>
        <w:rPr>
          <w:rFonts w:hint="eastAsia" w:ascii="宋体" w:hAnsi="宋体" w:cs="宋体"/>
        </w:rPr>
        <w:t>合同主要条款及格式</w:t>
      </w:r>
      <w:bookmarkEnd w:id="9"/>
      <w:bookmarkEnd w:id="10"/>
    </w:p>
    <w:p w14:paraId="3AE2C57F">
      <w:pPr>
        <w:spacing w:line="360" w:lineRule="auto"/>
        <w:rPr>
          <w:rFonts w:ascii="宋体" w:hAnsi="宋体"/>
          <w:lang w:val="zh-CN"/>
        </w:rPr>
      </w:pPr>
    </w:p>
    <w:p w14:paraId="63EF79C2">
      <w:pPr>
        <w:widowControl/>
        <w:shd w:val="clear" w:color="auto" w:fill="FFFFFF"/>
        <w:spacing w:line="360" w:lineRule="auto"/>
        <w:jc w:val="center"/>
        <w:rPr>
          <w:rFonts w:ascii="宋体" w:hAnsi="宋体"/>
          <w:kern w:val="0"/>
          <w:sz w:val="44"/>
          <w:szCs w:val="44"/>
        </w:rPr>
      </w:pPr>
    </w:p>
    <w:p w14:paraId="41B5D88C">
      <w:pPr>
        <w:widowControl/>
        <w:shd w:val="clear" w:color="auto" w:fill="FFFFFF"/>
        <w:spacing w:line="360" w:lineRule="auto"/>
        <w:jc w:val="center"/>
        <w:rPr>
          <w:rFonts w:ascii="宋体" w:hAnsi="宋体"/>
          <w:kern w:val="0"/>
          <w:sz w:val="44"/>
          <w:szCs w:val="44"/>
        </w:rPr>
      </w:pPr>
    </w:p>
    <w:p w14:paraId="7D3C3448">
      <w:pPr>
        <w:widowControl/>
        <w:shd w:val="clear" w:color="auto" w:fill="FFFFFF"/>
        <w:spacing w:line="360" w:lineRule="auto"/>
        <w:jc w:val="center"/>
        <w:rPr>
          <w:rFonts w:ascii="宋体" w:hAnsi="宋体"/>
          <w:kern w:val="0"/>
          <w:sz w:val="44"/>
          <w:szCs w:val="44"/>
        </w:rPr>
      </w:pPr>
    </w:p>
    <w:p w14:paraId="28BF7693">
      <w:pPr>
        <w:widowControl/>
        <w:shd w:val="clear" w:color="auto" w:fill="FFFFFF"/>
        <w:spacing w:line="360" w:lineRule="auto"/>
        <w:jc w:val="center"/>
        <w:rPr>
          <w:rFonts w:ascii="宋体" w:hAnsi="宋体"/>
          <w:kern w:val="0"/>
          <w:sz w:val="44"/>
          <w:szCs w:val="44"/>
        </w:rPr>
      </w:pPr>
      <w:r>
        <w:rPr>
          <w:rFonts w:hint="eastAsia" w:ascii="宋体" w:hAnsi="宋体"/>
          <w:kern w:val="0"/>
          <w:sz w:val="44"/>
          <w:szCs w:val="44"/>
        </w:rPr>
        <w:t>南京市政府采购合同</w:t>
      </w:r>
    </w:p>
    <w:p w14:paraId="5434AC49">
      <w:pPr>
        <w:widowControl/>
        <w:shd w:val="clear" w:color="auto" w:fill="FFFFFF"/>
        <w:spacing w:line="360" w:lineRule="auto"/>
        <w:ind w:firstLine="315"/>
        <w:rPr>
          <w:rFonts w:ascii="宋体" w:hAnsi="宋体"/>
          <w:b/>
          <w:bCs/>
          <w:kern w:val="0"/>
          <w:sz w:val="32"/>
          <w:szCs w:val="32"/>
        </w:rPr>
      </w:pPr>
      <w:r>
        <w:rPr>
          <w:rFonts w:hint="eastAsia" w:ascii="宋体" w:hAnsi="宋体"/>
          <w:b/>
          <w:bCs/>
          <w:kern w:val="0"/>
          <w:sz w:val="32"/>
          <w:szCs w:val="32"/>
        </w:rPr>
        <w:t>           </w:t>
      </w:r>
      <w:r>
        <w:rPr>
          <w:rFonts w:hint="eastAsia" w:ascii="宋体" w:hAnsi="宋体"/>
          <w:b/>
          <w:bCs/>
          <w:kern w:val="0"/>
          <w:sz w:val="32"/>
        </w:rPr>
        <w:t> </w:t>
      </w:r>
      <w:r>
        <w:rPr>
          <w:rFonts w:hint="eastAsia" w:ascii="宋体" w:hAnsi="宋体"/>
          <w:kern w:val="0"/>
          <w:sz w:val="32"/>
          <w:szCs w:val="32"/>
        </w:rPr>
        <w:t> </w:t>
      </w:r>
    </w:p>
    <w:p w14:paraId="03C23FEB">
      <w:pPr>
        <w:widowControl/>
        <w:shd w:val="clear" w:color="auto" w:fill="FFFFFF"/>
        <w:spacing w:line="360" w:lineRule="auto"/>
        <w:ind w:firstLine="315"/>
        <w:rPr>
          <w:rFonts w:ascii="宋体" w:hAnsi="宋体"/>
          <w:kern w:val="0"/>
          <w:sz w:val="32"/>
          <w:szCs w:val="32"/>
        </w:rPr>
      </w:pPr>
      <w:r>
        <w:rPr>
          <w:rFonts w:hint="eastAsia" w:ascii="宋体" w:hAnsi="宋体"/>
          <w:kern w:val="0"/>
          <w:sz w:val="32"/>
          <w:szCs w:val="32"/>
        </w:rPr>
        <w:t> </w:t>
      </w:r>
    </w:p>
    <w:p w14:paraId="4E1AD437">
      <w:pPr>
        <w:widowControl/>
        <w:shd w:val="clear" w:color="auto" w:fill="FFFFFF"/>
        <w:spacing w:line="360" w:lineRule="auto"/>
        <w:ind w:firstLine="315"/>
        <w:rPr>
          <w:rFonts w:ascii="宋体" w:hAnsi="宋体"/>
          <w:b/>
          <w:bCs/>
          <w:kern w:val="0"/>
          <w:sz w:val="36"/>
          <w:szCs w:val="36"/>
        </w:rPr>
      </w:pPr>
      <w:r>
        <w:rPr>
          <w:rFonts w:hint="eastAsia" w:ascii="宋体" w:hAnsi="宋体"/>
          <w:b/>
          <w:bCs/>
          <w:kern w:val="0"/>
          <w:sz w:val="36"/>
          <w:szCs w:val="36"/>
        </w:rPr>
        <w:t> </w:t>
      </w:r>
    </w:p>
    <w:p w14:paraId="764C2482">
      <w:pPr>
        <w:widowControl/>
        <w:shd w:val="clear" w:color="auto" w:fill="FFFFFF"/>
        <w:spacing w:line="360" w:lineRule="auto"/>
        <w:ind w:firstLine="315"/>
        <w:rPr>
          <w:rFonts w:ascii="宋体" w:hAnsi="宋体"/>
          <w:kern w:val="0"/>
          <w:sz w:val="32"/>
          <w:szCs w:val="32"/>
        </w:rPr>
      </w:pPr>
    </w:p>
    <w:p w14:paraId="622189F5">
      <w:pPr>
        <w:widowControl/>
        <w:shd w:val="clear" w:color="auto" w:fill="FFFFFF"/>
        <w:spacing w:line="360" w:lineRule="auto"/>
        <w:rPr>
          <w:rFonts w:ascii="宋体" w:hAnsi="宋体"/>
          <w:kern w:val="0"/>
          <w:sz w:val="32"/>
          <w:szCs w:val="32"/>
        </w:rPr>
      </w:pPr>
    </w:p>
    <w:p w14:paraId="3BB66A39">
      <w:pPr>
        <w:widowControl/>
        <w:shd w:val="clear" w:color="auto" w:fill="FFFFFF"/>
        <w:spacing w:line="360" w:lineRule="auto"/>
        <w:ind w:firstLine="1918"/>
        <w:rPr>
          <w:rFonts w:ascii="宋体" w:hAnsi="宋体"/>
          <w:b/>
          <w:bCs/>
          <w:kern w:val="0"/>
          <w:sz w:val="32"/>
          <w:szCs w:val="32"/>
        </w:rPr>
      </w:pPr>
      <w:r>
        <w:rPr>
          <w:rFonts w:hint="eastAsia" w:ascii="宋体" w:hAnsi="宋体"/>
          <w:b/>
          <w:bCs/>
          <w:kern w:val="0"/>
          <w:sz w:val="32"/>
          <w:szCs w:val="32"/>
        </w:rPr>
        <w:t>合同编号 ：</w:t>
      </w:r>
      <w:r>
        <w:rPr>
          <w:rFonts w:hint="eastAsia" w:ascii="宋体" w:hAnsi="宋体"/>
          <w:b/>
          <w:bCs/>
          <w:kern w:val="0"/>
          <w:sz w:val="32"/>
          <w:szCs w:val="32"/>
          <w:u w:val="single"/>
        </w:rPr>
        <w:t>          </w:t>
      </w:r>
    </w:p>
    <w:p w14:paraId="6015EDF6">
      <w:pPr>
        <w:widowControl/>
        <w:shd w:val="clear" w:color="auto" w:fill="FFFFFF"/>
        <w:spacing w:line="360" w:lineRule="auto"/>
        <w:ind w:firstLine="1918"/>
        <w:rPr>
          <w:rFonts w:ascii="宋体" w:hAnsi="宋体"/>
          <w:b/>
          <w:bCs/>
          <w:kern w:val="0"/>
          <w:sz w:val="32"/>
          <w:szCs w:val="32"/>
        </w:rPr>
      </w:pPr>
      <w:r>
        <w:rPr>
          <w:rFonts w:hint="eastAsia" w:ascii="宋体" w:hAnsi="宋体"/>
          <w:b/>
          <w:bCs/>
          <w:kern w:val="0"/>
          <w:sz w:val="32"/>
          <w:szCs w:val="32"/>
        </w:rPr>
        <w:t>项目名称 ：</w:t>
      </w:r>
      <w:r>
        <w:rPr>
          <w:rFonts w:hint="eastAsia" w:ascii="宋体" w:hAnsi="宋体"/>
          <w:b/>
          <w:bCs/>
          <w:kern w:val="0"/>
          <w:sz w:val="32"/>
          <w:szCs w:val="32"/>
          <w:u w:val="single"/>
        </w:rPr>
        <w:t>          </w:t>
      </w:r>
    </w:p>
    <w:p w14:paraId="4456EDBA">
      <w:pPr>
        <w:widowControl/>
        <w:shd w:val="clear" w:color="auto" w:fill="FFFFFF"/>
        <w:spacing w:line="360" w:lineRule="auto"/>
        <w:ind w:firstLine="1918"/>
        <w:rPr>
          <w:rFonts w:ascii="宋体" w:hAnsi="宋体"/>
          <w:b/>
          <w:bCs/>
          <w:kern w:val="0"/>
          <w:sz w:val="32"/>
          <w:szCs w:val="32"/>
        </w:rPr>
      </w:pPr>
      <w:r>
        <w:rPr>
          <w:rFonts w:hint="eastAsia" w:ascii="宋体" w:hAnsi="宋体"/>
          <w:b/>
          <w:bCs/>
          <w:kern w:val="0"/>
          <w:sz w:val="32"/>
          <w:szCs w:val="32"/>
        </w:rPr>
        <w:t>使用单位 ：</w:t>
      </w:r>
      <w:r>
        <w:rPr>
          <w:rFonts w:hint="eastAsia" w:ascii="宋体" w:hAnsi="宋体"/>
          <w:b/>
          <w:bCs/>
          <w:kern w:val="0"/>
          <w:sz w:val="32"/>
          <w:szCs w:val="32"/>
          <w:u w:val="single"/>
        </w:rPr>
        <w:t>          </w:t>
      </w:r>
    </w:p>
    <w:p w14:paraId="55EADFF8">
      <w:pPr>
        <w:widowControl/>
        <w:shd w:val="clear" w:color="auto" w:fill="FFFFFF"/>
        <w:spacing w:line="360" w:lineRule="auto"/>
        <w:ind w:firstLine="1916"/>
        <w:rPr>
          <w:rFonts w:ascii="宋体" w:hAnsi="宋体"/>
          <w:b/>
          <w:bCs/>
          <w:kern w:val="0"/>
          <w:sz w:val="32"/>
          <w:szCs w:val="32"/>
        </w:rPr>
      </w:pPr>
      <w:r>
        <w:rPr>
          <w:rFonts w:hint="eastAsia" w:ascii="宋体" w:hAnsi="宋体"/>
          <w:b/>
          <w:bCs/>
          <w:kern w:val="0"/>
          <w:sz w:val="32"/>
          <w:szCs w:val="32"/>
        </w:rPr>
        <w:t>供货单位 ：</w:t>
      </w:r>
      <w:r>
        <w:rPr>
          <w:rFonts w:hint="eastAsia" w:ascii="宋体" w:hAnsi="宋体"/>
          <w:b/>
          <w:bCs/>
          <w:kern w:val="0"/>
          <w:sz w:val="32"/>
          <w:szCs w:val="32"/>
          <w:u w:val="single"/>
        </w:rPr>
        <w:t>          </w:t>
      </w:r>
    </w:p>
    <w:p w14:paraId="2E9F2069">
      <w:pPr>
        <w:widowControl/>
        <w:shd w:val="clear" w:color="auto" w:fill="FFFFFF"/>
        <w:spacing w:line="360" w:lineRule="auto"/>
        <w:ind w:firstLine="1916"/>
        <w:rPr>
          <w:rFonts w:ascii="宋体" w:hAnsi="宋体"/>
          <w:b/>
          <w:bCs/>
          <w:kern w:val="0"/>
          <w:sz w:val="32"/>
          <w:szCs w:val="32"/>
        </w:rPr>
      </w:pPr>
      <w:r>
        <w:rPr>
          <w:rFonts w:hint="eastAsia" w:ascii="宋体" w:hAnsi="宋体"/>
          <w:b/>
          <w:bCs/>
          <w:kern w:val="0"/>
          <w:sz w:val="32"/>
          <w:szCs w:val="32"/>
        </w:rPr>
        <w:t>签订日期 ：</w:t>
      </w:r>
      <w:r>
        <w:rPr>
          <w:rFonts w:hint="eastAsia" w:ascii="宋体" w:hAnsi="宋体"/>
          <w:b/>
          <w:bCs/>
          <w:kern w:val="0"/>
          <w:sz w:val="32"/>
          <w:szCs w:val="32"/>
          <w:u w:val="single"/>
        </w:rPr>
        <w:t>          </w:t>
      </w:r>
    </w:p>
    <w:p w14:paraId="29AB2487">
      <w:pPr>
        <w:widowControl/>
        <w:shd w:val="clear" w:color="auto" w:fill="FFFFFF"/>
        <w:spacing w:line="360" w:lineRule="auto"/>
        <w:rPr>
          <w:rFonts w:ascii="宋体" w:hAnsi="宋体"/>
          <w:kern w:val="0"/>
          <w:sz w:val="32"/>
          <w:szCs w:val="32"/>
        </w:rPr>
      </w:pPr>
      <w:r>
        <w:rPr>
          <w:rFonts w:hint="eastAsia" w:ascii="宋体" w:hAnsi="宋体"/>
          <w:kern w:val="0"/>
          <w:sz w:val="32"/>
          <w:szCs w:val="32"/>
        </w:rPr>
        <w:t>      </w:t>
      </w:r>
      <w:r>
        <w:rPr>
          <w:rFonts w:hint="eastAsia" w:ascii="宋体" w:hAnsi="宋体"/>
          <w:b/>
          <w:bCs/>
          <w:kern w:val="0"/>
          <w:sz w:val="32"/>
          <w:szCs w:val="32"/>
        </w:rPr>
        <w:t>   </w:t>
      </w:r>
    </w:p>
    <w:p w14:paraId="25A5145B">
      <w:pPr>
        <w:widowControl/>
        <w:shd w:val="clear" w:color="auto" w:fill="FFFFFF"/>
        <w:spacing w:line="360" w:lineRule="auto"/>
        <w:ind w:firstLine="2984"/>
        <w:rPr>
          <w:rFonts w:ascii="宋体" w:hAnsi="宋体"/>
          <w:b/>
          <w:bCs/>
          <w:kern w:val="0"/>
          <w:sz w:val="32"/>
          <w:szCs w:val="32"/>
        </w:rPr>
      </w:pPr>
      <w:r>
        <w:rPr>
          <w:rFonts w:hint="eastAsia" w:ascii="宋体" w:hAnsi="宋体"/>
          <w:b/>
          <w:bCs/>
          <w:kern w:val="0"/>
          <w:sz w:val="32"/>
          <w:szCs w:val="32"/>
        </w:rPr>
        <w:t> </w:t>
      </w:r>
    </w:p>
    <w:p w14:paraId="490A9B35">
      <w:pPr>
        <w:widowControl/>
        <w:shd w:val="clear" w:color="auto" w:fill="FFFFFF"/>
        <w:spacing w:line="360" w:lineRule="auto"/>
        <w:rPr>
          <w:rFonts w:ascii="宋体" w:hAnsi="宋体"/>
          <w:kern w:val="0"/>
          <w:sz w:val="32"/>
          <w:szCs w:val="32"/>
        </w:rPr>
      </w:pPr>
    </w:p>
    <w:p w14:paraId="36F12A47">
      <w:pPr>
        <w:widowControl/>
        <w:shd w:val="clear" w:color="auto" w:fill="FFFFFF"/>
        <w:spacing w:line="360" w:lineRule="auto"/>
        <w:jc w:val="center"/>
        <w:rPr>
          <w:rFonts w:ascii="宋体" w:hAnsi="宋体"/>
          <w:b/>
          <w:bCs/>
          <w:kern w:val="0"/>
          <w:sz w:val="32"/>
          <w:szCs w:val="32"/>
        </w:rPr>
      </w:pPr>
      <w:r>
        <w:rPr>
          <w:rFonts w:hint="eastAsia" w:ascii="宋体" w:hAnsi="宋体"/>
          <w:b/>
          <w:bCs/>
          <w:kern w:val="0"/>
          <w:sz w:val="32"/>
          <w:szCs w:val="32"/>
        </w:rPr>
        <w:t>南京市工商行政管理局</w:t>
      </w:r>
    </w:p>
    <w:p w14:paraId="5CEFC074">
      <w:pPr>
        <w:widowControl/>
        <w:shd w:val="clear" w:color="auto" w:fill="FFFFFF"/>
        <w:spacing w:line="360" w:lineRule="auto"/>
        <w:rPr>
          <w:rFonts w:ascii="宋体" w:hAnsi="宋体"/>
          <w:kern w:val="0"/>
          <w:sz w:val="24"/>
        </w:rPr>
      </w:pPr>
      <w:r>
        <w:rPr>
          <w:rFonts w:hint="eastAsia" w:ascii="宋体" w:hAnsi="宋体"/>
          <w:kern w:val="0"/>
          <w:sz w:val="24"/>
        </w:rPr>
        <w:br w:type="page"/>
      </w:r>
      <w:r>
        <w:rPr>
          <w:rFonts w:hint="eastAsia" w:ascii="宋体" w:hAnsi="宋体"/>
          <w:kern w:val="0"/>
          <w:szCs w:val="21"/>
        </w:rPr>
        <w:t>合同编号：</w:t>
      </w:r>
    </w:p>
    <w:p w14:paraId="74B71A19">
      <w:pPr>
        <w:widowControl/>
        <w:shd w:val="clear" w:color="auto" w:fill="FFFFFF"/>
        <w:spacing w:line="360" w:lineRule="auto"/>
        <w:rPr>
          <w:rFonts w:ascii="宋体" w:hAnsi="宋体"/>
          <w:kern w:val="0"/>
          <w:szCs w:val="21"/>
        </w:rPr>
      </w:pPr>
      <w:r>
        <w:rPr>
          <w:rFonts w:hint="eastAsia" w:ascii="宋体" w:hAnsi="宋体"/>
          <w:kern w:val="0"/>
          <w:szCs w:val="21"/>
        </w:rPr>
        <w:t>政府采购计划号：</w:t>
      </w:r>
    </w:p>
    <w:p w14:paraId="2F7129DE">
      <w:pPr>
        <w:widowControl/>
        <w:shd w:val="clear" w:color="auto" w:fill="FFFFFF"/>
        <w:spacing w:line="360" w:lineRule="auto"/>
        <w:jc w:val="center"/>
        <w:rPr>
          <w:rFonts w:ascii="宋体" w:hAnsi="宋体"/>
          <w:kern w:val="0"/>
          <w:szCs w:val="21"/>
        </w:rPr>
      </w:pPr>
      <w:r>
        <w:rPr>
          <w:rFonts w:hint="eastAsia" w:ascii="宋体" w:hAnsi="宋体"/>
          <w:kern w:val="0"/>
          <w:szCs w:val="21"/>
        </w:rPr>
        <w:t> </w:t>
      </w:r>
    </w:p>
    <w:tbl>
      <w:tblPr>
        <w:tblStyle w:val="50"/>
        <w:tblW w:w="8522" w:type="dxa"/>
        <w:tblInd w:w="-108" w:type="dxa"/>
        <w:shd w:val="clear" w:color="auto" w:fill="FFFFFF"/>
        <w:tblLayout w:type="fixed"/>
        <w:tblCellMar>
          <w:top w:w="0" w:type="dxa"/>
          <w:left w:w="108" w:type="dxa"/>
          <w:bottom w:w="0" w:type="dxa"/>
          <w:right w:w="108" w:type="dxa"/>
        </w:tblCellMar>
      </w:tblPr>
      <w:tblGrid>
        <w:gridCol w:w="4271"/>
        <w:gridCol w:w="4251"/>
      </w:tblGrid>
      <w:tr w14:paraId="768C35F3">
        <w:tblPrEx>
          <w:shd w:val="clear" w:color="auto" w:fill="FFFFFF"/>
          <w:tblCellMar>
            <w:top w:w="0" w:type="dxa"/>
            <w:left w:w="108" w:type="dxa"/>
            <w:bottom w:w="0" w:type="dxa"/>
            <w:right w:w="108" w:type="dxa"/>
          </w:tblCellMar>
        </w:tblPrEx>
        <w:tc>
          <w:tcPr>
            <w:tcW w:w="4271" w:type="dxa"/>
            <w:tcBorders>
              <w:top w:val="nil"/>
              <w:left w:val="nil"/>
              <w:bottom w:val="nil"/>
              <w:right w:val="nil"/>
            </w:tcBorders>
            <w:shd w:val="clear" w:color="auto" w:fill="FFFFFF"/>
            <w:tcMar>
              <w:top w:w="0" w:type="dxa"/>
              <w:left w:w="108" w:type="dxa"/>
              <w:bottom w:w="0" w:type="dxa"/>
              <w:right w:w="108" w:type="dxa"/>
            </w:tcMar>
          </w:tcPr>
          <w:p w14:paraId="235FFBFF">
            <w:pPr>
              <w:widowControl/>
              <w:spacing w:line="360" w:lineRule="auto"/>
              <w:jc w:val="left"/>
              <w:rPr>
                <w:rFonts w:ascii="宋体" w:hAnsi="宋体"/>
                <w:kern w:val="0"/>
                <w:szCs w:val="21"/>
              </w:rPr>
            </w:pPr>
            <w:r>
              <w:rPr>
                <w:rFonts w:hint="eastAsia" w:ascii="宋体" w:hAnsi="宋体"/>
                <w:kern w:val="0"/>
                <w:szCs w:val="21"/>
              </w:rPr>
              <w:t>采购人（以下称甲方）：</w:t>
            </w:r>
          </w:p>
        </w:tc>
        <w:tc>
          <w:tcPr>
            <w:tcW w:w="4251" w:type="dxa"/>
            <w:tcBorders>
              <w:top w:val="nil"/>
              <w:left w:val="nil"/>
              <w:bottom w:val="nil"/>
              <w:right w:val="nil"/>
            </w:tcBorders>
            <w:shd w:val="clear" w:color="auto" w:fill="FFFFFF"/>
            <w:tcMar>
              <w:top w:w="0" w:type="dxa"/>
              <w:left w:w="108" w:type="dxa"/>
              <w:bottom w:w="0" w:type="dxa"/>
              <w:right w:w="108" w:type="dxa"/>
            </w:tcMar>
          </w:tcPr>
          <w:p w14:paraId="34533104">
            <w:pPr>
              <w:widowControl/>
              <w:spacing w:line="360" w:lineRule="auto"/>
              <w:jc w:val="left"/>
              <w:rPr>
                <w:rFonts w:ascii="宋体" w:hAnsi="宋体"/>
                <w:kern w:val="0"/>
                <w:szCs w:val="21"/>
              </w:rPr>
            </w:pPr>
            <w:r>
              <w:rPr>
                <w:rFonts w:hint="eastAsia" w:ascii="宋体" w:hAnsi="宋体"/>
                <w:kern w:val="0"/>
                <w:szCs w:val="21"/>
              </w:rPr>
              <w:t>供应商：（以下称乙方）</w:t>
            </w:r>
          </w:p>
        </w:tc>
      </w:tr>
      <w:tr w14:paraId="73D2D928">
        <w:tblPrEx>
          <w:shd w:val="clear" w:color="auto" w:fill="FFFFFF"/>
          <w:tblCellMar>
            <w:top w:w="0" w:type="dxa"/>
            <w:left w:w="108" w:type="dxa"/>
            <w:bottom w:w="0" w:type="dxa"/>
            <w:right w:w="108" w:type="dxa"/>
          </w:tblCellMar>
        </w:tblPrEx>
        <w:tc>
          <w:tcPr>
            <w:tcW w:w="4271" w:type="dxa"/>
            <w:tcBorders>
              <w:top w:val="nil"/>
              <w:left w:val="nil"/>
              <w:bottom w:val="nil"/>
              <w:right w:val="nil"/>
            </w:tcBorders>
            <w:shd w:val="clear" w:color="auto" w:fill="FFFFFF"/>
            <w:tcMar>
              <w:top w:w="0" w:type="dxa"/>
              <w:left w:w="108" w:type="dxa"/>
              <w:bottom w:w="0" w:type="dxa"/>
              <w:right w:w="108" w:type="dxa"/>
            </w:tcMar>
          </w:tcPr>
          <w:p w14:paraId="7BFEA0C3">
            <w:pPr>
              <w:widowControl/>
              <w:spacing w:line="360" w:lineRule="auto"/>
              <w:jc w:val="left"/>
              <w:rPr>
                <w:rFonts w:ascii="宋体" w:hAnsi="宋体"/>
                <w:kern w:val="0"/>
                <w:szCs w:val="21"/>
              </w:rPr>
            </w:pPr>
            <w:r>
              <w:rPr>
                <w:rFonts w:hint="eastAsia" w:ascii="宋体" w:hAnsi="宋体"/>
                <w:kern w:val="0"/>
                <w:szCs w:val="21"/>
              </w:rPr>
              <w:t>住所地：</w:t>
            </w:r>
          </w:p>
        </w:tc>
        <w:tc>
          <w:tcPr>
            <w:tcW w:w="4251" w:type="dxa"/>
            <w:tcBorders>
              <w:top w:val="nil"/>
              <w:left w:val="nil"/>
              <w:bottom w:val="nil"/>
              <w:right w:val="nil"/>
            </w:tcBorders>
            <w:shd w:val="clear" w:color="auto" w:fill="FFFFFF"/>
            <w:tcMar>
              <w:top w:w="0" w:type="dxa"/>
              <w:left w:w="108" w:type="dxa"/>
              <w:bottom w:w="0" w:type="dxa"/>
              <w:right w:w="108" w:type="dxa"/>
            </w:tcMar>
          </w:tcPr>
          <w:p w14:paraId="726A51D9">
            <w:pPr>
              <w:widowControl/>
              <w:spacing w:line="360" w:lineRule="auto"/>
              <w:jc w:val="left"/>
              <w:rPr>
                <w:rFonts w:ascii="宋体" w:hAnsi="宋体"/>
                <w:kern w:val="0"/>
                <w:szCs w:val="21"/>
              </w:rPr>
            </w:pPr>
            <w:r>
              <w:rPr>
                <w:rFonts w:hint="eastAsia" w:ascii="宋体" w:hAnsi="宋体"/>
                <w:kern w:val="0"/>
                <w:szCs w:val="21"/>
              </w:rPr>
              <w:t>住所地：</w:t>
            </w:r>
          </w:p>
        </w:tc>
      </w:tr>
    </w:tbl>
    <w:p w14:paraId="7AE1BFF3">
      <w:pPr>
        <w:spacing w:line="360" w:lineRule="auto"/>
        <w:ind w:firstLine="420" w:firstLineChars="200"/>
        <w:rPr>
          <w:rFonts w:ascii="宋体" w:hAnsi="宋体"/>
          <w:szCs w:val="21"/>
        </w:rPr>
      </w:pPr>
      <w:r>
        <w:rPr>
          <w:rFonts w:hint="eastAsia" w:ascii="宋体" w:hAnsi="宋体"/>
          <w:szCs w:val="21"/>
        </w:rPr>
        <w:t> </w:t>
      </w:r>
    </w:p>
    <w:p w14:paraId="418DC730">
      <w:pPr>
        <w:spacing w:line="360" w:lineRule="auto"/>
        <w:ind w:firstLine="420" w:firstLineChars="200"/>
      </w:pPr>
      <w:r>
        <w:rPr>
          <w:rFonts w:hint="eastAsia" w:ascii="宋体" w:hAnsi="宋体"/>
          <w:szCs w:val="21"/>
        </w:rPr>
        <w:t>根据《中华人民共和国政府采购法》、</w:t>
      </w:r>
      <w:r>
        <w:rPr>
          <w:bCs/>
          <w:szCs w:val="21"/>
        </w:rPr>
        <w:t>《中华人民共和国民法典》</w:t>
      </w:r>
      <w:r>
        <w:rPr>
          <w:rFonts w:hint="eastAsia" w:ascii="宋体" w:hAnsi="宋体"/>
          <w:szCs w:val="21"/>
        </w:rPr>
        <w:t>的有关规定，由</w:t>
      </w:r>
      <w:r>
        <w:rPr>
          <w:rFonts w:hint="eastAsia" w:ascii="宋体" w:hAnsi="宋体" w:cs="宋体"/>
          <w:spacing w:val="8"/>
          <w:kern w:val="0"/>
          <w:szCs w:val="21"/>
          <w:u w:val="single"/>
        </w:rPr>
        <w:t>南京市规划和自然资源局</w:t>
      </w:r>
      <w:r>
        <w:rPr>
          <w:rFonts w:hint="eastAsia" w:ascii="宋体" w:hAnsi="宋体"/>
          <w:szCs w:val="21"/>
        </w:rPr>
        <w:t>（甲方）委托（乙方</w:t>
      </w:r>
      <w:r>
        <w:rPr>
          <w:rFonts w:hint="eastAsia" w:ascii="宋体" w:hAnsi="宋体"/>
          <w:szCs w:val="21"/>
          <w:u w:val="single"/>
        </w:rPr>
        <w:t xml:space="preserve">）        </w:t>
      </w:r>
      <w:r>
        <w:rPr>
          <w:rFonts w:hint="eastAsia" w:ascii="宋体" w:hAnsi="宋体"/>
          <w:szCs w:val="21"/>
        </w:rPr>
        <w:t>承担本合同规定内容。经双方友好协商，签订本合同</w:t>
      </w:r>
      <w:r>
        <w:rPr>
          <w:rFonts w:hint="eastAsia" w:ascii="宋体" w:hAnsi="宋体" w:cs="宋体"/>
          <w:color w:val="000000"/>
          <w:kern w:val="0"/>
          <w:szCs w:val="21"/>
        </w:rPr>
        <w:t>。</w:t>
      </w:r>
    </w:p>
    <w:p w14:paraId="771F444A">
      <w:pPr>
        <w:widowControl/>
        <w:shd w:val="clear" w:color="auto" w:fill="FFFFFF"/>
        <w:spacing w:line="360" w:lineRule="auto"/>
        <w:ind w:firstLine="431"/>
        <w:rPr>
          <w:rFonts w:ascii="宋体" w:hAnsi="宋体" w:cs="宋体"/>
          <w:color w:val="000000"/>
          <w:kern w:val="0"/>
          <w:shd w:val="clear" w:color="auto" w:fill="FFFFFF"/>
        </w:rPr>
      </w:pPr>
      <w:r>
        <w:rPr>
          <w:rFonts w:hint="eastAsia" w:ascii="宋体" w:hAnsi="宋体" w:cs="宋体"/>
          <w:b/>
          <w:color w:val="000000"/>
          <w:kern w:val="0"/>
          <w:shd w:val="clear" w:color="auto" w:fill="FFFFFF"/>
        </w:rPr>
        <w:t>第一条 合同标的</w:t>
      </w:r>
    </w:p>
    <w:p w14:paraId="058BD282">
      <w:pPr>
        <w:adjustRightInd w:val="0"/>
        <w:spacing w:line="360" w:lineRule="auto"/>
        <w:ind w:firstLine="452" w:firstLineChars="200"/>
        <w:rPr>
          <w:rFonts w:ascii="宋体" w:hAnsi="宋体" w:cs="宋体"/>
          <w:spacing w:val="8"/>
          <w:kern w:val="0"/>
          <w:szCs w:val="21"/>
          <w:u w:val="single"/>
        </w:rPr>
      </w:pPr>
      <w:r>
        <w:rPr>
          <w:rFonts w:hint="eastAsia" w:ascii="Arial" w:hAnsi="Arial"/>
          <w:spacing w:val="8"/>
          <w:kern w:val="0"/>
          <w:szCs w:val="21"/>
        </w:rPr>
        <w:t>南京市生态空间管控区域评估调整项目</w:t>
      </w:r>
      <w:r>
        <w:rPr>
          <w:rFonts w:hint="eastAsia" w:ascii="宋体" w:hAnsi="宋体" w:cs="宋体"/>
          <w:spacing w:val="8"/>
          <w:kern w:val="0"/>
          <w:szCs w:val="21"/>
        </w:rPr>
        <w:t>。</w:t>
      </w:r>
    </w:p>
    <w:p w14:paraId="60177002">
      <w:pPr>
        <w:spacing w:line="360" w:lineRule="auto"/>
        <w:ind w:firstLine="420" w:firstLineChars="200"/>
        <w:jc w:val="left"/>
        <w:rPr>
          <w:rFonts w:ascii="宋体" w:hAnsi="宋体" w:cs="宋体"/>
          <w:bCs/>
          <w:color w:val="000000"/>
          <w:kern w:val="0"/>
          <w:shd w:val="clear" w:color="auto" w:fill="FFFFFF"/>
        </w:rPr>
      </w:pPr>
      <w:r>
        <w:rPr>
          <w:rFonts w:hint="eastAsia" w:ascii="宋体" w:hAnsi="宋体" w:cs="宋体"/>
          <w:bCs/>
          <w:color w:val="000000"/>
          <w:kern w:val="0"/>
          <w:shd w:val="clear" w:color="auto" w:fill="FFFFFF"/>
        </w:rPr>
        <w:t>乙方根据甲方要求提供下列服务：</w:t>
      </w:r>
    </w:p>
    <w:p w14:paraId="3A835677">
      <w:pPr>
        <w:spacing w:line="360" w:lineRule="auto"/>
        <w:ind w:firstLine="420" w:firstLineChars="200"/>
        <w:jc w:val="left"/>
        <w:rPr>
          <w:rFonts w:ascii="宋体" w:hAnsi="宋体" w:cs="宋体"/>
          <w:bCs/>
          <w:szCs w:val="21"/>
        </w:rPr>
      </w:pPr>
      <w:r>
        <w:rPr>
          <w:rFonts w:hint="eastAsia" w:ascii="宋体" w:hAnsi="宋体" w:cs="宋体"/>
          <w:bCs/>
          <w:szCs w:val="21"/>
        </w:rPr>
        <w:t>（1）前期工作准备：包括市级工作方案和技术方案的编制、深化、印发，并召集各区进行现场工作培训指导。</w:t>
      </w:r>
    </w:p>
    <w:p w14:paraId="21889E34">
      <w:pPr>
        <w:spacing w:line="360" w:lineRule="auto"/>
        <w:ind w:firstLine="420" w:firstLineChars="200"/>
        <w:rPr>
          <w:rFonts w:ascii="宋体" w:hAnsi="宋体" w:cs="宋体"/>
          <w:bCs/>
          <w:szCs w:val="21"/>
        </w:rPr>
      </w:pPr>
      <w:r>
        <w:rPr>
          <w:rFonts w:hint="eastAsia" w:ascii="宋体" w:hAnsi="宋体" w:cs="宋体"/>
          <w:bCs/>
          <w:szCs w:val="21"/>
        </w:rPr>
        <w:t>（2）基础资料收集：包括南京市生态空间管控</w:t>
      </w:r>
      <w:r>
        <w:rPr>
          <w:rFonts w:ascii="宋体" w:hAnsi="宋体" w:cs="宋体"/>
          <w:bCs/>
          <w:szCs w:val="21"/>
        </w:rPr>
        <w:t>区域</w:t>
      </w:r>
      <w:r>
        <w:rPr>
          <w:rFonts w:hint="eastAsia" w:ascii="宋体" w:hAnsi="宋体" w:cs="宋体"/>
          <w:bCs/>
          <w:szCs w:val="21"/>
        </w:rPr>
        <w:t>矢量数据、各区历年调整方案、资源环境承载力评价成果、高分辨率遥感影像、国土空间总体规划、国土变更调查、</w:t>
      </w:r>
      <w:r>
        <w:rPr>
          <w:rFonts w:ascii="宋体" w:hAnsi="宋体" w:cs="宋体"/>
          <w:bCs/>
          <w:szCs w:val="21"/>
        </w:rPr>
        <w:t>各类法定</w:t>
      </w:r>
      <w:r>
        <w:rPr>
          <w:rFonts w:hint="eastAsia" w:ascii="宋体" w:hAnsi="宋体" w:cs="宋体"/>
          <w:bCs/>
          <w:szCs w:val="21"/>
        </w:rPr>
        <w:t>保护区</w:t>
      </w:r>
      <w:r>
        <w:rPr>
          <w:rFonts w:ascii="宋体" w:hAnsi="宋体" w:cs="宋体"/>
          <w:bCs/>
          <w:szCs w:val="21"/>
        </w:rPr>
        <w:t>保护范围</w:t>
      </w:r>
      <w:r>
        <w:rPr>
          <w:rFonts w:hint="eastAsia" w:ascii="宋体" w:hAnsi="宋体" w:cs="宋体"/>
          <w:bCs/>
          <w:szCs w:val="21"/>
        </w:rPr>
        <w:t>等资料的整理收集，基础资料收集完成后统一下发各区。</w:t>
      </w:r>
    </w:p>
    <w:p w14:paraId="323EF6A0">
      <w:pPr>
        <w:spacing w:line="360" w:lineRule="auto"/>
        <w:ind w:firstLine="420" w:firstLineChars="200"/>
        <w:rPr>
          <w:rFonts w:ascii="宋体" w:hAnsi="宋体" w:cs="宋体"/>
          <w:bCs/>
          <w:szCs w:val="21"/>
        </w:rPr>
      </w:pPr>
      <w:r>
        <w:rPr>
          <w:rFonts w:hint="eastAsia" w:ascii="宋体" w:hAnsi="宋体" w:cs="宋体"/>
          <w:bCs/>
          <w:szCs w:val="21"/>
        </w:rPr>
        <w:t>（3）内业整理和外业调查：核实生态空间管控区域评估采用的基础数据真实可靠性、各类型管控区现行边界与法定（划定）范围的一致性；借助高分辨率遥感影像，逐一核查冲突图斑的矛盾情况；组织相关部门召开座谈会了解管控区现状问题；对冲突规模较大、空间分布较为集中的区域开展现场踏勘和实地核查。</w:t>
      </w:r>
    </w:p>
    <w:p w14:paraId="0FF2DDAB">
      <w:pPr>
        <w:spacing w:line="360" w:lineRule="auto"/>
        <w:ind w:firstLine="420" w:firstLineChars="200"/>
        <w:rPr>
          <w:rFonts w:ascii="宋体" w:hAnsi="宋体" w:cs="宋体"/>
          <w:bCs/>
          <w:szCs w:val="21"/>
        </w:rPr>
      </w:pPr>
      <w:r>
        <w:rPr>
          <w:rFonts w:hint="eastAsia" w:ascii="宋体" w:hAnsi="宋体" w:cs="宋体"/>
          <w:bCs/>
          <w:szCs w:val="21"/>
        </w:rPr>
        <w:t>（4）市级审查：对各区评估和调整优化成果、数据库进行审查，统筹各区生态管控区面积，做好县级毗邻地区生态管控区衔接。</w:t>
      </w:r>
    </w:p>
    <w:p w14:paraId="4B51ABCB">
      <w:pPr>
        <w:spacing w:line="360" w:lineRule="auto"/>
        <w:ind w:firstLine="420" w:firstLineChars="200"/>
        <w:rPr>
          <w:rFonts w:ascii="宋体" w:hAnsi="宋体" w:cs="宋体"/>
          <w:bCs/>
          <w:szCs w:val="21"/>
        </w:rPr>
      </w:pPr>
      <w:r>
        <w:rPr>
          <w:rFonts w:hint="eastAsia" w:ascii="宋体" w:hAnsi="宋体" w:cs="宋体"/>
          <w:bCs/>
          <w:szCs w:val="21"/>
        </w:rPr>
        <w:t>（5）市级成果编制：在汇总各区评估调整成果的基础上，编制市级评估优化成果和调整方案（包含文本、表格、图件和数据库等），建立市级生态空间</w:t>
      </w:r>
      <w:r>
        <w:rPr>
          <w:rFonts w:ascii="宋体" w:hAnsi="宋体" w:cs="宋体"/>
          <w:bCs/>
          <w:szCs w:val="21"/>
        </w:rPr>
        <w:t>管控区域</w:t>
      </w:r>
      <w:r>
        <w:rPr>
          <w:rFonts w:hint="eastAsia" w:ascii="宋体" w:hAnsi="宋体" w:cs="宋体"/>
          <w:bCs/>
          <w:szCs w:val="21"/>
        </w:rPr>
        <w:t>数据库。</w:t>
      </w:r>
    </w:p>
    <w:p w14:paraId="4AF53A60">
      <w:pPr>
        <w:spacing w:line="360" w:lineRule="auto"/>
        <w:ind w:firstLine="420" w:firstLineChars="200"/>
        <w:rPr>
          <w:rFonts w:ascii="宋体" w:hAnsi="宋体" w:cs="宋体"/>
          <w:bCs/>
          <w:szCs w:val="21"/>
        </w:rPr>
      </w:pPr>
      <w:r>
        <w:rPr>
          <w:rFonts w:hint="eastAsia" w:ascii="宋体" w:hAnsi="宋体" w:cs="宋体"/>
          <w:bCs/>
          <w:szCs w:val="21"/>
        </w:rPr>
        <w:t>（6）市级成果论证验收：组织专家论证，开展公示</w:t>
      </w:r>
      <w:r>
        <w:rPr>
          <w:rFonts w:ascii="宋体" w:hAnsi="宋体" w:cs="宋体"/>
          <w:bCs/>
          <w:szCs w:val="21"/>
        </w:rPr>
        <w:t>、</w:t>
      </w:r>
      <w:r>
        <w:rPr>
          <w:rFonts w:hint="eastAsia" w:ascii="宋体" w:hAnsi="宋体" w:cs="宋体"/>
          <w:bCs/>
          <w:szCs w:val="21"/>
        </w:rPr>
        <w:t>部门</w:t>
      </w:r>
      <w:r>
        <w:rPr>
          <w:rFonts w:ascii="宋体" w:hAnsi="宋体" w:cs="宋体"/>
          <w:bCs/>
          <w:szCs w:val="21"/>
        </w:rPr>
        <w:t>意见征询</w:t>
      </w:r>
      <w:r>
        <w:rPr>
          <w:rFonts w:hint="eastAsia" w:ascii="宋体" w:hAnsi="宋体" w:cs="宋体"/>
          <w:bCs/>
          <w:szCs w:val="21"/>
        </w:rPr>
        <w:t>，</w:t>
      </w:r>
      <w:r>
        <w:rPr>
          <w:rFonts w:ascii="宋体" w:hAnsi="宋体" w:cs="宋体"/>
          <w:bCs/>
          <w:szCs w:val="21"/>
        </w:rPr>
        <w:t>充分落实公众意见</w:t>
      </w:r>
      <w:r>
        <w:rPr>
          <w:rFonts w:hint="eastAsia" w:ascii="宋体" w:hAnsi="宋体" w:cs="宋体"/>
          <w:bCs/>
          <w:szCs w:val="21"/>
        </w:rPr>
        <w:t>和相关生态行业主管部门意见，形成上报成果。</w:t>
      </w:r>
    </w:p>
    <w:p w14:paraId="321D655B">
      <w:pPr>
        <w:spacing w:line="360" w:lineRule="auto"/>
        <w:ind w:firstLine="420" w:firstLineChars="200"/>
        <w:rPr>
          <w:rFonts w:ascii="宋体" w:hAnsi="宋体" w:cs="宋体"/>
          <w:bCs/>
          <w:szCs w:val="21"/>
        </w:rPr>
      </w:pPr>
      <w:r>
        <w:rPr>
          <w:rFonts w:hint="eastAsia" w:ascii="宋体" w:hAnsi="宋体" w:cs="宋体"/>
          <w:bCs/>
          <w:szCs w:val="21"/>
        </w:rPr>
        <w:t>（7）主城玄武区、秦淮区、建邺区、鼓楼区评估优化成果编制：按省、市要求开展评估分析，明确评估结论，编制优化方案。</w:t>
      </w:r>
    </w:p>
    <w:p w14:paraId="637B1DF6">
      <w:pPr>
        <w:spacing w:line="360" w:lineRule="auto"/>
        <w:ind w:firstLine="420" w:firstLineChars="200"/>
        <w:rPr>
          <w:rFonts w:ascii="宋体" w:hAnsi="宋体" w:cs="宋体"/>
          <w:bCs/>
          <w:szCs w:val="21"/>
        </w:rPr>
      </w:pPr>
      <w:r>
        <w:rPr>
          <w:rFonts w:hint="eastAsia" w:ascii="宋体" w:hAnsi="宋体" w:cs="宋体"/>
          <w:bCs/>
          <w:szCs w:val="21"/>
        </w:rPr>
        <w:t>（8）成果报送：包含全市评估报告、优化方案的电子文件（刻盘）、纸质文件及相关附件材料；主城四区的评估报告、优化方案的电子文件（刻盘）、主要成果的纸质文件及相关附件材料。</w:t>
      </w:r>
    </w:p>
    <w:p w14:paraId="312D115F">
      <w:pPr>
        <w:spacing w:line="360" w:lineRule="auto"/>
        <w:ind w:firstLine="420" w:firstLineChars="200"/>
      </w:pPr>
      <w:r>
        <w:rPr>
          <w:rFonts w:hint="eastAsia" w:ascii="宋体" w:hAnsi="宋体" w:cs="宋体"/>
          <w:bCs/>
          <w:szCs w:val="21"/>
        </w:rPr>
        <w:t>（9）成果归档：按要求完成所有成果的电子文件和相关纸质文件归档。</w:t>
      </w:r>
    </w:p>
    <w:p w14:paraId="6AF7F9D2">
      <w:pPr>
        <w:widowControl/>
        <w:shd w:val="clear" w:color="auto" w:fill="FFFFFF"/>
        <w:spacing w:line="360" w:lineRule="auto"/>
        <w:ind w:firstLine="431"/>
        <w:jc w:val="left"/>
        <w:rPr>
          <w:rFonts w:ascii="宋体" w:hAnsi="宋体" w:cs="宋体"/>
          <w:color w:val="000000"/>
          <w:kern w:val="0"/>
          <w:szCs w:val="21"/>
        </w:rPr>
      </w:pPr>
      <w:r>
        <w:rPr>
          <w:rFonts w:hint="eastAsia" w:ascii="宋体" w:hAnsi="宋体" w:cs="宋体"/>
          <w:b/>
          <w:bCs/>
          <w:color w:val="000000"/>
          <w:kern w:val="0"/>
          <w:szCs w:val="21"/>
        </w:rPr>
        <w:t>第二条合同总价款</w:t>
      </w:r>
      <w:r>
        <w:rPr>
          <w:rFonts w:hint="eastAsia" w:ascii="宋体" w:hAnsi="宋体" w:cs="宋体"/>
          <w:color w:val="000000"/>
          <w:kern w:val="0"/>
          <w:szCs w:val="21"/>
        </w:rPr>
        <w:t> </w:t>
      </w:r>
    </w:p>
    <w:p w14:paraId="4637CD92">
      <w:pPr>
        <w:widowControl/>
        <w:shd w:val="clear" w:color="auto" w:fill="FFFFFF"/>
        <w:spacing w:line="360" w:lineRule="auto"/>
        <w:ind w:firstLine="430"/>
        <w:jc w:val="left"/>
        <w:rPr>
          <w:rFonts w:ascii="宋体" w:hAnsi="宋体" w:cs="宋体"/>
          <w:b/>
          <w:bCs/>
          <w:color w:val="000000"/>
          <w:kern w:val="0"/>
          <w:szCs w:val="21"/>
        </w:rPr>
      </w:pPr>
      <w:r>
        <w:rPr>
          <w:rFonts w:hint="eastAsia" w:ascii="宋体" w:hAnsi="宋体" w:cs="宋体"/>
          <w:color w:val="000000"/>
          <w:kern w:val="0"/>
          <w:szCs w:val="21"/>
        </w:rPr>
        <w:t>本合同项下服务总价款为___________（大写）</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（小写）人民币，分项价款在“分项报价表”中有明确规定。</w:t>
      </w:r>
    </w:p>
    <w:p w14:paraId="65D6439C">
      <w:pPr>
        <w:widowControl/>
        <w:shd w:val="clear" w:color="auto" w:fill="FFFFFF"/>
        <w:spacing w:line="360" w:lineRule="auto"/>
        <w:ind w:firstLine="413" w:firstLineChars="196"/>
        <w:rPr>
          <w:rFonts w:ascii="宋体" w:hAnsi="宋体" w:cs="宋体"/>
          <w:color w:val="000000"/>
          <w:kern w:val="0"/>
          <w:szCs w:val="21"/>
        </w:rPr>
      </w:pPr>
      <w:r>
        <w:rPr>
          <w:rFonts w:hint="eastAsia" w:ascii="宋体" w:hAnsi="宋体" w:cs="宋体"/>
          <w:b/>
          <w:bCs/>
          <w:color w:val="000000"/>
          <w:kern w:val="0"/>
          <w:szCs w:val="21"/>
        </w:rPr>
        <w:t>第三条 组成本合同的有关文件</w:t>
      </w:r>
      <w:r>
        <w:rPr>
          <w:rFonts w:hint="eastAsia" w:ascii="宋体" w:hAnsi="宋体" w:cs="宋体"/>
          <w:color w:val="000000"/>
          <w:kern w:val="0"/>
          <w:szCs w:val="21"/>
        </w:rPr>
        <w:t>  </w:t>
      </w:r>
    </w:p>
    <w:p w14:paraId="67ECB540">
      <w:pPr>
        <w:widowControl/>
        <w:shd w:val="clear" w:color="auto" w:fill="FFFFFF"/>
        <w:spacing w:line="360" w:lineRule="auto"/>
        <w:ind w:firstLine="411" w:firstLineChars="196"/>
        <w:rPr>
          <w:rFonts w:ascii="宋体" w:hAnsi="宋体" w:cs="宋体"/>
          <w:color w:val="000000"/>
          <w:kern w:val="0"/>
          <w:szCs w:val="21"/>
        </w:rPr>
      </w:pPr>
      <w:r>
        <w:rPr>
          <w:rFonts w:hint="eastAsia" w:ascii="宋体" w:hAnsi="宋体" w:cs="宋体"/>
          <w:color w:val="000000"/>
          <w:kern w:val="0"/>
          <w:szCs w:val="21"/>
        </w:rPr>
        <w:t>下列关于招投标文件或与本次采购活动方式相适应的文件及有关附件是本合同不可分割的组成部分，与本合同具有同等法律效力，这些文件包括但不限于：</w:t>
      </w:r>
    </w:p>
    <w:p w14:paraId="7EF24292">
      <w:pPr>
        <w:widowControl/>
        <w:shd w:val="clear" w:color="auto" w:fill="FFFFFF"/>
        <w:spacing w:line="360" w:lineRule="auto"/>
        <w:ind w:firstLine="411" w:firstLineChars="196"/>
        <w:rPr>
          <w:rFonts w:ascii="宋体" w:hAnsi="宋体" w:cs="宋体"/>
          <w:color w:val="000000"/>
          <w:kern w:val="0"/>
          <w:szCs w:val="21"/>
        </w:rPr>
      </w:pPr>
      <w:r>
        <w:rPr>
          <w:rFonts w:hint="eastAsia" w:ascii="宋体" w:hAnsi="宋体" w:cs="宋体"/>
          <w:color w:val="000000"/>
          <w:kern w:val="0"/>
          <w:szCs w:val="21"/>
        </w:rPr>
        <w:t xml:space="preserve">（1）乙方提供的响应文件和投标报价表；  </w:t>
      </w:r>
    </w:p>
    <w:p w14:paraId="2EF0D194">
      <w:pPr>
        <w:widowControl/>
        <w:shd w:val="clear" w:color="auto" w:fill="FFFFFF"/>
        <w:spacing w:line="360" w:lineRule="auto"/>
        <w:ind w:firstLine="411" w:firstLineChars="196"/>
        <w:rPr>
          <w:rFonts w:ascii="宋体" w:hAnsi="宋体" w:cs="宋体"/>
          <w:color w:val="000000"/>
          <w:kern w:val="0"/>
          <w:szCs w:val="21"/>
        </w:rPr>
      </w:pPr>
      <w:r>
        <w:rPr>
          <w:rFonts w:hint="eastAsia" w:ascii="宋体" w:hAnsi="宋体" w:cs="宋体"/>
          <w:color w:val="000000"/>
          <w:kern w:val="0"/>
          <w:szCs w:val="21"/>
        </w:rPr>
        <w:t>（2）服务承诺；</w:t>
      </w:r>
    </w:p>
    <w:p w14:paraId="67A4DC07">
      <w:pPr>
        <w:widowControl/>
        <w:shd w:val="clear" w:color="auto" w:fill="FFFFFF"/>
        <w:spacing w:line="360" w:lineRule="auto"/>
        <w:ind w:firstLine="411" w:firstLineChars="196"/>
        <w:rPr>
          <w:rFonts w:ascii="宋体" w:hAnsi="宋体" w:cs="宋体"/>
          <w:color w:val="000000"/>
          <w:kern w:val="0"/>
          <w:szCs w:val="21"/>
        </w:rPr>
      </w:pPr>
      <w:r>
        <w:rPr>
          <w:rFonts w:hint="eastAsia" w:ascii="宋体" w:hAnsi="宋体" w:cs="宋体"/>
          <w:color w:val="000000"/>
          <w:kern w:val="0"/>
          <w:szCs w:val="21"/>
        </w:rPr>
        <w:t>（3）成交通知书；</w:t>
      </w:r>
    </w:p>
    <w:p w14:paraId="3A99DA66">
      <w:pPr>
        <w:widowControl/>
        <w:shd w:val="clear" w:color="auto" w:fill="FFFFFF"/>
        <w:spacing w:line="360" w:lineRule="auto"/>
        <w:ind w:firstLine="411" w:firstLineChars="196"/>
        <w:rPr>
          <w:rFonts w:ascii="宋体" w:hAnsi="宋体" w:cs="宋体"/>
          <w:color w:val="000000"/>
          <w:kern w:val="0"/>
          <w:szCs w:val="21"/>
        </w:rPr>
      </w:pPr>
      <w:r>
        <w:rPr>
          <w:rFonts w:hint="eastAsia" w:ascii="宋体" w:hAnsi="宋体" w:cs="宋体"/>
          <w:color w:val="000000"/>
          <w:kern w:val="0"/>
          <w:szCs w:val="21"/>
        </w:rPr>
        <w:t>（5）甲乙双方商定的其他文件等。</w:t>
      </w:r>
    </w:p>
    <w:p w14:paraId="3B5C5D70">
      <w:pPr>
        <w:widowControl/>
        <w:shd w:val="clear" w:color="auto" w:fill="FFFFFF"/>
        <w:spacing w:line="360" w:lineRule="auto"/>
        <w:ind w:firstLine="431"/>
        <w:jc w:val="left"/>
        <w:rPr>
          <w:rFonts w:ascii="宋体" w:hAnsi="宋体" w:cs="宋体"/>
          <w:color w:val="000000"/>
          <w:kern w:val="0"/>
          <w:szCs w:val="21"/>
        </w:rPr>
      </w:pPr>
      <w:r>
        <w:rPr>
          <w:rFonts w:hint="eastAsia" w:ascii="宋体" w:hAnsi="宋体" w:cs="宋体"/>
          <w:b/>
          <w:bCs/>
          <w:color w:val="000000"/>
          <w:kern w:val="0"/>
          <w:szCs w:val="21"/>
        </w:rPr>
        <w:t>第四条 权利保证</w:t>
      </w:r>
    </w:p>
    <w:p w14:paraId="6179581E">
      <w:pPr>
        <w:widowControl/>
        <w:shd w:val="clear" w:color="auto" w:fill="FFFFFF"/>
        <w:spacing w:line="360" w:lineRule="auto"/>
        <w:ind w:firstLine="430"/>
        <w:jc w:val="left"/>
        <w:rPr>
          <w:rFonts w:ascii="宋体" w:hAnsi="宋体" w:cs="宋体"/>
          <w:color w:val="000000"/>
          <w:kern w:val="0"/>
          <w:szCs w:val="21"/>
        </w:rPr>
      </w:pPr>
      <w:r>
        <w:rPr>
          <w:rFonts w:hint="eastAsia" w:ascii="宋体" w:hAnsi="宋体" w:cs="宋体"/>
          <w:color w:val="000000"/>
          <w:kern w:val="0"/>
          <w:szCs w:val="21"/>
        </w:rPr>
        <w:t>乙方应保证甲方在使用乙方提供的服务中任何一部分不受第三方提出侵犯其专利权、版权、商标权或其他权利的起诉。一旦出现侵权，乙方应承担全部责任。</w:t>
      </w:r>
    </w:p>
    <w:p w14:paraId="07366D37">
      <w:pPr>
        <w:widowControl/>
        <w:shd w:val="clear" w:color="auto" w:fill="FFFFFF"/>
        <w:spacing w:line="360" w:lineRule="auto"/>
        <w:ind w:firstLine="431"/>
        <w:jc w:val="left"/>
        <w:rPr>
          <w:rFonts w:ascii="宋体" w:hAnsi="宋体" w:cs="宋体"/>
          <w:color w:val="000000"/>
          <w:kern w:val="0"/>
          <w:szCs w:val="21"/>
        </w:rPr>
      </w:pPr>
      <w:r>
        <w:rPr>
          <w:rFonts w:hint="eastAsia" w:ascii="宋体" w:hAnsi="宋体" w:cs="宋体"/>
          <w:b/>
          <w:bCs/>
          <w:color w:val="000000"/>
          <w:kern w:val="0"/>
          <w:szCs w:val="21"/>
        </w:rPr>
        <w:t>第五条 质量保证</w:t>
      </w:r>
    </w:p>
    <w:p w14:paraId="4E088330">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1、乙方所提供的服务的技术规格应与采购文件规定的技术规格相一致；若技术性能无特殊说明，则按国家有关部门最新颁布的标准及规范为准。</w:t>
      </w:r>
    </w:p>
    <w:p w14:paraId="379DA8B9">
      <w:pPr>
        <w:spacing w:line="360" w:lineRule="auto"/>
        <w:ind w:firstLine="420" w:firstLineChars="200"/>
      </w:pPr>
      <w:r>
        <w:rPr>
          <w:rFonts w:hint="eastAsia"/>
        </w:rPr>
        <w:t>2、本项目的实施必须符合南京市、江苏省、国家有关规范、规程和相关技术文件，以及采购文件要求及投标文件承诺，乙方应确保成果的完整性、规范性、真实性和准确性，不允许弄虚作假。本项目提交的全部技术成果，必须能通过甲方组织的成果审查。</w:t>
      </w:r>
    </w:p>
    <w:p w14:paraId="365E8458">
      <w:pPr>
        <w:widowControl/>
        <w:shd w:val="clear" w:color="auto" w:fill="FFFFFF"/>
        <w:spacing w:line="360" w:lineRule="auto"/>
        <w:ind w:firstLine="431"/>
        <w:jc w:val="left"/>
        <w:rPr>
          <w:rFonts w:ascii="宋体" w:hAnsi="宋体" w:cs="宋体"/>
          <w:b/>
          <w:bCs/>
          <w:color w:val="000000"/>
          <w:kern w:val="0"/>
          <w:szCs w:val="21"/>
        </w:rPr>
      </w:pPr>
      <w:r>
        <w:rPr>
          <w:rFonts w:hint="eastAsia" w:ascii="宋体" w:hAnsi="宋体" w:cs="宋体"/>
          <w:b/>
          <w:bCs/>
          <w:color w:val="000000"/>
          <w:kern w:val="0"/>
          <w:szCs w:val="21"/>
        </w:rPr>
        <w:t>第六条 </w:t>
      </w:r>
      <w:r>
        <w:rPr>
          <w:rFonts w:hint="eastAsia"/>
          <w:b/>
          <w:bCs/>
        </w:rPr>
        <w:t>项目实施周期</w:t>
      </w:r>
    </w:p>
    <w:p w14:paraId="3FDAC1AE">
      <w:pPr>
        <w:spacing w:line="360" w:lineRule="auto"/>
        <w:ind w:firstLine="420" w:firstLineChars="200"/>
        <w:jc w:val="left"/>
        <w:rPr>
          <w:rFonts w:ascii="宋体" w:hAnsi="宋体" w:cs="宋体"/>
          <w:bCs/>
          <w:szCs w:val="21"/>
        </w:rPr>
      </w:pPr>
      <w:r>
        <w:rPr>
          <w:rFonts w:hint="eastAsia" w:ascii="宋体" w:hAnsi="宋体" w:cs="宋体"/>
          <w:bCs/>
          <w:szCs w:val="21"/>
        </w:rPr>
        <w:t>202</w:t>
      </w:r>
      <w:r>
        <w:rPr>
          <w:rFonts w:ascii="宋体" w:hAnsi="宋体" w:cs="宋体"/>
          <w:bCs/>
          <w:szCs w:val="21"/>
        </w:rPr>
        <w:t>5</w:t>
      </w:r>
      <w:r>
        <w:rPr>
          <w:rFonts w:hint="eastAsia" w:ascii="宋体" w:hAnsi="宋体" w:cs="宋体"/>
          <w:bCs/>
          <w:szCs w:val="21"/>
        </w:rPr>
        <w:t>年</w:t>
      </w:r>
      <w:r>
        <w:rPr>
          <w:rFonts w:ascii="宋体" w:hAnsi="宋体" w:cs="宋体"/>
          <w:bCs/>
          <w:szCs w:val="21"/>
        </w:rPr>
        <w:t>08</w:t>
      </w:r>
      <w:r>
        <w:rPr>
          <w:rFonts w:hint="eastAsia" w:ascii="宋体" w:hAnsi="宋体" w:cs="宋体"/>
          <w:bCs/>
          <w:szCs w:val="21"/>
        </w:rPr>
        <w:t>月，指导各区形成初步成果、</w:t>
      </w:r>
      <w:r>
        <w:rPr>
          <w:rFonts w:ascii="宋体" w:hAnsi="宋体" w:cs="宋体"/>
          <w:bCs/>
          <w:szCs w:val="21"/>
        </w:rPr>
        <w:t>完成主城四区初步成果</w:t>
      </w:r>
      <w:r>
        <w:rPr>
          <w:rFonts w:hint="eastAsia" w:ascii="宋体" w:hAnsi="宋体" w:cs="宋体"/>
          <w:bCs/>
          <w:szCs w:val="21"/>
        </w:rPr>
        <w:t>；</w:t>
      </w:r>
    </w:p>
    <w:p w14:paraId="6203B7A9">
      <w:pPr>
        <w:spacing w:line="360" w:lineRule="auto"/>
        <w:ind w:firstLine="420" w:firstLineChars="200"/>
        <w:jc w:val="left"/>
        <w:rPr>
          <w:rFonts w:ascii="宋体" w:hAnsi="宋体" w:cs="宋体"/>
          <w:bCs/>
          <w:szCs w:val="21"/>
        </w:rPr>
      </w:pPr>
      <w:r>
        <w:rPr>
          <w:rFonts w:hint="eastAsia" w:ascii="宋体" w:hAnsi="宋体" w:cs="宋体"/>
          <w:bCs/>
          <w:szCs w:val="21"/>
        </w:rPr>
        <w:t>202</w:t>
      </w:r>
      <w:r>
        <w:rPr>
          <w:rFonts w:ascii="宋体" w:hAnsi="宋体" w:cs="宋体"/>
          <w:bCs/>
          <w:szCs w:val="21"/>
        </w:rPr>
        <w:t>5</w:t>
      </w:r>
      <w:r>
        <w:rPr>
          <w:rFonts w:hint="eastAsia" w:ascii="宋体" w:hAnsi="宋体" w:cs="宋体"/>
          <w:bCs/>
          <w:szCs w:val="21"/>
        </w:rPr>
        <w:t>年</w:t>
      </w:r>
      <w:r>
        <w:rPr>
          <w:rFonts w:ascii="宋体" w:hAnsi="宋体" w:cs="宋体"/>
          <w:bCs/>
          <w:szCs w:val="21"/>
        </w:rPr>
        <w:t>10</w:t>
      </w:r>
      <w:r>
        <w:rPr>
          <w:rFonts w:hint="eastAsia" w:ascii="宋体" w:hAnsi="宋体" w:cs="宋体"/>
          <w:bCs/>
          <w:szCs w:val="21"/>
        </w:rPr>
        <w:t>月，完成市级方案深化成果；</w:t>
      </w:r>
    </w:p>
    <w:p w14:paraId="2C40BB30">
      <w:pPr>
        <w:spacing w:line="360" w:lineRule="auto"/>
        <w:ind w:firstLine="420" w:firstLineChars="200"/>
        <w:jc w:val="left"/>
        <w:rPr>
          <w:rFonts w:ascii="宋体" w:hAnsi="宋体" w:cs="宋体"/>
          <w:bCs/>
          <w:szCs w:val="21"/>
        </w:rPr>
      </w:pPr>
      <w:r>
        <w:rPr>
          <w:rFonts w:ascii="宋体" w:hAnsi="宋体" w:cs="宋体"/>
          <w:bCs/>
          <w:szCs w:val="21"/>
        </w:rPr>
        <w:t>2025</w:t>
      </w:r>
      <w:r>
        <w:rPr>
          <w:rFonts w:hint="eastAsia" w:ascii="宋体" w:hAnsi="宋体" w:cs="宋体"/>
          <w:bCs/>
          <w:szCs w:val="21"/>
        </w:rPr>
        <w:t>年1</w:t>
      </w:r>
      <w:r>
        <w:rPr>
          <w:rFonts w:ascii="宋体" w:hAnsi="宋体" w:cs="宋体"/>
          <w:bCs/>
          <w:szCs w:val="21"/>
        </w:rPr>
        <w:t>2</w:t>
      </w:r>
      <w:r>
        <w:rPr>
          <w:rFonts w:hint="eastAsia" w:ascii="宋体" w:hAnsi="宋体" w:cs="宋体"/>
          <w:bCs/>
          <w:szCs w:val="21"/>
        </w:rPr>
        <w:t>月，完成成果论证、验收、公示、上报</w:t>
      </w:r>
      <w:r>
        <w:rPr>
          <w:rFonts w:ascii="宋体" w:hAnsi="宋体" w:cs="宋体"/>
          <w:bCs/>
          <w:szCs w:val="21"/>
        </w:rPr>
        <w:t>、</w:t>
      </w:r>
      <w:r>
        <w:rPr>
          <w:rFonts w:hint="eastAsia" w:ascii="宋体" w:hAnsi="宋体" w:cs="宋体"/>
          <w:bCs/>
          <w:szCs w:val="21"/>
        </w:rPr>
        <w:t>归档等工作。</w:t>
      </w:r>
    </w:p>
    <w:p w14:paraId="4330D06D">
      <w:pPr>
        <w:widowControl/>
        <w:shd w:val="clear" w:color="auto" w:fill="FFFFFF"/>
        <w:spacing w:line="360" w:lineRule="auto"/>
        <w:ind w:firstLine="431"/>
        <w:jc w:val="left"/>
        <w:rPr>
          <w:rFonts w:ascii="宋体" w:hAnsi="宋体" w:cs="宋体"/>
          <w:kern w:val="0"/>
          <w:szCs w:val="21"/>
        </w:rPr>
      </w:pPr>
      <w:r>
        <w:rPr>
          <w:rFonts w:hint="eastAsia" w:ascii="宋体" w:hAnsi="宋体" w:cs="宋体"/>
          <w:b/>
          <w:bCs/>
          <w:kern w:val="0"/>
          <w:szCs w:val="21"/>
        </w:rPr>
        <w:t>第七条 合同款支付</w:t>
      </w:r>
    </w:p>
    <w:p w14:paraId="42B8B565">
      <w:pPr>
        <w:widowControl/>
        <w:shd w:val="clear" w:color="auto" w:fill="FFFFFF"/>
        <w:spacing w:line="360" w:lineRule="auto"/>
        <w:ind w:firstLine="430"/>
        <w:jc w:val="left"/>
        <w:rPr>
          <w:rFonts w:ascii="宋体" w:hAnsi="宋体" w:cs="宋体"/>
          <w:color w:val="000000"/>
          <w:kern w:val="0"/>
          <w:szCs w:val="21"/>
        </w:rPr>
      </w:pPr>
      <w:r>
        <w:rPr>
          <w:rFonts w:hint="eastAsia" w:ascii="宋体" w:hAnsi="宋体" w:cs="宋体"/>
          <w:color w:val="000000"/>
          <w:kern w:val="0"/>
          <w:szCs w:val="21"/>
        </w:rPr>
        <w:t>1、本合同项下所有款项均以人民币支付。</w:t>
      </w:r>
    </w:p>
    <w:p w14:paraId="4313CEB0">
      <w:pPr>
        <w:widowControl/>
        <w:shd w:val="clear" w:color="auto" w:fill="FFFFFF"/>
        <w:spacing w:line="360" w:lineRule="auto"/>
        <w:ind w:firstLine="430"/>
        <w:jc w:val="left"/>
        <w:rPr>
          <w:rFonts w:ascii="宋体" w:hAnsi="宋体" w:cs="宋体"/>
          <w:color w:val="000000"/>
          <w:kern w:val="0"/>
          <w:szCs w:val="21"/>
        </w:rPr>
      </w:pPr>
      <w:r>
        <w:rPr>
          <w:rFonts w:hint="eastAsia" w:ascii="宋体" w:hAnsi="宋体" w:cs="宋体"/>
          <w:color w:val="000000"/>
          <w:kern w:val="0"/>
          <w:szCs w:val="21"/>
        </w:rPr>
        <w:t>2、本合同项下的采购资金由甲方自行支付，乙方向甲方开具符合甲方财务要求的发票。</w:t>
      </w:r>
    </w:p>
    <w:p w14:paraId="56F58475">
      <w:pPr>
        <w:spacing w:line="360" w:lineRule="auto"/>
        <w:ind w:firstLine="420" w:firstLineChars="200"/>
        <w:rPr>
          <w:rFonts w:ascii="宋体" w:hAnsi="宋体" w:cs="宋体"/>
          <w:color w:val="000000"/>
          <w:kern w:val="0"/>
          <w:szCs w:val="21"/>
        </w:rPr>
      </w:pPr>
      <w:r>
        <w:rPr>
          <w:rFonts w:ascii="宋体" w:hAnsi="宋体"/>
          <w:color w:val="000000"/>
          <w:kern w:val="0"/>
          <w:szCs w:val="21"/>
        </w:rPr>
        <w:t>3</w:t>
      </w:r>
      <w:r>
        <w:rPr>
          <w:rFonts w:hint="eastAsia" w:ascii="宋体" w:hAnsi="宋体"/>
          <w:color w:val="000000"/>
          <w:kern w:val="0"/>
          <w:szCs w:val="21"/>
        </w:rPr>
        <w:t>、</w:t>
      </w:r>
      <w:r>
        <w:rPr>
          <w:rFonts w:hint="eastAsia" w:ascii="宋体" w:hAnsi="宋体" w:cs="宋体"/>
          <w:color w:val="000000"/>
          <w:kern w:val="0"/>
          <w:szCs w:val="21"/>
        </w:rPr>
        <w:t>付款方式：</w:t>
      </w:r>
    </w:p>
    <w:p w14:paraId="52DE3180">
      <w:pPr>
        <w:spacing w:line="360" w:lineRule="auto"/>
        <w:ind w:firstLine="420" w:firstLineChars="200"/>
        <w:rPr>
          <w:rFonts w:ascii="宋体" w:hAnsi="宋体"/>
          <w:kern w:val="0"/>
          <w:szCs w:val="21"/>
          <w:lang w:bidi="ar"/>
        </w:rPr>
      </w:pPr>
      <w:r>
        <w:rPr>
          <w:rFonts w:hint="eastAsia" w:ascii="宋体" w:hAnsi="宋体" w:cs="宋体"/>
          <w:color w:val="000000"/>
          <w:kern w:val="0"/>
          <w:szCs w:val="21"/>
        </w:rPr>
        <w:t>（</w:t>
      </w:r>
      <w:r>
        <w:rPr>
          <w:rFonts w:hint="eastAsia" w:ascii="宋体" w:hAnsi="宋体"/>
          <w:kern w:val="0"/>
          <w:szCs w:val="21"/>
          <w:lang w:bidi="ar"/>
        </w:rPr>
        <w:t>1</w:t>
      </w:r>
      <w:r>
        <w:rPr>
          <w:rFonts w:hint="eastAsia" w:ascii="宋体" w:hAnsi="宋体" w:cs="宋体"/>
          <w:color w:val="000000"/>
          <w:kern w:val="0"/>
          <w:szCs w:val="21"/>
        </w:rPr>
        <w:t>）</w:t>
      </w:r>
      <w:r>
        <w:rPr>
          <w:rFonts w:hint="eastAsia" w:ascii="宋体" w:hAnsi="宋体"/>
          <w:kern w:val="0"/>
          <w:szCs w:val="21"/>
          <w:lang w:bidi="ar"/>
        </w:rPr>
        <w:t>合同签订后，甲方支付乙方项目费用的</w:t>
      </w:r>
      <w:r>
        <w:rPr>
          <w:rFonts w:ascii="宋体" w:hAnsi="宋体"/>
          <w:kern w:val="0"/>
          <w:szCs w:val="21"/>
          <w:lang w:bidi="ar"/>
        </w:rPr>
        <w:t>2</w:t>
      </w:r>
      <w:r>
        <w:rPr>
          <w:rFonts w:hint="eastAsia" w:ascii="宋体" w:hAnsi="宋体"/>
          <w:kern w:val="0"/>
          <w:szCs w:val="21"/>
          <w:lang w:bidi="ar"/>
        </w:rPr>
        <w:t>0%，运维服务期满支付剩余款项。</w:t>
      </w:r>
    </w:p>
    <w:p w14:paraId="1BFDEDB1">
      <w:pPr>
        <w:spacing w:line="360" w:lineRule="auto"/>
        <w:ind w:firstLine="420" w:firstLineChars="200"/>
        <w:rPr>
          <w:rFonts w:ascii="宋体" w:hAnsi="宋体" w:cs="宋体"/>
          <w:color w:val="000000"/>
          <w:kern w:val="0"/>
          <w:szCs w:val="21"/>
        </w:rPr>
      </w:pPr>
      <w:r>
        <w:rPr>
          <w:rFonts w:hint="eastAsia" w:ascii="宋体" w:hAnsi="宋体"/>
          <w:kern w:val="0"/>
          <w:szCs w:val="21"/>
          <w:lang w:bidi="ar"/>
        </w:rPr>
        <w:t>（2）如服务期内发生主管部门信息安全通报事件的，达到两次的扣除项目费用的5%，超过两次的扣除项目费用的10%。</w:t>
      </w:r>
    </w:p>
    <w:p w14:paraId="77946A3A">
      <w:pPr>
        <w:spacing w:line="360" w:lineRule="auto"/>
        <w:ind w:firstLine="422" w:firstLineChars="200"/>
        <w:rPr>
          <w:rFonts w:ascii="宋体" w:hAnsi="宋体" w:cs="宋体"/>
          <w:b/>
          <w:bCs/>
          <w:kern w:val="0"/>
          <w:szCs w:val="21"/>
        </w:rPr>
      </w:pPr>
      <w:r>
        <w:rPr>
          <w:rFonts w:hint="eastAsia" w:ascii="宋体" w:hAnsi="宋体" w:cs="宋体"/>
          <w:b/>
          <w:bCs/>
          <w:kern w:val="0"/>
          <w:szCs w:val="21"/>
        </w:rPr>
        <w:t>第八条 保密要求 </w:t>
      </w:r>
    </w:p>
    <w:p w14:paraId="13BC257D">
      <w:pPr>
        <w:spacing w:line="360" w:lineRule="auto"/>
        <w:ind w:firstLine="420" w:firstLineChars="200"/>
      </w:pPr>
      <w:r>
        <w:rPr>
          <w:rFonts w:hint="eastAsia"/>
        </w:rPr>
        <w:t>在项目实施过程中，执行严格的保密措施，以确保数据的安全和完整。强化保密培训，规范工作流程，落实保密管理的各项要求，杜绝失泄密问题，在每个环节均需有严格的保密措施。</w:t>
      </w:r>
    </w:p>
    <w:p w14:paraId="33F6EDF9">
      <w:pPr>
        <w:spacing w:line="360" w:lineRule="auto"/>
        <w:ind w:firstLine="420" w:firstLineChars="200"/>
      </w:pPr>
      <w:r>
        <w:rPr>
          <w:rFonts w:hint="eastAsia"/>
        </w:rPr>
        <w:t>（1）资料交接阶段</w:t>
      </w:r>
    </w:p>
    <w:p w14:paraId="231440D3">
      <w:pPr>
        <w:spacing w:line="360" w:lineRule="auto"/>
        <w:ind w:firstLine="420" w:firstLineChars="200"/>
      </w:pPr>
      <w:r>
        <w:rPr>
          <w:rFonts w:hint="eastAsia"/>
        </w:rPr>
        <w:t>由专人负责与甲方交接数据，交接人须承担此过程中的数据保密责任；数据交接后，应有专人负责对数据管理、分发和使用。</w:t>
      </w:r>
    </w:p>
    <w:p w14:paraId="5B07B08C">
      <w:pPr>
        <w:spacing w:line="360" w:lineRule="auto"/>
        <w:ind w:firstLine="420" w:firstLineChars="200"/>
      </w:pPr>
      <w:r>
        <w:rPr>
          <w:rFonts w:hint="eastAsia"/>
        </w:rPr>
        <w:t>（2）资料使用阶段</w:t>
      </w:r>
    </w:p>
    <w:p w14:paraId="510CD927">
      <w:pPr>
        <w:spacing w:line="360" w:lineRule="auto"/>
        <w:ind w:firstLine="420" w:firstLineChars="200"/>
      </w:pPr>
      <w:r>
        <w:rPr>
          <w:rFonts w:hint="eastAsia"/>
        </w:rPr>
        <w:t>①对于甲方提供的资料的使用，应有使用情况说明和使用人员明细，并落实到责任人，采取安全措施；乙方仅限于本项目工作中使用甲方提供的数据，不得扩展到其他单位，不得私下运用到其他项目。</w:t>
      </w:r>
    </w:p>
    <w:p w14:paraId="74F39564">
      <w:pPr>
        <w:spacing w:line="360" w:lineRule="auto"/>
        <w:ind w:firstLine="420" w:firstLineChars="200"/>
      </w:pPr>
      <w:r>
        <w:rPr>
          <w:rFonts w:hint="eastAsia"/>
        </w:rPr>
        <w:t>②对于甲方提供的资料，未经甲方许可，不得以任何形式向任何第三方提供或复制留存，若有泄密情况发生，将追究当事人责任；乙方对许可使用的数据不拥有复制、传播、出版、翻译成外国语言等权利，不得向第三方提供原始数据，不得以商业目的使用该数据或者开发和生产产品。数据的任何格式或者任何复制品视同原始数据。乙方可根据需要对数据内容进行必要的修改和对数据格式进行转换，但未经许可不得将修改、转换后的数据对外发布和提供，并应将修改、转换的情况及修改、转换的内容向甲方备案。乙方不得将数据或衍生成果在计算机互联网上登载。</w:t>
      </w:r>
    </w:p>
    <w:p w14:paraId="3FB71091">
      <w:pPr>
        <w:spacing w:line="360" w:lineRule="auto"/>
        <w:ind w:firstLine="420" w:firstLineChars="200"/>
      </w:pPr>
      <w:r>
        <w:rPr>
          <w:rFonts w:hint="eastAsia"/>
        </w:rPr>
        <w:t>③在作业过程中，应保证所有作业计算机使用的安全和作业网络环境与Internet 物理隔离，并采取相应的安全措施，保障资料的安全可靠。</w:t>
      </w:r>
    </w:p>
    <w:p w14:paraId="6D037299">
      <w:pPr>
        <w:spacing w:line="360" w:lineRule="auto"/>
        <w:ind w:firstLine="420" w:firstLineChars="200"/>
      </w:pPr>
      <w:r>
        <w:rPr>
          <w:rFonts w:hint="eastAsia"/>
        </w:rPr>
        <w:t>（3）资料提交阶段</w:t>
      </w:r>
    </w:p>
    <w:p w14:paraId="38505550">
      <w:pPr>
        <w:spacing w:line="360" w:lineRule="auto"/>
        <w:ind w:firstLine="420" w:firstLineChars="200"/>
      </w:pPr>
      <w:r>
        <w:rPr>
          <w:rFonts w:hint="eastAsia"/>
        </w:rPr>
        <w:t>乙方在项目工作结束提交成果给甲方后，应及时销毁所有数据，并将过程性数据、再复制的数据及其衍生品全部删除，确保数据不外泄。</w:t>
      </w:r>
    </w:p>
    <w:p w14:paraId="7CE5B01B">
      <w:pPr>
        <w:spacing w:line="360" w:lineRule="auto"/>
        <w:ind w:firstLine="420" w:firstLineChars="200"/>
      </w:pPr>
      <w:r>
        <w:rPr>
          <w:rFonts w:hint="eastAsia"/>
        </w:rPr>
        <w:t>（4）成果使用阶段</w:t>
      </w:r>
    </w:p>
    <w:p w14:paraId="12A1F80B">
      <w:pPr>
        <w:spacing w:line="360" w:lineRule="auto"/>
        <w:ind w:firstLine="420" w:firstLineChars="200"/>
      </w:pPr>
      <w:r>
        <w:rPr>
          <w:rFonts w:hint="eastAsia"/>
        </w:rPr>
        <w:t>乙方应保证甲方在使用项目成果时不受第三方提出的侵犯专利权、著作权、商标权和设计权等的起诉。如果任何第三方提出侵权指控，乙方须与第三方交涉并承担由此发生的一切责任、费用和经济赔偿。</w:t>
      </w:r>
    </w:p>
    <w:p w14:paraId="6AB577C3">
      <w:pPr>
        <w:spacing w:line="360" w:lineRule="auto"/>
        <w:ind w:firstLine="420" w:firstLineChars="200"/>
      </w:pPr>
      <w:r>
        <w:rPr>
          <w:rFonts w:hint="eastAsia"/>
        </w:rPr>
        <w:t>（5）涉密数据保密要求</w:t>
      </w:r>
    </w:p>
    <w:p w14:paraId="4EC075C4">
      <w:pPr>
        <w:spacing w:line="360" w:lineRule="auto"/>
        <w:ind w:firstLine="420" w:firstLineChars="200"/>
      </w:pPr>
      <w:r>
        <w:rPr>
          <w:rFonts w:hint="eastAsia"/>
        </w:rPr>
        <w:t>对于项目实施过程中的所有数据以及最终成果数据乙方须承担保密责任，未经甲方许可，不得以任何形式向任何第三方提供或复制留存，若有泄密情况发生，应追查乙方责任。</w:t>
      </w:r>
    </w:p>
    <w:p w14:paraId="4872B8B1">
      <w:pPr>
        <w:spacing w:line="360" w:lineRule="auto"/>
        <w:ind w:firstLine="420" w:firstLineChars="200"/>
      </w:pPr>
      <w:r>
        <w:rPr>
          <w:rFonts w:hint="eastAsia"/>
        </w:rPr>
        <w:t>项目履行过程中，乙方应对本项目严格保密，不得泄露信息，如有违反需承担相应法律责任，甲方保留追诉乙方相关过错的权利。乙方应保证甲方在使用该服务或其任何一部分时不受第三方提出的侵犯专利权、著作权、商标权和设计权等的起诉。如果任何第三方提出侵权指控，乙方须与第三方交涉并承担由此发生的一切责任、费用和经济赔偿。</w:t>
      </w:r>
    </w:p>
    <w:p w14:paraId="74244BFE">
      <w:pPr>
        <w:spacing w:line="360" w:lineRule="auto"/>
        <w:ind w:firstLine="420" w:firstLineChars="200"/>
      </w:pPr>
      <w:r>
        <w:rPr>
          <w:rFonts w:hint="eastAsia"/>
        </w:rPr>
        <w:t>项目结束后应及时销毁所有涉密数据，并将过程性数据、再复制的数据及其衍生品全部删除，确保涉密数据不外泄。</w:t>
      </w:r>
    </w:p>
    <w:p w14:paraId="2F844C7B">
      <w:pPr>
        <w:spacing w:line="360" w:lineRule="auto"/>
        <w:ind w:firstLine="420" w:firstLineChars="200"/>
      </w:pPr>
      <w:r>
        <w:rPr>
          <w:rFonts w:hint="eastAsia"/>
        </w:rPr>
        <w:t>以上条款如有违反，乙方需承担相应法律责任，甲方保留追诉乙方相关过错的权利。</w:t>
      </w:r>
    </w:p>
    <w:p w14:paraId="0176D23F">
      <w:pPr>
        <w:spacing w:line="360" w:lineRule="auto"/>
        <w:ind w:firstLine="422" w:firstLineChars="200"/>
        <w:rPr>
          <w:b/>
          <w:bCs/>
        </w:rPr>
      </w:pPr>
      <w:r>
        <w:rPr>
          <w:rFonts w:hint="eastAsia" w:ascii="宋体" w:hAnsi="宋体" w:cs="宋体"/>
          <w:b/>
          <w:bCs/>
          <w:color w:val="000000"/>
          <w:kern w:val="0"/>
          <w:szCs w:val="21"/>
        </w:rPr>
        <w:t>第九条 </w:t>
      </w:r>
      <w:r>
        <w:rPr>
          <w:rFonts w:hint="eastAsia"/>
          <w:b/>
          <w:bCs/>
        </w:rPr>
        <w:t>其他要求</w:t>
      </w:r>
    </w:p>
    <w:p w14:paraId="466C59E8">
      <w:pPr>
        <w:spacing w:line="360" w:lineRule="auto"/>
        <w:ind w:firstLine="420" w:firstLineChars="200"/>
      </w:pPr>
      <w:r>
        <w:rPr>
          <w:rFonts w:hint="eastAsia"/>
        </w:rPr>
        <w:t>1、 服务要求</w:t>
      </w:r>
    </w:p>
    <w:p w14:paraId="45C1FAC4">
      <w:pPr>
        <w:spacing w:line="360" w:lineRule="auto"/>
        <w:ind w:firstLine="420" w:firstLineChars="200"/>
      </w:pPr>
      <w:r>
        <w:rPr>
          <w:rFonts w:hint="eastAsia"/>
        </w:rPr>
        <w:t>乙方不得转包。乙方提供的服务必须全部达到采购文件各项要求，国家或行业有规定的，还要符合相应规定。服务期满前，乙方应根据甲方要求提供完整的文档资料，并配合甲方做好与本项目相关任务的衔接工作。</w:t>
      </w:r>
    </w:p>
    <w:p w14:paraId="3DBDFC35">
      <w:pPr>
        <w:spacing w:line="360" w:lineRule="auto"/>
        <w:ind w:firstLine="420" w:firstLineChars="200"/>
      </w:pPr>
      <w:r>
        <w:rPr>
          <w:rFonts w:hint="eastAsia"/>
        </w:rPr>
        <w:t>乙方在项目的实施过程中应做好人身、财产、交通、数据成果等的安全工作，如自身管理疏忽造成的安全问题，所有的损失皆由乙方自行承担，与甲方无关。</w:t>
      </w:r>
    </w:p>
    <w:p w14:paraId="3C815046">
      <w:pPr>
        <w:spacing w:line="360" w:lineRule="auto"/>
        <w:ind w:firstLine="422" w:firstLineChars="200"/>
        <w:rPr>
          <w:rFonts w:ascii="宋体" w:hAnsi="宋体" w:cs="宋体"/>
          <w:color w:val="000000"/>
          <w:kern w:val="0"/>
          <w:szCs w:val="21"/>
        </w:rPr>
      </w:pPr>
      <w:r>
        <w:rPr>
          <w:rFonts w:hint="eastAsia" w:ascii="宋体" w:hAnsi="宋体" w:cs="宋体"/>
          <w:b/>
          <w:bCs/>
          <w:color w:val="000000"/>
          <w:kern w:val="0"/>
          <w:szCs w:val="21"/>
        </w:rPr>
        <w:t>第十条 违约责任  </w:t>
      </w:r>
    </w:p>
    <w:p w14:paraId="47F17129">
      <w:pPr>
        <w:widowControl/>
        <w:shd w:val="clear" w:color="auto" w:fill="FFFFFF"/>
        <w:spacing w:line="360" w:lineRule="auto"/>
        <w:ind w:firstLine="430"/>
        <w:jc w:val="left"/>
        <w:rPr>
          <w:rFonts w:ascii="宋体" w:hAnsi="宋体" w:cs="宋体"/>
          <w:color w:val="000000"/>
          <w:kern w:val="0"/>
          <w:szCs w:val="21"/>
        </w:rPr>
      </w:pPr>
      <w:r>
        <w:rPr>
          <w:rFonts w:hint="eastAsia" w:ascii="宋体" w:hAnsi="宋体" w:cs="宋体"/>
          <w:color w:val="000000"/>
          <w:kern w:val="0"/>
          <w:szCs w:val="21"/>
        </w:rPr>
        <w:t>1、甲方无正当理由拒收成果文件时的，由甲方向乙方偿付合同总价的5%违约金。</w:t>
      </w:r>
    </w:p>
    <w:p w14:paraId="148F02AC">
      <w:pPr>
        <w:widowControl/>
        <w:shd w:val="clear" w:color="auto" w:fill="FFFFFF"/>
        <w:spacing w:line="360" w:lineRule="auto"/>
        <w:ind w:firstLine="430"/>
        <w:jc w:val="left"/>
        <w:rPr>
          <w:rFonts w:ascii="宋体" w:hAnsi="宋体" w:cs="宋体"/>
          <w:color w:val="000000"/>
          <w:kern w:val="0"/>
          <w:szCs w:val="21"/>
        </w:rPr>
      </w:pPr>
      <w:r>
        <w:rPr>
          <w:rFonts w:hint="eastAsia" w:ascii="宋体" w:hAnsi="宋体" w:cs="宋体"/>
          <w:color w:val="000000"/>
          <w:kern w:val="0"/>
          <w:szCs w:val="21"/>
        </w:rPr>
        <w:t>2、如乙方不能交付在规定时间内完成相关工作，乙方应向甲方支付合同总价5%的违约金。</w:t>
      </w:r>
    </w:p>
    <w:p w14:paraId="4D662C9E">
      <w:pPr>
        <w:widowControl/>
        <w:shd w:val="clear" w:color="auto" w:fill="FFFFFF"/>
        <w:spacing w:line="360" w:lineRule="auto"/>
        <w:ind w:firstLine="430"/>
        <w:jc w:val="left"/>
        <w:rPr>
          <w:rFonts w:ascii="宋体" w:hAnsi="宋体" w:cs="宋体"/>
          <w:color w:val="000000"/>
          <w:kern w:val="0"/>
          <w:szCs w:val="21"/>
        </w:rPr>
      </w:pPr>
      <w:r>
        <w:rPr>
          <w:rFonts w:hint="eastAsia" w:ascii="宋体" w:hAnsi="宋体" w:cs="宋体"/>
          <w:color w:val="000000"/>
          <w:kern w:val="0"/>
          <w:szCs w:val="21"/>
        </w:rPr>
        <w:t>3、乙方逾期交付的，每逾期1天，乙方向甲方偿付合同总额的5‰的滞纳金。如乙方逾期交付达10天，甲方有权解除合同，解除合同的通知自到达乙方时生效。</w:t>
      </w:r>
    </w:p>
    <w:p w14:paraId="63CA82B6">
      <w:pPr>
        <w:widowControl/>
        <w:shd w:val="clear" w:color="auto" w:fill="FFFFFF"/>
        <w:spacing w:line="360" w:lineRule="auto"/>
        <w:ind w:firstLine="430"/>
        <w:jc w:val="left"/>
        <w:rPr>
          <w:rFonts w:ascii="宋体" w:hAnsi="宋体" w:cs="宋体"/>
          <w:color w:val="000000"/>
          <w:kern w:val="0"/>
          <w:szCs w:val="21"/>
        </w:rPr>
      </w:pPr>
      <w:r>
        <w:rPr>
          <w:rFonts w:hint="eastAsia" w:ascii="宋体" w:hAnsi="宋体" w:cs="宋体"/>
          <w:color w:val="000000"/>
          <w:kern w:val="0"/>
          <w:szCs w:val="21"/>
        </w:rPr>
        <w:t>4、乙方未按本合同的规定和“服务承诺”提供伴随服务/售后服务的，应按合同总价款的5 %向甲方承担违约责任。</w:t>
      </w:r>
    </w:p>
    <w:p w14:paraId="6B056DBC">
      <w:pPr>
        <w:widowControl/>
        <w:shd w:val="clear" w:color="auto" w:fill="FFFFFF"/>
        <w:spacing w:line="360" w:lineRule="auto"/>
        <w:ind w:firstLine="430"/>
        <w:jc w:val="left"/>
        <w:rPr>
          <w:rFonts w:ascii="宋体" w:hAnsi="宋体" w:cs="宋体"/>
          <w:color w:val="000000"/>
          <w:kern w:val="0"/>
          <w:szCs w:val="21"/>
        </w:rPr>
      </w:pPr>
      <w:r>
        <w:rPr>
          <w:rFonts w:hint="eastAsia" w:ascii="宋体" w:hAnsi="宋体" w:cs="宋体"/>
          <w:color w:val="000000"/>
          <w:kern w:val="0"/>
          <w:szCs w:val="21"/>
        </w:rPr>
        <w:t>5、乙方在承担上述一项或多项违约责任后，仍应继续履行合同规定的义务（甲方解除合同的除外）。甲方未能及时追究乙方的任何一项违约责任并不表明甲方放弃追究乙方该项或其他违约责任。</w:t>
      </w:r>
    </w:p>
    <w:p w14:paraId="4A4FBB89">
      <w:pPr>
        <w:widowControl/>
        <w:shd w:val="clear" w:color="auto" w:fill="FFFFFF"/>
        <w:spacing w:line="360" w:lineRule="auto"/>
        <w:ind w:firstLine="431"/>
        <w:jc w:val="left"/>
        <w:rPr>
          <w:rFonts w:ascii="宋体" w:hAnsi="宋体" w:cs="宋体"/>
          <w:color w:val="000000"/>
          <w:kern w:val="0"/>
          <w:szCs w:val="21"/>
        </w:rPr>
      </w:pPr>
      <w:r>
        <w:rPr>
          <w:rFonts w:hint="eastAsia" w:ascii="宋体" w:hAnsi="宋体" w:cs="宋体"/>
          <w:b/>
          <w:bCs/>
          <w:color w:val="000000"/>
          <w:kern w:val="0"/>
          <w:szCs w:val="21"/>
        </w:rPr>
        <w:t>第十一条 合同的变更和终止</w:t>
      </w:r>
    </w:p>
    <w:p w14:paraId="6FDA4285">
      <w:pPr>
        <w:widowControl/>
        <w:shd w:val="clear" w:color="auto" w:fill="FFFFFF"/>
        <w:spacing w:line="360" w:lineRule="auto"/>
        <w:ind w:firstLine="430"/>
        <w:jc w:val="left"/>
        <w:rPr>
          <w:rFonts w:ascii="宋体" w:hAnsi="宋体" w:cs="宋体"/>
          <w:color w:val="000000"/>
          <w:kern w:val="0"/>
          <w:szCs w:val="21"/>
        </w:rPr>
      </w:pPr>
      <w:r>
        <w:rPr>
          <w:rFonts w:hint="eastAsia" w:ascii="宋体" w:hAnsi="宋体" w:cs="宋体"/>
          <w:color w:val="000000"/>
          <w:kern w:val="0"/>
          <w:szCs w:val="21"/>
        </w:rPr>
        <w:t>1、除《政府采购法》第50条第二款规定的情形外，本合同一经签订，甲乙双方不得擅自变更、中止或终止合同。</w:t>
      </w:r>
    </w:p>
    <w:p w14:paraId="2336DAA9">
      <w:pPr>
        <w:widowControl/>
        <w:shd w:val="clear" w:color="auto" w:fill="FFFFFF"/>
        <w:spacing w:line="360" w:lineRule="auto"/>
        <w:ind w:firstLine="430"/>
        <w:jc w:val="left"/>
        <w:rPr>
          <w:rFonts w:ascii="宋体" w:hAnsi="宋体" w:cs="宋体"/>
          <w:color w:val="000000"/>
          <w:kern w:val="0"/>
          <w:szCs w:val="21"/>
        </w:rPr>
      </w:pPr>
      <w:r>
        <w:rPr>
          <w:rFonts w:hint="eastAsia" w:ascii="宋体" w:hAnsi="宋体" w:cs="宋体"/>
          <w:color w:val="000000"/>
          <w:kern w:val="0"/>
          <w:szCs w:val="21"/>
        </w:rPr>
        <w:t>2、除发生法律规定的不能预见、不能避免并不能克服的客观情况外，甲乙双方不得放弃或拒绝履行合同。乙方放弃或拒绝履行合同，甲方可将乙方行为上报相关监管部门，可能会导致其在三年内无法参加政府采购活动。</w:t>
      </w:r>
    </w:p>
    <w:p w14:paraId="0A6F4011">
      <w:pPr>
        <w:widowControl/>
        <w:shd w:val="clear" w:color="auto" w:fill="FFFFFF"/>
        <w:spacing w:line="360" w:lineRule="auto"/>
        <w:ind w:firstLine="431"/>
        <w:jc w:val="left"/>
        <w:rPr>
          <w:rFonts w:ascii="宋体" w:hAnsi="宋体" w:cs="宋体"/>
          <w:color w:val="000000"/>
          <w:kern w:val="0"/>
          <w:szCs w:val="21"/>
        </w:rPr>
      </w:pPr>
      <w:r>
        <w:rPr>
          <w:rFonts w:hint="eastAsia" w:ascii="宋体" w:hAnsi="宋体" w:cs="宋体"/>
          <w:b/>
          <w:bCs/>
          <w:color w:val="000000"/>
          <w:kern w:val="0"/>
          <w:szCs w:val="21"/>
        </w:rPr>
        <w:t>第十二条 合同的转让</w:t>
      </w:r>
    </w:p>
    <w:p w14:paraId="68F98844">
      <w:pPr>
        <w:widowControl/>
        <w:shd w:val="clear" w:color="auto" w:fill="FFFFFF"/>
        <w:spacing w:line="360" w:lineRule="auto"/>
        <w:ind w:firstLine="430"/>
        <w:jc w:val="left"/>
        <w:rPr>
          <w:rFonts w:ascii="宋体" w:hAnsi="宋体" w:cs="宋体"/>
          <w:color w:val="000000"/>
          <w:kern w:val="0"/>
          <w:szCs w:val="21"/>
        </w:rPr>
      </w:pPr>
      <w:r>
        <w:rPr>
          <w:rFonts w:hint="eastAsia" w:ascii="宋体" w:hAnsi="宋体" w:cs="宋体"/>
          <w:color w:val="000000"/>
          <w:kern w:val="0"/>
          <w:szCs w:val="21"/>
        </w:rPr>
        <w:t>乙方不得擅自部分或全部转让其应履行的合同义务。</w:t>
      </w:r>
    </w:p>
    <w:p w14:paraId="47ED8C78">
      <w:pPr>
        <w:widowControl/>
        <w:shd w:val="clear" w:color="auto" w:fill="FFFFFF"/>
        <w:spacing w:line="360" w:lineRule="auto"/>
        <w:ind w:firstLine="431"/>
        <w:jc w:val="left"/>
        <w:rPr>
          <w:rFonts w:ascii="宋体" w:hAnsi="宋体" w:cs="宋体"/>
          <w:color w:val="000000"/>
          <w:kern w:val="0"/>
          <w:szCs w:val="21"/>
        </w:rPr>
      </w:pPr>
      <w:r>
        <w:rPr>
          <w:rFonts w:hint="eastAsia" w:ascii="宋体" w:hAnsi="宋体" w:cs="宋体"/>
          <w:b/>
          <w:bCs/>
          <w:color w:val="000000"/>
          <w:kern w:val="0"/>
          <w:szCs w:val="21"/>
        </w:rPr>
        <w:t>第十三条 争议的解决</w:t>
      </w:r>
    </w:p>
    <w:p w14:paraId="7F32A36B">
      <w:pPr>
        <w:widowControl/>
        <w:shd w:val="clear" w:color="auto" w:fill="FFFFFF"/>
        <w:spacing w:line="360" w:lineRule="auto"/>
        <w:ind w:firstLine="430"/>
        <w:jc w:val="left"/>
        <w:rPr>
          <w:rFonts w:ascii="宋体" w:hAnsi="宋体" w:cs="宋体"/>
          <w:color w:val="000000"/>
          <w:kern w:val="0"/>
          <w:szCs w:val="21"/>
        </w:rPr>
      </w:pPr>
      <w:r>
        <w:rPr>
          <w:rFonts w:hint="eastAsia" w:ascii="宋体" w:hAnsi="宋体" w:cs="宋体"/>
          <w:color w:val="000000"/>
          <w:kern w:val="0"/>
          <w:szCs w:val="21"/>
        </w:rPr>
        <w:t>1、因履行本合同引起的或与本合同有关的争议，甲、乙双方应首先通过友好协商解决，如果协商不能解决争议，则采取以下第（1）种方式解决争议：</w:t>
      </w:r>
    </w:p>
    <w:p w14:paraId="54B4392E">
      <w:pPr>
        <w:widowControl/>
        <w:shd w:val="clear" w:color="auto" w:fill="FFFFFF"/>
        <w:spacing w:line="360" w:lineRule="auto"/>
        <w:ind w:firstLine="430"/>
        <w:jc w:val="left"/>
        <w:rPr>
          <w:rFonts w:ascii="宋体" w:hAnsi="宋体" w:cs="宋体"/>
          <w:color w:val="000000"/>
          <w:kern w:val="0"/>
          <w:szCs w:val="21"/>
        </w:rPr>
      </w:pPr>
      <w:r>
        <w:rPr>
          <w:rFonts w:hint="eastAsia" w:ascii="宋体" w:hAnsi="宋体" w:cs="宋体"/>
          <w:color w:val="000000"/>
          <w:kern w:val="0"/>
          <w:szCs w:val="21"/>
        </w:rPr>
        <w:t>（1）向甲方所在地有管辖权的人民法院提起诉讼；</w:t>
      </w:r>
    </w:p>
    <w:p w14:paraId="2102768D">
      <w:pPr>
        <w:widowControl/>
        <w:shd w:val="clear" w:color="auto" w:fill="FFFFFF"/>
        <w:spacing w:line="360" w:lineRule="auto"/>
        <w:ind w:firstLine="430"/>
        <w:jc w:val="left"/>
        <w:rPr>
          <w:rFonts w:ascii="宋体" w:hAnsi="宋体" w:cs="宋体"/>
          <w:color w:val="000000"/>
          <w:kern w:val="0"/>
          <w:szCs w:val="21"/>
        </w:rPr>
      </w:pPr>
      <w:r>
        <w:rPr>
          <w:rFonts w:hint="eastAsia" w:ascii="宋体" w:hAnsi="宋体" w:cs="宋体"/>
          <w:color w:val="000000"/>
          <w:kern w:val="0"/>
          <w:szCs w:val="21"/>
        </w:rPr>
        <w:t>（2）向南京仲裁委员会按其仲裁规则申请仲裁。</w:t>
      </w:r>
    </w:p>
    <w:p w14:paraId="768AB4B8">
      <w:pPr>
        <w:widowControl/>
        <w:shd w:val="clear" w:color="auto" w:fill="FFFFFF"/>
        <w:spacing w:line="360" w:lineRule="auto"/>
        <w:ind w:firstLine="430"/>
        <w:jc w:val="left"/>
        <w:rPr>
          <w:rFonts w:ascii="宋体" w:hAnsi="宋体" w:cs="宋体"/>
          <w:color w:val="000000"/>
          <w:kern w:val="0"/>
          <w:szCs w:val="21"/>
        </w:rPr>
      </w:pPr>
      <w:r>
        <w:rPr>
          <w:rFonts w:hint="eastAsia" w:ascii="宋体" w:hAnsi="宋体" w:cs="宋体"/>
          <w:color w:val="000000"/>
          <w:kern w:val="0"/>
          <w:szCs w:val="21"/>
        </w:rPr>
        <w:t>2、在仲裁期间，本合同应继续履行。</w:t>
      </w:r>
    </w:p>
    <w:p w14:paraId="4243EB35">
      <w:pPr>
        <w:widowControl/>
        <w:shd w:val="clear" w:color="auto" w:fill="FFFFFF"/>
        <w:spacing w:line="360" w:lineRule="auto"/>
        <w:ind w:firstLine="431"/>
        <w:jc w:val="left"/>
        <w:rPr>
          <w:rFonts w:ascii="宋体" w:hAnsi="宋体" w:cs="宋体"/>
          <w:color w:val="000000"/>
          <w:kern w:val="0"/>
          <w:szCs w:val="21"/>
        </w:rPr>
      </w:pPr>
      <w:r>
        <w:rPr>
          <w:rFonts w:hint="eastAsia" w:ascii="宋体" w:hAnsi="宋体" w:cs="宋体"/>
          <w:b/>
          <w:bCs/>
          <w:color w:val="000000"/>
          <w:kern w:val="0"/>
          <w:szCs w:val="21"/>
        </w:rPr>
        <w:t>第十四条 诚实信用</w:t>
      </w:r>
    </w:p>
    <w:p w14:paraId="42A32D8A">
      <w:pPr>
        <w:widowControl/>
        <w:shd w:val="clear" w:color="auto" w:fill="FFFFFF"/>
        <w:spacing w:line="360" w:lineRule="auto"/>
        <w:ind w:firstLine="430"/>
        <w:jc w:val="left"/>
        <w:rPr>
          <w:rFonts w:ascii="宋体" w:hAnsi="宋体" w:cs="宋体"/>
          <w:color w:val="000000"/>
          <w:kern w:val="0"/>
          <w:szCs w:val="21"/>
        </w:rPr>
      </w:pPr>
      <w:r>
        <w:rPr>
          <w:rFonts w:hint="eastAsia" w:ascii="宋体" w:hAnsi="宋体" w:cs="宋体"/>
          <w:color w:val="000000"/>
          <w:kern w:val="0"/>
          <w:szCs w:val="21"/>
        </w:rPr>
        <w:t>乙方应诚实信用，严格按照采购文件要求和承诺履行合同，不向甲方进行商业贿赂或者提供不正当利益。</w:t>
      </w:r>
    </w:p>
    <w:p w14:paraId="0916E672">
      <w:pPr>
        <w:widowControl/>
        <w:shd w:val="clear" w:color="auto" w:fill="FFFFFF"/>
        <w:spacing w:line="360" w:lineRule="auto"/>
        <w:ind w:firstLine="431"/>
        <w:jc w:val="left"/>
        <w:rPr>
          <w:rFonts w:ascii="宋体" w:hAnsi="宋体" w:cs="宋体"/>
          <w:color w:val="000000"/>
          <w:kern w:val="0"/>
          <w:szCs w:val="21"/>
        </w:rPr>
      </w:pPr>
      <w:r>
        <w:rPr>
          <w:rFonts w:hint="eastAsia" w:ascii="宋体" w:hAnsi="宋体" w:cs="宋体"/>
          <w:b/>
          <w:bCs/>
          <w:color w:val="000000"/>
          <w:kern w:val="0"/>
          <w:szCs w:val="21"/>
        </w:rPr>
        <w:t>第十五条 合同生效及其他</w:t>
      </w:r>
    </w:p>
    <w:p w14:paraId="4E9358B0">
      <w:pPr>
        <w:widowControl/>
        <w:shd w:val="clear" w:color="auto" w:fill="FFFFFF"/>
        <w:spacing w:line="360" w:lineRule="auto"/>
        <w:ind w:firstLine="430"/>
        <w:jc w:val="left"/>
        <w:rPr>
          <w:rFonts w:ascii="宋体" w:hAnsi="宋体" w:cs="宋体"/>
          <w:color w:val="000000"/>
          <w:kern w:val="0"/>
          <w:szCs w:val="21"/>
        </w:rPr>
      </w:pPr>
      <w:r>
        <w:rPr>
          <w:rFonts w:hint="eastAsia" w:ascii="宋体" w:hAnsi="宋体" w:cs="宋体"/>
          <w:color w:val="000000"/>
          <w:kern w:val="0"/>
          <w:szCs w:val="21"/>
        </w:rPr>
        <w:t>1、本合同自签订之日起生效。</w:t>
      </w:r>
    </w:p>
    <w:p w14:paraId="05BE3766">
      <w:pPr>
        <w:widowControl/>
        <w:shd w:val="clear" w:color="auto" w:fill="FFFFFF"/>
        <w:spacing w:line="360" w:lineRule="auto"/>
        <w:ind w:firstLine="430"/>
        <w:jc w:val="left"/>
        <w:rPr>
          <w:rFonts w:ascii="宋体" w:hAnsi="宋体" w:cs="宋体"/>
          <w:kern w:val="0"/>
          <w:szCs w:val="21"/>
        </w:rPr>
      </w:pPr>
      <w:r>
        <w:rPr>
          <w:rFonts w:hint="eastAsia" w:ascii="宋体" w:hAnsi="宋体" w:cs="宋体"/>
          <w:kern w:val="0"/>
          <w:szCs w:val="21"/>
        </w:rPr>
        <w:t>2、本合同一式两份，甲乙双方各执一份。</w:t>
      </w:r>
    </w:p>
    <w:p w14:paraId="6D600743">
      <w:pPr>
        <w:widowControl/>
        <w:shd w:val="clear" w:color="auto" w:fill="FFFFFF"/>
        <w:spacing w:line="360" w:lineRule="auto"/>
        <w:ind w:firstLine="430"/>
        <w:jc w:val="left"/>
        <w:rPr>
          <w:rFonts w:ascii="宋体" w:hAnsi="宋体" w:cs="宋体"/>
          <w:color w:val="000000"/>
          <w:kern w:val="0"/>
          <w:szCs w:val="21"/>
        </w:rPr>
      </w:pPr>
      <w:r>
        <w:rPr>
          <w:rFonts w:hint="eastAsia" w:ascii="宋体" w:hAnsi="宋体" w:cs="宋体"/>
          <w:color w:val="000000"/>
          <w:kern w:val="0"/>
          <w:szCs w:val="21"/>
        </w:rPr>
        <w:t>3、本合同应按照中华人民共和国的现行法律进行解释。</w:t>
      </w:r>
    </w:p>
    <w:p w14:paraId="180392EC">
      <w:pPr>
        <w:widowControl/>
        <w:shd w:val="clear" w:color="auto" w:fill="FFFFFF"/>
        <w:spacing w:line="360" w:lineRule="auto"/>
        <w:ind w:firstLine="430"/>
        <w:jc w:val="left"/>
        <w:rPr>
          <w:rFonts w:ascii="宋体" w:hAnsi="宋体" w:cs="宋体"/>
          <w:color w:val="000000"/>
          <w:kern w:val="0"/>
          <w:szCs w:val="21"/>
        </w:rPr>
      </w:pPr>
    </w:p>
    <w:tbl>
      <w:tblPr>
        <w:tblStyle w:val="50"/>
        <w:tblW w:w="9286" w:type="dxa"/>
        <w:tblInd w:w="-108" w:type="dxa"/>
        <w:tblLayout w:type="fixed"/>
        <w:tblCellMar>
          <w:top w:w="0" w:type="dxa"/>
          <w:left w:w="108" w:type="dxa"/>
          <w:bottom w:w="0" w:type="dxa"/>
          <w:right w:w="108" w:type="dxa"/>
        </w:tblCellMar>
      </w:tblPr>
      <w:tblGrid>
        <w:gridCol w:w="4643"/>
        <w:gridCol w:w="4643"/>
      </w:tblGrid>
      <w:tr w14:paraId="6D35C837">
        <w:tblPrEx>
          <w:tblCellMar>
            <w:top w:w="0" w:type="dxa"/>
            <w:left w:w="108" w:type="dxa"/>
            <w:bottom w:w="0" w:type="dxa"/>
            <w:right w:w="108" w:type="dxa"/>
          </w:tblCellMar>
        </w:tblPrEx>
        <w:trPr>
          <w:trHeight w:val="257" w:hRule="atLeast"/>
        </w:trPr>
        <w:tc>
          <w:tcPr>
            <w:tcW w:w="4643" w:type="dxa"/>
            <w:tcBorders>
              <w:top w:val="nil"/>
              <w:left w:val="nil"/>
              <w:bottom w:val="nil"/>
              <w:right w:val="nil"/>
            </w:tcBorders>
            <w:vAlign w:val="center"/>
          </w:tcPr>
          <w:p w14:paraId="5C282BB1">
            <w:pPr>
              <w:widowControl/>
              <w:shd w:val="clear" w:color="auto" w:fill="FFFFFF"/>
              <w:spacing w:line="360" w:lineRule="auto"/>
              <w:ind w:firstLine="430"/>
              <w:jc w:val="left"/>
              <w:rPr>
                <w:rFonts w:ascii="宋体" w:hAnsi="宋体" w:cs="宋体"/>
                <w:color w:val="000000"/>
                <w:kern w:val="0"/>
                <w:szCs w:val="21"/>
                <w:lang w:val="zh-CN"/>
              </w:rPr>
            </w:pPr>
            <w:r>
              <w:rPr>
                <w:rFonts w:hint="eastAsia" w:ascii="宋体" w:hAnsi="宋体" w:cs="宋体"/>
                <w:color w:val="000000"/>
                <w:kern w:val="0"/>
                <w:szCs w:val="21"/>
                <w:lang w:val="zh-CN"/>
              </w:rPr>
              <w:t>甲方（委托方）：（盖章）</w:t>
            </w:r>
          </w:p>
        </w:tc>
        <w:tc>
          <w:tcPr>
            <w:tcW w:w="4643" w:type="dxa"/>
            <w:tcBorders>
              <w:top w:val="nil"/>
              <w:left w:val="nil"/>
              <w:bottom w:val="nil"/>
              <w:right w:val="nil"/>
            </w:tcBorders>
            <w:vAlign w:val="center"/>
          </w:tcPr>
          <w:p w14:paraId="0C211BD7">
            <w:pPr>
              <w:widowControl/>
              <w:shd w:val="clear" w:color="auto" w:fill="FFFFFF"/>
              <w:spacing w:line="360" w:lineRule="auto"/>
              <w:ind w:firstLine="430"/>
              <w:jc w:val="left"/>
              <w:rPr>
                <w:rFonts w:ascii="宋体" w:hAnsi="宋体" w:cs="宋体"/>
                <w:color w:val="000000"/>
                <w:kern w:val="0"/>
                <w:szCs w:val="21"/>
                <w:lang w:val="zh-CN"/>
              </w:rPr>
            </w:pPr>
            <w:r>
              <w:rPr>
                <w:rFonts w:hint="eastAsia" w:ascii="宋体" w:hAnsi="宋体" w:cs="宋体"/>
                <w:color w:val="000000"/>
                <w:kern w:val="0"/>
                <w:szCs w:val="21"/>
                <w:lang w:val="zh-CN"/>
              </w:rPr>
              <w:t>乙方：（盖章）</w:t>
            </w:r>
          </w:p>
        </w:tc>
      </w:tr>
      <w:tr w14:paraId="0F0E4D6B">
        <w:tblPrEx>
          <w:tblCellMar>
            <w:top w:w="0" w:type="dxa"/>
            <w:left w:w="108" w:type="dxa"/>
            <w:bottom w:w="0" w:type="dxa"/>
            <w:right w:w="108" w:type="dxa"/>
          </w:tblCellMar>
        </w:tblPrEx>
        <w:trPr>
          <w:trHeight w:val="362" w:hRule="atLeast"/>
        </w:trPr>
        <w:tc>
          <w:tcPr>
            <w:tcW w:w="4643" w:type="dxa"/>
            <w:tcBorders>
              <w:top w:val="nil"/>
              <w:left w:val="nil"/>
              <w:bottom w:val="nil"/>
              <w:right w:val="nil"/>
            </w:tcBorders>
            <w:vAlign w:val="center"/>
          </w:tcPr>
          <w:p w14:paraId="434EE043">
            <w:pPr>
              <w:widowControl/>
              <w:shd w:val="clear" w:color="auto" w:fill="FFFFFF"/>
              <w:spacing w:line="360" w:lineRule="auto"/>
              <w:ind w:firstLine="430"/>
              <w:jc w:val="left"/>
              <w:rPr>
                <w:rFonts w:ascii="宋体" w:hAnsi="宋体" w:cs="宋体"/>
                <w:color w:val="000000"/>
                <w:kern w:val="0"/>
                <w:szCs w:val="21"/>
              </w:rPr>
            </w:pPr>
            <w:r>
              <w:rPr>
                <w:rFonts w:hint="eastAsia" w:ascii="宋体" w:hAnsi="宋体" w:cs="宋体"/>
                <w:color w:val="000000"/>
                <w:kern w:val="0"/>
                <w:szCs w:val="21"/>
                <w:lang w:val="zh-CN"/>
              </w:rPr>
              <w:t>法定或委托代表人</w:t>
            </w:r>
            <w:r>
              <w:rPr>
                <w:rFonts w:hint="eastAsia" w:ascii="宋体" w:hAnsi="宋体" w:cs="宋体"/>
                <w:color w:val="000000"/>
                <w:kern w:val="0"/>
                <w:szCs w:val="21"/>
              </w:rPr>
              <w:t>：</w:t>
            </w:r>
          </w:p>
        </w:tc>
        <w:tc>
          <w:tcPr>
            <w:tcW w:w="4643" w:type="dxa"/>
            <w:tcBorders>
              <w:top w:val="nil"/>
              <w:left w:val="nil"/>
              <w:bottom w:val="nil"/>
              <w:right w:val="nil"/>
            </w:tcBorders>
            <w:vAlign w:val="center"/>
          </w:tcPr>
          <w:p w14:paraId="43FE54F6">
            <w:pPr>
              <w:widowControl/>
              <w:shd w:val="clear" w:color="auto" w:fill="FFFFFF"/>
              <w:spacing w:line="360" w:lineRule="auto"/>
              <w:ind w:firstLine="430"/>
              <w:jc w:val="left"/>
              <w:rPr>
                <w:rFonts w:ascii="宋体" w:hAnsi="宋体" w:cs="宋体"/>
                <w:color w:val="000000"/>
                <w:kern w:val="0"/>
                <w:szCs w:val="21"/>
              </w:rPr>
            </w:pPr>
            <w:r>
              <w:rPr>
                <w:rFonts w:hint="eastAsia" w:ascii="宋体" w:hAnsi="宋体" w:cs="宋体"/>
                <w:color w:val="000000"/>
                <w:kern w:val="0"/>
                <w:szCs w:val="21"/>
                <w:lang w:val="zh-CN"/>
              </w:rPr>
              <w:t>法定或委托代表人</w:t>
            </w:r>
            <w:r>
              <w:rPr>
                <w:rFonts w:hint="eastAsia" w:ascii="宋体" w:hAnsi="宋体" w:cs="宋体"/>
                <w:color w:val="000000"/>
                <w:kern w:val="0"/>
                <w:szCs w:val="21"/>
              </w:rPr>
              <w:t>：</w:t>
            </w:r>
          </w:p>
        </w:tc>
      </w:tr>
      <w:tr w14:paraId="29D4ECE9">
        <w:tblPrEx>
          <w:tblCellMar>
            <w:top w:w="0" w:type="dxa"/>
            <w:left w:w="108" w:type="dxa"/>
            <w:bottom w:w="0" w:type="dxa"/>
            <w:right w:w="108" w:type="dxa"/>
          </w:tblCellMar>
        </w:tblPrEx>
        <w:trPr>
          <w:trHeight w:val="251" w:hRule="atLeast"/>
        </w:trPr>
        <w:tc>
          <w:tcPr>
            <w:tcW w:w="4643" w:type="dxa"/>
            <w:tcBorders>
              <w:top w:val="nil"/>
              <w:left w:val="nil"/>
              <w:bottom w:val="nil"/>
              <w:right w:val="nil"/>
            </w:tcBorders>
            <w:vAlign w:val="center"/>
          </w:tcPr>
          <w:p w14:paraId="32BCB280">
            <w:pPr>
              <w:widowControl/>
              <w:shd w:val="clear" w:color="auto" w:fill="FFFFFF"/>
              <w:spacing w:line="360" w:lineRule="auto"/>
              <w:ind w:firstLine="430"/>
              <w:jc w:val="left"/>
              <w:rPr>
                <w:rFonts w:ascii="宋体" w:hAnsi="宋体" w:cs="宋体"/>
                <w:color w:val="000000"/>
                <w:kern w:val="0"/>
                <w:szCs w:val="21"/>
              </w:rPr>
            </w:pPr>
            <w:r>
              <w:rPr>
                <w:rFonts w:hint="eastAsia" w:ascii="宋体" w:hAnsi="宋体" w:cs="宋体"/>
                <w:color w:val="000000"/>
                <w:kern w:val="0"/>
                <w:szCs w:val="21"/>
                <w:lang w:val="zh-CN"/>
              </w:rPr>
              <w:t>电话：</w:t>
            </w:r>
          </w:p>
        </w:tc>
        <w:tc>
          <w:tcPr>
            <w:tcW w:w="4643" w:type="dxa"/>
            <w:tcBorders>
              <w:top w:val="nil"/>
              <w:left w:val="nil"/>
              <w:bottom w:val="nil"/>
              <w:right w:val="nil"/>
            </w:tcBorders>
            <w:vAlign w:val="center"/>
          </w:tcPr>
          <w:p w14:paraId="0C18ADEC">
            <w:pPr>
              <w:widowControl/>
              <w:shd w:val="clear" w:color="auto" w:fill="FFFFFF"/>
              <w:spacing w:line="360" w:lineRule="auto"/>
              <w:ind w:firstLine="430"/>
              <w:jc w:val="left"/>
              <w:rPr>
                <w:rFonts w:ascii="宋体" w:hAnsi="宋体" w:cs="宋体"/>
                <w:color w:val="000000"/>
                <w:kern w:val="0"/>
                <w:szCs w:val="21"/>
              </w:rPr>
            </w:pPr>
            <w:r>
              <w:rPr>
                <w:rFonts w:hint="eastAsia" w:ascii="宋体" w:hAnsi="宋体" w:cs="宋体"/>
                <w:color w:val="000000"/>
                <w:kern w:val="0"/>
                <w:szCs w:val="21"/>
                <w:lang w:val="zh-CN"/>
              </w:rPr>
              <w:t>电话：</w:t>
            </w:r>
          </w:p>
        </w:tc>
      </w:tr>
      <w:tr w14:paraId="078D45F5">
        <w:tblPrEx>
          <w:tblCellMar>
            <w:top w:w="0" w:type="dxa"/>
            <w:left w:w="108" w:type="dxa"/>
            <w:bottom w:w="0" w:type="dxa"/>
            <w:right w:w="108" w:type="dxa"/>
          </w:tblCellMar>
        </w:tblPrEx>
        <w:trPr>
          <w:trHeight w:val="283" w:hRule="atLeast"/>
        </w:trPr>
        <w:tc>
          <w:tcPr>
            <w:tcW w:w="4643" w:type="dxa"/>
            <w:tcBorders>
              <w:top w:val="nil"/>
              <w:left w:val="nil"/>
              <w:bottom w:val="nil"/>
              <w:right w:val="nil"/>
            </w:tcBorders>
            <w:vAlign w:val="center"/>
          </w:tcPr>
          <w:p w14:paraId="689166A2">
            <w:pPr>
              <w:widowControl/>
              <w:shd w:val="clear" w:color="auto" w:fill="FFFFFF"/>
              <w:spacing w:line="360" w:lineRule="auto"/>
              <w:ind w:firstLine="430"/>
              <w:jc w:val="left"/>
              <w:rPr>
                <w:rFonts w:ascii="宋体" w:hAnsi="宋体" w:cs="宋体"/>
                <w:color w:val="000000"/>
                <w:kern w:val="0"/>
                <w:szCs w:val="21"/>
              </w:rPr>
            </w:pPr>
            <w:r>
              <w:rPr>
                <w:rFonts w:hint="eastAsia" w:ascii="宋体" w:hAnsi="宋体" w:cs="宋体"/>
                <w:color w:val="000000"/>
                <w:kern w:val="0"/>
                <w:szCs w:val="21"/>
                <w:lang w:val="zh-CN"/>
              </w:rPr>
              <w:t>开户银行：</w:t>
            </w:r>
          </w:p>
        </w:tc>
        <w:tc>
          <w:tcPr>
            <w:tcW w:w="4643" w:type="dxa"/>
            <w:tcBorders>
              <w:top w:val="nil"/>
              <w:left w:val="nil"/>
              <w:bottom w:val="nil"/>
              <w:right w:val="nil"/>
            </w:tcBorders>
            <w:vAlign w:val="center"/>
          </w:tcPr>
          <w:p w14:paraId="2D1B3356">
            <w:pPr>
              <w:widowControl/>
              <w:shd w:val="clear" w:color="auto" w:fill="FFFFFF"/>
              <w:spacing w:line="360" w:lineRule="auto"/>
              <w:ind w:firstLine="430"/>
              <w:jc w:val="left"/>
              <w:rPr>
                <w:rFonts w:ascii="宋体" w:hAnsi="宋体" w:cs="宋体"/>
                <w:color w:val="000000"/>
                <w:kern w:val="0"/>
                <w:szCs w:val="21"/>
              </w:rPr>
            </w:pPr>
            <w:r>
              <w:rPr>
                <w:rFonts w:hint="eastAsia" w:ascii="宋体" w:hAnsi="宋体" w:cs="宋体"/>
                <w:color w:val="000000"/>
                <w:kern w:val="0"/>
                <w:szCs w:val="21"/>
                <w:lang w:val="zh-CN"/>
              </w:rPr>
              <w:t>开户银行：</w:t>
            </w:r>
          </w:p>
        </w:tc>
      </w:tr>
      <w:tr w14:paraId="44E2CD14">
        <w:tblPrEx>
          <w:tblCellMar>
            <w:top w:w="0" w:type="dxa"/>
            <w:left w:w="108" w:type="dxa"/>
            <w:bottom w:w="0" w:type="dxa"/>
            <w:right w:w="108" w:type="dxa"/>
          </w:tblCellMar>
        </w:tblPrEx>
        <w:trPr>
          <w:trHeight w:val="315" w:hRule="atLeast"/>
        </w:trPr>
        <w:tc>
          <w:tcPr>
            <w:tcW w:w="4643" w:type="dxa"/>
            <w:tcBorders>
              <w:top w:val="nil"/>
              <w:left w:val="nil"/>
              <w:bottom w:val="nil"/>
              <w:right w:val="nil"/>
            </w:tcBorders>
            <w:vAlign w:val="center"/>
          </w:tcPr>
          <w:p w14:paraId="51C18811">
            <w:pPr>
              <w:widowControl/>
              <w:shd w:val="clear" w:color="auto" w:fill="FFFFFF"/>
              <w:spacing w:line="360" w:lineRule="auto"/>
              <w:ind w:firstLine="430"/>
              <w:jc w:val="left"/>
              <w:rPr>
                <w:rFonts w:ascii="宋体" w:hAnsi="宋体" w:cs="宋体"/>
                <w:color w:val="000000"/>
                <w:kern w:val="0"/>
                <w:szCs w:val="21"/>
              </w:rPr>
            </w:pPr>
            <w:r>
              <w:rPr>
                <w:rFonts w:hint="eastAsia" w:ascii="宋体" w:hAnsi="宋体" w:cs="宋体"/>
                <w:color w:val="000000"/>
                <w:kern w:val="0"/>
                <w:szCs w:val="21"/>
              </w:rPr>
              <w:t>账</w:t>
            </w:r>
            <w:r>
              <w:rPr>
                <w:rFonts w:hint="eastAsia" w:ascii="宋体" w:hAnsi="宋体" w:cs="宋体"/>
                <w:color w:val="000000"/>
                <w:kern w:val="0"/>
                <w:szCs w:val="21"/>
                <w:lang w:val="zh-CN"/>
              </w:rPr>
              <w:t>号：</w:t>
            </w:r>
          </w:p>
        </w:tc>
        <w:tc>
          <w:tcPr>
            <w:tcW w:w="4643" w:type="dxa"/>
            <w:tcBorders>
              <w:top w:val="nil"/>
              <w:left w:val="nil"/>
              <w:bottom w:val="nil"/>
              <w:right w:val="nil"/>
            </w:tcBorders>
            <w:vAlign w:val="center"/>
          </w:tcPr>
          <w:p w14:paraId="088DD9A2">
            <w:pPr>
              <w:widowControl/>
              <w:shd w:val="clear" w:color="auto" w:fill="FFFFFF"/>
              <w:spacing w:line="360" w:lineRule="auto"/>
              <w:ind w:firstLine="430"/>
              <w:jc w:val="left"/>
              <w:rPr>
                <w:rFonts w:ascii="宋体" w:hAnsi="宋体" w:cs="宋体"/>
                <w:color w:val="000000"/>
                <w:kern w:val="0"/>
                <w:szCs w:val="21"/>
              </w:rPr>
            </w:pPr>
            <w:r>
              <w:rPr>
                <w:rFonts w:hint="eastAsia" w:ascii="宋体" w:hAnsi="宋体" w:cs="宋体"/>
                <w:color w:val="000000"/>
                <w:kern w:val="0"/>
                <w:szCs w:val="21"/>
              </w:rPr>
              <w:t>账</w:t>
            </w:r>
            <w:r>
              <w:rPr>
                <w:rFonts w:hint="eastAsia" w:ascii="宋体" w:hAnsi="宋体" w:cs="宋体"/>
                <w:color w:val="000000"/>
                <w:kern w:val="0"/>
                <w:szCs w:val="21"/>
                <w:lang w:val="zh-CN"/>
              </w:rPr>
              <w:t>号：</w:t>
            </w:r>
          </w:p>
        </w:tc>
      </w:tr>
      <w:tr w14:paraId="4FDF8228">
        <w:tblPrEx>
          <w:tblCellMar>
            <w:top w:w="0" w:type="dxa"/>
            <w:left w:w="108" w:type="dxa"/>
            <w:bottom w:w="0" w:type="dxa"/>
            <w:right w:w="108" w:type="dxa"/>
          </w:tblCellMar>
        </w:tblPrEx>
        <w:trPr>
          <w:trHeight w:val="572" w:hRule="atLeast"/>
        </w:trPr>
        <w:tc>
          <w:tcPr>
            <w:tcW w:w="4643" w:type="dxa"/>
            <w:tcBorders>
              <w:top w:val="nil"/>
              <w:left w:val="nil"/>
              <w:bottom w:val="nil"/>
              <w:right w:val="nil"/>
            </w:tcBorders>
            <w:vAlign w:val="center"/>
          </w:tcPr>
          <w:p w14:paraId="4BE25F11">
            <w:pPr>
              <w:widowControl/>
              <w:shd w:val="clear" w:color="auto" w:fill="FFFFFF"/>
              <w:spacing w:line="360" w:lineRule="auto"/>
              <w:ind w:firstLine="430"/>
              <w:jc w:val="left"/>
              <w:rPr>
                <w:rFonts w:ascii="宋体" w:hAnsi="宋体" w:cs="宋体"/>
                <w:color w:val="000000"/>
                <w:kern w:val="0"/>
                <w:szCs w:val="21"/>
                <w:lang w:val="zh-CN"/>
              </w:rPr>
            </w:pPr>
            <w:r>
              <w:rPr>
                <w:rFonts w:hint="eastAsia" w:ascii="宋体" w:hAnsi="宋体" w:cs="宋体"/>
                <w:color w:val="000000"/>
                <w:kern w:val="0"/>
                <w:szCs w:val="21"/>
                <w:lang w:val="zh-CN"/>
              </w:rPr>
              <w:t>日期：年月日</w:t>
            </w:r>
          </w:p>
        </w:tc>
        <w:tc>
          <w:tcPr>
            <w:tcW w:w="4643" w:type="dxa"/>
            <w:tcBorders>
              <w:top w:val="nil"/>
              <w:left w:val="nil"/>
              <w:bottom w:val="nil"/>
              <w:right w:val="nil"/>
            </w:tcBorders>
            <w:vAlign w:val="center"/>
          </w:tcPr>
          <w:p w14:paraId="4665F11B">
            <w:pPr>
              <w:widowControl/>
              <w:shd w:val="clear" w:color="auto" w:fill="FFFFFF"/>
              <w:spacing w:line="360" w:lineRule="auto"/>
              <w:ind w:firstLine="430"/>
              <w:jc w:val="left"/>
              <w:rPr>
                <w:rFonts w:ascii="宋体" w:hAnsi="宋体" w:cs="宋体"/>
                <w:color w:val="000000"/>
                <w:kern w:val="0"/>
                <w:szCs w:val="21"/>
                <w:lang w:val="zh-CN"/>
              </w:rPr>
            </w:pPr>
            <w:r>
              <w:rPr>
                <w:rFonts w:hint="eastAsia" w:ascii="宋体" w:hAnsi="宋体" w:cs="宋体"/>
                <w:color w:val="000000"/>
                <w:kern w:val="0"/>
                <w:szCs w:val="21"/>
                <w:lang w:val="zh-CN"/>
              </w:rPr>
              <w:t>日期：年月日</w:t>
            </w:r>
          </w:p>
        </w:tc>
      </w:tr>
    </w:tbl>
    <w:p w14:paraId="4C912135">
      <w:pPr>
        <w:pStyle w:val="17"/>
        <w:ind w:firstLine="430"/>
        <w:rPr>
          <w:rFonts w:cs="宋体"/>
          <w:color w:val="000000"/>
          <w:kern w:val="0"/>
          <w:szCs w:val="21"/>
        </w:rPr>
      </w:pPr>
    </w:p>
    <w:p w14:paraId="76B3BE93">
      <w:pPr>
        <w:pStyle w:val="17"/>
        <w:ind w:firstLine="430"/>
        <w:rPr>
          <w:rFonts w:cs="宋体"/>
          <w:color w:val="000000"/>
          <w:kern w:val="0"/>
          <w:szCs w:val="21"/>
        </w:rPr>
      </w:pPr>
    </w:p>
    <w:p w14:paraId="68A302D0">
      <w:pPr>
        <w:rPr>
          <w:lang w:val="zh-CN"/>
        </w:rPr>
      </w:pPr>
      <w:r>
        <w:rPr>
          <w:lang w:val="zh-CN"/>
        </w:rPr>
        <w:br w:type="page"/>
      </w:r>
    </w:p>
    <w:p w14:paraId="479A53BA">
      <w:pPr>
        <w:pStyle w:val="3"/>
        <w:numPr>
          <w:ilvl w:val="0"/>
          <w:numId w:val="0"/>
        </w:numPr>
        <w:rPr>
          <w:rFonts w:ascii="宋体" w:hAnsi="宋体" w:cs="宋体"/>
        </w:rPr>
      </w:pPr>
      <w:bookmarkStart w:id="11" w:name="_Toc181611533"/>
      <w:r>
        <w:rPr>
          <w:rFonts w:hint="eastAsia" w:ascii="宋体" w:hAnsi="宋体" w:cs="宋体"/>
        </w:rPr>
        <w:t>第六章 投标文件格式及附件</w:t>
      </w:r>
      <w:bookmarkEnd w:id="11"/>
    </w:p>
    <w:p w14:paraId="068AF026">
      <w:pPr>
        <w:widowControl/>
        <w:adjustRightInd w:val="0"/>
        <w:spacing w:line="240" w:lineRule="atLeast"/>
        <w:jc w:val="left"/>
        <w:rPr>
          <w:rFonts w:ascii="宋体" w:hAnsi="宋体" w:cs="宋体"/>
          <w:b/>
          <w:bCs/>
          <w:szCs w:val="21"/>
        </w:rPr>
      </w:pPr>
    </w:p>
    <w:p w14:paraId="1B2B92A9">
      <w:pPr>
        <w:spacing w:line="440" w:lineRule="exact"/>
        <w:rPr>
          <w:rFonts w:ascii="宋体" w:hAnsi="宋体" w:cs="宋体"/>
          <w:sz w:val="20"/>
          <w:szCs w:val="20"/>
        </w:rPr>
      </w:pPr>
    </w:p>
    <w:p w14:paraId="71A6215A">
      <w:pPr>
        <w:spacing w:line="440" w:lineRule="exact"/>
        <w:rPr>
          <w:rFonts w:ascii="宋体" w:hAnsi="宋体" w:cs="宋体"/>
          <w:sz w:val="20"/>
          <w:szCs w:val="20"/>
        </w:rPr>
      </w:pPr>
    </w:p>
    <w:p w14:paraId="0D5A703C">
      <w:pPr>
        <w:spacing w:line="440" w:lineRule="exact"/>
        <w:rPr>
          <w:rFonts w:ascii="宋体" w:hAnsi="宋体" w:cs="宋体"/>
          <w:sz w:val="20"/>
          <w:szCs w:val="20"/>
        </w:rPr>
      </w:pPr>
    </w:p>
    <w:p w14:paraId="61906F0F">
      <w:pPr>
        <w:spacing w:line="440" w:lineRule="exact"/>
        <w:rPr>
          <w:rFonts w:ascii="宋体" w:hAnsi="宋体" w:cs="宋体"/>
          <w:sz w:val="20"/>
          <w:szCs w:val="20"/>
        </w:rPr>
      </w:pPr>
    </w:p>
    <w:p w14:paraId="7D01744D">
      <w:pPr>
        <w:spacing w:line="440" w:lineRule="exact"/>
        <w:rPr>
          <w:rFonts w:ascii="宋体" w:hAnsi="宋体" w:cs="宋体"/>
          <w:sz w:val="20"/>
          <w:szCs w:val="20"/>
        </w:rPr>
      </w:pPr>
    </w:p>
    <w:p w14:paraId="3BD7B6B8">
      <w:pPr>
        <w:spacing w:line="440" w:lineRule="exact"/>
        <w:rPr>
          <w:rFonts w:ascii="宋体" w:hAnsi="宋体" w:cs="宋体"/>
          <w:sz w:val="20"/>
          <w:szCs w:val="20"/>
        </w:rPr>
      </w:pPr>
    </w:p>
    <w:p w14:paraId="5D89775A">
      <w:pPr>
        <w:jc w:val="center"/>
        <w:rPr>
          <w:rFonts w:ascii="宋体" w:hAnsi="宋体" w:cs="宋体"/>
          <w:sz w:val="20"/>
          <w:szCs w:val="20"/>
        </w:rPr>
      </w:pPr>
      <w:r>
        <w:rPr>
          <w:rFonts w:hint="eastAsia" w:ascii="宋体" w:hAnsi="宋体" w:cs="宋体"/>
          <w:sz w:val="28"/>
          <w:szCs w:val="28"/>
        </w:rPr>
        <w:t>（项目名称）</w:t>
      </w:r>
    </w:p>
    <w:p w14:paraId="7DB48E9C">
      <w:pPr>
        <w:jc w:val="center"/>
        <w:rPr>
          <w:rFonts w:ascii="宋体" w:hAnsi="宋体" w:cs="宋体"/>
          <w:sz w:val="20"/>
          <w:szCs w:val="20"/>
        </w:rPr>
      </w:pPr>
    </w:p>
    <w:p w14:paraId="12CFEB7D">
      <w:pPr>
        <w:rPr>
          <w:rFonts w:ascii="宋体" w:hAnsi="宋体" w:cs="宋体"/>
          <w:sz w:val="20"/>
          <w:szCs w:val="20"/>
        </w:rPr>
      </w:pPr>
    </w:p>
    <w:p w14:paraId="4D89D4C7">
      <w:pPr>
        <w:jc w:val="center"/>
        <w:rPr>
          <w:rFonts w:ascii="宋体" w:hAnsi="宋体" w:cs="宋体"/>
          <w:sz w:val="44"/>
          <w:szCs w:val="44"/>
        </w:rPr>
      </w:pPr>
      <w:r>
        <w:rPr>
          <w:rFonts w:hint="eastAsia" w:ascii="宋体" w:hAnsi="宋体" w:cs="宋体"/>
          <w:sz w:val="44"/>
          <w:szCs w:val="44"/>
        </w:rPr>
        <w:t>投标文件</w:t>
      </w:r>
    </w:p>
    <w:p w14:paraId="3BB4C33D">
      <w:pPr>
        <w:rPr>
          <w:rFonts w:ascii="宋体" w:hAnsi="宋体" w:cs="宋体"/>
          <w:sz w:val="28"/>
          <w:szCs w:val="28"/>
        </w:rPr>
      </w:pPr>
    </w:p>
    <w:p w14:paraId="20B2D90C">
      <w:pPr>
        <w:rPr>
          <w:rFonts w:ascii="宋体" w:hAnsi="宋体" w:cs="宋体"/>
          <w:sz w:val="28"/>
          <w:szCs w:val="28"/>
        </w:rPr>
      </w:pPr>
    </w:p>
    <w:p w14:paraId="083D6BB1">
      <w:pPr>
        <w:rPr>
          <w:rFonts w:ascii="宋体" w:hAnsi="宋体" w:cs="宋体"/>
          <w:sz w:val="28"/>
          <w:szCs w:val="28"/>
        </w:rPr>
      </w:pPr>
    </w:p>
    <w:p w14:paraId="37591FF8">
      <w:pPr>
        <w:rPr>
          <w:rFonts w:ascii="宋体" w:hAnsi="宋体" w:cs="宋体"/>
          <w:sz w:val="28"/>
          <w:szCs w:val="28"/>
        </w:rPr>
      </w:pPr>
    </w:p>
    <w:p w14:paraId="712C4F8C">
      <w:pPr>
        <w:rPr>
          <w:rFonts w:ascii="宋体" w:hAnsi="宋体" w:cs="宋体"/>
          <w:sz w:val="28"/>
          <w:szCs w:val="28"/>
        </w:rPr>
      </w:pPr>
    </w:p>
    <w:p w14:paraId="4BF4A1A0">
      <w:pPr>
        <w:rPr>
          <w:rFonts w:ascii="宋体" w:hAnsi="宋体" w:cs="宋体"/>
          <w:sz w:val="28"/>
          <w:szCs w:val="28"/>
        </w:rPr>
      </w:pPr>
    </w:p>
    <w:p w14:paraId="02E94308">
      <w:pPr>
        <w:rPr>
          <w:rFonts w:ascii="宋体" w:hAnsi="宋体" w:cs="宋体"/>
          <w:sz w:val="28"/>
          <w:szCs w:val="28"/>
        </w:rPr>
      </w:pPr>
    </w:p>
    <w:p w14:paraId="49BD3D75">
      <w:pPr>
        <w:rPr>
          <w:rFonts w:ascii="宋体" w:hAnsi="宋体" w:cs="宋体"/>
          <w:sz w:val="28"/>
          <w:szCs w:val="28"/>
        </w:rPr>
      </w:pPr>
    </w:p>
    <w:p w14:paraId="7BEB8A25">
      <w:pPr>
        <w:jc w:val="center"/>
        <w:rPr>
          <w:rFonts w:ascii="宋体" w:hAnsi="宋体" w:cs="宋体"/>
          <w:sz w:val="28"/>
          <w:szCs w:val="28"/>
          <w:u w:val="single"/>
        </w:rPr>
      </w:pPr>
      <w:r>
        <w:rPr>
          <w:rFonts w:hint="eastAsia" w:ascii="宋体" w:hAnsi="宋体" w:cs="宋体"/>
          <w:sz w:val="28"/>
          <w:szCs w:val="28"/>
        </w:rPr>
        <w:t>投标人：（盖单位章）</w:t>
      </w:r>
    </w:p>
    <w:p w14:paraId="161F99B7">
      <w:pPr>
        <w:jc w:val="center"/>
        <w:rPr>
          <w:rFonts w:ascii="宋体" w:hAnsi="宋体" w:cs="宋体"/>
          <w:sz w:val="28"/>
          <w:szCs w:val="28"/>
        </w:rPr>
      </w:pPr>
      <w:r>
        <w:rPr>
          <w:rFonts w:hint="eastAsia" w:ascii="宋体" w:hAnsi="宋体" w:cs="宋体"/>
          <w:sz w:val="28"/>
          <w:szCs w:val="28"/>
        </w:rPr>
        <w:t>法定代表人或其委托代理人：（签字/签章）</w:t>
      </w:r>
    </w:p>
    <w:p w14:paraId="5558C716">
      <w:pPr>
        <w:jc w:val="center"/>
        <w:rPr>
          <w:rFonts w:ascii="宋体" w:hAnsi="宋体" w:cs="宋体"/>
          <w:sz w:val="28"/>
          <w:szCs w:val="28"/>
        </w:rPr>
      </w:pPr>
      <w:r>
        <w:rPr>
          <w:rFonts w:hint="eastAsia" w:ascii="宋体" w:hAnsi="宋体" w:cs="宋体"/>
          <w:sz w:val="28"/>
          <w:szCs w:val="28"/>
        </w:rPr>
        <w:t>年 月  日</w:t>
      </w:r>
    </w:p>
    <w:p w14:paraId="49DA8D61">
      <w:pPr>
        <w:widowControl/>
        <w:jc w:val="left"/>
        <w:rPr>
          <w:rFonts w:ascii="宋体" w:hAnsi="宋体" w:cs="宋体"/>
          <w:sz w:val="28"/>
          <w:szCs w:val="28"/>
        </w:rPr>
      </w:pPr>
      <w:r>
        <w:rPr>
          <w:rFonts w:hint="eastAsia" w:ascii="宋体" w:hAnsi="宋体" w:cs="宋体"/>
          <w:sz w:val="28"/>
          <w:szCs w:val="28"/>
        </w:rPr>
        <w:br w:type="page"/>
      </w:r>
    </w:p>
    <w:p w14:paraId="606E9BC7">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资格审查、评分标准响应对照表格式</w:t>
      </w:r>
    </w:p>
    <w:p w14:paraId="0E5AFD75">
      <w:pPr>
        <w:spacing w:line="360" w:lineRule="auto"/>
        <w:rPr>
          <w:rFonts w:ascii="宋体" w:hAnsi="宋体"/>
          <w:b/>
          <w:color w:val="000000" w:themeColor="text1"/>
          <w:sz w:val="24"/>
          <w14:textFill>
            <w14:solidFill>
              <w14:schemeClr w14:val="tx1"/>
            </w14:solidFill>
          </w14:textFill>
        </w:rPr>
      </w:pPr>
    </w:p>
    <w:p w14:paraId="53BA3503">
      <w:pPr>
        <w:autoSpaceDE w:val="0"/>
        <w:autoSpaceDN w:val="0"/>
        <w:adjustRightInd w:val="0"/>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资格审查、评分标准响应对照表</w:t>
      </w:r>
    </w:p>
    <w:p w14:paraId="2990A72E">
      <w:pPr>
        <w:snapToGrid w:val="0"/>
        <w:spacing w:before="50" w:after="50" w:line="360" w:lineRule="auto"/>
        <w:ind w:firstLine="235" w:firstLineChars="98"/>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项目名称：                                                 项目编号：</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32"/>
        <w:gridCol w:w="1995"/>
        <w:gridCol w:w="1785"/>
      </w:tblGrid>
      <w:tr w14:paraId="433DC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2D6A698D">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5132" w:type="dxa"/>
            <w:vAlign w:val="center"/>
          </w:tcPr>
          <w:p w14:paraId="666017E4">
            <w:pPr>
              <w:snapToGrid w:val="0"/>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资格性审查响应内容</w:t>
            </w:r>
          </w:p>
        </w:tc>
        <w:tc>
          <w:tcPr>
            <w:tcW w:w="1995" w:type="dxa"/>
            <w:vAlign w:val="center"/>
          </w:tcPr>
          <w:p w14:paraId="0F818596">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是否响应</w:t>
            </w:r>
          </w:p>
          <w:p w14:paraId="76EE735A">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（填是或者否）</w:t>
            </w:r>
          </w:p>
        </w:tc>
        <w:tc>
          <w:tcPr>
            <w:tcW w:w="1785" w:type="dxa"/>
            <w:vAlign w:val="center"/>
          </w:tcPr>
          <w:p w14:paraId="34CC35D0">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投标文件中的</w:t>
            </w:r>
          </w:p>
          <w:p w14:paraId="1939389E">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页码位置</w:t>
            </w:r>
          </w:p>
        </w:tc>
      </w:tr>
      <w:tr w14:paraId="5C377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vAlign w:val="center"/>
          </w:tcPr>
          <w:p w14:paraId="3403C2DD">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5132" w:type="dxa"/>
            <w:vAlign w:val="center"/>
          </w:tcPr>
          <w:p w14:paraId="0F576E4E">
            <w:pPr>
              <w:spacing w:line="360" w:lineRule="auto"/>
              <w:rPr>
                <w:rFonts w:ascii="宋体" w:hAnsi="宋体"/>
                <w:color w:val="000000" w:themeColor="text1"/>
                <w:sz w:val="24"/>
                <w14:textFill>
                  <w14:solidFill>
                    <w14:schemeClr w14:val="tx1"/>
                  </w14:solidFill>
                </w14:textFill>
              </w:rPr>
            </w:pPr>
          </w:p>
        </w:tc>
        <w:tc>
          <w:tcPr>
            <w:tcW w:w="1995" w:type="dxa"/>
            <w:vAlign w:val="center"/>
          </w:tcPr>
          <w:p w14:paraId="282F6DE5">
            <w:pPr>
              <w:spacing w:line="360" w:lineRule="auto"/>
              <w:rPr>
                <w:rFonts w:ascii="宋体" w:hAnsi="宋体"/>
                <w:color w:val="000000" w:themeColor="text1"/>
                <w:sz w:val="24"/>
                <w14:textFill>
                  <w14:solidFill>
                    <w14:schemeClr w14:val="tx1"/>
                  </w14:solidFill>
                </w14:textFill>
              </w:rPr>
            </w:pPr>
          </w:p>
        </w:tc>
        <w:tc>
          <w:tcPr>
            <w:tcW w:w="1785" w:type="dxa"/>
            <w:vAlign w:val="center"/>
          </w:tcPr>
          <w:p w14:paraId="3E97AF93">
            <w:pPr>
              <w:spacing w:line="360" w:lineRule="auto"/>
              <w:rPr>
                <w:rFonts w:ascii="宋体" w:hAnsi="宋体"/>
                <w:color w:val="000000" w:themeColor="text1"/>
                <w:sz w:val="24"/>
                <w14:textFill>
                  <w14:solidFill>
                    <w14:schemeClr w14:val="tx1"/>
                  </w14:solidFill>
                </w14:textFill>
              </w:rPr>
            </w:pPr>
          </w:p>
        </w:tc>
      </w:tr>
      <w:tr w14:paraId="0EF2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vAlign w:val="center"/>
          </w:tcPr>
          <w:p w14:paraId="57987301">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5132" w:type="dxa"/>
            <w:vAlign w:val="center"/>
          </w:tcPr>
          <w:p w14:paraId="0E80C868">
            <w:pPr>
              <w:spacing w:line="360" w:lineRule="auto"/>
              <w:rPr>
                <w:rFonts w:ascii="宋体" w:hAnsi="宋体"/>
                <w:color w:val="000000" w:themeColor="text1"/>
                <w:sz w:val="24"/>
                <w14:textFill>
                  <w14:solidFill>
                    <w14:schemeClr w14:val="tx1"/>
                  </w14:solidFill>
                </w14:textFill>
              </w:rPr>
            </w:pPr>
          </w:p>
        </w:tc>
        <w:tc>
          <w:tcPr>
            <w:tcW w:w="1995" w:type="dxa"/>
            <w:vAlign w:val="center"/>
          </w:tcPr>
          <w:p w14:paraId="7D94E57D">
            <w:pPr>
              <w:spacing w:line="360" w:lineRule="auto"/>
              <w:rPr>
                <w:rFonts w:ascii="宋体" w:hAnsi="宋体"/>
                <w:color w:val="000000" w:themeColor="text1"/>
                <w:sz w:val="24"/>
                <w14:textFill>
                  <w14:solidFill>
                    <w14:schemeClr w14:val="tx1"/>
                  </w14:solidFill>
                </w14:textFill>
              </w:rPr>
            </w:pPr>
          </w:p>
        </w:tc>
        <w:tc>
          <w:tcPr>
            <w:tcW w:w="1785" w:type="dxa"/>
            <w:vAlign w:val="center"/>
          </w:tcPr>
          <w:p w14:paraId="5434F6F4">
            <w:pPr>
              <w:spacing w:line="360" w:lineRule="auto"/>
              <w:rPr>
                <w:rFonts w:ascii="宋体" w:hAnsi="宋体"/>
                <w:color w:val="000000" w:themeColor="text1"/>
                <w:sz w:val="24"/>
                <w14:textFill>
                  <w14:solidFill>
                    <w14:schemeClr w14:val="tx1"/>
                  </w14:solidFill>
                </w14:textFill>
              </w:rPr>
            </w:pPr>
          </w:p>
        </w:tc>
      </w:tr>
      <w:tr w14:paraId="106A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vAlign w:val="center"/>
          </w:tcPr>
          <w:p w14:paraId="122D31EE">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5132" w:type="dxa"/>
            <w:vAlign w:val="center"/>
          </w:tcPr>
          <w:p w14:paraId="6AE12889">
            <w:pPr>
              <w:spacing w:line="360" w:lineRule="auto"/>
              <w:rPr>
                <w:rFonts w:ascii="宋体" w:hAnsi="宋体"/>
                <w:color w:val="000000" w:themeColor="text1"/>
                <w:sz w:val="24"/>
                <w14:textFill>
                  <w14:solidFill>
                    <w14:schemeClr w14:val="tx1"/>
                  </w14:solidFill>
                </w14:textFill>
              </w:rPr>
            </w:pPr>
          </w:p>
        </w:tc>
        <w:tc>
          <w:tcPr>
            <w:tcW w:w="1995" w:type="dxa"/>
            <w:vAlign w:val="center"/>
          </w:tcPr>
          <w:p w14:paraId="5ADD0EFF">
            <w:pPr>
              <w:spacing w:line="360" w:lineRule="auto"/>
              <w:rPr>
                <w:rFonts w:ascii="宋体" w:hAnsi="宋体"/>
                <w:color w:val="000000" w:themeColor="text1"/>
                <w:sz w:val="24"/>
                <w14:textFill>
                  <w14:solidFill>
                    <w14:schemeClr w14:val="tx1"/>
                  </w14:solidFill>
                </w14:textFill>
              </w:rPr>
            </w:pPr>
          </w:p>
        </w:tc>
        <w:tc>
          <w:tcPr>
            <w:tcW w:w="1785" w:type="dxa"/>
            <w:vAlign w:val="center"/>
          </w:tcPr>
          <w:p w14:paraId="6D9536F5">
            <w:pPr>
              <w:spacing w:line="360" w:lineRule="auto"/>
              <w:rPr>
                <w:rFonts w:ascii="宋体" w:hAnsi="宋体"/>
                <w:color w:val="000000" w:themeColor="text1"/>
                <w:sz w:val="24"/>
                <w14:textFill>
                  <w14:solidFill>
                    <w14:schemeClr w14:val="tx1"/>
                  </w14:solidFill>
                </w14:textFill>
              </w:rPr>
            </w:pPr>
          </w:p>
        </w:tc>
      </w:tr>
      <w:tr w14:paraId="171FB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46" w:type="dxa"/>
            <w:vAlign w:val="center"/>
          </w:tcPr>
          <w:p w14:paraId="58E0D4C2">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5132" w:type="dxa"/>
            <w:vAlign w:val="center"/>
          </w:tcPr>
          <w:p w14:paraId="444EF855">
            <w:pPr>
              <w:snapToGrid w:val="0"/>
              <w:spacing w:line="360" w:lineRule="auto"/>
              <w:rPr>
                <w:rFonts w:ascii="宋体" w:hAnsi="宋体"/>
                <w:color w:val="000000" w:themeColor="text1"/>
                <w:sz w:val="24"/>
                <w14:textFill>
                  <w14:solidFill>
                    <w14:schemeClr w14:val="tx1"/>
                  </w14:solidFill>
                </w14:textFill>
              </w:rPr>
            </w:pPr>
          </w:p>
        </w:tc>
        <w:tc>
          <w:tcPr>
            <w:tcW w:w="1995" w:type="dxa"/>
            <w:vAlign w:val="center"/>
          </w:tcPr>
          <w:p w14:paraId="2499B743">
            <w:pPr>
              <w:spacing w:line="360" w:lineRule="auto"/>
              <w:rPr>
                <w:rFonts w:ascii="宋体" w:hAnsi="宋体"/>
                <w:color w:val="000000" w:themeColor="text1"/>
                <w:sz w:val="24"/>
                <w14:textFill>
                  <w14:solidFill>
                    <w14:schemeClr w14:val="tx1"/>
                  </w14:solidFill>
                </w14:textFill>
              </w:rPr>
            </w:pPr>
          </w:p>
        </w:tc>
        <w:tc>
          <w:tcPr>
            <w:tcW w:w="1785" w:type="dxa"/>
            <w:vAlign w:val="center"/>
          </w:tcPr>
          <w:p w14:paraId="38184BC6">
            <w:pPr>
              <w:spacing w:line="360" w:lineRule="auto"/>
              <w:rPr>
                <w:rFonts w:ascii="宋体" w:hAnsi="宋体"/>
                <w:color w:val="000000" w:themeColor="text1"/>
                <w:sz w:val="24"/>
                <w14:textFill>
                  <w14:solidFill>
                    <w14:schemeClr w14:val="tx1"/>
                  </w14:solidFill>
                </w14:textFill>
              </w:rPr>
            </w:pPr>
          </w:p>
        </w:tc>
      </w:tr>
      <w:tr w14:paraId="0871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46" w:type="dxa"/>
            <w:vAlign w:val="center"/>
          </w:tcPr>
          <w:p w14:paraId="37511C4F">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5132" w:type="dxa"/>
            <w:vAlign w:val="center"/>
          </w:tcPr>
          <w:p w14:paraId="3DB7E2FC">
            <w:pPr>
              <w:snapToGrid w:val="0"/>
              <w:spacing w:line="360" w:lineRule="auto"/>
              <w:rPr>
                <w:rFonts w:ascii="宋体" w:hAnsi="宋体"/>
                <w:color w:val="000000" w:themeColor="text1"/>
                <w:sz w:val="24"/>
                <w14:textFill>
                  <w14:solidFill>
                    <w14:schemeClr w14:val="tx1"/>
                  </w14:solidFill>
                </w14:textFill>
              </w:rPr>
            </w:pPr>
          </w:p>
        </w:tc>
        <w:tc>
          <w:tcPr>
            <w:tcW w:w="1995" w:type="dxa"/>
            <w:vAlign w:val="center"/>
          </w:tcPr>
          <w:p w14:paraId="528BA0AF">
            <w:pPr>
              <w:spacing w:line="360" w:lineRule="auto"/>
              <w:rPr>
                <w:rFonts w:ascii="宋体" w:hAnsi="宋体"/>
                <w:color w:val="000000" w:themeColor="text1"/>
                <w:sz w:val="24"/>
                <w14:textFill>
                  <w14:solidFill>
                    <w14:schemeClr w14:val="tx1"/>
                  </w14:solidFill>
                </w14:textFill>
              </w:rPr>
            </w:pPr>
          </w:p>
        </w:tc>
        <w:tc>
          <w:tcPr>
            <w:tcW w:w="1785" w:type="dxa"/>
            <w:vAlign w:val="center"/>
          </w:tcPr>
          <w:p w14:paraId="51A029D2">
            <w:pPr>
              <w:spacing w:line="360" w:lineRule="auto"/>
              <w:rPr>
                <w:rFonts w:ascii="宋体" w:hAnsi="宋体"/>
                <w:color w:val="000000" w:themeColor="text1"/>
                <w:sz w:val="24"/>
                <w14:textFill>
                  <w14:solidFill>
                    <w14:schemeClr w14:val="tx1"/>
                  </w14:solidFill>
                </w14:textFill>
              </w:rPr>
            </w:pPr>
          </w:p>
        </w:tc>
      </w:tr>
      <w:tr w14:paraId="53207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46" w:type="dxa"/>
            <w:vAlign w:val="center"/>
          </w:tcPr>
          <w:p w14:paraId="7D733B18">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序号</w:t>
            </w:r>
          </w:p>
        </w:tc>
        <w:tc>
          <w:tcPr>
            <w:tcW w:w="5132" w:type="dxa"/>
            <w:vAlign w:val="center"/>
          </w:tcPr>
          <w:p w14:paraId="48AEF2B7">
            <w:pPr>
              <w:snapToGrid w:val="0"/>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评分标准响应内容</w:t>
            </w:r>
          </w:p>
        </w:tc>
        <w:tc>
          <w:tcPr>
            <w:tcW w:w="1995" w:type="dxa"/>
            <w:vAlign w:val="center"/>
          </w:tcPr>
          <w:p w14:paraId="7AA23F01">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是否响应</w:t>
            </w:r>
          </w:p>
          <w:p w14:paraId="3D57F21D">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（填是或者否）</w:t>
            </w:r>
          </w:p>
        </w:tc>
        <w:tc>
          <w:tcPr>
            <w:tcW w:w="1785" w:type="dxa"/>
            <w:vAlign w:val="center"/>
          </w:tcPr>
          <w:p w14:paraId="71F019F9">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投标文件中的</w:t>
            </w:r>
          </w:p>
          <w:p w14:paraId="232164B0">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页码位置</w:t>
            </w:r>
          </w:p>
        </w:tc>
      </w:tr>
      <w:tr w14:paraId="0A3B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46" w:type="dxa"/>
            <w:vAlign w:val="center"/>
          </w:tcPr>
          <w:p w14:paraId="1FA482BB">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5132" w:type="dxa"/>
            <w:vAlign w:val="center"/>
          </w:tcPr>
          <w:p w14:paraId="0538010D">
            <w:pPr>
              <w:snapToGrid w:val="0"/>
              <w:spacing w:line="360" w:lineRule="auto"/>
              <w:rPr>
                <w:rFonts w:ascii="宋体" w:hAnsi="宋体"/>
                <w:color w:val="000000" w:themeColor="text1"/>
                <w:sz w:val="24"/>
                <w14:textFill>
                  <w14:solidFill>
                    <w14:schemeClr w14:val="tx1"/>
                  </w14:solidFill>
                </w14:textFill>
              </w:rPr>
            </w:pPr>
          </w:p>
        </w:tc>
        <w:tc>
          <w:tcPr>
            <w:tcW w:w="1995" w:type="dxa"/>
            <w:vAlign w:val="center"/>
          </w:tcPr>
          <w:p w14:paraId="508CFD47">
            <w:pPr>
              <w:spacing w:line="360" w:lineRule="auto"/>
              <w:rPr>
                <w:rFonts w:ascii="宋体" w:hAnsi="宋体"/>
                <w:color w:val="000000" w:themeColor="text1"/>
                <w:sz w:val="24"/>
                <w14:textFill>
                  <w14:solidFill>
                    <w14:schemeClr w14:val="tx1"/>
                  </w14:solidFill>
                </w14:textFill>
              </w:rPr>
            </w:pPr>
          </w:p>
        </w:tc>
        <w:tc>
          <w:tcPr>
            <w:tcW w:w="1785" w:type="dxa"/>
            <w:vAlign w:val="center"/>
          </w:tcPr>
          <w:p w14:paraId="4BDD776A">
            <w:pPr>
              <w:spacing w:line="360" w:lineRule="auto"/>
              <w:rPr>
                <w:rFonts w:ascii="宋体" w:hAnsi="宋体"/>
                <w:color w:val="000000" w:themeColor="text1"/>
                <w:sz w:val="24"/>
                <w14:textFill>
                  <w14:solidFill>
                    <w14:schemeClr w14:val="tx1"/>
                  </w14:solidFill>
                </w14:textFill>
              </w:rPr>
            </w:pPr>
          </w:p>
        </w:tc>
      </w:tr>
      <w:tr w14:paraId="1427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vAlign w:val="center"/>
          </w:tcPr>
          <w:p w14:paraId="15EA6395">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5132" w:type="dxa"/>
            <w:vAlign w:val="center"/>
          </w:tcPr>
          <w:p w14:paraId="5BFAFA2F">
            <w:pPr>
              <w:snapToGrid w:val="0"/>
              <w:spacing w:line="360" w:lineRule="auto"/>
              <w:rPr>
                <w:rFonts w:ascii="宋体" w:hAnsi="宋体"/>
                <w:color w:val="000000" w:themeColor="text1"/>
                <w:sz w:val="24"/>
                <w14:textFill>
                  <w14:solidFill>
                    <w14:schemeClr w14:val="tx1"/>
                  </w14:solidFill>
                </w14:textFill>
              </w:rPr>
            </w:pPr>
          </w:p>
        </w:tc>
        <w:tc>
          <w:tcPr>
            <w:tcW w:w="1995" w:type="dxa"/>
            <w:vAlign w:val="center"/>
          </w:tcPr>
          <w:p w14:paraId="465CB99C">
            <w:pPr>
              <w:spacing w:line="360" w:lineRule="auto"/>
              <w:rPr>
                <w:rFonts w:ascii="宋体" w:hAnsi="宋体"/>
                <w:color w:val="000000" w:themeColor="text1"/>
                <w:sz w:val="24"/>
                <w14:textFill>
                  <w14:solidFill>
                    <w14:schemeClr w14:val="tx1"/>
                  </w14:solidFill>
                </w14:textFill>
              </w:rPr>
            </w:pPr>
          </w:p>
        </w:tc>
        <w:tc>
          <w:tcPr>
            <w:tcW w:w="1785" w:type="dxa"/>
            <w:vAlign w:val="center"/>
          </w:tcPr>
          <w:p w14:paraId="6E497C05">
            <w:pPr>
              <w:spacing w:line="360" w:lineRule="auto"/>
              <w:rPr>
                <w:rFonts w:ascii="宋体" w:hAnsi="宋体"/>
                <w:color w:val="000000" w:themeColor="text1"/>
                <w:sz w:val="24"/>
                <w14:textFill>
                  <w14:solidFill>
                    <w14:schemeClr w14:val="tx1"/>
                  </w14:solidFill>
                </w14:textFill>
              </w:rPr>
            </w:pPr>
          </w:p>
        </w:tc>
      </w:tr>
      <w:tr w14:paraId="3FD2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vAlign w:val="center"/>
          </w:tcPr>
          <w:p w14:paraId="567CE58B">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5132" w:type="dxa"/>
            <w:vAlign w:val="center"/>
          </w:tcPr>
          <w:p w14:paraId="107EF2E5">
            <w:pPr>
              <w:snapToGrid w:val="0"/>
              <w:spacing w:line="360" w:lineRule="auto"/>
              <w:rPr>
                <w:rFonts w:ascii="宋体" w:hAnsi="宋体"/>
                <w:color w:val="000000" w:themeColor="text1"/>
                <w:sz w:val="24"/>
                <w14:textFill>
                  <w14:solidFill>
                    <w14:schemeClr w14:val="tx1"/>
                  </w14:solidFill>
                </w14:textFill>
              </w:rPr>
            </w:pPr>
          </w:p>
        </w:tc>
        <w:tc>
          <w:tcPr>
            <w:tcW w:w="1995" w:type="dxa"/>
            <w:vAlign w:val="center"/>
          </w:tcPr>
          <w:p w14:paraId="7138F628">
            <w:pPr>
              <w:spacing w:line="360" w:lineRule="auto"/>
              <w:rPr>
                <w:rFonts w:ascii="宋体" w:hAnsi="宋体"/>
                <w:color w:val="000000" w:themeColor="text1"/>
                <w:sz w:val="24"/>
                <w14:textFill>
                  <w14:solidFill>
                    <w14:schemeClr w14:val="tx1"/>
                  </w14:solidFill>
                </w14:textFill>
              </w:rPr>
            </w:pPr>
          </w:p>
        </w:tc>
        <w:tc>
          <w:tcPr>
            <w:tcW w:w="1785" w:type="dxa"/>
            <w:vAlign w:val="center"/>
          </w:tcPr>
          <w:p w14:paraId="31485ADD">
            <w:pPr>
              <w:spacing w:line="360" w:lineRule="auto"/>
              <w:rPr>
                <w:rFonts w:ascii="宋体" w:hAnsi="宋体"/>
                <w:color w:val="000000" w:themeColor="text1"/>
                <w:sz w:val="24"/>
                <w14:textFill>
                  <w14:solidFill>
                    <w14:schemeClr w14:val="tx1"/>
                  </w14:solidFill>
                </w14:textFill>
              </w:rPr>
            </w:pPr>
          </w:p>
        </w:tc>
      </w:tr>
      <w:tr w14:paraId="50AE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vAlign w:val="center"/>
          </w:tcPr>
          <w:p w14:paraId="0B8590F6">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5132" w:type="dxa"/>
            <w:vAlign w:val="center"/>
          </w:tcPr>
          <w:p w14:paraId="1E16E9FD">
            <w:pPr>
              <w:snapToGrid w:val="0"/>
              <w:spacing w:line="360" w:lineRule="auto"/>
              <w:rPr>
                <w:rFonts w:ascii="宋体" w:hAnsi="宋体"/>
                <w:color w:val="000000" w:themeColor="text1"/>
                <w:sz w:val="24"/>
                <w14:textFill>
                  <w14:solidFill>
                    <w14:schemeClr w14:val="tx1"/>
                  </w14:solidFill>
                </w14:textFill>
              </w:rPr>
            </w:pPr>
          </w:p>
        </w:tc>
        <w:tc>
          <w:tcPr>
            <w:tcW w:w="1995" w:type="dxa"/>
            <w:vAlign w:val="center"/>
          </w:tcPr>
          <w:p w14:paraId="701B405C">
            <w:pPr>
              <w:spacing w:line="360" w:lineRule="auto"/>
              <w:rPr>
                <w:rFonts w:ascii="宋体" w:hAnsi="宋体"/>
                <w:color w:val="000000" w:themeColor="text1"/>
                <w:sz w:val="24"/>
                <w14:textFill>
                  <w14:solidFill>
                    <w14:schemeClr w14:val="tx1"/>
                  </w14:solidFill>
                </w14:textFill>
              </w:rPr>
            </w:pPr>
          </w:p>
        </w:tc>
        <w:tc>
          <w:tcPr>
            <w:tcW w:w="1785" w:type="dxa"/>
            <w:vAlign w:val="center"/>
          </w:tcPr>
          <w:p w14:paraId="60810520">
            <w:pPr>
              <w:spacing w:line="360" w:lineRule="auto"/>
              <w:rPr>
                <w:rFonts w:ascii="宋体" w:hAnsi="宋体"/>
                <w:color w:val="000000" w:themeColor="text1"/>
                <w:sz w:val="24"/>
                <w14:textFill>
                  <w14:solidFill>
                    <w14:schemeClr w14:val="tx1"/>
                  </w14:solidFill>
                </w14:textFill>
              </w:rPr>
            </w:pPr>
          </w:p>
        </w:tc>
      </w:tr>
      <w:tr w14:paraId="5FE8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6" w:type="dxa"/>
            <w:vAlign w:val="center"/>
          </w:tcPr>
          <w:p w14:paraId="552249EE">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5132" w:type="dxa"/>
            <w:vAlign w:val="center"/>
          </w:tcPr>
          <w:p w14:paraId="1F7B0974">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招标文件中的其他实质性要求</w:t>
            </w:r>
          </w:p>
        </w:tc>
        <w:tc>
          <w:tcPr>
            <w:tcW w:w="1995" w:type="dxa"/>
            <w:vAlign w:val="center"/>
          </w:tcPr>
          <w:p w14:paraId="4E266063">
            <w:pPr>
              <w:spacing w:line="360" w:lineRule="auto"/>
              <w:rPr>
                <w:rFonts w:ascii="宋体" w:hAnsi="宋体"/>
                <w:color w:val="000000" w:themeColor="text1"/>
                <w:sz w:val="24"/>
                <w14:textFill>
                  <w14:solidFill>
                    <w14:schemeClr w14:val="tx1"/>
                  </w14:solidFill>
                </w14:textFill>
              </w:rPr>
            </w:pPr>
          </w:p>
        </w:tc>
        <w:tc>
          <w:tcPr>
            <w:tcW w:w="1785" w:type="dxa"/>
            <w:vAlign w:val="center"/>
          </w:tcPr>
          <w:p w14:paraId="314C871D">
            <w:pPr>
              <w:spacing w:line="360" w:lineRule="auto"/>
              <w:rPr>
                <w:rFonts w:ascii="宋体" w:hAnsi="宋体"/>
                <w:color w:val="000000" w:themeColor="text1"/>
                <w:sz w:val="24"/>
                <w14:textFill>
                  <w14:solidFill>
                    <w14:schemeClr w14:val="tx1"/>
                  </w14:solidFill>
                </w14:textFill>
              </w:rPr>
            </w:pPr>
          </w:p>
        </w:tc>
      </w:tr>
    </w:tbl>
    <w:p w14:paraId="69E6904C">
      <w:pPr>
        <w:widowControl/>
        <w:adjustRightIn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（盖章）</w:t>
      </w:r>
    </w:p>
    <w:p w14:paraId="4D3AA31A">
      <w:pPr>
        <w:widowControl/>
        <w:adjustRightInd w:val="0"/>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说明：如果行数不够，请自行增加。</w:t>
      </w:r>
    </w:p>
    <w:p w14:paraId="5D900113">
      <w:pPr>
        <w:rPr>
          <w:rFonts w:ascii="宋体" w:hAnsi="宋体" w:cs="宋体"/>
          <w:sz w:val="32"/>
          <w:szCs w:val="32"/>
        </w:rPr>
      </w:pPr>
      <w:r>
        <w:rPr>
          <w:rFonts w:hint="eastAsia" w:ascii="宋体" w:hAnsi="宋体" w:cs="宋体"/>
          <w:sz w:val="32"/>
          <w:szCs w:val="32"/>
        </w:rPr>
        <w:br w:type="page"/>
      </w:r>
    </w:p>
    <w:p w14:paraId="78860D91">
      <w:pPr>
        <w:spacing w:before="312" w:beforeLines="100" w:after="312" w:afterLines="100"/>
        <w:jc w:val="center"/>
        <w:rPr>
          <w:rFonts w:ascii="宋体" w:hAnsi="宋体" w:cs="宋体"/>
          <w:sz w:val="32"/>
          <w:szCs w:val="32"/>
        </w:rPr>
      </w:pPr>
      <w:r>
        <w:rPr>
          <w:rFonts w:hint="eastAsia" w:ascii="宋体" w:hAnsi="宋体" w:cs="宋体"/>
          <w:sz w:val="32"/>
          <w:szCs w:val="32"/>
        </w:rPr>
        <w:t>目录</w:t>
      </w:r>
    </w:p>
    <w:p w14:paraId="49C36172">
      <w:pPr>
        <w:jc w:val="center"/>
        <w:rPr>
          <w:rFonts w:ascii="宋体" w:hAnsi="宋体" w:cs="宋体"/>
          <w:szCs w:val="21"/>
        </w:rPr>
      </w:pPr>
      <w:r>
        <w:rPr>
          <w:rFonts w:hint="eastAsia" w:ascii="宋体" w:hAnsi="宋体" w:cs="宋体"/>
          <w:szCs w:val="21"/>
        </w:rPr>
        <w:t>（注：供应商根据本章附件顺序编制投标文件并制作目录（须生成页码））</w:t>
      </w:r>
    </w:p>
    <w:p w14:paraId="677E304C">
      <w:pPr>
        <w:spacing w:line="440" w:lineRule="exact"/>
        <w:rPr>
          <w:rFonts w:ascii="宋体" w:hAnsi="宋体" w:cs="宋体"/>
          <w:kern w:val="0"/>
          <w:szCs w:val="21"/>
        </w:rPr>
      </w:pPr>
      <w:r>
        <w:rPr>
          <w:rFonts w:hint="eastAsia" w:ascii="宋体" w:hAnsi="宋体" w:cs="宋体"/>
        </w:rPr>
        <w:br w:type="page"/>
      </w:r>
      <w:r>
        <w:rPr>
          <w:rFonts w:hint="eastAsia" w:ascii="宋体" w:hAnsi="宋体" w:cs="宋体"/>
          <w:b/>
          <w:bCs/>
          <w:kern w:val="0"/>
          <w:szCs w:val="21"/>
        </w:rPr>
        <w:t>附件一、投标申请及声明格式</w:t>
      </w:r>
    </w:p>
    <w:p w14:paraId="6F0FC44D">
      <w:pPr>
        <w:widowControl/>
        <w:spacing w:line="360" w:lineRule="auto"/>
        <w:jc w:val="center"/>
        <w:rPr>
          <w:rFonts w:ascii="宋体" w:hAnsi="宋体" w:cs="宋体"/>
          <w:b/>
          <w:kern w:val="0"/>
          <w:szCs w:val="21"/>
        </w:rPr>
      </w:pPr>
      <w:r>
        <w:rPr>
          <w:rFonts w:hint="eastAsia" w:ascii="宋体" w:hAnsi="宋体" w:cs="宋体"/>
          <w:b/>
          <w:kern w:val="0"/>
          <w:sz w:val="36"/>
          <w:szCs w:val="36"/>
        </w:rPr>
        <w:t>投标申请及声明</w:t>
      </w:r>
    </w:p>
    <w:p w14:paraId="4AEA9F01">
      <w:pPr>
        <w:widowControl/>
        <w:spacing w:line="400" w:lineRule="exact"/>
        <w:rPr>
          <w:rFonts w:ascii="宋体" w:hAnsi="宋体" w:cs="宋体"/>
          <w:kern w:val="0"/>
          <w:szCs w:val="21"/>
        </w:rPr>
      </w:pPr>
      <w:r>
        <w:rPr>
          <w:rFonts w:hint="eastAsia" w:ascii="宋体" w:hAnsi="宋体" w:cs="宋体"/>
          <w:kern w:val="0"/>
          <w:szCs w:val="21"/>
        </w:rPr>
        <w:t> 致：江苏省设备成套股份有限公司</w:t>
      </w:r>
    </w:p>
    <w:p w14:paraId="25E2CBE5">
      <w:pPr>
        <w:widowControl/>
        <w:spacing w:line="400" w:lineRule="exact"/>
        <w:ind w:firstLine="420"/>
        <w:rPr>
          <w:rFonts w:ascii="宋体" w:hAnsi="宋体" w:cs="宋体"/>
          <w:kern w:val="0"/>
          <w:szCs w:val="21"/>
        </w:rPr>
      </w:pPr>
      <w:r>
        <w:rPr>
          <w:rFonts w:hint="eastAsia" w:ascii="宋体" w:hAnsi="宋体" w:cs="宋体"/>
          <w:kern w:val="0"/>
          <w:szCs w:val="21"/>
        </w:rPr>
        <w:t>根据贵方</w:t>
      </w:r>
      <w:r>
        <w:rPr>
          <w:rFonts w:hint="eastAsia" w:ascii="宋体" w:hAnsi="宋体" w:cs="宋体"/>
          <w:kern w:val="0"/>
          <w:szCs w:val="21"/>
          <w:u w:val="single"/>
        </w:rPr>
        <w:t>           （</w:t>
      </w:r>
      <w:r>
        <w:rPr>
          <w:rFonts w:hint="eastAsia" w:ascii="宋体" w:hAnsi="宋体" w:cs="宋体"/>
          <w:kern w:val="0"/>
          <w:szCs w:val="21"/>
        </w:rPr>
        <w:t>项目名称） </w:t>
      </w:r>
      <w:r>
        <w:rPr>
          <w:rFonts w:hint="eastAsia" w:ascii="宋体" w:hAnsi="宋体" w:cs="宋体"/>
          <w:kern w:val="0"/>
          <w:szCs w:val="21"/>
          <w:u w:val="single"/>
        </w:rPr>
        <w:t>       </w:t>
      </w:r>
      <w:r>
        <w:rPr>
          <w:rFonts w:hint="eastAsia" w:ascii="宋体" w:hAnsi="宋体" w:cs="宋体"/>
          <w:kern w:val="0"/>
          <w:szCs w:val="21"/>
        </w:rPr>
        <w:t>（项目编号）投标邀请，正式授权下述签字人</w:t>
      </w:r>
      <w:r>
        <w:rPr>
          <w:rFonts w:hint="eastAsia" w:ascii="宋体" w:hAnsi="宋体" w:cs="宋体"/>
          <w:kern w:val="0"/>
          <w:szCs w:val="21"/>
          <w:u w:val="single"/>
        </w:rPr>
        <w:t>           </w:t>
      </w:r>
      <w:r>
        <w:rPr>
          <w:rFonts w:hint="eastAsia" w:ascii="宋体" w:hAnsi="宋体" w:cs="宋体"/>
          <w:kern w:val="0"/>
          <w:szCs w:val="21"/>
        </w:rPr>
        <w:t>(姓名和职务)代表投标人</w:t>
      </w:r>
      <w:r>
        <w:rPr>
          <w:rFonts w:hint="eastAsia" w:ascii="宋体" w:hAnsi="宋体" w:cs="宋体"/>
          <w:kern w:val="0"/>
          <w:szCs w:val="21"/>
          <w:u w:val="single"/>
        </w:rPr>
        <w:t>     </w:t>
      </w:r>
      <w:r>
        <w:rPr>
          <w:rFonts w:hint="eastAsia" w:ascii="宋体" w:hAnsi="宋体" w:cs="宋体"/>
          <w:kern w:val="0"/>
          <w:szCs w:val="21"/>
        </w:rPr>
        <w:t>（投标人名称），提交投标文件。</w:t>
      </w:r>
    </w:p>
    <w:p w14:paraId="08B4E490">
      <w:pPr>
        <w:widowControl/>
        <w:spacing w:line="400" w:lineRule="exact"/>
        <w:ind w:firstLine="420"/>
        <w:rPr>
          <w:rFonts w:ascii="宋体" w:hAnsi="宋体" w:cs="宋体"/>
          <w:kern w:val="0"/>
          <w:szCs w:val="21"/>
        </w:rPr>
      </w:pPr>
      <w:r>
        <w:rPr>
          <w:rFonts w:hint="eastAsia" w:ascii="宋体" w:hAnsi="宋体" w:cs="宋体"/>
          <w:kern w:val="0"/>
          <w:szCs w:val="21"/>
        </w:rPr>
        <w:t>据此函，签字人兹宣布声明和承诺如下：</w:t>
      </w:r>
    </w:p>
    <w:p w14:paraId="1EB13005">
      <w:pPr>
        <w:widowControl/>
        <w:spacing w:line="400" w:lineRule="exact"/>
        <w:ind w:firstLine="420"/>
        <w:rPr>
          <w:rFonts w:ascii="宋体" w:hAnsi="宋体" w:cs="宋体"/>
          <w:kern w:val="0"/>
          <w:szCs w:val="21"/>
        </w:rPr>
      </w:pPr>
      <w:r>
        <w:rPr>
          <w:rFonts w:hint="eastAsia" w:ascii="宋体" w:hAnsi="宋体" w:cs="宋体"/>
          <w:kern w:val="0"/>
          <w:szCs w:val="21"/>
        </w:rPr>
        <w:t>1、我们的资格条件完全符合政府采购法和本次招标要求，我们同意并向贵方提供了与投标有关的所有证据和资料。</w:t>
      </w:r>
    </w:p>
    <w:p w14:paraId="0E8C0324">
      <w:pPr>
        <w:widowControl/>
        <w:spacing w:line="400" w:lineRule="exact"/>
        <w:ind w:left="1470" w:hanging="1050"/>
        <w:rPr>
          <w:rFonts w:ascii="宋体" w:hAnsi="宋体" w:cs="宋体"/>
          <w:kern w:val="0"/>
          <w:szCs w:val="21"/>
        </w:rPr>
      </w:pPr>
      <w:r>
        <w:rPr>
          <w:rFonts w:hint="eastAsia" w:ascii="宋体" w:hAnsi="宋体" w:cs="宋体"/>
          <w:kern w:val="0"/>
          <w:szCs w:val="21"/>
        </w:rPr>
        <w:t>2、按招标要求，我们的投标报价详见开标一览表。</w:t>
      </w:r>
    </w:p>
    <w:p w14:paraId="2C612EF5">
      <w:pPr>
        <w:widowControl/>
        <w:spacing w:line="400" w:lineRule="exact"/>
        <w:ind w:firstLine="420"/>
        <w:rPr>
          <w:rFonts w:ascii="宋体" w:hAnsi="宋体" w:cs="宋体"/>
          <w:kern w:val="0"/>
          <w:szCs w:val="21"/>
        </w:rPr>
      </w:pPr>
      <w:r>
        <w:rPr>
          <w:rFonts w:hint="eastAsia" w:ascii="宋体" w:hAnsi="宋体" w:cs="宋体"/>
          <w:kern w:val="0"/>
          <w:szCs w:val="21"/>
        </w:rPr>
        <w:t>3、本项目交付时间为：</w:t>
      </w:r>
      <w:r>
        <w:rPr>
          <w:rFonts w:hint="eastAsia" w:ascii="宋体" w:hAnsi="宋体" w:cs="宋体"/>
          <w:kern w:val="0"/>
          <w:szCs w:val="21"/>
          <w:u w:val="single"/>
        </w:rPr>
        <w:t xml:space="preserve">  满足招标文件要求  </w:t>
      </w:r>
      <w:r>
        <w:rPr>
          <w:rFonts w:hint="eastAsia" w:ascii="宋体" w:hAnsi="宋体" w:cs="宋体"/>
          <w:kern w:val="0"/>
          <w:szCs w:val="21"/>
        </w:rPr>
        <w:t>。</w:t>
      </w:r>
    </w:p>
    <w:p w14:paraId="27532D4B">
      <w:pPr>
        <w:widowControl/>
        <w:spacing w:line="400" w:lineRule="exact"/>
        <w:ind w:firstLine="420"/>
        <w:rPr>
          <w:rFonts w:ascii="宋体" w:hAnsi="宋体" w:cs="宋体"/>
          <w:kern w:val="0"/>
          <w:szCs w:val="21"/>
        </w:rPr>
      </w:pPr>
      <w:r>
        <w:rPr>
          <w:rFonts w:hint="eastAsia" w:ascii="宋体" w:hAnsi="宋体" w:cs="宋体"/>
          <w:kern w:val="0"/>
          <w:szCs w:val="21"/>
        </w:rPr>
        <w:t>4、我们已详细阅读全部招标文件及其有效补充文件，我们放弃对招标文件任何误解的权利，提交投标文件后，不对招标文件本身提出质疑。</w:t>
      </w:r>
    </w:p>
    <w:p w14:paraId="3CFD6A3E">
      <w:pPr>
        <w:widowControl/>
        <w:spacing w:line="400" w:lineRule="exact"/>
        <w:ind w:firstLine="420"/>
        <w:rPr>
          <w:rFonts w:ascii="宋体" w:hAnsi="宋体" w:cs="宋体"/>
          <w:kern w:val="0"/>
          <w:szCs w:val="21"/>
        </w:rPr>
      </w:pPr>
      <w:r>
        <w:rPr>
          <w:rFonts w:hint="eastAsia" w:ascii="宋体" w:hAnsi="宋体" w:cs="宋体"/>
          <w:kern w:val="0"/>
          <w:szCs w:val="21"/>
        </w:rPr>
        <w:t>5、我们同意从规定的开标日期起遵循本投标文件，并在规定的投标有效期期满之前均具有约束力。</w:t>
      </w:r>
    </w:p>
    <w:p w14:paraId="60E197C0">
      <w:pPr>
        <w:widowControl/>
        <w:spacing w:line="400" w:lineRule="exact"/>
        <w:ind w:firstLine="420"/>
        <w:rPr>
          <w:rFonts w:ascii="宋体" w:hAnsi="宋体" w:cs="宋体"/>
          <w:kern w:val="0"/>
          <w:szCs w:val="21"/>
        </w:rPr>
      </w:pPr>
      <w:r>
        <w:rPr>
          <w:rFonts w:hint="eastAsia" w:ascii="宋体" w:hAnsi="宋体" w:cs="宋体"/>
          <w:kern w:val="0"/>
          <w:szCs w:val="21"/>
        </w:rPr>
        <w:t>6、一旦我方中标，我方将根据招标文件的规定及我方投标承诺严格履行合同。</w:t>
      </w:r>
    </w:p>
    <w:p w14:paraId="498788AD">
      <w:pPr>
        <w:widowControl/>
        <w:spacing w:line="400" w:lineRule="exact"/>
        <w:ind w:firstLine="420"/>
        <w:rPr>
          <w:rFonts w:ascii="宋体" w:hAnsi="宋体" w:cs="宋体"/>
          <w:kern w:val="0"/>
          <w:szCs w:val="21"/>
        </w:rPr>
      </w:pPr>
      <w:r>
        <w:rPr>
          <w:rFonts w:hint="eastAsia" w:ascii="宋体" w:hAnsi="宋体" w:cs="宋体"/>
          <w:kern w:val="0"/>
          <w:szCs w:val="21"/>
        </w:rPr>
        <w:t>7、我方决不提供虚假材料谋取中标、决不采取不正当手段诋毁、排挤其他投标人、决不与采购人、其他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6F932C36">
      <w:pPr>
        <w:widowControl/>
        <w:spacing w:line="400" w:lineRule="exact"/>
        <w:ind w:firstLine="420"/>
        <w:rPr>
          <w:rFonts w:ascii="宋体" w:hAnsi="宋体" w:cs="宋体"/>
          <w:kern w:val="0"/>
          <w:szCs w:val="21"/>
        </w:rPr>
      </w:pPr>
      <w:r>
        <w:rPr>
          <w:rFonts w:hint="eastAsia" w:ascii="宋体" w:hAnsi="宋体" w:cs="宋体"/>
          <w:kern w:val="0"/>
          <w:szCs w:val="21"/>
        </w:rPr>
        <w:t>8、与本投标有关的正式联系方式为：</w:t>
      </w:r>
    </w:p>
    <w:p w14:paraId="7C140BE0">
      <w:pPr>
        <w:widowControl/>
        <w:spacing w:line="400" w:lineRule="exact"/>
        <w:ind w:firstLine="420"/>
        <w:rPr>
          <w:rFonts w:ascii="宋体" w:hAnsi="宋体" w:cs="宋体"/>
          <w:kern w:val="0"/>
          <w:szCs w:val="21"/>
        </w:rPr>
      </w:pPr>
      <w:r>
        <w:rPr>
          <w:rFonts w:hint="eastAsia" w:ascii="宋体" w:hAnsi="宋体" w:cs="宋体"/>
          <w:kern w:val="0"/>
          <w:szCs w:val="21"/>
        </w:rPr>
        <w:t>地   址：</w:t>
      </w:r>
      <w:r>
        <w:rPr>
          <w:rFonts w:hint="eastAsia" w:ascii="宋体" w:hAnsi="宋体" w:cs="宋体"/>
          <w:kern w:val="0"/>
          <w:szCs w:val="21"/>
          <w:u w:val="single"/>
        </w:rPr>
        <w:t>                      </w:t>
      </w:r>
    </w:p>
    <w:p w14:paraId="28187EBF">
      <w:pPr>
        <w:widowControl/>
        <w:spacing w:line="400" w:lineRule="exact"/>
        <w:ind w:firstLine="420"/>
        <w:rPr>
          <w:rFonts w:ascii="宋体" w:hAnsi="宋体" w:cs="宋体"/>
          <w:kern w:val="0"/>
          <w:szCs w:val="21"/>
        </w:rPr>
      </w:pPr>
      <w:r>
        <w:rPr>
          <w:rFonts w:hint="eastAsia" w:ascii="宋体" w:hAnsi="宋体" w:cs="宋体"/>
          <w:kern w:val="0"/>
          <w:szCs w:val="21"/>
        </w:rPr>
        <w:t>电   话：</w:t>
      </w:r>
      <w:r>
        <w:rPr>
          <w:rFonts w:hint="eastAsia" w:ascii="宋体" w:hAnsi="宋体" w:cs="宋体"/>
          <w:kern w:val="0"/>
          <w:szCs w:val="21"/>
          <w:u w:val="single"/>
        </w:rPr>
        <w:t>                      </w:t>
      </w:r>
    </w:p>
    <w:p w14:paraId="4EC32E4B">
      <w:pPr>
        <w:widowControl/>
        <w:spacing w:line="400" w:lineRule="exact"/>
        <w:ind w:firstLine="420"/>
        <w:rPr>
          <w:rFonts w:ascii="宋体" w:hAnsi="宋体" w:cs="宋体"/>
          <w:kern w:val="0"/>
          <w:szCs w:val="21"/>
        </w:rPr>
      </w:pPr>
      <w:r>
        <w:rPr>
          <w:rFonts w:hint="eastAsia" w:ascii="宋体" w:hAnsi="宋体" w:cs="宋体"/>
          <w:kern w:val="0"/>
          <w:szCs w:val="21"/>
        </w:rPr>
        <w:t>传   真：</w:t>
      </w:r>
      <w:r>
        <w:rPr>
          <w:rFonts w:hint="eastAsia" w:ascii="宋体" w:hAnsi="宋体" w:cs="宋体"/>
          <w:kern w:val="0"/>
          <w:szCs w:val="21"/>
          <w:u w:val="single"/>
        </w:rPr>
        <w:t>                      </w:t>
      </w:r>
    </w:p>
    <w:p w14:paraId="30D3C2F9">
      <w:pPr>
        <w:widowControl/>
        <w:spacing w:line="400" w:lineRule="exact"/>
        <w:ind w:firstLine="420"/>
        <w:rPr>
          <w:rFonts w:ascii="宋体" w:hAnsi="宋体" w:cs="宋体"/>
          <w:kern w:val="0"/>
          <w:szCs w:val="21"/>
        </w:rPr>
      </w:pPr>
      <w:r>
        <w:rPr>
          <w:rFonts w:hint="eastAsia" w:ascii="宋体" w:hAnsi="宋体" w:cs="宋体"/>
          <w:kern w:val="0"/>
          <w:szCs w:val="21"/>
        </w:rPr>
        <w:t>开户银行：</w:t>
      </w:r>
    </w:p>
    <w:p w14:paraId="46EB881F">
      <w:pPr>
        <w:widowControl/>
        <w:spacing w:line="400" w:lineRule="exact"/>
        <w:ind w:firstLine="420"/>
        <w:rPr>
          <w:rFonts w:ascii="宋体" w:hAnsi="宋体" w:cs="宋体"/>
          <w:kern w:val="0"/>
          <w:szCs w:val="21"/>
        </w:rPr>
      </w:pPr>
      <w:r>
        <w:rPr>
          <w:rFonts w:hint="eastAsia" w:ascii="宋体" w:hAnsi="宋体" w:cs="宋体"/>
          <w:kern w:val="0"/>
          <w:szCs w:val="21"/>
        </w:rPr>
        <w:t>银行账号：</w:t>
      </w:r>
    </w:p>
    <w:p w14:paraId="54D1F9E8">
      <w:pPr>
        <w:widowControl/>
        <w:spacing w:line="400" w:lineRule="exact"/>
        <w:ind w:firstLine="420"/>
        <w:rPr>
          <w:rFonts w:ascii="宋体" w:hAnsi="宋体" w:cs="宋体"/>
          <w:kern w:val="0"/>
          <w:szCs w:val="21"/>
        </w:rPr>
      </w:pPr>
      <w:r>
        <w:rPr>
          <w:rFonts w:hint="eastAsia" w:ascii="宋体" w:hAnsi="宋体" w:cs="宋体"/>
          <w:kern w:val="0"/>
          <w:szCs w:val="21"/>
        </w:rPr>
        <w:t>投标人授权代表姓名（签字或签章）：</w:t>
      </w:r>
      <w:r>
        <w:rPr>
          <w:rFonts w:hint="eastAsia" w:ascii="宋体" w:hAnsi="宋体" w:cs="宋体"/>
          <w:kern w:val="0"/>
          <w:szCs w:val="21"/>
          <w:u w:val="single"/>
        </w:rPr>
        <w:t>        </w:t>
      </w:r>
    </w:p>
    <w:p w14:paraId="166D21A9">
      <w:pPr>
        <w:widowControl/>
        <w:spacing w:line="400" w:lineRule="exact"/>
        <w:ind w:firstLine="420"/>
        <w:rPr>
          <w:rFonts w:ascii="宋体" w:hAnsi="宋体" w:cs="宋体"/>
          <w:kern w:val="0"/>
          <w:szCs w:val="21"/>
        </w:rPr>
      </w:pPr>
      <w:r>
        <w:rPr>
          <w:rFonts w:hint="eastAsia" w:ascii="宋体" w:hAnsi="宋体" w:cs="宋体"/>
          <w:kern w:val="0"/>
          <w:szCs w:val="21"/>
        </w:rPr>
        <w:t>投标人名称：</w:t>
      </w:r>
      <w:r>
        <w:rPr>
          <w:rFonts w:hint="eastAsia" w:ascii="宋体" w:hAnsi="宋体" w:cs="宋体"/>
          <w:kern w:val="0"/>
          <w:szCs w:val="21"/>
          <w:u w:val="single"/>
        </w:rPr>
        <w:t>                 </w:t>
      </w:r>
      <w:r>
        <w:rPr>
          <w:rFonts w:hint="eastAsia" w:ascii="宋体" w:hAnsi="宋体" w:cs="宋体"/>
          <w:kern w:val="0"/>
          <w:szCs w:val="21"/>
        </w:rPr>
        <w:t>（盖章）</w:t>
      </w:r>
    </w:p>
    <w:p w14:paraId="73B104D7">
      <w:pPr>
        <w:widowControl/>
        <w:spacing w:line="400" w:lineRule="exact"/>
        <w:ind w:firstLine="420"/>
        <w:rPr>
          <w:rFonts w:ascii="宋体" w:hAnsi="宋体" w:cs="宋体"/>
          <w:kern w:val="0"/>
          <w:szCs w:val="21"/>
        </w:rPr>
      </w:pPr>
      <w:r>
        <w:rPr>
          <w:rFonts w:hint="eastAsia" w:ascii="宋体" w:hAnsi="宋体" w:cs="宋体"/>
          <w:kern w:val="0"/>
          <w:szCs w:val="21"/>
        </w:rPr>
        <w:t>日    期：</w:t>
      </w:r>
      <w:r>
        <w:rPr>
          <w:rFonts w:hint="eastAsia" w:ascii="宋体" w:hAnsi="宋体" w:cs="宋体"/>
          <w:kern w:val="0"/>
          <w:szCs w:val="21"/>
          <w:u w:val="single"/>
        </w:rPr>
        <w:t>     </w:t>
      </w:r>
      <w:r>
        <w:rPr>
          <w:rFonts w:hint="eastAsia" w:ascii="宋体" w:hAnsi="宋体" w:cs="宋体"/>
          <w:kern w:val="0"/>
          <w:szCs w:val="21"/>
        </w:rPr>
        <w:t>年</w:t>
      </w:r>
      <w:r>
        <w:rPr>
          <w:rFonts w:hint="eastAsia" w:ascii="宋体" w:hAnsi="宋体" w:cs="宋体"/>
          <w:kern w:val="0"/>
          <w:szCs w:val="21"/>
          <w:u w:val="single"/>
        </w:rPr>
        <w:t>    </w:t>
      </w:r>
      <w:r>
        <w:rPr>
          <w:rFonts w:hint="eastAsia" w:ascii="宋体" w:hAnsi="宋体" w:cs="宋体"/>
          <w:kern w:val="0"/>
          <w:szCs w:val="21"/>
        </w:rPr>
        <w:t>月</w:t>
      </w:r>
      <w:r>
        <w:rPr>
          <w:rFonts w:hint="eastAsia" w:ascii="宋体" w:hAnsi="宋体" w:cs="宋体"/>
          <w:kern w:val="0"/>
          <w:szCs w:val="21"/>
          <w:u w:val="single"/>
        </w:rPr>
        <w:t>    </w:t>
      </w:r>
      <w:r>
        <w:rPr>
          <w:rFonts w:hint="eastAsia" w:ascii="宋体" w:hAnsi="宋体" w:cs="宋体"/>
          <w:kern w:val="0"/>
          <w:szCs w:val="21"/>
        </w:rPr>
        <w:t>日</w:t>
      </w:r>
    </w:p>
    <w:p w14:paraId="6913B200">
      <w:pPr>
        <w:widowControl/>
        <w:spacing w:line="360" w:lineRule="auto"/>
        <w:rPr>
          <w:rFonts w:ascii="宋体" w:hAnsi="宋体" w:cs="宋体"/>
          <w:kern w:val="0"/>
          <w:szCs w:val="21"/>
        </w:rPr>
      </w:pPr>
      <w:r>
        <w:rPr>
          <w:rFonts w:hint="eastAsia" w:ascii="宋体" w:hAnsi="宋体" w:cs="宋体"/>
          <w:b/>
          <w:bCs/>
          <w:kern w:val="0"/>
          <w:szCs w:val="21"/>
        </w:rPr>
        <w:br w:type="page"/>
      </w:r>
      <w:r>
        <w:rPr>
          <w:rFonts w:hint="eastAsia" w:ascii="宋体" w:hAnsi="宋体" w:cs="宋体"/>
          <w:b/>
          <w:bCs/>
          <w:kern w:val="0"/>
          <w:szCs w:val="21"/>
        </w:rPr>
        <w:t>附件二、法定代表人授权书格式</w:t>
      </w:r>
    </w:p>
    <w:p w14:paraId="33A09A9E">
      <w:pPr>
        <w:widowControl/>
        <w:spacing w:line="360" w:lineRule="auto"/>
        <w:ind w:firstLine="720"/>
        <w:jc w:val="center"/>
        <w:rPr>
          <w:rFonts w:ascii="宋体" w:hAnsi="宋体" w:cs="宋体"/>
          <w:kern w:val="0"/>
          <w:sz w:val="36"/>
          <w:szCs w:val="36"/>
        </w:rPr>
      </w:pPr>
    </w:p>
    <w:p w14:paraId="33587977">
      <w:pPr>
        <w:widowControl/>
        <w:spacing w:line="360" w:lineRule="auto"/>
        <w:ind w:firstLine="720"/>
        <w:jc w:val="center"/>
        <w:rPr>
          <w:rFonts w:ascii="宋体" w:hAnsi="宋体" w:cs="宋体"/>
          <w:b/>
          <w:kern w:val="0"/>
          <w:szCs w:val="21"/>
        </w:rPr>
      </w:pPr>
      <w:r>
        <w:rPr>
          <w:rFonts w:hint="eastAsia" w:ascii="宋体" w:hAnsi="宋体" w:cs="宋体"/>
          <w:b/>
          <w:kern w:val="0"/>
          <w:sz w:val="36"/>
          <w:szCs w:val="36"/>
        </w:rPr>
        <w:t>法定代表人授权书</w:t>
      </w:r>
    </w:p>
    <w:p w14:paraId="64388A71">
      <w:pPr>
        <w:widowControl/>
        <w:spacing w:line="360" w:lineRule="auto"/>
        <w:jc w:val="left"/>
        <w:rPr>
          <w:rFonts w:ascii="宋体" w:hAnsi="宋体" w:cs="宋体"/>
          <w:kern w:val="0"/>
          <w:szCs w:val="21"/>
        </w:rPr>
      </w:pPr>
    </w:p>
    <w:p w14:paraId="68240470">
      <w:pPr>
        <w:widowControl/>
        <w:spacing w:line="360" w:lineRule="auto"/>
        <w:jc w:val="left"/>
        <w:rPr>
          <w:rFonts w:ascii="宋体" w:hAnsi="宋体" w:cs="宋体"/>
          <w:kern w:val="0"/>
          <w:szCs w:val="21"/>
        </w:rPr>
      </w:pPr>
      <w:r>
        <w:rPr>
          <w:rFonts w:hint="eastAsia" w:ascii="宋体" w:hAnsi="宋体" w:cs="宋体"/>
          <w:kern w:val="0"/>
          <w:szCs w:val="21"/>
        </w:rPr>
        <w:t>致：江苏省设备成套股份有限公司</w:t>
      </w:r>
    </w:p>
    <w:p w14:paraId="48CB3266">
      <w:pPr>
        <w:widowControl/>
        <w:spacing w:line="360" w:lineRule="auto"/>
        <w:ind w:firstLine="420"/>
        <w:jc w:val="left"/>
        <w:rPr>
          <w:rFonts w:ascii="宋体" w:hAnsi="宋体" w:cs="宋体"/>
          <w:kern w:val="0"/>
          <w:szCs w:val="21"/>
        </w:rPr>
      </w:pPr>
      <w:r>
        <w:rPr>
          <w:rFonts w:hint="eastAsia" w:ascii="宋体" w:hAnsi="宋体" w:cs="宋体"/>
          <w:kern w:val="0"/>
          <w:szCs w:val="21"/>
        </w:rPr>
        <w:t>本授权书声明：注册于</w:t>
      </w:r>
      <w:r>
        <w:rPr>
          <w:rFonts w:hint="eastAsia" w:ascii="宋体" w:hAnsi="宋体" w:cs="宋体"/>
          <w:kern w:val="0"/>
          <w:szCs w:val="21"/>
          <w:u w:val="single"/>
        </w:rPr>
        <w:t>              </w:t>
      </w:r>
      <w:r>
        <w:rPr>
          <w:rFonts w:hint="eastAsia" w:ascii="宋体" w:hAnsi="宋体" w:cs="宋体"/>
          <w:kern w:val="0"/>
          <w:szCs w:val="21"/>
        </w:rPr>
        <w:t>（投标人住址）的</w:t>
      </w:r>
      <w:r>
        <w:rPr>
          <w:rFonts w:hint="eastAsia" w:ascii="宋体" w:hAnsi="宋体" w:cs="宋体"/>
          <w:kern w:val="0"/>
          <w:szCs w:val="21"/>
          <w:u w:val="single"/>
        </w:rPr>
        <w:t>           </w:t>
      </w:r>
      <w:r>
        <w:rPr>
          <w:rFonts w:hint="eastAsia" w:ascii="宋体" w:hAnsi="宋体" w:cs="宋体"/>
          <w:kern w:val="0"/>
          <w:szCs w:val="21"/>
        </w:rPr>
        <w:t>（投标人名称）法定代表人</w:t>
      </w:r>
      <w:r>
        <w:rPr>
          <w:rFonts w:hint="eastAsia" w:ascii="宋体" w:hAnsi="宋体" w:cs="宋体"/>
          <w:kern w:val="0"/>
          <w:szCs w:val="21"/>
          <w:u w:val="single"/>
        </w:rPr>
        <w:t>      </w:t>
      </w:r>
      <w:r>
        <w:rPr>
          <w:rFonts w:hint="eastAsia" w:ascii="宋体" w:hAnsi="宋体" w:cs="宋体"/>
          <w:kern w:val="0"/>
          <w:szCs w:val="21"/>
        </w:rPr>
        <w:t>（法定代表人姓名、职务）代表本公司授权在下面签字的</w:t>
      </w:r>
      <w:r>
        <w:rPr>
          <w:rFonts w:hint="eastAsia" w:ascii="宋体" w:hAnsi="宋体" w:cs="宋体"/>
          <w:kern w:val="0"/>
          <w:szCs w:val="21"/>
          <w:u w:val="single"/>
        </w:rPr>
        <w:t>        </w:t>
      </w:r>
      <w:r>
        <w:rPr>
          <w:rFonts w:hint="eastAsia" w:ascii="宋体" w:hAnsi="宋体" w:cs="宋体"/>
          <w:kern w:val="0"/>
          <w:szCs w:val="21"/>
        </w:rPr>
        <w:t>（投标人代表姓名、职务）为本公司的合法代理人，就贵方组织的</w:t>
      </w:r>
      <w:r>
        <w:rPr>
          <w:rFonts w:hint="eastAsia" w:ascii="宋体" w:hAnsi="宋体" w:cs="宋体"/>
          <w:kern w:val="0"/>
          <w:szCs w:val="21"/>
          <w:u w:val="single"/>
        </w:rPr>
        <w:t xml:space="preserve">           </w:t>
      </w:r>
      <w:r>
        <w:rPr>
          <w:rFonts w:hint="eastAsia" w:ascii="宋体" w:hAnsi="宋体" w:cs="宋体"/>
          <w:kern w:val="0"/>
          <w:szCs w:val="21"/>
        </w:rPr>
        <w:t>（项目名称），</w:t>
      </w:r>
      <w:r>
        <w:rPr>
          <w:rFonts w:hint="eastAsia" w:ascii="宋体" w:hAnsi="宋体" w:cs="宋体"/>
          <w:kern w:val="0"/>
          <w:szCs w:val="21"/>
          <w:u w:val="single"/>
        </w:rPr>
        <w:t>        </w:t>
      </w:r>
      <w:r>
        <w:rPr>
          <w:rFonts w:hint="eastAsia" w:ascii="宋体" w:hAnsi="宋体" w:cs="宋体"/>
          <w:kern w:val="0"/>
          <w:szCs w:val="21"/>
        </w:rPr>
        <w:t>（项目编号）投标，以本公司名义处理一切与之有关的事务。</w:t>
      </w:r>
    </w:p>
    <w:p w14:paraId="36595A9B">
      <w:pPr>
        <w:widowControl/>
        <w:spacing w:line="360" w:lineRule="auto"/>
        <w:jc w:val="left"/>
        <w:rPr>
          <w:rFonts w:ascii="宋体" w:hAnsi="宋体" w:cs="宋体"/>
          <w:kern w:val="0"/>
          <w:szCs w:val="21"/>
        </w:rPr>
      </w:pPr>
      <w:r>
        <w:rPr>
          <w:rFonts w:hint="eastAsia" w:ascii="宋体" w:hAnsi="宋体" w:cs="宋体"/>
          <w:kern w:val="0"/>
          <w:szCs w:val="21"/>
        </w:rPr>
        <w:t>    本授权书于    年  月  日签字生效，特此声明。</w:t>
      </w:r>
    </w:p>
    <w:p w14:paraId="1CF5C733">
      <w:pPr>
        <w:widowControl/>
        <w:spacing w:line="360" w:lineRule="auto"/>
        <w:ind w:firstLine="338" w:firstLineChars="161"/>
        <w:jc w:val="left"/>
        <w:rPr>
          <w:rFonts w:ascii="宋体" w:hAnsi="宋体" w:cs="宋体"/>
          <w:kern w:val="0"/>
          <w:szCs w:val="21"/>
        </w:rPr>
      </w:pPr>
      <w:r>
        <w:rPr>
          <w:rFonts w:hint="eastAsia" w:ascii="宋体" w:hAnsi="宋体" w:cs="宋体"/>
          <w:kern w:val="0"/>
          <w:szCs w:val="21"/>
        </w:rPr>
        <w:t>法定代表人签字或签章：</w:t>
      </w:r>
    </w:p>
    <w:p w14:paraId="1BE7AFAB">
      <w:pPr>
        <w:widowControl/>
        <w:spacing w:line="360" w:lineRule="auto"/>
        <w:ind w:firstLine="338" w:firstLineChars="161"/>
        <w:jc w:val="left"/>
        <w:rPr>
          <w:rFonts w:ascii="宋体" w:hAnsi="宋体" w:cs="宋体"/>
          <w:kern w:val="0"/>
          <w:szCs w:val="21"/>
        </w:rPr>
      </w:pPr>
      <w:r>
        <w:rPr>
          <w:rFonts w:hint="eastAsia" w:ascii="宋体" w:hAnsi="宋体" w:cs="宋体"/>
          <w:kern w:val="0"/>
          <w:szCs w:val="21"/>
        </w:rPr>
        <w:t>被授权人签字或签章：   </w:t>
      </w:r>
    </w:p>
    <w:p w14:paraId="224AF92E">
      <w:pPr>
        <w:widowControl/>
        <w:spacing w:line="360" w:lineRule="auto"/>
        <w:ind w:firstLine="338" w:firstLineChars="161"/>
        <w:jc w:val="left"/>
        <w:rPr>
          <w:rFonts w:ascii="宋体" w:hAnsi="宋体" w:cs="宋体"/>
          <w:kern w:val="0"/>
          <w:szCs w:val="21"/>
        </w:rPr>
      </w:pPr>
      <w:r>
        <w:rPr>
          <w:rFonts w:hint="eastAsia" w:ascii="宋体" w:hAnsi="宋体" w:cs="宋体"/>
          <w:kern w:val="0"/>
          <w:szCs w:val="21"/>
        </w:rPr>
        <w:t>供应商盖章：                </w:t>
      </w:r>
    </w:p>
    <w:p w14:paraId="31462D2F">
      <w:pPr>
        <w:widowControl/>
        <w:spacing w:line="360" w:lineRule="auto"/>
        <w:ind w:firstLine="338" w:firstLineChars="161"/>
        <w:jc w:val="left"/>
        <w:rPr>
          <w:rFonts w:ascii="宋体" w:hAnsi="宋体" w:cs="宋体"/>
          <w:kern w:val="0"/>
          <w:szCs w:val="21"/>
        </w:rPr>
      </w:pPr>
      <w:r>
        <w:rPr>
          <w:rFonts w:hint="eastAsia" w:ascii="宋体" w:hAnsi="宋体" w:cs="宋体"/>
          <w:kern w:val="0"/>
          <w:szCs w:val="21"/>
        </w:rPr>
        <w:t>日     期：        年    月    日</w:t>
      </w:r>
    </w:p>
    <w:p w14:paraId="6C4024E3">
      <w:pPr>
        <w:widowControl/>
        <w:spacing w:line="360" w:lineRule="auto"/>
        <w:ind w:firstLine="840" w:firstLineChars="400"/>
        <w:jc w:val="left"/>
        <w:rPr>
          <w:rFonts w:ascii="宋体" w:hAnsi="宋体" w:cs="宋体"/>
          <w:kern w:val="0"/>
          <w:szCs w:val="21"/>
        </w:rPr>
      </w:pPr>
    </w:p>
    <w:p w14:paraId="73D3F6DF">
      <w:pPr>
        <w:widowControl/>
        <w:shd w:val="clear" w:color="auto" w:fill="FFFFFF"/>
        <w:spacing w:line="360" w:lineRule="auto"/>
        <w:jc w:val="left"/>
        <w:rPr>
          <w:rFonts w:ascii="宋体" w:hAnsi="宋体" w:cs="宋体"/>
          <w:b/>
          <w:kern w:val="0"/>
          <w:szCs w:val="21"/>
        </w:rPr>
      </w:pPr>
      <w:r>
        <w:rPr>
          <w:rFonts w:hint="eastAsia" w:ascii="宋体" w:hAnsi="宋体" w:cs="宋体"/>
          <w:b/>
          <w:kern w:val="0"/>
          <w:szCs w:val="21"/>
        </w:rPr>
        <w:t>被授权人的身份证复印件:</w:t>
      </w:r>
    </w:p>
    <w:p w14:paraId="25B2C41F">
      <w:pPr>
        <w:widowControl/>
        <w:shd w:val="clear" w:color="auto" w:fill="FFFFFF"/>
        <w:spacing w:line="360" w:lineRule="auto"/>
        <w:jc w:val="left"/>
        <w:rPr>
          <w:rFonts w:ascii="宋体" w:hAnsi="宋体" w:cs="宋体"/>
          <w:b/>
          <w:kern w:val="0"/>
          <w:szCs w:val="21"/>
        </w:rPr>
      </w:pPr>
    </w:p>
    <w:p w14:paraId="561A9D85">
      <w:pPr>
        <w:widowControl/>
        <w:shd w:val="clear" w:color="auto" w:fill="FFFFFF"/>
        <w:spacing w:line="360" w:lineRule="auto"/>
        <w:jc w:val="left"/>
        <w:rPr>
          <w:rFonts w:ascii="宋体" w:hAnsi="宋体" w:cs="宋体"/>
          <w:b/>
          <w:kern w:val="0"/>
          <w:szCs w:val="21"/>
        </w:rPr>
      </w:pPr>
      <w:r>
        <w:rPr>
          <w:rFonts w:hint="eastAsia" w:ascii="宋体" w:hAnsi="宋体"/>
          <w:b/>
          <w:color w:val="000000" w:themeColor="text1"/>
          <w:szCs w:val="21"/>
          <w14:textFill>
            <w14:solidFill>
              <w14:schemeClr w14:val="tx1"/>
            </w14:solidFill>
          </w14:textFill>
        </w:rPr>
        <w:t>法定代表人</w:t>
      </w:r>
      <w:r>
        <w:rPr>
          <w:rFonts w:ascii="宋体" w:hAnsi="宋体"/>
          <w:b/>
          <w:color w:val="000000" w:themeColor="text1"/>
          <w:szCs w:val="21"/>
          <w14:textFill>
            <w14:solidFill>
              <w14:schemeClr w14:val="tx1"/>
            </w14:solidFill>
          </w14:textFill>
        </w:rPr>
        <w:t>身份证复印件</w:t>
      </w:r>
      <w:r>
        <w:rPr>
          <w:rFonts w:hint="eastAsia" w:ascii="宋体" w:hAnsi="宋体"/>
          <w:b/>
          <w:color w:val="000000" w:themeColor="text1"/>
          <w:szCs w:val="21"/>
          <w14:textFill>
            <w14:solidFill>
              <w14:schemeClr w14:val="tx1"/>
            </w14:solidFill>
          </w14:textFill>
        </w:rPr>
        <w:t>：</w:t>
      </w:r>
    </w:p>
    <w:p w14:paraId="5619E35D">
      <w:pPr>
        <w:autoSpaceDE w:val="0"/>
        <w:autoSpaceDN w:val="0"/>
        <w:adjustRightInd w:val="0"/>
        <w:spacing w:line="360" w:lineRule="auto"/>
        <w:rPr>
          <w:rFonts w:ascii="宋体" w:hAnsi="宋体" w:cs="宋体"/>
        </w:rPr>
      </w:pPr>
      <w:r>
        <w:rPr>
          <w:rFonts w:hint="eastAsia" w:ascii="宋体" w:hAnsi="宋体" w:cs="宋体"/>
          <w:b/>
          <w:bCs/>
          <w:kern w:val="0"/>
          <w:szCs w:val="21"/>
        </w:rPr>
        <w:br w:type="page"/>
      </w:r>
      <w:bookmarkStart w:id="12" w:name="_Toc26810"/>
      <w:r>
        <w:rPr>
          <w:rFonts w:hint="eastAsia" w:ascii="宋体" w:hAnsi="宋体" w:cs="宋体"/>
          <w:b/>
          <w:bCs/>
          <w:kern w:val="0"/>
          <w:szCs w:val="21"/>
          <w:lang w:val="zh-CN"/>
        </w:rPr>
        <w:t>附件三、</w:t>
      </w:r>
      <w:bookmarkEnd w:id="12"/>
      <w:r>
        <w:rPr>
          <w:rFonts w:hint="eastAsia" w:ascii="宋体" w:hAnsi="宋体" w:cs="宋体"/>
          <w:b/>
          <w:bCs/>
          <w:kern w:val="0"/>
          <w:szCs w:val="21"/>
        </w:rPr>
        <w:t>开标一览表</w:t>
      </w:r>
    </w:p>
    <w:p w14:paraId="3A343DC7">
      <w:pPr>
        <w:autoSpaceDE w:val="0"/>
        <w:autoSpaceDN w:val="0"/>
        <w:adjustRightInd w:val="0"/>
        <w:rPr>
          <w:rFonts w:ascii="宋体" w:hAnsi="宋体" w:cs="宋体"/>
          <w:b/>
          <w:bCs/>
          <w:lang w:val="zh-CN"/>
        </w:rPr>
      </w:pPr>
    </w:p>
    <w:p w14:paraId="0132D0B7">
      <w:pPr>
        <w:jc w:val="center"/>
        <w:rPr>
          <w:rFonts w:ascii="宋体" w:hAnsi="宋体" w:cs="宋体"/>
          <w:b/>
          <w:sz w:val="36"/>
          <w:szCs w:val="36"/>
        </w:rPr>
      </w:pPr>
      <w:r>
        <w:rPr>
          <w:rFonts w:hint="eastAsia" w:ascii="宋体" w:hAnsi="宋体" w:cs="宋体"/>
          <w:b/>
          <w:sz w:val="36"/>
          <w:szCs w:val="36"/>
        </w:rPr>
        <w:t>开标一览表</w:t>
      </w:r>
    </w:p>
    <w:p w14:paraId="157DB2A8">
      <w:pPr>
        <w:widowControl/>
        <w:spacing w:line="360" w:lineRule="auto"/>
        <w:jc w:val="center"/>
        <w:rPr>
          <w:rFonts w:ascii="宋体" w:hAnsi="宋体" w:cs="宋体"/>
          <w:kern w:val="0"/>
          <w:sz w:val="24"/>
        </w:rPr>
      </w:pPr>
      <w:r>
        <w:rPr>
          <w:rFonts w:hint="eastAsia" w:ascii="宋体" w:hAnsi="宋体" w:cs="宋体"/>
          <w:lang w:val="zh-CN"/>
        </w:rPr>
        <w:t xml:space="preserve">               </w:t>
      </w:r>
    </w:p>
    <w:p w14:paraId="123B9706">
      <w:pPr>
        <w:pStyle w:val="5"/>
        <w:spacing w:line="440" w:lineRule="exact"/>
        <w:ind w:firstLine="0"/>
        <w:rPr>
          <w:rFonts w:ascii="宋体" w:hAnsi="宋体" w:cs="宋体"/>
          <w:sz w:val="21"/>
          <w:szCs w:val="21"/>
        </w:rPr>
      </w:pPr>
      <w:r>
        <w:rPr>
          <w:rFonts w:hint="eastAsia" w:ascii="宋体" w:hAnsi="宋体" w:cs="宋体"/>
          <w:sz w:val="21"/>
          <w:szCs w:val="21"/>
        </w:rPr>
        <w:t>项目名称：                项目编号：</w:t>
      </w:r>
    </w:p>
    <w:tbl>
      <w:tblPr>
        <w:tblStyle w:val="50"/>
        <w:tblW w:w="899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369"/>
        <w:gridCol w:w="7625"/>
      </w:tblGrid>
      <w:tr w14:paraId="52B9B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198" w:hRule="atLeast"/>
        </w:trPr>
        <w:tc>
          <w:tcPr>
            <w:tcW w:w="1369" w:type="dxa"/>
            <w:vAlign w:val="center"/>
          </w:tcPr>
          <w:p w14:paraId="131D84CE">
            <w:pPr>
              <w:pStyle w:val="5"/>
              <w:spacing w:line="440" w:lineRule="exact"/>
              <w:ind w:firstLine="0"/>
              <w:rPr>
                <w:rFonts w:ascii="宋体" w:hAnsi="宋体" w:cs="宋体"/>
                <w:sz w:val="21"/>
                <w:szCs w:val="21"/>
              </w:rPr>
            </w:pPr>
            <w:r>
              <w:rPr>
                <w:rFonts w:hint="eastAsia" w:ascii="宋体" w:hAnsi="宋体" w:cs="Arial"/>
                <w:sz w:val="21"/>
                <w:szCs w:val="21"/>
              </w:rPr>
              <w:t>投标报价</w:t>
            </w:r>
          </w:p>
        </w:tc>
        <w:tc>
          <w:tcPr>
            <w:tcW w:w="7625" w:type="dxa"/>
            <w:vAlign w:val="center"/>
          </w:tcPr>
          <w:p w14:paraId="6E7C96D5">
            <w:pPr>
              <w:pStyle w:val="5"/>
              <w:spacing w:line="440" w:lineRule="exact"/>
              <w:ind w:firstLine="0"/>
              <w:jc w:val="left"/>
              <w:rPr>
                <w:rFonts w:ascii="宋体" w:hAnsi="宋体" w:cs="宋体"/>
                <w:sz w:val="21"/>
                <w:szCs w:val="21"/>
              </w:rPr>
            </w:pPr>
            <w:r>
              <w:rPr>
                <w:rFonts w:hint="eastAsia" w:ascii="宋体" w:hAnsi="宋体" w:cs="宋体"/>
                <w:sz w:val="21"/>
                <w:szCs w:val="21"/>
              </w:rPr>
              <w:t>小写：      万元</w:t>
            </w:r>
          </w:p>
          <w:p w14:paraId="3CB35038">
            <w:pPr>
              <w:pStyle w:val="5"/>
              <w:spacing w:line="440" w:lineRule="exact"/>
              <w:ind w:firstLine="0"/>
              <w:jc w:val="left"/>
              <w:rPr>
                <w:rFonts w:ascii="宋体" w:hAnsi="宋体" w:cs="宋体"/>
                <w:sz w:val="21"/>
                <w:szCs w:val="21"/>
              </w:rPr>
            </w:pPr>
          </w:p>
          <w:p w14:paraId="461946B1">
            <w:pPr>
              <w:widowControl/>
              <w:textAlignment w:val="center"/>
              <w:rPr>
                <w:rFonts w:ascii="宋体" w:hAnsi="宋体" w:cs="宋体"/>
                <w:b/>
                <w:bCs/>
                <w:szCs w:val="21"/>
              </w:rPr>
            </w:pPr>
            <w:r>
              <w:rPr>
                <w:rFonts w:hint="eastAsia" w:ascii="宋体" w:hAnsi="宋体" w:cs="宋体"/>
                <w:b/>
                <w:bCs/>
                <w:szCs w:val="21"/>
              </w:rPr>
              <w:t xml:space="preserve">大写：   </w:t>
            </w:r>
          </w:p>
        </w:tc>
      </w:tr>
      <w:tr w14:paraId="37FD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29" w:hRule="atLeast"/>
        </w:trPr>
        <w:tc>
          <w:tcPr>
            <w:tcW w:w="1369" w:type="dxa"/>
            <w:vAlign w:val="center"/>
          </w:tcPr>
          <w:p w14:paraId="3AFB45B6">
            <w:pPr>
              <w:pStyle w:val="5"/>
              <w:spacing w:line="440" w:lineRule="exact"/>
              <w:ind w:firstLine="0"/>
              <w:jc w:val="center"/>
              <w:rPr>
                <w:rFonts w:ascii="宋体" w:hAnsi="宋体" w:cs="宋体"/>
                <w:sz w:val="21"/>
                <w:szCs w:val="21"/>
              </w:rPr>
            </w:pPr>
            <w:r>
              <w:rPr>
                <w:rFonts w:hint="eastAsia" w:ascii="宋体" w:hAnsi="宋体" w:cs="宋体"/>
                <w:sz w:val="21"/>
                <w:szCs w:val="21"/>
              </w:rPr>
              <w:t>服务时间/交付使用时间</w:t>
            </w:r>
          </w:p>
        </w:tc>
        <w:tc>
          <w:tcPr>
            <w:tcW w:w="7625" w:type="dxa"/>
            <w:vAlign w:val="center"/>
          </w:tcPr>
          <w:p w14:paraId="54AE263E">
            <w:pPr>
              <w:pStyle w:val="5"/>
              <w:tabs>
                <w:tab w:val="left" w:pos="3624"/>
              </w:tabs>
              <w:spacing w:line="440" w:lineRule="exact"/>
              <w:ind w:firstLine="474" w:firstLineChars="225"/>
              <w:rPr>
                <w:rFonts w:ascii="宋体" w:hAnsi="宋体" w:cs="宋体"/>
                <w:sz w:val="21"/>
                <w:szCs w:val="21"/>
                <w:u w:val="single"/>
              </w:rPr>
            </w:pPr>
            <w:r>
              <w:rPr>
                <w:rFonts w:hint="eastAsia" w:ascii="宋体" w:hAnsi="宋体" w:cs="宋体"/>
                <w:sz w:val="21"/>
                <w:szCs w:val="21"/>
                <w:u w:val="single"/>
              </w:rPr>
              <w:t>满足招标文件要求。</w:t>
            </w:r>
          </w:p>
        </w:tc>
      </w:tr>
      <w:tr w14:paraId="35848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29" w:hRule="atLeast"/>
        </w:trPr>
        <w:tc>
          <w:tcPr>
            <w:tcW w:w="1369" w:type="dxa"/>
            <w:vAlign w:val="center"/>
          </w:tcPr>
          <w:p w14:paraId="2333B7E0">
            <w:pPr>
              <w:pStyle w:val="5"/>
              <w:spacing w:line="440" w:lineRule="exact"/>
              <w:ind w:firstLine="0"/>
              <w:jc w:val="center"/>
              <w:rPr>
                <w:rFonts w:ascii="宋体" w:hAnsi="宋体" w:cs="宋体"/>
                <w:sz w:val="21"/>
                <w:szCs w:val="21"/>
              </w:rPr>
            </w:pPr>
            <w:r>
              <w:rPr>
                <w:rFonts w:hint="eastAsia" w:ascii="宋体" w:hAnsi="宋体" w:cs="宋体"/>
                <w:sz w:val="21"/>
                <w:szCs w:val="21"/>
              </w:rPr>
              <w:t>投标标的是否全部由小微企业（含视同小微企业）提供</w:t>
            </w:r>
          </w:p>
        </w:tc>
        <w:tc>
          <w:tcPr>
            <w:tcW w:w="7625" w:type="dxa"/>
            <w:vAlign w:val="center"/>
          </w:tcPr>
          <w:p w14:paraId="1221CB65">
            <w:pPr>
              <w:pStyle w:val="5"/>
              <w:tabs>
                <w:tab w:val="left" w:pos="3624"/>
              </w:tabs>
              <w:spacing w:line="440" w:lineRule="exact"/>
              <w:ind w:firstLine="474" w:firstLineChars="225"/>
              <w:rPr>
                <w:rFonts w:ascii="宋体" w:hAnsi="宋体" w:cs="宋体"/>
                <w:sz w:val="21"/>
                <w:szCs w:val="21"/>
                <w:u w:val="single"/>
              </w:rPr>
            </w:pPr>
            <w:r>
              <w:rPr>
                <w:rFonts w:hint="eastAsia" w:ascii="宋体" w:hAnsi="宋体" w:cs="宋体"/>
                <w:sz w:val="21"/>
                <w:szCs w:val="21"/>
              </w:rPr>
              <w:t>（</w:t>
            </w:r>
            <w:r>
              <w:rPr>
                <w:rFonts w:hint="eastAsia" w:ascii="宋体" w:hAnsi="宋体" w:cs="宋体"/>
                <w:sz w:val="21"/>
                <w:szCs w:val="21"/>
                <w:lang w:val="zh-CN"/>
              </w:rPr>
              <w:t>填写“是”或“否</w:t>
            </w:r>
            <w:r>
              <w:rPr>
                <w:rFonts w:hint="eastAsia" w:ascii="宋体" w:hAnsi="宋体" w:cs="宋体"/>
                <w:sz w:val="21"/>
                <w:szCs w:val="21"/>
              </w:rPr>
              <w:t>）</w:t>
            </w:r>
          </w:p>
        </w:tc>
      </w:tr>
      <w:tr w14:paraId="5714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206" w:hRule="atLeast"/>
        </w:trPr>
        <w:tc>
          <w:tcPr>
            <w:tcW w:w="1369" w:type="dxa"/>
            <w:vAlign w:val="center"/>
          </w:tcPr>
          <w:p w14:paraId="38F9D433">
            <w:pPr>
              <w:pStyle w:val="5"/>
              <w:ind w:firstLine="0"/>
              <w:jc w:val="center"/>
              <w:rPr>
                <w:rFonts w:ascii="宋体" w:hAnsi="宋体" w:cs="宋体"/>
                <w:sz w:val="21"/>
                <w:szCs w:val="21"/>
              </w:rPr>
            </w:pPr>
            <w:r>
              <w:rPr>
                <w:rFonts w:hint="eastAsia" w:ascii="宋体" w:hAnsi="宋体" w:cs="宋体"/>
                <w:sz w:val="21"/>
                <w:szCs w:val="21"/>
              </w:rPr>
              <w:t>备注</w:t>
            </w:r>
          </w:p>
        </w:tc>
        <w:tc>
          <w:tcPr>
            <w:tcW w:w="7625" w:type="dxa"/>
            <w:vAlign w:val="center"/>
          </w:tcPr>
          <w:p w14:paraId="634E8A15">
            <w:pPr>
              <w:pStyle w:val="5"/>
              <w:ind w:firstLine="474" w:firstLineChars="225"/>
              <w:rPr>
                <w:rFonts w:ascii="宋体" w:hAnsi="宋体" w:cs="宋体"/>
                <w:sz w:val="21"/>
                <w:szCs w:val="21"/>
              </w:rPr>
            </w:pPr>
          </w:p>
        </w:tc>
      </w:tr>
    </w:tbl>
    <w:p w14:paraId="3D2EE96B">
      <w:pPr>
        <w:pStyle w:val="5"/>
        <w:spacing w:line="440" w:lineRule="exact"/>
        <w:ind w:firstLine="0"/>
        <w:rPr>
          <w:rFonts w:ascii="宋体" w:hAnsi="宋体" w:cs="宋体"/>
          <w:sz w:val="21"/>
          <w:szCs w:val="21"/>
        </w:rPr>
      </w:pPr>
    </w:p>
    <w:p w14:paraId="4BBD7C52">
      <w:pPr>
        <w:widowControl/>
        <w:shd w:val="clear" w:color="auto" w:fill="FFFFFF"/>
        <w:spacing w:line="360" w:lineRule="auto"/>
        <w:jc w:val="left"/>
        <w:rPr>
          <w:rFonts w:ascii="宋体" w:hAnsi="宋体" w:cs="宋体"/>
          <w:kern w:val="0"/>
          <w:szCs w:val="21"/>
        </w:rPr>
      </w:pPr>
      <w:bookmarkStart w:id="13" w:name="_Toc12264"/>
      <w:r>
        <w:rPr>
          <w:rFonts w:hint="eastAsia" w:ascii="宋体" w:hAnsi="宋体" w:cs="宋体"/>
          <w:kern w:val="0"/>
          <w:szCs w:val="21"/>
        </w:rPr>
        <w:t>投标单位（盖章）：</w:t>
      </w:r>
      <w:r>
        <w:rPr>
          <w:rFonts w:hint="eastAsia" w:ascii="宋体" w:hAnsi="宋体" w:cs="宋体"/>
          <w:kern w:val="0"/>
          <w:szCs w:val="21"/>
          <w:u w:val="single"/>
        </w:rPr>
        <w:t>                             </w:t>
      </w:r>
      <w:r>
        <w:rPr>
          <w:rFonts w:hint="eastAsia" w:ascii="宋体" w:hAnsi="宋体" w:cs="宋体"/>
          <w:kern w:val="0"/>
          <w:szCs w:val="21"/>
        </w:rPr>
        <w:t xml:space="preserve"> </w:t>
      </w:r>
    </w:p>
    <w:p w14:paraId="3F573672">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法定代表人或授权代表（签字或签章）：</w:t>
      </w:r>
      <w:r>
        <w:rPr>
          <w:rFonts w:hint="eastAsia" w:ascii="宋体" w:hAnsi="宋体" w:cs="宋体"/>
          <w:kern w:val="0"/>
          <w:szCs w:val="21"/>
          <w:u w:val="single"/>
        </w:rPr>
        <w:t>                  </w:t>
      </w:r>
    </w:p>
    <w:p w14:paraId="0FD09965">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14:paraId="50997355">
      <w:pPr>
        <w:widowControl/>
        <w:numPr>
          <w:ilvl w:val="0"/>
          <w:numId w:val="6"/>
        </w:numPr>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本项目仅接受一个价格，不得填报有选择性报价方案。如有优惠条款须注明，但不得影响报价，影响项目履约交付。</w:t>
      </w:r>
    </w:p>
    <w:p w14:paraId="29EA7433">
      <w:pPr>
        <w:widowControl/>
        <w:shd w:val="clear" w:color="auto" w:fill="FFFFFF"/>
        <w:spacing w:line="360" w:lineRule="auto"/>
        <w:ind w:firstLine="420"/>
        <w:jc w:val="left"/>
        <w:rPr>
          <w:rFonts w:ascii="宋体" w:hAnsi="宋体" w:cs="宋体"/>
          <w:b/>
          <w:bCs/>
          <w:kern w:val="0"/>
          <w:szCs w:val="21"/>
        </w:rPr>
      </w:pPr>
      <w:r>
        <w:rPr>
          <w:rFonts w:hint="eastAsia" w:ascii="宋体" w:hAnsi="宋体" w:cs="宋体"/>
          <w:b/>
          <w:bCs/>
          <w:kern w:val="0"/>
          <w:szCs w:val="21"/>
        </w:rPr>
        <w:t>2、</w:t>
      </w:r>
      <w:r>
        <w:rPr>
          <w:rFonts w:hint="eastAsia" w:ascii="宋体" w:hAnsi="宋体" w:cs="宋体"/>
          <w:b/>
          <w:bCs/>
          <w:szCs w:val="21"/>
        </w:rPr>
        <w:t>“投标标的是否全部由小微企业提供</w:t>
      </w:r>
      <w:r>
        <w:rPr>
          <w:rFonts w:hint="eastAsia" w:ascii="宋体" w:hAnsi="宋体" w:cs="宋体"/>
          <w:b/>
          <w:bCs/>
          <w:szCs w:val="21"/>
          <w:lang w:val="zh-CN"/>
        </w:rPr>
        <w:t>”栏内填写“是”或“否”。如填写“是”，</w:t>
      </w:r>
      <w:r>
        <w:rPr>
          <w:rFonts w:hint="eastAsia" w:ascii="宋体" w:hAnsi="宋体" w:cs="宋体"/>
          <w:b/>
          <w:bCs/>
          <w:szCs w:val="21"/>
        </w:rPr>
        <w:t>投标人应按招标文件要求提供《中小企业声明函》、《残疾人福利性单位声明函》、《属于监狱企业的证明文件》。如未按要求提供、填写，不享受价格扣除。</w:t>
      </w:r>
    </w:p>
    <w:p w14:paraId="227886B8">
      <w:pPr>
        <w:pStyle w:val="19"/>
      </w:pPr>
    </w:p>
    <w:p w14:paraId="04D5118C">
      <w:pPr>
        <w:widowControl/>
        <w:spacing w:line="360" w:lineRule="auto"/>
        <w:jc w:val="left"/>
        <w:rPr>
          <w:rFonts w:ascii="宋体" w:hAnsi="宋体" w:cs="宋体"/>
          <w:b/>
          <w:bCs/>
          <w:kern w:val="0"/>
          <w:szCs w:val="21"/>
          <w:lang w:val="zh-CN"/>
        </w:rPr>
      </w:pPr>
      <w:r>
        <w:rPr>
          <w:rFonts w:hint="eastAsia" w:ascii="宋体" w:hAnsi="宋体" w:cs="宋体"/>
          <w:b/>
          <w:bCs/>
          <w:kern w:val="0"/>
          <w:szCs w:val="21"/>
          <w:lang w:val="zh-CN"/>
        </w:rPr>
        <w:br w:type="page"/>
      </w:r>
    </w:p>
    <w:bookmarkEnd w:id="13"/>
    <w:p w14:paraId="7D0ECD05">
      <w:pPr>
        <w:widowControl/>
        <w:shd w:val="clear" w:color="auto" w:fill="FFFFFF"/>
        <w:spacing w:line="360" w:lineRule="auto"/>
        <w:jc w:val="left"/>
        <w:rPr>
          <w:rFonts w:ascii="宋体" w:hAnsi="宋体" w:cs="宋体"/>
          <w:b/>
          <w:bCs/>
          <w:kern w:val="0"/>
          <w:szCs w:val="21"/>
          <w:lang w:val="zh-CN"/>
        </w:rPr>
      </w:pPr>
      <w:r>
        <w:rPr>
          <w:rFonts w:hint="eastAsia" w:ascii="宋体" w:hAnsi="宋体" w:cs="宋体"/>
          <w:b/>
          <w:bCs/>
          <w:kern w:val="0"/>
          <w:szCs w:val="21"/>
        </w:rPr>
        <w:t>附表</w:t>
      </w:r>
      <w:r>
        <w:rPr>
          <w:rFonts w:hint="eastAsia" w:ascii="宋体" w:hAnsi="宋体" w:cs="宋体"/>
          <w:b/>
          <w:bCs/>
          <w:kern w:val="0"/>
          <w:szCs w:val="21"/>
          <w:lang w:val="zh-CN"/>
        </w:rPr>
        <w:t>：分项报价表格式（</w:t>
      </w:r>
      <w:r>
        <w:rPr>
          <w:rFonts w:hint="eastAsia" w:ascii="宋体" w:hAnsi="宋体" w:cs="宋体"/>
          <w:b/>
          <w:bCs/>
          <w:kern w:val="0"/>
          <w:szCs w:val="21"/>
        </w:rPr>
        <w:t>如需要</w:t>
      </w:r>
      <w:r>
        <w:rPr>
          <w:rFonts w:hint="eastAsia" w:ascii="宋体" w:hAnsi="宋体" w:cs="宋体"/>
          <w:b/>
          <w:bCs/>
          <w:kern w:val="0"/>
          <w:szCs w:val="21"/>
          <w:lang w:val="zh-CN"/>
        </w:rPr>
        <w:t>）</w:t>
      </w:r>
    </w:p>
    <w:p w14:paraId="3BDC3C9E">
      <w:pPr>
        <w:widowControl/>
        <w:adjustRightInd w:val="0"/>
        <w:spacing w:line="240" w:lineRule="atLeast"/>
        <w:jc w:val="left"/>
        <w:rPr>
          <w:rFonts w:ascii="宋体" w:hAnsi="宋体" w:cs="宋体"/>
          <w:b/>
          <w:bCs/>
          <w:kern w:val="0"/>
          <w:lang w:val="zh-CN"/>
        </w:rPr>
      </w:pPr>
    </w:p>
    <w:p w14:paraId="0B0E405C">
      <w:pPr>
        <w:widowControl/>
        <w:shd w:val="clear" w:color="auto" w:fill="FFFFFF"/>
        <w:spacing w:line="360" w:lineRule="auto"/>
        <w:jc w:val="center"/>
        <w:rPr>
          <w:rFonts w:ascii="宋体" w:hAnsi="宋体" w:cs="宋体"/>
          <w:b/>
          <w:kern w:val="0"/>
          <w:sz w:val="36"/>
          <w:szCs w:val="36"/>
        </w:rPr>
      </w:pPr>
      <w:r>
        <w:rPr>
          <w:rFonts w:hint="eastAsia" w:ascii="宋体" w:hAnsi="宋体" w:cs="宋体"/>
          <w:b/>
          <w:kern w:val="0"/>
          <w:sz w:val="36"/>
          <w:szCs w:val="36"/>
        </w:rPr>
        <w:t>分项报价表</w:t>
      </w:r>
    </w:p>
    <w:p w14:paraId="3CC7BD6C">
      <w:pPr>
        <w:widowControl/>
        <w:shd w:val="clear" w:color="auto" w:fill="FFFFFF"/>
        <w:spacing w:line="360" w:lineRule="auto"/>
        <w:jc w:val="center"/>
        <w:rPr>
          <w:rFonts w:ascii="宋体" w:hAnsi="宋体" w:cs="宋体"/>
          <w:b/>
          <w:kern w:val="0"/>
          <w:sz w:val="36"/>
          <w:szCs w:val="36"/>
        </w:rPr>
      </w:pPr>
      <w:r>
        <w:rPr>
          <w:rFonts w:hint="eastAsia" w:ascii="宋体" w:hAnsi="宋体" w:cs="宋体"/>
          <w:b/>
          <w:bCs/>
          <w:kern w:val="0"/>
          <w:szCs w:val="21"/>
          <w:lang w:val="zh-CN"/>
        </w:rPr>
        <w:t>（如果有，格式自拟）</w:t>
      </w:r>
    </w:p>
    <w:p w14:paraId="55BAB452">
      <w:pPr>
        <w:widowControl/>
        <w:shd w:val="clear" w:color="auto" w:fill="FFFFFF"/>
        <w:spacing w:line="360" w:lineRule="auto"/>
        <w:jc w:val="left"/>
        <w:rPr>
          <w:rFonts w:ascii="宋体" w:hAnsi="宋体" w:cs="宋体"/>
          <w:kern w:val="0"/>
        </w:rPr>
      </w:pPr>
    </w:p>
    <w:p w14:paraId="76A490B1">
      <w:pPr>
        <w:widowControl/>
        <w:shd w:val="clear" w:color="auto" w:fill="FFFFFF"/>
        <w:spacing w:line="360" w:lineRule="auto"/>
        <w:jc w:val="left"/>
        <w:rPr>
          <w:rFonts w:ascii="宋体" w:hAnsi="宋体" w:cs="宋体"/>
          <w:kern w:val="0"/>
          <w:szCs w:val="21"/>
        </w:rPr>
      </w:pPr>
    </w:p>
    <w:p w14:paraId="224FCD84">
      <w:pPr>
        <w:widowControl/>
        <w:shd w:val="clear" w:color="auto" w:fill="FFFFFF"/>
        <w:spacing w:line="360" w:lineRule="auto"/>
        <w:jc w:val="left"/>
        <w:rPr>
          <w:rFonts w:ascii="宋体" w:hAnsi="宋体" w:cs="宋体"/>
          <w:kern w:val="0"/>
          <w:szCs w:val="21"/>
        </w:rPr>
      </w:pPr>
    </w:p>
    <w:p w14:paraId="6A8BF420">
      <w:pPr>
        <w:widowControl/>
        <w:shd w:val="clear" w:color="auto" w:fill="FFFFFF"/>
        <w:spacing w:line="360" w:lineRule="auto"/>
        <w:jc w:val="left"/>
        <w:rPr>
          <w:rFonts w:ascii="宋体" w:hAnsi="宋体" w:cs="宋体"/>
          <w:kern w:val="0"/>
          <w:szCs w:val="21"/>
        </w:rPr>
      </w:pPr>
    </w:p>
    <w:p w14:paraId="16217227">
      <w:pPr>
        <w:widowControl/>
        <w:shd w:val="clear" w:color="auto" w:fill="FFFFFF"/>
        <w:spacing w:line="360" w:lineRule="auto"/>
        <w:jc w:val="left"/>
        <w:rPr>
          <w:rFonts w:ascii="宋体" w:hAnsi="宋体" w:cs="宋体"/>
          <w:kern w:val="0"/>
          <w:szCs w:val="21"/>
        </w:rPr>
      </w:pPr>
    </w:p>
    <w:p w14:paraId="1C2505AE">
      <w:pPr>
        <w:widowControl/>
        <w:shd w:val="clear" w:color="auto" w:fill="FFFFFF"/>
        <w:spacing w:line="360" w:lineRule="auto"/>
        <w:jc w:val="left"/>
        <w:rPr>
          <w:rFonts w:ascii="宋体" w:hAnsi="宋体" w:cs="宋体"/>
          <w:kern w:val="0"/>
          <w:szCs w:val="21"/>
        </w:rPr>
      </w:pPr>
    </w:p>
    <w:p w14:paraId="5357B0F0">
      <w:pPr>
        <w:widowControl/>
        <w:shd w:val="clear" w:color="auto" w:fill="FFFFFF"/>
        <w:spacing w:line="360" w:lineRule="auto"/>
        <w:jc w:val="left"/>
        <w:rPr>
          <w:rFonts w:ascii="宋体" w:hAnsi="宋体" w:cs="宋体"/>
          <w:kern w:val="0"/>
          <w:szCs w:val="21"/>
        </w:rPr>
      </w:pPr>
    </w:p>
    <w:p w14:paraId="662BC106">
      <w:pPr>
        <w:widowControl/>
        <w:shd w:val="clear" w:color="auto" w:fill="FFFFFF"/>
        <w:spacing w:line="360" w:lineRule="auto"/>
        <w:jc w:val="left"/>
        <w:rPr>
          <w:rFonts w:ascii="宋体" w:hAnsi="宋体" w:cs="宋体"/>
          <w:kern w:val="0"/>
          <w:szCs w:val="21"/>
        </w:rPr>
      </w:pPr>
    </w:p>
    <w:p w14:paraId="3798FB37">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投标单位（盖章）：</w:t>
      </w:r>
      <w:r>
        <w:rPr>
          <w:rFonts w:hint="eastAsia" w:ascii="宋体" w:hAnsi="宋体" w:cs="宋体"/>
          <w:kern w:val="0"/>
          <w:szCs w:val="21"/>
          <w:u w:val="single"/>
        </w:rPr>
        <w:t>                             </w:t>
      </w:r>
      <w:r>
        <w:rPr>
          <w:rFonts w:hint="eastAsia" w:ascii="宋体" w:hAnsi="宋体" w:cs="宋体"/>
          <w:kern w:val="0"/>
          <w:szCs w:val="21"/>
        </w:rPr>
        <w:t xml:space="preserve"> </w:t>
      </w:r>
    </w:p>
    <w:p w14:paraId="02EA4660">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法定代表人或授权代表（签字或签章）：</w:t>
      </w:r>
      <w:r>
        <w:rPr>
          <w:rFonts w:hint="eastAsia" w:ascii="宋体" w:hAnsi="宋体" w:cs="宋体"/>
          <w:kern w:val="0"/>
          <w:szCs w:val="21"/>
          <w:u w:val="single"/>
        </w:rPr>
        <w:t>                 </w:t>
      </w:r>
    </w:p>
    <w:p w14:paraId="709A78BC">
      <w:pPr>
        <w:rPr>
          <w:rFonts w:ascii="宋体" w:hAnsi="宋体" w:cs="宋体"/>
          <w:b/>
          <w:bCs/>
          <w:kern w:val="0"/>
          <w:szCs w:val="21"/>
        </w:rPr>
      </w:pPr>
      <w:r>
        <w:rPr>
          <w:rFonts w:hint="eastAsia" w:ascii="宋体" w:hAnsi="宋体" w:cs="宋体"/>
          <w:b/>
          <w:bCs/>
          <w:kern w:val="0"/>
          <w:szCs w:val="21"/>
        </w:rPr>
        <w:br w:type="page"/>
      </w:r>
    </w:p>
    <w:p w14:paraId="7116B66A">
      <w:pPr>
        <w:widowControl/>
        <w:spacing w:line="360" w:lineRule="auto"/>
        <w:jc w:val="left"/>
        <w:rPr>
          <w:rFonts w:ascii="宋体" w:hAnsi="宋体" w:cs="宋体"/>
          <w:kern w:val="0"/>
          <w:szCs w:val="21"/>
        </w:rPr>
      </w:pPr>
      <w:r>
        <w:rPr>
          <w:rFonts w:hint="eastAsia" w:ascii="宋体" w:hAnsi="宋体" w:cs="宋体"/>
          <w:b/>
          <w:bCs/>
          <w:kern w:val="0"/>
          <w:szCs w:val="21"/>
        </w:rPr>
        <w:t>附件四、采购需求偏离表格式</w:t>
      </w:r>
    </w:p>
    <w:p w14:paraId="0F60E37E">
      <w:pPr>
        <w:widowControl/>
        <w:spacing w:line="360" w:lineRule="auto"/>
        <w:ind w:left="435"/>
        <w:jc w:val="left"/>
        <w:rPr>
          <w:rFonts w:ascii="宋体" w:hAnsi="宋体" w:cs="宋体"/>
          <w:kern w:val="0"/>
          <w:szCs w:val="21"/>
        </w:rPr>
      </w:pPr>
      <w:r>
        <w:rPr>
          <w:rFonts w:hint="eastAsia" w:ascii="宋体" w:hAnsi="宋体" w:cs="宋体"/>
          <w:kern w:val="0"/>
          <w:sz w:val="24"/>
        </w:rPr>
        <w:t> </w:t>
      </w:r>
    </w:p>
    <w:p w14:paraId="13040A4E">
      <w:pPr>
        <w:widowControl/>
        <w:spacing w:line="360" w:lineRule="auto"/>
        <w:ind w:left="420"/>
        <w:jc w:val="center"/>
        <w:rPr>
          <w:rFonts w:ascii="宋体" w:hAnsi="宋体" w:cs="宋体"/>
          <w:b/>
          <w:kern w:val="0"/>
          <w:szCs w:val="21"/>
        </w:rPr>
      </w:pPr>
      <w:r>
        <w:rPr>
          <w:rFonts w:hint="eastAsia" w:ascii="宋体" w:hAnsi="宋体" w:cs="宋体"/>
          <w:b/>
          <w:kern w:val="0"/>
          <w:sz w:val="36"/>
          <w:szCs w:val="36"/>
        </w:rPr>
        <w:t>采购需求偏离表</w:t>
      </w:r>
    </w:p>
    <w:p w14:paraId="1D0C0849">
      <w:pPr>
        <w:widowControl/>
        <w:spacing w:line="360" w:lineRule="auto"/>
        <w:jc w:val="left"/>
        <w:rPr>
          <w:rFonts w:ascii="宋体" w:hAnsi="宋体" w:cs="宋体"/>
          <w:kern w:val="0"/>
          <w:szCs w:val="21"/>
        </w:rPr>
      </w:pPr>
      <w:r>
        <w:rPr>
          <w:rFonts w:hint="eastAsia" w:ascii="宋体" w:hAnsi="宋体" w:cs="宋体"/>
          <w:kern w:val="0"/>
          <w:szCs w:val="21"/>
        </w:rPr>
        <w:t>                       </w:t>
      </w:r>
    </w:p>
    <w:p w14:paraId="71A6A9F7">
      <w:pPr>
        <w:widowControl/>
        <w:tabs>
          <w:tab w:val="left" w:pos="5397"/>
        </w:tabs>
        <w:spacing w:line="360" w:lineRule="auto"/>
        <w:ind w:firstLine="84" w:firstLineChars="40"/>
        <w:jc w:val="left"/>
        <w:rPr>
          <w:rFonts w:ascii="宋体" w:hAnsi="宋体" w:cs="宋体"/>
          <w:kern w:val="0"/>
          <w:szCs w:val="21"/>
        </w:rPr>
      </w:pPr>
      <w:r>
        <w:rPr>
          <w:rFonts w:hint="eastAsia" w:ascii="宋体" w:hAnsi="宋体" w:cs="宋体"/>
          <w:kern w:val="0"/>
          <w:szCs w:val="21"/>
        </w:rPr>
        <w:t>项目名称：               项目编号：  </w:t>
      </w:r>
    </w:p>
    <w:tbl>
      <w:tblPr>
        <w:tblStyle w:val="50"/>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1678"/>
        <w:gridCol w:w="1931"/>
        <w:gridCol w:w="3012"/>
        <w:gridCol w:w="1246"/>
      </w:tblGrid>
      <w:tr w14:paraId="63FE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21D35395">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1678" w:type="dxa"/>
            <w:tcMar>
              <w:top w:w="0" w:type="dxa"/>
              <w:left w:w="10" w:type="dxa"/>
              <w:bottom w:w="0" w:type="dxa"/>
              <w:right w:w="10" w:type="dxa"/>
            </w:tcMar>
            <w:vAlign w:val="center"/>
          </w:tcPr>
          <w:p w14:paraId="433A2F81">
            <w:pPr>
              <w:widowControl/>
              <w:spacing w:line="360" w:lineRule="auto"/>
              <w:jc w:val="center"/>
              <w:rPr>
                <w:rFonts w:ascii="宋体" w:hAnsi="宋体" w:cs="宋体"/>
                <w:b/>
                <w:kern w:val="0"/>
                <w:szCs w:val="21"/>
              </w:rPr>
            </w:pPr>
            <w:r>
              <w:rPr>
                <w:rFonts w:hint="eastAsia" w:ascii="宋体" w:hAnsi="宋体" w:cs="宋体"/>
                <w:b/>
                <w:kern w:val="0"/>
                <w:szCs w:val="21"/>
              </w:rPr>
              <w:t>招标文件条目号</w:t>
            </w:r>
          </w:p>
        </w:tc>
        <w:tc>
          <w:tcPr>
            <w:tcW w:w="1931" w:type="dxa"/>
            <w:tcMar>
              <w:top w:w="0" w:type="dxa"/>
              <w:left w:w="10" w:type="dxa"/>
              <w:bottom w:w="0" w:type="dxa"/>
              <w:right w:w="10" w:type="dxa"/>
            </w:tcMar>
            <w:vAlign w:val="center"/>
          </w:tcPr>
          <w:p w14:paraId="2A3D406E">
            <w:pPr>
              <w:widowControl/>
              <w:spacing w:line="360" w:lineRule="auto"/>
              <w:jc w:val="center"/>
              <w:rPr>
                <w:rFonts w:ascii="宋体" w:hAnsi="宋体" w:cs="宋体"/>
                <w:b/>
                <w:kern w:val="0"/>
                <w:szCs w:val="21"/>
              </w:rPr>
            </w:pPr>
            <w:r>
              <w:rPr>
                <w:rFonts w:hint="eastAsia" w:ascii="宋体" w:hAnsi="宋体" w:cs="宋体"/>
                <w:b/>
                <w:kern w:val="0"/>
                <w:szCs w:val="21"/>
              </w:rPr>
              <w:t>条款内容</w:t>
            </w:r>
          </w:p>
        </w:tc>
        <w:tc>
          <w:tcPr>
            <w:tcW w:w="3012" w:type="dxa"/>
            <w:tcMar>
              <w:top w:w="0" w:type="dxa"/>
              <w:left w:w="10" w:type="dxa"/>
              <w:bottom w:w="0" w:type="dxa"/>
              <w:right w:w="10" w:type="dxa"/>
            </w:tcMar>
            <w:vAlign w:val="center"/>
          </w:tcPr>
          <w:p w14:paraId="0ADD8A44">
            <w:pPr>
              <w:widowControl/>
              <w:spacing w:line="360" w:lineRule="auto"/>
              <w:jc w:val="center"/>
              <w:rPr>
                <w:rFonts w:ascii="宋体" w:hAnsi="宋体" w:cs="宋体"/>
                <w:b/>
                <w:kern w:val="0"/>
                <w:szCs w:val="21"/>
              </w:rPr>
            </w:pPr>
            <w:r>
              <w:rPr>
                <w:rFonts w:hint="eastAsia" w:ascii="宋体" w:hAnsi="宋体" w:cs="宋体"/>
                <w:b/>
                <w:kern w:val="0"/>
                <w:szCs w:val="21"/>
              </w:rPr>
              <w:t>投标响应</w:t>
            </w:r>
          </w:p>
        </w:tc>
        <w:tc>
          <w:tcPr>
            <w:tcW w:w="1246" w:type="dxa"/>
            <w:tcMar>
              <w:top w:w="0" w:type="dxa"/>
              <w:left w:w="10" w:type="dxa"/>
              <w:bottom w:w="0" w:type="dxa"/>
              <w:right w:w="10" w:type="dxa"/>
            </w:tcMar>
            <w:vAlign w:val="center"/>
          </w:tcPr>
          <w:p w14:paraId="700DFF0F">
            <w:pPr>
              <w:widowControl/>
              <w:spacing w:line="360" w:lineRule="auto"/>
              <w:jc w:val="center"/>
              <w:rPr>
                <w:rFonts w:ascii="宋体" w:hAnsi="宋体" w:cs="宋体"/>
                <w:b/>
                <w:kern w:val="0"/>
                <w:szCs w:val="21"/>
              </w:rPr>
            </w:pPr>
            <w:r>
              <w:rPr>
                <w:rFonts w:hint="eastAsia" w:ascii="宋体" w:hAnsi="宋体" w:cs="宋体"/>
                <w:b/>
                <w:kern w:val="0"/>
                <w:szCs w:val="21"/>
              </w:rPr>
              <w:t>偏离</w:t>
            </w:r>
          </w:p>
        </w:tc>
      </w:tr>
      <w:tr w14:paraId="4506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41981174">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678" w:type="dxa"/>
            <w:tcMar>
              <w:top w:w="0" w:type="dxa"/>
              <w:left w:w="10" w:type="dxa"/>
              <w:bottom w:w="0" w:type="dxa"/>
              <w:right w:w="10" w:type="dxa"/>
            </w:tcMar>
            <w:vAlign w:val="center"/>
          </w:tcPr>
          <w:p w14:paraId="01E2671C">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931" w:type="dxa"/>
            <w:tcMar>
              <w:top w:w="0" w:type="dxa"/>
              <w:left w:w="10" w:type="dxa"/>
              <w:bottom w:w="0" w:type="dxa"/>
              <w:right w:w="10" w:type="dxa"/>
            </w:tcMar>
            <w:vAlign w:val="center"/>
          </w:tcPr>
          <w:p w14:paraId="659A5A16">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3012" w:type="dxa"/>
            <w:tcMar>
              <w:top w:w="0" w:type="dxa"/>
              <w:left w:w="10" w:type="dxa"/>
              <w:bottom w:w="0" w:type="dxa"/>
              <w:right w:w="10" w:type="dxa"/>
            </w:tcMar>
            <w:vAlign w:val="center"/>
          </w:tcPr>
          <w:p w14:paraId="6D7EF1AE">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46" w:type="dxa"/>
            <w:tcMar>
              <w:top w:w="0" w:type="dxa"/>
              <w:left w:w="10" w:type="dxa"/>
              <w:bottom w:w="0" w:type="dxa"/>
              <w:right w:w="10" w:type="dxa"/>
            </w:tcMar>
            <w:vAlign w:val="center"/>
          </w:tcPr>
          <w:p w14:paraId="3A0AA270">
            <w:pPr>
              <w:widowControl/>
              <w:spacing w:line="360" w:lineRule="auto"/>
              <w:jc w:val="center"/>
              <w:rPr>
                <w:rFonts w:ascii="宋体" w:hAnsi="宋体" w:cs="宋体"/>
                <w:kern w:val="0"/>
                <w:szCs w:val="21"/>
              </w:rPr>
            </w:pPr>
            <w:r>
              <w:rPr>
                <w:rFonts w:hint="eastAsia" w:ascii="宋体" w:hAnsi="宋体" w:cs="宋体"/>
                <w:kern w:val="0"/>
                <w:szCs w:val="21"/>
              </w:rPr>
              <w:t> </w:t>
            </w:r>
          </w:p>
        </w:tc>
      </w:tr>
      <w:tr w14:paraId="7420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2323ACE4">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678" w:type="dxa"/>
            <w:tcMar>
              <w:top w:w="0" w:type="dxa"/>
              <w:left w:w="10" w:type="dxa"/>
              <w:bottom w:w="0" w:type="dxa"/>
              <w:right w:w="10" w:type="dxa"/>
            </w:tcMar>
            <w:vAlign w:val="center"/>
          </w:tcPr>
          <w:p w14:paraId="2AAC76EE">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931" w:type="dxa"/>
            <w:tcMar>
              <w:top w:w="0" w:type="dxa"/>
              <w:left w:w="10" w:type="dxa"/>
              <w:bottom w:w="0" w:type="dxa"/>
              <w:right w:w="10" w:type="dxa"/>
            </w:tcMar>
            <w:vAlign w:val="center"/>
          </w:tcPr>
          <w:p w14:paraId="355B429B">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3012" w:type="dxa"/>
            <w:tcMar>
              <w:top w:w="0" w:type="dxa"/>
              <w:left w:w="10" w:type="dxa"/>
              <w:bottom w:w="0" w:type="dxa"/>
              <w:right w:w="10" w:type="dxa"/>
            </w:tcMar>
            <w:vAlign w:val="center"/>
          </w:tcPr>
          <w:p w14:paraId="09170C5A">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46" w:type="dxa"/>
            <w:tcMar>
              <w:top w:w="0" w:type="dxa"/>
              <w:left w:w="10" w:type="dxa"/>
              <w:bottom w:w="0" w:type="dxa"/>
              <w:right w:w="10" w:type="dxa"/>
            </w:tcMar>
            <w:vAlign w:val="center"/>
          </w:tcPr>
          <w:p w14:paraId="54419C94">
            <w:pPr>
              <w:widowControl/>
              <w:spacing w:line="360" w:lineRule="auto"/>
              <w:jc w:val="center"/>
              <w:rPr>
                <w:rFonts w:ascii="宋体" w:hAnsi="宋体" w:cs="宋体"/>
                <w:kern w:val="0"/>
                <w:szCs w:val="21"/>
              </w:rPr>
            </w:pPr>
            <w:r>
              <w:rPr>
                <w:rFonts w:hint="eastAsia" w:ascii="宋体" w:hAnsi="宋体" w:cs="宋体"/>
                <w:kern w:val="0"/>
                <w:szCs w:val="21"/>
              </w:rPr>
              <w:t> </w:t>
            </w:r>
          </w:p>
        </w:tc>
      </w:tr>
      <w:tr w14:paraId="55FB2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28D8AD7A">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678" w:type="dxa"/>
            <w:tcMar>
              <w:top w:w="0" w:type="dxa"/>
              <w:left w:w="10" w:type="dxa"/>
              <w:bottom w:w="0" w:type="dxa"/>
              <w:right w:w="10" w:type="dxa"/>
            </w:tcMar>
            <w:vAlign w:val="center"/>
          </w:tcPr>
          <w:p w14:paraId="1B83F4DE">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931" w:type="dxa"/>
            <w:tcMar>
              <w:top w:w="0" w:type="dxa"/>
              <w:left w:w="10" w:type="dxa"/>
              <w:bottom w:w="0" w:type="dxa"/>
              <w:right w:w="10" w:type="dxa"/>
            </w:tcMar>
            <w:vAlign w:val="center"/>
          </w:tcPr>
          <w:p w14:paraId="3055B06E">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3012" w:type="dxa"/>
            <w:tcMar>
              <w:top w:w="0" w:type="dxa"/>
              <w:left w:w="10" w:type="dxa"/>
              <w:bottom w:w="0" w:type="dxa"/>
              <w:right w:w="10" w:type="dxa"/>
            </w:tcMar>
            <w:vAlign w:val="center"/>
          </w:tcPr>
          <w:p w14:paraId="625E463F">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46" w:type="dxa"/>
            <w:tcMar>
              <w:top w:w="0" w:type="dxa"/>
              <w:left w:w="10" w:type="dxa"/>
              <w:bottom w:w="0" w:type="dxa"/>
              <w:right w:w="10" w:type="dxa"/>
            </w:tcMar>
            <w:vAlign w:val="center"/>
          </w:tcPr>
          <w:p w14:paraId="55B9DA5E">
            <w:pPr>
              <w:widowControl/>
              <w:spacing w:line="360" w:lineRule="auto"/>
              <w:jc w:val="center"/>
              <w:rPr>
                <w:rFonts w:ascii="宋体" w:hAnsi="宋体" w:cs="宋体"/>
                <w:kern w:val="0"/>
                <w:szCs w:val="21"/>
              </w:rPr>
            </w:pPr>
            <w:r>
              <w:rPr>
                <w:rFonts w:hint="eastAsia" w:ascii="宋体" w:hAnsi="宋体" w:cs="宋体"/>
                <w:kern w:val="0"/>
                <w:szCs w:val="21"/>
              </w:rPr>
              <w:t> </w:t>
            </w:r>
          </w:p>
        </w:tc>
      </w:tr>
      <w:tr w14:paraId="7FAC0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204DA1D3">
            <w:pPr>
              <w:widowControl/>
              <w:spacing w:line="360" w:lineRule="auto"/>
              <w:jc w:val="center"/>
              <w:rPr>
                <w:rFonts w:ascii="宋体" w:hAnsi="宋体" w:cs="宋体"/>
                <w:kern w:val="0"/>
                <w:szCs w:val="21"/>
              </w:rPr>
            </w:pPr>
          </w:p>
        </w:tc>
        <w:tc>
          <w:tcPr>
            <w:tcW w:w="1678" w:type="dxa"/>
            <w:tcMar>
              <w:top w:w="0" w:type="dxa"/>
              <w:left w:w="10" w:type="dxa"/>
              <w:bottom w:w="0" w:type="dxa"/>
              <w:right w:w="10" w:type="dxa"/>
            </w:tcMar>
            <w:vAlign w:val="center"/>
          </w:tcPr>
          <w:p w14:paraId="5D45D246">
            <w:pPr>
              <w:widowControl/>
              <w:spacing w:line="360" w:lineRule="auto"/>
              <w:jc w:val="center"/>
              <w:rPr>
                <w:rFonts w:ascii="宋体" w:hAnsi="宋体" w:cs="宋体"/>
                <w:kern w:val="0"/>
                <w:szCs w:val="21"/>
              </w:rPr>
            </w:pPr>
          </w:p>
        </w:tc>
        <w:tc>
          <w:tcPr>
            <w:tcW w:w="1931" w:type="dxa"/>
            <w:tcMar>
              <w:top w:w="0" w:type="dxa"/>
              <w:left w:w="10" w:type="dxa"/>
              <w:bottom w:w="0" w:type="dxa"/>
              <w:right w:w="10" w:type="dxa"/>
            </w:tcMar>
            <w:vAlign w:val="center"/>
          </w:tcPr>
          <w:p w14:paraId="5AA0B13A">
            <w:pPr>
              <w:widowControl/>
              <w:spacing w:line="360" w:lineRule="auto"/>
              <w:jc w:val="center"/>
              <w:rPr>
                <w:rFonts w:ascii="宋体" w:hAnsi="宋体" w:cs="宋体"/>
                <w:kern w:val="0"/>
                <w:szCs w:val="21"/>
              </w:rPr>
            </w:pPr>
          </w:p>
        </w:tc>
        <w:tc>
          <w:tcPr>
            <w:tcW w:w="3012" w:type="dxa"/>
            <w:tcMar>
              <w:top w:w="0" w:type="dxa"/>
              <w:left w:w="10" w:type="dxa"/>
              <w:bottom w:w="0" w:type="dxa"/>
              <w:right w:w="10" w:type="dxa"/>
            </w:tcMar>
            <w:vAlign w:val="center"/>
          </w:tcPr>
          <w:p w14:paraId="61BBEA31">
            <w:pPr>
              <w:widowControl/>
              <w:spacing w:line="360" w:lineRule="auto"/>
              <w:jc w:val="center"/>
              <w:rPr>
                <w:rFonts w:ascii="宋体" w:hAnsi="宋体" w:cs="宋体"/>
                <w:kern w:val="0"/>
                <w:szCs w:val="21"/>
              </w:rPr>
            </w:pPr>
          </w:p>
        </w:tc>
        <w:tc>
          <w:tcPr>
            <w:tcW w:w="1246" w:type="dxa"/>
            <w:tcMar>
              <w:top w:w="0" w:type="dxa"/>
              <w:left w:w="10" w:type="dxa"/>
              <w:bottom w:w="0" w:type="dxa"/>
              <w:right w:w="10" w:type="dxa"/>
            </w:tcMar>
            <w:vAlign w:val="center"/>
          </w:tcPr>
          <w:p w14:paraId="011437C4">
            <w:pPr>
              <w:widowControl/>
              <w:spacing w:line="360" w:lineRule="auto"/>
              <w:jc w:val="center"/>
              <w:rPr>
                <w:rFonts w:ascii="宋体" w:hAnsi="宋体" w:cs="宋体"/>
                <w:kern w:val="0"/>
                <w:szCs w:val="21"/>
              </w:rPr>
            </w:pPr>
          </w:p>
        </w:tc>
      </w:tr>
      <w:tr w14:paraId="5FA7B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054DECA2">
            <w:pPr>
              <w:widowControl/>
              <w:spacing w:line="360" w:lineRule="auto"/>
              <w:jc w:val="center"/>
              <w:rPr>
                <w:rFonts w:ascii="宋体" w:hAnsi="宋体" w:cs="宋体"/>
                <w:kern w:val="0"/>
                <w:szCs w:val="21"/>
              </w:rPr>
            </w:pPr>
          </w:p>
        </w:tc>
        <w:tc>
          <w:tcPr>
            <w:tcW w:w="1678" w:type="dxa"/>
            <w:tcMar>
              <w:top w:w="0" w:type="dxa"/>
              <w:left w:w="10" w:type="dxa"/>
              <w:bottom w:w="0" w:type="dxa"/>
              <w:right w:w="10" w:type="dxa"/>
            </w:tcMar>
            <w:vAlign w:val="center"/>
          </w:tcPr>
          <w:p w14:paraId="197BA47F">
            <w:pPr>
              <w:widowControl/>
              <w:spacing w:line="360" w:lineRule="auto"/>
              <w:jc w:val="center"/>
              <w:rPr>
                <w:rFonts w:ascii="宋体" w:hAnsi="宋体" w:cs="宋体"/>
                <w:kern w:val="0"/>
                <w:szCs w:val="21"/>
              </w:rPr>
            </w:pPr>
          </w:p>
        </w:tc>
        <w:tc>
          <w:tcPr>
            <w:tcW w:w="1931" w:type="dxa"/>
            <w:tcMar>
              <w:top w:w="0" w:type="dxa"/>
              <w:left w:w="10" w:type="dxa"/>
              <w:bottom w:w="0" w:type="dxa"/>
              <w:right w:w="10" w:type="dxa"/>
            </w:tcMar>
            <w:vAlign w:val="center"/>
          </w:tcPr>
          <w:p w14:paraId="376264F8">
            <w:pPr>
              <w:widowControl/>
              <w:spacing w:line="360" w:lineRule="auto"/>
              <w:jc w:val="center"/>
              <w:rPr>
                <w:rFonts w:ascii="宋体" w:hAnsi="宋体" w:cs="宋体"/>
                <w:kern w:val="0"/>
                <w:szCs w:val="21"/>
              </w:rPr>
            </w:pPr>
          </w:p>
        </w:tc>
        <w:tc>
          <w:tcPr>
            <w:tcW w:w="3012" w:type="dxa"/>
            <w:tcMar>
              <w:top w:w="0" w:type="dxa"/>
              <w:left w:w="10" w:type="dxa"/>
              <w:bottom w:w="0" w:type="dxa"/>
              <w:right w:w="10" w:type="dxa"/>
            </w:tcMar>
            <w:vAlign w:val="center"/>
          </w:tcPr>
          <w:p w14:paraId="54C846D9">
            <w:pPr>
              <w:widowControl/>
              <w:spacing w:line="360" w:lineRule="auto"/>
              <w:jc w:val="center"/>
              <w:rPr>
                <w:rFonts w:ascii="宋体" w:hAnsi="宋体" w:cs="宋体"/>
                <w:kern w:val="0"/>
                <w:szCs w:val="21"/>
              </w:rPr>
            </w:pPr>
          </w:p>
        </w:tc>
        <w:tc>
          <w:tcPr>
            <w:tcW w:w="1246" w:type="dxa"/>
            <w:tcMar>
              <w:top w:w="0" w:type="dxa"/>
              <w:left w:w="10" w:type="dxa"/>
              <w:bottom w:w="0" w:type="dxa"/>
              <w:right w:w="10" w:type="dxa"/>
            </w:tcMar>
            <w:vAlign w:val="center"/>
          </w:tcPr>
          <w:p w14:paraId="2252DAFC">
            <w:pPr>
              <w:widowControl/>
              <w:spacing w:line="360" w:lineRule="auto"/>
              <w:jc w:val="center"/>
              <w:rPr>
                <w:rFonts w:ascii="宋体" w:hAnsi="宋体" w:cs="宋体"/>
                <w:kern w:val="0"/>
                <w:szCs w:val="21"/>
              </w:rPr>
            </w:pPr>
          </w:p>
        </w:tc>
      </w:tr>
      <w:tr w14:paraId="1A98E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42" w:type="dxa"/>
            <w:tcMar>
              <w:top w:w="0" w:type="dxa"/>
              <w:left w:w="10" w:type="dxa"/>
              <w:bottom w:w="0" w:type="dxa"/>
              <w:right w:w="10" w:type="dxa"/>
            </w:tcMar>
            <w:vAlign w:val="center"/>
          </w:tcPr>
          <w:p w14:paraId="40CF3D0A">
            <w:pPr>
              <w:widowControl/>
              <w:spacing w:line="360" w:lineRule="auto"/>
              <w:jc w:val="center"/>
              <w:rPr>
                <w:rFonts w:ascii="宋体" w:hAnsi="宋体" w:cs="宋体"/>
                <w:kern w:val="0"/>
                <w:szCs w:val="21"/>
              </w:rPr>
            </w:pPr>
          </w:p>
        </w:tc>
        <w:tc>
          <w:tcPr>
            <w:tcW w:w="1678" w:type="dxa"/>
            <w:tcMar>
              <w:top w:w="0" w:type="dxa"/>
              <w:left w:w="10" w:type="dxa"/>
              <w:bottom w:w="0" w:type="dxa"/>
              <w:right w:w="10" w:type="dxa"/>
            </w:tcMar>
            <w:vAlign w:val="center"/>
          </w:tcPr>
          <w:p w14:paraId="696571B0">
            <w:pPr>
              <w:widowControl/>
              <w:spacing w:line="360" w:lineRule="auto"/>
              <w:jc w:val="center"/>
              <w:rPr>
                <w:rFonts w:ascii="宋体" w:hAnsi="宋体" w:cs="宋体"/>
                <w:kern w:val="0"/>
                <w:szCs w:val="21"/>
              </w:rPr>
            </w:pPr>
          </w:p>
        </w:tc>
        <w:tc>
          <w:tcPr>
            <w:tcW w:w="1931" w:type="dxa"/>
            <w:tcMar>
              <w:top w:w="0" w:type="dxa"/>
              <w:left w:w="10" w:type="dxa"/>
              <w:bottom w:w="0" w:type="dxa"/>
              <w:right w:w="10" w:type="dxa"/>
            </w:tcMar>
            <w:vAlign w:val="center"/>
          </w:tcPr>
          <w:p w14:paraId="73C74A98">
            <w:pPr>
              <w:widowControl/>
              <w:spacing w:line="360" w:lineRule="auto"/>
              <w:jc w:val="center"/>
              <w:rPr>
                <w:rFonts w:ascii="宋体" w:hAnsi="宋体" w:cs="宋体"/>
                <w:kern w:val="0"/>
                <w:szCs w:val="21"/>
              </w:rPr>
            </w:pPr>
          </w:p>
        </w:tc>
        <w:tc>
          <w:tcPr>
            <w:tcW w:w="3012" w:type="dxa"/>
            <w:tcMar>
              <w:top w:w="0" w:type="dxa"/>
              <w:left w:w="10" w:type="dxa"/>
              <w:bottom w:w="0" w:type="dxa"/>
              <w:right w:w="10" w:type="dxa"/>
            </w:tcMar>
            <w:vAlign w:val="center"/>
          </w:tcPr>
          <w:p w14:paraId="3F85AB5F">
            <w:pPr>
              <w:widowControl/>
              <w:spacing w:line="360" w:lineRule="auto"/>
              <w:jc w:val="center"/>
              <w:rPr>
                <w:rFonts w:ascii="宋体" w:hAnsi="宋体" w:cs="宋体"/>
                <w:kern w:val="0"/>
                <w:szCs w:val="21"/>
              </w:rPr>
            </w:pPr>
          </w:p>
        </w:tc>
        <w:tc>
          <w:tcPr>
            <w:tcW w:w="1246" w:type="dxa"/>
            <w:tcMar>
              <w:top w:w="0" w:type="dxa"/>
              <w:left w:w="10" w:type="dxa"/>
              <w:bottom w:w="0" w:type="dxa"/>
              <w:right w:w="10" w:type="dxa"/>
            </w:tcMar>
            <w:vAlign w:val="center"/>
          </w:tcPr>
          <w:p w14:paraId="060C229F">
            <w:pPr>
              <w:widowControl/>
              <w:spacing w:line="360" w:lineRule="auto"/>
              <w:jc w:val="center"/>
              <w:rPr>
                <w:rFonts w:ascii="宋体" w:hAnsi="宋体" w:cs="宋体"/>
                <w:kern w:val="0"/>
                <w:szCs w:val="21"/>
              </w:rPr>
            </w:pPr>
          </w:p>
        </w:tc>
      </w:tr>
    </w:tbl>
    <w:p w14:paraId="783079DE">
      <w:pPr>
        <w:widowControl/>
        <w:spacing w:line="360" w:lineRule="auto"/>
        <w:jc w:val="left"/>
        <w:rPr>
          <w:rFonts w:ascii="宋体" w:hAnsi="宋体" w:cs="宋体"/>
          <w:kern w:val="0"/>
          <w:szCs w:val="21"/>
        </w:rPr>
      </w:pPr>
      <w:r>
        <w:rPr>
          <w:rFonts w:hint="eastAsia" w:ascii="宋体" w:hAnsi="宋体" w:cs="宋体"/>
          <w:kern w:val="0"/>
          <w:szCs w:val="21"/>
        </w:rPr>
        <w:t>说明：投标文件采购需求部分内容响应存在正偏离或负偏离的，请在本表中逐条列出。未列出的，视为响应招标文件要求。如果行数不够，请自行增加。</w:t>
      </w:r>
    </w:p>
    <w:p w14:paraId="76C043AA">
      <w:pPr>
        <w:widowControl/>
        <w:spacing w:line="360" w:lineRule="auto"/>
        <w:jc w:val="left"/>
        <w:rPr>
          <w:rFonts w:ascii="宋体" w:hAnsi="宋体" w:cs="宋体"/>
          <w:kern w:val="0"/>
          <w:szCs w:val="21"/>
        </w:rPr>
      </w:pPr>
    </w:p>
    <w:p w14:paraId="48F0C113">
      <w:pPr>
        <w:widowControl/>
        <w:spacing w:line="360" w:lineRule="auto"/>
        <w:jc w:val="left"/>
        <w:rPr>
          <w:rFonts w:ascii="宋体" w:hAnsi="宋体" w:cs="宋体"/>
          <w:kern w:val="0"/>
          <w:szCs w:val="21"/>
        </w:rPr>
      </w:pPr>
    </w:p>
    <w:p w14:paraId="572BDA88">
      <w:pPr>
        <w:widowControl/>
        <w:spacing w:line="360" w:lineRule="auto"/>
        <w:jc w:val="left"/>
        <w:rPr>
          <w:rFonts w:ascii="宋体" w:hAnsi="宋体" w:cs="宋体"/>
          <w:kern w:val="0"/>
          <w:szCs w:val="21"/>
        </w:rPr>
      </w:pPr>
      <w:r>
        <w:rPr>
          <w:rFonts w:hint="eastAsia" w:ascii="宋体" w:hAnsi="宋体" w:cs="宋体"/>
          <w:kern w:val="0"/>
          <w:szCs w:val="21"/>
        </w:rPr>
        <w:t>投标单位（盖章）：</w:t>
      </w:r>
      <w:r>
        <w:rPr>
          <w:rFonts w:hint="eastAsia" w:ascii="宋体" w:hAnsi="宋体" w:cs="宋体"/>
          <w:kern w:val="0"/>
          <w:szCs w:val="21"/>
          <w:u w:val="single"/>
        </w:rPr>
        <w:t>                             </w:t>
      </w:r>
      <w:r>
        <w:rPr>
          <w:rFonts w:hint="eastAsia" w:ascii="宋体" w:hAnsi="宋体" w:cs="宋体"/>
          <w:kern w:val="0"/>
          <w:szCs w:val="21"/>
        </w:rPr>
        <w:t xml:space="preserve"> </w:t>
      </w:r>
    </w:p>
    <w:p w14:paraId="486B6B12">
      <w:pPr>
        <w:widowControl/>
        <w:spacing w:line="360" w:lineRule="auto"/>
        <w:jc w:val="left"/>
        <w:rPr>
          <w:rFonts w:ascii="宋体" w:hAnsi="宋体" w:cs="宋体"/>
          <w:kern w:val="0"/>
          <w:szCs w:val="21"/>
        </w:rPr>
      </w:pPr>
      <w:r>
        <w:rPr>
          <w:rFonts w:hint="eastAsia" w:ascii="宋体" w:hAnsi="宋体" w:cs="宋体"/>
          <w:kern w:val="0"/>
          <w:szCs w:val="21"/>
        </w:rPr>
        <w:t>法定代表人或授权代表（签字或签章）：</w:t>
      </w:r>
      <w:r>
        <w:rPr>
          <w:rFonts w:hint="eastAsia" w:ascii="宋体" w:hAnsi="宋体" w:cs="宋体"/>
          <w:kern w:val="0"/>
          <w:szCs w:val="21"/>
          <w:u w:val="single"/>
        </w:rPr>
        <w:t>                      </w:t>
      </w:r>
    </w:p>
    <w:p w14:paraId="5BF77F4F">
      <w:pPr>
        <w:widowControl/>
        <w:spacing w:line="360" w:lineRule="auto"/>
        <w:jc w:val="left"/>
        <w:rPr>
          <w:rFonts w:ascii="宋体" w:hAnsi="宋体" w:cs="宋体"/>
          <w:kern w:val="0"/>
          <w:szCs w:val="21"/>
        </w:rPr>
      </w:pPr>
    </w:p>
    <w:p w14:paraId="40DBD782">
      <w:pPr>
        <w:widowControl/>
        <w:spacing w:line="360" w:lineRule="auto"/>
        <w:jc w:val="left"/>
        <w:rPr>
          <w:rFonts w:ascii="宋体" w:hAnsi="宋体" w:cs="宋体"/>
          <w:kern w:val="0"/>
          <w:szCs w:val="21"/>
        </w:rPr>
      </w:pPr>
      <w:r>
        <w:rPr>
          <w:rFonts w:hint="eastAsia" w:ascii="宋体" w:hAnsi="宋体" w:cs="宋体"/>
          <w:kern w:val="0"/>
          <w:szCs w:val="21"/>
        </w:rPr>
        <w:t> </w:t>
      </w:r>
    </w:p>
    <w:p w14:paraId="4CE77FF3">
      <w:pPr>
        <w:widowControl/>
        <w:spacing w:line="360" w:lineRule="auto"/>
        <w:jc w:val="left"/>
        <w:rPr>
          <w:rFonts w:ascii="宋体" w:hAnsi="宋体" w:cs="宋体"/>
          <w:kern w:val="0"/>
          <w:szCs w:val="21"/>
        </w:rPr>
      </w:pPr>
      <w:r>
        <w:rPr>
          <w:rFonts w:hint="eastAsia" w:ascii="宋体" w:hAnsi="宋体" w:cs="宋体"/>
          <w:kern w:val="0"/>
          <w:szCs w:val="21"/>
        </w:rPr>
        <w:t> </w:t>
      </w:r>
    </w:p>
    <w:p w14:paraId="6824726E">
      <w:pPr>
        <w:widowControl/>
        <w:spacing w:line="360" w:lineRule="auto"/>
        <w:jc w:val="left"/>
        <w:rPr>
          <w:rFonts w:ascii="宋体" w:hAnsi="宋体" w:cs="宋体"/>
          <w:kern w:val="0"/>
          <w:szCs w:val="21"/>
        </w:rPr>
      </w:pPr>
      <w:r>
        <w:rPr>
          <w:rFonts w:hint="eastAsia" w:ascii="宋体" w:hAnsi="宋体" w:cs="宋体"/>
          <w:kern w:val="0"/>
          <w:szCs w:val="21"/>
        </w:rPr>
        <w:t> </w:t>
      </w:r>
    </w:p>
    <w:p w14:paraId="5946C80A">
      <w:pPr>
        <w:widowControl/>
        <w:spacing w:line="360" w:lineRule="auto"/>
        <w:jc w:val="left"/>
        <w:rPr>
          <w:rFonts w:ascii="宋体" w:hAnsi="宋体" w:cs="宋体"/>
          <w:kern w:val="0"/>
          <w:szCs w:val="21"/>
        </w:rPr>
      </w:pPr>
      <w:r>
        <w:rPr>
          <w:rFonts w:hint="eastAsia" w:ascii="宋体" w:hAnsi="宋体" w:cs="宋体"/>
          <w:kern w:val="0"/>
          <w:szCs w:val="21"/>
        </w:rPr>
        <w:t> </w:t>
      </w:r>
    </w:p>
    <w:p w14:paraId="0B751EEC">
      <w:pPr>
        <w:widowControl/>
        <w:spacing w:line="360" w:lineRule="auto"/>
        <w:jc w:val="left"/>
        <w:rPr>
          <w:rFonts w:ascii="宋体" w:hAnsi="宋体" w:cs="宋体"/>
          <w:kern w:val="0"/>
          <w:szCs w:val="21"/>
        </w:rPr>
      </w:pPr>
      <w:r>
        <w:rPr>
          <w:rFonts w:hint="eastAsia" w:ascii="宋体" w:hAnsi="宋体" w:cs="宋体"/>
          <w:kern w:val="0"/>
          <w:szCs w:val="21"/>
        </w:rPr>
        <w:t> </w:t>
      </w:r>
    </w:p>
    <w:p w14:paraId="272FFDCE">
      <w:pPr>
        <w:widowControl/>
        <w:spacing w:line="360" w:lineRule="auto"/>
        <w:jc w:val="left"/>
        <w:rPr>
          <w:rFonts w:ascii="宋体" w:hAnsi="宋体" w:cs="宋体"/>
          <w:kern w:val="0"/>
          <w:szCs w:val="21"/>
        </w:rPr>
      </w:pPr>
      <w:r>
        <w:rPr>
          <w:rFonts w:hint="eastAsia" w:ascii="宋体" w:hAnsi="宋体" w:cs="宋体"/>
          <w:kern w:val="0"/>
          <w:szCs w:val="21"/>
        </w:rPr>
        <w:t> </w:t>
      </w:r>
    </w:p>
    <w:p w14:paraId="772898E8">
      <w:pPr>
        <w:widowControl/>
        <w:spacing w:line="360" w:lineRule="auto"/>
        <w:jc w:val="left"/>
        <w:rPr>
          <w:rFonts w:ascii="宋体" w:hAnsi="宋体" w:cs="宋体"/>
          <w:kern w:val="0"/>
          <w:szCs w:val="21"/>
        </w:rPr>
      </w:pPr>
      <w:r>
        <w:rPr>
          <w:rFonts w:hint="eastAsia" w:ascii="宋体" w:hAnsi="宋体" w:cs="宋体"/>
          <w:b/>
          <w:bCs/>
          <w:kern w:val="0"/>
          <w:szCs w:val="21"/>
        </w:rPr>
        <w:br w:type="page"/>
      </w:r>
      <w:r>
        <w:rPr>
          <w:rFonts w:hint="eastAsia" w:ascii="宋体" w:hAnsi="宋体" w:cs="宋体"/>
          <w:b/>
          <w:bCs/>
          <w:kern w:val="0"/>
          <w:szCs w:val="21"/>
        </w:rPr>
        <w:t>附件五、商务条款偏离表格式</w:t>
      </w:r>
    </w:p>
    <w:p w14:paraId="6B7EEAA6">
      <w:pPr>
        <w:widowControl/>
        <w:spacing w:line="360" w:lineRule="auto"/>
        <w:ind w:firstLine="420"/>
        <w:jc w:val="left"/>
        <w:rPr>
          <w:rFonts w:ascii="宋体" w:hAnsi="宋体" w:cs="宋体"/>
          <w:kern w:val="0"/>
          <w:szCs w:val="21"/>
        </w:rPr>
      </w:pPr>
      <w:r>
        <w:rPr>
          <w:rFonts w:hint="eastAsia" w:ascii="宋体" w:hAnsi="宋体" w:cs="宋体"/>
          <w:kern w:val="0"/>
          <w:szCs w:val="21"/>
        </w:rPr>
        <w:t> </w:t>
      </w:r>
    </w:p>
    <w:p w14:paraId="7EFCD192">
      <w:pPr>
        <w:widowControl/>
        <w:spacing w:line="360" w:lineRule="auto"/>
        <w:ind w:left="420"/>
        <w:jc w:val="center"/>
        <w:rPr>
          <w:rFonts w:ascii="宋体" w:hAnsi="宋体" w:cs="宋体"/>
          <w:b/>
          <w:kern w:val="0"/>
          <w:szCs w:val="21"/>
        </w:rPr>
      </w:pPr>
      <w:r>
        <w:rPr>
          <w:rFonts w:hint="eastAsia" w:ascii="宋体" w:hAnsi="宋体" w:cs="宋体"/>
          <w:b/>
          <w:kern w:val="0"/>
          <w:sz w:val="36"/>
          <w:szCs w:val="36"/>
        </w:rPr>
        <w:t>商务条款偏离表</w:t>
      </w:r>
    </w:p>
    <w:p w14:paraId="4400C433">
      <w:pPr>
        <w:widowControl/>
        <w:spacing w:line="360" w:lineRule="auto"/>
        <w:jc w:val="left"/>
        <w:rPr>
          <w:rFonts w:ascii="宋体" w:hAnsi="宋体" w:cs="宋体"/>
          <w:kern w:val="0"/>
          <w:szCs w:val="21"/>
        </w:rPr>
      </w:pPr>
      <w:r>
        <w:rPr>
          <w:rFonts w:hint="eastAsia" w:ascii="宋体" w:hAnsi="宋体" w:cs="宋体"/>
          <w:kern w:val="0"/>
          <w:sz w:val="24"/>
        </w:rPr>
        <w:t> </w:t>
      </w:r>
    </w:p>
    <w:p w14:paraId="6C73C399">
      <w:pPr>
        <w:widowControl/>
        <w:tabs>
          <w:tab w:val="left" w:pos="5366"/>
        </w:tabs>
        <w:spacing w:line="360" w:lineRule="auto"/>
        <w:ind w:firstLine="96" w:firstLineChars="46"/>
        <w:jc w:val="left"/>
        <w:rPr>
          <w:rFonts w:ascii="宋体" w:hAnsi="宋体" w:cs="宋体"/>
          <w:kern w:val="0"/>
          <w:szCs w:val="21"/>
        </w:rPr>
      </w:pPr>
      <w:r>
        <w:rPr>
          <w:rFonts w:hint="eastAsia" w:ascii="宋体" w:hAnsi="宋体" w:cs="宋体"/>
          <w:kern w:val="0"/>
          <w:szCs w:val="21"/>
        </w:rPr>
        <w:t>项目名称：                     项目编号：         </w:t>
      </w:r>
    </w:p>
    <w:tbl>
      <w:tblPr>
        <w:tblStyle w:val="50"/>
        <w:tblW w:w="8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1679"/>
        <w:gridCol w:w="2488"/>
        <w:gridCol w:w="3004"/>
        <w:gridCol w:w="1201"/>
      </w:tblGrid>
      <w:tr w14:paraId="6B86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3023B414">
            <w:pPr>
              <w:widowControl/>
              <w:spacing w:line="360" w:lineRule="auto"/>
              <w:jc w:val="center"/>
              <w:rPr>
                <w:rFonts w:ascii="宋体" w:hAnsi="宋体" w:cs="宋体"/>
                <w:b/>
                <w:kern w:val="0"/>
                <w:szCs w:val="21"/>
              </w:rPr>
            </w:pPr>
            <w:r>
              <w:rPr>
                <w:rFonts w:hint="eastAsia" w:ascii="宋体" w:hAnsi="宋体" w:cs="宋体"/>
                <w:b/>
                <w:kern w:val="0"/>
                <w:szCs w:val="21"/>
              </w:rPr>
              <w:t>序号</w:t>
            </w:r>
          </w:p>
        </w:tc>
        <w:tc>
          <w:tcPr>
            <w:tcW w:w="1679" w:type="dxa"/>
            <w:tcMar>
              <w:top w:w="0" w:type="dxa"/>
              <w:left w:w="10" w:type="dxa"/>
              <w:bottom w:w="0" w:type="dxa"/>
              <w:right w:w="10" w:type="dxa"/>
            </w:tcMar>
            <w:vAlign w:val="center"/>
          </w:tcPr>
          <w:p w14:paraId="64C02187">
            <w:pPr>
              <w:widowControl/>
              <w:spacing w:line="360" w:lineRule="auto"/>
              <w:jc w:val="center"/>
              <w:rPr>
                <w:rFonts w:ascii="宋体" w:hAnsi="宋体" w:cs="宋体"/>
                <w:b/>
                <w:kern w:val="0"/>
                <w:szCs w:val="21"/>
              </w:rPr>
            </w:pPr>
            <w:r>
              <w:rPr>
                <w:rFonts w:hint="eastAsia" w:ascii="宋体" w:hAnsi="宋体" w:cs="宋体"/>
                <w:b/>
                <w:kern w:val="0"/>
                <w:szCs w:val="21"/>
              </w:rPr>
              <w:t>招标文件条目号</w:t>
            </w:r>
          </w:p>
        </w:tc>
        <w:tc>
          <w:tcPr>
            <w:tcW w:w="2488" w:type="dxa"/>
            <w:tcMar>
              <w:top w:w="0" w:type="dxa"/>
              <w:left w:w="10" w:type="dxa"/>
              <w:bottom w:w="0" w:type="dxa"/>
              <w:right w:w="10" w:type="dxa"/>
            </w:tcMar>
            <w:vAlign w:val="center"/>
          </w:tcPr>
          <w:p w14:paraId="39D33613">
            <w:pPr>
              <w:widowControl/>
              <w:spacing w:line="360" w:lineRule="auto"/>
              <w:jc w:val="center"/>
              <w:rPr>
                <w:rFonts w:ascii="宋体" w:hAnsi="宋体" w:cs="宋体"/>
                <w:b/>
                <w:kern w:val="0"/>
                <w:szCs w:val="21"/>
              </w:rPr>
            </w:pPr>
            <w:r>
              <w:rPr>
                <w:rFonts w:hint="eastAsia" w:ascii="宋体" w:hAnsi="宋体" w:cs="宋体"/>
                <w:b/>
                <w:kern w:val="0"/>
                <w:szCs w:val="21"/>
              </w:rPr>
              <w:t>条款内容</w:t>
            </w:r>
          </w:p>
        </w:tc>
        <w:tc>
          <w:tcPr>
            <w:tcW w:w="3004" w:type="dxa"/>
            <w:tcMar>
              <w:top w:w="0" w:type="dxa"/>
              <w:left w:w="10" w:type="dxa"/>
              <w:bottom w:w="0" w:type="dxa"/>
              <w:right w:w="10" w:type="dxa"/>
            </w:tcMar>
            <w:vAlign w:val="center"/>
          </w:tcPr>
          <w:p w14:paraId="76CE3E4E">
            <w:pPr>
              <w:widowControl/>
              <w:spacing w:line="360" w:lineRule="auto"/>
              <w:jc w:val="center"/>
              <w:rPr>
                <w:rFonts w:ascii="宋体" w:hAnsi="宋体" w:cs="宋体"/>
                <w:b/>
                <w:kern w:val="0"/>
                <w:szCs w:val="21"/>
              </w:rPr>
            </w:pPr>
            <w:r>
              <w:rPr>
                <w:rFonts w:hint="eastAsia" w:ascii="宋体" w:hAnsi="宋体" w:cs="宋体"/>
                <w:b/>
                <w:kern w:val="0"/>
                <w:szCs w:val="21"/>
              </w:rPr>
              <w:t>投标响应</w:t>
            </w:r>
          </w:p>
        </w:tc>
        <w:tc>
          <w:tcPr>
            <w:tcW w:w="1201" w:type="dxa"/>
            <w:tcMar>
              <w:top w:w="0" w:type="dxa"/>
              <w:left w:w="10" w:type="dxa"/>
              <w:bottom w:w="0" w:type="dxa"/>
              <w:right w:w="10" w:type="dxa"/>
            </w:tcMar>
            <w:vAlign w:val="center"/>
          </w:tcPr>
          <w:p w14:paraId="61393A82">
            <w:pPr>
              <w:widowControl/>
              <w:spacing w:line="360" w:lineRule="auto"/>
              <w:jc w:val="center"/>
              <w:rPr>
                <w:rFonts w:ascii="宋体" w:hAnsi="宋体" w:cs="宋体"/>
                <w:b/>
                <w:kern w:val="0"/>
                <w:szCs w:val="21"/>
              </w:rPr>
            </w:pPr>
            <w:r>
              <w:rPr>
                <w:rFonts w:hint="eastAsia" w:ascii="宋体" w:hAnsi="宋体" w:cs="宋体"/>
                <w:b/>
                <w:kern w:val="0"/>
                <w:szCs w:val="21"/>
              </w:rPr>
              <w:t>偏离</w:t>
            </w:r>
          </w:p>
        </w:tc>
      </w:tr>
      <w:tr w14:paraId="71F6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208E2D6F">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679" w:type="dxa"/>
            <w:tcMar>
              <w:top w:w="0" w:type="dxa"/>
              <w:left w:w="10" w:type="dxa"/>
              <w:bottom w:w="0" w:type="dxa"/>
              <w:right w:w="10" w:type="dxa"/>
            </w:tcMar>
            <w:vAlign w:val="center"/>
          </w:tcPr>
          <w:p w14:paraId="0971B732">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2488" w:type="dxa"/>
            <w:tcMar>
              <w:top w:w="0" w:type="dxa"/>
              <w:left w:w="10" w:type="dxa"/>
              <w:bottom w:w="0" w:type="dxa"/>
              <w:right w:w="10" w:type="dxa"/>
            </w:tcMar>
            <w:vAlign w:val="center"/>
          </w:tcPr>
          <w:p w14:paraId="6A8DB1A8">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3004" w:type="dxa"/>
            <w:tcMar>
              <w:top w:w="0" w:type="dxa"/>
              <w:left w:w="10" w:type="dxa"/>
              <w:bottom w:w="0" w:type="dxa"/>
              <w:right w:w="10" w:type="dxa"/>
            </w:tcMar>
            <w:vAlign w:val="center"/>
          </w:tcPr>
          <w:p w14:paraId="58E57895">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01" w:type="dxa"/>
            <w:tcMar>
              <w:top w:w="0" w:type="dxa"/>
              <w:left w:w="10" w:type="dxa"/>
              <w:bottom w:w="0" w:type="dxa"/>
              <w:right w:w="10" w:type="dxa"/>
            </w:tcMar>
            <w:vAlign w:val="center"/>
          </w:tcPr>
          <w:p w14:paraId="764FE450">
            <w:pPr>
              <w:widowControl/>
              <w:spacing w:line="360" w:lineRule="auto"/>
              <w:jc w:val="center"/>
              <w:rPr>
                <w:rFonts w:ascii="宋体" w:hAnsi="宋体" w:cs="宋体"/>
                <w:kern w:val="0"/>
                <w:szCs w:val="21"/>
              </w:rPr>
            </w:pPr>
            <w:r>
              <w:rPr>
                <w:rFonts w:hint="eastAsia" w:ascii="宋体" w:hAnsi="宋体" w:cs="宋体"/>
                <w:kern w:val="0"/>
                <w:szCs w:val="21"/>
              </w:rPr>
              <w:t> </w:t>
            </w:r>
          </w:p>
        </w:tc>
      </w:tr>
      <w:tr w14:paraId="4BF37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210C9A63">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679" w:type="dxa"/>
            <w:tcMar>
              <w:top w:w="0" w:type="dxa"/>
              <w:left w:w="10" w:type="dxa"/>
              <w:bottom w:w="0" w:type="dxa"/>
              <w:right w:w="10" w:type="dxa"/>
            </w:tcMar>
            <w:vAlign w:val="center"/>
          </w:tcPr>
          <w:p w14:paraId="7B8B9B82">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2488" w:type="dxa"/>
            <w:tcMar>
              <w:top w:w="0" w:type="dxa"/>
              <w:left w:w="10" w:type="dxa"/>
              <w:bottom w:w="0" w:type="dxa"/>
              <w:right w:w="10" w:type="dxa"/>
            </w:tcMar>
            <w:vAlign w:val="center"/>
          </w:tcPr>
          <w:p w14:paraId="35D9B85F">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3004" w:type="dxa"/>
            <w:tcMar>
              <w:top w:w="0" w:type="dxa"/>
              <w:left w:w="10" w:type="dxa"/>
              <w:bottom w:w="0" w:type="dxa"/>
              <w:right w:w="10" w:type="dxa"/>
            </w:tcMar>
            <w:vAlign w:val="center"/>
          </w:tcPr>
          <w:p w14:paraId="7C82EEF2">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01" w:type="dxa"/>
            <w:tcMar>
              <w:top w:w="0" w:type="dxa"/>
              <w:left w:w="10" w:type="dxa"/>
              <w:bottom w:w="0" w:type="dxa"/>
              <w:right w:w="10" w:type="dxa"/>
            </w:tcMar>
            <w:vAlign w:val="center"/>
          </w:tcPr>
          <w:p w14:paraId="4615C355">
            <w:pPr>
              <w:widowControl/>
              <w:spacing w:line="360" w:lineRule="auto"/>
              <w:jc w:val="center"/>
              <w:rPr>
                <w:rFonts w:ascii="宋体" w:hAnsi="宋体" w:cs="宋体"/>
                <w:kern w:val="0"/>
                <w:szCs w:val="21"/>
              </w:rPr>
            </w:pPr>
            <w:r>
              <w:rPr>
                <w:rFonts w:hint="eastAsia" w:ascii="宋体" w:hAnsi="宋体" w:cs="宋体"/>
                <w:kern w:val="0"/>
                <w:szCs w:val="21"/>
              </w:rPr>
              <w:t> </w:t>
            </w:r>
          </w:p>
        </w:tc>
      </w:tr>
      <w:tr w14:paraId="31DC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558874B8">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679" w:type="dxa"/>
            <w:tcMar>
              <w:top w:w="0" w:type="dxa"/>
              <w:left w:w="10" w:type="dxa"/>
              <w:bottom w:w="0" w:type="dxa"/>
              <w:right w:w="10" w:type="dxa"/>
            </w:tcMar>
            <w:vAlign w:val="center"/>
          </w:tcPr>
          <w:p w14:paraId="6EF2AAE8">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2488" w:type="dxa"/>
            <w:tcMar>
              <w:top w:w="0" w:type="dxa"/>
              <w:left w:w="10" w:type="dxa"/>
              <w:bottom w:w="0" w:type="dxa"/>
              <w:right w:w="10" w:type="dxa"/>
            </w:tcMar>
            <w:vAlign w:val="center"/>
          </w:tcPr>
          <w:p w14:paraId="6E936DFB">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3004" w:type="dxa"/>
            <w:tcMar>
              <w:top w:w="0" w:type="dxa"/>
              <w:left w:w="10" w:type="dxa"/>
              <w:bottom w:w="0" w:type="dxa"/>
              <w:right w:w="10" w:type="dxa"/>
            </w:tcMar>
            <w:vAlign w:val="center"/>
          </w:tcPr>
          <w:p w14:paraId="28EF1F03">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01" w:type="dxa"/>
            <w:tcMar>
              <w:top w:w="0" w:type="dxa"/>
              <w:left w:w="10" w:type="dxa"/>
              <w:bottom w:w="0" w:type="dxa"/>
              <w:right w:w="10" w:type="dxa"/>
            </w:tcMar>
            <w:vAlign w:val="center"/>
          </w:tcPr>
          <w:p w14:paraId="78856E0F">
            <w:pPr>
              <w:widowControl/>
              <w:spacing w:line="360" w:lineRule="auto"/>
              <w:jc w:val="center"/>
              <w:rPr>
                <w:rFonts w:ascii="宋体" w:hAnsi="宋体" w:cs="宋体"/>
                <w:kern w:val="0"/>
                <w:szCs w:val="21"/>
              </w:rPr>
            </w:pPr>
            <w:r>
              <w:rPr>
                <w:rFonts w:hint="eastAsia" w:ascii="宋体" w:hAnsi="宋体" w:cs="宋体"/>
                <w:kern w:val="0"/>
                <w:szCs w:val="21"/>
              </w:rPr>
              <w:t> </w:t>
            </w:r>
          </w:p>
        </w:tc>
      </w:tr>
      <w:tr w14:paraId="00B5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66344E4F">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679" w:type="dxa"/>
            <w:tcMar>
              <w:top w:w="0" w:type="dxa"/>
              <w:left w:w="10" w:type="dxa"/>
              <w:bottom w:w="0" w:type="dxa"/>
              <w:right w:w="10" w:type="dxa"/>
            </w:tcMar>
            <w:vAlign w:val="center"/>
          </w:tcPr>
          <w:p w14:paraId="7FAD1F56">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2488" w:type="dxa"/>
            <w:tcMar>
              <w:top w:w="0" w:type="dxa"/>
              <w:left w:w="10" w:type="dxa"/>
              <w:bottom w:w="0" w:type="dxa"/>
              <w:right w:w="10" w:type="dxa"/>
            </w:tcMar>
            <w:vAlign w:val="center"/>
          </w:tcPr>
          <w:p w14:paraId="2F982300">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3004" w:type="dxa"/>
            <w:tcMar>
              <w:top w:w="0" w:type="dxa"/>
              <w:left w:w="10" w:type="dxa"/>
              <w:bottom w:w="0" w:type="dxa"/>
              <w:right w:w="10" w:type="dxa"/>
            </w:tcMar>
            <w:vAlign w:val="center"/>
          </w:tcPr>
          <w:p w14:paraId="7A837B1B">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01" w:type="dxa"/>
            <w:tcMar>
              <w:top w:w="0" w:type="dxa"/>
              <w:left w:w="10" w:type="dxa"/>
              <w:bottom w:w="0" w:type="dxa"/>
              <w:right w:w="10" w:type="dxa"/>
            </w:tcMar>
            <w:vAlign w:val="center"/>
          </w:tcPr>
          <w:p w14:paraId="2116BF49">
            <w:pPr>
              <w:widowControl/>
              <w:spacing w:line="360" w:lineRule="auto"/>
              <w:jc w:val="center"/>
              <w:rPr>
                <w:rFonts w:ascii="宋体" w:hAnsi="宋体" w:cs="宋体"/>
                <w:kern w:val="0"/>
                <w:szCs w:val="21"/>
              </w:rPr>
            </w:pPr>
            <w:r>
              <w:rPr>
                <w:rFonts w:hint="eastAsia" w:ascii="宋体" w:hAnsi="宋体" w:cs="宋体"/>
                <w:kern w:val="0"/>
                <w:szCs w:val="21"/>
              </w:rPr>
              <w:t> </w:t>
            </w:r>
          </w:p>
        </w:tc>
      </w:tr>
      <w:tr w14:paraId="401C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3CA92CFF">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679" w:type="dxa"/>
            <w:tcMar>
              <w:top w:w="0" w:type="dxa"/>
              <w:left w:w="10" w:type="dxa"/>
              <w:bottom w:w="0" w:type="dxa"/>
              <w:right w:w="10" w:type="dxa"/>
            </w:tcMar>
            <w:vAlign w:val="center"/>
          </w:tcPr>
          <w:p w14:paraId="41301638">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2488" w:type="dxa"/>
            <w:tcMar>
              <w:top w:w="0" w:type="dxa"/>
              <w:left w:w="10" w:type="dxa"/>
              <w:bottom w:w="0" w:type="dxa"/>
              <w:right w:w="10" w:type="dxa"/>
            </w:tcMar>
            <w:vAlign w:val="center"/>
          </w:tcPr>
          <w:p w14:paraId="6CD130A4">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3004" w:type="dxa"/>
            <w:tcMar>
              <w:top w:w="0" w:type="dxa"/>
              <w:left w:w="10" w:type="dxa"/>
              <w:bottom w:w="0" w:type="dxa"/>
              <w:right w:w="10" w:type="dxa"/>
            </w:tcMar>
            <w:vAlign w:val="center"/>
          </w:tcPr>
          <w:p w14:paraId="3043FCAA">
            <w:pPr>
              <w:widowControl/>
              <w:spacing w:line="360" w:lineRule="auto"/>
              <w:jc w:val="center"/>
              <w:rPr>
                <w:rFonts w:ascii="宋体" w:hAnsi="宋体" w:cs="宋体"/>
                <w:kern w:val="0"/>
                <w:szCs w:val="21"/>
              </w:rPr>
            </w:pPr>
            <w:r>
              <w:rPr>
                <w:rFonts w:hint="eastAsia" w:ascii="宋体" w:hAnsi="宋体" w:cs="宋体"/>
                <w:kern w:val="0"/>
                <w:szCs w:val="21"/>
              </w:rPr>
              <w:t> </w:t>
            </w:r>
          </w:p>
        </w:tc>
        <w:tc>
          <w:tcPr>
            <w:tcW w:w="1201" w:type="dxa"/>
            <w:tcMar>
              <w:top w:w="0" w:type="dxa"/>
              <w:left w:w="10" w:type="dxa"/>
              <w:bottom w:w="0" w:type="dxa"/>
              <w:right w:w="10" w:type="dxa"/>
            </w:tcMar>
            <w:vAlign w:val="center"/>
          </w:tcPr>
          <w:p w14:paraId="3B40CD9D">
            <w:pPr>
              <w:widowControl/>
              <w:spacing w:line="360" w:lineRule="auto"/>
              <w:jc w:val="center"/>
              <w:rPr>
                <w:rFonts w:ascii="宋体" w:hAnsi="宋体" w:cs="宋体"/>
                <w:kern w:val="0"/>
                <w:szCs w:val="21"/>
              </w:rPr>
            </w:pPr>
            <w:r>
              <w:rPr>
                <w:rFonts w:hint="eastAsia" w:ascii="宋体" w:hAnsi="宋体" w:cs="宋体"/>
                <w:kern w:val="0"/>
                <w:szCs w:val="21"/>
              </w:rPr>
              <w:t> </w:t>
            </w:r>
          </w:p>
        </w:tc>
      </w:tr>
      <w:tr w14:paraId="2A165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2EFBCB3F">
            <w:pPr>
              <w:widowControl/>
              <w:spacing w:line="360" w:lineRule="auto"/>
              <w:jc w:val="center"/>
              <w:rPr>
                <w:rFonts w:ascii="宋体" w:hAnsi="宋体" w:cs="宋体"/>
                <w:kern w:val="0"/>
                <w:szCs w:val="21"/>
              </w:rPr>
            </w:pPr>
          </w:p>
        </w:tc>
        <w:tc>
          <w:tcPr>
            <w:tcW w:w="1679" w:type="dxa"/>
            <w:tcMar>
              <w:top w:w="0" w:type="dxa"/>
              <w:left w:w="10" w:type="dxa"/>
              <w:bottom w:w="0" w:type="dxa"/>
              <w:right w:w="10" w:type="dxa"/>
            </w:tcMar>
            <w:vAlign w:val="center"/>
          </w:tcPr>
          <w:p w14:paraId="0CB0F0EE">
            <w:pPr>
              <w:widowControl/>
              <w:spacing w:line="360" w:lineRule="auto"/>
              <w:jc w:val="center"/>
              <w:rPr>
                <w:rFonts w:ascii="宋体" w:hAnsi="宋体" w:cs="宋体"/>
                <w:kern w:val="0"/>
                <w:szCs w:val="21"/>
              </w:rPr>
            </w:pPr>
          </w:p>
        </w:tc>
        <w:tc>
          <w:tcPr>
            <w:tcW w:w="2488" w:type="dxa"/>
            <w:tcMar>
              <w:top w:w="0" w:type="dxa"/>
              <w:left w:w="10" w:type="dxa"/>
              <w:bottom w:w="0" w:type="dxa"/>
              <w:right w:w="10" w:type="dxa"/>
            </w:tcMar>
            <w:vAlign w:val="center"/>
          </w:tcPr>
          <w:p w14:paraId="7B17810C">
            <w:pPr>
              <w:widowControl/>
              <w:spacing w:line="360" w:lineRule="auto"/>
              <w:jc w:val="center"/>
              <w:rPr>
                <w:rFonts w:ascii="宋体" w:hAnsi="宋体" w:cs="宋体"/>
                <w:kern w:val="0"/>
                <w:szCs w:val="21"/>
              </w:rPr>
            </w:pPr>
          </w:p>
        </w:tc>
        <w:tc>
          <w:tcPr>
            <w:tcW w:w="3004" w:type="dxa"/>
            <w:tcMar>
              <w:top w:w="0" w:type="dxa"/>
              <w:left w:w="10" w:type="dxa"/>
              <w:bottom w:w="0" w:type="dxa"/>
              <w:right w:w="10" w:type="dxa"/>
            </w:tcMar>
            <w:vAlign w:val="center"/>
          </w:tcPr>
          <w:p w14:paraId="4FBE981A">
            <w:pPr>
              <w:widowControl/>
              <w:spacing w:line="360" w:lineRule="auto"/>
              <w:jc w:val="center"/>
              <w:rPr>
                <w:rFonts w:ascii="宋体" w:hAnsi="宋体" w:cs="宋体"/>
                <w:kern w:val="0"/>
                <w:szCs w:val="21"/>
              </w:rPr>
            </w:pPr>
          </w:p>
        </w:tc>
        <w:tc>
          <w:tcPr>
            <w:tcW w:w="1201" w:type="dxa"/>
            <w:tcMar>
              <w:top w:w="0" w:type="dxa"/>
              <w:left w:w="10" w:type="dxa"/>
              <w:bottom w:w="0" w:type="dxa"/>
              <w:right w:w="10" w:type="dxa"/>
            </w:tcMar>
            <w:vAlign w:val="center"/>
          </w:tcPr>
          <w:p w14:paraId="5DDE0944">
            <w:pPr>
              <w:widowControl/>
              <w:spacing w:line="360" w:lineRule="auto"/>
              <w:jc w:val="center"/>
              <w:rPr>
                <w:rFonts w:ascii="宋体" w:hAnsi="宋体" w:cs="宋体"/>
                <w:kern w:val="0"/>
                <w:szCs w:val="21"/>
              </w:rPr>
            </w:pPr>
          </w:p>
        </w:tc>
      </w:tr>
      <w:tr w14:paraId="40A71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60" w:type="dxa"/>
            <w:tcMar>
              <w:top w:w="0" w:type="dxa"/>
              <w:left w:w="10" w:type="dxa"/>
              <w:bottom w:w="0" w:type="dxa"/>
              <w:right w:w="10" w:type="dxa"/>
            </w:tcMar>
            <w:vAlign w:val="center"/>
          </w:tcPr>
          <w:p w14:paraId="3726DFF3">
            <w:pPr>
              <w:widowControl/>
              <w:spacing w:line="360" w:lineRule="auto"/>
              <w:jc w:val="center"/>
              <w:rPr>
                <w:rFonts w:ascii="宋体" w:hAnsi="宋体" w:cs="宋体"/>
                <w:kern w:val="0"/>
                <w:szCs w:val="21"/>
              </w:rPr>
            </w:pPr>
          </w:p>
        </w:tc>
        <w:tc>
          <w:tcPr>
            <w:tcW w:w="1679" w:type="dxa"/>
            <w:tcMar>
              <w:top w:w="0" w:type="dxa"/>
              <w:left w:w="10" w:type="dxa"/>
              <w:bottom w:w="0" w:type="dxa"/>
              <w:right w:w="10" w:type="dxa"/>
            </w:tcMar>
            <w:vAlign w:val="center"/>
          </w:tcPr>
          <w:p w14:paraId="696A48B0">
            <w:pPr>
              <w:widowControl/>
              <w:spacing w:line="360" w:lineRule="auto"/>
              <w:jc w:val="center"/>
              <w:rPr>
                <w:rFonts w:ascii="宋体" w:hAnsi="宋体" w:cs="宋体"/>
                <w:kern w:val="0"/>
                <w:szCs w:val="21"/>
              </w:rPr>
            </w:pPr>
          </w:p>
        </w:tc>
        <w:tc>
          <w:tcPr>
            <w:tcW w:w="2488" w:type="dxa"/>
            <w:tcMar>
              <w:top w:w="0" w:type="dxa"/>
              <w:left w:w="10" w:type="dxa"/>
              <w:bottom w:w="0" w:type="dxa"/>
              <w:right w:w="10" w:type="dxa"/>
            </w:tcMar>
            <w:vAlign w:val="center"/>
          </w:tcPr>
          <w:p w14:paraId="2D7378DB">
            <w:pPr>
              <w:widowControl/>
              <w:spacing w:line="360" w:lineRule="auto"/>
              <w:jc w:val="center"/>
              <w:rPr>
                <w:rFonts w:ascii="宋体" w:hAnsi="宋体" w:cs="宋体"/>
                <w:kern w:val="0"/>
                <w:szCs w:val="21"/>
              </w:rPr>
            </w:pPr>
          </w:p>
        </w:tc>
        <w:tc>
          <w:tcPr>
            <w:tcW w:w="3004" w:type="dxa"/>
            <w:tcMar>
              <w:top w:w="0" w:type="dxa"/>
              <w:left w:w="10" w:type="dxa"/>
              <w:bottom w:w="0" w:type="dxa"/>
              <w:right w:w="10" w:type="dxa"/>
            </w:tcMar>
            <w:vAlign w:val="center"/>
          </w:tcPr>
          <w:p w14:paraId="41F03922">
            <w:pPr>
              <w:widowControl/>
              <w:spacing w:line="360" w:lineRule="auto"/>
              <w:jc w:val="center"/>
              <w:rPr>
                <w:rFonts w:ascii="宋体" w:hAnsi="宋体" w:cs="宋体"/>
                <w:kern w:val="0"/>
                <w:szCs w:val="21"/>
              </w:rPr>
            </w:pPr>
          </w:p>
        </w:tc>
        <w:tc>
          <w:tcPr>
            <w:tcW w:w="1201" w:type="dxa"/>
            <w:tcMar>
              <w:top w:w="0" w:type="dxa"/>
              <w:left w:w="10" w:type="dxa"/>
              <w:bottom w:w="0" w:type="dxa"/>
              <w:right w:w="10" w:type="dxa"/>
            </w:tcMar>
            <w:vAlign w:val="center"/>
          </w:tcPr>
          <w:p w14:paraId="37CCA372">
            <w:pPr>
              <w:widowControl/>
              <w:spacing w:line="360" w:lineRule="auto"/>
              <w:jc w:val="center"/>
              <w:rPr>
                <w:rFonts w:ascii="宋体" w:hAnsi="宋体" w:cs="宋体"/>
                <w:kern w:val="0"/>
                <w:szCs w:val="21"/>
              </w:rPr>
            </w:pPr>
          </w:p>
        </w:tc>
      </w:tr>
    </w:tbl>
    <w:p w14:paraId="65C150D0">
      <w:pPr>
        <w:widowControl/>
        <w:spacing w:line="360" w:lineRule="auto"/>
        <w:jc w:val="left"/>
        <w:rPr>
          <w:rFonts w:ascii="宋体" w:hAnsi="宋体" w:cs="宋体"/>
          <w:kern w:val="0"/>
          <w:szCs w:val="21"/>
        </w:rPr>
      </w:pPr>
      <w:r>
        <w:rPr>
          <w:rFonts w:hint="eastAsia" w:ascii="宋体" w:hAnsi="宋体" w:cs="宋体"/>
          <w:kern w:val="0"/>
          <w:szCs w:val="21"/>
        </w:rPr>
        <w:t>说明：投标文件商务部分内容响应存在正偏离或负偏离的，请在本表中逐条列出。未列出的，视为响应招标文件要求。如果行数不够，请自行增加。</w:t>
      </w:r>
    </w:p>
    <w:p w14:paraId="44461D6B">
      <w:pPr>
        <w:widowControl/>
        <w:spacing w:line="360" w:lineRule="auto"/>
        <w:jc w:val="left"/>
        <w:rPr>
          <w:rFonts w:ascii="宋体" w:hAnsi="宋体" w:cs="宋体"/>
          <w:kern w:val="0"/>
          <w:szCs w:val="21"/>
        </w:rPr>
      </w:pPr>
    </w:p>
    <w:p w14:paraId="50E37440">
      <w:pPr>
        <w:widowControl/>
        <w:spacing w:line="360" w:lineRule="auto"/>
        <w:jc w:val="left"/>
        <w:rPr>
          <w:rFonts w:ascii="宋体" w:hAnsi="宋体" w:cs="宋体"/>
          <w:kern w:val="0"/>
          <w:szCs w:val="21"/>
        </w:rPr>
      </w:pPr>
    </w:p>
    <w:p w14:paraId="40EFA80C">
      <w:pPr>
        <w:widowControl/>
        <w:spacing w:line="360" w:lineRule="auto"/>
        <w:jc w:val="left"/>
        <w:rPr>
          <w:rFonts w:ascii="宋体" w:hAnsi="宋体" w:cs="宋体"/>
          <w:kern w:val="0"/>
          <w:szCs w:val="21"/>
        </w:rPr>
      </w:pPr>
    </w:p>
    <w:p w14:paraId="450EA44F">
      <w:pPr>
        <w:widowControl/>
        <w:spacing w:line="360" w:lineRule="auto"/>
        <w:jc w:val="left"/>
        <w:rPr>
          <w:rFonts w:ascii="宋体" w:hAnsi="宋体" w:cs="宋体"/>
          <w:kern w:val="0"/>
          <w:szCs w:val="21"/>
        </w:rPr>
      </w:pPr>
      <w:r>
        <w:rPr>
          <w:rFonts w:hint="eastAsia" w:ascii="宋体" w:hAnsi="宋体" w:cs="宋体"/>
          <w:kern w:val="0"/>
          <w:szCs w:val="21"/>
        </w:rPr>
        <w:t>投标单位（盖章）：</w:t>
      </w:r>
      <w:r>
        <w:rPr>
          <w:rFonts w:hint="eastAsia" w:ascii="宋体" w:hAnsi="宋体" w:cs="宋体"/>
          <w:kern w:val="0"/>
          <w:szCs w:val="21"/>
          <w:u w:val="single"/>
        </w:rPr>
        <w:t>                             </w:t>
      </w:r>
      <w:r>
        <w:rPr>
          <w:rFonts w:hint="eastAsia" w:ascii="宋体" w:hAnsi="宋体" w:cs="宋体"/>
          <w:kern w:val="0"/>
          <w:szCs w:val="21"/>
        </w:rPr>
        <w:t xml:space="preserve"> </w:t>
      </w:r>
    </w:p>
    <w:p w14:paraId="5DC23D45">
      <w:pPr>
        <w:widowControl/>
        <w:spacing w:line="360" w:lineRule="auto"/>
        <w:jc w:val="left"/>
        <w:rPr>
          <w:rFonts w:ascii="宋体" w:hAnsi="宋体" w:cs="宋体"/>
          <w:kern w:val="0"/>
          <w:szCs w:val="21"/>
          <w:u w:val="single"/>
        </w:rPr>
      </w:pPr>
      <w:r>
        <w:rPr>
          <w:rFonts w:hint="eastAsia" w:ascii="宋体" w:hAnsi="宋体" w:cs="宋体"/>
          <w:kern w:val="0"/>
          <w:szCs w:val="21"/>
        </w:rPr>
        <w:t>法定代表人或授权代表（签字或签章）：</w:t>
      </w:r>
      <w:r>
        <w:rPr>
          <w:rFonts w:hint="eastAsia" w:ascii="宋体" w:hAnsi="宋体" w:cs="宋体"/>
          <w:kern w:val="0"/>
          <w:szCs w:val="21"/>
          <w:u w:val="single"/>
        </w:rPr>
        <w:t>                </w:t>
      </w:r>
    </w:p>
    <w:p w14:paraId="7FB56058">
      <w:pPr>
        <w:widowControl/>
        <w:spacing w:line="360" w:lineRule="auto"/>
        <w:jc w:val="left"/>
        <w:rPr>
          <w:rFonts w:ascii="宋体" w:hAnsi="宋体" w:cs="宋体"/>
          <w:kern w:val="0"/>
          <w:szCs w:val="21"/>
        </w:rPr>
      </w:pPr>
    </w:p>
    <w:p w14:paraId="6C3E1FD4">
      <w:pPr>
        <w:widowControl/>
        <w:spacing w:line="360" w:lineRule="auto"/>
        <w:jc w:val="left"/>
        <w:rPr>
          <w:rFonts w:ascii="宋体" w:hAnsi="宋体" w:cs="宋体"/>
          <w:kern w:val="0"/>
          <w:szCs w:val="21"/>
        </w:rPr>
      </w:pPr>
      <w:r>
        <w:rPr>
          <w:rFonts w:hint="eastAsia" w:ascii="宋体" w:hAnsi="宋体" w:cs="宋体"/>
          <w:kern w:val="0"/>
          <w:szCs w:val="21"/>
        </w:rPr>
        <w:t> </w:t>
      </w:r>
    </w:p>
    <w:p w14:paraId="2657FEA1">
      <w:pPr>
        <w:widowControl/>
        <w:spacing w:line="360" w:lineRule="auto"/>
        <w:jc w:val="left"/>
        <w:rPr>
          <w:rFonts w:ascii="宋体" w:hAnsi="宋体" w:cs="宋体"/>
          <w:kern w:val="0"/>
          <w:szCs w:val="21"/>
        </w:rPr>
      </w:pPr>
      <w:r>
        <w:rPr>
          <w:rFonts w:hint="eastAsia" w:ascii="宋体" w:hAnsi="宋体" w:cs="宋体"/>
          <w:kern w:val="0"/>
          <w:szCs w:val="21"/>
        </w:rPr>
        <w:t> </w:t>
      </w:r>
    </w:p>
    <w:p w14:paraId="18D02EA6">
      <w:pPr>
        <w:widowControl/>
        <w:spacing w:line="360" w:lineRule="auto"/>
        <w:jc w:val="left"/>
        <w:rPr>
          <w:rFonts w:ascii="宋体" w:hAnsi="宋体" w:cs="宋体"/>
          <w:kern w:val="0"/>
          <w:szCs w:val="21"/>
        </w:rPr>
      </w:pPr>
    </w:p>
    <w:p w14:paraId="059A46B6">
      <w:pPr>
        <w:widowControl/>
        <w:spacing w:line="360" w:lineRule="auto"/>
        <w:jc w:val="left"/>
        <w:rPr>
          <w:rFonts w:ascii="宋体" w:hAnsi="宋体" w:cs="宋体"/>
          <w:b/>
          <w:szCs w:val="21"/>
          <w:lang w:val="zh-CN"/>
        </w:rPr>
      </w:pPr>
      <w:r>
        <w:rPr>
          <w:rFonts w:hint="eastAsia" w:ascii="宋体" w:hAnsi="宋体" w:cs="宋体"/>
          <w:b/>
          <w:bCs/>
          <w:kern w:val="0"/>
          <w:szCs w:val="21"/>
        </w:rPr>
        <w:br w:type="page"/>
      </w:r>
      <w:r>
        <w:rPr>
          <w:rFonts w:hint="eastAsia" w:ascii="宋体" w:hAnsi="宋体" w:cs="宋体"/>
          <w:b/>
          <w:bCs/>
          <w:kern w:val="0"/>
          <w:szCs w:val="21"/>
        </w:rPr>
        <w:t>附件六、</w:t>
      </w:r>
      <w:r>
        <w:rPr>
          <w:rFonts w:hint="eastAsia" w:ascii="宋体" w:hAnsi="宋体" w:cs="宋体"/>
          <w:b/>
          <w:szCs w:val="21"/>
          <w:lang w:val="zh-CN"/>
        </w:rPr>
        <w:t>技术说明与服务方案</w:t>
      </w:r>
    </w:p>
    <w:p w14:paraId="0A9774A2">
      <w:pPr>
        <w:widowControl/>
        <w:spacing w:line="360" w:lineRule="auto"/>
        <w:jc w:val="left"/>
        <w:rPr>
          <w:rFonts w:ascii="宋体" w:hAnsi="宋体" w:cs="宋体"/>
          <w:b/>
          <w:szCs w:val="21"/>
          <w:lang w:val="zh-CN"/>
        </w:rPr>
      </w:pPr>
    </w:p>
    <w:p w14:paraId="6F622D63">
      <w:pPr>
        <w:pStyle w:val="189"/>
        <w:snapToGrid w:val="0"/>
        <w:spacing w:before="0" w:after="0"/>
        <w:ind w:firstLine="420" w:firstLineChars="200"/>
        <w:rPr>
          <w:rFonts w:ascii="宋体" w:hAnsi="宋体" w:cs="宋体"/>
          <w:kern w:val="2"/>
          <w:sz w:val="21"/>
          <w:szCs w:val="21"/>
        </w:rPr>
      </w:pPr>
      <w:r>
        <w:rPr>
          <w:rFonts w:hint="eastAsia" w:ascii="宋体" w:hAnsi="宋体" w:cs="宋体"/>
          <w:kern w:val="2"/>
          <w:sz w:val="21"/>
          <w:szCs w:val="21"/>
        </w:rPr>
        <w:t>技术方案及服务承诺应根据采购人对项目的要求、评标标准的要求及项目本身的特点编写，内容应包括但不限于以下内容：</w:t>
      </w:r>
    </w:p>
    <w:p w14:paraId="24741432">
      <w:pPr>
        <w:pStyle w:val="189"/>
        <w:snapToGrid w:val="0"/>
        <w:spacing w:before="0" w:after="0"/>
        <w:ind w:firstLine="420" w:firstLineChars="200"/>
        <w:rPr>
          <w:rFonts w:ascii="宋体" w:hAnsi="宋体" w:cs="宋体"/>
          <w:kern w:val="2"/>
          <w:sz w:val="21"/>
          <w:szCs w:val="21"/>
        </w:rPr>
      </w:pPr>
    </w:p>
    <w:p w14:paraId="143784EE">
      <w:pPr>
        <w:widowControl/>
        <w:spacing w:line="360" w:lineRule="auto"/>
        <w:jc w:val="left"/>
        <w:rPr>
          <w:rFonts w:ascii="宋体" w:hAnsi="宋体" w:cs="宋体"/>
          <w:kern w:val="0"/>
          <w:szCs w:val="21"/>
        </w:rPr>
      </w:pPr>
    </w:p>
    <w:p w14:paraId="30F34BDE">
      <w:pPr>
        <w:widowControl/>
        <w:spacing w:line="360" w:lineRule="auto"/>
        <w:jc w:val="left"/>
        <w:rPr>
          <w:rFonts w:ascii="宋体" w:hAnsi="宋体" w:cs="宋体"/>
          <w:kern w:val="0"/>
          <w:szCs w:val="21"/>
        </w:rPr>
      </w:pPr>
    </w:p>
    <w:p w14:paraId="00B26057">
      <w:pPr>
        <w:widowControl/>
        <w:spacing w:line="360" w:lineRule="auto"/>
        <w:jc w:val="left"/>
        <w:rPr>
          <w:rFonts w:ascii="宋体" w:hAnsi="宋体" w:cs="宋体"/>
          <w:b/>
          <w:bCs/>
          <w:kern w:val="0"/>
          <w:szCs w:val="21"/>
        </w:rPr>
      </w:pPr>
    </w:p>
    <w:p w14:paraId="5626912B">
      <w:pPr>
        <w:widowControl/>
        <w:adjustRightInd w:val="0"/>
        <w:spacing w:line="460" w:lineRule="atLeast"/>
        <w:rPr>
          <w:rFonts w:ascii="宋体" w:hAnsi="宋体" w:cs="宋体"/>
          <w:b/>
          <w:bCs/>
          <w:kern w:val="0"/>
          <w:sz w:val="24"/>
        </w:rPr>
      </w:pPr>
      <w:r>
        <w:rPr>
          <w:rFonts w:hint="eastAsia" w:ascii="宋体" w:hAnsi="宋体" w:cs="宋体"/>
        </w:rPr>
        <w:br w:type="page"/>
      </w:r>
      <w:r>
        <w:rPr>
          <w:rFonts w:hint="eastAsia" w:ascii="宋体" w:hAnsi="宋体" w:cs="宋体"/>
          <w:b/>
          <w:bCs/>
          <w:kern w:val="0"/>
          <w:sz w:val="24"/>
        </w:rPr>
        <w:t>附件七、拟参与本项目服务人员一览表</w:t>
      </w:r>
    </w:p>
    <w:p w14:paraId="209BF4DE">
      <w:pPr>
        <w:widowControl/>
        <w:adjustRightInd w:val="0"/>
        <w:spacing w:line="460" w:lineRule="atLeast"/>
        <w:rPr>
          <w:rFonts w:ascii="宋体" w:hAnsi="宋体" w:cs="宋体"/>
          <w:b/>
          <w:bCs/>
          <w:kern w:val="0"/>
          <w:sz w:val="24"/>
        </w:rPr>
      </w:pPr>
    </w:p>
    <w:p w14:paraId="1A0DAA37">
      <w:pPr>
        <w:widowControl/>
        <w:adjustRightInd w:val="0"/>
        <w:jc w:val="center"/>
        <w:rPr>
          <w:rFonts w:ascii="宋体" w:hAnsi="宋体" w:cs="宋体"/>
          <w:b/>
          <w:bCs/>
          <w:kern w:val="0"/>
          <w:sz w:val="24"/>
        </w:rPr>
      </w:pPr>
      <w:r>
        <w:rPr>
          <w:rFonts w:hint="eastAsia" w:ascii="宋体" w:hAnsi="宋体" w:cs="宋体"/>
          <w:b/>
          <w:bCs/>
          <w:kern w:val="0"/>
          <w:sz w:val="24"/>
        </w:rPr>
        <w:t>拟参与本项目服务人员一览表</w:t>
      </w:r>
    </w:p>
    <w:p w14:paraId="1947B0FC">
      <w:pPr>
        <w:widowControl/>
        <w:adjustRightInd w:val="0"/>
        <w:jc w:val="center"/>
        <w:rPr>
          <w:rFonts w:ascii="宋体" w:hAnsi="宋体" w:cs="宋体"/>
          <w:b/>
          <w:bCs/>
          <w:kern w:val="0"/>
          <w:sz w:val="24"/>
        </w:rPr>
      </w:pPr>
    </w:p>
    <w:p w14:paraId="6E5D8571">
      <w:pPr>
        <w:widowControl/>
        <w:adjustRightInd w:val="0"/>
        <w:rPr>
          <w:rFonts w:ascii="宋体" w:hAnsi="宋体" w:cs="宋体"/>
          <w:kern w:val="0"/>
          <w:szCs w:val="21"/>
        </w:rPr>
      </w:pPr>
      <w:r>
        <w:rPr>
          <w:rFonts w:hint="eastAsia" w:ascii="宋体" w:hAnsi="宋体" w:cs="宋体"/>
          <w:kern w:val="0"/>
          <w:szCs w:val="21"/>
        </w:rPr>
        <w:t>项目名称：                项目编号：</w:t>
      </w:r>
    </w:p>
    <w:tbl>
      <w:tblPr>
        <w:tblStyle w:val="50"/>
        <w:tblW w:w="9464" w:type="dxa"/>
        <w:jc w:val="center"/>
        <w:tblLayout w:type="fixed"/>
        <w:tblCellMar>
          <w:top w:w="0" w:type="dxa"/>
          <w:left w:w="108" w:type="dxa"/>
          <w:bottom w:w="0" w:type="dxa"/>
          <w:right w:w="108" w:type="dxa"/>
        </w:tblCellMar>
      </w:tblPr>
      <w:tblGrid>
        <w:gridCol w:w="534"/>
        <w:gridCol w:w="896"/>
        <w:gridCol w:w="663"/>
        <w:gridCol w:w="709"/>
        <w:gridCol w:w="1134"/>
        <w:gridCol w:w="931"/>
        <w:gridCol w:w="1020"/>
        <w:gridCol w:w="994"/>
        <w:gridCol w:w="882"/>
        <w:gridCol w:w="850"/>
        <w:gridCol w:w="851"/>
      </w:tblGrid>
      <w:tr w14:paraId="5AC39635">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vAlign w:val="center"/>
          </w:tcPr>
          <w:p w14:paraId="14D52E59">
            <w:pPr>
              <w:widowControl/>
              <w:adjustRightInd w:val="0"/>
              <w:jc w:val="center"/>
              <w:rPr>
                <w:rFonts w:ascii="宋体" w:hAnsi="宋体" w:cs="宋体"/>
                <w:b/>
                <w:bCs/>
                <w:kern w:val="0"/>
                <w:szCs w:val="21"/>
              </w:rPr>
            </w:pPr>
            <w:r>
              <w:rPr>
                <w:rFonts w:hint="eastAsia" w:ascii="宋体" w:hAnsi="宋体" w:cs="宋体"/>
                <w:b/>
                <w:bCs/>
                <w:kern w:val="0"/>
                <w:szCs w:val="21"/>
              </w:rPr>
              <w:t>序号</w:t>
            </w:r>
          </w:p>
        </w:tc>
        <w:tc>
          <w:tcPr>
            <w:tcW w:w="896" w:type="dxa"/>
            <w:tcBorders>
              <w:top w:val="single" w:color="000000" w:sz="4" w:space="0"/>
              <w:left w:val="nil"/>
              <w:bottom w:val="single" w:color="000000" w:sz="4" w:space="0"/>
              <w:right w:val="single" w:color="000000" w:sz="4" w:space="0"/>
            </w:tcBorders>
            <w:vAlign w:val="center"/>
          </w:tcPr>
          <w:p w14:paraId="515FCE31">
            <w:pPr>
              <w:widowControl/>
              <w:adjustRightInd w:val="0"/>
              <w:jc w:val="center"/>
              <w:rPr>
                <w:rFonts w:ascii="宋体" w:hAnsi="宋体" w:cs="宋体"/>
                <w:b/>
                <w:bCs/>
                <w:kern w:val="0"/>
                <w:szCs w:val="21"/>
              </w:rPr>
            </w:pPr>
            <w:r>
              <w:rPr>
                <w:rFonts w:hint="eastAsia" w:ascii="宋体" w:hAnsi="宋体" w:cs="宋体"/>
                <w:b/>
                <w:bCs/>
                <w:kern w:val="0"/>
                <w:szCs w:val="21"/>
              </w:rPr>
              <w:t>姓名</w:t>
            </w:r>
          </w:p>
        </w:tc>
        <w:tc>
          <w:tcPr>
            <w:tcW w:w="663" w:type="dxa"/>
            <w:tcBorders>
              <w:top w:val="single" w:color="000000" w:sz="4" w:space="0"/>
              <w:left w:val="nil"/>
              <w:bottom w:val="single" w:color="000000" w:sz="4" w:space="0"/>
              <w:right w:val="single" w:color="000000" w:sz="4" w:space="0"/>
            </w:tcBorders>
            <w:vAlign w:val="center"/>
          </w:tcPr>
          <w:p w14:paraId="6376210A">
            <w:pPr>
              <w:widowControl/>
              <w:adjustRightInd w:val="0"/>
              <w:jc w:val="center"/>
              <w:rPr>
                <w:rFonts w:ascii="宋体" w:hAnsi="宋体" w:cs="宋体"/>
                <w:b/>
                <w:bCs/>
                <w:kern w:val="0"/>
                <w:szCs w:val="21"/>
              </w:rPr>
            </w:pPr>
            <w:r>
              <w:rPr>
                <w:rFonts w:hint="eastAsia" w:ascii="宋体" w:hAnsi="宋体" w:cs="宋体"/>
                <w:b/>
                <w:bCs/>
                <w:kern w:val="0"/>
                <w:szCs w:val="21"/>
              </w:rPr>
              <w:t>性别</w:t>
            </w:r>
          </w:p>
        </w:tc>
        <w:tc>
          <w:tcPr>
            <w:tcW w:w="709" w:type="dxa"/>
            <w:tcBorders>
              <w:top w:val="single" w:color="000000" w:sz="4" w:space="0"/>
              <w:left w:val="nil"/>
              <w:bottom w:val="single" w:color="000000" w:sz="4" w:space="0"/>
              <w:right w:val="single" w:color="000000" w:sz="4" w:space="0"/>
            </w:tcBorders>
            <w:vAlign w:val="center"/>
          </w:tcPr>
          <w:p w14:paraId="45DE6469">
            <w:pPr>
              <w:widowControl/>
              <w:adjustRightInd w:val="0"/>
              <w:jc w:val="center"/>
              <w:rPr>
                <w:rFonts w:ascii="宋体" w:hAnsi="宋体" w:cs="宋体"/>
                <w:b/>
                <w:bCs/>
                <w:kern w:val="0"/>
                <w:szCs w:val="21"/>
              </w:rPr>
            </w:pPr>
            <w:r>
              <w:rPr>
                <w:rFonts w:hint="eastAsia" w:ascii="宋体" w:hAnsi="宋体" w:cs="宋体"/>
                <w:b/>
                <w:bCs/>
                <w:kern w:val="0"/>
                <w:szCs w:val="21"/>
              </w:rPr>
              <w:t>年龄</w:t>
            </w:r>
          </w:p>
        </w:tc>
        <w:tc>
          <w:tcPr>
            <w:tcW w:w="1134" w:type="dxa"/>
            <w:tcBorders>
              <w:top w:val="single" w:color="000000" w:sz="4" w:space="0"/>
              <w:left w:val="nil"/>
              <w:bottom w:val="single" w:color="000000" w:sz="4" w:space="0"/>
              <w:right w:val="single" w:color="000000" w:sz="4" w:space="0"/>
            </w:tcBorders>
            <w:vAlign w:val="center"/>
          </w:tcPr>
          <w:p w14:paraId="7FBED992">
            <w:pPr>
              <w:widowControl/>
              <w:adjustRightInd w:val="0"/>
              <w:jc w:val="center"/>
              <w:rPr>
                <w:rFonts w:ascii="宋体" w:hAnsi="宋体" w:cs="宋体"/>
                <w:b/>
                <w:bCs/>
                <w:kern w:val="0"/>
                <w:szCs w:val="21"/>
              </w:rPr>
            </w:pPr>
            <w:r>
              <w:rPr>
                <w:rFonts w:hint="eastAsia" w:ascii="宋体" w:hAnsi="宋体" w:cs="宋体"/>
                <w:b/>
                <w:bCs/>
                <w:kern w:val="0"/>
                <w:szCs w:val="21"/>
              </w:rPr>
              <w:t>专业</w:t>
            </w:r>
          </w:p>
        </w:tc>
        <w:tc>
          <w:tcPr>
            <w:tcW w:w="931" w:type="dxa"/>
            <w:tcBorders>
              <w:top w:val="single" w:color="000000" w:sz="4" w:space="0"/>
              <w:left w:val="nil"/>
              <w:bottom w:val="single" w:color="000000" w:sz="4" w:space="0"/>
              <w:right w:val="single" w:color="000000" w:sz="4" w:space="0"/>
            </w:tcBorders>
            <w:vAlign w:val="center"/>
          </w:tcPr>
          <w:p w14:paraId="57ADB68A">
            <w:pPr>
              <w:widowControl/>
              <w:adjustRightInd w:val="0"/>
              <w:jc w:val="center"/>
              <w:rPr>
                <w:rFonts w:ascii="宋体" w:hAnsi="宋体" w:cs="宋体"/>
                <w:b/>
                <w:bCs/>
                <w:kern w:val="0"/>
                <w:szCs w:val="21"/>
              </w:rPr>
            </w:pPr>
            <w:r>
              <w:rPr>
                <w:rFonts w:hint="eastAsia" w:ascii="宋体" w:hAnsi="宋体" w:cs="宋体"/>
                <w:b/>
                <w:bCs/>
                <w:kern w:val="0"/>
                <w:szCs w:val="21"/>
              </w:rPr>
              <w:t>学历</w:t>
            </w:r>
          </w:p>
        </w:tc>
        <w:tc>
          <w:tcPr>
            <w:tcW w:w="1020" w:type="dxa"/>
            <w:tcBorders>
              <w:top w:val="single" w:color="000000" w:sz="4" w:space="0"/>
              <w:left w:val="nil"/>
              <w:bottom w:val="single" w:color="000000" w:sz="4" w:space="0"/>
              <w:right w:val="single" w:color="000000" w:sz="4" w:space="0"/>
            </w:tcBorders>
            <w:vAlign w:val="center"/>
          </w:tcPr>
          <w:p w14:paraId="3E40B9C1">
            <w:pPr>
              <w:widowControl/>
              <w:adjustRightInd w:val="0"/>
              <w:jc w:val="center"/>
              <w:rPr>
                <w:rFonts w:ascii="宋体" w:hAnsi="宋体" w:cs="宋体"/>
                <w:b/>
                <w:bCs/>
                <w:kern w:val="0"/>
                <w:szCs w:val="21"/>
              </w:rPr>
            </w:pPr>
            <w:r>
              <w:rPr>
                <w:rFonts w:hint="eastAsia" w:ascii="宋体" w:hAnsi="宋体" w:cs="宋体"/>
                <w:b/>
                <w:bCs/>
                <w:kern w:val="0"/>
                <w:szCs w:val="21"/>
              </w:rPr>
              <w:t>执业</w:t>
            </w:r>
          </w:p>
          <w:p w14:paraId="5422F0FC">
            <w:pPr>
              <w:widowControl/>
              <w:adjustRightInd w:val="0"/>
              <w:jc w:val="center"/>
              <w:rPr>
                <w:rFonts w:ascii="宋体" w:hAnsi="宋体" w:cs="宋体"/>
                <w:b/>
                <w:bCs/>
                <w:kern w:val="0"/>
                <w:szCs w:val="21"/>
              </w:rPr>
            </w:pPr>
            <w:r>
              <w:rPr>
                <w:rFonts w:hint="eastAsia" w:ascii="宋体" w:hAnsi="宋体" w:cs="宋体"/>
                <w:b/>
                <w:bCs/>
                <w:kern w:val="0"/>
                <w:szCs w:val="21"/>
              </w:rPr>
              <w:t>资格</w:t>
            </w:r>
          </w:p>
        </w:tc>
        <w:tc>
          <w:tcPr>
            <w:tcW w:w="994" w:type="dxa"/>
            <w:tcBorders>
              <w:top w:val="single" w:color="000000" w:sz="4" w:space="0"/>
              <w:left w:val="nil"/>
              <w:bottom w:val="single" w:color="000000" w:sz="4" w:space="0"/>
              <w:right w:val="single" w:color="000000" w:sz="4" w:space="0"/>
            </w:tcBorders>
            <w:vAlign w:val="center"/>
          </w:tcPr>
          <w:p w14:paraId="5B83E583">
            <w:pPr>
              <w:widowControl/>
              <w:adjustRightInd w:val="0"/>
              <w:jc w:val="center"/>
              <w:rPr>
                <w:rFonts w:ascii="宋体" w:hAnsi="宋体" w:cs="宋体"/>
                <w:b/>
                <w:bCs/>
                <w:kern w:val="0"/>
                <w:szCs w:val="21"/>
              </w:rPr>
            </w:pPr>
            <w:r>
              <w:rPr>
                <w:rFonts w:hint="eastAsia" w:ascii="宋体" w:hAnsi="宋体" w:cs="宋体"/>
                <w:b/>
                <w:bCs/>
                <w:kern w:val="0"/>
                <w:szCs w:val="21"/>
              </w:rPr>
              <w:t>证书号</w:t>
            </w:r>
          </w:p>
        </w:tc>
        <w:tc>
          <w:tcPr>
            <w:tcW w:w="882" w:type="dxa"/>
            <w:tcBorders>
              <w:top w:val="single" w:color="000000" w:sz="4" w:space="0"/>
              <w:left w:val="nil"/>
              <w:bottom w:val="single" w:color="000000" w:sz="4" w:space="0"/>
              <w:right w:val="single" w:color="000000" w:sz="4" w:space="0"/>
            </w:tcBorders>
            <w:vAlign w:val="center"/>
          </w:tcPr>
          <w:p w14:paraId="6E08B6FE">
            <w:pPr>
              <w:widowControl/>
              <w:adjustRightInd w:val="0"/>
              <w:jc w:val="center"/>
              <w:rPr>
                <w:rFonts w:ascii="宋体" w:hAnsi="宋体" w:cs="宋体"/>
                <w:b/>
                <w:bCs/>
                <w:kern w:val="0"/>
                <w:szCs w:val="21"/>
              </w:rPr>
            </w:pPr>
            <w:r>
              <w:rPr>
                <w:rFonts w:hint="eastAsia" w:ascii="宋体" w:hAnsi="宋体" w:cs="宋体"/>
                <w:b/>
                <w:bCs/>
                <w:kern w:val="0"/>
                <w:szCs w:val="21"/>
              </w:rPr>
              <w:t>技术职称</w:t>
            </w:r>
          </w:p>
        </w:tc>
        <w:tc>
          <w:tcPr>
            <w:tcW w:w="850" w:type="dxa"/>
            <w:tcBorders>
              <w:top w:val="single" w:color="000000" w:sz="4" w:space="0"/>
              <w:left w:val="nil"/>
              <w:bottom w:val="single" w:color="000000" w:sz="4" w:space="0"/>
              <w:right w:val="single" w:color="000000" w:sz="4" w:space="0"/>
            </w:tcBorders>
            <w:vAlign w:val="center"/>
          </w:tcPr>
          <w:p w14:paraId="5F611765">
            <w:pPr>
              <w:widowControl/>
              <w:adjustRightInd w:val="0"/>
              <w:jc w:val="center"/>
              <w:rPr>
                <w:rFonts w:ascii="宋体" w:hAnsi="宋体" w:cs="宋体"/>
                <w:b/>
                <w:bCs/>
                <w:kern w:val="0"/>
                <w:szCs w:val="21"/>
              </w:rPr>
            </w:pPr>
            <w:r>
              <w:rPr>
                <w:rFonts w:hint="eastAsia" w:ascii="宋体" w:hAnsi="宋体" w:cs="宋体"/>
                <w:b/>
                <w:bCs/>
                <w:kern w:val="0"/>
                <w:szCs w:val="21"/>
              </w:rPr>
              <w:t>相关工作年限</w:t>
            </w:r>
          </w:p>
        </w:tc>
        <w:tc>
          <w:tcPr>
            <w:tcW w:w="851" w:type="dxa"/>
            <w:tcBorders>
              <w:top w:val="single" w:color="000000" w:sz="4" w:space="0"/>
              <w:left w:val="nil"/>
              <w:bottom w:val="single" w:color="000000" w:sz="4" w:space="0"/>
              <w:right w:val="single" w:color="000000" w:sz="4" w:space="0"/>
            </w:tcBorders>
            <w:vAlign w:val="center"/>
          </w:tcPr>
          <w:p w14:paraId="2ACB77E7">
            <w:pPr>
              <w:widowControl/>
              <w:adjustRightInd w:val="0"/>
              <w:jc w:val="center"/>
              <w:rPr>
                <w:rFonts w:ascii="宋体" w:hAnsi="宋体" w:cs="宋体"/>
                <w:b/>
                <w:bCs/>
                <w:kern w:val="0"/>
                <w:szCs w:val="21"/>
              </w:rPr>
            </w:pPr>
            <w:r>
              <w:rPr>
                <w:rFonts w:hint="eastAsia" w:ascii="宋体" w:hAnsi="宋体" w:cs="宋体"/>
                <w:b/>
                <w:bCs/>
                <w:kern w:val="0"/>
                <w:szCs w:val="21"/>
              </w:rPr>
              <w:t>备注</w:t>
            </w:r>
          </w:p>
        </w:tc>
      </w:tr>
      <w:tr w14:paraId="1FA860D9">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1C665F6D">
            <w:pPr>
              <w:widowControl/>
              <w:adjustRightInd w:val="0"/>
              <w:rPr>
                <w:rFonts w:ascii="宋体" w:hAnsi="宋体" w:cs="宋体"/>
                <w:kern w:val="0"/>
                <w:szCs w:val="21"/>
              </w:rPr>
            </w:pPr>
          </w:p>
        </w:tc>
        <w:tc>
          <w:tcPr>
            <w:tcW w:w="896" w:type="dxa"/>
            <w:tcBorders>
              <w:top w:val="single" w:color="000000" w:sz="4" w:space="0"/>
              <w:left w:val="nil"/>
              <w:bottom w:val="single" w:color="000000" w:sz="4" w:space="0"/>
              <w:right w:val="single" w:color="000000" w:sz="4" w:space="0"/>
            </w:tcBorders>
          </w:tcPr>
          <w:p w14:paraId="1E6788DB">
            <w:pPr>
              <w:widowControl/>
              <w:adjustRightInd w:val="0"/>
              <w:rPr>
                <w:rFonts w:ascii="宋体" w:hAnsi="宋体" w:cs="宋体"/>
                <w:kern w:val="0"/>
                <w:szCs w:val="21"/>
              </w:rPr>
            </w:pPr>
          </w:p>
        </w:tc>
        <w:tc>
          <w:tcPr>
            <w:tcW w:w="663" w:type="dxa"/>
            <w:tcBorders>
              <w:top w:val="single" w:color="000000" w:sz="4" w:space="0"/>
              <w:left w:val="nil"/>
              <w:bottom w:val="single" w:color="000000" w:sz="4" w:space="0"/>
              <w:right w:val="single" w:color="000000" w:sz="4" w:space="0"/>
            </w:tcBorders>
          </w:tcPr>
          <w:p w14:paraId="04F9EC24">
            <w:pPr>
              <w:widowControl/>
              <w:adjustRightInd w:val="0"/>
              <w:rPr>
                <w:rFonts w:ascii="宋体" w:hAnsi="宋体" w:cs="宋体"/>
                <w:kern w:val="0"/>
                <w:szCs w:val="21"/>
              </w:rPr>
            </w:pPr>
          </w:p>
        </w:tc>
        <w:tc>
          <w:tcPr>
            <w:tcW w:w="709" w:type="dxa"/>
            <w:tcBorders>
              <w:top w:val="single" w:color="000000" w:sz="4" w:space="0"/>
              <w:left w:val="nil"/>
              <w:bottom w:val="single" w:color="000000" w:sz="4" w:space="0"/>
              <w:right w:val="single" w:color="000000" w:sz="4" w:space="0"/>
            </w:tcBorders>
          </w:tcPr>
          <w:p w14:paraId="02E4C57F">
            <w:pPr>
              <w:widowControl/>
              <w:adjustRightInd w:val="0"/>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1D795741">
            <w:pPr>
              <w:widowControl/>
              <w:adjustRightInd w:val="0"/>
              <w:rPr>
                <w:rFonts w:ascii="宋体" w:hAnsi="宋体" w:cs="宋体"/>
                <w:kern w:val="0"/>
                <w:szCs w:val="21"/>
              </w:rPr>
            </w:pPr>
          </w:p>
        </w:tc>
        <w:tc>
          <w:tcPr>
            <w:tcW w:w="931" w:type="dxa"/>
            <w:tcBorders>
              <w:top w:val="single" w:color="000000" w:sz="4" w:space="0"/>
              <w:left w:val="nil"/>
              <w:bottom w:val="single" w:color="000000" w:sz="4" w:space="0"/>
              <w:right w:val="single" w:color="000000" w:sz="4" w:space="0"/>
            </w:tcBorders>
          </w:tcPr>
          <w:p w14:paraId="53152258">
            <w:pPr>
              <w:widowControl/>
              <w:adjustRightInd w:val="0"/>
              <w:rPr>
                <w:rFonts w:ascii="宋体" w:hAnsi="宋体" w:cs="宋体"/>
                <w:kern w:val="0"/>
                <w:szCs w:val="21"/>
              </w:rPr>
            </w:pPr>
          </w:p>
        </w:tc>
        <w:tc>
          <w:tcPr>
            <w:tcW w:w="1020" w:type="dxa"/>
            <w:tcBorders>
              <w:top w:val="single" w:color="000000" w:sz="4" w:space="0"/>
              <w:left w:val="nil"/>
              <w:bottom w:val="single" w:color="000000" w:sz="4" w:space="0"/>
              <w:right w:val="single" w:color="000000" w:sz="4" w:space="0"/>
            </w:tcBorders>
          </w:tcPr>
          <w:p w14:paraId="6CD3709E">
            <w:pPr>
              <w:widowControl/>
              <w:adjustRightInd w:val="0"/>
              <w:rPr>
                <w:rFonts w:ascii="宋体" w:hAnsi="宋体" w:cs="宋体"/>
                <w:kern w:val="0"/>
                <w:szCs w:val="21"/>
              </w:rPr>
            </w:pPr>
          </w:p>
        </w:tc>
        <w:tc>
          <w:tcPr>
            <w:tcW w:w="994" w:type="dxa"/>
            <w:tcBorders>
              <w:top w:val="single" w:color="000000" w:sz="4" w:space="0"/>
              <w:left w:val="nil"/>
              <w:bottom w:val="single" w:color="000000" w:sz="4" w:space="0"/>
              <w:right w:val="single" w:color="000000" w:sz="4" w:space="0"/>
            </w:tcBorders>
          </w:tcPr>
          <w:p w14:paraId="069457C3">
            <w:pPr>
              <w:widowControl/>
              <w:adjustRightInd w:val="0"/>
              <w:rPr>
                <w:rFonts w:ascii="宋体" w:hAnsi="宋体" w:cs="宋体"/>
                <w:kern w:val="0"/>
                <w:szCs w:val="21"/>
              </w:rPr>
            </w:pPr>
          </w:p>
        </w:tc>
        <w:tc>
          <w:tcPr>
            <w:tcW w:w="882" w:type="dxa"/>
            <w:tcBorders>
              <w:top w:val="single" w:color="000000" w:sz="4" w:space="0"/>
              <w:left w:val="nil"/>
              <w:bottom w:val="single" w:color="000000" w:sz="4" w:space="0"/>
              <w:right w:val="single" w:color="000000" w:sz="4" w:space="0"/>
            </w:tcBorders>
          </w:tcPr>
          <w:p w14:paraId="03F778C9">
            <w:pPr>
              <w:widowControl/>
              <w:adjustRightInd w:val="0"/>
              <w:rPr>
                <w:rFonts w:ascii="宋体" w:hAnsi="宋体" w:cs="宋体"/>
                <w:kern w:val="0"/>
                <w:szCs w:val="21"/>
              </w:rPr>
            </w:pPr>
          </w:p>
        </w:tc>
        <w:tc>
          <w:tcPr>
            <w:tcW w:w="850" w:type="dxa"/>
            <w:tcBorders>
              <w:top w:val="single" w:color="000000" w:sz="4" w:space="0"/>
              <w:left w:val="nil"/>
              <w:bottom w:val="single" w:color="000000" w:sz="4" w:space="0"/>
              <w:right w:val="single" w:color="000000" w:sz="4" w:space="0"/>
            </w:tcBorders>
          </w:tcPr>
          <w:p w14:paraId="47E15930">
            <w:pPr>
              <w:widowControl/>
              <w:adjustRightInd w:val="0"/>
              <w:rPr>
                <w:rFonts w:ascii="宋体" w:hAnsi="宋体" w:cs="宋体"/>
                <w:kern w:val="0"/>
                <w:szCs w:val="21"/>
              </w:rPr>
            </w:pPr>
          </w:p>
        </w:tc>
        <w:tc>
          <w:tcPr>
            <w:tcW w:w="851" w:type="dxa"/>
            <w:tcBorders>
              <w:top w:val="single" w:color="000000" w:sz="4" w:space="0"/>
              <w:left w:val="nil"/>
              <w:bottom w:val="single" w:color="000000" w:sz="4" w:space="0"/>
              <w:right w:val="single" w:color="000000" w:sz="4" w:space="0"/>
            </w:tcBorders>
          </w:tcPr>
          <w:p w14:paraId="2B2759AF">
            <w:pPr>
              <w:widowControl/>
              <w:adjustRightInd w:val="0"/>
              <w:rPr>
                <w:rFonts w:ascii="宋体" w:hAnsi="宋体" w:cs="宋体"/>
                <w:kern w:val="0"/>
                <w:szCs w:val="21"/>
              </w:rPr>
            </w:pPr>
          </w:p>
        </w:tc>
      </w:tr>
      <w:tr w14:paraId="32408F27">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1998293F">
            <w:pPr>
              <w:widowControl/>
              <w:adjustRightInd w:val="0"/>
              <w:rPr>
                <w:rFonts w:ascii="宋体" w:hAnsi="宋体" w:cs="宋体"/>
                <w:kern w:val="0"/>
                <w:szCs w:val="21"/>
              </w:rPr>
            </w:pPr>
          </w:p>
        </w:tc>
        <w:tc>
          <w:tcPr>
            <w:tcW w:w="896" w:type="dxa"/>
            <w:tcBorders>
              <w:top w:val="single" w:color="000000" w:sz="4" w:space="0"/>
              <w:left w:val="nil"/>
              <w:bottom w:val="single" w:color="000000" w:sz="4" w:space="0"/>
              <w:right w:val="single" w:color="000000" w:sz="4" w:space="0"/>
            </w:tcBorders>
          </w:tcPr>
          <w:p w14:paraId="7D730324">
            <w:pPr>
              <w:widowControl/>
              <w:adjustRightInd w:val="0"/>
              <w:rPr>
                <w:rFonts w:ascii="宋体" w:hAnsi="宋体" w:cs="宋体"/>
                <w:kern w:val="0"/>
                <w:szCs w:val="21"/>
              </w:rPr>
            </w:pPr>
          </w:p>
        </w:tc>
        <w:tc>
          <w:tcPr>
            <w:tcW w:w="663" w:type="dxa"/>
            <w:tcBorders>
              <w:top w:val="single" w:color="000000" w:sz="4" w:space="0"/>
              <w:left w:val="nil"/>
              <w:bottom w:val="single" w:color="000000" w:sz="4" w:space="0"/>
              <w:right w:val="single" w:color="000000" w:sz="4" w:space="0"/>
            </w:tcBorders>
          </w:tcPr>
          <w:p w14:paraId="404C7131">
            <w:pPr>
              <w:widowControl/>
              <w:adjustRightInd w:val="0"/>
              <w:rPr>
                <w:rFonts w:ascii="宋体" w:hAnsi="宋体" w:cs="宋体"/>
                <w:kern w:val="0"/>
                <w:szCs w:val="21"/>
              </w:rPr>
            </w:pPr>
          </w:p>
        </w:tc>
        <w:tc>
          <w:tcPr>
            <w:tcW w:w="709" w:type="dxa"/>
            <w:tcBorders>
              <w:top w:val="single" w:color="000000" w:sz="4" w:space="0"/>
              <w:left w:val="nil"/>
              <w:bottom w:val="single" w:color="000000" w:sz="4" w:space="0"/>
              <w:right w:val="single" w:color="000000" w:sz="4" w:space="0"/>
            </w:tcBorders>
          </w:tcPr>
          <w:p w14:paraId="4F9F3B0B">
            <w:pPr>
              <w:widowControl/>
              <w:adjustRightInd w:val="0"/>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2AA8F176">
            <w:pPr>
              <w:widowControl/>
              <w:adjustRightInd w:val="0"/>
              <w:rPr>
                <w:rFonts w:ascii="宋体" w:hAnsi="宋体" w:cs="宋体"/>
                <w:kern w:val="0"/>
                <w:szCs w:val="21"/>
              </w:rPr>
            </w:pPr>
          </w:p>
        </w:tc>
        <w:tc>
          <w:tcPr>
            <w:tcW w:w="931" w:type="dxa"/>
            <w:tcBorders>
              <w:top w:val="single" w:color="000000" w:sz="4" w:space="0"/>
              <w:left w:val="nil"/>
              <w:bottom w:val="single" w:color="000000" w:sz="4" w:space="0"/>
              <w:right w:val="single" w:color="000000" w:sz="4" w:space="0"/>
            </w:tcBorders>
          </w:tcPr>
          <w:p w14:paraId="2E43F4E4">
            <w:pPr>
              <w:widowControl/>
              <w:adjustRightInd w:val="0"/>
              <w:rPr>
                <w:rFonts w:ascii="宋体" w:hAnsi="宋体" w:cs="宋体"/>
                <w:kern w:val="0"/>
                <w:szCs w:val="21"/>
              </w:rPr>
            </w:pPr>
          </w:p>
        </w:tc>
        <w:tc>
          <w:tcPr>
            <w:tcW w:w="1020" w:type="dxa"/>
            <w:tcBorders>
              <w:top w:val="single" w:color="000000" w:sz="4" w:space="0"/>
              <w:left w:val="nil"/>
              <w:bottom w:val="single" w:color="000000" w:sz="4" w:space="0"/>
              <w:right w:val="single" w:color="000000" w:sz="4" w:space="0"/>
            </w:tcBorders>
          </w:tcPr>
          <w:p w14:paraId="00168B13">
            <w:pPr>
              <w:widowControl/>
              <w:adjustRightInd w:val="0"/>
              <w:rPr>
                <w:rFonts w:ascii="宋体" w:hAnsi="宋体" w:cs="宋体"/>
                <w:kern w:val="0"/>
                <w:szCs w:val="21"/>
              </w:rPr>
            </w:pPr>
          </w:p>
        </w:tc>
        <w:tc>
          <w:tcPr>
            <w:tcW w:w="994" w:type="dxa"/>
            <w:tcBorders>
              <w:top w:val="single" w:color="000000" w:sz="4" w:space="0"/>
              <w:left w:val="nil"/>
              <w:bottom w:val="single" w:color="000000" w:sz="4" w:space="0"/>
              <w:right w:val="single" w:color="000000" w:sz="4" w:space="0"/>
            </w:tcBorders>
          </w:tcPr>
          <w:p w14:paraId="7BE20CE0">
            <w:pPr>
              <w:widowControl/>
              <w:adjustRightInd w:val="0"/>
              <w:rPr>
                <w:rFonts w:ascii="宋体" w:hAnsi="宋体" w:cs="宋体"/>
                <w:kern w:val="0"/>
                <w:szCs w:val="21"/>
              </w:rPr>
            </w:pPr>
          </w:p>
        </w:tc>
        <w:tc>
          <w:tcPr>
            <w:tcW w:w="882" w:type="dxa"/>
            <w:tcBorders>
              <w:top w:val="single" w:color="000000" w:sz="4" w:space="0"/>
              <w:left w:val="nil"/>
              <w:bottom w:val="single" w:color="000000" w:sz="4" w:space="0"/>
              <w:right w:val="single" w:color="000000" w:sz="4" w:space="0"/>
            </w:tcBorders>
          </w:tcPr>
          <w:p w14:paraId="2A14D754">
            <w:pPr>
              <w:widowControl/>
              <w:adjustRightInd w:val="0"/>
              <w:rPr>
                <w:rFonts w:ascii="宋体" w:hAnsi="宋体" w:cs="宋体"/>
                <w:kern w:val="0"/>
                <w:szCs w:val="21"/>
              </w:rPr>
            </w:pPr>
          </w:p>
        </w:tc>
        <w:tc>
          <w:tcPr>
            <w:tcW w:w="850" w:type="dxa"/>
            <w:tcBorders>
              <w:top w:val="single" w:color="000000" w:sz="4" w:space="0"/>
              <w:left w:val="nil"/>
              <w:bottom w:val="single" w:color="000000" w:sz="4" w:space="0"/>
              <w:right w:val="single" w:color="000000" w:sz="4" w:space="0"/>
            </w:tcBorders>
          </w:tcPr>
          <w:p w14:paraId="7C956CA1">
            <w:pPr>
              <w:widowControl/>
              <w:adjustRightInd w:val="0"/>
              <w:rPr>
                <w:rFonts w:ascii="宋体" w:hAnsi="宋体" w:cs="宋体"/>
                <w:kern w:val="0"/>
                <w:szCs w:val="21"/>
              </w:rPr>
            </w:pPr>
          </w:p>
        </w:tc>
        <w:tc>
          <w:tcPr>
            <w:tcW w:w="851" w:type="dxa"/>
            <w:tcBorders>
              <w:top w:val="single" w:color="000000" w:sz="4" w:space="0"/>
              <w:left w:val="nil"/>
              <w:bottom w:val="single" w:color="000000" w:sz="4" w:space="0"/>
              <w:right w:val="single" w:color="000000" w:sz="4" w:space="0"/>
            </w:tcBorders>
          </w:tcPr>
          <w:p w14:paraId="0B7568C2">
            <w:pPr>
              <w:widowControl/>
              <w:adjustRightInd w:val="0"/>
              <w:rPr>
                <w:rFonts w:ascii="宋体" w:hAnsi="宋体" w:cs="宋体"/>
                <w:kern w:val="0"/>
                <w:szCs w:val="21"/>
              </w:rPr>
            </w:pPr>
          </w:p>
        </w:tc>
      </w:tr>
      <w:tr w14:paraId="704037AC">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71C0993E">
            <w:pPr>
              <w:widowControl/>
              <w:adjustRightInd w:val="0"/>
              <w:rPr>
                <w:rFonts w:ascii="宋体" w:hAnsi="宋体" w:cs="宋体"/>
                <w:kern w:val="0"/>
                <w:szCs w:val="21"/>
              </w:rPr>
            </w:pPr>
          </w:p>
        </w:tc>
        <w:tc>
          <w:tcPr>
            <w:tcW w:w="896" w:type="dxa"/>
            <w:tcBorders>
              <w:top w:val="single" w:color="000000" w:sz="4" w:space="0"/>
              <w:left w:val="nil"/>
              <w:bottom w:val="single" w:color="000000" w:sz="4" w:space="0"/>
              <w:right w:val="single" w:color="000000" w:sz="4" w:space="0"/>
            </w:tcBorders>
          </w:tcPr>
          <w:p w14:paraId="04C3C3B5">
            <w:pPr>
              <w:widowControl/>
              <w:adjustRightInd w:val="0"/>
              <w:rPr>
                <w:rFonts w:ascii="宋体" w:hAnsi="宋体" w:cs="宋体"/>
                <w:kern w:val="0"/>
                <w:szCs w:val="21"/>
              </w:rPr>
            </w:pPr>
          </w:p>
        </w:tc>
        <w:tc>
          <w:tcPr>
            <w:tcW w:w="663" w:type="dxa"/>
            <w:tcBorders>
              <w:top w:val="single" w:color="000000" w:sz="4" w:space="0"/>
              <w:left w:val="nil"/>
              <w:bottom w:val="single" w:color="000000" w:sz="4" w:space="0"/>
              <w:right w:val="single" w:color="000000" w:sz="4" w:space="0"/>
            </w:tcBorders>
          </w:tcPr>
          <w:p w14:paraId="6537A4AF">
            <w:pPr>
              <w:widowControl/>
              <w:adjustRightInd w:val="0"/>
              <w:rPr>
                <w:rFonts w:ascii="宋体" w:hAnsi="宋体" w:cs="宋体"/>
                <w:kern w:val="0"/>
                <w:szCs w:val="21"/>
              </w:rPr>
            </w:pPr>
          </w:p>
        </w:tc>
        <w:tc>
          <w:tcPr>
            <w:tcW w:w="709" w:type="dxa"/>
            <w:tcBorders>
              <w:top w:val="single" w:color="000000" w:sz="4" w:space="0"/>
              <w:left w:val="nil"/>
              <w:bottom w:val="single" w:color="000000" w:sz="4" w:space="0"/>
              <w:right w:val="single" w:color="000000" w:sz="4" w:space="0"/>
            </w:tcBorders>
          </w:tcPr>
          <w:p w14:paraId="22B5B4AD">
            <w:pPr>
              <w:widowControl/>
              <w:adjustRightInd w:val="0"/>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2FE1284A">
            <w:pPr>
              <w:widowControl/>
              <w:adjustRightInd w:val="0"/>
              <w:rPr>
                <w:rFonts w:ascii="宋体" w:hAnsi="宋体" w:cs="宋体"/>
                <w:kern w:val="0"/>
                <w:szCs w:val="21"/>
              </w:rPr>
            </w:pPr>
          </w:p>
        </w:tc>
        <w:tc>
          <w:tcPr>
            <w:tcW w:w="931" w:type="dxa"/>
            <w:tcBorders>
              <w:top w:val="single" w:color="000000" w:sz="4" w:space="0"/>
              <w:left w:val="nil"/>
              <w:bottom w:val="single" w:color="000000" w:sz="4" w:space="0"/>
              <w:right w:val="single" w:color="000000" w:sz="4" w:space="0"/>
            </w:tcBorders>
          </w:tcPr>
          <w:p w14:paraId="6BD377BF">
            <w:pPr>
              <w:widowControl/>
              <w:adjustRightInd w:val="0"/>
              <w:rPr>
                <w:rFonts w:ascii="宋体" w:hAnsi="宋体" w:cs="宋体"/>
                <w:kern w:val="0"/>
                <w:szCs w:val="21"/>
              </w:rPr>
            </w:pPr>
          </w:p>
        </w:tc>
        <w:tc>
          <w:tcPr>
            <w:tcW w:w="1020" w:type="dxa"/>
            <w:tcBorders>
              <w:top w:val="single" w:color="000000" w:sz="4" w:space="0"/>
              <w:left w:val="nil"/>
              <w:bottom w:val="single" w:color="000000" w:sz="4" w:space="0"/>
              <w:right w:val="single" w:color="000000" w:sz="4" w:space="0"/>
            </w:tcBorders>
          </w:tcPr>
          <w:p w14:paraId="2AA5C490">
            <w:pPr>
              <w:widowControl/>
              <w:adjustRightInd w:val="0"/>
              <w:rPr>
                <w:rFonts w:ascii="宋体" w:hAnsi="宋体" w:cs="宋体"/>
                <w:kern w:val="0"/>
                <w:szCs w:val="21"/>
              </w:rPr>
            </w:pPr>
          </w:p>
        </w:tc>
        <w:tc>
          <w:tcPr>
            <w:tcW w:w="994" w:type="dxa"/>
            <w:tcBorders>
              <w:top w:val="single" w:color="000000" w:sz="4" w:space="0"/>
              <w:left w:val="nil"/>
              <w:bottom w:val="single" w:color="000000" w:sz="4" w:space="0"/>
              <w:right w:val="single" w:color="000000" w:sz="4" w:space="0"/>
            </w:tcBorders>
          </w:tcPr>
          <w:p w14:paraId="34728AA0">
            <w:pPr>
              <w:widowControl/>
              <w:adjustRightInd w:val="0"/>
              <w:rPr>
                <w:rFonts w:ascii="宋体" w:hAnsi="宋体" w:cs="宋体"/>
                <w:kern w:val="0"/>
                <w:szCs w:val="21"/>
              </w:rPr>
            </w:pPr>
          </w:p>
        </w:tc>
        <w:tc>
          <w:tcPr>
            <w:tcW w:w="882" w:type="dxa"/>
            <w:tcBorders>
              <w:top w:val="single" w:color="000000" w:sz="4" w:space="0"/>
              <w:left w:val="nil"/>
              <w:bottom w:val="single" w:color="000000" w:sz="4" w:space="0"/>
              <w:right w:val="single" w:color="000000" w:sz="4" w:space="0"/>
            </w:tcBorders>
          </w:tcPr>
          <w:p w14:paraId="293CEC73">
            <w:pPr>
              <w:widowControl/>
              <w:adjustRightInd w:val="0"/>
              <w:rPr>
                <w:rFonts w:ascii="宋体" w:hAnsi="宋体" w:cs="宋体"/>
                <w:kern w:val="0"/>
                <w:szCs w:val="21"/>
              </w:rPr>
            </w:pPr>
          </w:p>
        </w:tc>
        <w:tc>
          <w:tcPr>
            <w:tcW w:w="850" w:type="dxa"/>
            <w:tcBorders>
              <w:top w:val="single" w:color="000000" w:sz="4" w:space="0"/>
              <w:left w:val="nil"/>
              <w:bottom w:val="single" w:color="000000" w:sz="4" w:space="0"/>
              <w:right w:val="single" w:color="000000" w:sz="4" w:space="0"/>
            </w:tcBorders>
          </w:tcPr>
          <w:p w14:paraId="2147C6D4">
            <w:pPr>
              <w:widowControl/>
              <w:adjustRightInd w:val="0"/>
              <w:rPr>
                <w:rFonts w:ascii="宋体" w:hAnsi="宋体" w:cs="宋体"/>
                <w:kern w:val="0"/>
                <w:szCs w:val="21"/>
              </w:rPr>
            </w:pPr>
          </w:p>
        </w:tc>
        <w:tc>
          <w:tcPr>
            <w:tcW w:w="851" w:type="dxa"/>
            <w:tcBorders>
              <w:top w:val="single" w:color="000000" w:sz="4" w:space="0"/>
              <w:left w:val="nil"/>
              <w:bottom w:val="single" w:color="000000" w:sz="4" w:space="0"/>
              <w:right w:val="single" w:color="000000" w:sz="4" w:space="0"/>
            </w:tcBorders>
          </w:tcPr>
          <w:p w14:paraId="59A37EB1">
            <w:pPr>
              <w:widowControl/>
              <w:adjustRightInd w:val="0"/>
              <w:rPr>
                <w:rFonts w:ascii="宋体" w:hAnsi="宋体" w:cs="宋体"/>
                <w:kern w:val="0"/>
                <w:szCs w:val="21"/>
              </w:rPr>
            </w:pPr>
          </w:p>
        </w:tc>
      </w:tr>
      <w:tr w14:paraId="75C2D39E">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6AA4A67C">
            <w:pPr>
              <w:widowControl/>
              <w:adjustRightInd w:val="0"/>
              <w:rPr>
                <w:rFonts w:ascii="宋体" w:hAnsi="宋体" w:cs="宋体"/>
                <w:kern w:val="0"/>
                <w:szCs w:val="21"/>
              </w:rPr>
            </w:pPr>
          </w:p>
        </w:tc>
        <w:tc>
          <w:tcPr>
            <w:tcW w:w="896" w:type="dxa"/>
            <w:tcBorders>
              <w:top w:val="single" w:color="000000" w:sz="4" w:space="0"/>
              <w:left w:val="nil"/>
              <w:bottom w:val="single" w:color="000000" w:sz="4" w:space="0"/>
              <w:right w:val="single" w:color="000000" w:sz="4" w:space="0"/>
            </w:tcBorders>
          </w:tcPr>
          <w:p w14:paraId="4993DD8E">
            <w:pPr>
              <w:widowControl/>
              <w:adjustRightInd w:val="0"/>
              <w:rPr>
                <w:rFonts w:ascii="宋体" w:hAnsi="宋体" w:cs="宋体"/>
                <w:kern w:val="0"/>
                <w:szCs w:val="21"/>
              </w:rPr>
            </w:pPr>
          </w:p>
        </w:tc>
        <w:tc>
          <w:tcPr>
            <w:tcW w:w="663" w:type="dxa"/>
            <w:tcBorders>
              <w:top w:val="single" w:color="000000" w:sz="4" w:space="0"/>
              <w:left w:val="nil"/>
              <w:bottom w:val="single" w:color="000000" w:sz="4" w:space="0"/>
              <w:right w:val="single" w:color="000000" w:sz="4" w:space="0"/>
            </w:tcBorders>
          </w:tcPr>
          <w:p w14:paraId="48A769C0">
            <w:pPr>
              <w:widowControl/>
              <w:adjustRightInd w:val="0"/>
              <w:rPr>
                <w:rFonts w:ascii="宋体" w:hAnsi="宋体" w:cs="宋体"/>
                <w:kern w:val="0"/>
                <w:szCs w:val="21"/>
              </w:rPr>
            </w:pPr>
          </w:p>
        </w:tc>
        <w:tc>
          <w:tcPr>
            <w:tcW w:w="709" w:type="dxa"/>
            <w:tcBorders>
              <w:top w:val="single" w:color="000000" w:sz="4" w:space="0"/>
              <w:left w:val="nil"/>
              <w:bottom w:val="single" w:color="000000" w:sz="4" w:space="0"/>
              <w:right w:val="single" w:color="000000" w:sz="4" w:space="0"/>
            </w:tcBorders>
          </w:tcPr>
          <w:p w14:paraId="5990CA6F">
            <w:pPr>
              <w:widowControl/>
              <w:adjustRightInd w:val="0"/>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22B2DC71">
            <w:pPr>
              <w:widowControl/>
              <w:adjustRightInd w:val="0"/>
              <w:rPr>
                <w:rFonts w:ascii="宋体" w:hAnsi="宋体" w:cs="宋体"/>
                <w:kern w:val="0"/>
                <w:szCs w:val="21"/>
              </w:rPr>
            </w:pPr>
          </w:p>
        </w:tc>
        <w:tc>
          <w:tcPr>
            <w:tcW w:w="931" w:type="dxa"/>
            <w:tcBorders>
              <w:top w:val="single" w:color="000000" w:sz="4" w:space="0"/>
              <w:left w:val="nil"/>
              <w:bottom w:val="single" w:color="000000" w:sz="4" w:space="0"/>
              <w:right w:val="single" w:color="000000" w:sz="4" w:space="0"/>
            </w:tcBorders>
          </w:tcPr>
          <w:p w14:paraId="42BFA5E8">
            <w:pPr>
              <w:widowControl/>
              <w:adjustRightInd w:val="0"/>
              <w:rPr>
                <w:rFonts w:ascii="宋体" w:hAnsi="宋体" w:cs="宋体"/>
                <w:kern w:val="0"/>
                <w:szCs w:val="21"/>
              </w:rPr>
            </w:pPr>
          </w:p>
        </w:tc>
        <w:tc>
          <w:tcPr>
            <w:tcW w:w="1020" w:type="dxa"/>
            <w:tcBorders>
              <w:top w:val="single" w:color="000000" w:sz="4" w:space="0"/>
              <w:left w:val="nil"/>
              <w:bottom w:val="single" w:color="000000" w:sz="4" w:space="0"/>
              <w:right w:val="single" w:color="000000" w:sz="4" w:space="0"/>
            </w:tcBorders>
          </w:tcPr>
          <w:p w14:paraId="4D4C7A5D">
            <w:pPr>
              <w:widowControl/>
              <w:adjustRightInd w:val="0"/>
              <w:rPr>
                <w:rFonts w:ascii="宋体" w:hAnsi="宋体" w:cs="宋体"/>
                <w:kern w:val="0"/>
                <w:szCs w:val="21"/>
              </w:rPr>
            </w:pPr>
          </w:p>
        </w:tc>
        <w:tc>
          <w:tcPr>
            <w:tcW w:w="994" w:type="dxa"/>
            <w:tcBorders>
              <w:top w:val="single" w:color="000000" w:sz="4" w:space="0"/>
              <w:left w:val="nil"/>
              <w:bottom w:val="single" w:color="000000" w:sz="4" w:space="0"/>
              <w:right w:val="single" w:color="000000" w:sz="4" w:space="0"/>
            </w:tcBorders>
          </w:tcPr>
          <w:p w14:paraId="09FF2DC3">
            <w:pPr>
              <w:widowControl/>
              <w:adjustRightInd w:val="0"/>
              <w:rPr>
                <w:rFonts w:ascii="宋体" w:hAnsi="宋体" w:cs="宋体"/>
                <w:kern w:val="0"/>
                <w:szCs w:val="21"/>
              </w:rPr>
            </w:pPr>
          </w:p>
        </w:tc>
        <w:tc>
          <w:tcPr>
            <w:tcW w:w="882" w:type="dxa"/>
            <w:tcBorders>
              <w:top w:val="single" w:color="000000" w:sz="4" w:space="0"/>
              <w:left w:val="nil"/>
              <w:bottom w:val="single" w:color="000000" w:sz="4" w:space="0"/>
              <w:right w:val="single" w:color="000000" w:sz="4" w:space="0"/>
            </w:tcBorders>
          </w:tcPr>
          <w:p w14:paraId="1D8B3B81">
            <w:pPr>
              <w:widowControl/>
              <w:adjustRightInd w:val="0"/>
              <w:rPr>
                <w:rFonts w:ascii="宋体" w:hAnsi="宋体" w:cs="宋体"/>
                <w:kern w:val="0"/>
                <w:szCs w:val="21"/>
              </w:rPr>
            </w:pPr>
          </w:p>
        </w:tc>
        <w:tc>
          <w:tcPr>
            <w:tcW w:w="850" w:type="dxa"/>
            <w:tcBorders>
              <w:top w:val="single" w:color="000000" w:sz="4" w:space="0"/>
              <w:left w:val="nil"/>
              <w:bottom w:val="single" w:color="000000" w:sz="4" w:space="0"/>
              <w:right w:val="single" w:color="000000" w:sz="4" w:space="0"/>
            </w:tcBorders>
          </w:tcPr>
          <w:p w14:paraId="0176770B">
            <w:pPr>
              <w:widowControl/>
              <w:adjustRightInd w:val="0"/>
              <w:rPr>
                <w:rFonts w:ascii="宋体" w:hAnsi="宋体" w:cs="宋体"/>
                <w:kern w:val="0"/>
                <w:szCs w:val="21"/>
              </w:rPr>
            </w:pPr>
          </w:p>
        </w:tc>
        <w:tc>
          <w:tcPr>
            <w:tcW w:w="851" w:type="dxa"/>
            <w:tcBorders>
              <w:top w:val="single" w:color="000000" w:sz="4" w:space="0"/>
              <w:left w:val="nil"/>
              <w:bottom w:val="single" w:color="000000" w:sz="4" w:space="0"/>
              <w:right w:val="single" w:color="000000" w:sz="4" w:space="0"/>
            </w:tcBorders>
          </w:tcPr>
          <w:p w14:paraId="38C196CC">
            <w:pPr>
              <w:widowControl/>
              <w:adjustRightInd w:val="0"/>
              <w:rPr>
                <w:rFonts w:ascii="宋体" w:hAnsi="宋体" w:cs="宋体"/>
                <w:kern w:val="0"/>
                <w:szCs w:val="21"/>
              </w:rPr>
            </w:pPr>
          </w:p>
        </w:tc>
      </w:tr>
      <w:tr w14:paraId="29F8FA8B">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4E3D52F4">
            <w:pPr>
              <w:widowControl/>
              <w:adjustRightInd w:val="0"/>
              <w:rPr>
                <w:rFonts w:ascii="宋体" w:hAnsi="宋体" w:cs="宋体"/>
                <w:kern w:val="0"/>
                <w:szCs w:val="21"/>
              </w:rPr>
            </w:pPr>
          </w:p>
        </w:tc>
        <w:tc>
          <w:tcPr>
            <w:tcW w:w="896" w:type="dxa"/>
            <w:tcBorders>
              <w:top w:val="single" w:color="000000" w:sz="4" w:space="0"/>
              <w:left w:val="nil"/>
              <w:bottom w:val="single" w:color="000000" w:sz="4" w:space="0"/>
              <w:right w:val="single" w:color="000000" w:sz="4" w:space="0"/>
            </w:tcBorders>
          </w:tcPr>
          <w:p w14:paraId="21A42C8A">
            <w:pPr>
              <w:widowControl/>
              <w:adjustRightInd w:val="0"/>
              <w:rPr>
                <w:rFonts w:ascii="宋体" w:hAnsi="宋体" w:cs="宋体"/>
                <w:kern w:val="0"/>
                <w:szCs w:val="21"/>
              </w:rPr>
            </w:pPr>
          </w:p>
        </w:tc>
        <w:tc>
          <w:tcPr>
            <w:tcW w:w="663" w:type="dxa"/>
            <w:tcBorders>
              <w:top w:val="single" w:color="000000" w:sz="4" w:space="0"/>
              <w:left w:val="nil"/>
              <w:bottom w:val="single" w:color="000000" w:sz="4" w:space="0"/>
              <w:right w:val="single" w:color="000000" w:sz="4" w:space="0"/>
            </w:tcBorders>
          </w:tcPr>
          <w:p w14:paraId="324D7211">
            <w:pPr>
              <w:widowControl/>
              <w:adjustRightInd w:val="0"/>
              <w:rPr>
                <w:rFonts w:ascii="宋体" w:hAnsi="宋体" w:cs="宋体"/>
                <w:kern w:val="0"/>
                <w:szCs w:val="21"/>
              </w:rPr>
            </w:pPr>
          </w:p>
        </w:tc>
        <w:tc>
          <w:tcPr>
            <w:tcW w:w="709" w:type="dxa"/>
            <w:tcBorders>
              <w:top w:val="single" w:color="000000" w:sz="4" w:space="0"/>
              <w:left w:val="nil"/>
              <w:bottom w:val="single" w:color="000000" w:sz="4" w:space="0"/>
              <w:right w:val="single" w:color="000000" w:sz="4" w:space="0"/>
            </w:tcBorders>
          </w:tcPr>
          <w:p w14:paraId="601DB809">
            <w:pPr>
              <w:widowControl/>
              <w:adjustRightInd w:val="0"/>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6F2A2482">
            <w:pPr>
              <w:widowControl/>
              <w:adjustRightInd w:val="0"/>
              <w:rPr>
                <w:rFonts w:ascii="宋体" w:hAnsi="宋体" w:cs="宋体"/>
                <w:kern w:val="0"/>
                <w:szCs w:val="21"/>
              </w:rPr>
            </w:pPr>
          </w:p>
        </w:tc>
        <w:tc>
          <w:tcPr>
            <w:tcW w:w="931" w:type="dxa"/>
            <w:tcBorders>
              <w:top w:val="single" w:color="000000" w:sz="4" w:space="0"/>
              <w:left w:val="nil"/>
              <w:bottom w:val="single" w:color="000000" w:sz="4" w:space="0"/>
              <w:right w:val="single" w:color="000000" w:sz="4" w:space="0"/>
            </w:tcBorders>
          </w:tcPr>
          <w:p w14:paraId="3EC77701">
            <w:pPr>
              <w:widowControl/>
              <w:adjustRightInd w:val="0"/>
              <w:rPr>
                <w:rFonts w:ascii="宋体" w:hAnsi="宋体" w:cs="宋体"/>
                <w:kern w:val="0"/>
                <w:szCs w:val="21"/>
              </w:rPr>
            </w:pPr>
          </w:p>
        </w:tc>
        <w:tc>
          <w:tcPr>
            <w:tcW w:w="1020" w:type="dxa"/>
            <w:tcBorders>
              <w:top w:val="single" w:color="000000" w:sz="4" w:space="0"/>
              <w:left w:val="nil"/>
              <w:bottom w:val="single" w:color="000000" w:sz="4" w:space="0"/>
              <w:right w:val="single" w:color="000000" w:sz="4" w:space="0"/>
            </w:tcBorders>
          </w:tcPr>
          <w:p w14:paraId="052D2ADF">
            <w:pPr>
              <w:widowControl/>
              <w:adjustRightInd w:val="0"/>
              <w:rPr>
                <w:rFonts w:ascii="宋体" w:hAnsi="宋体" w:cs="宋体"/>
                <w:kern w:val="0"/>
                <w:szCs w:val="21"/>
              </w:rPr>
            </w:pPr>
          </w:p>
        </w:tc>
        <w:tc>
          <w:tcPr>
            <w:tcW w:w="994" w:type="dxa"/>
            <w:tcBorders>
              <w:top w:val="single" w:color="000000" w:sz="4" w:space="0"/>
              <w:left w:val="nil"/>
              <w:bottom w:val="single" w:color="000000" w:sz="4" w:space="0"/>
              <w:right w:val="single" w:color="000000" w:sz="4" w:space="0"/>
            </w:tcBorders>
          </w:tcPr>
          <w:p w14:paraId="30D267C2">
            <w:pPr>
              <w:widowControl/>
              <w:adjustRightInd w:val="0"/>
              <w:rPr>
                <w:rFonts w:ascii="宋体" w:hAnsi="宋体" w:cs="宋体"/>
                <w:kern w:val="0"/>
                <w:szCs w:val="21"/>
              </w:rPr>
            </w:pPr>
          </w:p>
        </w:tc>
        <w:tc>
          <w:tcPr>
            <w:tcW w:w="882" w:type="dxa"/>
            <w:tcBorders>
              <w:top w:val="single" w:color="000000" w:sz="4" w:space="0"/>
              <w:left w:val="nil"/>
              <w:bottom w:val="single" w:color="000000" w:sz="4" w:space="0"/>
              <w:right w:val="single" w:color="000000" w:sz="4" w:space="0"/>
            </w:tcBorders>
          </w:tcPr>
          <w:p w14:paraId="12E3408A">
            <w:pPr>
              <w:widowControl/>
              <w:adjustRightInd w:val="0"/>
              <w:rPr>
                <w:rFonts w:ascii="宋体" w:hAnsi="宋体" w:cs="宋体"/>
                <w:kern w:val="0"/>
                <w:szCs w:val="21"/>
              </w:rPr>
            </w:pPr>
          </w:p>
        </w:tc>
        <w:tc>
          <w:tcPr>
            <w:tcW w:w="850" w:type="dxa"/>
            <w:tcBorders>
              <w:top w:val="single" w:color="000000" w:sz="4" w:space="0"/>
              <w:left w:val="nil"/>
              <w:bottom w:val="single" w:color="000000" w:sz="4" w:space="0"/>
              <w:right w:val="single" w:color="000000" w:sz="4" w:space="0"/>
            </w:tcBorders>
          </w:tcPr>
          <w:p w14:paraId="332FB76A">
            <w:pPr>
              <w:widowControl/>
              <w:adjustRightInd w:val="0"/>
              <w:rPr>
                <w:rFonts w:ascii="宋体" w:hAnsi="宋体" w:cs="宋体"/>
                <w:kern w:val="0"/>
                <w:szCs w:val="21"/>
              </w:rPr>
            </w:pPr>
          </w:p>
        </w:tc>
        <w:tc>
          <w:tcPr>
            <w:tcW w:w="851" w:type="dxa"/>
            <w:tcBorders>
              <w:top w:val="single" w:color="000000" w:sz="4" w:space="0"/>
              <w:left w:val="nil"/>
              <w:bottom w:val="single" w:color="000000" w:sz="4" w:space="0"/>
              <w:right w:val="single" w:color="000000" w:sz="4" w:space="0"/>
            </w:tcBorders>
          </w:tcPr>
          <w:p w14:paraId="489C29B6">
            <w:pPr>
              <w:widowControl/>
              <w:adjustRightInd w:val="0"/>
              <w:rPr>
                <w:rFonts w:ascii="宋体" w:hAnsi="宋体" w:cs="宋体"/>
                <w:kern w:val="0"/>
                <w:szCs w:val="21"/>
              </w:rPr>
            </w:pPr>
          </w:p>
        </w:tc>
      </w:tr>
      <w:tr w14:paraId="79086AE7">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4FB06EA7">
            <w:pPr>
              <w:widowControl/>
              <w:adjustRightInd w:val="0"/>
              <w:rPr>
                <w:rFonts w:ascii="宋体" w:hAnsi="宋体" w:cs="宋体"/>
                <w:kern w:val="0"/>
                <w:szCs w:val="21"/>
              </w:rPr>
            </w:pPr>
          </w:p>
        </w:tc>
        <w:tc>
          <w:tcPr>
            <w:tcW w:w="896" w:type="dxa"/>
            <w:tcBorders>
              <w:top w:val="single" w:color="000000" w:sz="4" w:space="0"/>
              <w:left w:val="nil"/>
              <w:bottom w:val="single" w:color="000000" w:sz="4" w:space="0"/>
              <w:right w:val="single" w:color="000000" w:sz="4" w:space="0"/>
            </w:tcBorders>
          </w:tcPr>
          <w:p w14:paraId="3E91D36F">
            <w:pPr>
              <w:widowControl/>
              <w:adjustRightInd w:val="0"/>
              <w:rPr>
                <w:rFonts w:ascii="宋体" w:hAnsi="宋体" w:cs="宋体"/>
                <w:kern w:val="0"/>
                <w:szCs w:val="21"/>
              </w:rPr>
            </w:pPr>
          </w:p>
        </w:tc>
        <w:tc>
          <w:tcPr>
            <w:tcW w:w="663" w:type="dxa"/>
            <w:tcBorders>
              <w:top w:val="single" w:color="000000" w:sz="4" w:space="0"/>
              <w:left w:val="nil"/>
              <w:bottom w:val="single" w:color="000000" w:sz="4" w:space="0"/>
              <w:right w:val="single" w:color="000000" w:sz="4" w:space="0"/>
            </w:tcBorders>
          </w:tcPr>
          <w:p w14:paraId="7B693033">
            <w:pPr>
              <w:widowControl/>
              <w:adjustRightInd w:val="0"/>
              <w:rPr>
                <w:rFonts w:ascii="宋体" w:hAnsi="宋体" w:cs="宋体"/>
                <w:kern w:val="0"/>
                <w:szCs w:val="21"/>
              </w:rPr>
            </w:pPr>
          </w:p>
        </w:tc>
        <w:tc>
          <w:tcPr>
            <w:tcW w:w="709" w:type="dxa"/>
            <w:tcBorders>
              <w:top w:val="single" w:color="000000" w:sz="4" w:space="0"/>
              <w:left w:val="nil"/>
              <w:bottom w:val="single" w:color="000000" w:sz="4" w:space="0"/>
              <w:right w:val="single" w:color="000000" w:sz="4" w:space="0"/>
            </w:tcBorders>
          </w:tcPr>
          <w:p w14:paraId="0D6AFD6E">
            <w:pPr>
              <w:widowControl/>
              <w:adjustRightInd w:val="0"/>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5C8923D3">
            <w:pPr>
              <w:widowControl/>
              <w:adjustRightInd w:val="0"/>
              <w:rPr>
                <w:rFonts w:ascii="宋体" w:hAnsi="宋体" w:cs="宋体"/>
                <w:kern w:val="0"/>
                <w:szCs w:val="21"/>
              </w:rPr>
            </w:pPr>
          </w:p>
        </w:tc>
        <w:tc>
          <w:tcPr>
            <w:tcW w:w="931" w:type="dxa"/>
            <w:tcBorders>
              <w:top w:val="single" w:color="000000" w:sz="4" w:space="0"/>
              <w:left w:val="nil"/>
              <w:bottom w:val="single" w:color="000000" w:sz="4" w:space="0"/>
              <w:right w:val="single" w:color="000000" w:sz="4" w:space="0"/>
            </w:tcBorders>
          </w:tcPr>
          <w:p w14:paraId="14303EB4">
            <w:pPr>
              <w:widowControl/>
              <w:adjustRightInd w:val="0"/>
              <w:rPr>
                <w:rFonts w:ascii="宋体" w:hAnsi="宋体" w:cs="宋体"/>
                <w:kern w:val="0"/>
                <w:szCs w:val="21"/>
              </w:rPr>
            </w:pPr>
          </w:p>
        </w:tc>
        <w:tc>
          <w:tcPr>
            <w:tcW w:w="1020" w:type="dxa"/>
            <w:tcBorders>
              <w:top w:val="single" w:color="000000" w:sz="4" w:space="0"/>
              <w:left w:val="nil"/>
              <w:bottom w:val="single" w:color="000000" w:sz="4" w:space="0"/>
              <w:right w:val="single" w:color="000000" w:sz="4" w:space="0"/>
            </w:tcBorders>
          </w:tcPr>
          <w:p w14:paraId="19E24C32">
            <w:pPr>
              <w:widowControl/>
              <w:adjustRightInd w:val="0"/>
              <w:rPr>
                <w:rFonts w:ascii="宋体" w:hAnsi="宋体" w:cs="宋体"/>
                <w:kern w:val="0"/>
                <w:szCs w:val="21"/>
              </w:rPr>
            </w:pPr>
          </w:p>
        </w:tc>
        <w:tc>
          <w:tcPr>
            <w:tcW w:w="994" w:type="dxa"/>
            <w:tcBorders>
              <w:top w:val="single" w:color="000000" w:sz="4" w:space="0"/>
              <w:left w:val="nil"/>
              <w:bottom w:val="single" w:color="000000" w:sz="4" w:space="0"/>
              <w:right w:val="single" w:color="000000" w:sz="4" w:space="0"/>
            </w:tcBorders>
          </w:tcPr>
          <w:p w14:paraId="1991D49C">
            <w:pPr>
              <w:widowControl/>
              <w:adjustRightInd w:val="0"/>
              <w:rPr>
                <w:rFonts w:ascii="宋体" w:hAnsi="宋体" w:cs="宋体"/>
                <w:kern w:val="0"/>
                <w:szCs w:val="21"/>
              </w:rPr>
            </w:pPr>
          </w:p>
        </w:tc>
        <w:tc>
          <w:tcPr>
            <w:tcW w:w="882" w:type="dxa"/>
            <w:tcBorders>
              <w:top w:val="single" w:color="000000" w:sz="4" w:space="0"/>
              <w:left w:val="nil"/>
              <w:bottom w:val="single" w:color="000000" w:sz="4" w:space="0"/>
              <w:right w:val="single" w:color="000000" w:sz="4" w:space="0"/>
            </w:tcBorders>
          </w:tcPr>
          <w:p w14:paraId="0A96323A">
            <w:pPr>
              <w:widowControl/>
              <w:adjustRightInd w:val="0"/>
              <w:rPr>
                <w:rFonts w:ascii="宋体" w:hAnsi="宋体" w:cs="宋体"/>
                <w:kern w:val="0"/>
                <w:szCs w:val="21"/>
              </w:rPr>
            </w:pPr>
          </w:p>
        </w:tc>
        <w:tc>
          <w:tcPr>
            <w:tcW w:w="850" w:type="dxa"/>
            <w:tcBorders>
              <w:top w:val="single" w:color="000000" w:sz="4" w:space="0"/>
              <w:left w:val="nil"/>
              <w:bottom w:val="single" w:color="000000" w:sz="4" w:space="0"/>
              <w:right w:val="single" w:color="000000" w:sz="4" w:space="0"/>
            </w:tcBorders>
          </w:tcPr>
          <w:p w14:paraId="3F118E79">
            <w:pPr>
              <w:widowControl/>
              <w:adjustRightInd w:val="0"/>
              <w:rPr>
                <w:rFonts w:ascii="宋体" w:hAnsi="宋体" w:cs="宋体"/>
                <w:kern w:val="0"/>
                <w:szCs w:val="21"/>
              </w:rPr>
            </w:pPr>
          </w:p>
        </w:tc>
        <w:tc>
          <w:tcPr>
            <w:tcW w:w="851" w:type="dxa"/>
            <w:tcBorders>
              <w:top w:val="single" w:color="000000" w:sz="4" w:space="0"/>
              <w:left w:val="nil"/>
              <w:bottom w:val="single" w:color="000000" w:sz="4" w:space="0"/>
              <w:right w:val="single" w:color="000000" w:sz="4" w:space="0"/>
            </w:tcBorders>
          </w:tcPr>
          <w:p w14:paraId="1F9382AA">
            <w:pPr>
              <w:widowControl/>
              <w:adjustRightInd w:val="0"/>
              <w:rPr>
                <w:rFonts w:ascii="宋体" w:hAnsi="宋体" w:cs="宋体"/>
                <w:kern w:val="0"/>
                <w:szCs w:val="21"/>
              </w:rPr>
            </w:pPr>
          </w:p>
        </w:tc>
      </w:tr>
      <w:tr w14:paraId="38485B13">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52FA1422">
            <w:pPr>
              <w:widowControl/>
              <w:adjustRightInd w:val="0"/>
              <w:rPr>
                <w:rFonts w:ascii="宋体" w:hAnsi="宋体" w:cs="宋体"/>
                <w:kern w:val="0"/>
                <w:szCs w:val="21"/>
              </w:rPr>
            </w:pPr>
          </w:p>
        </w:tc>
        <w:tc>
          <w:tcPr>
            <w:tcW w:w="896" w:type="dxa"/>
            <w:tcBorders>
              <w:top w:val="single" w:color="000000" w:sz="4" w:space="0"/>
              <w:left w:val="nil"/>
              <w:bottom w:val="single" w:color="000000" w:sz="4" w:space="0"/>
              <w:right w:val="single" w:color="000000" w:sz="4" w:space="0"/>
            </w:tcBorders>
          </w:tcPr>
          <w:p w14:paraId="5EE32BB3">
            <w:pPr>
              <w:widowControl/>
              <w:adjustRightInd w:val="0"/>
              <w:rPr>
                <w:rFonts w:ascii="宋体" w:hAnsi="宋体" w:cs="宋体"/>
                <w:kern w:val="0"/>
                <w:szCs w:val="21"/>
              </w:rPr>
            </w:pPr>
          </w:p>
        </w:tc>
        <w:tc>
          <w:tcPr>
            <w:tcW w:w="663" w:type="dxa"/>
            <w:tcBorders>
              <w:top w:val="single" w:color="000000" w:sz="4" w:space="0"/>
              <w:left w:val="nil"/>
              <w:bottom w:val="single" w:color="000000" w:sz="4" w:space="0"/>
              <w:right w:val="single" w:color="000000" w:sz="4" w:space="0"/>
            </w:tcBorders>
          </w:tcPr>
          <w:p w14:paraId="4C105994">
            <w:pPr>
              <w:widowControl/>
              <w:adjustRightInd w:val="0"/>
              <w:rPr>
                <w:rFonts w:ascii="宋体" w:hAnsi="宋体" w:cs="宋体"/>
                <w:kern w:val="0"/>
                <w:szCs w:val="21"/>
              </w:rPr>
            </w:pPr>
          </w:p>
        </w:tc>
        <w:tc>
          <w:tcPr>
            <w:tcW w:w="709" w:type="dxa"/>
            <w:tcBorders>
              <w:top w:val="single" w:color="000000" w:sz="4" w:space="0"/>
              <w:left w:val="nil"/>
              <w:bottom w:val="single" w:color="000000" w:sz="4" w:space="0"/>
              <w:right w:val="single" w:color="000000" w:sz="4" w:space="0"/>
            </w:tcBorders>
          </w:tcPr>
          <w:p w14:paraId="2A495DA8">
            <w:pPr>
              <w:widowControl/>
              <w:adjustRightInd w:val="0"/>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5B9AB62B">
            <w:pPr>
              <w:widowControl/>
              <w:adjustRightInd w:val="0"/>
              <w:rPr>
                <w:rFonts w:ascii="宋体" w:hAnsi="宋体" w:cs="宋体"/>
                <w:kern w:val="0"/>
                <w:szCs w:val="21"/>
              </w:rPr>
            </w:pPr>
          </w:p>
        </w:tc>
        <w:tc>
          <w:tcPr>
            <w:tcW w:w="931" w:type="dxa"/>
            <w:tcBorders>
              <w:top w:val="single" w:color="000000" w:sz="4" w:space="0"/>
              <w:left w:val="nil"/>
              <w:bottom w:val="single" w:color="000000" w:sz="4" w:space="0"/>
              <w:right w:val="single" w:color="000000" w:sz="4" w:space="0"/>
            </w:tcBorders>
          </w:tcPr>
          <w:p w14:paraId="594B7C0B">
            <w:pPr>
              <w:widowControl/>
              <w:adjustRightInd w:val="0"/>
              <w:rPr>
                <w:rFonts w:ascii="宋体" w:hAnsi="宋体" w:cs="宋体"/>
                <w:kern w:val="0"/>
                <w:szCs w:val="21"/>
              </w:rPr>
            </w:pPr>
          </w:p>
        </w:tc>
        <w:tc>
          <w:tcPr>
            <w:tcW w:w="1020" w:type="dxa"/>
            <w:tcBorders>
              <w:top w:val="single" w:color="000000" w:sz="4" w:space="0"/>
              <w:left w:val="nil"/>
              <w:bottom w:val="single" w:color="000000" w:sz="4" w:space="0"/>
              <w:right w:val="single" w:color="000000" w:sz="4" w:space="0"/>
            </w:tcBorders>
          </w:tcPr>
          <w:p w14:paraId="3FE28577">
            <w:pPr>
              <w:widowControl/>
              <w:adjustRightInd w:val="0"/>
              <w:rPr>
                <w:rFonts w:ascii="宋体" w:hAnsi="宋体" w:cs="宋体"/>
                <w:kern w:val="0"/>
                <w:szCs w:val="21"/>
              </w:rPr>
            </w:pPr>
          </w:p>
        </w:tc>
        <w:tc>
          <w:tcPr>
            <w:tcW w:w="994" w:type="dxa"/>
            <w:tcBorders>
              <w:top w:val="single" w:color="000000" w:sz="4" w:space="0"/>
              <w:left w:val="nil"/>
              <w:bottom w:val="single" w:color="000000" w:sz="4" w:space="0"/>
              <w:right w:val="single" w:color="000000" w:sz="4" w:space="0"/>
            </w:tcBorders>
          </w:tcPr>
          <w:p w14:paraId="70270D67">
            <w:pPr>
              <w:widowControl/>
              <w:adjustRightInd w:val="0"/>
              <w:rPr>
                <w:rFonts w:ascii="宋体" w:hAnsi="宋体" w:cs="宋体"/>
                <w:kern w:val="0"/>
                <w:szCs w:val="21"/>
              </w:rPr>
            </w:pPr>
          </w:p>
        </w:tc>
        <w:tc>
          <w:tcPr>
            <w:tcW w:w="882" w:type="dxa"/>
            <w:tcBorders>
              <w:top w:val="single" w:color="000000" w:sz="4" w:space="0"/>
              <w:left w:val="nil"/>
              <w:bottom w:val="single" w:color="000000" w:sz="4" w:space="0"/>
              <w:right w:val="single" w:color="000000" w:sz="4" w:space="0"/>
            </w:tcBorders>
          </w:tcPr>
          <w:p w14:paraId="253A2D31">
            <w:pPr>
              <w:widowControl/>
              <w:adjustRightInd w:val="0"/>
              <w:rPr>
                <w:rFonts w:ascii="宋体" w:hAnsi="宋体" w:cs="宋体"/>
                <w:kern w:val="0"/>
                <w:szCs w:val="21"/>
              </w:rPr>
            </w:pPr>
          </w:p>
        </w:tc>
        <w:tc>
          <w:tcPr>
            <w:tcW w:w="850" w:type="dxa"/>
            <w:tcBorders>
              <w:top w:val="single" w:color="000000" w:sz="4" w:space="0"/>
              <w:left w:val="nil"/>
              <w:bottom w:val="single" w:color="000000" w:sz="4" w:space="0"/>
              <w:right w:val="single" w:color="000000" w:sz="4" w:space="0"/>
            </w:tcBorders>
          </w:tcPr>
          <w:p w14:paraId="43E4858B">
            <w:pPr>
              <w:widowControl/>
              <w:adjustRightInd w:val="0"/>
              <w:rPr>
                <w:rFonts w:ascii="宋体" w:hAnsi="宋体" w:cs="宋体"/>
                <w:kern w:val="0"/>
                <w:szCs w:val="21"/>
              </w:rPr>
            </w:pPr>
          </w:p>
        </w:tc>
        <w:tc>
          <w:tcPr>
            <w:tcW w:w="851" w:type="dxa"/>
            <w:tcBorders>
              <w:top w:val="single" w:color="000000" w:sz="4" w:space="0"/>
              <w:left w:val="nil"/>
              <w:bottom w:val="single" w:color="000000" w:sz="4" w:space="0"/>
              <w:right w:val="single" w:color="000000" w:sz="4" w:space="0"/>
            </w:tcBorders>
          </w:tcPr>
          <w:p w14:paraId="30E4100C">
            <w:pPr>
              <w:widowControl/>
              <w:adjustRightInd w:val="0"/>
              <w:rPr>
                <w:rFonts w:ascii="宋体" w:hAnsi="宋体" w:cs="宋体"/>
                <w:kern w:val="0"/>
                <w:szCs w:val="21"/>
              </w:rPr>
            </w:pPr>
          </w:p>
        </w:tc>
      </w:tr>
      <w:tr w14:paraId="797D047B">
        <w:tblPrEx>
          <w:tblCellMar>
            <w:top w:w="0" w:type="dxa"/>
            <w:left w:w="108" w:type="dxa"/>
            <w:bottom w:w="0" w:type="dxa"/>
            <w:right w:w="108" w:type="dxa"/>
          </w:tblCellMar>
        </w:tblPrEx>
        <w:trPr>
          <w:jc w:val="center"/>
        </w:trPr>
        <w:tc>
          <w:tcPr>
            <w:tcW w:w="534" w:type="dxa"/>
            <w:tcBorders>
              <w:top w:val="single" w:color="000000" w:sz="4" w:space="0"/>
              <w:left w:val="single" w:color="000000" w:sz="4" w:space="0"/>
              <w:bottom w:val="single" w:color="000000" w:sz="4" w:space="0"/>
              <w:right w:val="single" w:color="000000" w:sz="4" w:space="0"/>
            </w:tcBorders>
          </w:tcPr>
          <w:p w14:paraId="4ADAC304">
            <w:pPr>
              <w:widowControl/>
              <w:adjustRightInd w:val="0"/>
              <w:rPr>
                <w:rFonts w:ascii="宋体" w:hAnsi="宋体" w:cs="宋体"/>
                <w:kern w:val="0"/>
                <w:szCs w:val="21"/>
              </w:rPr>
            </w:pPr>
          </w:p>
        </w:tc>
        <w:tc>
          <w:tcPr>
            <w:tcW w:w="896" w:type="dxa"/>
            <w:tcBorders>
              <w:top w:val="single" w:color="000000" w:sz="4" w:space="0"/>
              <w:left w:val="nil"/>
              <w:bottom w:val="single" w:color="000000" w:sz="4" w:space="0"/>
              <w:right w:val="single" w:color="000000" w:sz="4" w:space="0"/>
            </w:tcBorders>
          </w:tcPr>
          <w:p w14:paraId="4578457F">
            <w:pPr>
              <w:widowControl/>
              <w:adjustRightInd w:val="0"/>
              <w:rPr>
                <w:rFonts w:ascii="宋体" w:hAnsi="宋体" w:cs="宋体"/>
                <w:kern w:val="0"/>
                <w:szCs w:val="21"/>
              </w:rPr>
            </w:pPr>
          </w:p>
        </w:tc>
        <w:tc>
          <w:tcPr>
            <w:tcW w:w="663" w:type="dxa"/>
            <w:tcBorders>
              <w:top w:val="single" w:color="000000" w:sz="4" w:space="0"/>
              <w:left w:val="nil"/>
              <w:bottom w:val="single" w:color="000000" w:sz="4" w:space="0"/>
              <w:right w:val="single" w:color="000000" w:sz="4" w:space="0"/>
            </w:tcBorders>
          </w:tcPr>
          <w:p w14:paraId="320EF932">
            <w:pPr>
              <w:widowControl/>
              <w:adjustRightInd w:val="0"/>
              <w:rPr>
                <w:rFonts w:ascii="宋体" w:hAnsi="宋体" w:cs="宋体"/>
                <w:kern w:val="0"/>
                <w:szCs w:val="21"/>
              </w:rPr>
            </w:pPr>
          </w:p>
        </w:tc>
        <w:tc>
          <w:tcPr>
            <w:tcW w:w="709" w:type="dxa"/>
            <w:tcBorders>
              <w:top w:val="single" w:color="000000" w:sz="4" w:space="0"/>
              <w:left w:val="nil"/>
              <w:bottom w:val="single" w:color="000000" w:sz="4" w:space="0"/>
              <w:right w:val="single" w:color="000000" w:sz="4" w:space="0"/>
            </w:tcBorders>
          </w:tcPr>
          <w:p w14:paraId="037AC7C3">
            <w:pPr>
              <w:widowControl/>
              <w:adjustRightInd w:val="0"/>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184E3A17">
            <w:pPr>
              <w:widowControl/>
              <w:adjustRightInd w:val="0"/>
              <w:rPr>
                <w:rFonts w:ascii="宋体" w:hAnsi="宋体" w:cs="宋体"/>
                <w:kern w:val="0"/>
                <w:szCs w:val="21"/>
              </w:rPr>
            </w:pPr>
          </w:p>
        </w:tc>
        <w:tc>
          <w:tcPr>
            <w:tcW w:w="931" w:type="dxa"/>
            <w:tcBorders>
              <w:top w:val="single" w:color="000000" w:sz="4" w:space="0"/>
              <w:left w:val="nil"/>
              <w:bottom w:val="single" w:color="000000" w:sz="4" w:space="0"/>
              <w:right w:val="single" w:color="000000" w:sz="4" w:space="0"/>
            </w:tcBorders>
          </w:tcPr>
          <w:p w14:paraId="0C174B51">
            <w:pPr>
              <w:widowControl/>
              <w:adjustRightInd w:val="0"/>
              <w:rPr>
                <w:rFonts w:ascii="宋体" w:hAnsi="宋体" w:cs="宋体"/>
                <w:kern w:val="0"/>
                <w:szCs w:val="21"/>
              </w:rPr>
            </w:pPr>
          </w:p>
        </w:tc>
        <w:tc>
          <w:tcPr>
            <w:tcW w:w="1020" w:type="dxa"/>
            <w:tcBorders>
              <w:top w:val="single" w:color="000000" w:sz="4" w:space="0"/>
              <w:left w:val="nil"/>
              <w:bottom w:val="single" w:color="000000" w:sz="4" w:space="0"/>
              <w:right w:val="single" w:color="000000" w:sz="4" w:space="0"/>
            </w:tcBorders>
          </w:tcPr>
          <w:p w14:paraId="74B1166C">
            <w:pPr>
              <w:widowControl/>
              <w:adjustRightInd w:val="0"/>
              <w:rPr>
                <w:rFonts w:ascii="宋体" w:hAnsi="宋体" w:cs="宋体"/>
                <w:kern w:val="0"/>
                <w:szCs w:val="21"/>
              </w:rPr>
            </w:pPr>
          </w:p>
        </w:tc>
        <w:tc>
          <w:tcPr>
            <w:tcW w:w="994" w:type="dxa"/>
            <w:tcBorders>
              <w:top w:val="single" w:color="000000" w:sz="4" w:space="0"/>
              <w:left w:val="nil"/>
              <w:bottom w:val="single" w:color="000000" w:sz="4" w:space="0"/>
              <w:right w:val="single" w:color="000000" w:sz="4" w:space="0"/>
            </w:tcBorders>
          </w:tcPr>
          <w:p w14:paraId="48B62FAF">
            <w:pPr>
              <w:widowControl/>
              <w:adjustRightInd w:val="0"/>
              <w:rPr>
                <w:rFonts w:ascii="宋体" w:hAnsi="宋体" w:cs="宋体"/>
                <w:kern w:val="0"/>
                <w:szCs w:val="21"/>
              </w:rPr>
            </w:pPr>
          </w:p>
        </w:tc>
        <w:tc>
          <w:tcPr>
            <w:tcW w:w="882" w:type="dxa"/>
            <w:tcBorders>
              <w:top w:val="single" w:color="000000" w:sz="4" w:space="0"/>
              <w:left w:val="nil"/>
              <w:bottom w:val="single" w:color="000000" w:sz="4" w:space="0"/>
              <w:right w:val="single" w:color="000000" w:sz="4" w:space="0"/>
            </w:tcBorders>
          </w:tcPr>
          <w:p w14:paraId="10502F8F">
            <w:pPr>
              <w:widowControl/>
              <w:adjustRightInd w:val="0"/>
              <w:rPr>
                <w:rFonts w:ascii="宋体" w:hAnsi="宋体" w:cs="宋体"/>
                <w:kern w:val="0"/>
                <w:szCs w:val="21"/>
              </w:rPr>
            </w:pPr>
          </w:p>
        </w:tc>
        <w:tc>
          <w:tcPr>
            <w:tcW w:w="850" w:type="dxa"/>
            <w:tcBorders>
              <w:top w:val="single" w:color="000000" w:sz="4" w:space="0"/>
              <w:left w:val="nil"/>
              <w:bottom w:val="single" w:color="000000" w:sz="4" w:space="0"/>
              <w:right w:val="single" w:color="000000" w:sz="4" w:space="0"/>
            </w:tcBorders>
          </w:tcPr>
          <w:p w14:paraId="6F3D3266">
            <w:pPr>
              <w:widowControl/>
              <w:adjustRightInd w:val="0"/>
              <w:rPr>
                <w:rFonts w:ascii="宋体" w:hAnsi="宋体" w:cs="宋体"/>
                <w:kern w:val="0"/>
                <w:szCs w:val="21"/>
              </w:rPr>
            </w:pPr>
          </w:p>
        </w:tc>
        <w:tc>
          <w:tcPr>
            <w:tcW w:w="851" w:type="dxa"/>
            <w:tcBorders>
              <w:top w:val="single" w:color="000000" w:sz="4" w:space="0"/>
              <w:left w:val="nil"/>
              <w:bottom w:val="single" w:color="000000" w:sz="4" w:space="0"/>
              <w:right w:val="single" w:color="000000" w:sz="4" w:space="0"/>
            </w:tcBorders>
          </w:tcPr>
          <w:p w14:paraId="19C36EC4">
            <w:pPr>
              <w:widowControl/>
              <w:adjustRightInd w:val="0"/>
              <w:rPr>
                <w:rFonts w:ascii="宋体" w:hAnsi="宋体" w:cs="宋体"/>
                <w:kern w:val="0"/>
                <w:szCs w:val="21"/>
              </w:rPr>
            </w:pPr>
          </w:p>
        </w:tc>
      </w:tr>
    </w:tbl>
    <w:p w14:paraId="4C21D420">
      <w:pPr>
        <w:widowControl/>
        <w:spacing w:line="360" w:lineRule="auto"/>
        <w:jc w:val="left"/>
        <w:rPr>
          <w:rFonts w:ascii="宋体" w:hAnsi="宋体" w:cs="宋体"/>
          <w:kern w:val="0"/>
          <w:szCs w:val="21"/>
        </w:rPr>
      </w:pPr>
      <w:r>
        <w:rPr>
          <w:rFonts w:hint="eastAsia" w:ascii="宋体" w:hAnsi="宋体" w:cs="宋体"/>
          <w:kern w:val="0"/>
          <w:szCs w:val="21"/>
        </w:rPr>
        <w:t>投标单位（盖章）：</w:t>
      </w:r>
      <w:r>
        <w:rPr>
          <w:rFonts w:hint="eastAsia" w:ascii="宋体" w:hAnsi="宋体" w:cs="宋体"/>
          <w:kern w:val="0"/>
          <w:szCs w:val="21"/>
          <w:u w:val="single"/>
        </w:rPr>
        <w:t>                             </w:t>
      </w:r>
      <w:r>
        <w:rPr>
          <w:rFonts w:hint="eastAsia" w:ascii="宋体" w:hAnsi="宋体" w:cs="宋体"/>
          <w:kern w:val="0"/>
          <w:szCs w:val="21"/>
        </w:rPr>
        <w:t xml:space="preserve"> </w:t>
      </w:r>
    </w:p>
    <w:p w14:paraId="48D3A9C3">
      <w:pPr>
        <w:widowControl/>
        <w:spacing w:line="360" w:lineRule="auto"/>
        <w:jc w:val="left"/>
        <w:rPr>
          <w:rFonts w:ascii="宋体" w:hAnsi="宋体" w:cs="宋体"/>
          <w:kern w:val="0"/>
          <w:szCs w:val="21"/>
          <w:u w:val="single"/>
        </w:rPr>
      </w:pPr>
      <w:r>
        <w:rPr>
          <w:rFonts w:hint="eastAsia" w:ascii="宋体" w:hAnsi="宋体" w:cs="宋体"/>
          <w:kern w:val="0"/>
          <w:szCs w:val="21"/>
        </w:rPr>
        <w:t>法定代表人或授权代表（签字或签章）：</w:t>
      </w:r>
      <w:r>
        <w:rPr>
          <w:rFonts w:hint="eastAsia" w:ascii="宋体" w:hAnsi="宋体" w:cs="宋体"/>
          <w:kern w:val="0"/>
          <w:szCs w:val="21"/>
          <w:u w:val="single"/>
        </w:rPr>
        <w:t>                       </w:t>
      </w:r>
    </w:p>
    <w:p w14:paraId="7B248B62">
      <w:pPr>
        <w:widowControl/>
        <w:adjustRightInd w:val="0"/>
        <w:rPr>
          <w:rFonts w:ascii="宋体" w:hAnsi="宋体" w:cs="宋体"/>
          <w:kern w:val="0"/>
          <w:szCs w:val="21"/>
        </w:rPr>
      </w:pPr>
    </w:p>
    <w:p w14:paraId="44041DDF">
      <w:pPr>
        <w:widowControl/>
        <w:adjustRightInd w:val="0"/>
        <w:rPr>
          <w:rFonts w:ascii="宋体" w:hAnsi="宋体" w:cs="宋体"/>
          <w:b/>
          <w:bCs/>
          <w:kern w:val="0"/>
          <w:szCs w:val="21"/>
        </w:rPr>
      </w:pPr>
    </w:p>
    <w:p w14:paraId="6CFAC3CF">
      <w:pPr>
        <w:widowControl/>
        <w:adjustRightInd w:val="0"/>
        <w:spacing w:line="360" w:lineRule="auto"/>
        <w:rPr>
          <w:rFonts w:ascii="宋体" w:hAnsi="宋体" w:cs="宋体"/>
          <w:b/>
          <w:bCs/>
          <w:kern w:val="0"/>
          <w:sz w:val="24"/>
        </w:rPr>
      </w:pPr>
      <w:r>
        <w:rPr>
          <w:rFonts w:hint="eastAsia" w:ascii="宋体" w:hAnsi="宋体" w:cs="宋体"/>
          <w:b/>
          <w:bCs/>
          <w:kern w:val="0"/>
          <w:sz w:val="24"/>
        </w:rPr>
        <w:br w:type="page"/>
      </w:r>
      <w:r>
        <w:rPr>
          <w:rFonts w:hint="eastAsia" w:ascii="宋体" w:hAnsi="宋体" w:cs="宋体"/>
          <w:b/>
          <w:bCs/>
          <w:kern w:val="0"/>
          <w:sz w:val="24"/>
        </w:rPr>
        <w:t>附件八、投标人类似业绩情况表</w:t>
      </w:r>
    </w:p>
    <w:p w14:paraId="6B36C732">
      <w:pPr>
        <w:widowControl/>
        <w:adjustRightInd w:val="0"/>
        <w:spacing w:line="360" w:lineRule="auto"/>
        <w:jc w:val="center"/>
        <w:rPr>
          <w:rFonts w:ascii="宋体" w:hAnsi="宋体" w:cs="宋体"/>
          <w:b/>
          <w:bCs/>
          <w:kern w:val="0"/>
          <w:sz w:val="24"/>
        </w:rPr>
      </w:pPr>
    </w:p>
    <w:p w14:paraId="2F84B1B1">
      <w:pPr>
        <w:widowControl/>
        <w:adjustRightInd w:val="0"/>
        <w:spacing w:line="360" w:lineRule="auto"/>
        <w:jc w:val="center"/>
        <w:rPr>
          <w:rFonts w:ascii="宋体" w:hAnsi="宋体" w:cs="宋体"/>
          <w:b/>
          <w:bCs/>
          <w:kern w:val="0"/>
          <w:sz w:val="24"/>
        </w:rPr>
      </w:pPr>
      <w:r>
        <w:rPr>
          <w:rFonts w:hint="eastAsia" w:ascii="宋体" w:hAnsi="宋体" w:cs="宋体"/>
          <w:b/>
          <w:bCs/>
          <w:kern w:val="0"/>
          <w:sz w:val="24"/>
        </w:rPr>
        <w:t>投标人类似业绩情况表</w:t>
      </w:r>
    </w:p>
    <w:tbl>
      <w:tblPr>
        <w:tblStyle w:val="50"/>
        <w:tblW w:w="9470" w:type="dxa"/>
        <w:jc w:val="center"/>
        <w:tblLayout w:type="fixed"/>
        <w:tblCellMar>
          <w:top w:w="0" w:type="dxa"/>
          <w:left w:w="108" w:type="dxa"/>
          <w:bottom w:w="0" w:type="dxa"/>
          <w:right w:w="108" w:type="dxa"/>
        </w:tblCellMar>
      </w:tblPr>
      <w:tblGrid>
        <w:gridCol w:w="682"/>
        <w:gridCol w:w="1559"/>
        <w:gridCol w:w="1418"/>
        <w:gridCol w:w="992"/>
        <w:gridCol w:w="1034"/>
        <w:gridCol w:w="1517"/>
        <w:gridCol w:w="1134"/>
        <w:gridCol w:w="1134"/>
      </w:tblGrid>
      <w:tr w14:paraId="47259475">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10A195C4">
            <w:pPr>
              <w:widowControl/>
              <w:spacing w:line="400" w:lineRule="atLeast"/>
              <w:jc w:val="center"/>
              <w:rPr>
                <w:rFonts w:ascii="宋体" w:hAnsi="宋体" w:cs="宋体"/>
                <w:kern w:val="0"/>
                <w:szCs w:val="21"/>
              </w:rPr>
            </w:pPr>
            <w:r>
              <w:rPr>
                <w:rFonts w:hint="eastAsia" w:ascii="宋体" w:hAnsi="宋体" w:cs="宋体"/>
                <w:kern w:val="0"/>
                <w:szCs w:val="21"/>
              </w:rPr>
              <w:t>序号</w:t>
            </w:r>
          </w:p>
        </w:tc>
        <w:tc>
          <w:tcPr>
            <w:tcW w:w="1559" w:type="dxa"/>
            <w:tcBorders>
              <w:top w:val="single" w:color="000000" w:sz="4" w:space="0"/>
              <w:left w:val="nil"/>
              <w:bottom w:val="single" w:color="000000" w:sz="4" w:space="0"/>
              <w:right w:val="single" w:color="000000" w:sz="4" w:space="0"/>
            </w:tcBorders>
            <w:vAlign w:val="center"/>
          </w:tcPr>
          <w:p w14:paraId="21FB381A">
            <w:pPr>
              <w:widowControl/>
              <w:spacing w:line="400" w:lineRule="atLeast"/>
              <w:jc w:val="center"/>
              <w:rPr>
                <w:rFonts w:ascii="宋体" w:hAnsi="宋体" w:cs="宋体"/>
                <w:kern w:val="0"/>
                <w:szCs w:val="21"/>
              </w:rPr>
            </w:pPr>
            <w:r>
              <w:rPr>
                <w:rFonts w:hint="eastAsia" w:ascii="宋体" w:hAnsi="宋体" w:cs="宋体"/>
                <w:kern w:val="0"/>
                <w:szCs w:val="21"/>
              </w:rPr>
              <w:t>项目名称</w:t>
            </w:r>
          </w:p>
        </w:tc>
        <w:tc>
          <w:tcPr>
            <w:tcW w:w="1418" w:type="dxa"/>
            <w:tcBorders>
              <w:top w:val="single" w:color="000000" w:sz="4" w:space="0"/>
              <w:left w:val="nil"/>
              <w:bottom w:val="single" w:color="000000" w:sz="4" w:space="0"/>
              <w:right w:val="single" w:color="000000" w:sz="4" w:space="0"/>
            </w:tcBorders>
            <w:vAlign w:val="center"/>
          </w:tcPr>
          <w:p w14:paraId="3DA40441">
            <w:pPr>
              <w:widowControl/>
              <w:spacing w:line="400" w:lineRule="atLeast"/>
              <w:jc w:val="center"/>
              <w:rPr>
                <w:rFonts w:ascii="宋体" w:hAnsi="宋体" w:cs="宋体"/>
                <w:kern w:val="0"/>
                <w:szCs w:val="21"/>
              </w:rPr>
            </w:pPr>
            <w:r>
              <w:rPr>
                <w:rFonts w:hint="eastAsia" w:ascii="宋体" w:hAnsi="宋体" w:cs="宋体"/>
                <w:kern w:val="0"/>
                <w:szCs w:val="21"/>
              </w:rPr>
              <w:t>业主单位</w:t>
            </w:r>
          </w:p>
        </w:tc>
        <w:tc>
          <w:tcPr>
            <w:tcW w:w="992" w:type="dxa"/>
            <w:tcBorders>
              <w:top w:val="single" w:color="000000" w:sz="4" w:space="0"/>
              <w:left w:val="nil"/>
              <w:bottom w:val="single" w:color="000000" w:sz="4" w:space="0"/>
              <w:right w:val="single" w:color="000000" w:sz="4" w:space="0"/>
            </w:tcBorders>
            <w:vAlign w:val="center"/>
          </w:tcPr>
          <w:p w14:paraId="5843FE0A">
            <w:pPr>
              <w:widowControl/>
              <w:spacing w:line="400" w:lineRule="atLeast"/>
              <w:jc w:val="center"/>
              <w:rPr>
                <w:rFonts w:ascii="宋体" w:hAnsi="宋体" w:cs="宋体"/>
                <w:kern w:val="0"/>
                <w:szCs w:val="21"/>
              </w:rPr>
            </w:pPr>
            <w:r>
              <w:rPr>
                <w:rFonts w:hint="eastAsia" w:ascii="宋体" w:hAnsi="宋体" w:cs="宋体"/>
                <w:kern w:val="0"/>
                <w:szCs w:val="21"/>
              </w:rPr>
              <w:t>项目</w:t>
            </w:r>
          </w:p>
          <w:p w14:paraId="4375A9F6">
            <w:pPr>
              <w:widowControl/>
              <w:spacing w:line="400" w:lineRule="atLeast"/>
              <w:jc w:val="center"/>
              <w:rPr>
                <w:rFonts w:ascii="宋体" w:hAnsi="宋体" w:cs="宋体"/>
                <w:kern w:val="0"/>
                <w:szCs w:val="21"/>
              </w:rPr>
            </w:pPr>
            <w:r>
              <w:rPr>
                <w:rFonts w:hint="eastAsia" w:ascii="宋体" w:hAnsi="宋体" w:cs="宋体"/>
                <w:kern w:val="0"/>
                <w:szCs w:val="21"/>
              </w:rPr>
              <w:t>规模</w:t>
            </w:r>
          </w:p>
        </w:tc>
        <w:tc>
          <w:tcPr>
            <w:tcW w:w="1034" w:type="dxa"/>
            <w:tcBorders>
              <w:top w:val="single" w:color="000000" w:sz="4" w:space="0"/>
              <w:left w:val="nil"/>
              <w:bottom w:val="single" w:color="000000" w:sz="4" w:space="0"/>
              <w:right w:val="single" w:color="000000" w:sz="4" w:space="0"/>
            </w:tcBorders>
            <w:vAlign w:val="center"/>
          </w:tcPr>
          <w:p w14:paraId="14062487">
            <w:pPr>
              <w:widowControl/>
              <w:spacing w:line="400" w:lineRule="atLeast"/>
              <w:jc w:val="center"/>
              <w:rPr>
                <w:rFonts w:ascii="宋体" w:hAnsi="宋体" w:cs="宋体"/>
                <w:kern w:val="0"/>
                <w:szCs w:val="21"/>
              </w:rPr>
            </w:pPr>
            <w:r>
              <w:rPr>
                <w:rFonts w:hint="eastAsia" w:ascii="宋体" w:hAnsi="宋体" w:cs="宋体"/>
                <w:kern w:val="0"/>
                <w:szCs w:val="21"/>
              </w:rPr>
              <w:t>获奖</w:t>
            </w:r>
          </w:p>
          <w:p w14:paraId="4AB40092">
            <w:pPr>
              <w:widowControl/>
              <w:spacing w:line="400" w:lineRule="atLeast"/>
              <w:jc w:val="center"/>
              <w:rPr>
                <w:rFonts w:ascii="宋体" w:hAnsi="宋体" w:cs="宋体"/>
                <w:kern w:val="0"/>
                <w:szCs w:val="21"/>
              </w:rPr>
            </w:pPr>
            <w:r>
              <w:rPr>
                <w:rFonts w:hint="eastAsia" w:ascii="宋体" w:hAnsi="宋体" w:cs="宋体"/>
                <w:kern w:val="0"/>
                <w:szCs w:val="21"/>
              </w:rPr>
              <w:t>情况</w:t>
            </w:r>
          </w:p>
        </w:tc>
        <w:tc>
          <w:tcPr>
            <w:tcW w:w="1517" w:type="dxa"/>
            <w:tcBorders>
              <w:top w:val="single" w:color="000000" w:sz="4" w:space="0"/>
              <w:left w:val="nil"/>
              <w:bottom w:val="single" w:color="000000" w:sz="4" w:space="0"/>
              <w:right w:val="single" w:color="000000" w:sz="4" w:space="0"/>
            </w:tcBorders>
          </w:tcPr>
          <w:p w14:paraId="7686BD59">
            <w:pPr>
              <w:widowControl/>
              <w:spacing w:line="400" w:lineRule="atLeast"/>
              <w:jc w:val="center"/>
              <w:rPr>
                <w:rFonts w:ascii="宋体" w:hAnsi="宋体" w:cs="宋体"/>
                <w:kern w:val="0"/>
                <w:szCs w:val="21"/>
              </w:rPr>
            </w:pPr>
            <w:r>
              <w:rPr>
                <w:rFonts w:hint="eastAsia" w:ascii="宋体" w:hAnsi="宋体" w:cs="宋体"/>
                <w:kern w:val="0"/>
                <w:szCs w:val="21"/>
              </w:rPr>
              <w:t>签约及服务</w:t>
            </w:r>
          </w:p>
          <w:p w14:paraId="2A1AF725">
            <w:pPr>
              <w:widowControl/>
              <w:spacing w:line="400" w:lineRule="atLeast"/>
              <w:jc w:val="center"/>
              <w:rPr>
                <w:rFonts w:ascii="宋体" w:hAnsi="宋体" w:cs="宋体"/>
                <w:kern w:val="0"/>
                <w:szCs w:val="21"/>
              </w:rPr>
            </w:pPr>
            <w:r>
              <w:rPr>
                <w:rFonts w:hint="eastAsia" w:ascii="宋体" w:hAnsi="宋体" w:cs="宋体"/>
                <w:kern w:val="0"/>
                <w:szCs w:val="21"/>
              </w:rPr>
              <w:t>时间</w:t>
            </w:r>
          </w:p>
        </w:tc>
        <w:tc>
          <w:tcPr>
            <w:tcW w:w="1134" w:type="dxa"/>
            <w:tcBorders>
              <w:top w:val="single" w:color="000000" w:sz="4" w:space="0"/>
              <w:left w:val="nil"/>
              <w:bottom w:val="single" w:color="000000" w:sz="4" w:space="0"/>
              <w:right w:val="single" w:color="000000" w:sz="4" w:space="0"/>
            </w:tcBorders>
          </w:tcPr>
          <w:p w14:paraId="67880B00">
            <w:pPr>
              <w:widowControl/>
              <w:spacing w:line="400" w:lineRule="atLeast"/>
              <w:jc w:val="center"/>
              <w:rPr>
                <w:rFonts w:ascii="宋体" w:hAnsi="宋体" w:cs="宋体"/>
                <w:kern w:val="0"/>
                <w:szCs w:val="21"/>
              </w:rPr>
            </w:pPr>
            <w:r>
              <w:rPr>
                <w:rFonts w:hint="eastAsia" w:ascii="宋体" w:hAnsi="宋体" w:cs="宋体"/>
                <w:kern w:val="0"/>
                <w:szCs w:val="21"/>
              </w:rPr>
              <w:t>联系人及电话</w:t>
            </w:r>
          </w:p>
        </w:tc>
        <w:tc>
          <w:tcPr>
            <w:tcW w:w="1134" w:type="dxa"/>
            <w:tcBorders>
              <w:top w:val="single" w:color="000000" w:sz="4" w:space="0"/>
              <w:left w:val="nil"/>
              <w:bottom w:val="single" w:color="000000" w:sz="4" w:space="0"/>
              <w:right w:val="single" w:color="000000" w:sz="4" w:space="0"/>
            </w:tcBorders>
          </w:tcPr>
          <w:p w14:paraId="691AE08E">
            <w:pPr>
              <w:widowControl/>
              <w:spacing w:line="400" w:lineRule="atLeast"/>
              <w:jc w:val="center"/>
              <w:rPr>
                <w:rFonts w:ascii="宋体" w:hAnsi="宋体" w:cs="宋体"/>
                <w:kern w:val="0"/>
                <w:szCs w:val="21"/>
              </w:rPr>
            </w:pPr>
            <w:r>
              <w:rPr>
                <w:rFonts w:hint="eastAsia" w:ascii="宋体" w:hAnsi="宋体" w:cs="宋体"/>
                <w:kern w:val="0"/>
                <w:szCs w:val="21"/>
              </w:rPr>
              <w:t>备注</w:t>
            </w:r>
          </w:p>
        </w:tc>
      </w:tr>
      <w:tr w14:paraId="423045F2">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07BD236D">
            <w:pPr>
              <w:widowControl/>
              <w:spacing w:line="400" w:lineRule="atLeast"/>
              <w:jc w:val="center"/>
              <w:rPr>
                <w:rFonts w:ascii="宋体" w:hAnsi="宋体" w:cs="宋体"/>
                <w:kern w:val="0"/>
                <w:szCs w:val="21"/>
              </w:rPr>
            </w:pPr>
          </w:p>
        </w:tc>
        <w:tc>
          <w:tcPr>
            <w:tcW w:w="1559" w:type="dxa"/>
            <w:tcBorders>
              <w:top w:val="single" w:color="000000" w:sz="4" w:space="0"/>
              <w:left w:val="nil"/>
              <w:bottom w:val="single" w:color="000000" w:sz="4" w:space="0"/>
              <w:right w:val="single" w:color="000000" w:sz="4" w:space="0"/>
            </w:tcBorders>
          </w:tcPr>
          <w:p w14:paraId="7E04B4AE">
            <w:pPr>
              <w:widowControl/>
              <w:spacing w:line="400" w:lineRule="atLeast"/>
              <w:jc w:val="center"/>
              <w:rPr>
                <w:rFonts w:ascii="宋体" w:hAnsi="宋体" w:cs="宋体"/>
                <w:kern w:val="0"/>
                <w:szCs w:val="21"/>
              </w:rPr>
            </w:pPr>
          </w:p>
        </w:tc>
        <w:tc>
          <w:tcPr>
            <w:tcW w:w="1418" w:type="dxa"/>
            <w:tcBorders>
              <w:top w:val="single" w:color="000000" w:sz="4" w:space="0"/>
              <w:left w:val="nil"/>
              <w:bottom w:val="single" w:color="000000" w:sz="4" w:space="0"/>
              <w:right w:val="single" w:color="000000" w:sz="4" w:space="0"/>
            </w:tcBorders>
          </w:tcPr>
          <w:p w14:paraId="15947E3C">
            <w:pPr>
              <w:widowControl/>
              <w:spacing w:line="400" w:lineRule="atLeast"/>
              <w:ind w:firstLine="120"/>
              <w:rPr>
                <w:rFonts w:ascii="宋体" w:hAnsi="宋体" w:cs="宋体"/>
                <w:kern w:val="0"/>
                <w:szCs w:val="21"/>
              </w:rPr>
            </w:pPr>
          </w:p>
        </w:tc>
        <w:tc>
          <w:tcPr>
            <w:tcW w:w="992" w:type="dxa"/>
            <w:tcBorders>
              <w:top w:val="single" w:color="000000" w:sz="4" w:space="0"/>
              <w:left w:val="nil"/>
              <w:bottom w:val="single" w:color="000000" w:sz="4" w:space="0"/>
              <w:right w:val="single" w:color="000000" w:sz="4" w:space="0"/>
            </w:tcBorders>
          </w:tcPr>
          <w:p w14:paraId="7CBB838F">
            <w:pPr>
              <w:widowControl/>
              <w:spacing w:line="400" w:lineRule="atLeast"/>
              <w:jc w:val="center"/>
              <w:rPr>
                <w:rFonts w:ascii="宋体" w:hAnsi="宋体" w:cs="宋体"/>
                <w:kern w:val="0"/>
                <w:szCs w:val="21"/>
              </w:rPr>
            </w:pPr>
          </w:p>
        </w:tc>
        <w:tc>
          <w:tcPr>
            <w:tcW w:w="1034" w:type="dxa"/>
            <w:tcBorders>
              <w:top w:val="single" w:color="000000" w:sz="4" w:space="0"/>
              <w:left w:val="nil"/>
              <w:bottom w:val="single" w:color="000000" w:sz="4" w:space="0"/>
              <w:right w:val="single" w:color="000000" w:sz="4" w:space="0"/>
            </w:tcBorders>
          </w:tcPr>
          <w:p w14:paraId="40B2F4E4">
            <w:pPr>
              <w:widowControl/>
              <w:spacing w:line="400" w:lineRule="atLeast"/>
              <w:jc w:val="center"/>
              <w:rPr>
                <w:rFonts w:ascii="宋体" w:hAnsi="宋体" w:cs="宋体"/>
                <w:kern w:val="0"/>
                <w:szCs w:val="21"/>
              </w:rPr>
            </w:pPr>
          </w:p>
        </w:tc>
        <w:tc>
          <w:tcPr>
            <w:tcW w:w="1517" w:type="dxa"/>
            <w:tcBorders>
              <w:top w:val="single" w:color="000000" w:sz="4" w:space="0"/>
              <w:left w:val="nil"/>
              <w:bottom w:val="single" w:color="000000" w:sz="4" w:space="0"/>
              <w:right w:val="single" w:color="000000" w:sz="4" w:space="0"/>
            </w:tcBorders>
          </w:tcPr>
          <w:p w14:paraId="2C69B70E">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6EA060F6">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19B4A525">
            <w:pPr>
              <w:widowControl/>
              <w:spacing w:line="400" w:lineRule="atLeast"/>
              <w:jc w:val="center"/>
              <w:rPr>
                <w:rFonts w:ascii="宋体" w:hAnsi="宋体" w:cs="宋体"/>
                <w:kern w:val="0"/>
                <w:szCs w:val="21"/>
              </w:rPr>
            </w:pPr>
          </w:p>
        </w:tc>
      </w:tr>
      <w:tr w14:paraId="1CDF1645">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50F83605">
            <w:pPr>
              <w:widowControl/>
              <w:spacing w:line="400" w:lineRule="atLeast"/>
              <w:jc w:val="center"/>
              <w:rPr>
                <w:rFonts w:ascii="宋体" w:hAnsi="宋体" w:cs="宋体"/>
                <w:kern w:val="0"/>
                <w:szCs w:val="21"/>
              </w:rPr>
            </w:pPr>
          </w:p>
        </w:tc>
        <w:tc>
          <w:tcPr>
            <w:tcW w:w="1559" w:type="dxa"/>
            <w:tcBorders>
              <w:top w:val="single" w:color="000000" w:sz="4" w:space="0"/>
              <w:left w:val="nil"/>
              <w:bottom w:val="single" w:color="000000" w:sz="4" w:space="0"/>
              <w:right w:val="single" w:color="000000" w:sz="4" w:space="0"/>
            </w:tcBorders>
          </w:tcPr>
          <w:p w14:paraId="5D3D473D">
            <w:pPr>
              <w:widowControl/>
              <w:spacing w:line="400" w:lineRule="atLeast"/>
              <w:jc w:val="center"/>
              <w:rPr>
                <w:rFonts w:ascii="宋体" w:hAnsi="宋体" w:cs="宋体"/>
                <w:kern w:val="0"/>
                <w:szCs w:val="21"/>
              </w:rPr>
            </w:pPr>
          </w:p>
        </w:tc>
        <w:tc>
          <w:tcPr>
            <w:tcW w:w="1418" w:type="dxa"/>
            <w:tcBorders>
              <w:top w:val="single" w:color="000000" w:sz="4" w:space="0"/>
              <w:left w:val="nil"/>
              <w:bottom w:val="single" w:color="000000" w:sz="4" w:space="0"/>
              <w:right w:val="single" w:color="000000" w:sz="4" w:space="0"/>
            </w:tcBorders>
          </w:tcPr>
          <w:p w14:paraId="12E2DECE">
            <w:pPr>
              <w:widowControl/>
              <w:spacing w:line="400" w:lineRule="atLeast"/>
              <w:jc w:val="center"/>
              <w:rPr>
                <w:rFonts w:ascii="宋体" w:hAnsi="宋体" w:cs="宋体"/>
                <w:kern w:val="0"/>
                <w:szCs w:val="21"/>
              </w:rPr>
            </w:pPr>
          </w:p>
        </w:tc>
        <w:tc>
          <w:tcPr>
            <w:tcW w:w="992" w:type="dxa"/>
            <w:tcBorders>
              <w:top w:val="single" w:color="000000" w:sz="4" w:space="0"/>
              <w:left w:val="nil"/>
              <w:bottom w:val="single" w:color="000000" w:sz="4" w:space="0"/>
              <w:right w:val="single" w:color="000000" w:sz="4" w:space="0"/>
            </w:tcBorders>
          </w:tcPr>
          <w:p w14:paraId="248A510A">
            <w:pPr>
              <w:widowControl/>
              <w:spacing w:line="400" w:lineRule="atLeast"/>
              <w:jc w:val="center"/>
              <w:rPr>
                <w:rFonts w:ascii="宋体" w:hAnsi="宋体" w:cs="宋体"/>
                <w:kern w:val="0"/>
                <w:szCs w:val="21"/>
              </w:rPr>
            </w:pPr>
          </w:p>
        </w:tc>
        <w:tc>
          <w:tcPr>
            <w:tcW w:w="1034" w:type="dxa"/>
            <w:tcBorders>
              <w:top w:val="single" w:color="000000" w:sz="4" w:space="0"/>
              <w:left w:val="nil"/>
              <w:bottom w:val="single" w:color="000000" w:sz="4" w:space="0"/>
              <w:right w:val="single" w:color="000000" w:sz="4" w:space="0"/>
            </w:tcBorders>
          </w:tcPr>
          <w:p w14:paraId="6953BC0E">
            <w:pPr>
              <w:widowControl/>
              <w:spacing w:line="400" w:lineRule="atLeast"/>
              <w:jc w:val="center"/>
              <w:rPr>
                <w:rFonts w:ascii="宋体" w:hAnsi="宋体" w:cs="宋体"/>
                <w:kern w:val="0"/>
                <w:szCs w:val="21"/>
              </w:rPr>
            </w:pPr>
          </w:p>
        </w:tc>
        <w:tc>
          <w:tcPr>
            <w:tcW w:w="1517" w:type="dxa"/>
            <w:tcBorders>
              <w:top w:val="single" w:color="000000" w:sz="4" w:space="0"/>
              <w:left w:val="nil"/>
              <w:bottom w:val="single" w:color="000000" w:sz="4" w:space="0"/>
              <w:right w:val="single" w:color="000000" w:sz="4" w:space="0"/>
            </w:tcBorders>
          </w:tcPr>
          <w:p w14:paraId="4C62539B">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732E3813">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4F2A17C7">
            <w:pPr>
              <w:widowControl/>
              <w:spacing w:line="400" w:lineRule="atLeast"/>
              <w:jc w:val="center"/>
              <w:rPr>
                <w:rFonts w:ascii="宋体" w:hAnsi="宋体" w:cs="宋体"/>
                <w:kern w:val="0"/>
                <w:szCs w:val="21"/>
              </w:rPr>
            </w:pPr>
          </w:p>
        </w:tc>
      </w:tr>
      <w:tr w14:paraId="26ECC234">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35661AE7">
            <w:pPr>
              <w:widowControl/>
              <w:spacing w:line="400" w:lineRule="atLeast"/>
              <w:jc w:val="center"/>
              <w:rPr>
                <w:rFonts w:ascii="宋体" w:hAnsi="宋体" w:cs="宋体"/>
                <w:kern w:val="0"/>
                <w:szCs w:val="21"/>
              </w:rPr>
            </w:pPr>
          </w:p>
        </w:tc>
        <w:tc>
          <w:tcPr>
            <w:tcW w:w="1559" w:type="dxa"/>
            <w:tcBorders>
              <w:top w:val="single" w:color="000000" w:sz="4" w:space="0"/>
              <w:left w:val="nil"/>
              <w:bottom w:val="single" w:color="000000" w:sz="4" w:space="0"/>
              <w:right w:val="single" w:color="000000" w:sz="4" w:space="0"/>
            </w:tcBorders>
          </w:tcPr>
          <w:p w14:paraId="2922CE7C">
            <w:pPr>
              <w:widowControl/>
              <w:spacing w:line="400" w:lineRule="atLeast"/>
              <w:jc w:val="center"/>
              <w:rPr>
                <w:rFonts w:ascii="宋体" w:hAnsi="宋体" w:cs="宋体"/>
                <w:kern w:val="0"/>
                <w:szCs w:val="21"/>
              </w:rPr>
            </w:pPr>
          </w:p>
        </w:tc>
        <w:tc>
          <w:tcPr>
            <w:tcW w:w="1418" w:type="dxa"/>
            <w:tcBorders>
              <w:top w:val="single" w:color="000000" w:sz="4" w:space="0"/>
              <w:left w:val="nil"/>
              <w:bottom w:val="single" w:color="000000" w:sz="4" w:space="0"/>
              <w:right w:val="single" w:color="000000" w:sz="4" w:space="0"/>
            </w:tcBorders>
          </w:tcPr>
          <w:p w14:paraId="37583839">
            <w:pPr>
              <w:widowControl/>
              <w:spacing w:line="400" w:lineRule="atLeast"/>
              <w:jc w:val="center"/>
              <w:rPr>
                <w:rFonts w:ascii="宋体" w:hAnsi="宋体" w:cs="宋体"/>
                <w:kern w:val="0"/>
                <w:szCs w:val="21"/>
              </w:rPr>
            </w:pPr>
          </w:p>
        </w:tc>
        <w:tc>
          <w:tcPr>
            <w:tcW w:w="992" w:type="dxa"/>
            <w:tcBorders>
              <w:top w:val="single" w:color="000000" w:sz="4" w:space="0"/>
              <w:left w:val="nil"/>
              <w:bottom w:val="single" w:color="000000" w:sz="4" w:space="0"/>
              <w:right w:val="single" w:color="000000" w:sz="4" w:space="0"/>
            </w:tcBorders>
          </w:tcPr>
          <w:p w14:paraId="4E71BFFE">
            <w:pPr>
              <w:widowControl/>
              <w:spacing w:line="400" w:lineRule="atLeast"/>
              <w:jc w:val="center"/>
              <w:rPr>
                <w:rFonts w:ascii="宋体" w:hAnsi="宋体" w:cs="宋体"/>
                <w:kern w:val="0"/>
                <w:szCs w:val="21"/>
              </w:rPr>
            </w:pPr>
          </w:p>
        </w:tc>
        <w:tc>
          <w:tcPr>
            <w:tcW w:w="1034" w:type="dxa"/>
            <w:tcBorders>
              <w:top w:val="single" w:color="000000" w:sz="4" w:space="0"/>
              <w:left w:val="nil"/>
              <w:bottom w:val="single" w:color="000000" w:sz="4" w:space="0"/>
              <w:right w:val="single" w:color="000000" w:sz="4" w:space="0"/>
            </w:tcBorders>
          </w:tcPr>
          <w:p w14:paraId="7CDF5294">
            <w:pPr>
              <w:widowControl/>
              <w:spacing w:line="400" w:lineRule="atLeast"/>
              <w:jc w:val="center"/>
              <w:rPr>
                <w:rFonts w:ascii="宋体" w:hAnsi="宋体" w:cs="宋体"/>
                <w:kern w:val="0"/>
                <w:szCs w:val="21"/>
              </w:rPr>
            </w:pPr>
          </w:p>
        </w:tc>
        <w:tc>
          <w:tcPr>
            <w:tcW w:w="1517" w:type="dxa"/>
            <w:tcBorders>
              <w:top w:val="single" w:color="000000" w:sz="4" w:space="0"/>
              <w:left w:val="nil"/>
              <w:bottom w:val="single" w:color="000000" w:sz="4" w:space="0"/>
              <w:right w:val="single" w:color="000000" w:sz="4" w:space="0"/>
            </w:tcBorders>
          </w:tcPr>
          <w:p w14:paraId="1E6FF9C5">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48CDB3BD">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167523D8">
            <w:pPr>
              <w:widowControl/>
              <w:spacing w:line="400" w:lineRule="atLeast"/>
              <w:jc w:val="center"/>
              <w:rPr>
                <w:rFonts w:ascii="宋体" w:hAnsi="宋体" w:cs="宋体"/>
                <w:kern w:val="0"/>
                <w:szCs w:val="21"/>
              </w:rPr>
            </w:pPr>
          </w:p>
        </w:tc>
      </w:tr>
      <w:tr w14:paraId="65AC4020">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63E30939">
            <w:pPr>
              <w:widowControl/>
              <w:spacing w:line="400" w:lineRule="atLeast"/>
              <w:jc w:val="center"/>
              <w:rPr>
                <w:rFonts w:ascii="宋体" w:hAnsi="宋体" w:cs="宋体"/>
                <w:kern w:val="0"/>
                <w:szCs w:val="21"/>
              </w:rPr>
            </w:pPr>
          </w:p>
        </w:tc>
        <w:tc>
          <w:tcPr>
            <w:tcW w:w="1559" w:type="dxa"/>
            <w:tcBorders>
              <w:top w:val="single" w:color="000000" w:sz="4" w:space="0"/>
              <w:left w:val="nil"/>
              <w:bottom w:val="single" w:color="000000" w:sz="4" w:space="0"/>
              <w:right w:val="single" w:color="000000" w:sz="4" w:space="0"/>
            </w:tcBorders>
          </w:tcPr>
          <w:p w14:paraId="17E5C2BA">
            <w:pPr>
              <w:widowControl/>
              <w:spacing w:line="400" w:lineRule="atLeast"/>
              <w:jc w:val="center"/>
              <w:rPr>
                <w:rFonts w:ascii="宋体" w:hAnsi="宋体" w:cs="宋体"/>
                <w:kern w:val="0"/>
                <w:szCs w:val="21"/>
              </w:rPr>
            </w:pPr>
          </w:p>
        </w:tc>
        <w:tc>
          <w:tcPr>
            <w:tcW w:w="1418" w:type="dxa"/>
            <w:tcBorders>
              <w:top w:val="single" w:color="000000" w:sz="4" w:space="0"/>
              <w:left w:val="nil"/>
              <w:bottom w:val="single" w:color="000000" w:sz="4" w:space="0"/>
              <w:right w:val="single" w:color="000000" w:sz="4" w:space="0"/>
            </w:tcBorders>
          </w:tcPr>
          <w:p w14:paraId="646C0613">
            <w:pPr>
              <w:widowControl/>
              <w:spacing w:line="400" w:lineRule="atLeast"/>
              <w:jc w:val="center"/>
              <w:rPr>
                <w:rFonts w:ascii="宋体" w:hAnsi="宋体" w:cs="宋体"/>
                <w:kern w:val="0"/>
                <w:szCs w:val="21"/>
              </w:rPr>
            </w:pPr>
          </w:p>
        </w:tc>
        <w:tc>
          <w:tcPr>
            <w:tcW w:w="992" w:type="dxa"/>
            <w:tcBorders>
              <w:top w:val="single" w:color="000000" w:sz="4" w:space="0"/>
              <w:left w:val="nil"/>
              <w:bottom w:val="single" w:color="000000" w:sz="4" w:space="0"/>
              <w:right w:val="single" w:color="000000" w:sz="4" w:space="0"/>
            </w:tcBorders>
          </w:tcPr>
          <w:p w14:paraId="1F320310">
            <w:pPr>
              <w:widowControl/>
              <w:spacing w:line="400" w:lineRule="atLeast"/>
              <w:jc w:val="center"/>
              <w:rPr>
                <w:rFonts w:ascii="宋体" w:hAnsi="宋体" w:cs="宋体"/>
                <w:kern w:val="0"/>
                <w:szCs w:val="21"/>
              </w:rPr>
            </w:pPr>
          </w:p>
        </w:tc>
        <w:tc>
          <w:tcPr>
            <w:tcW w:w="1034" w:type="dxa"/>
            <w:tcBorders>
              <w:top w:val="single" w:color="000000" w:sz="4" w:space="0"/>
              <w:left w:val="nil"/>
              <w:bottom w:val="single" w:color="000000" w:sz="4" w:space="0"/>
              <w:right w:val="single" w:color="000000" w:sz="4" w:space="0"/>
            </w:tcBorders>
          </w:tcPr>
          <w:p w14:paraId="5CAC2F76">
            <w:pPr>
              <w:widowControl/>
              <w:spacing w:line="400" w:lineRule="atLeast"/>
              <w:jc w:val="center"/>
              <w:rPr>
                <w:rFonts w:ascii="宋体" w:hAnsi="宋体" w:cs="宋体"/>
                <w:kern w:val="0"/>
                <w:szCs w:val="21"/>
              </w:rPr>
            </w:pPr>
          </w:p>
        </w:tc>
        <w:tc>
          <w:tcPr>
            <w:tcW w:w="1517" w:type="dxa"/>
            <w:tcBorders>
              <w:top w:val="single" w:color="000000" w:sz="4" w:space="0"/>
              <w:left w:val="nil"/>
              <w:bottom w:val="single" w:color="000000" w:sz="4" w:space="0"/>
              <w:right w:val="single" w:color="000000" w:sz="4" w:space="0"/>
            </w:tcBorders>
          </w:tcPr>
          <w:p w14:paraId="54A5B9FA">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74DC8C2D">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4BFA8AD1">
            <w:pPr>
              <w:widowControl/>
              <w:spacing w:line="400" w:lineRule="atLeast"/>
              <w:jc w:val="center"/>
              <w:rPr>
                <w:rFonts w:ascii="宋体" w:hAnsi="宋体" w:cs="宋体"/>
                <w:kern w:val="0"/>
                <w:szCs w:val="21"/>
              </w:rPr>
            </w:pPr>
          </w:p>
        </w:tc>
      </w:tr>
      <w:tr w14:paraId="71954EDA">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1C25016A">
            <w:pPr>
              <w:widowControl/>
              <w:spacing w:line="400" w:lineRule="atLeast"/>
              <w:jc w:val="center"/>
              <w:rPr>
                <w:rFonts w:ascii="宋体" w:hAnsi="宋体" w:cs="宋体"/>
                <w:kern w:val="0"/>
                <w:szCs w:val="21"/>
              </w:rPr>
            </w:pPr>
          </w:p>
        </w:tc>
        <w:tc>
          <w:tcPr>
            <w:tcW w:w="1559" w:type="dxa"/>
            <w:tcBorders>
              <w:top w:val="single" w:color="000000" w:sz="4" w:space="0"/>
              <w:left w:val="nil"/>
              <w:bottom w:val="single" w:color="000000" w:sz="4" w:space="0"/>
              <w:right w:val="single" w:color="000000" w:sz="4" w:space="0"/>
            </w:tcBorders>
          </w:tcPr>
          <w:p w14:paraId="52B407AA">
            <w:pPr>
              <w:widowControl/>
              <w:spacing w:line="400" w:lineRule="atLeast"/>
              <w:jc w:val="center"/>
              <w:rPr>
                <w:rFonts w:ascii="宋体" w:hAnsi="宋体" w:cs="宋体"/>
                <w:kern w:val="0"/>
                <w:szCs w:val="21"/>
              </w:rPr>
            </w:pPr>
          </w:p>
        </w:tc>
        <w:tc>
          <w:tcPr>
            <w:tcW w:w="1418" w:type="dxa"/>
            <w:tcBorders>
              <w:top w:val="single" w:color="000000" w:sz="4" w:space="0"/>
              <w:left w:val="nil"/>
              <w:bottom w:val="single" w:color="000000" w:sz="4" w:space="0"/>
              <w:right w:val="single" w:color="000000" w:sz="4" w:space="0"/>
            </w:tcBorders>
          </w:tcPr>
          <w:p w14:paraId="5F96DB86">
            <w:pPr>
              <w:widowControl/>
              <w:spacing w:line="400" w:lineRule="atLeast"/>
              <w:jc w:val="center"/>
              <w:rPr>
                <w:rFonts w:ascii="宋体" w:hAnsi="宋体" w:cs="宋体"/>
                <w:kern w:val="0"/>
                <w:szCs w:val="21"/>
              </w:rPr>
            </w:pPr>
          </w:p>
        </w:tc>
        <w:tc>
          <w:tcPr>
            <w:tcW w:w="992" w:type="dxa"/>
            <w:tcBorders>
              <w:top w:val="single" w:color="000000" w:sz="4" w:space="0"/>
              <w:left w:val="nil"/>
              <w:bottom w:val="single" w:color="000000" w:sz="4" w:space="0"/>
              <w:right w:val="single" w:color="000000" w:sz="4" w:space="0"/>
            </w:tcBorders>
          </w:tcPr>
          <w:p w14:paraId="39708A8F">
            <w:pPr>
              <w:widowControl/>
              <w:spacing w:line="400" w:lineRule="atLeast"/>
              <w:jc w:val="center"/>
              <w:rPr>
                <w:rFonts w:ascii="宋体" w:hAnsi="宋体" w:cs="宋体"/>
                <w:kern w:val="0"/>
                <w:szCs w:val="21"/>
              </w:rPr>
            </w:pPr>
          </w:p>
        </w:tc>
        <w:tc>
          <w:tcPr>
            <w:tcW w:w="1034" w:type="dxa"/>
            <w:tcBorders>
              <w:top w:val="single" w:color="000000" w:sz="4" w:space="0"/>
              <w:left w:val="nil"/>
              <w:bottom w:val="single" w:color="000000" w:sz="4" w:space="0"/>
              <w:right w:val="single" w:color="000000" w:sz="4" w:space="0"/>
            </w:tcBorders>
          </w:tcPr>
          <w:p w14:paraId="2D80527D">
            <w:pPr>
              <w:widowControl/>
              <w:spacing w:line="400" w:lineRule="atLeast"/>
              <w:jc w:val="center"/>
              <w:rPr>
                <w:rFonts w:ascii="宋体" w:hAnsi="宋体" w:cs="宋体"/>
                <w:kern w:val="0"/>
                <w:szCs w:val="21"/>
              </w:rPr>
            </w:pPr>
          </w:p>
        </w:tc>
        <w:tc>
          <w:tcPr>
            <w:tcW w:w="1517" w:type="dxa"/>
            <w:tcBorders>
              <w:top w:val="single" w:color="000000" w:sz="4" w:space="0"/>
              <w:left w:val="nil"/>
              <w:bottom w:val="single" w:color="000000" w:sz="4" w:space="0"/>
              <w:right w:val="single" w:color="000000" w:sz="4" w:space="0"/>
            </w:tcBorders>
          </w:tcPr>
          <w:p w14:paraId="2EE94447">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45ED1A7B">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341DAD7C">
            <w:pPr>
              <w:widowControl/>
              <w:spacing w:line="400" w:lineRule="atLeast"/>
              <w:jc w:val="center"/>
              <w:rPr>
                <w:rFonts w:ascii="宋体" w:hAnsi="宋体" w:cs="宋体"/>
                <w:kern w:val="0"/>
                <w:szCs w:val="21"/>
              </w:rPr>
            </w:pPr>
          </w:p>
        </w:tc>
      </w:tr>
      <w:tr w14:paraId="12E1958C">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07FEF51D">
            <w:pPr>
              <w:widowControl/>
              <w:spacing w:line="400" w:lineRule="atLeast"/>
              <w:jc w:val="center"/>
              <w:rPr>
                <w:rFonts w:ascii="宋体" w:hAnsi="宋体" w:cs="宋体"/>
                <w:kern w:val="0"/>
                <w:szCs w:val="21"/>
              </w:rPr>
            </w:pPr>
          </w:p>
        </w:tc>
        <w:tc>
          <w:tcPr>
            <w:tcW w:w="1559" w:type="dxa"/>
            <w:tcBorders>
              <w:top w:val="single" w:color="000000" w:sz="4" w:space="0"/>
              <w:left w:val="nil"/>
              <w:bottom w:val="single" w:color="000000" w:sz="4" w:space="0"/>
              <w:right w:val="single" w:color="000000" w:sz="4" w:space="0"/>
            </w:tcBorders>
          </w:tcPr>
          <w:p w14:paraId="5B0E0D02">
            <w:pPr>
              <w:widowControl/>
              <w:spacing w:line="400" w:lineRule="atLeast"/>
              <w:jc w:val="center"/>
              <w:rPr>
                <w:rFonts w:ascii="宋体" w:hAnsi="宋体" w:cs="宋体"/>
                <w:kern w:val="0"/>
                <w:szCs w:val="21"/>
              </w:rPr>
            </w:pPr>
          </w:p>
        </w:tc>
        <w:tc>
          <w:tcPr>
            <w:tcW w:w="1418" w:type="dxa"/>
            <w:tcBorders>
              <w:top w:val="single" w:color="000000" w:sz="4" w:space="0"/>
              <w:left w:val="nil"/>
              <w:bottom w:val="single" w:color="000000" w:sz="4" w:space="0"/>
              <w:right w:val="single" w:color="000000" w:sz="4" w:space="0"/>
            </w:tcBorders>
          </w:tcPr>
          <w:p w14:paraId="4515FDC3">
            <w:pPr>
              <w:widowControl/>
              <w:spacing w:line="400" w:lineRule="atLeast"/>
              <w:jc w:val="center"/>
              <w:rPr>
                <w:rFonts w:ascii="宋体" w:hAnsi="宋体" w:cs="宋体"/>
                <w:kern w:val="0"/>
                <w:szCs w:val="21"/>
              </w:rPr>
            </w:pPr>
          </w:p>
        </w:tc>
        <w:tc>
          <w:tcPr>
            <w:tcW w:w="992" w:type="dxa"/>
            <w:tcBorders>
              <w:top w:val="single" w:color="000000" w:sz="4" w:space="0"/>
              <w:left w:val="nil"/>
              <w:bottom w:val="single" w:color="000000" w:sz="4" w:space="0"/>
              <w:right w:val="single" w:color="000000" w:sz="4" w:space="0"/>
            </w:tcBorders>
          </w:tcPr>
          <w:p w14:paraId="77B4FB3A">
            <w:pPr>
              <w:widowControl/>
              <w:spacing w:line="400" w:lineRule="atLeast"/>
              <w:jc w:val="center"/>
              <w:rPr>
                <w:rFonts w:ascii="宋体" w:hAnsi="宋体" w:cs="宋体"/>
                <w:kern w:val="0"/>
                <w:szCs w:val="21"/>
              </w:rPr>
            </w:pPr>
          </w:p>
        </w:tc>
        <w:tc>
          <w:tcPr>
            <w:tcW w:w="1034" w:type="dxa"/>
            <w:tcBorders>
              <w:top w:val="single" w:color="000000" w:sz="4" w:space="0"/>
              <w:left w:val="nil"/>
              <w:bottom w:val="single" w:color="000000" w:sz="4" w:space="0"/>
              <w:right w:val="single" w:color="000000" w:sz="4" w:space="0"/>
            </w:tcBorders>
          </w:tcPr>
          <w:p w14:paraId="7516D4A8">
            <w:pPr>
              <w:widowControl/>
              <w:spacing w:line="400" w:lineRule="atLeast"/>
              <w:jc w:val="center"/>
              <w:rPr>
                <w:rFonts w:ascii="宋体" w:hAnsi="宋体" w:cs="宋体"/>
                <w:kern w:val="0"/>
                <w:szCs w:val="21"/>
              </w:rPr>
            </w:pPr>
          </w:p>
        </w:tc>
        <w:tc>
          <w:tcPr>
            <w:tcW w:w="1517" w:type="dxa"/>
            <w:tcBorders>
              <w:top w:val="single" w:color="000000" w:sz="4" w:space="0"/>
              <w:left w:val="nil"/>
              <w:bottom w:val="single" w:color="000000" w:sz="4" w:space="0"/>
              <w:right w:val="single" w:color="000000" w:sz="4" w:space="0"/>
            </w:tcBorders>
          </w:tcPr>
          <w:p w14:paraId="07E92327">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15F634DC">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21569D69">
            <w:pPr>
              <w:widowControl/>
              <w:spacing w:line="400" w:lineRule="atLeast"/>
              <w:jc w:val="center"/>
              <w:rPr>
                <w:rFonts w:ascii="宋体" w:hAnsi="宋体" w:cs="宋体"/>
                <w:kern w:val="0"/>
                <w:szCs w:val="21"/>
              </w:rPr>
            </w:pPr>
          </w:p>
        </w:tc>
      </w:tr>
      <w:tr w14:paraId="27CEF4F5">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7332CB83">
            <w:pPr>
              <w:widowControl/>
              <w:spacing w:line="400" w:lineRule="atLeast"/>
              <w:jc w:val="center"/>
              <w:rPr>
                <w:rFonts w:ascii="宋体" w:hAnsi="宋体" w:cs="宋体"/>
                <w:kern w:val="0"/>
                <w:szCs w:val="21"/>
              </w:rPr>
            </w:pPr>
          </w:p>
        </w:tc>
        <w:tc>
          <w:tcPr>
            <w:tcW w:w="1559" w:type="dxa"/>
            <w:tcBorders>
              <w:top w:val="single" w:color="000000" w:sz="4" w:space="0"/>
              <w:left w:val="nil"/>
              <w:bottom w:val="single" w:color="000000" w:sz="4" w:space="0"/>
              <w:right w:val="single" w:color="000000" w:sz="4" w:space="0"/>
            </w:tcBorders>
          </w:tcPr>
          <w:p w14:paraId="7EB64E82">
            <w:pPr>
              <w:widowControl/>
              <w:spacing w:line="400" w:lineRule="atLeast"/>
              <w:jc w:val="center"/>
              <w:rPr>
                <w:rFonts w:ascii="宋体" w:hAnsi="宋体" w:cs="宋体"/>
                <w:kern w:val="0"/>
                <w:szCs w:val="21"/>
              </w:rPr>
            </w:pPr>
          </w:p>
        </w:tc>
        <w:tc>
          <w:tcPr>
            <w:tcW w:w="1418" w:type="dxa"/>
            <w:tcBorders>
              <w:top w:val="single" w:color="000000" w:sz="4" w:space="0"/>
              <w:left w:val="nil"/>
              <w:bottom w:val="single" w:color="000000" w:sz="4" w:space="0"/>
              <w:right w:val="single" w:color="000000" w:sz="4" w:space="0"/>
            </w:tcBorders>
          </w:tcPr>
          <w:p w14:paraId="32EEBD0D">
            <w:pPr>
              <w:widowControl/>
              <w:spacing w:line="400" w:lineRule="atLeast"/>
              <w:jc w:val="center"/>
              <w:rPr>
                <w:rFonts w:ascii="宋体" w:hAnsi="宋体" w:cs="宋体"/>
                <w:kern w:val="0"/>
                <w:szCs w:val="21"/>
              </w:rPr>
            </w:pPr>
          </w:p>
        </w:tc>
        <w:tc>
          <w:tcPr>
            <w:tcW w:w="992" w:type="dxa"/>
            <w:tcBorders>
              <w:top w:val="single" w:color="000000" w:sz="4" w:space="0"/>
              <w:left w:val="nil"/>
              <w:bottom w:val="single" w:color="000000" w:sz="4" w:space="0"/>
              <w:right w:val="single" w:color="000000" w:sz="4" w:space="0"/>
            </w:tcBorders>
          </w:tcPr>
          <w:p w14:paraId="0BD75DE3">
            <w:pPr>
              <w:widowControl/>
              <w:spacing w:line="400" w:lineRule="atLeast"/>
              <w:jc w:val="center"/>
              <w:rPr>
                <w:rFonts w:ascii="宋体" w:hAnsi="宋体" w:cs="宋体"/>
                <w:kern w:val="0"/>
                <w:szCs w:val="21"/>
              </w:rPr>
            </w:pPr>
          </w:p>
        </w:tc>
        <w:tc>
          <w:tcPr>
            <w:tcW w:w="1034" w:type="dxa"/>
            <w:tcBorders>
              <w:top w:val="single" w:color="000000" w:sz="4" w:space="0"/>
              <w:left w:val="nil"/>
              <w:bottom w:val="single" w:color="000000" w:sz="4" w:space="0"/>
              <w:right w:val="single" w:color="000000" w:sz="4" w:space="0"/>
            </w:tcBorders>
          </w:tcPr>
          <w:p w14:paraId="60398FDA">
            <w:pPr>
              <w:widowControl/>
              <w:spacing w:line="400" w:lineRule="atLeast"/>
              <w:jc w:val="center"/>
              <w:rPr>
                <w:rFonts w:ascii="宋体" w:hAnsi="宋体" w:cs="宋体"/>
                <w:kern w:val="0"/>
                <w:szCs w:val="21"/>
              </w:rPr>
            </w:pPr>
          </w:p>
        </w:tc>
        <w:tc>
          <w:tcPr>
            <w:tcW w:w="1517" w:type="dxa"/>
            <w:tcBorders>
              <w:top w:val="single" w:color="000000" w:sz="4" w:space="0"/>
              <w:left w:val="nil"/>
              <w:bottom w:val="single" w:color="000000" w:sz="4" w:space="0"/>
              <w:right w:val="single" w:color="000000" w:sz="4" w:space="0"/>
            </w:tcBorders>
          </w:tcPr>
          <w:p w14:paraId="1B50757D">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78B80756">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46FE60A8">
            <w:pPr>
              <w:widowControl/>
              <w:spacing w:line="400" w:lineRule="atLeast"/>
              <w:jc w:val="center"/>
              <w:rPr>
                <w:rFonts w:ascii="宋体" w:hAnsi="宋体" w:cs="宋体"/>
                <w:kern w:val="0"/>
                <w:szCs w:val="21"/>
              </w:rPr>
            </w:pPr>
          </w:p>
        </w:tc>
      </w:tr>
      <w:tr w14:paraId="1065C884">
        <w:tblPrEx>
          <w:tblCellMar>
            <w:top w:w="0" w:type="dxa"/>
            <w:left w:w="108" w:type="dxa"/>
            <w:bottom w:w="0" w:type="dxa"/>
            <w:right w:w="108" w:type="dxa"/>
          </w:tblCellMar>
        </w:tblPrEx>
        <w:trPr>
          <w:jc w:val="center"/>
        </w:trPr>
        <w:tc>
          <w:tcPr>
            <w:tcW w:w="682" w:type="dxa"/>
            <w:tcBorders>
              <w:top w:val="single" w:color="000000" w:sz="4" w:space="0"/>
              <w:left w:val="single" w:color="000000" w:sz="4" w:space="0"/>
              <w:bottom w:val="single" w:color="000000" w:sz="4" w:space="0"/>
              <w:right w:val="single" w:color="000000" w:sz="4" w:space="0"/>
            </w:tcBorders>
          </w:tcPr>
          <w:p w14:paraId="4998325F">
            <w:pPr>
              <w:widowControl/>
              <w:spacing w:line="400" w:lineRule="atLeast"/>
              <w:jc w:val="center"/>
              <w:rPr>
                <w:rFonts w:ascii="宋体" w:hAnsi="宋体" w:cs="宋体"/>
                <w:kern w:val="0"/>
                <w:szCs w:val="21"/>
              </w:rPr>
            </w:pPr>
          </w:p>
        </w:tc>
        <w:tc>
          <w:tcPr>
            <w:tcW w:w="1559" w:type="dxa"/>
            <w:tcBorders>
              <w:top w:val="single" w:color="000000" w:sz="4" w:space="0"/>
              <w:left w:val="nil"/>
              <w:bottom w:val="single" w:color="000000" w:sz="4" w:space="0"/>
              <w:right w:val="single" w:color="000000" w:sz="4" w:space="0"/>
            </w:tcBorders>
          </w:tcPr>
          <w:p w14:paraId="6ED13868">
            <w:pPr>
              <w:widowControl/>
              <w:spacing w:line="400" w:lineRule="atLeast"/>
              <w:jc w:val="center"/>
              <w:rPr>
                <w:rFonts w:ascii="宋体" w:hAnsi="宋体" w:cs="宋体"/>
                <w:kern w:val="0"/>
                <w:szCs w:val="21"/>
              </w:rPr>
            </w:pPr>
          </w:p>
        </w:tc>
        <w:tc>
          <w:tcPr>
            <w:tcW w:w="1418" w:type="dxa"/>
            <w:tcBorders>
              <w:top w:val="single" w:color="000000" w:sz="4" w:space="0"/>
              <w:left w:val="nil"/>
              <w:bottom w:val="single" w:color="000000" w:sz="4" w:space="0"/>
              <w:right w:val="single" w:color="000000" w:sz="4" w:space="0"/>
            </w:tcBorders>
          </w:tcPr>
          <w:p w14:paraId="6B6DDC13">
            <w:pPr>
              <w:widowControl/>
              <w:spacing w:line="400" w:lineRule="atLeast"/>
              <w:jc w:val="center"/>
              <w:rPr>
                <w:rFonts w:ascii="宋体" w:hAnsi="宋体" w:cs="宋体"/>
                <w:kern w:val="0"/>
                <w:szCs w:val="21"/>
              </w:rPr>
            </w:pPr>
          </w:p>
        </w:tc>
        <w:tc>
          <w:tcPr>
            <w:tcW w:w="992" w:type="dxa"/>
            <w:tcBorders>
              <w:top w:val="single" w:color="000000" w:sz="4" w:space="0"/>
              <w:left w:val="nil"/>
              <w:bottom w:val="single" w:color="000000" w:sz="4" w:space="0"/>
              <w:right w:val="single" w:color="000000" w:sz="4" w:space="0"/>
            </w:tcBorders>
          </w:tcPr>
          <w:p w14:paraId="70A0AD20">
            <w:pPr>
              <w:widowControl/>
              <w:spacing w:line="400" w:lineRule="atLeast"/>
              <w:jc w:val="center"/>
              <w:rPr>
                <w:rFonts w:ascii="宋体" w:hAnsi="宋体" w:cs="宋体"/>
                <w:kern w:val="0"/>
                <w:szCs w:val="21"/>
              </w:rPr>
            </w:pPr>
          </w:p>
        </w:tc>
        <w:tc>
          <w:tcPr>
            <w:tcW w:w="1034" w:type="dxa"/>
            <w:tcBorders>
              <w:top w:val="single" w:color="000000" w:sz="4" w:space="0"/>
              <w:left w:val="nil"/>
              <w:bottom w:val="single" w:color="000000" w:sz="4" w:space="0"/>
              <w:right w:val="single" w:color="000000" w:sz="4" w:space="0"/>
            </w:tcBorders>
          </w:tcPr>
          <w:p w14:paraId="5F1E97F0">
            <w:pPr>
              <w:widowControl/>
              <w:spacing w:line="400" w:lineRule="atLeast"/>
              <w:jc w:val="center"/>
              <w:rPr>
                <w:rFonts w:ascii="宋体" w:hAnsi="宋体" w:cs="宋体"/>
                <w:kern w:val="0"/>
                <w:szCs w:val="21"/>
              </w:rPr>
            </w:pPr>
          </w:p>
        </w:tc>
        <w:tc>
          <w:tcPr>
            <w:tcW w:w="1517" w:type="dxa"/>
            <w:tcBorders>
              <w:top w:val="single" w:color="000000" w:sz="4" w:space="0"/>
              <w:left w:val="nil"/>
              <w:bottom w:val="single" w:color="000000" w:sz="4" w:space="0"/>
              <w:right w:val="single" w:color="000000" w:sz="4" w:space="0"/>
            </w:tcBorders>
          </w:tcPr>
          <w:p w14:paraId="33B7C102">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2B743601">
            <w:pPr>
              <w:widowControl/>
              <w:spacing w:line="400" w:lineRule="atLeast"/>
              <w:jc w:val="center"/>
              <w:rPr>
                <w:rFonts w:ascii="宋体" w:hAnsi="宋体" w:cs="宋体"/>
                <w:kern w:val="0"/>
                <w:szCs w:val="21"/>
              </w:rPr>
            </w:pPr>
          </w:p>
        </w:tc>
        <w:tc>
          <w:tcPr>
            <w:tcW w:w="1134" w:type="dxa"/>
            <w:tcBorders>
              <w:top w:val="single" w:color="000000" w:sz="4" w:space="0"/>
              <w:left w:val="nil"/>
              <w:bottom w:val="single" w:color="000000" w:sz="4" w:space="0"/>
              <w:right w:val="single" w:color="000000" w:sz="4" w:space="0"/>
            </w:tcBorders>
          </w:tcPr>
          <w:p w14:paraId="24489AC2">
            <w:pPr>
              <w:widowControl/>
              <w:spacing w:line="400" w:lineRule="atLeast"/>
              <w:jc w:val="center"/>
              <w:rPr>
                <w:rFonts w:ascii="宋体" w:hAnsi="宋体" w:cs="宋体"/>
                <w:kern w:val="0"/>
                <w:szCs w:val="21"/>
              </w:rPr>
            </w:pPr>
          </w:p>
        </w:tc>
      </w:tr>
    </w:tbl>
    <w:p w14:paraId="2BCA20BC">
      <w:pPr>
        <w:widowControl/>
        <w:spacing w:line="360" w:lineRule="auto"/>
        <w:jc w:val="left"/>
        <w:rPr>
          <w:rFonts w:ascii="宋体" w:hAnsi="宋体" w:cs="宋体"/>
          <w:kern w:val="0"/>
          <w:szCs w:val="21"/>
        </w:rPr>
      </w:pPr>
      <w:r>
        <w:rPr>
          <w:rFonts w:hint="eastAsia" w:ascii="宋体" w:hAnsi="宋体" w:cs="宋体"/>
          <w:kern w:val="0"/>
          <w:szCs w:val="21"/>
        </w:rPr>
        <w:t>投标单位（盖章）：</w:t>
      </w:r>
      <w:r>
        <w:rPr>
          <w:rFonts w:hint="eastAsia" w:ascii="宋体" w:hAnsi="宋体" w:cs="宋体"/>
          <w:kern w:val="0"/>
          <w:szCs w:val="21"/>
          <w:u w:val="single"/>
        </w:rPr>
        <w:t>                             </w:t>
      </w:r>
      <w:r>
        <w:rPr>
          <w:rFonts w:hint="eastAsia" w:ascii="宋体" w:hAnsi="宋体" w:cs="宋体"/>
          <w:kern w:val="0"/>
          <w:szCs w:val="21"/>
        </w:rPr>
        <w:t xml:space="preserve"> </w:t>
      </w:r>
    </w:p>
    <w:p w14:paraId="0456894B">
      <w:pPr>
        <w:widowControl/>
        <w:spacing w:line="360" w:lineRule="auto"/>
        <w:jc w:val="left"/>
        <w:rPr>
          <w:rFonts w:ascii="宋体" w:hAnsi="宋体" w:cs="宋体"/>
          <w:kern w:val="0"/>
          <w:szCs w:val="21"/>
          <w:u w:val="single"/>
        </w:rPr>
      </w:pPr>
      <w:r>
        <w:rPr>
          <w:rFonts w:hint="eastAsia" w:ascii="宋体" w:hAnsi="宋体" w:cs="宋体"/>
          <w:kern w:val="0"/>
          <w:szCs w:val="21"/>
        </w:rPr>
        <w:t>法定代表人或授权代表（签字或签章）：</w:t>
      </w:r>
      <w:r>
        <w:rPr>
          <w:rFonts w:hint="eastAsia" w:ascii="宋体" w:hAnsi="宋体" w:cs="宋体"/>
          <w:kern w:val="0"/>
          <w:szCs w:val="21"/>
          <w:u w:val="single"/>
        </w:rPr>
        <w:t>                       </w:t>
      </w:r>
    </w:p>
    <w:p w14:paraId="06DDB02E">
      <w:pPr>
        <w:widowControl/>
        <w:adjustRightInd w:val="0"/>
        <w:spacing w:line="360" w:lineRule="auto"/>
        <w:rPr>
          <w:rFonts w:ascii="宋体" w:hAnsi="宋体" w:cs="宋体"/>
          <w:b/>
          <w:bCs/>
          <w:kern w:val="0"/>
          <w:szCs w:val="21"/>
        </w:rPr>
      </w:pPr>
    </w:p>
    <w:p w14:paraId="01BC9574">
      <w:pPr>
        <w:widowControl/>
        <w:adjustRightInd w:val="0"/>
        <w:spacing w:line="360" w:lineRule="auto"/>
        <w:rPr>
          <w:rFonts w:ascii="宋体" w:hAnsi="宋体" w:cs="宋体"/>
          <w:b/>
          <w:bCs/>
          <w:kern w:val="0"/>
          <w:szCs w:val="21"/>
        </w:rPr>
      </w:pPr>
    </w:p>
    <w:p w14:paraId="3ABE3438">
      <w:pPr>
        <w:spacing w:line="360" w:lineRule="auto"/>
        <w:rPr>
          <w:rFonts w:ascii="宋体" w:hAnsi="宋体" w:cs="宋体"/>
        </w:rPr>
      </w:pPr>
    </w:p>
    <w:p w14:paraId="2DE62136">
      <w:pPr>
        <w:spacing w:line="360" w:lineRule="auto"/>
        <w:rPr>
          <w:rFonts w:ascii="宋体" w:hAnsi="宋体" w:cs="宋体"/>
          <w:b/>
          <w:bCs/>
        </w:rPr>
      </w:pPr>
      <w:r>
        <w:rPr>
          <w:rFonts w:hint="eastAsia" w:ascii="宋体" w:hAnsi="宋体" w:cs="宋体"/>
          <w:b/>
        </w:rPr>
        <w:br w:type="page"/>
      </w:r>
      <w:r>
        <w:rPr>
          <w:rFonts w:hint="eastAsia" w:ascii="宋体" w:hAnsi="宋体" w:cs="宋体"/>
          <w:b/>
        </w:rPr>
        <w:t>附件九</w:t>
      </w:r>
      <w:r>
        <w:rPr>
          <w:rFonts w:hint="eastAsia" w:ascii="宋体" w:hAnsi="宋体" w:cs="宋体"/>
          <w:b/>
          <w:bCs/>
        </w:rPr>
        <w:t>、企业声明函格式</w:t>
      </w:r>
    </w:p>
    <w:p w14:paraId="7094EF6D">
      <w:pPr>
        <w:spacing w:before="312" w:beforeLines="100" w:after="312" w:afterLines="100" w:line="480" w:lineRule="auto"/>
        <w:jc w:val="center"/>
        <w:rPr>
          <w:rFonts w:ascii="宋体" w:hAnsi="宋体" w:cs="宋体"/>
          <w:b/>
          <w:bCs/>
          <w:sz w:val="28"/>
          <w:szCs w:val="28"/>
        </w:rPr>
      </w:pPr>
      <w:bookmarkStart w:id="14" w:name="OLE_LINK14"/>
      <w:bookmarkStart w:id="15" w:name="OLE_LINK13"/>
      <w:r>
        <w:rPr>
          <w:rFonts w:hint="eastAsia" w:ascii="宋体" w:hAnsi="宋体" w:cs="宋体"/>
          <w:b/>
          <w:bCs/>
          <w:sz w:val="28"/>
          <w:szCs w:val="28"/>
        </w:rPr>
        <w:t>中小企业声明函（工程、服务）</w:t>
      </w:r>
    </w:p>
    <w:p w14:paraId="1CB22E7F">
      <w:pPr>
        <w:widowControl/>
        <w:spacing w:line="440" w:lineRule="exact"/>
        <w:ind w:firstLine="420" w:firstLineChars="200"/>
        <w:jc w:val="left"/>
        <w:rPr>
          <w:rFonts w:ascii="宋体" w:hAnsi="宋体" w:cs="宋体"/>
          <w:kern w:val="0"/>
          <w:szCs w:val="21"/>
        </w:rPr>
      </w:pPr>
      <w:r>
        <w:rPr>
          <w:rFonts w:hint="eastAsia" w:ascii="宋体" w:hAnsi="宋体" w:cs="宋体"/>
          <w:kern w:val="0"/>
        </w:rPr>
        <w:t>本公司（联合体）郑重声明，根据《政府采购促进中小企业发展管理办法》（财库〔2020</w:t>
      </w:r>
      <w:r>
        <w:rPr>
          <w:rFonts w:hint="eastAsia" w:ascii="宋体" w:hAnsi="宋体" w:cs="宋体"/>
        </w:rPr>
        <w:t>〕</w:t>
      </w:r>
      <w:r>
        <w:rPr>
          <w:rFonts w:hint="eastAsia" w:ascii="宋体" w:hAnsi="宋体" w:cs="宋体"/>
          <w:kern w:val="0"/>
        </w:rPr>
        <w:t>） 46号）的规定，本公司 （联合体）参加（单位名称）的（项目名称）采购活动，工程的施工单位全部为符合政策要求的中小企业（或者：服务 全部由符合政策要求的中小企业承接）。相关企业（含联合 体中的中小企业、签订分包意向协议的中小企业）的具体情况如下：</w:t>
      </w:r>
    </w:p>
    <w:p w14:paraId="7AAE8863">
      <w:pPr>
        <w:widowControl/>
        <w:spacing w:line="440" w:lineRule="exact"/>
        <w:ind w:firstLine="420" w:firstLineChars="200"/>
        <w:jc w:val="left"/>
        <w:rPr>
          <w:rFonts w:ascii="宋体" w:hAnsi="宋体" w:cs="宋体"/>
          <w:kern w:val="0"/>
        </w:rPr>
      </w:pPr>
      <w:r>
        <w:rPr>
          <w:rFonts w:hint="eastAsia" w:ascii="宋体" w:hAnsi="宋体" w:cs="宋体"/>
          <w:kern w:val="0"/>
          <w:u w:val="single"/>
        </w:rPr>
        <w:t>（标的名称）</w:t>
      </w:r>
      <w:r>
        <w:rPr>
          <w:rFonts w:hint="eastAsia" w:ascii="宋体" w:hAnsi="宋体" w:cs="宋体"/>
          <w:kern w:val="0"/>
        </w:rPr>
        <w:t>,属于</w:t>
      </w:r>
      <w:r>
        <w:rPr>
          <w:rFonts w:hint="eastAsia" w:ascii="宋体" w:hAnsi="宋体" w:cs="宋体"/>
          <w:kern w:val="0"/>
          <w:u w:val="single"/>
        </w:rPr>
        <w:t>（采购文件中明确的所属行业）</w:t>
      </w:r>
      <w:r>
        <w:rPr>
          <w:rFonts w:hint="eastAsia" w:ascii="宋体" w:hAnsi="宋体" w:cs="宋体"/>
          <w:kern w:val="0"/>
        </w:rPr>
        <w:t>, 承建（承接）企业为（企业名称）,从业人员</w:t>
      </w:r>
      <w:r>
        <w:rPr>
          <w:rFonts w:hint="eastAsia" w:ascii="宋体" w:hAnsi="宋体" w:cs="宋体"/>
          <w:kern w:val="0"/>
          <w:u w:val="single"/>
        </w:rPr>
        <w:tab/>
      </w:r>
      <w:r>
        <w:rPr>
          <w:rFonts w:hint="eastAsia" w:ascii="宋体" w:hAnsi="宋体" w:cs="宋体"/>
          <w:kern w:val="0"/>
          <w:u w:val="single"/>
        </w:rPr>
        <w:t>人</w:t>
      </w:r>
      <w:r>
        <w:rPr>
          <w:rFonts w:hint="eastAsia" w:ascii="宋体" w:hAnsi="宋体" w:cs="宋体"/>
          <w:kern w:val="0"/>
        </w:rPr>
        <w:t>，营业收入为</w:t>
      </w:r>
      <w:r>
        <w:rPr>
          <w:rFonts w:hint="eastAsia" w:ascii="宋体" w:hAnsi="宋体" w:cs="宋体"/>
          <w:kern w:val="0"/>
          <w:u w:val="single"/>
        </w:rPr>
        <w:tab/>
      </w:r>
      <w:r>
        <w:rPr>
          <w:rFonts w:hint="eastAsia" w:ascii="宋体" w:hAnsi="宋体" w:cs="宋体"/>
          <w:kern w:val="0"/>
        </w:rPr>
        <w:t>万元，资产总额为</w:t>
      </w:r>
      <w:r>
        <w:rPr>
          <w:rFonts w:hint="eastAsia" w:ascii="宋体" w:hAnsi="宋体" w:cs="宋体"/>
          <w:kern w:val="0"/>
          <w:u w:val="single"/>
        </w:rPr>
        <w:tab/>
      </w:r>
      <w:r>
        <w:rPr>
          <w:rFonts w:hint="eastAsia" w:ascii="宋体" w:hAnsi="宋体" w:cs="宋体"/>
          <w:kern w:val="0"/>
        </w:rPr>
        <w:t>万元，属于（中型企业、小型企业、微型企业）；</w:t>
      </w:r>
    </w:p>
    <w:p w14:paraId="14B33E65">
      <w:pPr>
        <w:widowControl/>
        <w:spacing w:line="440" w:lineRule="exact"/>
        <w:ind w:firstLine="420" w:firstLineChars="200"/>
        <w:jc w:val="left"/>
        <w:rPr>
          <w:rFonts w:ascii="宋体" w:hAnsi="宋体" w:cs="宋体"/>
          <w:kern w:val="0"/>
        </w:rPr>
      </w:pPr>
      <w:r>
        <w:rPr>
          <w:rFonts w:hint="eastAsia" w:ascii="宋体" w:hAnsi="宋体" w:cs="宋体"/>
          <w:kern w:val="0"/>
          <w:u w:val="single"/>
        </w:rPr>
        <w:t>（标的名称）,</w:t>
      </w:r>
      <w:r>
        <w:rPr>
          <w:rFonts w:hint="eastAsia" w:ascii="宋体" w:hAnsi="宋体" w:cs="宋体"/>
          <w:kern w:val="0"/>
        </w:rPr>
        <w:t>属于（采购文件中明确的所属行业）, 承建（承接）企业为（企业名称）,从业人员</w:t>
      </w:r>
      <w:r>
        <w:rPr>
          <w:rFonts w:hint="eastAsia" w:ascii="宋体" w:hAnsi="宋体" w:cs="宋体"/>
          <w:kern w:val="0"/>
          <w:u w:val="single"/>
        </w:rPr>
        <w:tab/>
      </w:r>
      <w:r>
        <w:rPr>
          <w:rFonts w:hint="eastAsia" w:ascii="宋体" w:hAnsi="宋体" w:cs="宋体"/>
          <w:kern w:val="0"/>
          <w:u w:val="single"/>
        </w:rPr>
        <w:t>人</w:t>
      </w:r>
      <w:r>
        <w:rPr>
          <w:rFonts w:hint="eastAsia" w:ascii="宋体" w:hAnsi="宋体" w:cs="宋体"/>
          <w:kern w:val="0"/>
        </w:rPr>
        <w:t>，营业收入为</w:t>
      </w:r>
      <w:r>
        <w:rPr>
          <w:rFonts w:hint="eastAsia" w:ascii="宋体" w:hAnsi="宋体" w:cs="宋体"/>
          <w:kern w:val="0"/>
          <w:u w:val="single"/>
        </w:rPr>
        <w:tab/>
      </w:r>
      <w:r>
        <w:rPr>
          <w:rFonts w:hint="eastAsia" w:ascii="宋体" w:hAnsi="宋体" w:cs="宋体"/>
          <w:kern w:val="0"/>
        </w:rPr>
        <w:t>万元，资产总额为</w:t>
      </w:r>
      <w:r>
        <w:rPr>
          <w:rFonts w:hint="eastAsia" w:ascii="宋体" w:hAnsi="宋体" w:cs="宋体"/>
          <w:kern w:val="0"/>
          <w:u w:val="single"/>
        </w:rPr>
        <w:tab/>
      </w:r>
      <w:r>
        <w:rPr>
          <w:rFonts w:hint="eastAsia" w:ascii="宋体" w:hAnsi="宋体" w:cs="宋体"/>
          <w:kern w:val="0"/>
        </w:rPr>
        <w:t>万元，属于（中型企业、小型企业、微型企业）；</w:t>
      </w:r>
      <w:r>
        <w:rPr>
          <w:rFonts w:hint="eastAsia" w:ascii="宋体" w:hAnsi="宋体" w:cs="宋体"/>
          <w:kern w:val="0"/>
        </w:rPr>
        <w:tab/>
      </w:r>
    </w:p>
    <w:p w14:paraId="3B6D690E">
      <w:pPr>
        <w:widowControl/>
        <w:spacing w:line="440" w:lineRule="exact"/>
        <w:ind w:firstLine="420" w:firstLineChars="200"/>
        <w:jc w:val="left"/>
        <w:rPr>
          <w:rFonts w:ascii="宋体" w:hAnsi="宋体" w:cs="宋体"/>
          <w:kern w:val="0"/>
        </w:rPr>
      </w:pPr>
      <w:r>
        <w:rPr>
          <w:rFonts w:hint="eastAsia" w:ascii="宋体" w:hAnsi="宋体" w:cs="宋体"/>
          <w:kern w:val="0"/>
        </w:rPr>
        <w:t>以上企业，不属于大企业的分支机构，不存在控股股东为大企业的情形，也不存在与大企业的负责人为同一人的情形。</w:t>
      </w:r>
    </w:p>
    <w:p w14:paraId="6F64190C">
      <w:pPr>
        <w:widowControl/>
        <w:spacing w:line="440" w:lineRule="exact"/>
        <w:ind w:firstLine="420" w:firstLineChars="200"/>
        <w:jc w:val="left"/>
        <w:rPr>
          <w:rFonts w:ascii="宋体" w:hAnsi="宋体" w:cs="宋体"/>
          <w:kern w:val="0"/>
        </w:rPr>
      </w:pPr>
      <w:r>
        <w:rPr>
          <w:rFonts w:hint="eastAsia" w:ascii="宋体" w:hAnsi="宋体" w:cs="宋体"/>
          <w:kern w:val="0"/>
        </w:rPr>
        <w:t>本企业对上述声明内容的真实性负责。如有虚假，将依法承担相应责任。</w:t>
      </w:r>
    </w:p>
    <w:p w14:paraId="6E21CED4">
      <w:pPr>
        <w:widowControl/>
        <w:spacing w:line="440" w:lineRule="exact"/>
        <w:ind w:firstLine="420" w:firstLineChars="200"/>
        <w:jc w:val="left"/>
        <w:rPr>
          <w:rFonts w:ascii="宋体" w:hAnsi="宋体" w:cs="宋体"/>
          <w:kern w:val="0"/>
        </w:rPr>
      </w:pPr>
    </w:p>
    <w:p w14:paraId="22088365">
      <w:pPr>
        <w:widowControl/>
        <w:spacing w:line="440" w:lineRule="exact"/>
        <w:ind w:firstLine="420" w:firstLineChars="200"/>
        <w:jc w:val="left"/>
        <w:rPr>
          <w:rFonts w:ascii="宋体" w:hAnsi="宋体" w:cs="宋体"/>
          <w:kern w:val="0"/>
        </w:rPr>
      </w:pPr>
    </w:p>
    <w:p w14:paraId="3BA56E37">
      <w:pPr>
        <w:widowControl/>
        <w:spacing w:line="440" w:lineRule="exact"/>
        <w:ind w:firstLine="420" w:firstLineChars="200"/>
        <w:jc w:val="left"/>
        <w:rPr>
          <w:rFonts w:ascii="宋体" w:hAnsi="宋体" w:cs="宋体"/>
          <w:kern w:val="0"/>
        </w:rPr>
      </w:pPr>
    </w:p>
    <w:p w14:paraId="54821A7B">
      <w:pPr>
        <w:widowControl/>
        <w:spacing w:line="440" w:lineRule="exact"/>
        <w:ind w:firstLine="420" w:firstLineChars="200"/>
        <w:jc w:val="right"/>
        <w:rPr>
          <w:rFonts w:ascii="宋体" w:hAnsi="宋体" w:cs="宋体"/>
          <w:kern w:val="0"/>
        </w:rPr>
      </w:pPr>
      <w:r>
        <w:rPr>
          <w:rFonts w:hint="eastAsia" w:ascii="宋体" w:hAnsi="宋体" w:cs="宋体"/>
          <w:kern w:val="0"/>
        </w:rPr>
        <w:t>企业名称（盖章）：</w:t>
      </w:r>
    </w:p>
    <w:p w14:paraId="1E3ECD1B">
      <w:pPr>
        <w:widowControl/>
        <w:spacing w:line="360" w:lineRule="auto"/>
        <w:ind w:firstLine="420" w:firstLineChars="200"/>
        <w:jc w:val="left"/>
        <w:rPr>
          <w:rFonts w:ascii="宋体" w:hAnsi="宋体" w:cs="宋体"/>
          <w:kern w:val="0"/>
        </w:rPr>
      </w:pPr>
      <w:r>
        <w:rPr>
          <w:rFonts w:hint="eastAsia" w:ascii="宋体" w:hAnsi="宋体" w:cs="宋体"/>
          <w:kern w:val="0"/>
        </w:rPr>
        <w:t xml:space="preserve">                                                           日期：</w:t>
      </w:r>
    </w:p>
    <w:p w14:paraId="6A4F5847">
      <w:pPr>
        <w:widowControl/>
        <w:spacing w:line="360" w:lineRule="auto"/>
        <w:ind w:firstLine="420" w:firstLineChars="200"/>
        <w:jc w:val="left"/>
        <w:rPr>
          <w:rFonts w:ascii="宋体" w:hAnsi="宋体" w:cs="宋体"/>
          <w:kern w:val="0"/>
        </w:rPr>
      </w:pPr>
    </w:p>
    <w:p w14:paraId="00FA82F9">
      <w:pPr>
        <w:widowControl/>
        <w:spacing w:line="360" w:lineRule="auto"/>
        <w:ind w:firstLine="420" w:firstLineChars="200"/>
        <w:jc w:val="left"/>
        <w:rPr>
          <w:rFonts w:ascii="宋体" w:hAnsi="宋体" w:cs="宋体"/>
          <w:kern w:val="0"/>
        </w:rPr>
      </w:pPr>
    </w:p>
    <w:p w14:paraId="257F4281">
      <w:pPr>
        <w:widowControl/>
        <w:spacing w:line="360" w:lineRule="auto"/>
        <w:ind w:firstLine="422" w:firstLineChars="200"/>
        <w:jc w:val="left"/>
        <w:rPr>
          <w:rFonts w:ascii="宋体" w:hAnsi="宋体" w:cs="宋体"/>
          <w:b/>
          <w:snapToGrid w:val="0"/>
          <w:kern w:val="0"/>
          <w:szCs w:val="21"/>
        </w:rPr>
      </w:pPr>
      <w:r>
        <w:rPr>
          <w:rFonts w:hint="eastAsia" w:ascii="宋体" w:hAnsi="宋体" w:cs="宋体"/>
          <w:b/>
          <w:snapToGrid w:val="0"/>
          <w:kern w:val="0"/>
          <w:szCs w:val="21"/>
        </w:rPr>
        <w:t>注：从业人员、营业收入、资产总额填报上一年度数据，无上一年度数据的新成立企业可不填报。</w:t>
      </w:r>
    </w:p>
    <w:p w14:paraId="1E27239C">
      <w:pPr>
        <w:spacing w:line="360" w:lineRule="auto"/>
        <w:jc w:val="center"/>
        <w:rPr>
          <w:rFonts w:ascii="宋体" w:hAnsi="宋体" w:cs="宋体"/>
          <w:b/>
          <w:bCs/>
          <w:sz w:val="28"/>
        </w:rPr>
        <w:sectPr>
          <w:footerReference r:id="rId8" w:type="first"/>
          <w:footerReference r:id="rId7" w:type="default"/>
          <w:pgSz w:w="11906" w:h="16838"/>
          <w:pgMar w:top="1440" w:right="1800" w:bottom="1440" w:left="1600" w:header="851" w:footer="992" w:gutter="0"/>
          <w:pgNumType w:start="1"/>
          <w:cols w:space="720" w:num="1"/>
          <w:titlePg/>
          <w:docGrid w:type="lines" w:linePitch="312" w:charSpace="0"/>
        </w:sectPr>
      </w:pPr>
    </w:p>
    <w:p w14:paraId="5E8DE75B">
      <w:pPr>
        <w:spacing w:line="360" w:lineRule="auto"/>
        <w:jc w:val="center"/>
        <w:rPr>
          <w:rFonts w:ascii="宋体" w:hAnsi="宋体" w:cs="宋体"/>
          <w:b/>
          <w:bCs/>
          <w:sz w:val="28"/>
        </w:rPr>
      </w:pPr>
      <w:r>
        <w:rPr>
          <w:rFonts w:hint="eastAsia" w:ascii="宋体" w:hAnsi="宋体" w:cs="宋体"/>
          <w:b/>
          <w:bCs/>
          <w:sz w:val="28"/>
        </w:rPr>
        <w:t>残疾人福利性单位声明函</w:t>
      </w:r>
    </w:p>
    <w:bookmarkEnd w:id="14"/>
    <w:bookmarkEnd w:id="15"/>
    <w:p w14:paraId="04F181CA">
      <w:pPr>
        <w:widowControl/>
        <w:spacing w:line="44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00CD795">
      <w:pPr>
        <w:widowControl/>
        <w:spacing w:line="440" w:lineRule="exact"/>
        <w:ind w:firstLine="420" w:firstLineChars="200"/>
        <w:jc w:val="left"/>
        <w:rPr>
          <w:rFonts w:ascii="宋体" w:hAnsi="宋体" w:cs="宋体"/>
          <w:snapToGrid w:val="0"/>
          <w:kern w:val="0"/>
          <w:szCs w:val="21"/>
        </w:rPr>
      </w:pPr>
      <w:r>
        <w:rPr>
          <w:rFonts w:hint="eastAsia" w:ascii="宋体" w:hAnsi="宋体" w:cs="宋体"/>
          <w:snapToGrid w:val="0"/>
          <w:kern w:val="0"/>
          <w:szCs w:val="21"/>
        </w:rPr>
        <w:t>本单位对上述声明的真实性负责。如有虚假，将依法承担相应责任。</w:t>
      </w:r>
    </w:p>
    <w:p w14:paraId="47B7479E">
      <w:pPr>
        <w:widowControl/>
        <w:spacing w:line="440" w:lineRule="exact"/>
        <w:ind w:firstLine="5040" w:firstLineChars="2400"/>
        <w:jc w:val="left"/>
        <w:rPr>
          <w:rFonts w:ascii="宋体" w:hAnsi="宋体" w:cs="宋体"/>
          <w:snapToGrid w:val="0"/>
          <w:kern w:val="0"/>
          <w:szCs w:val="21"/>
        </w:rPr>
      </w:pPr>
      <w:r>
        <w:rPr>
          <w:rFonts w:hint="eastAsia" w:ascii="宋体" w:hAnsi="宋体" w:cs="宋体"/>
          <w:snapToGrid w:val="0"/>
          <w:kern w:val="0"/>
          <w:szCs w:val="21"/>
        </w:rPr>
        <w:t>单位名称（盖章）：</w:t>
      </w:r>
    </w:p>
    <w:p w14:paraId="5D436618">
      <w:pPr>
        <w:widowControl/>
        <w:spacing w:line="440" w:lineRule="exact"/>
        <w:ind w:firstLine="5040" w:firstLineChars="2400"/>
        <w:jc w:val="left"/>
        <w:rPr>
          <w:rFonts w:ascii="宋体" w:hAnsi="宋体" w:cs="宋体"/>
          <w:snapToGrid w:val="0"/>
          <w:kern w:val="0"/>
          <w:szCs w:val="21"/>
        </w:rPr>
      </w:pPr>
      <w:r>
        <w:rPr>
          <w:rFonts w:hint="eastAsia" w:ascii="宋体" w:hAnsi="宋体" w:cs="宋体"/>
          <w:snapToGrid w:val="0"/>
          <w:kern w:val="0"/>
          <w:szCs w:val="21"/>
        </w:rPr>
        <w:t>日  期：</w:t>
      </w:r>
    </w:p>
    <w:p w14:paraId="7DB07D8F">
      <w:pPr>
        <w:spacing w:line="360" w:lineRule="auto"/>
        <w:rPr>
          <w:rFonts w:ascii="宋体" w:hAnsi="宋体" w:cs="宋体"/>
          <w:b/>
          <w:bCs/>
        </w:rPr>
      </w:pPr>
    </w:p>
    <w:p w14:paraId="76CDC4CB">
      <w:pPr>
        <w:spacing w:line="360" w:lineRule="auto"/>
        <w:rPr>
          <w:rFonts w:ascii="宋体" w:hAnsi="宋体" w:cs="宋体"/>
          <w:b/>
          <w:bCs/>
        </w:rPr>
      </w:pPr>
    </w:p>
    <w:p w14:paraId="4F0384AD">
      <w:pPr>
        <w:spacing w:line="360" w:lineRule="auto"/>
        <w:jc w:val="center"/>
        <w:rPr>
          <w:rFonts w:ascii="宋体" w:hAnsi="宋体" w:cs="宋体"/>
          <w:b/>
          <w:bCs/>
          <w:sz w:val="28"/>
        </w:rPr>
      </w:pPr>
      <w:r>
        <w:rPr>
          <w:rFonts w:hint="eastAsia" w:ascii="宋体" w:hAnsi="宋体" w:cs="宋体"/>
          <w:b/>
          <w:bCs/>
          <w:sz w:val="28"/>
        </w:rPr>
        <w:t>属于监狱企业的证明文件</w:t>
      </w:r>
    </w:p>
    <w:p w14:paraId="5505AE19">
      <w:pPr>
        <w:spacing w:line="360" w:lineRule="auto"/>
        <w:rPr>
          <w:rFonts w:ascii="宋体" w:hAnsi="宋体" w:cs="宋体"/>
        </w:rPr>
      </w:pPr>
      <w:r>
        <w:rPr>
          <w:rFonts w:hint="eastAsia" w:ascii="宋体" w:hAnsi="宋体" w:cs="宋体"/>
        </w:rPr>
        <w:t>（提供由省级以上监狱管理局、戒毒管理局(含新疆生产建设兵团)出具的属于监狱企业的证明文件）</w:t>
      </w:r>
    </w:p>
    <w:p w14:paraId="55F4D956">
      <w:pPr>
        <w:spacing w:line="360" w:lineRule="auto"/>
        <w:rPr>
          <w:rFonts w:ascii="宋体" w:hAnsi="宋体" w:cs="宋体"/>
          <w:b/>
          <w:bCs/>
        </w:rPr>
      </w:pPr>
    </w:p>
    <w:p w14:paraId="2D42936E">
      <w:pPr>
        <w:spacing w:line="360" w:lineRule="auto"/>
        <w:rPr>
          <w:rFonts w:ascii="宋体" w:hAnsi="宋体" w:cs="宋体"/>
          <w:b/>
          <w:bCs/>
        </w:rPr>
      </w:pPr>
    </w:p>
    <w:p w14:paraId="6E1EBEF8">
      <w:pPr>
        <w:spacing w:line="360" w:lineRule="auto"/>
        <w:jc w:val="center"/>
        <w:rPr>
          <w:rFonts w:ascii="宋体" w:hAnsi="宋体" w:cs="宋体"/>
          <w:b/>
          <w:bCs/>
        </w:rPr>
      </w:pPr>
      <w:r>
        <w:rPr>
          <w:rFonts w:hint="eastAsia" w:ascii="宋体" w:hAnsi="宋体" w:cs="宋体"/>
          <w:b/>
          <w:bCs/>
          <w:sz w:val="28"/>
        </w:rPr>
        <w:t>节能产品认证证书</w:t>
      </w:r>
    </w:p>
    <w:p w14:paraId="2C913265">
      <w:pPr>
        <w:spacing w:line="360" w:lineRule="auto"/>
        <w:rPr>
          <w:rFonts w:ascii="宋体" w:hAnsi="宋体" w:cs="宋体"/>
          <w:bCs/>
        </w:rPr>
      </w:pPr>
      <w:r>
        <w:rPr>
          <w:rFonts w:hint="eastAsia" w:ascii="宋体" w:hAnsi="宋体" w:cs="宋体"/>
          <w:bCs/>
        </w:rPr>
        <w:t>（提供国家确定的认证机构出具的、处于有效期之内的产品认证证书）</w:t>
      </w:r>
    </w:p>
    <w:p w14:paraId="594721BC">
      <w:pPr>
        <w:spacing w:line="360" w:lineRule="auto"/>
        <w:rPr>
          <w:rFonts w:ascii="宋体" w:hAnsi="宋体" w:cs="宋体"/>
          <w:b/>
          <w:bCs/>
        </w:rPr>
      </w:pPr>
    </w:p>
    <w:p w14:paraId="18E6095C">
      <w:pPr>
        <w:spacing w:line="360" w:lineRule="auto"/>
        <w:rPr>
          <w:rFonts w:ascii="宋体" w:hAnsi="宋体" w:cs="宋体"/>
          <w:b/>
          <w:bCs/>
        </w:rPr>
      </w:pPr>
    </w:p>
    <w:p w14:paraId="4C01BCA7">
      <w:pPr>
        <w:spacing w:line="360" w:lineRule="auto"/>
        <w:rPr>
          <w:rFonts w:ascii="宋体" w:hAnsi="宋体" w:cs="宋体"/>
          <w:b/>
          <w:bCs/>
        </w:rPr>
      </w:pPr>
    </w:p>
    <w:p w14:paraId="79AF2F47">
      <w:pPr>
        <w:spacing w:line="360" w:lineRule="auto"/>
        <w:jc w:val="center"/>
        <w:rPr>
          <w:rFonts w:ascii="宋体" w:hAnsi="宋体" w:cs="宋体"/>
          <w:b/>
          <w:bCs/>
        </w:rPr>
      </w:pPr>
      <w:r>
        <w:rPr>
          <w:rFonts w:hint="eastAsia" w:ascii="宋体" w:hAnsi="宋体" w:cs="宋体"/>
          <w:b/>
          <w:bCs/>
          <w:sz w:val="28"/>
        </w:rPr>
        <w:t>环境标志产品认证证书</w:t>
      </w:r>
    </w:p>
    <w:p w14:paraId="50B5A41D">
      <w:pPr>
        <w:spacing w:line="360" w:lineRule="auto"/>
        <w:rPr>
          <w:rFonts w:ascii="宋体" w:hAnsi="宋体" w:cs="宋体"/>
          <w:bCs/>
        </w:rPr>
      </w:pPr>
      <w:r>
        <w:rPr>
          <w:rFonts w:hint="eastAsia" w:ascii="宋体" w:hAnsi="宋体" w:cs="宋体"/>
          <w:bCs/>
        </w:rPr>
        <w:t>（提供国家确定的认证机构出具的、处于有效期之内的产品认证证书）</w:t>
      </w:r>
    </w:p>
    <w:p w14:paraId="6365C6F9">
      <w:pPr>
        <w:pStyle w:val="61"/>
        <w:rPr>
          <w:rFonts w:ascii="宋体" w:hAnsi="宋体" w:cs="宋体"/>
          <w:bCs/>
        </w:rPr>
      </w:pPr>
    </w:p>
    <w:p w14:paraId="528F2183">
      <w:pPr>
        <w:pStyle w:val="61"/>
        <w:rPr>
          <w:rFonts w:ascii="宋体" w:hAnsi="宋体" w:cs="宋体"/>
          <w:bCs/>
        </w:rPr>
      </w:pPr>
    </w:p>
    <w:p w14:paraId="58057D5F">
      <w:pPr>
        <w:pStyle w:val="61"/>
        <w:rPr>
          <w:rFonts w:ascii="宋体" w:hAnsi="宋体" w:cs="宋体"/>
          <w:bCs/>
        </w:rPr>
      </w:pPr>
    </w:p>
    <w:p w14:paraId="65A79D18">
      <w:pPr>
        <w:spacing w:line="360" w:lineRule="auto"/>
        <w:jc w:val="center"/>
        <w:rPr>
          <w:rFonts w:ascii="宋体" w:hAnsi="宋体" w:cs="宋体"/>
          <w:b/>
          <w:bCs/>
          <w:sz w:val="28"/>
        </w:rPr>
      </w:pPr>
      <w:r>
        <w:rPr>
          <w:rFonts w:hint="eastAsia" w:ascii="宋体" w:hAnsi="宋体" w:cs="宋体"/>
          <w:b/>
          <w:bCs/>
          <w:sz w:val="28"/>
        </w:rPr>
        <w:t>进口产品转让技术、消化吸收再创新方案</w:t>
      </w:r>
    </w:p>
    <w:p w14:paraId="6A429E06">
      <w:pPr>
        <w:spacing w:line="360" w:lineRule="auto"/>
        <w:rPr>
          <w:rFonts w:ascii="宋体" w:hAnsi="宋体" w:cs="宋体"/>
          <w:bCs/>
        </w:rPr>
      </w:pPr>
      <w:r>
        <w:rPr>
          <w:rFonts w:hint="eastAsia" w:ascii="宋体" w:hAnsi="宋体" w:cs="宋体"/>
          <w:bCs/>
        </w:rPr>
        <w:t>（对于允许进口产品参加的项目）</w:t>
      </w:r>
    </w:p>
    <w:p w14:paraId="18B53322">
      <w:pPr>
        <w:spacing w:line="360" w:lineRule="auto"/>
        <w:rPr>
          <w:rFonts w:ascii="宋体" w:hAnsi="宋体" w:cs="宋体"/>
          <w:b/>
          <w:bCs/>
        </w:rPr>
      </w:pPr>
    </w:p>
    <w:p w14:paraId="7A7768DA">
      <w:pPr>
        <w:autoSpaceDE w:val="0"/>
        <w:autoSpaceDN w:val="0"/>
        <w:adjustRightInd w:val="0"/>
        <w:spacing w:line="360" w:lineRule="auto"/>
        <w:rPr>
          <w:rFonts w:ascii="宋体" w:hAnsi="宋体" w:cs="宋体"/>
          <w:b/>
        </w:rPr>
      </w:pPr>
      <w:r>
        <w:rPr>
          <w:rFonts w:hint="eastAsia" w:ascii="宋体" w:hAnsi="宋体" w:cs="宋体"/>
          <w:b/>
          <w:szCs w:val="21"/>
          <w:lang w:val="zh-CN"/>
        </w:rPr>
        <w:br w:type="page"/>
      </w:r>
      <w:r>
        <w:rPr>
          <w:rFonts w:hint="eastAsia" w:ascii="宋体" w:hAnsi="宋体" w:cs="宋体"/>
          <w:b/>
        </w:rPr>
        <w:t>附件十、无重大违法记录声明格式</w:t>
      </w:r>
    </w:p>
    <w:p w14:paraId="51FE7AAA">
      <w:pPr>
        <w:spacing w:line="240" w:lineRule="atLeast"/>
        <w:jc w:val="center"/>
        <w:rPr>
          <w:rFonts w:ascii="宋体" w:hAnsi="宋体" w:cs="宋体"/>
          <w:sz w:val="28"/>
          <w:szCs w:val="36"/>
        </w:rPr>
      </w:pPr>
    </w:p>
    <w:p w14:paraId="2AB4B52F">
      <w:pPr>
        <w:spacing w:line="240" w:lineRule="atLeast"/>
        <w:jc w:val="center"/>
        <w:rPr>
          <w:rFonts w:ascii="宋体" w:hAnsi="宋体" w:cs="宋体"/>
          <w:sz w:val="28"/>
          <w:szCs w:val="36"/>
        </w:rPr>
      </w:pPr>
      <w:r>
        <w:rPr>
          <w:rFonts w:hint="eastAsia" w:ascii="宋体" w:hAnsi="宋体" w:cs="宋体"/>
          <w:sz w:val="28"/>
          <w:szCs w:val="36"/>
        </w:rPr>
        <w:t>无重大违法记录声明</w:t>
      </w:r>
    </w:p>
    <w:p w14:paraId="7197955A">
      <w:pPr>
        <w:spacing w:line="360" w:lineRule="auto"/>
        <w:rPr>
          <w:rFonts w:ascii="宋体" w:hAnsi="宋体" w:cs="宋体"/>
          <w:szCs w:val="21"/>
        </w:rPr>
      </w:pPr>
    </w:p>
    <w:p w14:paraId="5F499042">
      <w:pPr>
        <w:spacing w:line="360" w:lineRule="auto"/>
        <w:rPr>
          <w:rFonts w:ascii="宋体" w:hAnsi="宋体" w:cs="宋体"/>
          <w:szCs w:val="21"/>
        </w:rPr>
      </w:pPr>
      <w:r>
        <w:rPr>
          <w:rFonts w:hint="eastAsia" w:ascii="宋体" w:hAnsi="宋体" w:cs="宋体"/>
          <w:szCs w:val="21"/>
        </w:rPr>
        <w:t>江苏省设备成套股份有限公司：</w:t>
      </w:r>
    </w:p>
    <w:p w14:paraId="243029D7">
      <w:pPr>
        <w:spacing w:line="360" w:lineRule="auto"/>
        <w:rPr>
          <w:rFonts w:ascii="宋体" w:hAnsi="宋体" w:cs="宋体"/>
        </w:rPr>
      </w:pPr>
    </w:p>
    <w:p w14:paraId="66C1EC3A">
      <w:pPr>
        <w:spacing w:line="360" w:lineRule="auto"/>
        <w:ind w:firstLine="336" w:firstLineChars="160"/>
        <w:rPr>
          <w:rFonts w:ascii="宋体" w:hAnsi="宋体" w:cs="宋体"/>
        </w:rPr>
      </w:pPr>
      <w:r>
        <w:rPr>
          <w:rFonts w:hint="eastAsia" w:ascii="宋体" w:hAnsi="宋体" w:cs="宋体"/>
        </w:rPr>
        <w:t>我单位（供应商名称）郑重声明：</w:t>
      </w:r>
    </w:p>
    <w:p w14:paraId="38906615">
      <w:pPr>
        <w:widowControl/>
        <w:shd w:val="clear" w:color="auto" w:fill="FFFFFF"/>
        <w:spacing w:line="360" w:lineRule="auto"/>
        <w:ind w:firstLine="308" w:firstLineChars="147"/>
        <w:rPr>
          <w:rFonts w:ascii="宋体" w:hAnsi="宋体" w:cs="宋体"/>
          <w:b/>
          <w:kern w:val="0"/>
          <w:szCs w:val="21"/>
        </w:rPr>
      </w:pPr>
      <w:r>
        <w:rPr>
          <w:rFonts w:hint="eastAsia" w:ascii="宋体" w:hAnsi="宋体" w:cs="宋体"/>
          <w:kern w:val="0"/>
          <w:szCs w:val="21"/>
        </w:rPr>
        <w:t>我单位</w:t>
      </w:r>
      <w:r>
        <w:rPr>
          <w:rFonts w:hint="eastAsia" w:ascii="宋体" w:hAnsi="宋体" w:cs="宋体"/>
        </w:rPr>
        <w:t>参加政府采购活动前3年内在经营活动中（</w:t>
      </w:r>
      <w:r>
        <w:rPr>
          <w:rFonts w:hint="eastAsia" w:ascii="宋体" w:hAnsi="宋体" w:cs="宋体"/>
          <w:b/>
          <w:i/>
          <w:u w:val="single"/>
        </w:rPr>
        <w:t>在下划线上如实填写：有或没有</w:t>
      </w:r>
      <w:r>
        <w:rPr>
          <w:rFonts w:hint="eastAsia" w:ascii="宋体" w:hAnsi="宋体" w:cs="宋体"/>
        </w:rPr>
        <w:t>）</w:t>
      </w:r>
      <w:r>
        <w:rPr>
          <w:rFonts w:hint="eastAsia" w:ascii="宋体" w:hAnsi="宋体" w:cs="宋体"/>
          <w:b/>
        </w:rPr>
        <w:t>重大违法记录</w:t>
      </w:r>
      <w:r>
        <w:rPr>
          <w:rFonts w:hint="eastAsia" w:ascii="宋体" w:hAnsi="宋体" w:cs="宋体"/>
          <w:b/>
          <w:kern w:val="0"/>
          <w:szCs w:val="21"/>
        </w:rPr>
        <w:t>，且不是失信被执行人、</w:t>
      </w:r>
      <w:r>
        <w:rPr>
          <w:rFonts w:hint="eastAsia" w:ascii="宋体" w:hAnsi="宋体" w:cs="宋体"/>
          <w:b/>
          <w:kern w:val="0"/>
          <w:szCs w:val="21"/>
          <w:lang w:eastAsia="zh-CN"/>
        </w:rPr>
        <w:t>重大税收违法失信主体名单</w:t>
      </w:r>
      <w:r>
        <w:rPr>
          <w:rFonts w:hint="eastAsia" w:ascii="宋体" w:hAnsi="宋体" w:cs="宋体"/>
          <w:b/>
          <w:kern w:val="0"/>
          <w:szCs w:val="21"/>
        </w:rPr>
        <w:t>、政府采购严重违法失信行为记录名单的供应商。</w:t>
      </w:r>
    </w:p>
    <w:p w14:paraId="16A8F485">
      <w:pPr>
        <w:spacing w:line="360" w:lineRule="auto"/>
        <w:ind w:firstLine="420" w:firstLineChars="200"/>
        <w:rPr>
          <w:rFonts w:ascii="宋体" w:hAnsi="宋体" w:cs="宋体"/>
        </w:rPr>
      </w:pPr>
    </w:p>
    <w:p w14:paraId="6AB95154">
      <w:pPr>
        <w:spacing w:line="360" w:lineRule="auto"/>
        <w:ind w:firstLine="315" w:firstLineChars="150"/>
        <w:rPr>
          <w:rFonts w:ascii="宋体" w:hAnsi="宋体" w:cs="宋体"/>
        </w:rPr>
      </w:pPr>
      <w:r>
        <w:rPr>
          <w:rFonts w:hint="eastAsia" w:ascii="宋体" w:hAnsi="宋体" w:cs="宋体"/>
        </w:rPr>
        <w:t>（说明：政府采购法第二十二条第一款第五项所称重大违法记录，是指供应商因违法经营受到刑事处罚或者责令停产停业、吊销许可证或者执照、较大数额罚款等行政处罚。）</w:t>
      </w:r>
    </w:p>
    <w:p w14:paraId="6271FA80">
      <w:pPr>
        <w:spacing w:line="360" w:lineRule="auto"/>
        <w:rPr>
          <w:rFonts w:ascii="宋体" w:hAnsi="宋体" w:cs="宋体"/>
        </w:rPr>
      </w:pPr>
    </w:p>
    <w:p w14:paraId="49A3EB6C">
      <w:pPr>
        <w:spacing w:line="360" w:lineRule="auto"/>
        <w:rPr>
          <w:rFonts w:ascii="宋体" w:hAnsi="宋体" w:cs="宋体"/>
        </w:rPr>
      </w:pPr>
    </w:p>
    <w:p w14:paraId="308B6FCB">
      <w:pPr>
        <w:spacing w:line="360" w:lineRule="auto"/>
        <w:ind w:firstLine="5103" w:firstLineChars="2430"/>
        <w:rPr>
          <w:rFonts w:ascii="宋体" w:hAnsi="宋体" w:cs="宋体"/>
        </w:rPr>
      </w:pPr>
      <w:r>
        <w:rPr>
          <w:rFonts w:hint="eastAsia" w:ascii="宋体" w:hAnsi="宋体" w:cs="宋体"/>
        </w:rPr>
        <w:t>声明人：（公章）</w:t>
      </w:r>
    </w:p>
    <w:p w14:paraId="704C8540">
      <w:pPr>
        <w:autoSpaceDE w:val="0"/>
        <w:autoSpaceDN w:val="0"/>
        <w:adjustRightInd w:val="0"/>
        <w:spacing w:line="360" w:lineRule="auto"/>
        <w:ind w:firstLine="5040" w:firstLineChars="2400"/>
        <w:rPr>
          <w:rFonts w:ascii="宋体" w:hAnsi="宋体" w:cs="宋体"/>
          <w:b/>
        </w:rPr>
      </w:pPr>
      <w:r>
        <w:rPr>
          <w:rFonts w:hint="eastAsia" w:ascii="宋体" w:hAnsi="宋体" w:cs="宋体"/>
          <w:szCs w:val="21"/>
          <w:lang w:val="zh-CN"/>
        </w:rPr>
        <w:t>日期：</w:t>
      </w:r>
      <w:r>
        <w:rPr>
          <w:rFonts w:hint="eastAsia" w:ascii="宋体" w:hAnsi="宋体" w:cs="宋体"/>
          <w:szCs w:val="21"/>
        </w:rPr>
        <w:t xml:space="preserve">    </w:t>
      </w:r>
      <w:r>
        <w:rPr>
          <w:rFonts w:hint="eastAsia" w:ascii="宋体" w:hAnsi="宋体" w:cs="宋体"/>
          <w:szCs w:val="21"/>
          <w:lang w:val="zh-CN"/>
        </w:rPr>
        <w:t>年</w:t>
      </w:r>
      <w:r>
        <w:rPr>
          <w:rFonts w:hint="eastAsia" w:ascii="宋体" w:hAnsi="宋体" w:cs="宋体"/>
          <w:szCs w:val="21"/>
        </w:rPr>
        <w:t xml:space="preserve">   </w:t>
      </w:r>
      <w:r>
        <w:rPr>
          <w:rFonts w:hint="eastAsia" w:ascii="宋体" w:hAnsi="宋体" w:cs="宋体"/>
          <w:szCs w:val="21"/>
          <w:lang w:val="zh-CN"/>
        </w:rPr>
        <w:t>月</w:t>
      </w:r>
      <w:r>
        <w:rPr>
          <w:rFonts w:hint="eastAsia" w:ascii="宋体" w:hAnsi="宋体" w:cs="宋体"/>
          <w:b/>
          <w:szCs w:val="21"/>
          <w:lang w:val="zh-CN"/>
        </w:rPr>
        <w:br w:type="page"/>
      </w:r>
    </w:p>
    <w:p w14:paraId="42A0E588">
      <w:pPr>
        <w:autoSpaceDE w:val="0"/>
        <w:autoSpaceDN w:val="0"/>
        <w:adjustRightInd w:val="0"/>
        <w:spacing w:line="360" w:lineRule="auto"/>
        <w:rPr>
          <w:rFonts w:ascii="宋体" w:hAnsi="宋体" w:cs="宋体"/>
          <w:b/>
        </w:rPr>
      </w:pPr>
      <w:r>
        <w:rPr>
          <w:rFonts w:hint="eastAsia" w:ascii="宋体" w:hAnsi="宋体" w:cs="宋体"/>
          <w:b/>
        </w:rPr>
        <w:t>附件十一、 资格资信证明文件</w:t>
      </w:r>
    </w:p>
    <w:p w14:paraId="319260DB">
      <w:pPr>
        <w:autoSpaceDE w:val="0"/>
        <w:autoSpaceDN w:val="0"/>
        <w:adjustRightInd w:val="0"/>
        <w:spacing w:line="360" w:lineRule="auto"/>
        <w:rPr>
          <w:rFonts w:ascii="宋体" w:hAnsi="宋体" w:cs="宋体"/>
          <w:b/>
        </w:rPr>
      </w:pPr>
    </w:p>
    <w:p w14:paraId="579A9237">
      <w:pPr>
        <w:autoSpaceDE w:val="0"/>
        <w:autoSpaceDN w:val="0"/>
        <w:adjustRightInd w:val="0"/>
        <w:spacing w:line="360" w:lineRule="auto"/>
        <w:rPr>
          <w:rFonts w:ascii="宋体" w:hAnsi="宋体" w:cs="宋体"/>
          <w:b/>
        </w:rPr>
      </w:pPr>
    </w:p>
    <w:p w14:paraId="5FE82DF5">
      <w:pPr>
        <w:autoSpaceDE w:val="0"/>
        <w:autoSpaceDN w:val="0"/>
        <w:adjustRightInd w:val="0"/>
        <w:spacing w:line="360" w:lineRule="auto"/>
        <w:rPr>
          <w:rFonts w:ascii="宋体" w:hAnsi="宋体" w:cs="宋体"/>
          <w:b/>
        </w:rPr>
      </w:pPr>
    </w:p>
    <w:p w14:paraId="6937F202">
      <w:pPr>
        <w:autoSpaceDE w:val="0"/>
        <w:autoSpaceDN w:val="0"/>
        <w:adjustRightInd w:val="0"/>
        <w:spacing w:line="360" w:lineRule="auto"/>
        <w:rPr>
          <w:rFonts w:ascii="宋体" w:hAnsi="宋体" w:cs="宋体"/>
          <w:b/>
        </w:rPr>
      </w:pPr>
    </w:p>
    <w:p w14:paraId="224C270C">
      <w:pPr>
        <w:autoSpaceDE w:val="0"/>
        <w:autoSpaceDN w:val="0"/>
        <w:adjustRightInd w:val="0"/>
        <w:spacing w:line="360" w:lineRule="auto"/>
        <w:rPr>
          <w:rFonts w:ascii="宋体" w:hAnsi="宋体" w:cs="宋体"/>
          <w:szCs w:val="21"/>
        </w:rPr>
      </w:pPr>
      <w:r>
        <w:rPr>
          <w:rFonts w:hint="eastAsia" w:ascii="宋体" w:hAnsi="宋体" w:cs="宋体"/>
          <w:b/>
        </w:rPr>
        <w:t>附件十二、《南京市政府采购供应商信用记录表暨信用承诺书》</w:t>
      </w:r>
      <w:r>
        <w:rPr>
          <w:rFonts w:hint="eastAsia" w:ascii="宋体" w:hAnsi="宋体" w:cs="宋体"/>
          <w:b/>
          <w:szCs w:val="20"/>
        </w:rPr>
        <w:t>（网站在线打印）</w:t>
      </w:r>
    </w:p>
    <w:p w14:paraId="5E82B58C">
      <w:pPr>
        <w:autoSpaceDE w:val="0"/>
        <w:autoSpaceDN w:val="0"/>
        <w:adjustRightInd w:val="0"/>
        <w:spacing w:line="360" w:lineRule="auto"/>
        <w:rPr>
          <w:rFonts w:ascii="宋体" w:hAnsi="宋体" w:cs="宋体"/>
          <w:b/>
        </w:rPr>
      </w:pPr>
    </w:p>
    <w:p w14:paraId="577BB2EB">
      <w:pPr>
        <w:autoSpaceDE w:val="0"/>
        <w:autoSpaceDN w:val="0"/>
        <w:adjustRightInd w:val="0"/>
        <w:spacing w:line="360" w:lineRule="auto"/>
        <w:rPr>
          <w:rFonts w:ascii="宋体" w:hAnsi="宋体" w:cs="宋体"/>
          <w:b/>
        </w:rPr>
      </w:pPr>
    </w:p>
    <w:p w14:paraId="3F8BD343">
      <w:pPr>
        <w:autoSpaceDE w:val="0"/>
        <w:autoSpaceDN w:val="0"/>
        <w:adjustRightInd w:val="0"/>
        <w:spacing w:line="360" w:lineRule="auto"/>
        <w:rPr>
          <w:rFonts w:ascii="宋体" w:hAnsi="宋体" w:cs="宋体"/>
          <w:b/>
        </w:rPr>
      </w:pPr>
      <w:r>
        <w:rPr>
          <w:rFonts w:hint="eastAsia" w:ascii="宋体" w:hAnsi="宋体" w:cs="宋体"/>
          <w:b/>
        </w:rPr>
        <w:t>附件十三、联合体协议及联合体授权委托书（如为联合体）</w:t>
      </w:r>
    </w:p>
    <w:p w14:paraId="72348EC6">
      <w:pPr>
        <w:autoSpaceDE w:val="0"/>
        <w:autoSpaceDN w:val="0"/>
        <w:adjustRightInd w:val="0"/>
        <w:spacing w:line="360" w:lineRule="auto"/>
        <w:rPr>
          <w:rFonts w:ascii="宋体" w:hAnsi="宋体" w:cs="宋体"/>
          <w:b/>
        </w:rPr>
      </w:pPr>
    </w:p>
    <w:p w14:paraId="65562F2C">
      <w:pPr>
        <w:autoSpaceDE w:val="0"/>
        <w:autoSpaceDN w:val="0"/>
        <w:adjustRightInd w:val="0"/>
        <w:spacing w:line="360" w:lineRule="auto"/>
        <w:rPr>
          <w:rFonts w:ascii="宋体" w:hAnsi="宋体" w:cs="宋体"/>
          <w:b/>
        </w:rPr>
      </w:pPr>
    </w:p>
    <w:p w14:paraId="365CA4E5">
      <w:pPr>
        <w:autoSpaceDE w:val="0"/>
        <w:autoSpaceDN w:val="0"/>
        <w:adjustRightInd w:val="0"/>
        <w:spacing w:line="360" w:lineRule="auto"/>
        <w:rPr>
          <w:rFonts w:ascii="宋体" w:hAnsi="宋体" w:cs="宋体"/>
          <w:b/>
        </w:rPr>
      </w:pPr>
      <w:r>
        <w:rPr>
          <w:rFonts w:hint="eastAsia" w:ascii="宋体" w:hAnsi="宋体" w:cs="宋体"/>
          <w:b/>
        </w:rPr>
        <w:t>附件十四、其他</w:t>
      </w:r>
    </w:p>
    <w:p w14:paraId="1B2EACFA">
      <w:pPr>
        <w:rPr>
          <w:rFonts w:cs="宋体"/>
          <w:b/>
        </w:rPr>
      </w:pPr>
    </w:p>
    <w:sectPr>
      <w:footerReference r:id="rId9" w:type="default"/>
      <w:pgSz w:w="11906" w:h="16838"/>
      <w:pgMar w:top="1440" w:right="1800" w:bottom="1440" w:left="16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Ari">
    <w:altName w:val="Arial"/>
    <w:panose1 w:val="00000000000000000000"/>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KNLe">
    <w:altName w:val="Times New Roman"/>
    <w:panose1 w:val="00000000000000000000"/>
    <w:charset w:val="00"/>
    <w:family w:val="roman"/>
    <w:pitch w:val="default"/>
    <w:sig w:usb0="00000000" w:usb1="00000000" w:usb2="00000000"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AC526">
    <w:pPr>
      <w:pStyle w:val="3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0A324">
    <w:pPr>
      <w:pStyle w:val="32"/>
      <w:jc w:val="center"/>
    </w:pPr>
    <w:r>
      <w:fldChar w:fldCharType="begin"/>
    </w:r>
    <w:r>
      <w:instrText xml:space="preserve"> PAGE Page \* MERGEFORMAT </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25759">
    <w:pPr>
      <w:pStyle w:val="32"/>
      <w:jc w:val="center"/>
    </w:pPr>
    <w:r>
      <mc:AlternateContent>
        <mc:Choice Requires="wps">
          <w:drawing>
            <wp:anchor distT="0" distB="0" distL="114300" distR="114300" simplePos="0" relativeHeight="251659264" behindDoc="0" locked="0" layoutInCell="1" allowOverlap="1">
              <wp:simplePos x="0" y="0"/>
              <wp:positionH relativeFrom="margin">
                <wp:posOffset>2672080</wp:posOffset>
              </wp:positionH>
              <wp:positionV relativeFrom="paragraph">
                <wp:posOffset>3175</wp:posOffset>
              </wp:positionV>
              <wp:extent cx="193675" cy="178435"/>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93675" cy="178435"/>
                      </a:xfrm>
                      <a:prstGeom prst="rect">
                        <a:avLst/>
                      </a:prstGeom>
                      <a:noFill/>
                      <a:ln>
                        <a:noFill/>
                      </a:ln>
                      <a:effectLst/>
                    </wps:spPr>
                    <wps:txbx>
                      <w:txbxContent>
                        <w:p w14:paraId="752F71F1">
                          <w:pPr>
                            <w:pStyle w:val="32"/>
                          </w:pPr>
                          <w:r>
                            <w:fldChar w:fldCharType="begin"/>
                          </w:r>
                          <w:r>
                            <w:instrText xml:space="preserve"> PAGE  \* MERGEFORMAT </w:instrText>
                          </w:r>
                          <w:r>
                            <w:fldChar w:fldCharType="separate"/>
                          </w:r>
                          <w:r>
                            <w:t>5</w:t>
                          </w:r>
                          <w:r>
                            <w:fldChar w:fldCharType="end"/>
                          </w:r>
                        </w:p>
                      </w:txbxContent>
                    </wps:txbx>
                    <wps:bodyPr wrap="square" lIns="0" tIns="0" rIns="0" bIns="0">
                      <a:noAutofit/>
                    </wps:bodyPr>
                  </wps:wsp>
                </a:graphicData>
              </a:graphic>
            </wp:anchor>
          </w:drawing>
        </mc:Choice>
        <mc:Fallback>
          <w:pict>
            <v:shape id="文本框 1026" o:spid="_x0000_s1026" o:spt="202" type="#_x0000_t202" style="position:absolute;left:0pt;margin-left:210.4pt;margin-top:0.25pt;height:14.05pt;width:15.25pt;mso-position-horizontal-relative:margin;z-index:251659264;mso-width-relative:page;mso-height-relative:page;" filled="f" stroked="f" coordsize="21600,21600" o:gfxdata="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VRJ+61wAAAAcBAAAPAAAAAAAAAAEAIAAAACIA&#10;AABkcnMvZG93bnJldi54bWxQSwECFAAUAAAACACHTuJA/O1VX9EBAACeAwAADgAAAAAAAAABACAA&#10;AAAmAQAAZHJzL2Uyb0RvYy54bWxQSwUGAAAAAAYABgBZAQAAaQUAAAAA&#10;">
              <v:fill on="f" focussize="0,0"/>
              <v:stroke on="f"/>
              <v:imagedata o:title=""/>
              <o:lock v:ext="edit" aspectratio="f"/>
              <v:textbox inset="0mm,0mm,0mm,0mm">
                <w:txbxContent>
                  <w:p w14:paraId="752F71F1">
                    <w:pPr>
                      <w:pStyle w:val="3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5F0AD">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14:paraId="1A52EA06">
                          <w:pPr>
                            <w:pStyle w:val="3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YyOJfTECAABSBAAADgAAAAAAAAABACAAAAAgAQAAZHJzL2Uyb0RvYy54bWxQSwUG&#10;AAAAAAYABgBZAQAAwwUAAAAA&#10;">
              <v:fill on="f" focussize="0,0"/>
              <v:stroke on="f" weight="0.5pt"/>
              <v:imagedata o:title=""/>
              <o:lock v:ext="edit" aspectratio="f"/>
              <v:textbox inset="0mm,0mm,0mm,0mm" style="mso-fit-shape-to-text:t;">
                <w:txbxContent>
                  <w:p w14:paraId="1A52EA06">
                    <w:pPr>
                      <w:pStyle w:val="3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526E4">
    <w:pPr>
      <w:pStyle w:val="32"/>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4"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txbx>
                      <w:txbxContent>
                        <w:p w14:paraId="6CBF2128">
                          <w:pPr>
                            <w:pStyle w:val="32"/>
                            <w:jc w:val="center"/>
                          </w:pPr>
                          <w:r>
                            <w:fldChar w:fldCharType="begin"/>
                          </w:r>
                          <w:r>
                            <w:instrText xml:space="preserve"> PAGE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4JxNzTACAABTBAAADgAAAAAAAAABACAAAAAhAQAAZHJzL2Uyb0RvYy54bWxQSwUG&#10;AAAAAAYABgBZAQAAwwUAAAAA&#10;">
              <v:fill on="f" focussize="0,0"/>
              <v:stroke on="f" weight="0.5pt"/>
              <v:imagedata o:title=""/>
              <o:lock v:ext="edit" aspectratio="f"/>
              <v:textbox inset="0mm,0mm,0mm,0mm" style="mso-fit-shape-to-text:t;">
                <w:txbxContent>
                  <w:p w14:paraId="6CBF2128">
                    <w:pPr>
                      <w:pStyle w:val="32"/>
                      <w:jc w:val="center"/>
                    </w:pPr>
                    <w:r>
                      <w:fldChar w:fldCharType="begin"/>
                    </w:r>
                    <w:r>
                      <w:instrText xml:space="preserve"> PAGE Page \* MERGEFORMAT </w:instrText>
                    </w:r>
                    <w:r>
                      <w:fldChar w:fldCharType="separate"/>
                    </w:r>
                    <w:r>
                      <w:t>46</w:t>
                    </w:r>
                    <w:r>
                      <w:fldChar w:fldCharType="end"/>
                    </w:r>
                  </w:p>
                </w:txbxContent>
              </v:textbox>
            </v:shape>
          </w:pict>
        </mc:Fallback>
      </mc:AlternateContent>
    </w:r>
  </w:p>
  <w:p w14:paraId="0F21B8BF"/>
  <w:p w14:paraId="1BB9288B"/>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589BF">
    <w:pPr>
      <w:pStyle w:val="3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AA5F9">
    <w:pPr>
      <w:pStyle w:val="3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546D5"/>
    <w:multiLevelType w:val="singleLevel"/>
    <w:tmpl w:val="DB4546D5"/>
    <w:lvl w:ilvl="0" w:tentative="0">
      <w:start w:val="28"/>
      <w:numFmt w:val="decimal"/>
      <w:suff w:val="nothing"/>
      <w:lvlText w:val="%1、"/>
      <w:lvlJc w:val="left"/>
    </w:lvl>
  </w:abstractNum>
  <w:abstractNum w:abstractNumId="1">
    <w:nsid w:val="00000006"/>
    <w:multiLevelType w:val="multilevel"/>
    <w:tmpl w:val="00000006"/>
    <w:lvl w:ilvl="0" w:tentative="0">
      <w:start w:val="1"/>
      <w:numFmt w:val="chineseCountingThousand"/>
      <w:pStyle w:val="3"/>
      <w:suff w:val="nothing"/>
      <w:lvlText w:val="第%1章"/>
      <w:lvlJc w:val="left"/>
      <w:pPr>
        <w:ind w:left="0" w:firstLine="0"/>
      </w:pPr>
    </w:lvl>
    <w:lvl w:ilvl="1" w:tentative="0">
      <w:start w:val="1"/>
      <w:numFmt w:val="none"/>
      <w:pStyle w:val="4"/>
      <w:suff w:val="nothing"/>
      <w:lvlText w:val=""/>
      <w:lvlJc w:val="left"/>
      <w:pPr>
        <w:ind w:left="0" w:firstLine="0"/>
      </w:pPr>
    </w:lvl>
    <w:lvl w:ilvl="2" w:tentative="0">
      <w:start w:val="1"/>
      <w:numFmt w:val="none"/>
      <w:pStyle w:val="6"/>
      <w:suff w:val="nothing"/>
      <w:lvlText w:val=""/>
      <w:lvlJc w:val="left"/>
      <w:pPr>
        <w:ind w:left="0" w:firstLine="0"/>
      </w:pPr>
    </w:lvl>
    <w:lvl w:ilvl="3" w:tentative="0">
      <w:start w:val="1"/>
      <w:numFmt w:val="none"/>
      <w:pStyle w:val="7"/>
      <w:suff w:val="nothing"/>
      <w:lvlText w:val=""/>
      <w:lvlJc w:val="left"/>
      <w:pPr>
        <w:ind w:left="0" w:firstLine="0"/>
      </w:pPr>
    </w:lvl>
    <w:lvl w:ilvl="4" w:tentative="0">
      <w:start w:val="1"/>
      <w:numFmt w:val="none"/>
      <w:pStyle w:val="8"/>
      <w:suff w:val="nothing"/>
      <w:lvlText w:val=""/>
      <w:lvlJc w:val="left"/>
      <w:pPr>
        <w:ind w:left="0" w:firstLine="0"/>
      </w:pPr>
    </w:lvl>
    <w:lvl w:ilvl="5" w:tentative="0">
      <w:start w:val="1"/>
      <w:numFmt w:val="none"/>
      <w:pStyle w:val="9"/>
      <w:suff w:val="nothing"/>
      <w:lvlText w:val=""/>
      <w:lvlJc w:val="left"/>
      <w:pPr>
        <w:ind w:left="0" w:firstLine="0"/>
      </w:pPr>
    </w:lvl>
    <w:lvl w:ilvl="6" w:tentative="0">
      <w:start w:val="1"/>
      <w:numFmt w:val="none"/>
      <w:pStyle w:val="10"/>
      <w:suff w:val="nothing"/>
      <w:lvlText w:val=""/>
      <w:lvlJc w:val="left"/>
      <w:pPr>
        <w:ind w:left="0" w:firstLine="0"/>
      </w:pPr>
    </w:lvl>
    <w:lvl w:ilvl="7" w:tentative="0">
      <w:start w:val="1"/>
      <w:numFmt w:val="none"/>
      <w:pStyle w:val="11"/>
      <w:suff w:val="nothing"/>
      <w:lvlText w:val=""/>
      <w:lvlJc w:val="left"/>
      <w:pPr>
        <w:ind w:left="0" w:firstLine="0"/>
      </w:pPr>
    </w:lvl>
    <w:lvl w:ilvl="8" w:tentative="0">
      <w:start w:val="1"/>
      <w:numFmt w:val="none"/>
      <w:pStyle w:val="12"/>
      <w:suff w:val="nothing"/>
      <w:lvlText w:val=""/>
      <w:lvlJc w:val="left"/>
      <w:pPr>
        <w:ind w:left="0" w:firstLine="0"/>
      </w:pPr>
    </w:lvl>
  </w:abstractNum>
  <w:abstractNum w:abstractNumId="2">
    <w:nsid w:val="085007CF"/>
    <w:multiLevelType w:val="multilevel"/>
    <w:tmpl w:val="085007CF"/>
    <w:lvl w:ilvl="0" w:tentative="0">
      <w:start w:val="1"/>
      <w:numFmt w:val="decimal"/>
      <w:lvlText w:val="%1."/>
      <w:lvlJc w:val="left"/>
      <w:pPr>
        <w:tabs>
          <w:tab w:val="left" w:pos="630"/>
        </w:tabs>
        <w:ind w:left="630" w:hanging="420"/>
      </w:pPr>
      <w:rPr>
        <w:rFonts w:cs="Times New Roman"/>
      </w:rPr>
    </w:lvl>
    <w:lvl w:ilvl="1" w:tentative="0">
      <w:start w:val="1"/>
      <w:numFmt w:val="decimal"/>
      <w:lvlText w:val="%2)"/>
      <w:lvlJc w:val="left"/>
      <w:pPr>
        <w:tabs>
          <w:tab w:val="left" w:pos="990"/>
        </w:tabs>
        <w:ind w:left="990" w:hanging="360"/>
      </w:pPr>
      <w:rPr>
        <w:color w:val="auto"/>
      </w:rPr>
    </w:lvl>
    <w:lvl w:ilvl="2" w:tentative="0">
      <w:start w:val="1"/>
      <w:numFmt w:val="lowerRoman"/>
      <w:lvlText w:val="%3."/>
      <w:lvlJc w:val="right"/>
      <w:pPr>
        <w:tabs>
          <w:tab w:val="left" w:pos="1470"/>
        </w:tabs>
        <w:ind w:left="1470" w:hanging="420"/>
      </w:pPr>
      <w:rPr>
        <w:rFonts w:cs="Times New Roman"/>
      </w:rPr>
    </w:lvl>
    <w:lvl w:ilvl="3" w:tentative="0">
      <w:start w:val="1"/>
      <w:numFmt w:val="decimal"/>
      <w:lvlText w:val="%4."/>
      <w:lvlJc w:val="left"/>
      <w:pPr>
        <w:tabs>
          <w:tab w:val="left" w:pos="1890"/>
        </w:tabs>
        <w:ind w:left="1890" w:hanging="420"/>
      </w:pPr>
      <w:rPr>
        <w:rFonts w:cs="Times New Roman"/>
      </w:rPr>
    </w:lvl>
    <w:lvl w:ilvl="4" w:tentative="0">
      <w:start w:val="1"/>
      <w:numFmt w:val="lowerLetter"/>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3">
    <w:nsid w:val="130A2188"/>
    <w:multiLevelType w:val="multilevel"/>
    <w:tmpl w:val="130A2188"/>
    <w:lvl w:ilvl="0" w:tentative="0">
      <w:start w:val="1"/>
      <w:numFmt w:val="chineseCountingThousand"/>
      <w:pStyle w:val="152"/>
      <w:lvlText w:val="%1"/>
      <w:lvlJc w:val="left"/>
      <w:pPr>
        <w:ind w:left="425" w:hanging="425"/>
      </w:pPr>
      <w:rPr>
        <w:rFonts w:hint="eastAsia" w:ascii="Arial Unicode MS" w:hAnsi="Arial Unicode MS" w:eastAsia="微软雅黑"/>
        <w:b/>
        <w:i w:val="0"/>
        <w:lang w:val="en-US"/>
      </w:rPr>
    </w:lvl>
    <w:lvl w:ilvl="1" w:tentative="0">
      <w:start w:val="1"/>
      <w:numFmt w:val="decimal"/>
      <w:pStyle w:val="172"/>
      <w:isLgl/>
      <w:lvlText w:val="%1.%2"/>
      <w:lvlJc w:val="left"/>
      <w:pPr>
        <w:ind w:left="425" w:hanging="425"/>
      </w:pPr>
      <w:rPr>
        <w:rFonts w:hint="eastAsia" w:ascii="Arial Unicode MS" w:hAnsi="Arial Unicode MS" w:eastAsia="微软雅黑"/>
        <w:b/>
        <w:i w:val="0"/>
      </w:rPr>
    </w:lvl>
    <w:lvl w:ilvl="2" w:tentative="0">
      <w:start w:val="1"/>
      <w:numFmt w:val="decimal"/>
      <w:pStyle w:val="186"/>
      <w:isLgl/>
      <w:lvlText w:val="%1.%2.%3"/>
      <w:lvlJc w:val="left"/>
      <w:pPr>
        <w:ind w:left="425" w:hanging="425"/>
      </w:pPr>
      <w:rPr>
        <w:rFonts w:hint="eastAsia" w:ascii="Arial Unicode MS" w:hAnsi="Arial Unicode MS" w:eastAsia="微软雅黑"/>
        <w:b/>
        <w:i w:val="0"/>
      </w:rPr>
    </w:lvl>
    <w:lvl w:ilvl="3" w:tentative="0">
      <w:start w:val="1"/>
      <w:numFmt w:val="decimal"/>
      <w:isLgl/>
      <w:lvlText w:val="%1.%2.%3.%4"/>
      <w:lvlJc w:val="left"/>
      <w:pPr>
        <w:ind w:left="425" w:hanging="425"/>
      </w:pPr>
      <w:rPr>
        <w:rFonts w:hint="eastAsia" w:ascii="Arial Unicode MS" w:hAnsi="Arial Unicode MS" w:eastAsia="微软雅黑"/>
        <w:b/>
        <w:i w:val="0"/>
      </w:rPr>
    </w:lvl>
    <w:lvl w:ilvl="4" w:tentative="0">
      <w:start w:val="1"/>
      <w:numFmt w:val="decimal"/>
      <w:isLgl/>
      <w:lvlText w:val="%1.%2.%3.%4.%5"/>
      <w:lvlJc w:val="left"/>
      <w:pPr>
        <w:ind w:left="425" w:hanging="425"/>
      </w:pPr>
      <w:rPr>
        <w:rFonts w:hint="eastAsia" w:ascii="Arial Unicode MS" w:hAnsi="Arial Unicode MS" w:eastAsia="微软雅黑"/>
        <w:b/>
        <w:i w:val="0"/>
      </w:rPr>
    </w:lvl>
    <w:lvl w:ilvl="5" w:tentative="0">
      <w:start w:val="1"/>
      <w:numFmt w:val="none"/>
      <w:lvlText w:val="%1.%2.%3.%4.%5.%6"/>
      <w:lvlJc w:val="left"/>
      <w:pPr>
        <w:ind w:left="425" w:hanging="425"/>
      </w:pPr>
      <w:rPr>
        <w:rFonts w:hint="eastAsia"/>
      </w:rPr>
    </w:lvl>
    <w:lvl w:ilvl="6" w:tentative="0">
      <w:start w:val="1"/>
      <w:numFmt w:val="decimal"/>
      <w:lvlText w:val="%1.%2.%3.%4.%5.%6.%7"/>
      <w:lvlJc w:val="left"/>
      <w:pPr>
        <w:ind w:left="425" w:hanging="425"/>
      </w:pPr>
      <w:rPr>
        <w:rFonts w:hint="eastAsia"/>
      </w:rPr>
    </w:lvl>
    <w:lvl w:ilvl="7" w:tentative="0">
      <w:start w:val="1"/>
      <w:numFmt w:val="decimal"/>
      <w:lvlText w:val="%1.%2.%3.%4.%5.%6.%7.%8"/>
      <w:lvlJc w:val="left"/>
      <w:pPr>
        <w:ind w:left="425" w:hanging="425"/>
      </w:pPr>
      <w:rPr>
        <w:rFonts w:hint="eastAsia"/>
      </w:rPr>
    </w:lvl>
    <w:lvl w:ilvl="8" w:tentative="0">
      <w:start w:val="1"/>
      <w:numFmt w:val="decimal"/>
      <w:lvlText w:val="%1.%2.%3.%4.%5.%6.%7.%8.%9"/>
      <w:lvlJc w:val="left"/>
      <w:pPr>
        <w:ind w:left="425" w:hanging="425"/>
      </w:pPr>
      <w:rPr>
        <w:rFonts w:hint="eastAsia"/>
      </w:rPr>
    </w:lvl>
  </w:abstractNum>
  <w:abstractNum w:abstractNumId="4">
    <w:nsid w:val="14590CD4"/>
    <w:multiLevelType w:val="singleLevel"/>
    <w:tmpl w:val="14590CD4"/>
    <w:lvl w:ilvl="0" w:tentative="0">
      <w:start w:val="5"/>
      <w:numFmt w:val="chineseCounting"/>
      <w:suff w:val="space"/>
      <w:lvlText w:val="第%1章"/>
      <w:lvlJc w:val="left"/>
      <w:rPr>
        <w:rFonts w:hint="eastAsia"/>
      </w:rPr>
    </w:lvl>
  </w:abstractNum>
  <w:abstractNum w:abstractNumId="5">
    <w:nsid w:val="5915610C"/>
    <w:multiLevelType w:val="singleLevel"/>
    <w:tmpl w:val="5915610C"/>
    <w:lvl w:ilvl="0" w:tentative="0">
      <w:start w:val="1"/>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4YmQ0ZjI3ZDkzZDcwMGVhNzhiY2YwY2RjODc0M2YifQ=="/>
  </w:docVars>
  <w:rsids>
    <w:rsidRoot w:val="00172A27"/>
    <w:rsid w:val="000033BC"/>
    <w:rsid w:val="000037BA"/>
    <w:rsid w:val="00003E09"/>
    <w:rsid w:val="00004ADD"/>
    <w:rsid w:val="00013EE1"/>
    <w:rsid w:val="00016168"/>
    <w:rsid w:val="000207B3"/>
    <w:rsid w:val="00020AA1"/>
    <w:rsid w:val="00020F19"/>
    <w:rsid w:val="000240F2"/>
    <w:rsid w:val="00024385"/>
    <w:rsid w:val="0002464E"/>
    <w:rsid w:val="00026D12"/>
    <w:rsid w:val="00031EC9"/>
    <w:rsid w:val="00032B4A"/>
    <w:rsid w:val="00032EB2"/>
    <w:rsid w:val="00033F13"/>
    <w:rsid w:val="00035A5A"/>
    <w:rsid w:val="00037558"/>
    <w:rsid w:val="0004062C"/>
    <w:rsid w:val="00040B75"/>
    <w:rsid w:val="000427E1"/>
    <w:rsid w:val="00042948"/>
    <w:rsid w:val="00043A61"/>
    <w:rsid w:val="00044757"/>
    <w:rsid w:val="00044FB9"/>
    <w:rsid w:val="000458DD"/>
    <w:rsid w:val="000473B7"/>
    <w:rsid w:val="00047F5E"/>
    <w:rsid w:val="0005100C"/>
    <w:rsid w:val="00051706"/>
    <w:rsid w:val="00051ABD"/>
    <w:rsid w:val="00051BCC"/>
    <w:rsid w:val="00051EB2"/>
    <w:rsid w:val="000527C8"/>
    <w:rsid w:val="00054F7D"/>
    <w:rsid w:val="00056E6B"/>
    <w:rsid w:val="0006006F"/>
    <w:rsid w:val="00060B89"/>
    <w:rsid w:val="00062472"/>
    <w:rsid w:val="00063686"/>
    <w:rsid w:val="000640E2"/>
    <w:rsid w:val="0006476D"/>
    <w:rsid w:val="00064782"/>
    <w:rsid w:val="00064BCC"/>
    <w:rsid w:val="00067D84"/>
    <w:rsid w:val="00072185"/>
    <w:rsid w:val="00081250"/>
    <w:rsid w:val="000851FF"/>
    <w:rsid w:val="00085692"/>
    <w:rsid w:val="0008631F"/>
    <w:rsid w:val="000943F5"/>
    <w:rsid w:val="000961DE"/>
    <w:rsid w:val="000963C4"/>
    <w:rsid w:val="00096BB7"/>
    <w:rsid w:val="00097207"/>
    <w:rsid w:val="00097293"/>
    <w:rsid w:val="00097411"/>
    <w:rsid w:val="000978F6"/>
    <w:rsid w:val="00097C5F"/>
    <w:rsid w:val="000A07C2"/>
    <w:rsid w:val="000A45A0"/>
    <w:rsid w:val="000A573E"/>
    <w:rsid w:val="000A7DA8"/>
    <w:rsid w:val="000B086C"/>
    <w:rsid w:val="000B21A6"/>
    <w:rsid w:val="000B4AC4"/>
    <w:rsid w:val="000B5EB0"/>
    <w:rsid w:val="000B6FEE"/>
    <w:rsid w:val="000C3C47"/>
    <w:rsid w:val="000C3ED4"/>
    <w:rsid w:val="000C68BF"/>
    <w:rsid w:val="000C6D16"/>
    <w:rsid w:val="000D18A2"/>
    <w:rsid w:val="000D4CDD"/>
    <w:rsid w:val="000D7A78"/>
    <w:rsid w:val="000D7AFF"/>
    <w:rsid w:val="000D7DEE"/>
    <w:rsid w:val="000E0528"/>
    <w:rsid w:val="000E513A"/>
    <w:rsid w:val="000E5257"/>
    <w:rsid w:val="000E5792"/>
    <w:rsid w:val="000E595A"/>
    <w:rsid w:val="000E6BE6"/>
    <w:rsid w:val="000E70D0"/>
    <w:rsid w:val="000E7AEC"/>
    <w:rsid w:val="000E7CD5"/>
    <w:rsid w:val="000F353A"/>
    <w:rsid w:val="000F3911"/>
    <w:rsid w:val="000F5759"/>
    <w:rsid w:val="000F64B8"/>
    <w:rsid w:val="00100C2D"/>
    <w:rsid w:val="00102973"/>
    <w:rsid w:val="00106DF5"/>
    <w:rsid w:val="00107AD2"/>
    <w:rsid w:val="001152DD"/>
    <w:rsid w:val="00115C20"/>
    <w:rsid w:val="0011699D"/>
    <w:rsid w:val="00116AB7"/>
    <w:rsid w:val="00121249"/>
    <w:rsid w:val="00123A13"/>
    <w:rsid w:val="00124DDA"/>
    <w:rsid w:val="001251DA"/>
    <w:rsid w:val="00125FE2"/>
    <w:rsid w:val="0013061E"/>
    <w:rsid w:val="00130C01"/>
    <w:rsid w:val="001315EC"/>
    <w:rsid w:val="001316CF"/>
    <w:rsid w:val="00132750"/>
    <w:rsid w:val="00132D0F"/>
    <w:rsid w:val="00133C84"/>
    <w:rsid w:val="0013431C"/>
    <w:rsid w:val="0014045A"/>
    <w:rsid w:val="0014108C"/>
    <w:rsid w:val="00142258"/>
    <w:rsid w:val="001451D6"/>
    <w:rsid w:val="00145CD4"/>
    <w:rsid w:val="00151EE2"/>
    <w:rsid w:val="00153691"/>
    <w:rsid w:val="00154200"/>
    <w:rsid w:val="00154290"/>
    <w:rsid w:val="00156B27"/>
    <w:rsid w:val="00156C22"/>
    <w:rsid w:val="001620DA"/>
    <w:rsid w:val="00163D70"/>
    <w:rsid w:val="00165899"/>
    <w:rsid w:val="00166BCF"/>
    <w:rsid w:val="001709AF"/>
    <w:rsid w:val="001711F1"/>
    <w:rsid w:val="00172A27"/>
    <w:rsid w:val="00172BB0"/>
    <w:rsid w:val="00173F2B"/>
    <w:rsid w:val="00176ACB"/>
    <w:rsid w:val="00180512"/>
    <w:rsid w:val="00184409"/>
    <w:rsid w:val="00187617"/>
    <w:rsid w:val="00190367"/>
    <w:rsid w:val="00190B4C"/>
    <w:rsid w:val="0019168F"/>
    <w:rsid w:val="00193455"/>
    <w:rsid w:val="00197E0F"/>
    <w:rsid w:val="001A38B9"/>
    <w:rsid w:val="001A41C6"/>
    <w:rsid w:val="001A7DAF"/>
    <w:rsid w:val="001B0329"/>
    <w:rsid w:val="001B4A81"/>
    <w:rsid w:val="001B77CB"/>
    <w:rsid w:val="001B7927"/>
    <w:rsid w:val="001C158D"/>
    <w:rsid w:val="001C226C"/>
    <w:rsid w:val="001C29EE"/>
    <w:rsid w:val="001C34CC"/>
    <w:rsid w:val="001C6D1C"/>
    <w:rsid w:val="001C7D94"/>
    <w:rsid w:val="001D15ED"/>
    <w:rsid w:val="001D187F"/>
    <w:rsid w:val="001D3678"/>
    <w:rsid w:val="001D4C43"/>
    <w:rsid w:val="001D56B2"/>
    <w:rsid w:val="001E4541"/>
    <w:rsid w:val="001E566C"/>
    <w:rsid w:val="001E6506"/>
    <w:rsid w:val="001F2EB7"/>
    <w:rsid w:val="001F3EF6"/>
    <w:rsid w:val="001F48E5"/>
    <w:rsid w:val="00201CD1"/>
    <w:rsid w:val="00201D97"/>
    <w:rsid w:val="00202386"/>
    <w:rsid w:val="002035A8"/>
    <w:rsid w:val="00206E55"/>
    <w:rsid w:val="00207739"/>
    <w:rsid w:val="002079EB"/>
    <w:rsid w:val="00207E14"/>
    <w:rsid w:val="00210C2B"/>
    <w:rsid w:val="00213F8B"/>
    <w:rsid w:val="00215B16"/>
    <w:rsid w:val="0021753F"/>
    <w:rsid w:val="002179DE"/>
    <w:rsid w:val="002215ED"/>
    <w:rsid w:val="00221A56"/>
    <w:rsid w:val="00226A2F"/>
    <w:rsid w:val="00227213"/>
    <w:rsid w:val="00234D12"/>
    <w:rsid w:val="00235A36"/>
    <w:rsid w:val="002368B0"/>
    <w:rsid w:val="0023761F"/>
    <w:rsid w:val="00241C66"/>
    <w:rsid w:val="00241C7D"/>
    <w:rsid w:val="0024462B"/>
    <w:rsid w:val="0025013B"/>
    <w:rsid w:val="00250EDD"/>
    <w:rsid w:val="00253169"/>
    <w:rsid w:val="00253197"/>
    <w:rsid w:val="002570EE"/>
    <w:rsid w:val="002604F0"/>
    <w:rsid w:val="00260ED9"/>
    <w:rsid w:val="0026224F"/>
    <w:rsid w:val="00263349"/>
    <w:rsid w:val="00265A9A"/>
    <w:rsid w:val="002708AF"/>
    <w:rsid w:val="002740C3"/>
    <w:rsid w:val="0027735C"/>
    <w:rsid w:val="0027753E"/>
    <w:rsid w:val="002804AD"/>
    <w:rsid w:val="002810AC"/>
    <w:rsid w:val="002812CC"/>
    <w:rsid w:val="002867C5"/>
    <w:rsid w:val="00292F52"/>
    <w:rsid w:val="00293EC3"/>
    <w:rsid w:val="002953C8"/>
    <w:rsid w:val="00295A7F"/>
    <w:rsid w:val="002A0636"/>
    <w:rsid w:val="002A21C9"/>
    <w:rsid w:val="002A2CE1"/>
    <w:rsid w:val="002A3AF4"/>
    <w:rsid w:val="002A3BC8"/>
    <w:rsid w:val="002A74F1"/>
    <w:rsid w:val="002A7B32"/>
    <w:rsid w:val="002B0533"/>
    <w:rsid w:val="002B104A"/>
    <w:rsid w:val="002B7B7D"/>
    <w:rsid w:val="002C084A"/>
    <w:rsid w:val="002C24AF"/>
    <w:rsid w:val="002C4A64"/>
    <w:rsid w:val="002C6711"/>
    <w:rsid w:val="002D2894"/>
    <w:rsid w:val="002D696C"/>
    <w:rsid w:val="002D7BA2"/>
    <w:rsid w:val="002E0562"/>
    <w:rsid w:val="002E0FD5"/>
    <w:rsid w:val="002E2AD6"/>
    <w:rsid w:val="002E35B5"/>
    <w:rsid w:val="002E3BC8"/>
    <w:rsid w:val="002E44ED"/>
    <w:rsid w:val="002E585D"/>
    <w:rsid w:val="002E5CD7"/>
    <w:rsid w:val="002E67FB"/>
    <w:rsid w:val="002E6D7C"/>
    <w:rsid w:val="002F0BBD"/>
    <w:rsid w:val="002F0C61"/>
    <w:rsid w:val="002F4462"/>
    <w:rsid w:val="002F5066"/>
    <w:rsid w:val="002F5D82"/>
    <w:rsid w:val="002F6084"/>
    <w:rsid w:val="0030167A"/>
    <w:rsid w:val="003045EF"/>
    <w:rsid w:val="00304E56"/>
    <w:rsid w:val="003120B1"/>
    <w:rsid w:val="003129FD"/>
    <w:rsid w:val="00312B26"/>
    <w:rsid w:val="00313484"/>
    <w:rsid w:val="00313AEF"/>
    <w:rsid w:val="00313BF3"/>
    <w:rsid w:val="003141CA"/>
    <w:rsid w:val="003154A3"/>
    <w:rsid w:val="003203E5"/>
    <w:rsid w:val="003246D4"/>
    <w:rsid w:val="00326C8C"/>
    <w:rsid w:val="00327533"/>
    <w:rsid w:val="003309C5"/>
    <w:rsid w:val="003335D3"/>
    <w:rsid w:val="00334124"/>
    <w:rsid w:val="003402C7"/>
    <w:rsid w:val="00340850"/>
    <w:rsid w:val="0034418A"/>
    <w:rsid w:val="00345DB5"/>
    <w:rsid w:val="003464CD"/>
    <w:rsid w:val="00346E30"/>
    <w:rsid w:val="0034735E"/>
    <w:rsid w:val="003505C7"/>
    <w:rsid w:val="00351AFA"/>
    <w:rsid w:val="003527FB"/>
    <w:rsid w:val="00352E13"/>
    <w:rsid w:val="00356C04"/>
    <w:rsid w:val="00357CF7"/>
    <w:rsid w:val="003600F4"/>
    <w:rsid w:val="0036398D"/>
    <w:rsid w:val="003651BD"/>
    <w:rsid w:val="00367044"/>
    <w:rsid w:val="00367B81"/>
    <w:rsid w:val="0037007A"/>
    <w:rsid w:val="00371308"/>
    <w:rsid w:val="00372366"/>
    <w:rsid w:val="00372537"/>
    <w:rsid w:val="0037406A"/>
    <w:rsid w:val="00374628"/>
    <w:rsid w:val="003756A9"/>
    <w:rsid w:val="003762DA"/>
    <w:rsid w:val="003767C0"/>
    <w:rsid w:val="00381242"/>
    <w:rsid w:val="0038766E"/>
    <w:rsid w:val="00393EC0"/>
    <w:rsid w:val="003969C7"/>
    <w:rsid w:val="00396AD2"/>
    <w:rsid w:val="003A12C6"/>
    <w:rsid w:val="003A1936"/>
    <w:rsid w:val="003A2501"/>
    <w:rsid w:val="003A2D4F"/>
    <w:rsid w:val="003A2F14"/>
    <w:rsid w:val="003A3E1F"/>
    <w:rsid w:val="003A477C"/>
    <w:rsid w:val="003A565F"/>
    <w:rsid w:val="003B1470"/>
    <w:rsid w:val="003B20EE"/>
    <w:rsid w:val="003B2F98"/>
    <w:rsid w:val="003B57AF"/>
    <w:rsid w:val="003B5E57"/>
    <w:rsid w:val="003B6BFB"/>
    <w:rsid w:val="003B6DB0"/>
    <w:rsid w:val="003C3EB5"/>
    <w:rsid w:val="003C40CD"/>
    <w:rsid w:val="003C4BDB"/>
    <w:rsid w:val="003C5B1B"/>
    <w:rsid w:val="003D11A8"/>
    <w:rsid w:val="003D2D38"/>
    <w:rsid w:val="003E1379"/>
    <w:rsid w:val="003E582E"/>
    <w:rsid w:val="003F22CE"/>
    <w:rsid w:val="003F2F8E"/>
    <w:rsid w:val="003F2FB9"/>
    <w:rsid w:val="003F374E"/>
    <w:rsid w:val="003F49F0"/>
    <w:rsid w:val="003F604B"/>
    <w:rsid w:val="00400EF4"/>
    <w:rsid w:val="00401780"/>
    <w:rsid w:val="004032DE"/>
    <w:rsid w:val="00403E2E"/>
    <w:rsid w:val="0040420E"/>
    <w:rsid w:val="00407F04"/>
    <w:rsid w:val="004112F7"/>
    <w:rsid w:val="004119C7"/>
    <w:rsid w:val="00413B7E"/>
    <w:rsid w:val="00413DA2"/>
    <w:rsid w:val="00415342"/>
    <w:rsid w:val="004157AF"/>
    <w:rsid w:val="00420A4C"/>
    <w:rsid w:val="0042463C"/>
    <w:rsid w:val="0043030A"/>
    <w:rsid w:val="00434F67"/>
    <w:rsid w:val="00435AEC"/>
    <w:rsid w:val="00435E08"/>
    <w:rsid w:val="004361EB"/>
    <w:rsid w:val="0043707B"/>
    <w:rsid w:val="00440CD0"/>
    <w:rsid w:val="0044226E"/>
    <w:rsid w:val="00443704"/>
    <w:rsid w:val="00447E6A"/>
    <w:rsid w:val="004506CC"/>
    <w:rsid w:val="0045464A"/>
    <w:rsid w:val="0045557D"/>
    <w:rsid w:val="00455F44"/>
    <w:rsid w:val="0046330A"/>
    <w:rsid w:val="00463ACA"/>
    <w:rsid w:val="00463CB4"/>
    <w:rsid w:val="004642FE"/>
    <w:rsid w:val="00470C69"/>
    <w:rsid w:val="004726C8"/>
    <w:rsid w:val="00472A76"/>
    <w:rsid w:val="0047364E"/>
    <w:rsid w:val="00476ECA"/>
    <w:rsid w:val="00477B1A"/>
    <w:rsid w:val="00483480"/>
    <w:rsid w:val="00484798"/>
    <w:rsid w:val="00484BCF"/>
    <w:rsid w:val="004860C3"/>
    <w:rsid w:val="00492FA1"/>
    <w:rsid w:val="004947F9"/>
    <w:rsid w:val="00497549"/>
    <w:rsid w:val="004A24F0"/>
    <w:rsid w:val="004A5E41"/>
    <w:rsid w:val="004B4F77"/>
    <w:rsid w:val="004C1F95"/>
    <w:rsid w:val="004C4DBA"/>
    <w:rsid w:val="004C5EAB"/>
    <w:rsid w:val="004C6150"/>
    <w:rsid w:val="004C6A6C"/>
    <w:rsid w:val="004C6F0B"/>
    <w:rsid w:val="004C6F22"/>
    <w:rsid w:val="004C7623"/>
    <w:rsid w:val="004C77AF"/>
    <w:rsid w:val="004D07DF"/>
    <w:rsid w:val="004D48D7"/>
    <w:rsid w:val="004D611F"/>
    <w:rsid w:val="004D7D51"/>
    <w:rsid w:val="004E3F50"/>
    <w:rsid w:val="004E58AB"/>
    <w:rsid w:val="004E6188"/>
    <w:rsid w:val="004F0BBC"/>
    <w:rsid w:val="004F6894"/>
    <w:rsid w:val="00501DC6"/>
    <w:rsid w:val="00502239"/>
    <w:rsid w:val="00502CFD"/>
    <w:rsid w:val="00502FF2"/>
    <w:rsid w:val="00507FE8"/>
    <w:rsid w:val="00512D9D"/>
    <w:rsid w:val="0051721E"/>
    <w:rsid w:val="00517586"/>
    <w:rsid w:val="00520554"/>
    <w:rsid w:val="0052251E"/>
    <w:rsid w:val="005235B3"/>
    <w:rsid w:val="005278AA"/>
    <w:rsid w:val="005334EE"/>
    <w:rsid w:val="0053471D"/>
    <w:rsid w:val="005358FA"/>
    <w:rsid w:val="00535C12"/>
    <w:rsid w:val="005373E0"/>
    <w:rsid w:val="00542510"/>
    <w:rsid w:val="005430D6"/>
    <w:rsid w:val="0054652E"/>
    <w:rsid w:val="0054703C"/>
    <w:rsid w:val="00550D42"/>
    <w:rsid w:val="00550DC4"/>
    <w:rsid w:val="005514AF"/>
    <w:rsid w:val="00551B4A"/>
    <w:rsid w:val="00552394"/>
    <w:rsid w:val="005525C3"/>
    <w:rsid w:val="00552860"/>
    <w:rsid w:val="00554AFE"/>
    <w:rsid w:val="00557436"/>
    <w:rsid w:val="005627DD"/>
    <w:rsid w:val="0056374A"/>
    <w:rsid w:val="00566375"/>
    <w:rsid w:val="00567F95"/>
    <w:rsid w:val="005701EA"/>
    <w:rsid w:val="00572476"/>
    <w:rsid w:val="00573C88"/>
    <w:rsid w:val="005759AF"/>
    <w:rsid w:val="00576B55"/>
    <w:rsid w:val="005770BB"/>
    <w:rsid w:val="00580AB2"/>
    <w:rsid w:val="00582092"/>
    <w:rsid w:val="005846B6"/>
    <w:rsid w:val="005852C9"/>
    <w:rsid w:val="00585A68"/>
    <w:rsid w:val="005868C9"/>
    <w:rsid w:val="00586A03"/>
    <w:rsid w:val="00586B6F"/>
    <w:rsid w:val="00586E84"/>
    <w:rsid w:val="005877F6"/>
    <w:rsid w:val="00591DC9"/>
    <w:rsid w:val="00592F71"/>
    <w:rsid w:val="00592FF1"/>
    <w:rsid w:val="005A495B"/>
    <w:rsid w:val="005A56EA"/>
    <w:rsid w:val="005A61D7"/>
    <w:rsid w:val="005A7723"/>
    <w:rsid w:val="005B7896"/>
    <w:rsid w:val="005C07C4"/>
    <w:rsid w:val="005C0FD4"/>
    <w:rsid w:val="005C1169"/>
    <w:rsid w:val="005C31E6"/>
    <w:rsid w:val="005C3479"/>
    <w:rsid w:val="005C4816"/>
    <w:rsid w:val="005C5E8D"/>
    <w:rsid w:val="005C6BD8"/>
    <w:rsid w:val="005D00AF"/>
    <w:rsid w:val="005D2C5E"/>
    <w:rsid w:val="005D3E66"/>
    <w:rsid w:val="005D5118"/>
    <w:rsid w:val="005E04C9"/>
    <w:rsid w:val="005E0A69"/>
    <w:rsid w:val="005E5029"/>
    <w:rsid w:val="005E58CC"/>
    <w:rsid w:val="005E6299"/>
    <w:rsid w:val="005F35E4"/>
    <w:rsid w:val="005F46BB"/>
    <w:rsid w:val="005F5E49"/>
    <w:rsid w:val="00600CEF"/>
    <w:rsid w:val="00601094"/>
    <w:rsid w:val="00601B4B"/>
    <w:rsid w:val="00603813"/>
    <w:rsid w:val="00606EDF"/>
    <w:rsid w:val="006128AC"/>
    <w:rsid w:val="0061542D"/>
    <w:rsid w:val="00620715"/>
    <w:rsid w:val="00624187"/>
    <w:rsid w:val="006252AF"/>
    <w:rsid w:val="00625617"/>
    <w:rsid w:val="006304CC"/>
    <w:rsid w:val="00630F75"/>
    <w:rsid w:val="00631DEC"/>
    <w:rsid w:val="0063310F"/>
    <w:rsid w:val="0063400A"/>
    <w:rsid w:val="00634CC2"/>
    <w:rsid w:val="00635435"/>
    <w:rsid w:val="00636109"/>
    <w:rsid w:val="00637F2B"/>
    <w:rsid w:val="00646FBB"/>
    <w:rsid w:val="00647223"/>
    <w:rsid w:val="006476CE"/>
    <w:rsid w:val="006503D3"/>
    <w:rsid w:val="00654CF6"/>
    <w:rsid w:val="00655583"/>
    <w:rsid w:val="006556C6"/>
    <w:rsid w:val="00656945"/>
    <w:rsid w:val="00661BA3"/>
    <w:rsid w:val="0066223F"/>
    <w:rsid w:val="00662FC3"/>
    <w:rsid w:val="006637F7"/>
    <w:rsid w:val="00663C55"/>
    <w:rsid w:val="00663D4B"/>
    <w:rsid w:val="00673B38"/>
    <w:rsid w:val="00674140"/>
    <w:rsid w:val="0067483E"/>
    <w:rsid w:val="0067674F"/>
    <w:rsid w:val="00676AA0"/>
    <w:rsid w:val="00676B2B"/>
    <w:rsid w:val="00681700"/>
    <w:rsid w:val="006824FF"/>
    <w:rsid w:val="00685B8E"/>
    <w:rsid w:val="006935CB"/>
    <w:rsid w:val="0069514B"/>
    <w:rsid w:val="00697D38"/>
    <w:rsid w:val="006A0450"/>
    <w:rsid w:val="006A2E2F"/>
    <w:rsid w:val="006A2FA2"/>
    <w:rsid w:val="006A6A77"/>
    <w:rsid w:val="006A76FC"/>
    <w:rsid w:val="006B10BA"/>
    <w:rsid w:val="006B21F9"/>
    <w:rsid w:val="006B4C50"/>
    <w:rsid w:val="006B690E"/>
    <w:rsid w:val="006B70FF"/>
    <w:rsid w:val="006B7FF7"/>
    <w:rsid w:val="006C01BE"/>
    <w:rsid w:val="006D0719"/>
    <w:rsid w:val="006D09F2"/>
    <w:rsid w:val="006D1409"/>
    <w:rsid w:val="006D3D8B"/>
    <w:rsid w:val="006D7DDE"/>
    <w:rsid w:val="006E1B8C"/>
    <w:rsid w:val="006E7D40"/>
    <w:rsid w:val="006E7FB5"/>
    <w:rsid w:val="006F0FCE"/>
    <w:rsid w:val="006F31BB"/>
    <w:rsid w:val="006F36D3"/>
    <w:rsid w:val="006F6030"/>
    <w:rsid w:val="006F62A0"/>
    <w:rsid w:val="006F75D1"/>
    <w:rsid w:val="006F7B4F"/>
    <w:rsid w:val="00703446"/>
    <w:rsid w:val="007045EC"/>
    <w:rsid w:val="007118A7"/>
    <w:rsid w:val="00711B4E"/>
    <w:rsid w:val="00712321"/>
    <w:rsid w:val="0071236C"/>
    <w:rsid w:val="00712550"/>
    <w:rsid w:val="007139E4"/>
    <w:rsid w:val="007177BB"/>
    <w:rsid w:val="00720E8A"/>
    <w:rsid w:val="007213DC"/>
    <w:rsid w:val="0072184F"/>
    <w:rsid w:val="007221B0"/>
    <w:rsid w:val="00726722"/>
    <w:rsid w:val="00727891"/>
    <w:rsid w:val="007305AB"/>
    <w:rsid w:val="0073090C"/>
    <w:rsid w:val="00731C48"/>
    <w:rsid w:val="0073200D"/>
    <w:rsid w:val="00732750"/>
    <w:rsid w:val="007341A1"/>
    <w:rsid w:val="00735E4B"/>
    <w:rsid w:val="007364B5"/>
    <w:rsid w:val="00737FDE"/>
    <w:rsid w:val="007422E5"/>
    <w:rsid w:val="00742ACC"/>
    <w:rsid w:val="007458A6"/>
    <w:rsid w:val="007458B4"/>
    <w:rsid w:val="00746717"/>
    <w:rsid w:val="007467DE"/>
    <w:rsid w:val="007503CF"/>
    <w:rsid w:val="007517D5"/>
    <w:rsid w:val="00753361"/>
    <w:rsid w:val="00755D38"/>
    <w:rsid w:val="007571EB"/>
    <w:rsid w:val="00761F7A"/>
    <w:rsid w:val="007639EB"/>
    <w:rsid w:val="00764437"/>
    <w:rsid w:val="00764D39"/>
    <w:rsid w:val="00767F86"/>
    <w:rsid w:val="007704C3"/>
    <w:rsid w:val="00772A9E"/>
    <w:rsid w:val="00772B9E"/>
    <w:rsid w:val="00773D1C"/>
    <w:rsid w:val="00774A96"/>
    <w:rsid w:val="007752BE"/>
    <w:rsid w:val="00775C02"/>
    <w:rsid w:val="007763D4"/>
    <w:rsid w:val="0077672D"/>
    <w:rsid w:val="00777BF5"/>
    <w:rsid w:val="00781498"/>
    <w:rsid w:val="00782094"/>
    <w:rsid w:val="00784A5B"/>
    <w:rsid w:val="0079007B"/>
    <w:rsid w:val="007903B1"/>
    <w:rsid w:val="00791A2F"/>
    <w:rsid w:val="00793211"/>
    <w:rsid w:val="0079589E"/>
    <w:rsid w:val="00795DE4"/>
    <w:rsid w:val="007A1DA4"/>
    <w:rsid w:val="007A5697"/>
    <w:rsid w:val="007A5C7C"/>
    <w:rsid w:val="007A6D30"/>
    <w:rsid w:val="007A7822"/>
    <w:rsid w:val="007B00C4"/>
    <w:rsid w:val="007B0587"/>
    <w:rsid w:val="007B2825"/>
    <w:rsid w:val="007B4D43"/>
    <w:rsid w:val="007B4D6A"/>
    <w:rsid w:val="007B6685"/>
    <w:rsid w:val="007C0C37"/>
    <w:rsid w:val="007C1804"/>
    <w:rsid w:val="007C244D"/>
    <w:rsid w:val="007C3478"/>
    <w:rsid w:val="007C701D"/>
    <w:rsid w:val="007D08A9"/>
    <w:rsid w:val="007D23BF"/>
    <w:rsid w:val="007D60DB"/>
    <w:rsid w:val="007D615F"/>
    <w:rsid w:val="007E05FE"/>
    <w:rsid w:val="007E0C57"/>
    <w:rsid w:val="007E5512"/>
    <w:rsid w:val="007F13CD"/>
    <w:rsid w:val="007F20FE"/>
    <w:rsid w:val="007F403B"/>
    <w:rsid w:val="00800176"/>
    <w:rsid w:val="00801882"/>
    <w:rsid w:val="00802408"/>
    <w:rsid w:val="00804FD7"/>
    <w:rsid w:val="00807411"/>
    <w:rsid w:val="008100C8"/>
    <w:rsid w:val="00813ACF"/>
    <w:rsid w:val="008232F5"/>
    <w:rsid w:val="00825B11"/>
    <w:rsid w:val="00826A7C"/>
    <w:rsid w:val="0082761A"/>
    <w:rsid w:val="00830124"/>
    <w:rsid w:val="00831A1E"/>
    <w:rsid w:val="00832600"/>
    <w:rsid w:val="0083386A"/>
    <w:rsid w:val="00833C7A"/>
    <w:rsid w:val="00835672"/>
    <w:rsid w:val="00836244"/>
    <w:rsid w:val="0084216B"/>
    <w:rsid w:val="0084342C"/>
    <w:rsid w:val="00845109"/>
    <w:rsid w:val="00846666"/>
    <w:rsid w:val="00846FB4"/>
    <w:rsid w:val="00847E98"/>
    <w:rsid w:val="00855037"/>
    <w:rsid w:val="00861FDD"/>
    <w:rsid w:val="0086227A"/>
    <w:rsid w:val="008668CB"/>
    <w:rsid w:val="0086783C"/>
    <w:rsid w:val="00870D02"/>
    <w:rsid w:val="00870D28"/>
    <w:rsid w:val="00872E0F"/>
    <w:rsid w:val="0087387B"/>
    <w:rsid w:val="008763EA"/>
    <w:rsid w:val="00876475"/>
    <w:rsid w:val="00880784"/>
    <w:rsid w:val="00880F39"/>
    <w:rsid w:val="00881BD6"/>
    <w:rsid w:val="00882AB7"/>
    <w:rsid w:val="008850FF"/>
    <w:rsid w:val="0088575E"/>
    <w:rsid w:val="00885CAF"/>
    <w:rsid w:val="008908F1"/>
    <w:rsid w:val="00892ACF"/>
    <w:rsid w:val="0089353F"/>
    <w:rsid w:val="00896EAB"/>
    <w:rsid w:val="008A3C15"/>
    <w:rsid w:val="008A53D0"/>
    <w:rsid w:val="008A7EBA"/>
    <w:rsid w:val="008B0795"/>
    <w:rsid w:val="008B0C0F"/>
    <w:rsid w:val="008B30E9"/>
    <w:rsid w:val="008B558C"/>
    <w:rsid w:val="008B6C7E"/>
    <w:rsid w:val="008B7A42"/>
    <w:rsid w:val="008C113C"/>
    <w:rsid w:val="008C1984"/>
    <w:rsid w:val="008C30C4"/>
    <w:rsid w:val="008C3BF5"/>
    <w:rsid w:val="008C502A"/>
    <w:rsid w:val="008D0BF3"/>
    <w:rsid w:val="008D2503"/>
    <w:rsid w:val="008D4571"/>
    <w:rsid w:val="008D556A"/>
    <w:rsid w:val="008E35D3"/>
    <w:rsid w:val="008E411E"/>
    <w:rsid w:val="008E4653"/>
    <w:rsid w:val="008E4BED"/>
    <w:rsid w:val="008E5996"/>
    <w:rsid w:val="008E6170"/>
    <w:rsid w:val="008E7A24"/>
    <w:rsid w:val="008F1C48"/>
    <w:rsid w:val="008F5667"/>
    <w:rsid w:val="008F57E9"/>
    <w:rsid w:val="008F67CB"/>
    <w:rsid w:val="009003BF"/>
    <w:rsid w:val="0090491B"/>
    <w:rsid w:val="009108B8"/>
    <w:rsid w:val="00910F76"/>
    <w:rsid w:val="00915A2F"/>
    <w:rsid w:val="00917E2A"/>
    <w:rsid w:val="00923223"/>
    <w:rsid w:val="009238FC"/>
    <w:rsid w:val="00924AEC"/>
    <w:rsid w:val="00924C81"/>
    <w:rsid w:val="00927518"/>
    <w:rsid w:val="00927BA0"/>
    <w:rsid w:val="00927E3C"/>
    <w:rsid w:val="009300DD"/>
    <w:rsid w:val="00930CF2"/>
    <w:rsid w:val="00930FF5"/>
    <w:rsid w:val="00931DEC"/>
    <w:rsid w:val="00932444"/>
    <w:rsid w:val="00935B11"/>
    <w:rsid w:val="009361D3"/>
    <w:rsid w:val="00936F46"/>
    <w:rsid w:val="0094375E"/>
    <w:rsid w:val="00951595"/>
    <w:rsid w:val="00953CE9"/>
    <w:rsid w:val="00954C60"/>
    <w:rsid w:val="00955489"/>
    <w:rsid w:val="00955A1E"/>
    <w:rsid w:val="00960ACF"/>
    <w:rsid w:val="00961017"/>
    <w:rsid w:val="00961335"/>
    <w:rsid w:val="009627DA"/>
    <w:rsid w:val="00963EC2"/>
    <w:rsid w:val="00964046"/>
    <w:rsid w:val="00964EE9"/>
    <w:rsid w:val="00965A18"/>
    <w:rsid w:val="00965C05"/>
    <w:rsid w:val="009723B1"/>
    <w:rsid w:val="00976721"/>
    <w:rsid w:val="00981166"/>
    <w:rsid w:val="00985AC0"/>
    <w:rsid w:val="009867A9"/>
    <w:rsid w:val="00987D75"/>
    <w:rsid w:val="009914FD"/>
    <w:rsid w:val="00991DED"/>
    <w:rsid w:val="00991FA3"/>
    <w:rsid w:val="00992892"/>
    <w:rsid w:val="00995208"/>
    <w:rsid w:val="009B4BC4"/>
    <w:rsid w:val="009B6F6E"/>
    <w:rsid w:val="009C052A"/>
    <w:rsid w:val="009C24FC"/>
    <w:rsid w:val="009C273F"/>
    <w:rsid w:val="009C2DB5"/>
    <w:rsid w:val="009C2E52"/>
    <w:rsid w:val="009C549C"/>
    <w:rsid w:val="009C5742"/>
    <w:rsid w:val="009C634D"/>
    <w:rsid w:val="009C690D"/>
    <w:rsid w:val="009D09B2"/>
    <w:rsid w:val="009D1894"/>
    <w:rsid w:val="009D7A62"/>
    <w:rsid w:val="009D7E3A"/>
    <w:rsid w:val="009E5EE5"/>
    <w:rsid w:val="009E793F"/>
    <w:rsid w:val="009F005A"/>
    <w:rsid w:val="009F060E"/>
    <w:rsid w:val="009F4A60"/>
    <w:rsid w:val="009F5AB1"/>
    <w:rsid w:val="009F62C3"/>
    <w:rsid w:val="009F6ED8"/>
    <w:rsid w:val="00A009E1"/>
    <w:rsid w:val="00A04CA7"/>
    <w:rsid w:val="00A04CAD"/>
    <w:rsid w:val="00A05EBA"/>
    <w:rsid w:val="00A06538"/>
    <w:rsid w:val="00A1260E"/>
    <w:rsid w:val="00A13CBA"/>
    <w:rsid w:val="00A15221"/>
    <w:rsid w:val="00A174BA"/>
    <w:rsid w:val="00A17910"/>
    <w:rsid w:val="00A17E00"/>
    <w:rsid w:val="00A21FEB"/>
    <w:rsid w:val="00A23187"/>
    <w:rsid w:val="00A23AA3"/>
    <w:rsid w:val="00A23B5F"/>
    <w:rsid w:val="00A31791"/>
    <w:rsid w:val="00A33A06"/>
    <w:rsid w:val="00A3443B"/>
    <w:rsid w:val="00A358EB"/>
    <w:rsid w:val="00A36863"/>
    <w:rsid w:val="00A37343"/>
    <w:rsid w:val="00A37DEE"/>
    <w:rsid w:val="00A430FF"/>
    <w:rsid w:val="00A4360F"/>
    <w:rsid w:val="00A4388C"/>
    <w:rsid w:val="00A448BE"/>
    <w:rsid w:val="00A44D39"/>
    <w:rsid w:val="00A451A3"/>
    <w:rsid w:val="00A451EC"/>
    <w:rsid w:val="00A4567F"/>
    <w:rsid w:val="00A45F50"/>
    <w:rsid w:val="00A46714"/>
    <w:rsid w:val="00A47C62"/>
    <w:rsid w:val="00A54843"/>
    <w:rsid w:val="00A5593E"/>
    <w:rsid w:val="00A6459B"/>
    <w:rsid w:val="00A64CCC"/>
    <w:rsid w:val="00A64FA1"/>
    <w:rsid w:val="00A70562"/>
    <w:rsid w:val="00A70DAE"/>
    <w:rsid w:val="00A722F2"/>
    <w:rsid w:val="00A75B55"/>
    <w:rsid w:val="00A76434"/>
    <w:rsid w:val="00A76AEC"/>
    <w:rsid w:val="00A8030F"/>
    <w:rsid w:val="00A82166"/>
    <w:rsid w:val="00A87993"/>
    <w:rsid w:val="00A90B4E"/>
    <w:rsid w:val="00A9111A"/>
    <w:rsid w:val="00A939FC"/>
    <w:rsid w:val="00A96D7B"/>
    <w:rsid w:val="00AA0DFF"/>
    <w:rsid w:val="00AA48DB"/>
    <w:rsid w:val="00AA6D6C"/>
    <w:rsid w:val="00AA7036"/>
    <w:rsid w:val="00AA76E0"/>
    <w:rsid w:val="00AB4B93"/>
    <w:rsid w:val="00AB5D8B"/>
    <w:rsid w:val="00AB7BC7"/>
    <w:rsid w:val="00AC0555"/>
    <w:rsid w:val="00AC3CE1"/>
    <w:rsid w:val="00AC652B"/>
    <w:rsid w:val="00AD2779"/>
    <w:rsid w:val="00AD5827"/>
    <w:rsid w:val="00AD5D52"/>
    <w:rsid w:val="00AD6419"/>
    <w:rsid w:val="00AD664C"/>
    <w:rsid w:val="00AD6DED"/>
    <w:rsid w:val="00AE1C40"/>
    <w:rsid w:val="00AE1CDC"/>
    <w:rsid w:val="00AE245F"/>
    <w:rsid w:val="00AE316C"/>
    <w:rsid w:val="00AF4078"/>
    <w:rsid w:val="00AF4596"/>
    <w:rsid w:val="00AF5F14"/>
    <w:rsid w:val="00AF62B4"/>
    <w:rsid w:val="00B041F1"/>
    <w:rsid w:val="00B04924"/>
    <w:rsid w:val="00B0516F"/>
    <w:rsid w:val="00B0648B"/>
    <w:rsid w:val="00B0788D"/>
    <w:rsid w:val="00B07AEA"/>
    <w:rsid w:val="00B10266"/>
    <w:rsid w:val="00B128F3"/>
    <w:rsid w:val="00B12E42"/>
    <w:rsid w:val="00B14156"/>
    <w:rsid w:val="00B147A7"/>
    <w:rsid w:val="00B157DB"/>
    <w:rsid w:val="00B174A4"/>
    <w:rsid w:val="00B208FC"/>
    <w:rsid w:val="00B21CD1"/>
    <w:rsid w:val="00B26A86"/>
    <w:rsid w:val="00B3135E"/>
    <w:rsid w:val="00B35BA3"/>
    <w:rsid w:val="00B40276"/>
    <w:rsid w:val="00B40CB7"/>
    <w:rsid w:val="00B41B5C"/>
    <w:rsid w:val="00B41E08"/>
    <w:rsid w:val="00B42C79"/>
    <w:rsid w:val="00B4362D"/>
    <w:rsid w:val="00B43F73"/>
    <w:rsid w:val="00B45AEE"/>
    <w:rsid w:val="00B460C4"/>
    <w:rsid w:val="00B51489"/>
    <w:rsid w:val="00B52ABC"/>
    <w:rsid w:val="00B52BCB"/>
    <w:rsid w:val="00B53034"/>
    <w:rsid w:val="00B60863"/>
    <w:rsid w:val="00B60C6E"/>
    <w:rsid w:val="00B62C19"/>
    <w:rsid w:val="00B637E2"/>
    <w:rsid w:val="00B6458E"/>
    <w:rsid w:val="00B646E8"/>
    <w:rsid w:val="00B702DE"/>
    <w:rsid w:val="00B70D16"/>
    <w:rsid w:val="00B73B6F"/>
    <w:rsid w:val="00B749D3"/>
    <w:rsid w:val="00B74BB5"/>
    <w:rsid w:val="00B7535E"/>
    <w:rsid w:val="00B83525"/>
    <w:rsid w:val="00B847F1"/>
    <w:rsid w:val="00B852CF"/>
    <w:rsid w:val="00B86BF1"/>
    <w:rsid w:val="00B871C6"/>
    <w:rsid w:val="00B908D5"/>
    <w:rsid w:val="00B9567F"/>
    <w:rsid w:val="00B96B13"/>
    <w:rsid w:val="00BA5931"/>
    <w:rsid w:val="00BA643D"/>
    <w:rsid w:val="00BA77B1"/>
    <w:rsid w:val="00BB5965"/>
    <w:rsid w:val="00BB6E73"/>
    <w:rsid w:val="00BB7737"/>
    <w:rsid w:val="00BC1FEC"/>
    <w:rsid w:val="00BC4002"/>
    <w:rsid w:val="00BC4039"/>
    <w:rsid w:val="00BC4788"/>
    <w:rsid w:val="00BD1BFA"/>
    <w:rsid w:val="00BD239B"/>
    <w:rsid w:val="00BD2CBA"/>
    <w:rsid w:val="00BD424B"/>
    <w:rsid w:val="00BD5ED3"/>
    <w:rsid w:val="00BD68BC"/>
    <w:rsid w:val="00BD75C8"/>
    <w:rsid w:val="00BD7A67"/>
    <w:rsid w:val="00BE14FC"/>
    <w:rsid w:val="00BE18B2"/>
    <w:rsid w:val="00BE3415"/>
    <w:rsid w:val="00BE47A9"/>
    <w:rsid w:val="00BE73AA"/>
    <w:rsid w:val="00BF2DEB"/>
    <w:rsid w:val="00BF32BB"/>
    <w:rsid w:val="00BF3BDE"/>
    <w:rsid w:val="00BF53AE"/>
    <w:rsid w:val="00BF58A6"/>
    <w:rsid w:val="00C0020E"/>
    <w:rsid w:val="00C00D89"/>
    <w:rsid w:val="00C063BE"/>
    <w:rsid w:val="00C07CE5"/>
    <w:rsid w:val="00C17EE9"/>
    <w:rsid w:val="00C20199"/>
    <w:rsid w:val="00C249A6"/>
    <w:rsid w:val="00C27362"/>
    <w:rsid w:val="00C306F0"/>
    <w:rsid w:val="00C34E2D"/>
    <w:rsid w:val="00C368A2"/>
    <w:rsid w:val="00C42190"/>
    <w:rsid w:val="00C44F54"/>
    <w:rsid w:val="00C45F02"/>
    <w:rsid w:val="00C5138C"/>
    <w:rsid w:val="00C51FE2"/>
    <w:rsid w:val="00C52F0D"/>
    <w:rsid w:val="00C536D8"/>
    <w:rsid w:val="00C55E63"/>
    <w:rsid w:val="00C55F5D"/>
    <w:rsid w:val="00C60C03"/>
    <w:rsid w:val="00C61906"/>
    <w:rsid w:val="00C652B2"/>
    <w:rsid w:val="00C65A0F"/>
    <w:rsid w:val="00C66416"/>
    <w:rsid w:val="00C6720B"/>
    <w:rsid w:val="00C72249"/>
    <w:rsid w:val="00C74F5D"/>
    <w:rsid w:val="00C777EC"/>
    <w:rsid w:val="00C7784E"/>
    <w:rsid w:val="00C80836"/>
    <w:rsid w:val="00C85A32"/>
    <w:rsid w:val="00C85F54"/>
    <w:rsid w:val="00C85FB7"/>
    <w:rsid w:val="00C86EF1"/>
    <w:rsid w:val="00C87051"/>
    <w:rsid w:val="00CA0C53"/>
    <w:rsid w:val="00CA138A"/>
    <w:rsid w:val="00CA17E5"/>
    <w:rsid w:val="00CA2B62"/>
    <w:rsid w:val="00CA3030"/>
    <w:rsid w:val="00CA3CD3"/>
    <w:rsid w:val="00CA5876"/>
    <w:rsid w:val="00CB0495"/>
    <w:rsid w:val="00CB0CCF"/>
    <w:rsid w:val="00CB3E3D"/>
    <w:rsid w:val="00CC3FAB"/>
    <w:rsid w:val="00CC4D44"/>
    <w:rsid w:val="00CD15B3"/>
    <w:rsid w:val="00CD345C"/>
    <w:rsid w:val="00CD64BF"/>
    <w:rsid w:val="00CD76FF"/>
    <w:rsid w:val="00CE03A7"/>
    <w:rsid w:val="00CE402C"/>
    <w:rsid w:val="00CE64EF"/>
    <w:rsid w:val="00CF07A6"/>
    <w:rsid w:val="00CF0A3E"/>
    <w:rsid w:val="00CF0FFE"/>
    <w:rsid w:val="00CF52B0"/>
    <w:rsid w:val="00CF586B"/>
    <w:rsid w:val="00CF7CF7"/>
    <w:rsid w:val="00D00D03"/>
    <w:rsid w:val="00D01DCB"/>
    <w:rsid w:val="00D03886"/>
    <w:rsid w:val="00D04600"/>
    <w:rsid w:val="00D1163E"/>
    <w:rsid w:val="00D13DFA"/>
    <w:rsid w:val="00D15918"/>
    <w:rsid w:val="00D1596B"/>
    <w:rsid w:val="00D21244"/>
    <w:rsid w:val="00D231FA"/>
    <w:rsid w:val="00D23206"/>
    <w:rsid w:val="00D23616"/>
    <w:rsid w:val="00D23B2E"/>
    <w:rsid w:val="00D261F6"/>
    <w:rsid w:val="00D27127"/>
    <w:rsid w:val="00D301E2"/>
    <w:rsid w:val="00D3455A"/>
    <w:rsid w:val="00D34579"/>
    <w:rsid w:val="00D34C24"/>
    <w:rsid w:val="00D351D3"/>
    <w:rsid w:val="00D36535"/>
    <w:rsid w:val="00D41733"/>
    <w:rsid w:val="00D42A31"/>
    <w:rsid w:val="00D4423F"/>
    <w:rsid w:val="00D4737E"/>
    <w:rsid w:val="00D473B7"/>
    <w:rsid w:val="00D47A8B"/>
    <w:rsid w:val="00D5050A"/>
    <w:rsid w:val="00D52F4C"/>
    <w:rsid w:val="00D53374"/>
    <w:rsid w:val="00D613DA"/>
    <w:rsid w:val="00D642B1"/>
    <w:rsid w:val="00D65CE2"/>
    <w:rsid w:val="00D66CDF"/>
    <w:rsid w:val="00D674CF"/>
    <w:rsid w:val="00D67AB8"/>
    <w:rsid w:val="00D706E3"/>
    <w:rsid w:val="00D72480"/>
    <w:rsid w:val="00D7295D"/>
    <w:rsid w:val="00D76010"/>
    <w:rsid w:val="00D80DD9"/>
    <w:rsid w:val="00D90426"/>
    <w:rsid w:val="00D922E2"/>
    <w:rsid w:val="00D95BAC"/>
    <w:rsid w:val="00D97D9D"/>
    <w:rsid w:val="00DA07D9"/>
    <w:rsid w:val="00DA0FE5"/>
    <w:rsid w:val="00DA79FF"/>
    <w:rsid w:val="00DB02DB"/>
    <w:rsid w:val="00DB1E2B"/>
    <w:rsid w:val="00DB2E4F"/>
    <w:rsid w:val="00DB706F"/>
    <w:rsid w:val="00DC360B"/>
    <w:rsid w:val="00DC426A"/>
    <w:rsid w:val="00DD08D2"/>
    <w:rsid w:val="00DD3430"/>
    <w:rsid w:val="00DD4DEB"/>
    <w:rsid w:val="00DD5714"/>
    <w:rsid w:val="00DD5BAF"/>
    <w:rsid w:val="00DD5D0F"/>
    <w:rsid w:val="00DD5E1E"/>
    <w:rsid w:val="00DD7056"/>
    <w:rsid w:val="00DD763F"/>
    <w:rsid w:val="00DD7900"/>
    <w:rsid w:val="00DE136B"/>
    <w:rsid w:val="00DE1CA0"/>
    <w:rsid w:val="00DE484E"/>
    <w:rsid w:val="00DE7E64"/>
    <w:rsid w:val="00DF05DB"/>
    <w:rsid w:val="00DF3DD6"/>
    <w:rsid w:val="00E00F42"/>
    <w:rsid w:val="00E014A6"/>
    <w:rsid w:val="00E02CEA"/>
    <w:rsid w:val="00E0387F"/>
    <w:rsid w:val="00E04D4B"/>
    <w:rsid w:val="00E070B5"/>
    <w:rsid w:val="00E12A33"/>
    <w:rsid w:val="00E13411"/>
    <w:rsid w:val="00E1366E"/>
    <w:rsid w:val="00E13CF7"/>
    <w:rsid w:val="00E17DAE"/>
    <w:rsid w:val="00E20DBD"/>
    <w:rsid w:val="00E25789"/>
    <w:rsid w:val="00E26533"/>
    <w:rsid w:val="00E303F7"/>
    <w:rsid w:val="00E30714"/>
    <w:rsid w:val="00E30C0E"/>
    <w:rsid w:val="00E32B6F"/>
    <w:rsid w:val="00E334F0"/>
    <w:rsid w:val="00E369B3"/>
    <w:rsid w:val="00E374F0"/>
    <w:rsid w:val="00E41763"/>
    <w:rsid w:val="00E47293"/>
    <w:rsid w:val="00E503A3"/>
    <w:rsid w:val="00E53B1C"/>
    <w:rsid w:val="00E56503"/>
    <w:rsid w:val="00E607AB"/>
    <w:rsid w:val="00E607E2"/>
    <w:rsid w:val="00E61798"/>
    <w:rsid w:val="00E63D31"/>
    <w:rsid w:val="00E658BE"/>
    <w:rsid w:val="00E7091A"/>
    <w:rsid w:val="00E7122E"/>
    <w:rsid w:val="00E71259"/>
    <w:rsid w:val="00E82156"/>
    <w:rsid w:val="00E83B2D"/>
    <w:rsid w:val="00E85579"/>
    <w:rsid w:val="00E871F1"/>
    <w:rsid w:val="00E876F5"/>
    <w:rsid w:val="00E909B3"/>
    <w:rsid w:val="00E968CF"/>
    <w:rsid w:val="00EA152B"/>
    <w:rsid w:val="00EA3DFF"/>
    <w:rsid w:val="00EB226C"/>
    <w:rsid w:val="00EB234B"/>
    <w:rsid w:val="00EB4048"/>
    <w:rsid w:val="00EB5814"/>
    <w:rsid w:val="00EB6B3F"/>
    <w:rsid w:val="00EB77BA"/>
    <w:rsid w:val="00EB7F9C"/>
    <w:rsid w:val="00EC0994"/>
    <w:rsid w:val="00EC6044"/>
    <w:rsid w:val="00EC68FF"/>
    <w:rsid w:val="00EC6982"/>
    <w:rsid w:val="00ED016E"/>
    <w:rsid w:val="00ED113C"/>
    <w:rsid w:val="00ED2A85"/>
    <w:rsid w:val="00EE4598"/>
    <w:rsid w:val="00EE59C9"/>
    <w:rsid w:val="00EE78B2"/>
    <w:rsid w:val="00EF331F"/>
    <w:rsid w:val="00EF4558"/>
    <w:rsid w:val="00EF52AB"/>
    <w:rsid w:val="00F00286"/>
    <w:rsid w:val="00F03651"/>
    <w:rsid w:val="00F060AA"/>
    <w:rsid w:val="00F06B84"/>
    <w:rsid w:val="00F10C97"/>
    <w:rsid w:val="00F12552"/>
    <w:rsid w:val="00F135DB"/>
    <w:rsid w:val="00F137C2"/>
    <w:rsid w:val="00F144BB"/>
    <w:rsid w:val="00F15B03"/>
    <w:rsid w:val="00F163AE"/>
    <w:rsid w:val="00F20F9C"/>
    <w:rsid w:val="00F23C2B"/>
    <w:rsid w:val="00F300F7"/>
    <w:rsid w:val="00F305F9"/>
    <w:rsid w:val="00F3169A"/>
    <w:rsid w:val="00F31E88"/>
    <w:rsid w:val="00F378C1"/>
    <w:rsid w:val="00F40680"/>
    <w:rsid w:val="00F4340B"/>
    <w:rsid w:val="00F44ABA"/>
    <w:rsid w:val="00F44E1D"/>
    <w:rsid w:val="00F45A1A"/>
    <w:rsid w:val="00F50BA2"/>
    <w:rsid w:val="00F52175"/>
    <w:rsid w:val="00F52A69"/>
    <w:rsid w:val="00F5446D"/>
    <w:rsid w:val="00F555FA"/>
    <w:rsid w:val="00F56683"/>
    <w:rsid w:val="00F602A9"/>
    <w:rsid w:val="00F60E76"/>
    <w:rsid w:val="00F62524"/>
    <w:rsid w:val="00F72186"/>
    <w:rsid w:val="00F73A04"/>
    <w:rsid w:val="00F757A6"/>
    <w:rsid w:val="00F8340B"/>
    <w:rsid w:val="00F84879"/>
    <w:rsid w:val="00F8613C"/>
    <w:rsid w:val="00F90B71"/>
    <w:rsid w:val="00F925CB"/>
    <w:rsid w:val="00F92FA8"/>
    <w:rsid w:val="00F93B98"/>
    <w:rsid w:val="00F94557"/>
    <w:rsid w:val="00FA088D"/>
    <w:rsid w:val="00FA138F"/>
    <w:rsid w:val="00FA13CB"/>
    <w:rsid w:val="00FA180A"/>
    <w:rsid w:val="00FA6257"/>
    <w:rsid w:val="00FA62AE"/>
    <w:rsid w:val="00FA63F1"/>
    <w:rsid w:val="00FA65FB"/>
    <w:rsid w:val="00FB1C45"/>
    <w:rsid w:val="00FB1D95"/>
    <w:rsid w:val="00FB2707"/>
    <w:rsid w:val="00FB2C77"/>
    <w:rsid w:val="00FB433B"/>
    <w:rsid w:val="00FC0121"/>
    <w:rsid w:val="00FC10E7"/>
    <w:rsid w:val="00FC1F29"/>
    <w:rsid w:val="00FC36B9"/>
    <w:rsid w:val="00FC4D67"/>
    <w:rsid w:val="00FC4F35"/>
    <w:rsid w:val="00FC5713"/>
    <w:rsid w:val="00FC6A90"/>
    <w:rsid w:val="00FD0D96"/>
    <w:rsid w:val="00FD6875"/>
    <w:rsid w:val="00FE0272"/>
    <w:rsid w:val="00FE04CE"/>
    <w:rsid w:val="00FE152C"/>
    <w:rsid w:val="00FE2D29"/>
    <w:rsid w:val="00FE3CC9"/>
    <w:rsid w:val="00FE3FB4"/>
    <w:rsid w:val="00FE4057"/>
    <w:rsid w:val="00FE42F7"/>
    <w:rsid w:val="00FE65AA"/>
    <w:rsid w:val="00FE675C"/>
    <w:rsid w:val="00FE765D"/>
    <w:rsid w:val="00FF04AB"/>
    <w:rsid w:val="00FF0DB2"/>
    <w:rsid w:val="00FF2F69"/>
    <w:rsid w:val="00FF617C"/>
    <w:rsid w:val="01214A1E"/>
    <w:rsid w:val="013E65CE"/>
    <w:rsid w:val="01407C14"/>
    <w:rsid w:val="014F1B49"/>
    <w:rsid w:val="0161201C"/>
    <w:rsid w:val="01671FB4"/>
    <w:rsid w:val="01674AD8"/>
    <w:rsid w:val="017B15F7"/>
    <w:rsid w:val="01800398"/>
    <w:rsid w:val="019B2A51"/>
    <w:rsid w:val="01AF2740"/>
    <w:rsid w:val="01BB069A"/>
    <w:rsid w:val="01CA3F1A"/>
    <w:rsid w:val="01EE6DBE"/>
    <w:rsid w:val="020E7F3F"/>
    <w:rsid w:val="02102EA5"/>
    <w:rsid w:val="021A6004"/>
    <w:rsid w:val="022E08B9"/>
    <w:rsid w:val="023A07E4"/>
    <w:rsid w:val="025D291A"/>
    <w:rsid w:val="027071FE"/>
    <w:rsid w:val="027202B1"/>
    <w:rsid w:val="02721F48"/>
    <w:rsid w:val="02805163"/>
    <w:rsid w:val="02815E8D"/>
    <w:rsid w:val="029A77A0"/>
    <w:rsid w:val="029F2274"/>
    <w:rsid w:val="02A87224"/>
    <w:rsid w:val="02BA7366"/>
    <w:rsid w:val="02E41BF4"/>
    <w:rsid w:val="02F07CB0"/>
    <w:rsid w:val="02F87977"/>
    <w:rsid w:val="030D75EF"/>
    <w:rsid w:val="031168BC"/>
    <w:rsid w:val="03426C59"/>
    <w:rsid w:val="03433AF1"/>
    <w:rsid w:val="03501AE4"/>
    <w:rsid w:val="03716722"/>
    <w:rsid w:val="038C028C"/>
    <w:rsid w:val="039744EC"/>
    <w:rsid w:val="039B623A"/>
    <w:rsid w:val="03B44AA5"/>
    <w:rsid w:val="03D03378"/>
    <w:rsid w:val="03D32FA7"/>
    <w:rsid w:val="03E754FE"/>
    <w:rsid w:val="03EA32B1"/>
    <w:rsid w:val="03EE7C6A"/>
    <w:rsid w:val="03FE14DE"/>
    <w:rsid w:val="040020A7"/>
    <w:rsid w:val="04473247"/>
    <w:rsid w:val="044D05CA"/>
    <w:rsid w:val="044D2B93"/>
    <w:rsid w:val="04833676"/>
    <w:rsid w:val="048F301C"/>
    <w:rsid w:val="04930DBB"/>
    <w:rsid w:val="049D20AA"/>
    <w:rsid w:val="04A2371F"/>
    <w:rsid w:val="04A53BA4"/>
    <w:rsid w:val="04A6084C"/>
    <w:rsid w:val="04AA1834"/>
    <w:rsid w:val="04C74740"/>
    <w:rsid w:val="04C80BE4"/>
    <w:rsid w:val="04D17C83"/>
    <w:rsid w:val="04DF3F87"/>
    <w:rsid w:val="04E374DE"/>
    <w:rsid w:val="04FB06B0"/>
    <w:rsid w:val="04FB43F3"/>
    <w:rsid w:val="04FF00EB"/>
    <w:rsid w:val="0501459E"/>
    <w:rsid w:val="05100AA9"/>
    <w:rsid w:val="05175FCF"/>
    <w:rsid w:val="05205315"/>
    <w:rsid w:val="05206265"/>
    <w:rsid w:val="052263A0"/>
    <w:rsid w:val="054E23E8"/>
    <w:rsid w:val="05586075"/>
    <w:rsid w:val="058E5789"/>
    <w:rsid w:val="05972AAB"/>
    <w:rsid w:val="059C5E7A"/>
    <w:rsid w:val="059F3F35"/>
    <w:rsid w:val="05AB2DB2"/>
    <w:rsid w:val="05B13578"/>
    <w:rsid w:val="05C127AF"/>
    <w:rsid w:val="05C342DE"/>
    <w:rsid w:val="05D56659"/>
    <w:rsid w:val="05EB76F4"/>
    <w:rsid w:val="05EC4B85"/>
    <w:rsid w:val="05F56B6A"/>
    <w:rsid w:val="05F7106C"/>
    <w:rsid w:val="06027766"/>
    <w:rsid w:val="06305727"/>
    <w:rsid w:val="06322461"/>
    <w:rsid w:val="063302DF"/>
    <w:rsid w:val="063475AA"/>
    <w:rsid w:val="0660165B"/>
    <w:rsid w:val="06647C6C"/>
    <w:rsid w:val="06665E33"/>
    <w:rsid w:val="066761DB"/>
    <w:rsid w:val="06823015"/>
    <w:rsid w:val="06936D88"/>
    <w:rsid w:val="06A31CA0"/>
    <w:rsid w:val="06B84820"/>
    <w:rsid w:val="06C70552"/>
    <w:rsid w:val="06D31947"/>
    <w:rsid w:val="06D9153A"/>
    <w:rsid w:val="06D92562"/>
    <w:rsid w:val="06E760D7"/>
    <w:rsid w:val="06EA54F3"/>
    <w:rsid w:val="06F650AE"/>
    <w:rsid w:val="06FB05BD"/>
    <w:rsid w:val="07075B45"/>
    <w:rsid w:val="070A76BD"/>
    <w:rsid w:val="071216E8"/>
    <w:rsid w:val="07132833"/>
    <w:rsid w:val="072B42B2"/>
    <w:rsid w:val="072E5643"/>
    <w:rsid w:val="073D7196"/>
    <w:rsid w:val="07504429"/>
    <w:rsid w:val="07612720"/>
    <w:rsid w:val="076A60B4"/>
    <w:rsid w:val="0776134C"/>
    <w:rsid w:val="07792B42"/>
    <w:rsid w:val="077E3D0B"/>
    <w:rsid w:val="078C511B"/>
    <w:rsid w:val="078D2D8A"/>
    <w:rsid w:val="07BE2A34"/>
    <w:rsid w:val="07D43E3E"/>
    <w:rsid w:val="07DF1893"/>
    <w:rsid w:val="07E53F70"/>
    <w:rsid w:val="07F03CBF"/>
    <w:rsid w:val="07F42B67"/>
    <w:rsid w:val="07F661F3"/>
    <w:rsid w:val="080D0CE3"/>
    <w:rsid w:val="08221AC4"/>
    <w:rsid w:val="08602EE2"/>
    <w:rsid w:val="086626CB"/>
    <w:rsid w:val="08790814"/>
    <w:rsid w:val="08817F9A"/>
    <w:rsid w:val="08933F38"/>
    <w:rsid w:val="089E56D2"/>
    <w:rsid w:val="08AB7CB6"/>
    <w:rsid w:val="08B472FE"/>
    <w:rsid w:val="08B614BD"/>
    <w:rsid w:val="08B937A7"/>
    <w:rsid w:val="08C15F16"/>
    <w:rsid w:val="08CD671D"/>
    <w:rsid w:val="08D4233A"/>
    <w:rsid w:val="08D51B22"/>
    <w:rsid w:val="08D83875"/>
    <w:rsid w:val="08DD2784"/>
    <w:rsid w:val="08F56067"/>
    <w:rsid w:val="08F56798"/>
    <w:rsid w:val="09072AF5"/>
    <w:rsid w:val="090D78C9"/>
    <w:rsid w:val="09101FB3"/>
    <w:rsid w:val="09296C06"/>
    <w:rsid w:val="093D3223"/>
    <w:rsid w:val="098A46BA"/>
    <w:rsid w:val="09945539"/>
    <w:rsid w:val="09B83739"/>
    <w:rsid w:val="09F8752F"/>
    <w:rsid w:val="0A0D439F"/>
    <w:rsid w:val="0A0F0D09"/>
    <w:rsid w:val="0A1D4600"/>
    <w:rsid w:val="0A1F68B2"/>
    <w:rsid w:val="0A210F95"/>
    <w:rsid w:val="0A2836E0"/>
    <w:rsid w:val="0A29194C"/>
    <w:rsid w:val="0A3960E0"/>
    <w:rsid w:val="0A593073"/>
    <w:rsid w:val="0A6F6324"/>
    <w:rsid w:val="0A8E5529"/>
    <w:rsid w:val="0AA650E5"/>
    <w:rsid w:val="0AB44EF5"/>
    <w:rsid w:val="0AC159A6"/>
    <w:rsid w:val="0AE34BB1"/>
    <w:rsid w:val="0AED0B6E"/>
    <w:rsid w:val="0B1F2443"/>
    <w:rsid w:val="0B4B7099"/>
    <w:rsid w:val="0B747542"/>
    <w:rsid w:val="0B9E1A60"/>
    <w:rsid w:val="0BAD70EA"/>
    <w:rsid w:val="0BE60C5C"/>
    <w:rsid w:val="0C12442E"/>
    <w:rsid w:val="0C296CAE"/>
    <w:rsid w:val="0C365370"/>
    <w:rsid w:val="0C437410"/>
    <w:rsid w:val="0C442C80"/>
    <w:rsid w:val="0C4B28D4"/>
    <w:rsid w:val="0C4B30F1"/>
    <w:rsid w:val="0C7376A8"/>
    <w:rsid w:val="0C801F53"/>
    <w:rsid w:val="0C8076E1"/>
    <w:rsid w:val="0C9726DE"/>
    <w:rsid w:val="0CA97841"/>
    <w:rsid w:val="0CF22F65"/>
    <w:rsid w:val="0CFD33F5"/>
    <w:rsid w:val="0CFD3771"/>
    <w:rsid w:val="0D001BEA"/>
    <w:rsid w:val="0D0A7F77"/>
    <w:rsid w:val="0D1B56B1"/>
    <w:rsid w:val="0D284A9F"/>
    <w:rsid w:val="0D4D0748"/>
    <w:rsid w:val="0D5C478F"/>
    <w:rsid w:val="0D5F5515"/>
    <w:rsid w:val="0D8943DC"/>
    <w:rsid w:val="0D8A04E4"/>
    <w:rsid w:val="0D932BB8"/>
    <w:rsid w:val="0D98461B"/>
    <w:rsid w:val="0DB45D8C"/>
    <w:rsid w:val="0DB904D9"/>
    <w:rsid w:val="0DBB0918"/>
    <w:rsid w:val="0DE25782"/>
    <w:rsid w:val="0DEE271A"/>
    <w:rsid w:val="0DEE7F89"/>
    <w:rsid w:val="0DF148E8"/>
    <w:rsid w:val="0E1D7868"/>
    <w:rsid w:val="0E210D90"/>
    <w:rsid w:val="0E280BF1"/>
    <w:rsid w:val="0E2A2732"/>
    <w:rsid w:val="0E2F7B01"/>
    <w:rsid w:val="0E4B5699"/>
    <w:rsid w:val="0E512E80"/>
    <w:rsid w:val="0E5A2AF9"/>
    <w:rsid w:val="0E5B4E49"/>
    <w:rsid w:val="0E620AEA"/>
    <w:rsid w:val="0E6E1A32"/>
    <w:rsid w:val="0E915BD0"/>
    <w:rsid w:val="0E9C3151"/>
    <w:rsid w:val="0ECD4128"/>
    <w:rsid w:val="0EE42A25"/>
    <w:rsid w:val="0EEB6CC9"/>
    <w:rsid w:val="0EEB70F9"/>
    <w:rsid w:val="0EF05635"/>
    <w:rsid w:val="0F0913A4"/>
    <w:rsid w:val="0F163C74"/>
    <w:rsid w:val="0F360DD3"/>
    <w:rsid w:val="0F6B1793"/>
    <w:rsid w:val="0F7B5DFB"/>
    <w:rsid w:val="0F88196A"/>
    <w:rsid w:val="0F9A317D"/>
    <w:rsid w:val="0FA33C28"/>
    <w:rsid w:val="0FC11E50"/>
    <w:rsid w:val="0FC57648"/>
    <w:rsid w:val="0FED14FF"/>
    <w:rsid w:val="0FED59A3"/>
    <w:rsid w:val="0FF37EF3"/>
    <w:rsid w:val="0FFE4C46"/>
    <w:rsid w:val="10064480"/>
    <w:rsid w:val="100930B7"/>
    <w:rsid w:val="10156FD1"/>
    <w:rsid w:val="10211D87"/>
    <w:rsid w:val="10371F2F"/>
    <w:rsid w:val="105A6D80"/>
    <w:rsid w:val="105E051F"/>
    <w:rsid w:val="10723BE5"/>
    <w:rsid w:val="107B23CF"/>
    <w:rsid w:val="107E1871"/>
    <w:rsid w:val="10824E25"/>
    <w:rsid w:val="10923E54"/>
    <w:rsid w:val="10BD5626"/>
    <w:rsid w:val="10C85301"/>
    <w:rsid w:val="10D05E08"/>
    <w:rsid w:val="10DD77C5"/>
    <w:rsid w:val="10F5099F"/>
    <w:rsid w:val="11046680"/>
    <w:rsid w:val="11086901"/>
    <w:rsid w:val="11274EE5"/>
    <w:rsid w:val="11316B4F"/>
    <w:rsid w:val="11423CF0"/>
    <w:rsid w:val="1159255C"/>
    <w:rsid w:val="115D038D"/>
    <w:rsid w:val="115D69F1"/>
    <w:rsid w:val="116741A8"/>
    <w:rsid w:val="11887A9E"/>
    <w:rsid w:val="119E030F"/>
    <w:rsid w:val="11A81676"/>
    <w:rsid w:val="11AC3296"/>
    <w:rsid w:val="11BF3764"/>
    <w:rsid w:val="11BF5D6D"/>
    <w:rsid w:val="11ED6EF1"/>
    <w:rsid w:val="11EF6486"/>
    <w:rsid w:val="11F75962"/>
    <w:rsid w:val="11FC0451"/>
    <w:rsid w:val="120C4EB8"/>
    <w:rsid w:val="122D760A"/>
    <w:rsid w:val="12311F5A"/>
    <w:rsid w:val="12427601"/>
    <w:rsid w:val="124A6C01"/>
    <w:rsid w:val="125944FB"/>
    <w:rsid w:val="12624EB7"/>
    <w:rsid w:val="126358A6"/>
    <w:rsid w:val="1282388F"/>
    <w:rsid w:val="128572E6"/>
    <w:rsid w:val="128A0F8B"/>
    <w:rsid w:val="129139EE"/>
    <w:rsid w:val="12B26461"/>
    <w:rsid w:val="12D228CA"/>
    <w:rsid w:val="12D469A6"/>
    <w:rsid w:val="12F36759"/>
    <w:rsid w:val="1300045E"/>
    <w:rsid w:val="130A6921"/>
    <w:rsid w:val="133D024F"/>
    <w:rsid w:val="133D6D87"/>
    <w:rsid w:val="13653593"/>
    <w:rsid w:val="13716BB4"/>
    <w:rsid w:val="13821EE1"/>
    <w:rsid w:val="13890B9C"/>
    <w:rsid w:val="13CB4137"/>
    <w:rsid w:val="13D11AEC"/>
    <w:rsid w:val="13E0137B"/>
    <w:rsid w:val="13F27FD8"/>
    <w:rsid w:val="13F74970"/>
    <w:rsid w:val="13FA3C10"/>
    <w:rsid w:val="14046031"/>
    <w:rsid w:val="14197590"/>
    <w:rsid w:val="141C7AF8"/>
    <w:rsid w:val="14204146"/>
    <w:rsid w:val="142D5867"/>
    <w:rsid w:val="14305E5E"/>
    <w:rsid w:val="14311C3C"/>
    <w:rsid w:val="14333BA0"/>
    <w:rsid w:val="14861CDF"/>
    <w:rsid w:val="14A05CEA"/>
    <w:rsid w:val="14A55A2C"/>
    <w:rsid w:val="14BA7BD0"/>
    <w:rsid w:val="14BE0DA8"/>
    <w:rsid w:val="14DF2DE8"/>
    <w:rsid w:val="14E20E88"/>
    <w:rsid w:val="14E71B9C"/>
    <w:rsid w:val="14EB720D"/>
    <w:rsid w:val="14ED24C4"/>
    <w:rsid w:val="14FE6E45"/>
    <w:rsid w:val="15030DD2"/>
    <w:rsid w:val="151246C1"/>
    <w:rsid w:val="15300534"/>
    <w:rsid w:val="153320AA"/>
    <w:rsid w:val="1534372C"/>
    <w:rsid w:val="15430081"/>
    <w:rsid w:val="1549179A"/>
    <w:rsid w:val="155855A0"/>
    <w:rsid w:val="15671DBF"/>
    <w:rsid w:val="15760A82"/>
    <w:rsid w:val="15885993"/>
    <w:rsid w:val="15943580"/>
    <w:rsid w:val="159F71E4"/>
    <w:rsid w:val="15AA6F86"/>
    <w:rsid w:val="15CE57D6"/>
    <w:rsid w:val="15DA54BE"/>
    <w:rsid w:val="15DE1A29"/>
    <w:rsid w:val="15F31E97"/>
    <w:rsid w:val="15F51C04"/>
    <w:rsid w:val="160B0931"/>
    <w:rsid w:val="1623663A"/>
    <w:rsid w:val="166F0E19"/>
    <w:rsid w:val="16883ABF"/>
    <w:rsid w:val="16925F63"/>
    <w:rsid w:val="169526EB"/>
    <w:rsid w:val="16AA3EEF"/>
    <w:rsid w:val="16BB65F1"/>
    <w:rsid w:val="16C30E50"/>
    <w:rsid w:val="16CD1DFF"/>
    <w:rsid w:val="16DF70C3"/>
    <w:rsid w:val="16E36A8E"/>
    <w:rsid w:val="171657DF"/>
    <w:rsid w:val="17174321"/>
    <w:rsid w:val="17382C6C"/>
    <w:rsid w:val="173F0C07"/>
    <w:rsid w:val="17887965"/>
    <w:rsid w:val="17B2733D"/>
    <w:rsid w:val="17D32110"/>
    <w:rsid w:val="17DB2585"/>
    <w:rsid w:val="17E241A7"/>
    <w:rsid w:val="17EF333D"/>
    <w:rsid w:val="17EF6D0D"/>
    <w:rsid w:val="17F736BA"/>
    <w:rsid w:val="18030251"/>
    <w:rsid w:val="180B1C8C"/>
    <w:rsid w:val="18363C5F"/>
    <w:rsid w:val="18473647"/>
    <w:rsid w:val="1856228A"/>
    <w:rsid w:val="18655549"/>
    <w:rsid w:val="186E33DA"/>
    <w:rsid w:val="189D5730"/>
    <w:rsid w:val="18AE6BDF"/>
    <w:rsid w:val="18BC41FE"/>
    <w:rsid w:val="18D255E8"/>
    <w:rsid w:val="18E73115"/>
    <w:rsid w:val="190A6030"/>
    <w:rsid w:val="191206D3"/>
    <w:rsid w:val="191A5B94"/>
    <w:rsid w:val="191C4707"/>
    <w:rsid w:val="192E2BD3"/>
    <w:rsid w:val="19362545"/>
    <w:rsid w:val="197B5636"/>
    <w:rsid w:val="198D30EC"/>
    <w:rsid w:val="19A72591"/>
    <w:rsid w:val="19E57F4B"/>
    <w:rsid w:val="1A200C49"/>
    <w:rsid w:val="1A2C7C12"/>
    <w:rsid w:val="1A382E26"/>
    <w:rsid w:val="1A5C16D9"/>
    <w:rsid w:val="1A5C6D63"/>
    <w:rsid w:val="1A7636B6"/>
    <w:rsid w:val="1A7B17BE"/>
    <w:rsid w:val="1AA9670C"/>
    <w:rsid w:val="1AC9700C"/>
    <w:rsid w:val="1AE133EF"/>
    <w:rsid w:val="1AEF4DAE"/>
    <w:rsid w:val="1AF77FAB"/>
    <w:rsid w:val="1AFB020E"/>
    <w:rsid w:val="1AFB517E"/>
    <w:rsid w:val="1B1A7868"/>
    <w:rsid w:val="1B2067B0"/>
    <w:rsid w:val="1B492FF3"/>
    <w:rsid w:val="1B4950A4"/>
    <w:rsid w:val="1B4978E9"/>
    <w:rsid w:val="1B556620"/>
    <w:rsid w:val="1B85390C"/>
    <w:rsid w:val="1BA324C2"/>
    <w:rsid w:val="1BA61267"/>
    <w:rsid w:val="1BA92E39"/>
    <w:rsid w:val="1BAB226E"/>
    <w:rsid w:val="1BAF2B44"/>
    <w:rsid w:val="1BB92BDD"/>
    <w:rsid w:val="1BC40091"/>
    <w:rsid w:val="1BF17E33"/>
    <w:rsid w:val="1BFB746E"/>
    <w:rsid w:val="1C2353CC"/>
    <w:rsid w:val="1C2663BF"/>
    <w:rsid w:val="1C36433C"/>
    <w:rsid w:val="1C376E21"/>
    <w:rsid w:val="1C607E4F"/>
    <w:rsid w:val="1C721035"/>
    <w:rsid w:val="1C7A647B"/>
    <w:rsid w:val="1C887DF5"/>
    <w:rsid w:val="1C89288A"/>
    <w:rsid w:val="1CA13D9D"/>
    <w:rsid w:val="1CA47846"/>
    <w:rsid w:val="1CD565D5"/>
    <w:rsid w:val="1CDF6675"/>
    <w:rsid w:val="1CEF14EF"/>
    <w:rsid w:val="1CF43006"/>
    <w:rsid w:val="1D077570"/>
    <w:rsid w:val="1D1C344E"/>
    <w:rsid w:val="1D2D1F38"/>
    <w:rsid w:val="1D2D73DF"/>
    <w:rsid w:val="1D2D7763"/>
    <w:rsid w:val="1D325942"/>
    <w:rsid w:val="1D5305BC"/>
    <w:rsid w:val="1D672B1F"/>
    <w:rsid w:val="1D8B3670"/>
    <w:rsid w:val="1D95481A"/>
    <w:rsid w:val="1D962FA8"/>
    <w:rsid w:val="1DA73124"/>
    <w:rsid w:val="1DAE0556"/>
    <w:rsid w:val="1DB1270C"/>
    <w:rsid w:val="1DB67C12"/>
    <w:rsid w:val="1DBA7B98"/>
    <w:rsid w:val="1DC75FFB"/>
    <w:rsid w:val="1DD50B1E"/>
    <w:rsid w:val="1DE4190E"/>
    <w:rsid w:val="1E060554"/>
    <w:rsid w:val="1E0F6E32"/>
    <w:rsid w:val="1E2C7696"/>
    <w:rsid w:val="1E415560"/>
    <w:rsid w:val="1E464D39"/>
    <w:rsid w:val="1E55039E"/>
    <w:rsid w:val="1E5D18EA"/>
    <w:rsid w:val="1E604A81"/>
    <w:rsid w:val="1E652BA8"/>
    <w:rsid w:val="1E676028"/>
    <w:rsid w:val="1E6D3D85"/>
    <w:rsid w:val="1E706AC5"/>
    <w:rsid w:val="1E706D9C"/>
    <w:rsid w:val="1E71495E"/>
    <w:rsid w:val="1E841A5F"/>
    <w:rsid w:val="1E875215"/>
    <w:rsid w:val="1EA33881"/>
    <w:rsid w:val="1EA40105"/>
    <w:rsid w:val="1EA972F9"/>
    <w:rsid w:val="1EBC7CC4"/>
    <w:rsid w:val="1EC665E8"/>
    <w:rsid w:val="1EDC6093"/>
    <w:rsid w:val="1EE83214"/>
    <w:rsid w:val="1F14468F"/>
    <w:rsid w:val="1F1B67F7"/>
    <w:rsid w:val="1F211D01"/>
    <w:rsid w:val="1F524DE1"/>
    <w:rsid w:val="1F660BB1"/>
    <w:rsid w:val="1F69585D"/>
    <w:rsid w:val="1F6B38B0"/>
    <w:rsid w:val="1FD0749B"/>
    <w:rsid w:val="1FD97C4B"/>
    <w:rsid w:val="1FE35ADC"/>
    <w:rsid w:val="2017588A"/>
    <w:rsid w:val="201C5A4A"/>
    <w:rsid w:val="201F4E21"/>
    <w:rsid w:val="203A5CDB"/>
    <w:rsid w:val="206823A1"/>
    <w:rsid w:val="207A43DF"/>
    <w:rsid w:val="207F6629"/>
    <w:rsid w:val="208A2D9A"/>
    <w:rsid w:val="20952E68"/>
    <w:rsid w:val="20AA2E7A"/>
    <w:rsid w:val="20B24112"/>
    <w:rsid w:val="20CB4F5C"/>
    <w:rsid w:val="20D91DD8"/>
    <w:rsid w:val="20DD5762"/>
    <w:rsid w:val="20E2177F"/>
    <w:rsid w:val="20E73D48"/>
    <w:rsid w:val="20EE43F2"/>
    <w:rsid w:val="20F301B2"/>
    <w:rsid w:val="20F716A2"/>
    <w:rsid w:val="20F841A8"/>
    <w:rsid w:val="20F903BB"/>
    <w:rsid w:val="21011A51"/>
    <w:rsid w:val="21096B24"/>
    <w:rsid w:val="210B25F8"/>
    <w:rsid w:val="211E2099"/>
    <w:rsid w:val="2123675E"/>
    <w:rsid w:val="21637A27"/>
    <w:rsid w:val="216C08BA"/>
    <w:rsid w:val="218523CC"/>
    <w:rsid w:val="21870DF0"/>
    <w:rsid w:val="218D308B"/>
    <w:rsid w:val="21A665AD"/>
    <w:rsid w:val="21B33C19"/>
    <w:rsid w:val="21B87813"/>
    <w:rsid w:val="21B91A31"/>
    <w:rsid w:val="21BB34D8"/>
    <w:rsid w:val="21BF0821"/>
    <w:rsid w:val="21C02F32"/>
    <w:rsid w:val="21D722C1"/>
    <w:rsid w:val="21DF24FF"/>
    <w:rsid w:val="21FC7183"/>
    <w:rsid w:val="22136A87"/>
    <w:rsid w:val="222C0C93"/>
    <w:rsid w:val="224B3D5F"/>
    <w:rsid w:val="2258252F"/>
    <w:rsid w:val="225E4F1E"/>
    <w:rsid w:val="226313BF"/>
    <w:rsid w:val="22717B45"/>
    <w:rsid w:val="2284621A"/>
    <w:rsid w:val="228F63A9"/>
    <w:rsid w:val="22A177E6"/>
    <w:rsid w:val="22E6677E"/>
    <w:rsid w:val="22EA4E42"/>
    <w:rsid w:val="231D3794"/>
    <w:rsid w:val="233236E3"/>
    <w:rsid w:val="233B768D"/>
    <w:rsid w:val="2346752C"/>
    <w:rsid w:val="234D4FF2"/>
    <w:rsid w:val="23585DD8"/>
    <w:rsid w:val="235B4AD3"/>
    <w:rsid w:val="237D05D8"/>
    <w:rsid w:val="23815D62"/>
    <w:rsid w:val="239B1C02"/>
    <w:rsid w:val="23AB3963"/>
    <w:rsid w:val="23BA793E"/>
    <w:rsid w:val="23C628ED"/>
    <w:rsid w:val="23CE4411"/>
    <w:rsid w:val="23CF1874"/>
    <w:rsid w:val="23D17044"/>
    <w:rsid w:val="23D172B3"/>
    <w:rsid w:val="23E40684"/>
    <w:rsid w:val="23F23381"/>
    <w:rsid w:val="2411563C"/>
    <w:rsid w:val="242447AF"/>
    <w:rsid w:val="242877DE"/>
    <w:rsid w:val="242B1994"/>
    <w:rsid w:val="24334C53"/>
    <w:rsid w:val="24654ECD"/>
    <w:rsid w:val="24771FAD"/>
    <w:rsid w:val="24932661"/>
    <w:rsid w:val="24C15DE7"/>
    <w:rsid w:val="24D75451"/>
    <w:rsid w:val="24DC47FF"/>
    <w:rsid w:val="24FC2E7A"/>
    <w:rsid w:val="25005256"/>
    <w:rsid w:val="250439EF"/>
    <w:rsid w:val="253432D4"/>
    <w:rsid w:val="2557729C"/>
    <w:rsid w:val="255A6A4F"/>
    <w:rsid w:val="255C6A8E"/>
    <w:rsid w:val="257239B5"/>
    <w:rsid w:val="25771359"/>
    <w:rsid w:val="257A3E03"/>
    <w:rsid w:val="258A5274"/>
    <w:rsid w:val="258C3DF5"/>
    <w:rsid w:val="25C31A4C"/>
    <w:rsid w:val="25E03292"/>
    <w:rsid w:val="25E1786F"/>
    <w:rsid w:val="25EB11E1"/>
    <w:rsid w:val="25F252DE"/>
    <w:rsid w:val="25F453F1"/>
    <w:rsid w:val="25F574EA"/>
    <w:rsid w:val="260B280F"/>
    <w:rsid w:val="263F3EBB"/>
    <w:rsid w:val="266D4CF0"/>
    <w:rsid w:val="266E1364"/>
    <w:rsid w:val="268E2249"/>
    <w:rsid w:val="26A67D94"/>
    <w:rsid w:val="26AA5F44"/>
    <w:rsid w:val="26B134AE"/>
    <w:rsid w:val="26C52C94"/>
    <w:rsid w:val="26CA0369"/>
    <w:rsid w:val="26DD1E76"/>
    <w:rsid w:val="26E25E66"/>
    <w:rsid w:val="26E51871"/>
    <w:rsid w:val="26EC52C4"/>
    <w:rsid w:val="26FD1062"/>
    <w:rsid w:val="2705317A"/>
    <w:rsid w:val="27070CA1"/>
    <w:rsid w:val="27224B0F"/>
    <w:rsid w:val="272F1E9F"/>
    <w:rsid w:val="273274D6"/>
    <w:rsid w:val="274E1A68"/>
    <w:rsid w:val="27517B13"/>
    <w:rsid w:val="2764417B"/>
    <w:rsid w:val="27795A37"/>
    <w:rsid w:val="277D510B"/>
    <w:rsid w:val="278345F8"/>
    <w:rsid w:val="278476CC"/>
    <w:rsid w:val="278A18D2"/>
    <w:rsid w:val="278B67CC"/>
    <w:rsid w:val="27D24D61"/>
    <w:rsid w:val="27F710A0"/>
    <w:rsid w:val="281E1DAA"/>
    <w:rsid w:val="282E0D0A"/>
    <w:rsid w:val="283659E1"/>
    <w:rsid w:val="28384360"/>
    <w:rsid w:val="2840654C"/>
    <w:rsid w:val="284F7247"/>
    <w:rsid w:val="2854115A"/>
    <w:rsid w:val="28583F8A"/>
    <w:rsid w:val="28594428"/>
    <w:rsid w:val="286744CD"/>
    <w:rsid w:val="287B2854"/>
    <w:rsid w:val="288400EA"/>
    <w:rsid w:val="2887096F"/>
    <w:rsid w:val="28891A68"/>
    <w:rsid w:val="28AF083C"/>
    <w:rsid w:val="28B0142C"/>
    <w:rsid w:val="28B031C4"/>
    <w:rsid w:val="28B813D8"/>
    <w:rsid w:val="28C05393"/>
    <w:rsid w:val="28C15F16"/>
    <w:rsid w:val="28C8217E"/>
    <w:rsid w:val="28D13A25"/>
    <w:rsid w:val="28E23AA6"/>
    <w:rsid w:val="28EF1810"/>
    <w:rsid w:val="28F35FC2"/>
    <w:rsid w:val="291433AE"/>
    <w:rsid w:val="292274D8"/>
    <w:rsid w:val="29432A42"/>
    <w:rsid w:val="294F62D4"/>
    <w:rsid w:val="29542197"/>
    <w:rsid w:val="2976043F"/>
    <w:rsid w:val="29834CA6"/>
    <w:rsid w:val="298429E5"/>
    <w:rsid w:val="298A3E0B"/>
    <w:rsid w:val="29A273A6"/>
    <w:rsid w:val="29A96C5C"/>
    <w:rsid w:val="29AA7F26"/>
    <w:rsid w:val="29B710E8"/>
    <w:rsid w:val="29BA649E"/>
    <w:rsid w:val="29D250A3"/>
    <w:rsid w:val="29D97152"/>
    <w:rsid w:val="29EA6773"/>
    <w:rsid w:val="29F53B22"/>
    <w:rsid w:val="2A024FE6"/>
    <w:rsid w:val="2A1E66F4"/>
    <w:rsid w:val="2A2622F9"/>
    <w:rsid w:val="2A2E7A7E"/>
    <w:rsid w:val="2A4735A8"/>
    <w:rsid w:val="2A575C1D"/>
    <w:rsid w:val="2A5F40B6"/>
    <w:rsid w:val="2A6104A9"/>
    <w:rsid w:val="2A807D4D"/>
    <w:rsid w:val="2B044D71"/>
    <w:rsid w:val="2B1A174A"/>
    <w:rsid w:val="2B332625"/>
    <w:rsid w:val="2B565E56"/>
    <w:rsid w:val="2B593A05"/>
    <w:rsid w:val="2B7757A4"/>
    <w:rsid w:val="2B7865F9"/>
    <w:rsid w:val="2B8C374E"/>
    <w:rsid w:val="2B8F46B6"/>
    <w:rsid w:val="2B991DFF"/>
    <w:rsid w:val="2B9B69BA"/>
    <w:rsid w:val="2B9F4EB9"/>
    <w:rsid w:val="2BF24C23"/>
    <w:rsid w:val="2BFC6B25"/>
    <w:rsid w:val="2C421FD2"/>
    <w:rsid w:val="2C6B4093"/>
    <w:rsid w:val="2C733361"/>
    <w:rsid w:val="2C752B50"/>
    <w:rsid w:val="2C83772F"/>
    <w:rsid w:val="2C922247"/>
    <w:rsid w:val="2C997AF3"/>
    <w:rsid w:val="2C997CDE"/>
    <w:rsid w:val="2C9E14E5"/>
    <w:rsid w:val="2CB36059"/>
    <w:rsid w:val="2CB44D82"/>
    <w:rsid w:val="2CD25FF8"/>
    <w:rsid w:val="2CF3392B"/>
    <w:rsid w:val="2D377655"/>
    <w:rsid w:val="2D403484"/>
    <w:rsid w:val="2D482227"/>
    <w:rsid w:val="2D5C786C"/>
    <w:rsid w:val="2D651E34"/>
    <w:rsid w:val="2D8E74E6"/>
    <w:rsid w:val="2DAB5DC1"/>
    <w:rsid w:val="2DF14475"/>
    <w:rsid w:val="2DF83CAE"/>
    <w:rsid w:val="2E1036F7"/>
    <w:rsid w:val="2E2F76FC"/>
    <w:rsid w:val="2E3B3187"/>
    <w:rsid w:val="2E4202DD"/>
    <w:rsid w:val="2E422DCC"/>
    <w:rsid w:val="2E66613F"/>
    <w:rsid w:val="2E682434"/>
    <w:rsid w:val="2E754540"/>
    <w:rsid w:val="2E905186"/>
    <w:rsid w:val="2ED2330B"/>
    <w:rsid w:val="2EDC447A"/>
    <w:rsid w:val="2EE5733A"/>
    <w:rsid w:val="2EEE11AC"/>
    <w:rsid w:val="2EFE35E8"/>
    <w:rsid w:val="2F210F41"/>
    <w:rsid w:val="2F27115C"/>
    <w:rsid w:val="2F286848"/>
    <w:rsid w:val="2F315682"/>
    <w:rsid w:val="2F4E6128"/>
    <w:rsid w:val="2F593497"/>
    <w:rsid w:val="2F642A08"/>
    <w:rsid w:val="2F727E3C"/>
    <w:rsid w:val="2F80221D"/>
    <w:rsid w:val="2F9032A7"/>
    <w:rsid w:val="2FA6202F"/>
    <w:rsid w:val="2FDB47FA"/>
    <w:rsid w:val="303F08C7"/>
    <w:rsid w:val="30412492"/>
    <w:rsid w:val="304704C5"/>
    <w:rsid w:val="30615FED"/>
    <w:rsid w:val="309713C6"/>
    <w:rsid w:val="30A232E4"/>
    <w:rsid w:val="30C50C66"/>
    <w:rsid w:val="30ED1711"/>
    <w:rsid w:val="310D3792"/>
    <w:rsid w:val="31167200"/>
    <w:rsid w:val="312C69BA"/>
    <w:rsid w:val="31393DCB"/>
    <w:rsid w:val="31490245"/>
    <w:rsid w:val="31636DC3"/>
    <w:rsid w:val="316563DE"/>
    <w:rsid w:val="316A224B"/>
    <w:rsid w:val="316D2854"/>
    <w:rsid w:val="31712EBC"/>
    <w:rsid w:val="317D5FB6"/>
    <w:rsid w:val="317E4255"/>
    <w:rsid w:val="31812FC6"/>
    <w:rsid w:val="318C7F04"/>
    <w:rsid w:val="319C5AA7"/>
    <w:rsid w:val="319F465C"/>
    <w:rsid w:val="31C32FA3"/>
    <w:rsid w:val="31CB3E85"/>
    <w:rsid w:val="31CD468B"/>
    <w:rsid w:val="31D91BE1"/>
    <w:rsid w:val="31E60856"/>
    <w:rsid w:val="31EA35E8"/>
    <w:rsid w:val="32084FC8"/>
    <w:rsid w:val="321D4EAB"/>
    <w:rsid w:val="322C0610"/>
    <w:rsid w:val="322E1BFD"/>
    <w:rsid w:val="323A3E96"/>
    <w:rsid w:val="323D5EBE"/>
    <w:rsid w:val="323E22F7"/>
    <w:rsid w:val="326F550E"/>
    <w:rsid w:val="32700042"/>
    <w:rsid w:val="328238D1"/>
    <w:rsid w:val="329D3FF8"/>
    <w:rsid w:val="32A5173A"/>
    <w:rsid w:val="32B40464"/>
    <w:rsid w:val="32BB148C"/>
    <w:rsid w:val="32BB6217"/>
    <w:rsid w:val="32BD60F0"/>
    <w:rsid w:val="330A374C"/>
    <w:rsid w:val="330E2D54"/>
    <w:rsid w:val="33291ACF"/>
    <w:rsid w:val="33361746"/>
    <w:rsid w:val="333A23FE"/>
    <w:rsid w:val="333D7CDA"/>
    <w:rsid w:val="336C20F6"/>
    <w:rsid w:val="337D6DD6"/>
    <w:rsid w:val="339670C9"/>
    <w:rsid w:val="339B1966"/>
    <w:rsid w:val="33A23507"/>
    <w:rsid w:val="33C1178D"/>
    <w:rsid w:val="33CD5CBF"/>
    <w:rsid w:val="33CF6A93"/>
    <w:rsid w:val="33D52CF0"/>
    <w:rsid w:val="33E3198C"/>
    <w:rsid w:val="33F352AE"/>
    <w:rsid w:val="341663D8"/>
    <w:rsid w:val="34226D15"/>
    <w:rsid w:val="342A2472"/>
    <w:rsid w:val="34491953"/>
    <w:rsid w:val="344F1FA8"/>
    <w:rsid w:val="3453266A"/>
    <w:rsid w:val="345721E6"/>
    <w:rsid w:val="34751483"/>
    <w:rsid w:val="34AF5257"/>
    <w:rsid w:val="34B36DBE"/>
    <w:rsid w:val="34B44B7E"/>
    <w:rsid w:val="34C603ED"/>
    <w:rsid w:val="34F64668"/>
    <w:rsid w:val="35056F41"/>
    <w:rsid w:val="350A4AD0"/>
    <w:rsid w:val="350F0702"/>
    <w:rsid w:val="35354AFF"/>
    <w:rsid w:val="35537C83"/>
    <w:rsid w:val="356D0868"/>
    <w:rsid w:val="356D6ABA"/>
    <w:rsid w:val="35A873D1"/>
    <w:rsid w:val="35C76FEA"/>
    <w:rsid w:val="35F07A01"/>
    <w:rsid w:val="361553EB"/>
    <w:rsid w:val="3619342C"/>
    <w:rsid w:val="36312097"/>
    <w:rsid w:val="36405F1E"/>
    <w:rsid w:val="36460B81"/>
    <w:rsid w:val="36495886"/>
    <w:rsid w:val="36637A63"/>
    <w:rsid w:val="367F4F73"/>
    <w:rsid w:val="36A9162F"/>
    <w:rsid w:val="36DF1B09"/>
    <w:rsid w:val="36F5558D"/>
    <w:rsid w:val="36FA75CB"/>
    <w:rsid w:val="36FD79CA"/>
    <w:rsid w:val="36FE69CC"/>
    <w:rsid w:val="37077031"/>
    <w:rsid w:val="370A446C"/>
    <w:rsid w:val="37186290"/>
    <w:rsid w:val="371F5514"/>
    <w:rsid w:val="37236D14"/>
    <w:rsid w:val="374160A8"/>
    <w:rsid w:val="374A1271"/>
    <w:rsid w:val="376637C1"/>
    <w:rsid w:val="376806DB"/>
    <w:rsid w:val="37846EE5"/>
    <w:rsid w:val="379461DF"/>
    <w:rsid w:val="37990F99"/>
    <w:rsid w:val="379C5527"/>
    <w:rsid w:val="379F25AA"/>
    <w:rsid w:val="37B7331B"/>
    <w:rsid w:val="37BE432D"/>
    <w:rsid w:val="37BE5686"/>
    <w:rsid w:val="37C0269B"/>
    <w:rsid w:val="37C20289"/>
    <w:rsid w:val="37CC113C"/>
    <w:rsid w:val="37CE7AFB"/>
    <w:rsid w:val="37D93D9B"/>
    <w:rsid w:val="37DD3769"/>
    <w:rsid w:val="37E1378D"/>
    <w:rsid w:val="37FC4126"/>
    <w:rsid w:val="37FE4685"/>
    <w:rsid w:val="3801407F"/>
    <w:rsid w:val="38316343"/>
    <w:rsid w:val="38540962"/>
    <w:rsid w:val="386A2E62"/>
    <w:rsid w:val="386F2773"/>
    <w:rsid w:val="38727B02"/>
    <w:rsid w:val="38812AD7"/>
    <w:rsid w:val="389F5CD8"/>
    <w:rsid w:val="38AA6BDA"/>
    <w:rsid w:val="38B279EB"/>
    <w:rsid w:val="38B82AF5"/>
    <w:rsid w:val="38C7204D"/>
    <w:rsid w:val="38E2331B"/>
    <w:rsid w:val="38EA6C83"/>
    <w:rsid w:val="38F27BDF"/>
    <w:rsid w:val="390F2A8F"/>
    <w:rsid w:val="392B1828"/>
    <w:rsid w:val="394D58E5"/>
    <w:rsid w:val="39875C71"/>
    <w:rsid w:val="39933B19"/>
    <w:rsid w:val="39A33CED"/>
    <w:rsid w:val="39B63F14"/>
    <w:rsid w:val="39BB11C0"/>
    <w:rsid w:val="39DC420F"/>
    <w:rsid w:val="39ED5AEC"/>
    <w:rsid w:val="39F25C1A"/>
    <w:rsid w:val="3A2B463D"/>
    <w:rsid w:val="3A314344"/>
    <w:rsid w:val="3A371577"/>
    <w:rsid w:val="3A386A14"/>
    <w:rsid w:val="3A3C0A2C"/>
    <w:rsid w:val="3A453174"/>
    <w:rsid w:val="3A5133D0"/>
    <w:rsid w:val="3A52381C"/>
    <w:rsid w:val="3A58654F"/>
    <w:rsid w:val="3A687E26"/>
    <w:rsid w:val="3A8322BE"/>
    <w:rsid w:val="3AC7728A"/>
    <w:rsid w:val="3ACB380C"/>
    <w:rsid w:val="3ADA3E24"/>
    <w:rsid w:val="3AF6205F"/>
    <w:rsid w:val="3B050D2B"/>
    <w:rsid w:val="3B063AE5"/>
    <w:rsid w:val="3B1D2FE9"/>
    <w:rsid w:val="3B1F566C"/>
    <w:rsid w:val="3B265D2B"/>
    <w:rsid w:val="3B497D60"/>
    <w:rsid w:val="3B4A1BD1"/>
    <w:rsid w:val="3B4D0406"/>
    <w:rsid w:val="3B4F3729"/>
    <w:rsid w:val="3B5C1C29"/>
    <w:rsid w:val="3B716F78"/>
    <w:rsid w:val="3B8725C8"/>
    <w:rsid w:val="3BB47804"/>
    <w:rsid w:val="3BB54638"/>
    <w:rsid w:val="3BD62991"/>
    <w:rsid w:val="3BD95935"/>
    <w:rsid w:val="3BF34A5A"/>
    <w:rsid w:val="3BF75334"/>
    <w:rsid w:val="3BFC46F4"/>
    <w:rsid w:val="3C2A50F0"/>
    <w:rsid w:val="3C2B11E4"/>
    <w:rsid w:val="3C40286C"/>
    <w:rsid w:val="3C4373C4"/>
    <w:rsid w:val="3C4A7D97"/>
    <w:rsid w:val="3C593D97"/>
    <w:rsid w:val="3C9508B9"/>
    <w:rsid w:val="3CBE1861"/>
    <w:rsid w:val="3CBE2910"/>
    <w:rsid w:val="3CCA1A25"/>
    <w:rsid w:val="3CD06F1D"/>
    <w:rsid w:val="3CD9405C"/>
    <w:rsid w:val="3CDB019A"/>
    <w:rsid w:val="3CDE2C22"/>
    <w:rsid w:val="3CE83CA8"/>
    <w:rsid w:val="3CF672F5"/>
    <w:rsid w:val="3D11065F"/>
    <w:rsid w:val="3D14219F"/>
    <w:rsid w:val="3D2D6B2F"/>
    <w:rsid w:val="3D32517E"/>
    <w:rsid w:val="3D466D30"/>
    <w:rsid w:val="3D5B4B1B"/>
    <w:rsid w:val="3D5F2971"/>
    <w:rsid w:val="3D6F099C"/>
    <w:rsid w:val="3D7778E1"/>
    <w:rsid w:val="3DAB73A3"/>
    <w:rsid w:val="3DD64A42"/>
    <w:rsid w:val="3DE6611C"/>
    <w:rsid w:val="3DFF7691"/>
    <w:rsid w:val="3E067AAC"/>
    <w:rsid w:val="3E21293C"/>
    <w:rsid w:val="3E6A644A"/>
    <w:rsid w:val="3E711D4C"/>
    <w:rsid w:val="3E861F2A"/>
    <w:rsid w:val="3E865C72"/>
    <w:rsid w:val="3E8D5AD7"/>
    <w:rsid w:val="3E920965"/>
    <w:rsid w:val="3E92378D"/>
    <w:rsid w:val="3EA0078B"/>
    <w:rsid w:val="3EC57D85"/>
    <w:rsid w:val="3ED81093"/>
    <w:rsid w:val="3EF76DEB"/>
    <w:rsid w:val="3F147322"/>
    <w:rsid w:val="3F1B7BDA"/>
    <w:rsid w:val="3F26005D"/>
    <w:rsid w:val="3F4F53D8"/>
    <w:rsid w:val="3F532D8A"/>
    <w:rsid w:val="3F743FC9"/>
    <w:rsid w:val="3F7561FB"/>
    <w:rsid w:val="3F7D3D9E"/>
    <w:rsid w:val="3F8175A9"/>
    <w:rsid w:val="3F9110FB"/>
    <w:rsid w:val="3F970AC9"/>
    <w:rsid w:val="3F983970"/>
    <w:rsid w:val="3FA04C1F"/>
    <w:rsid w:val="3FAB3EF2"/>
    <w:rsid w:val="3FB74B79"/>
    <w:rsid w:val="3FB97FE1"/>
    <w:rsid w:val="3FC62C11"/>
    <w:rsid w:val="3FCC6AD3"/>
    <w:rsid w:val="3FE10133"/>
    <w:rsid w:val="3FF03FC2"/>
    <w:rsid w:val="400F2DF5"/>
    <w:rsid w:val="400F586A"/>
    <w:rsid w:val="40225FCC"/>
    <w:rsid w:val="402C43AB"/>
    <w:rsid w:val="402D0F85"/>
    <w:rsid w:val="4031573F"/>
    <w:rsid w:val="403645F3"/>
    <w:rsid w:val="40491F46"/>
    <w:rsid w:val="40513256"/>
    <w:rsid w:val="40A86353"/>
    <w:rsid w:val="40BE2725"/>
    <w:rsid w:val="40CC47B9"/>
    <w:rsid w:val="40E41DEF"/>
    <w:rsid w:val="40F17FA1"/>
    <w:rsid w:val="40F2485A"/>
    <w:rsid w:val="40FC47E1"/>
    <w:rsid w:val="41306BEE"/>
    <w:rsid w:val="41345493"/>
    <w:rsid w:val="4138297C"/>
    <w:rsid w:val="41456B3D"/>
    <w:rsid w:val="41656A44"/>
    <w:rsid w:val="416845DA"/>
    <w:rsid w:val="418448D9"/>
    <w:rsid w:val="4188317F"/>
    <w:rsid w:val="418D5FD4"/>
    <w:rsid w:val="41924FB9"/>
    <w:rsid w:val="41B34DF1"/>
    <w:rsid w:val="41BB0480"/>
    <w:rsid w:val="41BF708C"/>
    <w:rsid w:val="42041BE8"/>
    <w:rsid w:val="42097713"/>
    <w:rsid w:val="420D42E6"/>
    <w:rsid w:val="42186FAF"/>
    <w:rsid w:val="42393E7A"/>
    <w:rsid w:val="42436B6D"/>
    <w:rsid w:val="42635B8E"/>
    <w:rsid w:val="429A6FE5"/>
    <w:rsid w:val="42BB2A5D"/>
    <w:rsid w:val="42CB6444"/>
    <w:rsid w:val="42F27836"/>
    <w:rsid w:val="430A6E5A"/>
    <w:rsid w:val="43154AF8"/>
    <w:rsid w:val="4330416F"/>
    <w:rsid w:val="433E2AAC"/>
    <w:rsid w:val="434F7A62"/>
    <w:rsid w:val="435744B7"/>
    <w:rsid w:val="436752A6"/>
    <w:rsid w:val="43804E58"/>
    <w:rsid w:val="438318B9"/>
    <w:rsid w:val="43843FDD"/>
    <w:rsid w:val="438F5289"/>
    <w:rsid w:val="439F0E69"/>
    <w:rsid w:val="43D7406A"/>
    <w:rsid w:val="43DC5799"/>
    <w:rsid w:val="43F42B17"/>
    <w:rsid w:val="43FD5278"/>
    <w:rsid w:val="44070D89"/>
    <w:rsid w:val="440E7A43"/>
    <w:rsid w:val="441408D1"/>
    <w:rsid w:val="441A3D23"/>
    <w:rsid w:val="441E1F6C"/>
    <w:rsid w:val="44284DFE"/>
    <w:rsid w:val="442E3C85"/>
    <w:rsid w:val="443B29FC"/>
    <w:rsid w:val="443B4DCB"/>
    <w:rsid w:val="443D5D23"/>
    <w:rsid w:val="44515102"/>
    <w:rsid w:val="4464327A"/>
    <w:rsid w:val="446A3FBF"/>
    <w:rsid w:val="44B30262"/>
    <w:rsid w:val="44C71C88"/>
    <w:rsid w:val="44D33EF3"/>
    <w:rsid w:val="44D8473A"/>
    <w:rsid w:val="44E37827"/>
    <w:rsid w:val="44E701A5"/>
    <w:rsid w:val="44F619C5"/>
    <w:rsid w:val="44FF37D2"/>
    <w:rsid w:val="45080D22"/>
    <w:rsid w:val="450E74EC"/>
    <w:rsid w:val="45265484"/>
    <w:rsid w:val="452A733C"/>
    <w:rsid w:val="452D74E0"/>
    <w:rsid w:val="45304C95"/>
    <w:rsid w:val="453273D9"/>
    <w:rsid w:val="45327862"/>
    <w:rsid w:val="45370671"/>
    <w:rsid w:val="45396AC7"/>
    <w:rsid w:val="456443B5"/>
    <w:rsid w:val="457022CD"/>
    <w:rsid w:val="457C4123"/>
    <w:rsid w:val="45855844"/>
    <w:rsid w:val="458B69F6"/>
    <w:rsid w:val="459C435A"/>
    <w:rsid w:val="45A647C9"/>
    <w:rsid w:val="45B24076"/>
    <w:rsid w:val="45B86D45"/>
    <w:rsid w:val="45C943D0"/>
    <w:rsid w:val="45DA6D30"/>
    <w:rsid w:val="45DE14B8"/>
    <w:rsid w:val="463842DE"/>
    <w:rsid w:val="46386E53"/>
    <w:rsid w:val="4639036D"/>
    <w:rsid w:val="463A05A5"/>
    <w:rsid w:val="463A5557"/>
    <w:rsid w:val="46460291"/>
    <w:rsid w:val="464A0A81"/>
    <w:rsid w:val="466229CE"/>
    <w:rsid w:val="46625A9D"/>
    <w:rsid w:val="466510E8"/>
    <w:rsid w:val="4666004F"/>
    <w:rsid w:val="469506DA"/>
    <w:rsid w:val="469B1818"/>
    <w:rsid w:val="46A354BB"/>
    <w:rsid w:val="46A9385A"/>
    <w:rsid w:val="46B02CAB"/>
    <w:rsid w:val="46B0678E"/>
    <w:rsid w:val="46B61132"/>
    <w:rsid w:val="46CA4E0D"/>
    <w:rsid w:val="46FC7C9E"/>
    <w:rsid w:val="470B23CA"/>
    <w:rsid w:val="472762D3"/>
    <w:rsid w:val="47454177"/>
    <w:rsid w:val="474F15D8"/>
    <w:rsid w:val="4754049B"/>
    <w:rsid w:val="475A7928"/>
    <w:rsid w:val="475E7C0D"/>
    <w:rsid w:val="476415D8"/>
    <w:rsid w:val="476D46F8"/>
    <w:rsid w:val="47701558"/>
    <w:rsid w:val="477426A5"/>
    <w:rsid w:val="47873BD6"/>
    <w:rsid w:val="47B2336A"/>
    <w:rsid w:val="47BA4F6E"/>
    <w:rsid w:val="47D7366E"/>
    <w:rsid w:val="47E12DA0"/>
    <w:rsid w:val="47EA5402"/>
    <w:rsid w:val="47F243FC"/>
    <w:rsid w:val="480203F7"/>
    <w:rsid w:val="481A6EA7"/>
    <w:rsid w:val="48321048"/>
    <w:rsid w:val="483B158F"/>
    <w:rsid w:val="486C3D94"/>
    <w:rsid w:val="48A226AD"/>
    <w:rsid w:val="48B2699F"/>
    <w:rsid w:val="48B67D8D"/>
    <w:rsid w:val="48C260C0"/>
    <w:rsid w:val="4902628A"/>
    <w:rsid w:val="490B2882"/>
    <w:rsid w:val="492115CA"/>
    <w:rsid w:val="492412C0"/>
    <w:rsid w:val="493124F4"/>
    <w:rsid w:val="494E7D53"/>
    <w:rsid w:val="4988006D"/>
    <w:rsid w:val="499646A6"/>
    <w:rsid w:val="49995C78"/>
    <w:rsid w:val="499F4D25"/>
    <w:rsid w:val="49B26E0D"/>
    <w:rsid w:val="49BB06FB"/>
    <w:rsid w:val="49BC2A68"/>
    <w:rsid w:val="49F04BCB"/>
    <w:rsid w:val="49FD451C"/>
    <w:rsid w:val="4A11590E"/>
    <w:rsid w:val="4A152F65"/>
    <w:rsid w:val="4A1946C3"/>
    <w:rsid w:val="4A3E0914"/>
    <w:rsid w:val="4A3F1207"/>
    <w:rsid w:val="4A57472F"/>
    <w:rsid w:val="4A715E3D"/>
    <w:rsid w:val="4AB72982"/>
    <w:rsid w:val="4AD131F0"/>
    <w:rsid w:val="4B061472"/>
    <w:rsid w:val="4B0B7867"/>
    <w:rsid w:val="4B1B2082"/>
    <w:rsid w:val="4B234E00"/>
    <w:rsid w:val="4B2772B4"/>
    <w:rsid w:val="4B2A643C"/>
    <w:rsid w:val="4B3B14E1"/>
    <w:rsid w:val="4B635F8B"/>
    <w:rsid w:val="4B65032C"/>
    <w:rsid w:val="4B712A43"/>
    <w:rsid w:val="4B7E2083"/>
    <w:rsid w:val="4B82202B"/>
    <w:rsid w:val="4B92472D"/>
    <w:rsid w:val="4B9E1324"/>
    <w:rsid w:val="4BB61578"/>
    <w:rsid w:val="4BBE1692"/>
    <w:rsid w:val="4BCA0C2B"/>
    <w:rsid w:val="4BD65A7B"/>
    <w:rsid w:val="4BE106C3"/>
    <w:rsid w:val="4BE91B15"/>
    <w:rsid w:val="4C0B49E3"/>
    <w:rsid w:val="4C180EC0"/>
    <w:rsid w:val="4C1C7939"/>
    <w:rsid w:val="4C696745"/>
    <w:rsid w:val="4C737423"/>
    <w:rsid w:val="4C8927F5"/>
    <w:rsid w:val="4C987A51"/>
    <w:rsid w:val="4C993ABE"/>
    <w:rsid w:val="4CAA2DCE"/>
    <w:rsid w:val="4CB96EE9"/>
    <w:rsid w:val="4CD66C96"/>
    <w:rsid w:val="4CDC5A3B"/>
    <w:rsid w:val="4CDF0E5D"/>
    <w:rsid w:val="4CE376D5"/>
    <w:rsid w:val="4D0D3FCB"/>
    <w:rsid w:val="4D547564"/>
    <w:rsid w:val="4D6C65CD"/>
    <w:rsid w:val="4D795CF3"/>
    <w:rsid w:val="4D8217BA"/>
    <w:rsid w:val="4D9C1BB4"/>
    <w:rsid w:val="4DC65A69"/>
    <w:rsid w:val="4DD252B5"/>
    <w:rsid w:val="4DEF40B9"/>
    <w:rsid w:val="4DF4626D"/>
    <w:rsid w:val="4DFC20A2"/>
    <w:rsid w:val="4DFF1B97"/>
    <w:rsid w:val="4E020B1B"/>
    <w:rsid w:val="4E031912"/>
    <w:rsid w:val="4E043535"/>
    <w:rsid w:val="4E0833CC"/>
    <w:rsid w:val="4E1362FB"/>
    <w:rsid w:val="4E25360E"/>
    <w:rsid w:val="4E2719FC"/>
    <w:rsid w:val="4E305F09"/>
    <w:rsid w:val="4E5E12F1"/>
    <w:rsid w:val="4E62045F"/>
    <w:rsid w:val="4E6C5709"/>
    <w:rsid w:val="4E783F31"/>
    <w:rsid w:val="4EA06920"/>
    <w:rsid w:val="4EAC689C"/>
    <w:rsid w:val="4EB25AA5"/>
    <w:rsid w:val="4EBD41B7"/>
    <w:rsid w:val="4EDD2691"/>
    <w:rsid w:val="4EF911E3"/>
    <w:rsid w:val="4EF94046"/>
    <w:rsid w:val="4F0048E8"/>
    <w:rsid w:val="4F0C760F"/>
    <w:rsid w:val="4F15188C"/>
    <w:rsid w:val="4F1C48C2"/>
    <w:rsid w:val="4F255836"/>
    <w:rsid w:val="4F29165C"/>
    <w:rsid w:val="4F3F24FD"/>
    <w:rsid w:val="4F477F24"/>
    <w:rsid w:val="4F4F67C3"/>
    <w:rsid w:val="4F580453"/>
    <w:rsid w:val="4F647CAE"/>
    <w:rsid w:val="4F6B314A"/>
    <w:rsid w:val="4F7F4759"/>
    <w:rsid w:val="4F8A3560"/>
    <w:rsid w:val="4F8A389F"/>
    <w:rsid w:val="4F8A6E9D"/>
    <w:rsid w:val="4FA00EA1"/>
    <w:rsid w:val="4FA66198"/>
    <w:rsid w:val="4FA7410F"/>
    <w:rsid w:val="4FB10DBD"/>
    <w:rsid w:val="4FC42956"/>
    <w:rsid w:val="4FC66419"/>
    <w:rsid w:val="4FD02150"/>
    <w:rsid w:val="4FD03912"/>
    <w:rsid w:val="4FD47514"/>
    <w:rsid w:val="4FDC31A9"/>
    <w:rsid w:val="4FE15CB0"/>
    <w:rsid w:val="4FE2627D"/>
    <w:rsid w:val="4FF525AA"/>
    <w:rsid w:val="4FF63DCE"/>
    <w:rsid w:val="500A5543"/>
    <w:rsid w:val="501D01A2"/>
    <w:rsid w:val="501D19C7"/>
    <w:rsid w:val="50372FFC"/>
    <w:rsid w:val="50381A05"/>
    <w:rsid w:val="504305E6"/>
    <w:rsid w:val="504B1722"/>
    <w:rsid w:val="504C6018"/>
    <w:rsid w:val="50500C93"/>
    <w:rsid w:val="506105AA"/>
    <w:rsid w:val="506E1264"/>
    <w:rsid w:val="508B7406"/>
    <w:rsid w:val="509F73B0"/>
    <w:rsid w:val="50A70C7B"/>
    <w:rsid w:val="50B26A6B"/>
    <w:rsid w:val="50C20F4E"/>
    <w:rsid w:val="50D40C4B"/>
    <w:rsid w:val="50E46F54"/>
    <w:rsid w:val="50F515F4"/>
    <w:rsid w:val="5144267E"/>
    <w:rsid w:val="514A31D6"/>
    <w:rsid w:val="514D07CA"/>
    <w:rsid w:val="51604849"/>
    <w:rsid w:val="51747844"/>
    <w:rsid w:val="51777F08"/>
    <w:rsid w:val="51835208"/>
    <w:rsid w:val="51912DDA"/>
    <w:rsid w:val="51AB47E1"/>
    <w:rsid w:val="51B047FE"/>
    <w:rsid w:val="51B204B9"/>
    <w:rsid w:val="51B56296"/>
    <w:rsid w:val="51C72834"/>
    <w:rsid w:val="51CE66DB"/>
    <w:rsid w:val="51E74EF3"/>
    <w:rsid w:val="520C2961"/>
    <w:rsid w:val="522F500B"/>
    <w:rsid w:val="523852D6"/>
    <w:rsid w:val="523E768F"/>
    <w:rsid w:val="5242577E"/>
    <w:rsid w:val="527076ED"/>
    <w:rsid w:val="52743809"/>
    <w:rsid w:val="527777AF"/>
    <w:rsid w:val="52783884"/>
    <w:rsid w:val="52826EB7"/>
    <w:rsid w:val="52926F17"/>
    <w:rsid w:val="52AC28BC"/>
    <w:rsid w:val="52B05067"/>
    <w:rsid w:val="52C200F8"/>
    <w:rsid w:val="52CC23E6"/>
    <w:rsid w:val="52D7787C"/>
    <w:rsid w:val="52E07238"/>
    <w:rsid w:val="52EA11D5"/>
    <w:rsid w:val="53044E88"/>
    <w:rsid w:val="5306390C"/>
    <w:rsid w:val="531961EB"/>
    <w:rsid w:val="5329120F"/>
    <w:rsid w:val="533F4D46"/>
    <w:rsid w:val="536F68C7"/>
    <w:rsid w:val="537B019D"/>
    <w:rsid w:val="5382736B"/>
    <w:rsid w:val="539E491F"/>
    <w:rsid w:val="53B24EEA"/>
    <w:rsid w:val="53B97E84"/>
    <w:rsid w:val="53BF4F14"/>
    <w:rsid w:val="53C72845"/>
    <w:rsid w:val="53CA6414"/>
    <w:rsid w:val="53D00E36"/>
    <w:rsid w:val="53D31D47"/>
    <w:rsid w:val="53DD499C"/>
    <w:rsid w:val="53EF09CA"/>
    <w:rsid w:val="53F014B1"/>
    <w:rsid w:val="5408182A"/>
    <w:rsid w:val="54125F57"/>
    <w:rsid w:val="54187343"/>
    <w:rsid w:val="541C31AF"/>
    <w:rsid w:val="5420466B"/>
    <w:rsid w:val="5433414C"/>
    <w:rsid w:val="54465F20"/>
    <w:rsid w:val="545D4199"/>
    <w:rsid w:val="54831B18"/>
    <w:rsid w:val="548968E9"/>
    <w:rsid w:val="549502FD"/>
    <w:rsid w:val="54AB09A6"/>
    <w:rsid w:val="54AF20D4"/>
    <w:rsid w:val="54B72A99"/>
    <w:rsid w:val="54B86902"/>
    <w:rsid w:val="54BC49A0"/>
    <w:rsid w:val="54EE39DB"/>
    <w:rsid w:val="54F00CE8"/>
    <w:rsid w:val="55022976"/>
    <w:rsid w:val="551C096F"/>
    <w:rsid w:val="55240097"/>
    <w:rsid w:val="55244E70"/>
    <w:rsid w:val="552C3D46"/>
    <w:rsid w:val="554D13EE"/>
    <w:rsid w:val="55730ADB"/>
    <w:rsid w:val="559341A6"/>
    <w:rsid w:val="55B654BC"/>
    <w:rsid w:val="55BA13B7"/>
    <w:rsid w:val="55C57ADE"/>
    <w:rsid w:val="55CE22F2"/>
    <w:rsid w:val="56160365"/>
    <w:rsid w:val="561717F3"/>
    <w:rsid w:val="56611B1A"/>
    <w:rsid w:val="566969D2"/>
    <w:rsid w:val="566E6821"/>
    <w:rsid w:val="56941B97"/>
    <w:rsid w:val="56B92F3F"/>
    <w:rsid w:val="56D53CB1"/>
    <w:rsid w:val="56DD747D"/>
    <w:rsid w:val="56EE039D"/>
    <w:rsid w:val="56F96728"/>
    <w:rsid w:val="571F273F"/>
    <w:rsid w:val="572F7A73"/>
    <w:rsid w:val="57300307"/>
    <w:rsid w:val="57580313"/>
    <w:rsid w:val="575B3A04"/>
    <w:rsid w:val="575B5634"/>
    <w:rsid w:val="575D7EC0"/>
    <w:rsid w:val="576138FC"/>
    <w:rsid w:val="578736CD"/>
    <w:rsid w:val="578739BB"/>
    <w:rsid w:val="57893C0F"/>
    <w:rsid w:val="5798256F"/>
    <w:rsid w:val="579840C7"/>
    <w:rsid w:val="579F6F43"/>
    <w:rsid w:val="57C2221D"/>
    <w:rsid w:val="57E1536E"/>
    <w:rsid w:val="57E16B37"/>
    <w:rsid w:val="57FD673B"/>
    <w:rsid w:val="58081D05"/>
    <w:rsid w:val="583848AE"/>
    <w:rsid w:val="583A1747"/>
    <w:rsid w:val="583A7FA8"/>
    <w:rsid w:val="58544955"/>
    <w:rsid w:val="58566AE7"/>
    <w:rsid w:val="585962B5"/>
    <w:rsid w:val="585F5B75"/>
    <w:rsid w:val="587A4269"/>
    <w:rsid w:val="587C29ED"/>
    <w:rsid w:val="589A5A5F"/>
    <w:rsid w:val="58AD243F"/>
    <w:rsid w:val="58B8621F"/>
    <w:rsid w:val="58B94375"/>
    <w:rsid w:val="58BA4A70"/>
    <w:rsid w:val="58D00F8B"/>
    <w:rsid w:val="5902444F"/>
    <w:rsid w:val="591B5CBF"/>
    <w:rsid w:val="5927514C"/>
    <w:rsid w:val="593101AF"/>
    <w:rsid w:val="594F610B"/>
    <w:rsid w:val="59600EE5"/>
    <w:rsid w:val="59634BDC"/>
    <w:rsid w:val="596F23B3"/>
    <w:rsid w:val="59941B20"/>
    <w:rsid w:val="599A4004"/>
    <w:rsid w:val="599B086D"/>
    <w:rsid w:val="59B25DD6"/>
    <w:rsid w:val="59B927ED"/>
    <w:rsid w:val="59BF5C8E"/>
    <w:rsid w:val="59D97EC2"/>
    <w:rsid w:val="59E24823"/>
    <w:rsid w:val="59E27409"/>
    <w:rsid w:val="59E52BA1"/>
    <w:rsid w:val="59ED36DC"/>
    <w:rsid w:val="59FC781F"/>
    <w:rsid w:val="5A3526A3"/>
    <w:rsid w:val="5A370571"/>
    <w:rsid w:val="5A4E41C1"/>
    <w:rsid w:val="5A6210CC"/>
    <w:rsid w:val="5A7348C9"/>
    <w:rsid w:val="5A7521D8"/>
    <w:rsid w:val="5A7E7218"/>
    <w:rsid w:val="5A9164F8"/>
    <w:rsid w:val="5A9725BE"/>
    <w:rsid w:val="5AC76508"/>
    <w:rsid w:val="5AD45AFB"/>
    <w:rsid w:val="5AE30505"/>
    <w:rsid w:val="5AF120E0"/>
    <w:rsid w:val="5AFC1624"/>
    <w:rsid w:val="5B095493"/>
    <w:rsid w:val="5B115BA8"/>
    <w:rsid w:val="5B235AE9"/>
    <w:rsid w:val="5B246A53"/>
    <w:rsid w:val="5B264E92"/>
    <w:rsid w:val="5B416E74"/>
    <w:rsid w:val="5B437EA2"/>
    <w:rsid w:val="5B534ED1"/>
    <w:rsid w:val="5B7F0ACB"/>
    <w:rsid w:val="5B8859A0"/>
    <w:rsid w:val="5B89136E"/>
    <w:rsid w:val="5B9F7743"/>
    <w:rsid w:val="5BA22756"/>
    <w:rsid w:val="5BB522B5"/>
    <w:rsid w:val="5BBA4618"/>
    <w:rsid w:val="5BBB7CD0"/>
    <w:rsid w:val="5BF250F3"/>
    <w:rsid w:val="5BF84DDB"/>
    <w:rsid w:val="5BFB1E7F"/>
    <w:rsid w:val="5C111338"/>
    <w:rsid w:val="5C282422"/>
    <w:rsid w:val="5C4363D0"/>
    <w:rsid w:val="5C691941"/>
    <w:rsid w:val="5C74526E"/>
    <w:rsid w:val="5C7919DF"/>
    <w:rsid w:val="5C8D1268"/>
    <w:rsid w:val="5CAA3741"/>
    <w:rsid w:val="5CB35D47"/>
    <w:rsid w:val="5CC85C68"/>
    <w:rsid w:val="5CEC3A93"/>
    <w:rsid w:val="5CEF405D"/>
    <w:rsid w:val="5CFE5040"/>
    <w:rsid w:val="5D0A39B1"/>
    <w:rsid w:val="5D1341B2"/>
    <w:rsid w:val="5D251093"/>
    <w:rsid w:val="5D287B54"/>
    <w:rsid w:val="5D3047D1"/>
    <w:rsid w:val="5D494018"/>
    <w:rsid w:val="5D6B14A2"/>
    <w:rsid w:val="5D9205BD"/>
    <w:rsid w:val="5D9B0E6A"/>
    <w:rsid w:val="5D9E1AED"/>
    <w:rsid w:val="5D9E4E16"/>
    <w:rsid w:val="5DBA0135"/>
    <w:rsid w:val="5DCD5DE5"/>
    <w:rsid w:val="5DD437EF"/>
    <w:rsid w:val="5DE0146B"/>
    <w:rsid w:val="5DF16302"/>
    <w:rsid w:val="5DFF4B46"/>
    <w:rsid w:val="5E3706B3"/>
    <w:rsid w:val="5E3B0A10"/>
    <w:rsid w:val="5E424B71"/>
    <w:rsid w:val="5E881A80"/>
    <w:rsid w:val="5E96232F"/>
    <w:rsid w:val="5EB51AB3"/>
    <w:rsid w:val="5EC33621"/>
    <w:rsid w:val="5EF31C67"/>
    <w:rsid w:val="5EF4004E"/>
    <w:rsid w:val="5EFA106E"/>
    <w:rsid w:val="5EFF06CD"/>
    <w:rsid w:val="5F010576"/>
    <w:rsid w:val="5F0251FA"/>
    <w:rsid w:val="5F0C439F"/>
    <w:rsid w:val="5F256B29"/>
    <w:rsid w:val="5F2D2C86"/>
    <w:rsid w:val="5F4475AE"/>
    <w:rsid w:val="5F4A6799"/>
    <w:rsid w:val="5F6C2424"/>
    <w:rsid w:val="5F946A7C"/>
    <w:rsid w:val="5FBA79B0"/>
    <w:rsid w:val="5FBC183B"/>
    <w:rsid w:val="5FC61813"/>
    <w:rsid w:val="5FD57CF6"/>
    <w:rsid w:val="5FF50EAD"/>
    <w:rsid w:val="5FFE3F18"/>
    <w:rsid w:val="600676E3"/>
    <w:rsid w:val="601C5687"/>
    <w:rsid w:val="6024779C"/>
    <w:rsid w:val="602B7B91"/>
    <w:rsid w:val="60391C4C"/>
    <w:rsid w:val="603B021E"/>
    <w:rsid w:val="60584683"/>
    <w:rsid w:val="606F4BE5"/>
    <w:rsid w:val="606F768E"/>
    <w:rsid w:val="608D00E3"/>
    <w:rsid w:val="60992490"/>
    <w:rsid w:val="60A1419A"/>
    <w:rsid w:val="60A24FBB"/>
    <w:rsid w:val="60A43A47"/>
    <w:rsid w:val="60C33C2B"/>
    <w:rsid w:val="60C50CA9"/>
    <w:rsid w:val="60E97ACC"/>
    <w:rsid w:val="61160E7E"/>
    <w:rsid w:val="61311E12"/>
    <w:rsid w:val="61637659"/>
    <w:rsid w:val="617C570B"/>
    <w:rsid w:val="61853804"/>
    <w:rsid w:val="619B53CA"/>
    <w:rsid w:val="619E0126"/>
    <w:rsid w:val="61A56DFA"/>
    <w:rsid w:val="61D17778"/>
    <w:rsid w:val="61DB14D3"/>
    <w:rsid w:val="61E17D65"/>
    <w:rsid w:val="61EB5F1D"/>
    <w:rsid w:val="621B5631"/>
    <w:rsid w:val="626A49A3"/>
    <w:rsid w:val="626D5F91"/>
    <w:rsid w:val="627A7411"/>
    <w:rsid w:val="627E7D9D"/>
    <w:rsid w:val="628407FE"/>
    <w:rsid w:val="62880405"/>
    <w:rsid w:val="628A05BB"/>
    <w:rsid w:val="629073C4"/>
    <w:rsid w:val="62995869"/>
    <w:rsid w:val="62996318"/>
    <w:rsid w:val="62AA6D2C"/>
    <w:rsid w:val="62AF1C11"/>
    <w:rsid w:val="62B0179B"/>
    <w:rsid w:val="62CA25A7"/>
    <w:rsid w:val="62CC094F"/>
    <w:rsid w:val="62F95075"/>
    <w:rsid w:val="62FC03A2"/>
    <w:rsid w:val="630006BE"/>
    <w:rsid w:val="630334E9"/>
    <w:rsid w:val="63242B23"/>
    <w:rsid w:val="635C73A1"/>
    <w:rsid w:val="636C10E2"/>
    <w:rsid w:val="63743838"/>
    <w:rsid w:val="637455EF"/>
    <w:rsid w:val="637509AF"/>
    <w:rsid w:val="639039B1"/>
    <w:rsid w:val="63A23228"/>
    <w:rsid w:val="63AB5D44"/>
    <w:rsid w:val="63B04CF8"/>
    <w:rsid w:val="63BA7188"/>
    <w:rsid w:val="63DA5EAF"/>
    <w:rsid w:val="63DF59C2"/>
    <w:rsid w:val="63E6136F"/>
    <w:rsid w:val="63EA625B"/>
    <w:rsid w:val="63FC6F31"/>
    <w:rsid w:val="642E4F72"/>
    <w:rsid w:val="645F0505"/>
    <w:rsid w:val="646469D4"/>
    <w:rsid w:val="647A419D"/>
    <w:rsid w:val="64846083"/>
    <w:rsid w:val="64851089"/>
    <w:rsid w:val="648D0CF0"/>
    <w:rsid w:val="64983CC9"/>
    <w:rsid w:val="64B109D5"/>
    <w:rsid w:val="64E43E7F"/>
    <w:rsid w:val="64F61D79"/>
    <w:rsid w:val="64FE5C71"/>
    <w:rsid w:val="650A1380"/>
    <w:rsid w:val="65107E36"/>
    <w:rsid w:val="65295CAB"/>
    <w:rsid w:val="654E476E"/>
    <w:rsid w:val="657B11CD"/>
    <w:rsid w:val="658A6BCD"/>
    <w:rsid w:val="659D0782"/>
    <w:rsid w:val="659D7C90"/>
    <w:rsid w:val="65A9629B"/>
    <w:rsid w:val="65B300B5"/>
    <w:rsid w:val="65C459D3"/>
    <w:rsid w:val="65D04EEB"/>
    <w:rsid w:val="65D424B9"/>
    <w:rsid w:val="65F842E1"/>
    <w:rsid w:val="66001BA4"/>
    <w:rsid w:val="66025947"/>
    <w:rsid w:val="66105710"/>
    <w:rsid w:val="662C68D6"/>
    <w:rsid w:val="663C7469"/>
    <w:rsid w:val="66864F4B"/>
    <w:rsid w:val="668A41F2"/>
    <w:rsid w:val="66965CDC"/>
    <w:rsid w:val="66B8269C"/>
    <w:rsid w:val="66D20A59"/>
    <w:rsid w:val="66DA6749"/>
    <w:rsid w:val="67051D14"/>
    <w:rsid w:val="671222A1"/>
    <w:rsid w:val="671D46C8"/>
    <w:rsid w:val="671F0BC6"/>
    <w:rsid w:val="671F22A3"/>
    <w:rsid w:val="67291A35"/>
    <w:rsid w:val="673669FF"/>
    <w:rsid w:val="67393CB7"/>
    <w:rsid w:val="673C6439"/>
    <w:rsid w:val="676A0B2B"/>
    <w:rsid w:val="676C3006"/>
    <w:rsid w:val="67827A7F"/>
    <w:rsid w:val="678E6299"/>
    <w:rsid w:val="67A667D3"/>
    <w:rsid w:val="67A74C82"/>
    <w:rsid w:val="67A95111"/>
    <w:rsid w:val="67C25F5F"/>
    <w:rsid w:val="67C365BF"/>
    <w:rsid w:val="67D8341E"/>
    <w:rsid w:val="67E46FF5"/>
    <w:rsid w:val="67ED6C16"/>
    <w:rsid w:val="680A6C82"/>
    <w:rsid w:val="6824034C"/>
    <w:rsid w:val="683E3347"/>
    <w:rsid w:val="6843364C"/>
    <w:rsid w:val="68592572"/>
    <w:rsid w:val="685E57CE"/>
    <w:rsid w:val="685F4AA0"/>
    <w:rsid w:val="68623D3F"/>
    <w:rsid w:val="686C7E0A"/>
    <w:rsid w:val="68757042"/>
    <w:rsid w:val="687D6111"/>
    <w:rsid w:val="6886166B"/>
    <w:rsid w:val="688A0A3C"/>
    <w:rsid w:val="68954A3C"/>
    <w:rsid w:val="689B0DF8"/>
    <w:rsid w:val="689C5CD6"/>
    <w:rsid w:val="68AB4D27"/>
    <w:rsid w:val="68B5096E"/>
    <w:rsid w:val="68CC10BC"/>
    <w:rsid w:val="68E85BF9"/>
    <w:rsid w:val="68F44B09"/>
    <w:rsid w:val="68FA1B9A"/>
    <w:rsid w:val="69313380"/>
    <w:rsid w:val="69464207"/>
    <w:rsid w:val="69496EF1"/>
    <w:rsid w:val="694A57D4"/>
    <w:rsid w:val="694E046E"/>
    <w:rsid w:val="69652D27"/>
    <w:rsid w:val="696A42A3"/>
    <w:rsid w:val="698F572F"/>
    <w:rsid w:val="69952A0C"/>
    <w:rsid w:val="699A1218"/>
    <w:rsid w:val="699B4BDB"/>
    <w:rsid w:val="69A51678"/>
    <w:rsid w:val="69BB329B"/>
    <w:rsid w:val="69BD4C61"/>
    <w:rsid w:val="69DA3ABA"/>
    <w:rsid w:val="69FC56C6"/>
    <w:rsid w:val="69FD3B6F"/>
    <w:rsid w:val="6A0065EF"/>
    <w:rsid w:val="6A1231B1"/>
    <w:rsid w:val="6A1F1C32"/>
    <w:rsid w:val="6A572158"/>
    <w:rsid w:val="6A616283"/>
    <w:rsid w:val="6A641407"/>
    <w:rsid w:val="6A656882"/>
    <w:rsid w:val="6A694D9B"/>
    <w:rsid w:val="6A7A307D"/>
    <w:rsid w:val="6A8B60FB"/>
    <w:rsid w:val="6A9674BF"/>
    <w:rsid w:val="6A9A37E0"/>
    <w:rsid w:val="6AA604CA"/>
    <w:rsid w:val="6AB4102B"/>
    <w:rsid w:val="6AB67B97"/>
    <w:rsid w:val="6ADB41F3"/>
    <w:rsid w:val="6AFB4F4A"/>
    <w:rsid w:val="6B12444F"/>
    <w:rsid w:val="6B2A12A7"/>
    <w:rsid w:val="6B4116A8"/>
    <w:rsid w:val="6B4533C9"/>
    <w:rsid w:val="6B5C39DF"/>
    <w:rsid w:val="6B5E11EE"/>
    <w:rsid w:val="6B611EB1"/>
    <w:rsid w:val="6B961766"/>
    <w:rsid w:val="6BC8334A"/>
    <w:rsid w:val="6BD61A98"/>
    <w:rsid w:val="6BF77F96"/>
    <w:rsid w:val="6BFE19E1"/>
    <w:rsid w:val="6C050A47"/>
    <w:rsid w:val="6C0B1A74"/>
    <w:rsid w:val="6C0E79A8"/>
    <w:rsid w:val="6C16659B"/>
    <w:rsid w:val="6C27235B"/>
    <w:rsid w:val="6C3342D8"/>
    <w:rsid w:val="6C394A8B"/>
    <w:rsid w:val="6C420156"/>
    <w:rsid w:val="6C427A7C"/>
    <w:rsid w:val="6C5142B7"/>
    <w:rsid w:val="6C7457E7"/>
    <w:rsid w:val="6C7D6E82"/>
    <w:rsid w:val="6C8311C3"/>
    <w:rsid w:val="6C865790"/>
    <w:rsid w:val="6CA5691E"/>
    <w:rsid w:val="6CC64E4B"/>
    <w:rsid w:val="6CFC1EEB"/>
    <w:rsid w:val="6CFD2D93"/>
    <w:rsid w:val="6D1B3C07"/>
    <w:rsid w:val="6D290842"/>
    <w:rsid w:val="6D2A6B5F"/>
    <w:rsid w:val="6D377207"/>
    <w:rsid w:val="6D3C65F2"/>
    <w:rsid w:val="6D676BB8"/>
    <w:rsid w:val="6D680792"/>
    <w:rsid w:val="6DAB0FE0"/>
    <w:rsid w:val="6DE568D2"/>
    <w:rsid w:val="6DEE7FF8"/>
    <w:rsid w:val="6E0B6604"/>
    <w:rsid w:val="6E1E5CB1"/>
    <w:rsid w:val="6E2407A4"/>
    <w:rsid w:val="6E2A65EF"/>
    <w:rsid w:val="6E51496A"/>
    <w:rsid w:val="6E8555D0"/>
    <w:rsid w:val="6E876629"/>
    <w:rsid w:val="6E893B3A"/>
    <w:rsid w:val="6E9C129B"/>
    <w:rsid w:val="6EDA7020"/>
    <w:rsid w:val="6EDF1C43"/>
    <w:rsid w:val="6EE90259"/>
    <w:rsid w:val="6F08338C"/>
    <w:rsid w:val="6F425A4F"/>
    <w:rsid w:val="6F492FDA"/>
    <w:rsid w:val="6F5013AD"/>
    <w:rsid w:val="6F561A7D"/>
    <w:rsid w:val="6F6005AE"/>
    <w:rsid w:val="6F9D2A27"/>
    <w:rsid w:val="6FA629B9"/>
    <w:rsid w:val="6FB23A9C"/>
    <w:rsid w:val="6FB41CDF"/>
    <w:rsid w:val="6FE52B7F"/>
    <w:rsid w:val="70047746"/>
    <w:rsid w:val="700A037B"/>
    <w:rsid w:val="701B22C2"/>
    <w:rsid w:val="70484126"/>
    <w:rsid w:val="704A18A5"/>
    <w:rsid w:val="70535193"/>
    <w:rsid w:val="705353D7"/>
    <w:rsid w:val="70595CFD"/>
    <w:rsid w:val="70731CBA"/>
    <w:rsid w:val="7079510A"/>
    <w:rsid w:val="70AB2A5F"/>
    <w:rsid w:val="70AE36D8"/>
    <w:rsid w:val="70BF3967"/>
    <w:rsid w:val="70C40F6B"/>
    <w:rsid w:val="70CC35DC"/>
    <w:rsid w:val="70FF2B52"/>
    <w:rsid w:val="71053071"/>
    <w:rsid w:val="710C4547"/>
    <w:rsid w:val="71146B3B"/>
    <w:rsid w:val="711E1A75"/>
    <w:rsid w:val="71415856"/>
    <w:rsid w:val="714D25E5"/>
    <w:rsid w:val="714D2D21"/>
    <w:rsid w:val="715E5257"/>
    <w:rsid w:val="718176C8"/>
    <w:rsid w:val="71BB1264"/>
    <w:rsid w:val="71C14470"/>
    <w:rsid w:val="71C15629"/>
    <w:rsid w:val="71CE33FE"/>
    <w:rsid w:val="71DD01AD"/>
    <w:rsid w:val="71E01DDD"/>
    <w:rsid w:val="71E80C9B"/>
    <w:rsid w:val="71E847F7"/>
    <w:rsid w:val="723D68AF"/>
    <w:rsid w:val="724721AC"/>
    <w:rsid w:val="72705108"/>
    <w:rsid w:val="729452D5"/>
    <w:rsid w:val="72A25D7B"/>
    <w:rsid w:val="72ED47BB"/>
    <w:rsid w:val="72F657B0"/>
    <w:rsid w:val="72FC409A"/>
    <w:rsid w:val="72FE4B6F"/>
    <w:rsid w:val="73032FC0"/>
    <w:rsid w:val="730D583A"/>
    <w:rsid w:val="730F48D7"/>
    <w:rsid w:val="73253B84"/>
    <w:rsid w:val="733D0BED"/>
    <w:rsid w:val="738707F8"/>
    <w:rsid w:val="738754CA"/>
    <w:rsid w:val="738B6F89"/>
    <w:rsid w:val="73C056D8"/>
    <w:rsid w:val="73CB6AC4"/>
    <w:rsid w:val="73D3037C"/>
    <w:rsid w:val="73E56099"/>
    <w:rsid w:val="73ED1A3A"/>
    <w:rsid w:val="73F05696"/>
    <w:rsid w:val="73F50B6F"/>
    <w:rsid w:val="74146799"/>
    <w:rsid w:val="741A1B16"/>
    <w:rsid w:val="741E67C6"/>
    <w:rsid w:val="741F7648"/>
    <w:rsid w:val="742C5E27"/>
    <w:rsid w:val="74551D23"/>
    <w:rsid w:val="745D7B18"/>
    <w:rsid w:val="745F299C"/>
    <w:rsid w:val="7466617E"/>
    <w:rsid w:val="746F1484"/>
    <w:rsid w:val="7483170D"/>
    <w:rsid w:val="748674BD"/>
    <w:rsid w:val="74B15375"/>
    <w:rsid w:val="74B800CA"/>
    <w:rsid w:val="74F17975"/>
    <w:rsid w:val="74F55B27"/>
    <w:rsid w:val="75196969"/>
    <w:rsid w:val="753D165B"/>
    <w:rsid w:val="75511543"/>
    <w:rsid w:val="756B2471"/>
    <w:rsid w:val="75726F76"/>
    <w:rsid w:val="758B5BDF"/>
    <w:rsid w:val="758D6086"/>
    <w:rsid w:val="758F1A33"/>
    <w:rsid w:val="75A0664F"/>
    <w:rsid w:val="75BC66C7"/>
    <w:rsid w:val="75F8009A"/>
    <w:rsid w:val="762B22A9"/>
    <w:rsid w:val="763A3819"/>
    <w:rsid w:val="76471DE8"/>
    <w:rsid w:val="764C1D57"/>
    <w:rsid w:val="765306A2"/>
    <w:rsid w:val="76701D3D"/>
    <w:rsid w:val="76951140"/>
    <w:rsid w:val="76974BD9"/>
    <w:rsid w:val="76977026"/>
    <w:rsid w:val="769E7B7B"/>
    <w:rsid w:val="76A70C95"/>
    <w:rsid w:val="76D15D09"/>
    <w:rsid w:val="76E25CB9"/>
    <w:rsid w:val="76EB626F"/>
    <w:rsid w:val="76F57B1F"/>
    <w:rsid w:val="771349E5"/>
    <w:rsid w:val="7714635C"/>
    <w:rsid w:val="771C30FA"/>
    <w:rsid w:val="77206134"/>
    <w:rsid w:val="772B3B04"/>
    <w:rsid w:val="772F3A61"/>
    <w:rsid w:val="773553A7"/>
    <w:rsid w:val="77580A66"/>
    <w:rsid w:val="7763490F"/>
    <w:rsid w:val="776F21CE"/>
    <w:rsid w:val="778D01FE"/>
    <w:rsid w:val="77A3436B"/>
    <w:rsid w:val="77B86288"/>
    <w:rsid w:val="77F437B1"/>
    <w:rsid w:val="780738D1"/>
    <w:rsid w:val="782226C6"/>
    <w:rsid w:val="7836450F"/>
    <w:rsid w:val="783764D9"/>
    <w:rsid w:val="783D4AFF"/>
    <w:rsid w:val="784D30F3"/>
    <w:rsid w:val="785D4173"/>
    <w:rsid w:val="78693C27"/>
    <w:rsid w:val="788A2AAC"/>
    <w:rsid w:val="788A2C6A"/>
    <w:rsid w:val="78AD0D21"/>
    <w:rsid w:val="78B73B4F"/>
    <w:rsid w:val="78B934ED"/>
    <w:rsid w:val="78C37C8A"/>
    <w:rsid w:val="78DE2D7C"/>
    <w:rsid w:val="7922596C"/>
    <w:rsid w:val="792F01A6"/>
    <w:rsid w:val="79382965"/>
    <w:rsid w:val="794C1894"/>
    <w:rsid w:val="795161CA"/>
    <w:rsid w:val="795E25FE"/>
    <w:rsid w:val="79820F11"/>
    <w:rsid w:val="79882D39"/>
    <w:rsid w:val="79887C21"/>
    <w:rsid w:val="79A81252"/>
    <w:rsid w:val="79AB7841"/>
    <w:rsid w:val="79AC037E"/>
    <w:rsid w:val="79B4594A"/>
    <w:rsid w:val="79B978EA"/>
    <w:rsid w:val="79BC708D"/>
    <w:rsid w:val="79CC4DBF"/>
    <w:rsid w:val="79EB1C7D"/>
    <w:rsid w:val="79FE5549"/>
    <w:rsid w:val="7A1B476E"/>
    <w:rsid w:val="7A483C82"/>
    <w:rsid w:val="7A4A24F3"/>
    <w:rsid w:val="7A50702E"/>
    <w:rsid w:val="7A6B627C"/>
    <w:rsid w:val="7A721A4A"/>
    <w:rsid w:val="7A787271"/>
    <w:rsid w:val="7A9343B2"/>
    <w:rsid w:val="7A9722EA"/>
    <w:rsid w:val="7AA17C39"/>
    <w:rsid w:val="7AA274F5"/>
    <w:rsid w:val="7ABB6F4D"/>
    <w:rsid w:val="7AF27BF0"/>
    <w:rsid w:val="7B0651C6"/>
    <w:rsid w:val="7B1A6AB5"/>
    <w:rsid w:val="7B327BB5"/>
    <w:rsid w:val="7B33563C"/>
    <w:rsid w:val="7B4C0E94"/>
    <w:rsid w:val="7B5737ED"/>
    <w:rsid w:val="7B594633"/>
    <w:rsid w:val="7B763FD0"/>
    <w:rsid w:val="7B8D6D12"/>
    <w:rsid w:val="7B9147B3"/>
    <w:rsid w:val="7BAC1017"/>
    <w:rsid w:val="7BC5015F"/>
    <w:rsid w:val="7BD15208"/>
    <w:rsid w:val="7BDB40C8"/>
    <w:rsid w:val="7BF010C1"/>
    <w:rsid w:val="7BFC639E"/>
    <w:rsid w:val="7C1060A4"/>
    <w:rsid w:val="7C14004B"/>
    <w:rsid w:val="7C212B16"/>
    <w:rsid w:val="7C260FD6"/>
    <w:rsid w:val="7C344D27"/>
    <w:rsid w:val="7C6034EF"/>
    <w:rsid w:val="7C896B62"/>
    <w:rsid w:val="7C8F3841"/>
    <w:rsid w:val="7C927737"/>
    <w:rsid w:val="7CCD6198"/>
    <w:rsid w:val="7CD87D97"/>
    <w:rsid w:val="7CDC13FD"/>
    <w:rsid w:val="7CE055BA"/>
    <w:rsid w:val="7CF25322"/>
    <w:rsid w:val="7CFC1051"/>
    <w:rsid w:val="7D15058B"/>
    <w:rsid w:val="7D157DA1"/>
    <w:rsid w:val="7D1B1F25"/>
    <w:rsid w:val="7D213138"/>
    <w:rsid w:val="7D2521B2"/>
    <w:rsid w:val="7D317598"/>
    <w:rsid w:val="7D3230DC"/>
    <w:rsid w:val="7D4D08D5"/>
    <w:rsid w:val="7D551F58"/>
    <w:rsid w:val="7D6A282B"/>
    <w:rsid w:val="7DAF2E81"/>
    <w:rsid w:val="7DF04831"/>
    <w:rsid w:val="7DF05949"/>
    <w:rsid w:val="7DF22A1C"/>
    <w:rsid w:val="7E0E1134"/>
    <w:rsid w:val="7E1A042F"/>
    <w:rsid w:val="7E282CD5"/>
    <w:rsid w:val="7E3672A9"/>
    <w:rsid w:val="7E4436FD"/>
    <w:rsid w:val="7E4618EE"/>
    <w:rsid w:val="7E49452F"/>
    <w:rsid w:val="7E4B52FC"/>
    <w:rsid w:val="7E577B57"/>
    <w:rsid w:val="7E7A400D"/>
    <w:rsid w:val="7E872237"/>
    <w:rsid w:val="7E873820"/>
    <w:rsid w:val="7E88183C"/>
    <w:rsid w:val="7E8C3F75"/>
    <w:rsid w:val="7E9832EF"/>
    <w:rsid w:val="7EA80241"/>
    <w:rsid w:val="7EAB6E1B"/>
    <w:rsid w:val="7ED76DD4"/>
    <w:rsid w:val="7ED82A43"/>
    <w:rsid w:val="7EE354CD"/>
    <w:rsid w:val="7EE67A74"/>
    <w:rsid w:val="7F06366D"/>
    <w:rsid w:val="7F13011A"/>
    <w:rsid w:val="7F201A75"/>
    <w:rsid w:val="7F2B0063"/>
    <w:rsid w:val="7F5456A0"/>
    <w:rsid w:val="7F5A396B"/>
    <w:rsid w:val="7F5C0130"/>
    <w:rsid w:val="7F79289E"/>
    <w:rsid w:val="7F8F1F7C"/>
    <w:rsid w:val="7FA21DCB"/>
    <w:rsid w:val="7FA8445B"/>
    <w:rsid w:val="7FCA114D"/>
    <w:rsid w:val="7FD338C7"/>
    <w:rsid w:val="7FD422E4"/>
    <w:rsid w:val="7FDC4A34"/>
    <w:rsid w:val="7FF86B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qFormat="1" w:unhideWhenUsed="0"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qFormat="1"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8"/>
    <w:qFormat/>
    <w:uiPriority w:val="0"/>
    <w:pPr>
      <w:keepNext/>
      <w:keepLines/>
      <w:numPr>
        <w:ilvl w:val="0"/>
        <w:numId w:val="1"/>
      </w:numPr>
      <w:spacing w:before="340" w:after="330" w:line="578" w:lineRule="auto"/>
      <w:jc w:val="center"/>
      <w:outlineLvl w:val="0"/>
    </w:pPr>
    <w:rPr>
      <w:b/>
      <w:bCs/>
      <w:kern w:val="44"/>
      <w:sz w:val="32"/>
      <w:szCs w:val="44"/>
    </w:rPr>
  </w:style>
  <w:style w:type="paragraph" w:styleId="4">
    <w:name w:val="heading 2"/>
    <w:basedOn w:val="3"/>
    <w:next w:val="5"/>
    <w:link w:val="62"/>
    <w:qFormat/>
    <w:uiPriority w:val="0"/>
    <w:pPr>
      <w:numPr>
        <w:ilvl w:val="1"/>
      </w:numPr>
      <w:spacing w:before="260" w:after="260" w:line="416" w:lineRule="auto"/>
      <w:outlineLvl w:val="1"/>
    </w:pPr>
    <w:rPr>
      <w:rFonts w:ascii="Cambria" w:hAnsi="Cambria"/>
      <w:szCs w:val="32"/>
    </w:rPr>
  </w:style>
  <w:style w:type="paragraph" w:styleId="6">
    <w:name w:val="heading 3"/>
    <w:basedOn w:val="4"/>
    <w:next w:val="1"/>
    <w:link w:val="106"/>
    <w:qFormat/>
    <w:uiPriority w:val="0"/>
    <w:pPr>
      <w:numPr>
        <w:ilvl w:val="2"/>
      </w:numPr>
      <w:outlineLvl w:val="2"/>
    </w:pPr>
  </w:style>
  <w:style w:type="paragraph" w:styleId="7">
    <w:name w:val="heading 4"/>
    <w:basedOn w:val="6"/>
    <w:next w:val="1"/>
    <w:link w:val="144"/>
    <w:qFormat/>
    <w:uiPriority w:val="0"/>
    <w:pPr>
      <w:numPr>
        <w:ilvl w:val="3"/>
      </w:numPr>
      <w:spacing w:before="280" w:after="290" w:line="376" w:lineRule="auto"/>
      <w:outlineLvl w:val="3"/>
    </w:pPr>
    <w:rPr>
      <w:sz w:val="28"/>
      <w:szCs w:val="28"/>
    </w:rPr>
  </w:style>
  <w:style w:type="paragraph" w:styleId="8">
    <w:name w:val="heading 5"/>
    <w:basedOn w:val="1"/>
    <w:next w:val="1"/>
    <w:link w:val="96"/>
    <w:qFormat/>
    <w:uiPriority w:val="0"/>
    <w:pPr>
      <w:keepNext/>
      <w:keepLines/>
      <w:numPr>
        <w:ilvl w:val="4"/>
        <w:numId w:val="1"/>
      </w:numPr>
      <w:spacing w:before="280" w:after="290" w:line="376" w:lineRule="auto"/>
      <w:outlineLvl w:val="4"/>
    </w:pPr>
    <w:rPr>
      <w:b/>
      <w:bCs/>
      <w:sz w:val="28"/>
      <w:szCs w:val="28"/>
    </w:rPr>
  </w:style>
  <w:style w:type="paragraph" w:styleId="9">
    <w:name w:val="heading 6"/>
    <w:basedOn w:val="1"/>
    <w:next w:val="1"/>
    <w:link w:val="82"/>
    <w:qFormat/>
    <w:uiPriority w:val="0"/>
    <w:pPr>
      <w:keepNext/>
      <w:keepLines/>
      <w:numPr>
        <w:ilvl w:val="5"/>
        <w:numId w:val="1"/>
      </w:numPr>
      <w:spacing w:before="240" w:after="64" w:line="320" w:lineRule="auto"/>
      <w:outlineLvl w:val="5"/>
    </w:pPr>
    <w:rPr>
      <w:rFonts w:ascii="Cambria" w:hAnsi="Cambria"/>
      <w:b/>
      <w:bCs/>
      <w:sz w:val="24"/>
    </w:rPr>
  </w:style>
  <w:style w:type="paragraph" w:styleId="10">
    <w:name w:val="heading 7"/>
    <w:basedOn w:val="1"/>
    <w:next w:val="1"/>
    <w:link w:val="137"/>
    <w:qFormat/>
    <w:uiPriority w:val="0"/>
    <w:pPr>
      <w:keepNext/>
      <w:keepLines/>
      <w:numPr>
        <w:ilvl w:val="6"/>
        <w:numId w:val="1"/>
      </w:numPr>
      <w:spacing w:before="240" w:after="64" w:line="320" w:lineRule="auto"/>
      <w:outlineLvl w:val="6"/>
    </w:pPr>
    <w:rPr>
      <w:b/>
      <w:bCs/>
      <w:sz w:val="24"/>
    </w:rPr>
  </w:style>
  <w:style w:type="paragraph" w:styleId="11">
    <w:name w:val="heading 8"/>
    <w:basedOn w:val="1"/>
    <w:next w:val="1"/>
    <w:link w:val="122"/>
    <w:qFormat/>
    <w:uiPriority w:val="0"/>
    <w:pPr>
      <w:keepNext/>
      <w:keepLines/>
      <w:numPr>
        <w:ilvl w:val="7"/>
        <w:numId w:val="1"/>
      </w:numPr>
      <w:spacing w:before="240" w:after="64" w:line="320" w:lineRule="auto"/>
      <w:outlineLvl w:val="7"/>
    </w:pPr>
    <w:rPr>
      <w:rFonts w:ascii="Cambria" w:hAnsi="Cambria"/>
      <w:sz w:val="24"/>
    </w:rPr>
  </w:style>
  <w:style w:type="paragraph" w:styleId="12">
    <w:name w:val="heading 9"/>
    <w:basedOn w:val="1"/>
    <w:next w:val="1"/>
    <w:link w:val="100"/>
    <w:qFormat/>
    <w:uiPriority w:val="0"/>
    <w:pPr>
      <w:keepNext/>
      <w:keepLines/>
      <w:numPr>
        <w:ilvl w:val="8"/>
        <w:numId w:val="1"/>
      </w:numPr>
      <w:spacing w:before="240" w:after="64" w:line="320" w:lineRule="auto"/>
      <w:outlineLvl w:val="8"/>
    </w:pPr>
    <w:rPr>
      <w:rFonts w:ascii="Cambria" w:hAnsi="Cambria"/>
      <w:szCs w:val="21"/>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0"/>
    <w:pPr>
      <w:ind w:left="600" w:leftChars="600"/>
    </w:pPr>
    <w:rPr>
      <w:rFonts w:ascii="Calibri" w:hAnsi="Calibri"/>
    </w:rPr>
  </w:style>
  <w:style w:type="paragraph" w:styleId="5">
    <w:name w:val="Normal Indent"/>
    <w:basedOn w:val="1"/>
    <w:qFormat/>
    <w:uiPriority w:val="0"/>
    <w:pPr>
      <w:ind w:firstLine="420"/>
    </w:pPr>
    <w:rPr>
      <w:b/>
      <w:sz w:val="24"/>
      <w:szCs w:val="20"/>
    </w:rPr>
  </w:style>
  <w:style w:type="paragraph" w:styleId="13">
    <w:name w:val="List 3"/>
    <w:basedOn w:val="1"/>
    <w:unhideWhenUsed/>
    <w:qFormat/>
    <w:uiPriority w:val="99"/>
    <w:pPr>
      <w:spacing w:before="100" w:beforeAutospacing="1" w:after="100" w:afterAutospacing="1"/>
      <w:ind w:left="1260" w:hanging="420"/>
    </w:pPr>
    <w:rPr>
      <w:szCs w:val="21"/>
    </w:rPr>
  </w:style>
  <w:style w:type="paragraph" w:styleId="14">
    <w:name w:val="toc 7"/>
    <w:basedOn w:val="1"/>
    <w:next w:val="1"/>
    <w:unhideWhenUsed/>
    <w:qFormat/>
    <w:uiPriority w:val="39"/>
    <w:pPr>
      <w:ind w:left="2520" w:leftChars="1200"/>
    </w:pPr>
    <w:rPr>
      <w:rFonts w:ascii="Calibri" w:hAnsi="Calibri"/>
      <w:szCs w:val="22"/>
    </w:rPr>
  </w:style>
  <w:style w:type="paragraph" w:styleId="15">
    <w:name w:val="caption"/>
    <w:basedOn w:val="1"/>
    <w:next w:val="1"/>
    <w:qFormat/>
    <w:uiPriority w:val="0"/>
    <w:rPr>
      <w:rFonts w:ascii="Cambria" w:hAnsi="Cambria" w:eastAsia="黑体"/>
      <w:sz w:val="20"/>
      <w:szCs w:val="22"/>
    </w:rPr>
  </w:style>
  <w:style w:type="paragraph" w:styleId="16">
    <w:name w:val="Document Map"/>
    <w:basedOn w:val="1"/>
    <w:link w:val="90"/>
    <w:qFormat/>
    <w:uiPriority w:val="0"/>
    <w:rPr>
      <w:rFonts w:ascii="宋体"/>
      <w:sz w:val="18"/>
      <w:szCs w:val="18"/>
    </w:rPr>
  </w:style>
  <w:style w:type="paragraph" w:styleId="17">
    <w:name w:val="annotation text"/>
    <w:basedOn w:val="1"/>
    <w:link w:val="114"/>
    <w:qFormat/>
    <w:uiPriority w:val="99"/>
    <w:pPr>
      <w:jc w:val="left"/>
    </w:pPr>
  </w:style>
  <w:style w:type="paragraph" w:styleId="18">
    <w:name w:val="Body Text 3"/>
    <w:basedOn w:val="1"/>
    <w:link w:val="133"/>
    <w:qFormat/>
    <w:uiPriority w:val="0"/>
    <w:rPr>
      <w:rFonts w:ascii="宋体"/>
      <w:sz w:val="24"/>
      <w:szCs w:val="20"/>
    </w:rPr>
  </w:style>
  <w:style w:type="paragraph" w:styleId="19">
    <w:name w:val="Body Text"/>
    <w:basedOn w:val="1"/>
    <w:next w:val="20"/>
    <w:link w:val="121"/>
    <w:qFormat/>
    <w:uiPriority w:val="0"/>
    <w:pPr>
      <w:jc w:val="center"/>
    </w:pPr>
    <w:rPr>
      <w:rFonts w:eastAsia="幼圆"/>
      <w:b/>
      <w:bCs/>
      <w:sz w:val="44"/>
    </w:rPr>
  </w:style>
  <w:style w:type="paragraph" w:customStyle="1" w:styleId="20">
    <w:name w:val="一级条标题"/>
    <w:basedOn w:val="21"/>
    <w:next w:val="22"/>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1">
    <w:name w:val="章标题"/>
    <w:basedOn w:val="1"/>
    <w:next w:val="1"/>
    <w:qFormat/>
    <w:uiPriority w:val="0"/>
    <w:pPr>
      <w:widowControl/>
      <w:spacing w:before="158" w:after="153" w:line="1292" w:lineRule="atLeast"/>
      <w:jc w:val="center"/>
    </w:pPr>
    <w:rPr>
      <w:rFonts w:ascii="Arial" w:hAnsi="Calibri" w:eastAsia="黑体" w:cs="黑体"/>
      <w:kern w:val="0"/>
      <w:sz w:val="31"/>
      <w:szCs w:val="22"/>
      <w:lang w:eastAsia="en-US" w:bidi="en-US"/>
    </w:rPr>
  </w:style>
  <w:style w:type="paragraph" w:customStyle="1" w:styleId="22">
    <w:name w:val="段"/>
    <w:basedOn w:val="1"/>
    <w:next w:val="1"/>
    <w:qFormat/>
    <w:uiPriority w:val="0"/>
    <w:pPr>
      <w:widowControl/>
      <w:autoSpaceDE w:val="0"/>
      <w:autoSpaceDN w:val="0"/>
      <w:ind w:firstLine="200" w:firstLineChars="200"/>
    </w:pPr>
    <w:rPr>
      <w:rFonts w:hint="eastAsia" w:ascii="宋体"/>
      <w:kern w:val="0"/>
      <w:szCs w:val="20"/>
    </w:rPr>
  </w:style>
  <w:style w:type="paragraph" w:styleId="23">
    <w:name w:val="Body Text Indent"/>
    <w:basedOn w:val="1"/>
    <w:next w:val="24"/>
    <w:link w:val="77"/>
    <w:qFormat/>
    <w:uiPriority w:val="0"/>
    <w:pPr>
      <w:spacing w:after="120"/>
      <w:ind w:left="420" w:leftChars="200"/>
    </w:pPr>
  </w:style>
  <w:style w:type="paragraph" w:styleId="24">
    <w:name w:val="envelope return"/>
    <w:basedOn w:val="1"/>
    <w:unhideWhenUsed/>
    <w:qFormat/>
    <w:uiPriority w:val="99"/>
    <w:pPr>
      <w:snapToGrid w:val="0"/>
    </w:pPr>
    <w:rPr>
      <w:rFonts w:ascii="Arial" w:hAnsi="Arial"/>
    </w:rPr>
  </w:style>
  <w:style w:type="paragraph" w:styleId="25">
    <w:name w:val="toc 5"/>
    <w:basedOn w:val="1"/>
    <w:next w:val="1"/>
    <w:unhideWhenUsed/>
    <w:qFormat/>
    <w:uiPriority w:val="39"/>
    <w:pPr>
      <w:ind w:left="1680" w:leftChars="800"/>
    </w:pPr>
    <w:rPr>
      <w:rFonts w:ascii="Calibri" w:hAnsi="Calibri"/>
      <w:szCs w:val="22"/>
    </w:rPr>
  </w:style>
  <w:style w:type="paragraph" w:styleId="26">
    <w:name w:val="toc 3"/>
    <w:basedOn w:val="1"/>
    <w:next w:val="1"/>
    <w:qFormat/>
    <w:uiPriority w:val="39"/>
    <w:pPr>
      <w:ind w:left="840" w:leftChars="400"/>
    </w:pPr>
    <w:rPr>
      <w:rFonts w:ascii="Calibri" w:hAnsi="Calibri"/>
      <w:szCs w:val="22"/>
    </w:rPr>
  </w:style>
  <w:style w:type="paragraph" w:styleId="27">
    <w:name w:val="Plain Text"/>
    <w:basedOn w:val="1"/>
    <w:link w:val="83"/>
    <w:qFormat/>
    <w:uiPriority w:val="0"/>
    <w:rPr>
      <w:rFonts w:ascii="Ari"/>
    </w:rPr>
  </w:style>
  <w:style w:type="paragraph" w:styleId="28">
    <w:name w:val="toc 8"/>
    <w:basedOn w:val="1"/>
    <w:next w:val="1"/>
    <w:unhideWhenUsed/>
    <w:qFormat/>
    <w:uiPriority w:val="39"/>
    <w:pPr>
      <w:ind w:left="2940" w:leftChars="1400"/>
    </w:pPr>
    <w:rPr>
      <w:rFonts w:ascii="Calibri" w:hAnsi="Calibri"/>
      <w:szCs w:val="22"/>
    </w:rPr>
  </w:style>
  <w:style w:type="paragraph" w:styleId="29">
    <w:name w:val="Date"/>
    <w:basedOn w:val="1"/>
    <w:next w:val="1"/>
    <w:link w:val="91"/>
    <w:unhideWhenUsed/>
    <w:qFormat/>
    <w:uiPriority w:val="0"/>
  </w:style>
  <w:style w:type="paragraph" w:styleId="30">
    <w:name w:val="Body Text Indent 2"/>
    <w:basedOn w:val="1"/>
    <w:link w:val="113"/>
    <w:unhideWhenUsed/>
    <w:qFormat/>
    <w:uiPriority w:val="99"/>
    <w:pPr>
      <w:spacing w:line="420" w:lineRule="exact"/>
      <w:ind w:firstLine="525"/>
    </w:pPr>
    <w:rPr>
      <w:rFonts w:ascii="宋体"/>
      <w:kern w:val="0"/>
      <w:sz w:val="20"/>
      <w:szCs w:val="20"/>
    </w:rPr>
  </w:style>
  <w:style w:type="paragraph" w:styleId="31">
    <w:name w:val="Balloon Text"/>
    <w:basedOn w:val="1"/>
    <w:link w:val="136"/>
    <w:qFormat/>
    <w:uiPriority w:val="0"/>
    <w:rPr>
      <w:sz w:val="18"/>
      <w:szCs w:val="18"/>
    </w:rPr>
  </w:style>
  <w:style w:type="paragraph" w:styleId="32">
    <w:name w:val="footer"/>
    <w:basedOn w:val="1"/>
    <w:link w:val="126"/>
    <w:qFormat/>
    <w:uiPriority w:val="99"/>
    <w:pPr>
      <w:tabs>
        <w:tab w:val="center" w:pos="4153"/>
        <w:tab w:val="right" w:pos="8306"/>
      </w:tabs>
      <w:snapToGrid w:val="0"/>
      <w:jc w:val="left"/>
    </w:pPr>
    <w:rPr>
      <w:sz w:val="18"/>
      <w:szCs w:val="18"/>
    </w:rPr>
  </w:style>
  <w:style w:type="paragraph" w:styleId="3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39"/>
  </w:style>
  <w:style w:type="paragraph" w:styleId="35">
    <w:name w:val="toc 4"/>
    <w:basedOn w:val="1"/>
    <w:next w:val="1"/>
    <w:unhideWhenUsed/>
    <w:qFormat/>
    <w:uiPriority w:val="39"/>
    <w:pPr>
      <w:ind w:left="1260" w:leftChars="600"/>
    </w:pPr>
    <w:rPr>
      <w:rFonts w:ascii="Calibri" w:hAnsi="Calibri"/>
      <w:szCs w:val="22"/>
    </w:rPr>
  </w:style>
  <w:style w:type="paragraph" w:styleId="36">
    <w:name w:val="Subtitle"/>
    <w:basedOn w:val="1"/>
    <w:next w:val="1"/>
    <w:link w:val="109"/>
    <w:qFormat/>
    <w:uiPriority w:val="0"/>
    <w:pPr>
      <w:spacing w:before="240" w:after="60" w:line="312" w:lineRule="auto"/>
      <w:jc w:val="center"/>
      <w:outlineLvl w:val="1"/>
    </w:pPr>
    <w:rPr>
      <w:rFonts w:ascii="Cambria" w:hAnsi="Cambria"/>
      <w:b/>
      <w:bCs/>
      <w:kern w:val="28"/>
      <w:sz w:val="32"/>
      <w:szCs w:val="32"/>
    </w:rPr>
  </w:style>
  <w:style w:type="paragraph" w:styleId="37">
    <w:name w:val="toc 6"/>
    <w:basedOn w:val="1"/>
    <w:next w:val="1"/>
    <w:unhideWhenUsed/>
    <w:qFormat/>
    <w:uiPriority w:val="39"/>
    <w:pPr>
      <w:ind w:left="2100" w:leftChars="1000"/>
    </w:pPr>
    <w:rPr>
      <w:rFonts w:ascii="Calibri" w:hAnsi="Calibri"/>
      <w:szCs w:val="22"/>
    </w:rPr>
  </w:style>
  <w:style w:type="paragraph" w:styleId="38">
    <w:name w:val="Body Text Indent 3"/>
    <w:basedOn w:val="1"/>
    <w:link w:val="134"/>
    <w:qFormat/>
    <w:uiPriority w:val="0"/>
    <w:pPr>
      <w:spacing w:after="120"/>
      <w:ind w:left="420" w:leftChars="200"/>
    </w:pPr>
    <w:rPr>
      <w:sz w:val="16"/>
      <w:szCs w:val="20"/>
    </w:rPr>
  </w:style>
  <w:style w:type="paragraph" w:styleId="39">
    <w:name w:val="index 7"/>
    <w:basedOn w:val="1"/>
    <w:next w:val="1"/>
    <w:semiHidden/>
    <w:qFormat/>
    <w:uiPriority w:val="99"/>
    <w:pPr>
      <w:ind w:left="2520"/>
    </w:pPr>
  </w:style>
  <w:style w:type="paragraph" w:styleId="40">
    <w:name w:val="toc 2"/>
    <w:basedOn w:val="1"/>
    <w:next w:val="1"/>
    <w:qFormat/>
    <w:uiPriority w:val="39"/>
    <w:pPr>
      <w:ind w:left="420" w:leftChars="200"/>
    </w:pPr>
    <w:rPr>
      <w:rFonts w:ascii="Calibri" w:hAnsi="Calibri"/>
      <w:szCs w:val="22"/>
    </w:rPr>
  </w:style>
  <w:style w:type="paragraph" w:styleId="41">
    <w:name w:val="toc 9"/>
    <w:basedOn w:val="1"/>
    <w:next w:val="1"/>
    <w:unhideWhenUsed/>
    <w:qFormat/>
    <w:uiPriority w:val="39"/>
    <w:pPr>
      <w:ind w:left="3360" w:leftChars="1600"/>
    </w:pPr>
    <w:rPr>
      <w:rFonts w:ascii="Calibri" w:hAnsi="Calibri"/>
      <w:szCs w:val="22"/>
    </w:rPr>
  </w:style>
  <w:style w:type="paragraph" w:styleId="42">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43">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5">
    <w:name w:val="index 1"/>
    <w:basedOn w:val="1"/>
    <w:next w:val="1"/>
    <w:qFormat/>
    <w:uiPriority w:val="0"/>
    <w:pPr>
      <w:spacing w:line="220" w:lineRule="exact"/>
      <w:jc w:val="center"/>
    </w:pPr>
    <w:rPr>
      <w:rFonts w:ascii="仿宋_GB2312" w:hAnsi="Calibri" w:eastAsia="仿宋_GB2312"/>
      <w:szCs w:val="22"/>
    </w:rPr>
  </w:style>
  <w:style w:type="paragraph" w:styleId="46">
    <w:name w:val="Title"/>
    <w:basedOn w:val="1"/>
    <w:link w:val="86"/>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7">
    <w:name w:val="annotation subject"/>
    <w:basedOn w:val="17"/>
    <w:next w:val="17"/>
    <w:link w:val="124"/>
    <w:qFormat/>
    <w:uiPriority w:val="0"/>
    <w:rPr>
      <w:b/>
      <w:bCs/>
    </w:rPr>
  </w:style>
  <w:style w:type="paragraph" w:styleId="48">
    <w:name w:val="Body Text First Indent"/>
    <w:basedOn w:val="19"/>
    <w:qFormat/>
    <w:uiPriority w:val="99"/>
    <w:pPr>
      <w:spacing w:after="120"/>
      <w:ind w:firstLine="420" w:firstLineChars="100"/>
    </w:pPr>
    <w:rPr>
      <w:rFonts w:eastAsia="宋体"/>
      <w:sz w:val="21"/>
    </w:rPr>
  </w:style>
  <w:style w:type="paragraph" w:styleId="49">
    <w:name w:val="Body Text First Indent 2"/>
    <w:basedOn w:val="1"/>
    <w:next w:val="1"/>
    <w:qFormat/>
    <w:uiPriority w:val="99"/>
    <w:pPr>
      <w:ind w:firstLine="420" w:firstLineChars="200"/>
    </w:pPr>
  </w:style>
  <w:style w:type="table" w:styleId="51">
    <w:name w:val="Table Grid"/>
    <w:basedOn w:val="5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basedOn w:val="52"/>
    <w:qFormat/>
    <w:uiPriority w:val="0"/>
    <w:rPr>
      <w:rFonts w:cs="Times New Roman"/>
      <w:b/>
    </w:rPr>
  </w:style>
  <w:style w:type="character" w:styleId="54">
    <w:name w:val="page number"/>
    <w:qFormat/>
    <w:uiPriority w:val="0"/>
    <w:rPr>
      <w:rFonts w:eastAsia="宋体"/>
      <w:b/>
      <w:spacing w:val="0"/>
      <w:kern w:val="2"/>
      <w:sz w:val="24"/>
      <w:szCs w:val="24"/>
      <w:vertAlign w:val="baseline"/>
      <w:lang w:val="en-US" w:eastAsia="zh-CN" w:bidi="ar-SA"/>
    </w:rPr>
  </w:style>
  <w:style w:type="character" w:styleId="55">
    <w:name w:val="FollowedHyperlink"/>
    <w:qFormat/>
    <w:uiPriority w:val="0"/>
    <w:rPr>
      <w:color w:val="800080"/>
      <w:u w:val="single"/>
    </w:rPr>
  </w:style>
  <w:style w:type="character" w:styleId="56">
    <w:name w:val="Emphasis"/>
    <w:qFormat/>
    <w:uiPriority w:val="0"/>
    <w:rPr>
      <w:color w:val="CC0000"/>
    </w:rPr>
  </w:style>
  <w:style w:type="character" w:styleId="57">
    <w:name w:val="Hyperlink"/>
    <w:qFormat/>
    <w:uiPriority w:val="99"/>
    <w:rPr>
      <w:color w:val="0000FF"/>
      <w:u w:val="single"/>
    </w:rPr>
  </w:style>
  <w:style w:type="character" w:styleId="58">
    <w:name w:val="annotation reference"/>
    <w:qFormat/>
    <w:uiPriority w:val="99"/>
    <w:rPr>
      <w:sz w:val="21"/>
      <w:szCs w:val="21"/>
    </w:rPr>
  </w:style>
  <w:style w:type="character" w:styleId="59">
    <w:name w:val="HTML Cite"/>
    <w:qFormat/>
    <w:uiPriority w:val="0"/>
    <w:rPr>
      <w:color w:val="008000"/>
    </w:rPr>
  </w:style>
  <w:style w:type="paragraph" w:styleId="60">
    <w:name w:val="List Paragraph"/>
    <w:basedOn w:val="1"/>
    <w:qFormat/>
    <w:uiPriority w:val="34"/>
    <w:pPr>
      <w:ind w:firstLine="420" w:firstLineChars="200"/>
    </w:pPr>
  </w:style>
  <w:style w:type="paragraph" w:customStyle="1" w:styleId="61">
    <w:name w:val="列表段落1"/>
    <w:basedOn w:val="1"/>
    <w:qFormat/>
    <w:uiPriority w:val="0"/>
    <w:pPr>
      <w:ind w:firstLine="420" w:firstLineChars="200"/>
    </w:pPr>
    <w:rPr>
      <w:szCs w:val="20"/>
    </w:rPr>
  </w:style>
  <w:style w:type="character" w:customStyle="1" w:styleId="62">
    <w:name w:val="标题 2 字符"/>
    <w:link w:val="4"/>
    <w:qFormat/>
    <w:uiPriority w:val="0"/>
    <w:rPr>
      <w:rFonts w:ascii="Cambria" w:hAnsi="Cambria"/>
      <w:b/>
      <w:bCs/>
      <w:kern w:val="2"/>
      <w:sz w:val="32"/>
      <w:szCs w:val="32"/>
    </w:rPr>
  </w:style>
  <w:style w:type="character" w:customStyle="1" w:styleId="63">
    <w:name w:val="明显强调1"/>
    <w:qFormat/>
    <w:uiPriority w:val="0"/>
    <w:rPr>
      <w:b/>
      <w:bCs/>
      <w:i/>
      <w:iCs/>
      <w:color w:val="4F81BD"/>
    </w:rPr>
  </w:style>
  <w:style w:type="character" w:customStyle="1" w:styleId="64">
    <w:name w:val="批注文字 Char2"/>
    <w:qFormat/>
    <w:uiPriority w:val="0"/>
    <w:rPr>
      <w:kern w:val="2"/>
      <w:sz w:val="21"/>
    </w:rPr>
  </w:style>
  <w:style w:type="character" w:customStyle="1" w:styleId="65">
    <w:name w:val="标题 3 Char_0"/>
    <w:link w:val="66"/>
    <w:qFormat/>
    <w:uiPriority w:val="0"/>
    <w:rPr>
      <w:b/>
      <w:bCs/>
      <w:sz w:val="32"/>
      <w:szCs w:val="32"/>
    </w:rPr>
  </w:style>
  <w:style w:type="paragraph" w:customStyle="1" w:styleId="66">
    <w:name w:val="标题 3_0"/>
    <w:basedOn w:val="67"/>
    <w:next w:val="67"/>
    <w:link w:val="65"/>
    <w:qFormat/>
    <w:uiPriority w:val="0"/>
    <w:pPr>
      <w:keepNext/>
      <w:keepLines/>
      <w:spacing w:before="260" w:after="260" w:line="416" w:lineRule="auto"/>
      <w:outlineLvl w:val="2"/>
    </w:pPr>
    <w:rPr>
      <w:b/>
      <w:bCs/>
      <w:kern w:val="0"/>
      <w:sz w:val="32"/>
      <w:szCs w:val="32"/>
    </w:rPr>
  </w:style>
  <w:style w:type="paragraph" w:customStyle="1" w:styleId="6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8">
    <w:name w:val="正文文本 Char2"/>
    <w:semiHidden/>
    <w:qFormat/>
    <w:uiPriority w:val="99"/>
    <w:rPr>
      <w:rFonts w:ascii="Calibri" w:hAnsi="Calibri" w:eastAsia="宋体" w:cs="Times New Roman"/>
    </w:rPr>
  </w:style>
  <w:style w:type="character" w:customStyle="1" w:styleId="69">
    <w:name w:val="页脚 Char1"/>
    <w:semiHidden/>
    <w:qFormat/>
    <w:uiPriority w:val="99"/>
    <w:rPr>
      <w:rFonts w:ascii="Calibri" w:hAnsi="Calibri" w:eastAsia="宋体" w:cs="Times New Roman"/>
      <w:sz w:val="18"/>
      <w:szCs w:val="18"/>
    </w:rPr>
  </w:style>
  <w:style w:type="character" w:customStyle="1" w:styleId="70">
    <w:name w:val="明显引用 Char2"/>
    <w:qFormat/>
    <w:uiPriority w:val="99"/>
    <w:rPr>
      <w:b/>
      <w:bCs/>
      <w:i/>
      <w:iCs/>
      <w:color w:val="4F81BD"/>
      <w:kern w:val="2"/>
      <w:sz w:val="21"/>
      <w:szCs w:val="24"/>
    </w:rPr>
  </w:style>
  <w:style w:type="character" w:customStyle="1" w:styleId="71">
    <w:name w:val="引用 Char"/>
    <w:link w:val="72"/>
    <w:qFormat/>
    <w:uiPriority w:val="0"/>
    <w:rPr>
      <w:i/>
      <w:iCs/>
      <w:color w:val="000000"/>
    </w:rPr>
  </w:style>
  <w:style w:type="paragraph" w:customStyle="1" w:styleId="72">
    <w:name w:val="引用1"/>
    <w:basedOn w:val="1"/>
    <w:next w:val="1"/>
    <w:link w:val="71"/>
    <w:qFormat/>
    <w:uiPriority w:val="0"/>
    <w:rPr>
      <w:i/>
      <w:iCs/>
      <w:color w:val="000000"/>
      <w:kern w:val="0"/>
      <w:sz w:val="20"/>
      <w:szCs w:val="20"/>
    </w:rPr>
  </w:style>
  <w:style w:type="character" w:customStyle="1" w:styleId="73">
    <w:name w:val="标题 1 Char_0"/>
    <w:link w:val="74"/>
    <w:qFormat/>
    <w:uiPriority w:val="0"/>
    <w:rPr>
      <w:b/>
      <w:bCs/>
      <w:kern w:val="44"/>
      <w:sz w:val="44"/>
      <w:szCs w:val="44"/>
    </w:rPr>
  </w:style>
  <w:style w:type="paragraph" w:customStyle="1" w:styleId="74">
    <w:name w:val="标题 1_0"/>
    <w:basedOn w:val="67"/>
    <w:next w:val="67"/>
    <w:link w:val="73"/>
    <w:qFormat/>
    <w:uiPriority w:val="0"/>
    <w:pPr>
      <w:keepNext/>
      <w:keepLines/>
      <w:spacing w:before="340" w:after="330" w:line="578" w:lineRule="auto"/>
      <w:outlineLvl w:val="0"/>
    </w:pPr>
    <w:rPr>
      <w:b/>
      <w:bCs/>
      <w:kern w:val="44"/>
      <w:sz w:val="44"/>
      <w:szCs w:val="44"/>
    </w:rPr>
  </w:style>
  <w:style w:type="character" w:customStyle="1" w:styleId="75">
    <w:name w:val="正文文本缩进 3 Char1"/>
    <w:semiHidden/>
    <w:qFormat/>
    <w:uiPriority w:val="99"/>
    <w:rPr>
      <w:kern w:val="2"/>
      <w:sz w:val="16"/>
      <w:szCs w:val="16"/>
    </w:rPr>
  </w:style>
  <w:style w:type="character" w:customStyle="1" w:styleId="76">
    <w:name w:val="引用 Char1"/>
    <w:qFormat/>
    <w:uiPriority w:val="29"/>
    <w:rPr>
      <w:i/>
      <w:iCs/>
      <w:color w:val="000000"/>
      <w:kern w:val="2"/>
      <w:sz w:val="21"/>
    </w:rPr>
  </w:style>
  <w:style w:type="character" w:customStyle="1" w:styleId="77">
    <w:name w:val="正文文本缩进 字符"/>
    <w:link w:val="23"/>
    <w:qFormat/>
    <w:uiPriority w:val="0"/>
    <w:rPr>
      <w:kern w:val="2"/>
      <w:sz w:val="21"/>
      <w:szCs w:val="24"/>
    </w:rPr>
  </w:style>
  <w:style w:type="character" w:customStyle="1" w:styleId="78">
    <w:name w:val="font161"/>
    <w:qFormat/>
    <w:uiPriority w:val="0"/>
    <w:rPr>
      <w:b/>
      <w:sz w:val="32"/>
    </w:rPr>
  </w:style>
  <w:style w:type="character" w:customStyle="1" w:styleId="79">
    <w:name w:val="标题 4 Char_0"/>
    <w:link w:val="80"/>
    <w:qFormat/>
    <w:uiPriority w:val="0"/>
    <w:rPr>
      <w:rFonts w:ascii="Arial" w:hAnsi="Arial" w:eastAsia="黑体"/>
      <w:b/>
      <w:bCs/>
      <w:sz w:val="28"/>
      <w:szCs w:val="28"/>
    </w:rPr>
  </w:style>
  <w:style w:type="paragraph" w:customStyle="1" w:styleId="80">
    <w:name w:val="标题 4_0"/>
    <w:basedOn w:val="67"/>
    <w:next w:val="67"/>
    <w:link w:val="79"/>
    <w:qFormat/>
    <w:uiPriority w:val="0"/>
    <w:pPr>
      <w:keepNext/>
      <w:keepLines/>
      <w:spacing w:before="280" w:after="290" w:line="376" w:lineRule="auto"/>
      <w:outlineLvl w:val="3"/>
    </w:pPr>
    <w:rPr>
      <w:rFonts w:ascii="Arial" w:hAnsi="Arial" w:eastAsia="黑体"/>
      <w:b/>
      <w:bCs/>
      <w:kern w:val="0"/>
      <w:sz w:val="28"/>
      <w:szCs w:val="28"/>
    </w:rPr>
  </w:style>
  <w:style w:type="character" w:customStyle="1" w:styleId="81">
    <w:name w:val="页眉 字符"/>
    <w:link w:val="33"/>
    <w:qFormat/>
    <w:uiPriority w:val="0"/>
    <w:rPr>
      <w:kern w:val="2"/>
      <w:sz w:val="18"/>
      <w:szCs w:val="18"/>
    </w:rPr>
  </w:style>
  <w:style w:type="character" w:customStyle="1" w:styleId="82">
    <w:name w:val="标题 6 字符"/>
    <w:link w:val="9"/>
    <w:qFormat/>
    <w:uiPriority w:val="0"/>
    <w:rPr>
      <w:rFonts w:ascii="Cambria" w:hAnsi="Cambria" w:eastAsia="宋体" w:cs="Times New Roman"/>
      <w:b/>
      <w:bCs/>
      <w:kern w:val="2"/>
      <w:sz w:val="24"/>
      <w:szCs w:val="24"/>
    </w:rPr>
  </w:style>
  <w:style w:type="character" w:customStyle="1" w:styleId="83">
    <w:name w:val="纯文本 字符"/>
    <w:link w:val="27"/>
    <w:qFormat/>
    <w:uiPriority w:val="0"/>
    <w:rPr>
      <w:rFonts w:ascii="Ari"/>
      <w:lang w:val="en-US" w:eastAsia="zh-CN" w:bidi="ar-SA"/>
    </w:rPr>
  </w:style>
  <w:style w:type="character" w:customStyle="1" w:styleId="84">
    <w:name w:val="引用 Char2"/>
    <w:qFormat/>
    <w:uiPriority w:val="99"/>
    <w:rPr>
      <w:i/>
      <w:iCs/>
      <w:color w:val="000000"/>
      <w:kern w:val="2"/>
      <w:sz w:val="21"/>
      <w:szCs w:val="24"/>
    </w:rPr>
  </w:style>
  <w:style w:type="character" w:customStyle="1" w:styleId="85">
    <w:name w:val="rvts11"/>
    <w:qFormat/>
    <w:uiPriority w:val="0"/>
    <w:rPr>
      <w:rFonts w:hint="default" w:ascii="KNLe" w:hAnsi="KNLe"/>
      <w:sz w:val="24"/>
      <w:szCs w:val="24"/>
      <w:u w:val="single"/>
    </w:rPr>
  </w:style>
  <w:style w:type="character" w:customStyle="1" w:styleId="86">
    <w:name w:val="标题 字符"/>
    <w:link w:val="46"/>
    <w:qFormat/>
    <w:uiPriority w:val="0"/>
    <w:rPr>
      <w:rFonts w:ascii="Arial" w:hAnsi="Arial"/>
      <w:b/>
      <w:sz w:val="32"/>
    </w:rPr>
  </w:style>
  <w:style w:type="character" w:customStyle="1" w:styleId="87">
    <w:name w:val="标题5 Char Char"/>
    <w:link w:val="88"/>
    <w:qFormat/>
    <w:uiPriority w:val="0"/>
    <w:rPr>
      <w:rFonts w:ascii="Arial" w:hAnsi="Arial"/>
      <w:b/>
      <w:bCs/>
      <w:sz w:val="24"/>
      <w:szCs w:val="32"/>
    </w:rPr>
  </w:style>
  <w:style w:type="paragraph" w:customStyle="1" w:styleId="88">
    <w:name w:val="标题5"/>
    <w:basedOn w:val="6"/>
    <w:link w:val="87"/>
    <w:qFormat/>
    <w:uiPriority w:val="0"/>
    <w:pPr>
      <w:numPr>
        <w:ilvl w:val="0"/>
        <w:numId w:val="0"/>
      </w:numPr>
      <w:spacing w:line="413" w:lineRule="auto"/>
    </w:pPr>
    <w:rPr>
      <w:rFonts w:ascii="Arial" w:hAnsi="Arial"/>
      <w:kern w:val="0"/>
      <w:sz w:val="24"/>
    </w:rPr>
  </w:style>
  <w:style w:type="character" w:customStyle="1" w:styleId="89">
    <w:name w:val="副标题 Char2"/>
    <w:qFormat/>
    <w:uiPriority w:val="11"/>
    <w:rPr>
      <w:rFonts w:ascii="Cambria" w:hAnsi="Cambria" w:cs="Times New Roman"/>
      <w:b/>
      <w:bCs/>
      <w:kern w:val="28"/>
      <w:sz w:val="32"/>
      <w:szCs w:val="32"/>
    </w:rPr>
  </w:style>
  <w:style w:type="character" w:customStyle="1" w:styleId="90">
    <w:name w:val="文档结构图 字符"/>
    <w:link w:val="16"/>
    <w:qFormat/>
    <w:uiPriority w:val="0"/>
    <w:rPr>
      <w:rFonts w:ascii="宋体"/>
      <w:kern w:val="2"/>
      <w:sz w:val="18"/>
      <w:szCs w:val="18"/>
    </w:rPr>
  </w:style>
  <w:style w:type="character" w:customStyle="1" w:styleId="91">
    <w:name w:val="日期 字符"/>
    <w:link w:val="29"/>
    <w:qFormat/>
    <w:uiPriority w:val="0"/>
    <w:rPr>
      <w:kern w:val="2"/>
      <w:sz w:val="21"/>
      <w:szCs w:val="24"/>
    </w:rPr>
  </w:style>
  <w:style w:type="character" w:customStyle="1" w:styleId="92">
    <w:name w:val="批注主题 Char1"/>
    <w:qFormat/>
    <w:uiPriority w:val="0"/>
    <w:rPr>
      <w:b/>
      <w:bCs/>
      <w:kern w:val="2"/>
      <w:sz w:val="21"/>
      <w:szCs w:val="22"/>
    </w:rPr>
  </w:style>
  <w:style w:type="character" w:customStyle="1" w:styleId="93">
    <w:name w:val="font31"/>
    <w:qFormat/>
    <w:uiPriority w:val="0"/>
    <w:rPr>
      <w:rFonts w:hint="eastAsia" w:ascii="宋体" w:hAnsi="宋体" w:eastAsia="宋体" w:cs="宋体"/>
      <w:color w:val="000000"/>
      <w:sz w:val="20"/>
      <w:szCs w:val="20"/>
      <w:u w:val="none"/>
    </w:rPr>
  </w:style>
  <w:style w:type="character" w:customStyle="1" w:styleId="94">
    <w:name w:val="明显引用 Char"/>
    <w:link w:val="95"/>
    <w:qFormat/>
    <w:uiPriority w:val="0"/>
    <w:rPr>
      <w:b/>
      <w:bCs/>
      <w:i/>
      <w:iCs/>
      <w:color w:val="4F81BD"/>
    </w:rPr>
  </w:style>
  <w:style w:type="paragraph" w:customStyle="1" w:styleId="95">
    <w:name w:val="明显引用1"/>
    <w:basedOn w:val="1"/>
    <w:next w:val="1"/>
    <w:link w:val="94"/>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96">
    <w:name w:val="标题 5 字符"/>
    <w:link w:val="8"/>
    <w:qFormat/>
    <w:uiPriority w:val="0"/>
    <w:rPr>
      <w:b/>
      <w:bCs/>
      <w:kern w:val="2"/>
      <w:sz w:val="28"/>
      <w:szCs w:val="28"/>
    </w:rPr>
  </w:style>
  <w:style w:type="character" w:customStyle="1" w:styleId="97">
    <w:name w:val="日期 Char1"/>
    <w:qFormat/>
    <w:uiPriority w:val="0"/>
    <w:rPr>
      <w:rFonts w:ascii="Calibri" w:hAnsi="Calibri" w:eastAsia="宋体" w:cs="Times New Roman"/>
    </w:rPr>
  </w:style>
  <w:style w:type="character" w:customStyle="1" w:styleId="98">
    <w:name w:val="批注框文本 Char1"/>
    <w:qFormat/>
    <w:uiPriority w:val="0"/>
    <w:rPr>
      <w:kern w:val="2"/>
      <w:sz w:val="18"/>
      <w:szCs w:val="18"/>
    </w:rPr>
  </w:style>
  <w:style w:type="character" w:customStyle="1" w:styleId="99">
    <w:name w:val="标题 Char1"/>
    <w:qFormat/>
    <w:uiPriority w:val="10"/>
    <w:rPr>
      <w:rFonts w:ascii="Cambria" w:hAnsi="Cambria" w:eastAsia="宋体" w:cs="Times New Roman"/>
      <w:b/>
      <w:bCs/>
      <w:sz w:val="32"/>
      <w:szCs w:val="32"/>
    </w:rPr>
  </w:style>
  <w:style w:type="character" w:customStyle="1" w:styleId="100">
    <w:name w:val="标题 9 字符"/>
    <w:link w:val="12"/>
    <w:qFormat/>
    <w:uiPriority w:val="0"/>
    <w:rPr>
      <w:rFonts w:ascii="Cambria" w:hAnsi="Cambria" w:eastAsia="宋体" w:cs="Times New Roman"/>
      <w:kern w:val="2"/>
      <w:sz w:val="21"/>
      <w:szCs w:val="21"/>
    </w:rPr>
  </w:style>
  <w:style w:type="character" w:customStyle="1" w:styleId="101">
    <w:name w:val="不明显参考1"/>
    <w:qFormat/>
    <w:uiPriority w:val="0"/>
    <w:rPr>
      <w:smallCaps/>
      <w:color w:val="C0504D"/>
      <w:u w:val="single"/>
    </w:rPr>
  </w:style>
  <w:style w:type="character" w:customStyle="1" w:styleId="102">
    <w:name w:val="批注文字 Char1"/>
    <w:qFormat/>
    <w:uiPriority w:val="0"/>
    <w:rPr>
      <w:rFonts w:ascii="Calibri" w:hAnsi="Calibri" w:eastAsia="宋体" w:cs="Times New Roman"/>
    </w:rPr>
  </w:style>
  <w:style w:type="character" w:customStyle="1" w:styleId="103">
    <w:name w:val="标题 Char2"/>
    <w:qFormat/>
    <w:uiPriority w:val="10"/>
    <w:rPr>
      <w:rFonts w:ascii="Cambria" w:hAnsi="Cambria" w:cs="Times New Roman"/>
      <w:b/>
      <w:bCs/>
      <w:kern w:val="2"/>
      <w:sz w:val="32"/>
      <w:szCs w:val="32"/>
    </w:rPr>
  </w:style>
  <w:style w:type="character" w:customStyle="1" w:styleId="104">
    <w:name w:val="正文文本 3 Char1"/>
    <w:semiHidden/>
    <w:qFormat/>
    <w:uiPriority w:val="99"/>
    <w:rPr>
      <w:kern w:val="2"/>
      <w:sz w:val="16"/>
      <w:szCs w:val="16"/>
    </w:rPr>
  </w:style>
  <w:style w:type="character" w:customStyle="1" w:styleId="105">
    <w:name w:val="批注主题 Char2"/>
    <w:qFormat/>
    <w:uiPriority w:val="0"/>
    <w:rPr>
      <w:b/>
      <w:bCs/>
      <w:kern w:val="2"/>
      <w:sz w:val="21"/>
    </w:rPr>
  </w:style>
  <w:style w:type="character" w:customStyle="1" w:styleId="106">
    <w:name w:val="标题 3 字符"/>
    <w:link w:val="6"/>
    <w:qFormat/>
    <w:uiPriority w:val="0"/>
    <w:rPr>
      <w:b/>
      <w:bCs/>
      <w:kern w:val="2"/>
      <w:sz w:val="32"/>
      <w:szCs w:val="32"/>
    </w:rPr>
  </w:style>
  <w:style w:type="character" w:customStyle="1" w:styleId="107">
    <w:name w:val="正文文本 Char_0"/>
    <w:link w:val="108"/>
    <w:qFormat/>
    <w:uiPriority w:val="0"/>
    <w:rPr>
      <w:szCs w:val="24"/>
    </w:rPr>
  </w:style>
  <w:style w:type="paragraph" w:customStyle="1" w:styleId="108">
    <w:name w:val="正文文本_0"/>
    <w:basedOn w:val="67"/>
    <w:link w:val="107"/>
    <w:qFormat/>
    <w:uiPriority w:val="0"/>
    <w:pPr>
      <w:spacing w:after="120"/>
    </w:pPr>
    <w:rPr>
      <w:kern w:val="0"/>
      <w:sz w:val="20"/>
    </w:rPr>
  </w:style>
  <w:style w:type="character" w:customStyle="1" w:styleId="109">
    <w:name w:val="副标题 字符"/>
    <w:link w:val="36"/>
    <w:qFormat/>
    <w:uiPriority w:val="0"/>
    <w:rPr>
      <w:rFonts w:ascii="Cambria" w:hAnsi="Cambria"/>
      <w:b/>
      <w:bCs/>
      <w:kern w:val="28"/>
      <w:sz w:val="32"/>
      <w:szCs w:val="32"/>
    </w:rPr>
  </w:style>
  <w:style w:type="character" w:customStyle="1" w:styleId="110">
    <w:name w:val="bookmark"/>
    <w:basedOn w:val="52"/>
    <w:qFormat/>
    <w:uiPriority w:val="0"/>
  </w:style>
  <w:style w:type="character" w:customStyle="1" w:styleId="111">
    <w:name w:val="标题 5 Char_0"/>
    <w:link w:val="112"/>
    <w:qFormat/>
    <w:uiPriority w:val="0"/>
    <w:rPr>
      <w:rFonts w:ascii="Calibri" w:hAnsi="Calibri"/>
      <w:b/>
      <w:bCs/>
      <w:sz w:val="28"/>
      <w:szCs w:val="28"/>
    </w:rPr>
  </w:style>
  <w:style w:type="paragraph" w:customStyle="1" w:styleId="112">
    <w:name w:val="标题 5_0"/>
    <w:basedOn w:val="67"/>
    <w:next w:val="67"/>
    <w:link w:val="111"/>
    <w:qFormat/>
    <w:uiPriority w:val="0"/>
    <w:pPr>
      <w:keepNext/>
      <w:keepLines/>
      <w:spacing w:before="280" w:after="290" w:line="372" w:lineRule="auto"/>
      <w:outlineLvl w:val="4"/>
    </w:pPr>
    <w:rPr>
      <w:rFonts w:ascii="Calibri" w:hAnsi="Calibri"/>
      <w:b/>
      <w:bCs/>
      <w:kern w:val="0"/>
      <w:sz w:val="28"/>
      <w:szCs w:val="28"/>
    </w:rPr>
  </w:style>
  <w:style w:type="character" w:customStyle="1" w:styleId="113">
    <w:name w:val="正文文本缩进 2 字符"/>
    <w:link w:val="30"/>
    <w:qFormat/>
    <w:uiPriority w:val="99"/>
    <w:rPr>
      <w:rFonts w:ascii="宋体"/>
    </w:rPr>
  </w:style>
  <w:style w:type="character" w:customStyle="1" w:styleId="114">
    <w:name w:val="批注文字 字符"/>
    <w:link w:val="17"/>
    <w:qFormat/>
    <w:uiPriority w:val="99"/>
    <w:rPr>
      <w:kern w:val="2"/>
      <w:sz w:val="21"/>
      <w:szCs w:val="24"/>
    </w:rPr>
  </w:style>
  <w:style w:type="character" w:customStyle="1" w:styleId="115">
    <w:name w:val="font11"/>
    <w:qFormat/>
    <w:uiPriority w:val="0"/>
    <w:rPr>
      <w:rFonts w:hint="eastAsia" w:ascii="宋体" w:hAnsi="宋体" w:eastAsia="宋体" w:cs="宋体"/>
      <w:color w:val="000000"/>
      <w:sz w:val="20"/>
      <w:szCs w:val="20"/>
      <w:u w:val="none"/>
    </w:rPr>
  </w:style>
  <w:style w:type="character" w:customStyle="1" w:styleId="116">
    <w:name w:val="明显参考1"/>
    <w:qFormat/>
    <w:uiPriority w:val="0"/>
    <w:rPr>
      <w:b/>
      <w:bCs/>
      <w:smallCaps/>
      <w:color w:val="C0504D"/>
      <w:spacing w:val="5"/>
      <w:u w:val="single"/>
    </w:rPr>
  </w:style>
  <w:style w:type="character" w:customStyle="1" w:styleId="117">
    <w:name w:val="超链接_0"/>
    <w:qFormat/>
    <w:uiPriority w:val="99"/>
    <w:rPr>
      <w:rFonts w:ascii="Calibri" w:hAnsi="Calibri"/>
      <w:color w:val="0000FF"/>
      <w:u w:val="single"/>
    </w:rPr>
  </w:style>
  <w:style w:type="character" w:customStyle="1" w:styleId="118">
    <w:name w:val="文档结构图 Char2"/>
    <w:semiHidden/>
    <w:qFormat/>
    <w:uiPriority w:val="99"/>
    <w:rPr>
      <w:rFonts w:ascii="宋体" w:hAnsi="Calibri" w:eastAsia="宋体" w:cs="Times New Roman"/>
      <w:sz w:val="18"/>
      <w:szCs w:val="18"/>
    </w:rPr>
  </w:style>
  <w:style w:type="character" w:customStyle="1" w:styleId="119">
    <w:name w:val="textcontents"/>
    <w:qFormat/>
    <w:uiPriority w:val="0"/>
    <w:rPr>
      <w:rFonts w:cs="Times New Roman"/>
    </w:rPr>
  </w:style>
  <w:style w:type="character" w:customStyle="1" w:styleId="120">
    <w:name w:val="标题 1 Char"/>
    <w:qFormat/>
    <w:uiPriority w:val="0"/>
    <w:rPr>
      <w:b/>
      <w:bCs/>
      <w:kern w:val="44"/>
      <w:sz w:val="32"/>
      <w:szCs w:val="44"/>
    </w:rPr>
  </w:style>
  <w:style w:type="character" w:customStyle="1" w:styleId="121">
    <w:name w:val="正文文本 字符"/>
    <w:link w:val="19"/>
    <w:qFormat/>
    <w:uiPriority w:val="0"/>
    <w:rPr>
      <w:rFonts w:eastAsia="幼圆"/>
      <w:b/>
      <w:bCs/>
      <w:kern w:val="2"/>
      <w:sz w:val="44"/>
      <w:szCs w:val="24"/>
    </w:rPr>
  </w:style>
  <w:style w:type="character" w:customStyle="1" w:styleId="122">
    <w:name w:val="标题 8 字符"/>
    <w:link w:val="11"/>
    <w:qFormat/>
    <w:uiPriority w:val="0"/>
    <w:rPr>
      <w:rFonts w:ascii="Cambria" w:hAnsi="Cambria" w:eastAsia="宋体" w:cs="Times New Roman"/>
      <w:kern w:val="2"/>
      <w:sz w:val="24"/>
      <w:szCs w:val="24"/>
    </w:rPr>
  </w:style>
  <w:style w:type="character" w:customStyle="1" w:styleId="123">
    <w:name w:val="副标题 Char1"/>
    <w:qFormat/>
    <w:uiPriority w:val="11"/>
    <w:rPr>
      <w:rFonts w:ascii="Cambria" w:hAnsi="Cambria" w:cs="Times New Roman"/>
      <w:b/>
      <w:bCs/>
      <w:kern w:val="28"/>
      <w:sz w:val="32"/>
      <w:szCs w:val="32"/>
    </w:rPr>
  </w:style>
  <w:style w:type="character" w:customStyle="1" w:styleId="124">
    <w:name w:val="批注主题 字符"/>
    <w:link w:val="47"/>
    <w:qFormat/>
    <w:uiPriority w:val="0"/>
    <w:rPr>
      <w:b/>
      <w:bCs/>
      <w:kern w:val="2"/>
      <w:sz w:val="21"/>
      <w:szCs w:val="24"/>
    </w:rPr>
  </w:style>
  <w:style w:type="character" w:customStyle="1" w:styleId="125">
    <w:name w:val="书籍标题1"/>
    <w:qFormat/>
    <w:uiPriority w:val="0"/>
    <w:rPr>
      <w:b/>
      <w:bCs/>
      <w:smallCaps/>
      <w:spacing w:val="5"/>
    </w:rPr>
  </w:style>
  <w:style w:type="character" w:customStyle="1" w:styleId="126">
    <w:name w:val="页脚 字符"/>
    <w:link w:val="32"/>
    <w:qFormat/>
    <w:uiPriority w:val="99"/>
    <w:rPr>
      <w:kern w:val="2"/>
      <w:sz w:val="18"/>
      <w:szCs w:val="18"/>
    </w:rPr>
  </w:style>
  <w:style w:type="character" w:customStyle="1" w:styleId="127">
    <w:name w:val="标题4 Char Char"/>
    <w:link w:val="128"/>
    <w:qFormat/>
    <w:uiPriority w:val="0"/>
    <w:rPr>
      <w:rFonts w:ascii="Arial" w:hAnsi="Arial"/>
      <w:b/>
      <w:bCs/>
      <w:sz w:val="24"/>
      <w:szCs w:val="32"/>
    </w:rPr>
  </w:style>
  <w:style w:type="paragraph" w:customStyle="1" w:styleId="128">
    <w:name w:val="标题4"/>
    <w:basedOn w:val="4"/>
    <w:next w:val="2"/>
    <w:link w:val="127"/>
    <w:qFormat/>
    <w:uiPriority w:val="0"/>
    <w:pPr>
      <w:numPr>
        <w:ilvl w:val="0"/>
        <w:numId w:val="0"/>
      </w:numPr>
      <w:spacing w:line="413" w:lineRule="auto"/>
    </w:pPr>
    <w:rPr>
      <w:rFonts w:ascii="Arial" w:hAnsi="Arial"/>
      <w:kern w:val="0"/>
      <w:sz w:val="24"/>
    </w:rPr>
  </w:style>
  <w:style w:type="character" w:customStyle="1" w:styleId="129">
    <w:name w:val="正文文本 Char1"/>
    <w:qFormat/>
    <w:uiPriority w:val="0"/>
    <w:rPr>
      <w:rFonts w:ascii="Calibri" w:hAnsi="Calibri" w:eastAsia="宋体" w:cs="Times New Roman"/>
    </w:rPr>
  </w:style>
  <w:style w:type="character" w:customStyle="1" w:styleId="130">
    <w:name w:val="明显引用 Char1"/>
    <w:qFormat/>
    <w:uiPriority w:val="30"/>
    <w:rPr>
      <w:b/>
      <w:bCs/>
      <w:i/>
      <w:iCs/>
      <w:color w:val="4F81BD"/>
      <w:kern w:val="2"/>
      <w:sz w:val="21"/>
    </w:rPr>
  </w:style>
  <w:style w:type="character" w:customStyle="1" w:styleId="131">
    <w:name w:val="页眉 Char1"/>
    <w:semiHidden/>
    <w:qFormat/>
    <w:uiPriority w:val="99"/>
    <w:rPr>
      <w:rFonts w:ascii="Calibri" w:hAnsi="Calibri" w:eastAsia="宋体" w:cs="Times New Roman"/>
      <w:sz w:val="18"/>
      <w:szCs w:val="18"/>
    </w:rPr>
  </w:style>
  <w:style w:type="character" w:customStyle="1" w:styleId="132">
    <w:name w:val="不明显强调1"/>
    <w:qFormat/>
    <w:uiPriority w:val="0"/>
    <w:rPr>
      <w:i/>
      <w:iCs/>
      <w:color w:val="808080"/>
    </w:rPr>
  </w:style>
  <w:style w:type="character" w:customStyle="1" w:styleId="133">
    <w:name w:val="正文文本 3 字符"/>
    <w:link w:val="18"/>
    <w:qFormat/>
    <w:uiPriority w:val="0"/>
    <w:rPr>
      <w:rFonts w:ascii="宋体"/>
      <w:kern w:val="2"/>
      <w:sz w:val="24"/>
    </w:rPr>
  </w:style>
  <w:style w:type="character" w:customStyle="1" w:styleId="134">
    <w:name w:val="正文文本缩进 3 字符"/>
    <w:link w:val="38"/>
    <w:qFormat/>
    <w:uiPriority w:val="0"/>
    <w:rPr>
      <w:kern w:val="2"/>
      <w:sz w:val="16"/>
    </w:rPr>
  </w:style>
  <w:style w:type="character" w:customStyle="1" w:styleId="135">
    <w:name w:val="font21"/>
    <w:qFormat/>
    <w:uiPriority w:val="0"/>
    <w:rPr>
      <w:rFonts w:hint="eastAsia" w:ascii="宋体" w:hAnsi="宋体" w:eastAsia="宋体" w:cs="宋体"/>
      <w:color w:val="000000"/>
      <w:sz w:val="20"/>
      <w:szCs w:val="20"/>
      <w:u w:val="none"/>
    </w:rPr>
  </w:style>
  <w:style w:type="character" w:customStyle="1" w:styleId="136">
    <w:name w:val="批注框文本 字符"/>
    <w:link w:val="31"/>
    <w:qFormat/>
    <w:uiPriority w:val="0"/>
    <w:rPr>
      <w:kern w:val="2"/>
      <w:sz w:val="18"/>
      <w:szCs w:val="18"/>
    </w:rPr>
  </w:style>
  <w:style w:type="character" w:customStyle="1" w:styleId="137">
    <w:name w:val="标题 7 字符"/>
    <w:link w:val="10"/>
    <w:qFormat/>
    <w:uiPriority w:val="0"/>
    <w:rPr>
      <w:b/>
      <w:bCs/>
      <w:kern w:val="2"/>
      <w:sz w:val="24"/>
      <w:szCs w:val="24"/>
    </w:rPr>
  </w:style>
  <w:style w:type="character" w:customStyle="1" w:styleId="138">
    <w:name w:val="标题 1 字符"/>
    <w:link w:val="3"/>
    <w:qFormat/>
    <w:uiPriority w:val="0"/>
    <w:rPr>
      <w:rFonts w:ascii="Times New Roman" w:hAnsi="Times New Roman" w:eastAsia="宋体" w:cs="Times New Roman"/>
      <w:b/>
      <w:bCs/>
      <w:kern w:val="44"/>
      <w:sz w:val="32"/>
      <w:szCs w:val="44"/>
    </w:rPr>
  </w:style>
  <w:style w:type="character" w:customStyle="1" w:styleId="139">
    <w:name w:val="文档结构图 Char1"/>
    <w:qFormat/>
    <w:uiPriority w:val="0"/>
    <w:rPr>
      <w:rFonts w:ascii="宋体" w:hAnsi="Calibri" w:eastAsia="宋体" w:cs="Times New Roman"/>
      <w:sz w:val="18"/>
      <w:szCs w:val="18"/>
    </w:rPr>
  </w:style>
  <w:style w:type="character" w:customStyle="1" w:styleId="140">
    <w:name w:val="标题 2 Char_0"/>
    <w:link w:val="141"/>
    <w:qFormat/>
    <w:uiPriority w:val="0"/>
    <w:rPr>
      <w:rFonts w:ascii="Cambria" w:hAnsi="Cambria"/>
      <w:b/>
      <w:bCs/>
      <w:sz w:val="32"/>
      <w:szCs w:val="32"/>
    </w:rPr>
  </w:style>
  <w:style w:type="paragraph" w:customStyle="1" w:styleId="141">
    <w:name w:val="标题 2_0"/>
    <w:basedOn w:val="67"/>
    <w:next w:val="67"/>
    <w:link w:val="140"/>
    <w:unhideWhenUsed/>
    <w:qFormat/>
    <w:uiPriority w:val="0"/>
    <w:pPr>
      <w:keepNext/>
      <w:keepLines/>
      <w:spacing w:before="260" w:after="260" w:line="416" w:lineRule="auto"/>
      <w:outlineLvl w:val="1"/>
    </w:pPr>
    <w:rPr>
      <w:rFonts w:ascii="Cambria" w:hAnsi="Cambria"/>
      <w:b/>
      <w:bCs/>
      <w:kern w:val="0"/>
      <w:sz w:val="32"/>
      <w:szCs w:val="32"/>
    </w:rPr>
  </w:style>
  <w:style w:type="character" w:customStyle="1" w:styleId="142">
    <w:name w:val="日期 Char2"/>
    <w:semiHidden/>
    <w:qFormat/>
    <w:uiPriority w:val="99"/>
    <w:rPr>
      <w:rFonts w:ascii="Calibri" w:hAnsi="Calibri" w:eastAsia="宋体" w:cs="Times New Roman"/>
    </w:rPr>
  </w:style>
  <w:style w:type="character" w:customStyle="1" w:styleId="143">
    <w:name w:val="批注框文本 Char2"/>
    <w:semiHidden/>
    <w:qFormat/>
    <w:uiPriority w:val="99"/>
    <w:rPr>
      <w:rFonts w:ascii="Calibri" w:hAnsi="Calibri" w:eastAsia="宋体" w:cs="Times New Roman"/>
      <w:sz w:val="18"/>
      <w:szCs w:val="18"/>
    </w:rPr>
  </w:style>
  <w:style w:type="character" w:customStyle="1" w:styleId="144">
    <w:name w:val="标题 4 字符"/>
    <w:link w:val="7"/>
    <w:qFormat/>
    <w:uiPriority w:val="0"/>
    <w:rPr>
      <w:rFonts w:ascii="Cambria" w:hAnsi="Cambria" w:eastAsia="宋体" w:cs="Times New Roman"/>
      <w:b/>
      <w:bCs/>
      <w:kern w:val="2"/>
      <w:sz w:val="28"/>
      <w:szCs w:val="28"/>
    </w:rPr>
  </w:style>
  <w:style w:type="character" w:customStyle="1" w:styleId="145">
    <w:name w:val="列出段落 Char"/>
    <w:link w:val="146"/>
    <w:qFormat/>
    <w:locked/>
    <w:uiPriority w:val="99"/>
    <w:rPr>
      <w:kern w:val="2"/>
      <w:sz w:val="21"/>
      <w:szCs w:val="24"/>
    </w:rPr>
  </w:style>
  <w:style w:type="paragraph" w:customStyle="1" w:styleId="146">
    <w:name w:val="List Paragraph1"/>
    <w:basedOn w:val="1"/>
    <w:link w:val="145"/>
    <w:qFormat/>
    <w:uiPriority w:val="99"/>
    <w:pPr>
      <w:ind w:firstLine="420" w:firstLineChars="200"/>
    </w:pPr>
  </w:style>
  <w:style w:type="paragraph" w:customStyle="1" w:styleId="147">
    <w:name w:val="样式 标题 3 + (中文) 黑体 小四 非加粗 段前: 7.8 磅 段后: 0 磅 行距: 固定值 20 磅"/>
    <w:basedOn w:val="6"/>
    <w:next w:val="1"/>
    <w:qFormat/>
    <w:uiPriority w:val="0"/>
    <w:pPr>
      <w:spacing w:before="0" w:after="0" w:line="400" w:lineRule="exact"/>
    </w:pPr>
    <w:rPr>
      <w:rFonts w:eastAsia="黑体" w:cs="宋体"/>
      <w:b w:val="0"/>
      <w:bCs w:val="0"/>
      <w:sz w:val="24"/>
      <w:szCs w:val="20"/>
    </w:rPr>
  </w:style>
  <w:style w:type="paragraph" w:customStyle="1" w:styleId="148">
    <w:name w:val="_Style 34"/>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9">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0">
    <w:name w:val="_Style 3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1">
    <w:name w:val="空半行"/>
    <w:basedOn w:val="1"/>
    <w:qFormat/>
    <w:uiPriority w:val="0"/>
    <w:pPr>
      <w:adjustRightInd w:val="0"/>
      <w:spacing w:line="120" w:lineRule="exact"/>
      <w:textAlignment w:val="baseline"/>
    </w:pPr>
    <w:rPr>
      <w:rFonts w:ascii="Calibri" w:hAnsi="Calibri" w:eastAsia="仿宋_GB2312"/>
      <w:color w:val="FFFFFF"/>
      <w:kern w:val="0"/>
      <w:sz w:val="30"/>
      <w:szCs w:val="22"/>
    </w:rPr>
  </w:style>
  <w:style w:type="paragraph" w:customStyle="1" w:styleId="152">
    <w:name w:val="1方案格式1"/>
    <w:basedOn w:val="3"/>
    <w:qFormat/>
    <w:uiPriority w:val="0"/>
    <w:pPr>
      <w:numPr>
        <w:numId w:val="2"/>
      </w:numPr>
      <w:tabs>
        <w:tab w:val="left" w:pos="360"/>
      </w:tabs>
      <w:spacing w:beforeLines="50" w:afterLines="50" w:line="360" w:lineRule="auto"/>
      <w:ind w:left="0" w:firstLine="0"/>
    </w:pPr>
    <w:rPr>
      <w:rFonts w:eastAsia="微软雅黑"/>
      <w:bCs w:val="0"/>
      <w:sz w:val="48"/>
    </w:rPr>
  </w:style>
  <w:style w:type="paragraph" w:customStyle="1" w:styleId="153">
    <w:name w:val="格式３"/>
    <w:basedOn w:val="1"/>
    <w:qFormat/>
    <w:uiPriority w:val="0"/>
    <w:pPr>
      <w:spacing w:line="420" w:lineRule="exact"/>
      <w:ind w:left="600" w:hanging="600" w:hangingChars="250"/>
    </w:pPr>
    <w:rPr>
      <w:rFonts w:ascii="宋体" w:hAnsi="宋体"/>
      <w:color w:val="000000"/>
      <w:sz w:val="24"/>
      <w:szCs w:val="20"/>
    </w:rPr>
  </w:style>
  <w:style w:type="paragraph" w:customStyle="1" w:styleId="154">
    <w:name w:val="正文1"/>
    <w:qFormat/>
    <w:uiPriority w:val="0"/>
    <w:pPr>
      <w:widowControl w:val="0"/>
      <w:jc w:val="both"/>
    </w:pPr>
    <w:rPr>
      <w:rFonts w:ascii="Calibri" w:hAnsi="Calibri" w:eastAsia="宋体" w:cs="Times New Roman"/>
      <w:lang w:val="en-US" w:eastAsia="zh-CN" w:bidi="ar-SA"/>
    </w:rPr>
  </w:style>
  <w:style w:type="paragraph" w:customStyle="1" w:styleId="155">
    <w:name w:val="列出段落1"/>
    <w:basedOn w:val="1"/>
    <w:qFormat/>
    <w:uiPriority w:val="99"/>
    <w:pPr>
      <w:widowControl/>
      <w:ind w:left="720"/>
      <w:contextualSpacing/>
      <w:jc w:val="left"/>
    </w:pPr>
    <w:rPr>
      <w:rFonts w:ascii="Arial" w:hAnsi="Arial" w:eastAsia="黑体"/>
      <w:kern w:val="0"/>
      <w:sz w:val="24"/>
      <w:lang w:eastAsia="en-US"/>
    </w:rPr>
  </w:style>
  <w:style w:type="paragraph" w:customStyle="1" w:styleId="156">
    <w:name w:val="正文空2字"/>
    <w:basedOn w:val="1"/>
    <w:qFormat/>
    <w:locked/>
    <w:uiPriority w:val="0"/>
    <w:pPr>
      <w:spacing w:beforeLines="40" w:afterLines="40" w:line="360" w:lineRule="auto"/>
      <w:ind w:firstLine="200" w:firstLineChars="200"/>
    </w:pPr>
    <w:rPr>
      <w:kern w:val="0"/>
      <w:sz w:val="24"/>
      <w:lang w:bidi="en-US"/>
    </w:rPr>
  </w:style>
  <w:style w:type="paragraph" w:customStyle="1" w:styleId="157">
    <w:name w:val="正文_0_0_0"/>
    <w:qFormat/>
    <w:uiPriority w:val="0"/>
    <w:pPr>
      <w:widowControl w:val="0"/>
      <w:jc w:val="both"/>
    </w:pPr>
    <w:rPr>
      <w:rFonts w:ascii="Times New Roman" w:hAnsi="Times New Roman" w:eastAsia="宋体" w:cs="Times New Roman"/>
      <w:lang w:val="en-US" w:eastAsia="zh-CN" w:bidi="ar-SA"/>
    </w:rPr>
  </w:style>
  <w:style w:type="paragraph" w:customStyle="1" w:styleId="158">
    <w:name w:val="目录 5_0"/>
    <w:basedOn w:val="67"/>
    <w:next w:val="67"/>
    <w:qFormat/>
    <w:uiPriority w:val="39"/>
    <w:pPr>
      <w:ind w:left="1680" w:leftChars="800"/>
    </w:pPr>
    <w:rPr>
      <w:rFonts w:ascii="Calibri" w:hAnsi="Calibri"/>
    </w:rPr>
  </w:style>
  <w:style w:type="paragraph" w:customStyle="1" w:styleId="159">
    <w:name w:val="修订1"/>
    <w:qFormat/>
    <w:uiPriority w:val="0"/>
    <w:rPr>
      <w:rFonts w:ascii="Times New Roman" w:hAnsi="Times New Roman" w:eastAsia="宋体" w:cs="Times New Roman"/>
      <w:kern w:val="2"/>
      <w:sz w:val="21"/>
      <w:szCs w:val="24"/>
      <w:lang w:val="en-US" w:eastAsia="zh-CN" w:bidi="ar-SA"/>
    </w:rPr>
  </w:style>
  <w:style w:type="paragraph" w:customStyle="1" w:styleId="160">
    <w:name w:val="标题 11"/>
    <w:basedOn w:val="154"/>
    <w:next w:val="154"/>
    <w:qFormat/>
    <w:uiPriority w:val="0"/>
    <w:pPr>
      <w:keepNext/>
      <w:keepLines/>
      <w:spacing w:before="340" w:after="330" w:line="576" w:lineRule="auto"/>
      <w:outlineLvl w:val="0"/>
    </w:pPr>
    <w:rPr>
      <w:rFonts w:ascii="Times New Roman" w:hAnsi="Times New Roman" w:eastAsia="Times New Roman"/>
      <w:b/>
      <w:kern w:val="44"/>
      <w:sz w:val="44"/>
      <w:lang w:val="zh-CN"/>
    </w:rPr>
  </w:style>
  <w:style w:type="paragraph" w:customStyle="1" w:styleId="161">
    <w:name w:val="正文 + 行距: 固定值 20 磅"/>
    <w:basedOn w:val="1"/>
    <w:qFormat/>
    <w:uiPriority w:val="0"/>
    <w:pPr>
      <w:spacing w:line="400" w:lineRule="exact"/>
      <w:ind w:firstLine="716" w:firstLineChars="341"/>
    </w:pPr>
    <w:rPr>
      <w:rFonts w:ascii="Calibri" w:hAnsi="Calibri"/>
      <w:szCs w:val="22"/>
    </w:rPr>
  </w:style>
  <w:style w:type="paragraph" w:customStyle="1" w:styleId="162">
    <w:name w:val="TOC 标题1"/>
    <w:basedOn w:val="3"/>
    <w:next w:val="1"/>
    <w:qFormat/>
    <w:uiPriority w:val="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63">
    <w:name w:val="表格文字"/>
    <w:basedOn w:val="1"/>
    <w:link w:val="194"/>
    <w:qFormat/>
    <w:uiPriority w:val="0"/>
    <w:pPr>
      <w:adjustRightInd w:val="0"/>
      <w:spacing w:line="420" w:lineRule="atLeast"/>
      <w:jc w:val="left"/>
      <w:textAlignment w:val="baseline"/>
    </w:pPr>
    <w:rPr>
      <w:rFonts w:ascii="Calibri" w:hAnsi="Calibri"/>
      <w:kern w:val="0"/>
      <w:szCs w:val="22"/>
    </w:rPr>
  </w:style>
  <w:style w:type="paragraph" w:customStyle="1" w:styleId="164">
    <w:name w:val="flNote"/>
    <w:basedOn w:val="1"/>
    <w:qFormat/>
    <w:uiPriority w:val="0"/>
    <w:pPr>
      <w:adjustRightInd w:val="0"/>
      <w:spacing w:before="320" w:after="160" w:line="360" w:lineRule="atLeast"/>
      <w:jc w:val="center"/>
      <w:textAlignment w:val="baseline"/>
    </w:pPr>
    <w:rPr>
      <w:rFonts w:ascii="Arial" w:hAnsi="Calibri" w:eastAsia="黑体"/>
      <w:kern w:val="0"/>
      <w:sz w:val="30"/>
      <w:szCs w:val="22"/>
    </w:rPr>
  </w:style>
  <w:style w:type="paragraph" w:customStyle="1" w:styleId="165">
    <w:name w:val="文章正文"/>
    <w:basedOn w:val="1"/>
    <w:qFormat/>
    <w:uiPriority w:val="99"/>
    <w:pPr>
      <w:adjustRightInd w:val="0"/>
      <w:snapToGrid w:val="0"/>
      <w:spacing w:line="360" w:lineRule="auto"/>
      <w:ind w:firstLine="480" w:firstLineChars="200"/>
    </w:pPr>
    <w:rPr>
      <w:rFonts w:ascii="仿宋_GB2312" w:hAnsi="宋体" w:eastAsia="仿宋_GB2312"/>
      <w:color w:val="FF0000"/>
      <w:sz w:val="24"/>
    </w:rPr>
  </w:style>
  <w:style w:type="paragraph" w:customStyle="1" w:styleId="166">
    <w:name w:val="表格"/>
    <w:basedOn w:val="1"/>
    <w:qFormat/>
    <w:uiPriority w:val="0"/>
    <w:pPr>
      <w:jc w:val="center"/>
      <w:textAlignment w:val="center"/>
    </w:pPr>
    <w:rPr>
      <w:rFonts w:ascii="华文细黑" w:hAnsi="华文细黑"/>
      <w:kern w:val="0"/>
      <w:szCs w:val="22"/>
    </w:rPr>
  </w:style>
  <w:style w:type="paragraph" w:customStyle="1" w:styleId="16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9">
    <w:name w:val="列出段落2"/>
    <w:basedOn w:val="1"/>
    <w:qFormat/>
    <w:uiPriority w:val="99"/>
    <w:pPr>
      <w:ind w:firstLine="420" w:firstLineChars="200"/>
    </w:pPr>
  </w:style>
  <w:style w:type="paragraph" w:customStyle="1" w:styleId="170">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Cs w:val="22"/>
    </w:rPr>
  </w:style>
  <w:style w:type="paragraph" w:customStyle="1" w:styleId="171">
    <w:name w:val="Char Char Char Char Char Char Char"/>
    <w:basedOn w:val="1"/>
    <w:qFormat/>
    <w:uiPriority w:val="0"/>
    <w:pPr>
      <w:adjustRightInd w:val="0"/>
      <w:spacing w:line="360" w:lineRule="auto"/>
    </w:pPr>
    <w:rPr>
      <w:kern w:val="0"/>
      <w:sz w:val="24"/>
      <w:szCs w:val="20"/>
    </w:rPr>
  </w:style>
  <w:style w:type="paragraph" w:customStyle="1" w:styleId="172">
    <w:name w:val="2方案格式2"/>
    <w:basedOn w:val="152"/>
    <w:qFormat/>
    <w:uiPriority w:val="0"/>
    <w:pPr>
      <w:numPr>
        <w:ilvl w:val="1"/>
      </w:numPr>
      <w:spacing w:before="50" w:after="50" w:line="240" w:lineRule="auto"/>
      <w:outlineLvl w:val="1"/>
    </w:pPr>
    <w:rPr>
      <w:sz w:val="44"/>
    </w:rPr>
  </w:style>
  <w:style w:type="paragraph" w:customStyle="1" w:styleId="17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4">
    <w:name w:val="文档正文"/>
    <w:basedOn w:val="1"/>
    <w:qFormat/>
    <w:uiPriority w:val="0"/>
    <w:pPr>
      <w:adjustRightInd w:val="0"/>
      <w:spacing w:line="480" w:lineRule="atLeast"/>
      <w:ind w:firstLine="567"/>
      <w:textAlignment w:val="baseline"/>
    </w:pPr>
    <w:rPr>
      <w:rFonts w:ascii="Ari" w:eastAsia="Ari"/>
      <w:kern w:val="0"/>
      <w:sz w:val="28"/>
      <w:szCs w:val="20"/>
    </w:rPr>
  </w:style>
  <w:style w:type="paragraph" w:customStyle="1" w:styleId="175">
    <w:name w:val="t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76">
    <w:name w:val="目录 4_0"/>
    <w:basedOn w:val="67"/>
    <w:next w:val="67"/>
    <w:qFormat/>
    <w:uiPriority w:val="39"/>
    <w:pPr>
      <w:ind w:left="1260" w:leftChars="600"/>
    </w:pPr>
    <w:rPr>
      <w:rFonts w:ascii="Calibri" w:hAnsi="Calibri"/>
    </w:rPr>
  </w:style>
  <w:style w:type="paragraph" w:customStyle="1" w:styleId="177">
    <w:name w:val="目录 3_0"/>
    <w:basedOn w:val="67"/>
    <w:next w:val="67"/>
    <w:qFormat/>
    <w:uiPriority w:val="39"/>
    <w:pPr>
      <w:ind w:left="840" w:leftChars="400"/>
    </w:pPr>
    <w:rPr>
      <w:rFonts w:ascii="Calibri" w:hAnsi="Calibri"/>
    </w:rPr>
  </w:style>
  <w:style w:type="paragraph" w:customStyle="1" w:styleId="178">
    <w:name w:val="样式 标题 1 + 黑体 三号 非加粗 居中 段前: 6 磅 段后: 6 磅 行距: 固定值 20 磅"/>
    <w:basedOn w:val="3"/>
    <w:qFormat/>
    <w:uiPriority w:val="0"/>
    <w:pPr>
      <w:numPr>
        <w:numId w:val="0"/>
      </w:numPr>
      <w:spacing w:before="120" w:after="120" w:line="400" w:lineRule="exact"/>
    </w:pPr>
    <w:rPr>
      <w:rFonts w:ascii="黑体" w:hAnsi="黑体" w:eastAsia="黑体"/>
      <w:b w:val="0"/>
      <w:bCs w:val="0"/>
      <w:szCs w:val="20"/>
    </w:rPr>
  </w:style>
  <w:style w:type="paragraph" w:customStyle="1" w:styleId="179">
    <w:name w:val="1"/>
    <w:basedOn w:val="1"/>
    <w:next w:val="1"/>
    <w:qFormat/>
    <w:uiPriority w:val="0"/>
    <w:rPr>
      <w:rFonts w:ascii="Calibri" w:hAnsi="Calibri"/>
      <w:szCs w:val="22"/>
    </w:rPr>
  </w:style>
  <w:style w:type="paragraph" w:customStyle="1" w:styleId="180">
    <w:name w:val="Blockquote_0"/>
    <w:basedOn w:val="67"/>
    <w:qFormat/>
    <w:uiPriority w:val="0"/>
    <w:pPr>
      <w:autoSpaceDE w:val="0"/>
      <w:autoSpaceDN w:val="0"/>
      <w:adjustRightInd w:val="0"/>
      <w:spacing w:before="100" w:after="100"/>
      <w:ind w:left="360" w:right="360"/>
      <w:jc w:val="left"/>
    </w:pPr>
    <w:rPr>
      <w:rFonts w:ascii="Calibri" w:hAnsi="Calibri" w:eastAsia="Times New Roman"/>
      <w:kern w:val="0"/>
      <w:sz w:val="24"/>
      <w:szCs w:val="20"/>
    </w:rPr>
  </w:style>
  <w:style w:type="paragraph" w:customStyle="1" w:styleId="181">
    <w:name w:val="列出段落11"/>
    <w:basedOn w:val="1"/>
    <w:qFormat/>
    <w:uiPriority w:val="0"/>
    <w:pPr>
      <w:widowControl/>
      <w:ind w:left="720"/>
      <w:contextualSpacing/>
      <w:jc w:val="left"/>
    </w:pPr>
    <w:rPr>
      <w:rFonts w:ascii="Arial" w:hAnsi="Arial" w:eastAsia="黑体"/>
      <w:kern w:val="0"/>
      <w:sz w:val="24"/>
      <w:lang w:eastAsia="en-US"/>
    </w:rPr>
  </w:style>
  <w:style w:type="paragraph" w:customStyle="1" w:styleId="182">
    <w:name w:val="样式 标题 2 + Times New Roman 四号 非加粗 段前: 5 磅 段后: 0 磅 行距: 固定值 20..._0"/>
    <w:basedOn w:val="1"/>
    <w:qFormat/>
    <w:uiPriority w:val="0"/>
    <w:pPr>
      <w:keepNext/>
      <w:keepLines/>
      <w:spacing w:before="100" w:line="360" w:lineRule="auto"/>
      <w:outlineLvl w:val="1"/>
    </w:pPr>
    <w:rPr>
      <w:rFonts w:eastAsia="Times New Roman" w:cs="宋体"/>
      <w:kern w:val="0"/>
      <w:sz w:val="28"/>
      <w:szCs w:val="20"/>
    </w:rPr>
  </w:style>
  <w:style w:type="paragraph" w:customStyle="1" w:styleId="183">
    <w:name w:val="op_mapdots_lef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4">
    <w:name w:val="p0"/>
    <w:basedOn w:val="1"/>
    <w:qFormat/>
    <w:uiPriority w:val="0"/>
    <w:pPr>
      <w:widowControl/>
    </w:pPr>
    <w:rPr>
      <w:b/>
      <w:bCs/>
      <w:kern w:val="0"/>
      <w:sz w:val="24"/>
    </w:rPr>
  </w:style>
  <w:style w:type="paragraph" w:customStyle="1" w:styleId="185">
    <w:name w:val="Blockquote"/>
    <w:basedOn w:val="1"/>
    <w:qFormat/>
    <w:uiPriority w:val="0"/>
    <w:pPr>
      <w:autoSpaceDE w:val="0"/>
      <w:autoSpaceDN w:val="0"/>
      <w:adjustRightInd w:val="0"/>
      <w:spacing w:before="100" w:after="100"/>
      <w:ind w:left="360" w:right="360"/>
      <w:jc w:val="left"/>
    </w:pPr>
    <w:rPr>
      <w:rFonts w:ascii="Calibri" w:hAnsi="Calibri"/>
      <w:kern w:val="0"/>
      <w:sz w:val="24"/>
      <w:szCs w:val="22"/>
    </w:rPr>
  </w:style>
  <w:style w:type="paragraph" w:customStyle="1" w:styleId="186">
    <w:name w:val="3方案格式3"/>
    <w:basedOn w:val="172"/>
    <w:qFormat/>
    <w:uiPriority w:val="0"/>
    <w:pPr>
      <w:numPr>
        <w:ilvl w:val="2"/>
      </w:numPr>
      <w:outlineLvl w:val="2"/>
    </w:pPr>
    <w:rPr>
      <w:sz w:val="32"/>
    </w:rPr>
  </w:style>
  <w:style w:type="paragraph" w:customStyle="1" w:styleId="187">
    <w:name w:val="样式 标题 2 + Times New Roman 四号 非加粗 段前: 5 磅 段后: 0 磅 行距: 固定值 20..."/>
    <w:basedOn w:val="4"/>
    <w:qFormat/>
    <w:uiPriority w:val="0"/>
    <w:pPr>
      <w:numPr>
        <w:ilvl w:val="0"/>
        <w:numId w:val="0"/>
      </w:numPr>
      <w:spacing w:before="100" w:after="0" w:line="400" w:lineRule="exact"/>
    </w:pPr>
    <w:rPr>
      <w:rFonts w:ascii="Times New Roman" w:hAnsi="Times New Roman" w:eastAsia="黑体"/>
      <w:b w:val="0"/>
      <w:bCs w:val="0"/>
      <w:sz w:val="28"/>
      <w:szCs w:val="20"/>
    </w:rPr>
  </w:style>
  <w:style w:type="paragraph" w:customStyle="1" w:styleId="188">
    <w:name w:val="标题2"/>
    <w:basedOn w:val="4"/>
    <w:next w:val="19"/>
    <w:qFormat/>
    <w:uiPriority w:val="0"/>
    <w:pPr>
      <w:spacing w:before="156" w:after="156" w:line="360" w:lineRule="auto"/>
    </w:pPr>
    <w:rPr>
      <w:bCs w:val="0"/>
      <w:sz w:val="24"/>
    </w:rPr>
  </w:style>
  <w:style w:type="paragraph" w:customStyle="1" w:styleId="189">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90">
    <w:name w:val="正文11"/>
    <w:qFormat/>
    <w:uiPriority w:val="0"/>
    <w:rPr>
      <w:rFonts w:ascii="Calibri" w:hAnsi="Calibri" w:eastAsia="宋体" w:cs="Calibri"/>
      <w:sz w:val="24"/>
      <w:szCs w:val="24"/>
      <w:lang w:val="en-US" w:eastAsia="zh-CN" w:bidi="ar-SA"/>
    </w:rPr>
  </w:style>
  <w:style w:type="paragraph" w:customStyle="1" w:styleId="191">
    <w:name w:val="正文2"/>
    <w:qFormat/>
    <w:uiPriority w:val="0"/>
    <w:rPr>
      <w:rFonts w:ascii="Times New Roman" w:hAnsi="Times New Roman" w:eastAsia="微软雅黑" w:cs="Times New Roman"/>
      <w:sz w:val="24"/>
      <w:szCs w:val="24"/>
      <w:lang w:val="en-US" w:eastAsia="zh-CN" w:bidi="ar-SA"/>
    </w:rPr>
  </w:style>
  <w:style w:type="paragraph" w:customStyle="1" w:styleId="192">
    <w:name w:val="列出段落3"/>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193">
    <w:name w:val="纯文本2"/>
    <w:basedOn w:val="1"/>
    <w:qFormat/>
    <w:uiPriority w:val="0"/>
    <w:pPr>
      <w:jc w:val="left"/>
    </w:pPr>
    <w:rPr>
      <w:rFonts w:hint="eastAsia" w:ascii="宋体" w:hAnsi="宋体" w:cs="Courier New"/>
      <w:kern w:val="1"/>
      <w:sz w:val="24"/>
      <w:szCs w:val="20"/>
      <w:lang w:bidi="hi-IN"/>
    </w:rPr>
  </w:style>
  <w:style w:type="character" w:customStyle="1" w:styleId="194">
    <w:name w:val="表格文字 字符"/>
    <w:link w:val="163"/>
    <w:qFormat/>
    <w:uiPriority w:val="0"/>
    <w:rPr>
      <w:rFonts w:ascii="Calibri" w:hAnsi="Calibri" w:eastAsia="宋体" w:cs="Times New Roman"/>
      <w:sz w:val="21"/>
      <w:szCs w:val="22"/>
    </w:rPr>
  </w:style>
  <w:style w:type="paragraph" w:customStyle="1" w:styleId="195">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6">
    <w:name w:val="List Paragraph_a51b13b6-d5a4-47e0-ab8f-95bc84043e19"/>
    <w:basedOn w:val="1"/>
    <w:next w:val="17"/>
    <w:qFormat/>
    <w:uiPriority w:val="99"/>
    <w:pPr>
      <w:ind w:firstLine="420" w:firstLineChars="200"/>
    </w:pPr>
  </w:style>
  <w:style w:type="paragraph" w:customStyle="1" w:styleId="197">
    <w:name w:val="p15"/>
    <w:basedOn w:val="1"/>
    <w:qFormat/>
    <w:uiPriority w:val="0"/>
    <w:pPr>
      <w:widowControl/>
      <w:snapToGrid w:val="0"/>
      <w:jc w:val="left"/>
    </w:pPr>
    <w:rPr>
      <w:rFonts w:ascii="黑体" w:hAnsi="黑体" w:eastAsia="黑体" w:cs="宋体"/>
      <w:color w:val="000000"/>
      <w:kern w:val="0"/>
      <w:sz w:val="24"/>
    </w:rPr>
  </w:style>
  <w:style w:type="table" w:customStyle="1" w:styleId="198">
    <w:name w:val="Table Normal"/>
    <w:semiHidden/>
    <w:unhideWhenUsed/>
    <w:qFormat/>
    <w:uiPriority w:val="2"/>
    <w:rPr>
      <w:rFonts w:asciiTheme="minorHAnsi" w:hAnsiTheme="minorHAnsi" w:eastAsiaTheme="minorEastAsia" w:cstheme="minorBidi"/>
    </w:rPr>
    <w:tblPr>
      <w:tblCellMar>
        <w:top w:w="0" w:type="dxa"/>
        <w:left w:w="0" w:type="dxa"/>
        <w:bottom w:w="0" w:type="dxa"/>
        <w:right w:w="0" w:type="dxa"/>
      </w:tblCellMar>
    </w:tblPr>
  </w:style>
  <w:style w:type="paragraph" w:customStyle="1" w:styleId="199">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200">
    <w:name w:val="正文_9_0"/>
    <w:basedOn w:val="1"/>
    <w:qFormat/>
    <w:uiPriority w:val="0"/>
    <w:rPr>
      <w:szCs w:val="21"/>
    </w:rPr>
  </w:style>
  <w:style w:type="paragraph" w:customStyle="1" w:styleId="201">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02">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203">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204">
    <w:name w:val="首行缩进"/>
    <w:basedOn w:val="1"/>
    <w:qFormat/>
    <w:uiPriority w:val="0"/>
    <w:pPr>
      <w:ind w:firstLine="420"/>
    </w:pPr>
  </w:style>
  <w:style w:type="paragraph" w:customStyle="1" w:styleId="205">
    <w:name w:val="修订6"/>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江苏省设备成套有限公司</Company>
  <Pages>48</Pages>
  <Words>18943</Words>
  <Characters>19965</Characters>
  <Lines>196</Lines>
  <Paragraphs>55</Paragraphs>
  <TotalTime>19</TotalTime>
  <ScaleCrop>false</ScaleCrop>
  <LinksUpToDate>false</LinksUpToDate>
  <CharactersWithSpaces>20173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2025-07-01T06:09:00Z</dcterms:created>
  <dc:creator>Lenovo User</dc:creator>
  <cp:lastModifiedBy>Louise</cp:lastModifiedBy>
  <cp:lastPrinted>2024-08-26T08:27:00Z</cp:lastPrinted>
  <dcterms:modified xsi:type="dcterms:W3CDTF">2025-07-07T08:38:00Z</dcterms:modified>
  <dc:title>公开招标文件</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7D970051A71B4C6C9B00C3FD9EABE2D4_13</vt:lpwstr>
  </property>
  <property fmtid="{D5CDD505-2E9C-101B-9397-08002B2CF9AE}" pid="4" name="KSOTemplateDocerSaveRecord">
    <vt:lpwstr>eyJoZGlkIjoiOWQ2OTY3MmU1ODU3MmUwZjU1YjNjNTNlODYyNTY5NzMiLCJ1c2VySWQiOiIxNjI2MjY0MTYxIn0=</vt:lpwstr>
  </property>
</Properties>
</file>