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A34BD">
      <w:pPr>
        <w:tabs>
          <w:tab w:val="left" w:pos="390"/>
          <w:tab w:val="center" w:pos="4404"/>
        </w:tabs>
        <w:jc w:val="center"/>
        <w:rPr>
          <w:rFonts w:ascii="Times New Roman" w:hAnsi="Times New Roman" w:eastAsia="黑体"/>
          <w:sz w:val="76"/>
          <w:szCs w:val="76"/>
          <w:lang w:eastAsia="zh-CN"/>
        </w:rPr>
      </w:pPr>
    </w:p>
    <w:p w14:paraId="460D36D8">
      <w:pPr>
        <w:tabs>
          <w:tab w:val="left" w:pos="390"/>
          <w:tab w:val="center" w:pos="4404"/>
        </w:tabs>
        <w:jc w:val="center"/>
        <w:rPr>
          <w:rFonts w:ascii="Times New Roman" w:hAnsi="Times New Roman" w:eastAsia="黑体"/>
          <w:sz w:val="76"/>
          <w:szCs w:val="76"/>
          <w:lang w:eastAsia="zh-CN"/>
        </w:rPr>
      </w:pPr>
    </w:p>
    <w:p w14:paraId="33336B79">
      <w:pPr>
        <w:tabs>
          <w:tab w:val="left" w:pos="390"/>
          <w:tab w:val="center" w:pos="4404"/>
        </w:tabs>
        <w:jc w:val="center"/>
        <w:rPr>
          <w:rFonts w:ascii="Times New Roman" w:hAnsi="Times New Roman" w:eastAsia="黑体"/>
          <w:sz w:val="76"/>
          <w:szCs w:val="76"/>
          <w:lang w:eastAsia="zh-CN"/>
        </w:rPr>
      </w:pPr>
    </w:p>
    <w:p w14:paraId="6A1C8523">
      <w:pPr>
        <w:tabs>
          <w:tab w:val="left" w:pos="390"/>
          <w:tab w:val="center" w:pos="4404"/>
        </w:tabs>
        <w:jc w:val="center"/>
        <w:rPr>
          <w:rFonts w:ascii="Times New Roman" w:hAnsi="Times New Roman" w:eastAsia="黑体"/>
          <w:sz w:val="76"/>
          <w:szCs w:val="76"/>
          <w:lang w:eastAsia="zh-CN"/>
        </w:rPr>
      </w:pPr>
      <w:r>
        <w:rPr>
          <w:rFonts w:ascii="Times New Roman" w:hAnsi="Times New Roman" w:eastAsia="黑体"/>
          <w:sz w:val="76"/>
          <w:szCs w:val="76"/>
          <w:lang w:eastAsia="zh-CN"/>
        </w:rPr>
        <w:t>竞争性磋商文件</w:t>
      </w:r>
    </w:p>
    <w:p w14:paraId="38D919E6">
      <w:pPr>
        <w:spacing w:line="360" w:lineRule="auto"/>
        <w:rPr>
          <w:rFonts w:ascii="Times New Roman" w:hAnsi="Times New Roman" w:eastAsia="黑体"/>
          <w:sz w:val="100"/>
          <w:szCs w:val="100"/>
          <w:lang w:eastAsia="zh-CN"/>
        </w:rPr>
      </w:pPr>
    </w:p>
    <w:p w14:paraId="237FC25E">
      <w:pPr>
        <w:pStyle w:val="8"/>
        <w:rPr>
          <w:lang w:eastAsia="zh-CN"/>
        </w:rPr>
      </w:pPr>
    </w:p>
    <w:p w14:paraId="1309CC8B">
      <w:pPr>
        <w:keepNext w:val="0"/>
        <w:keepLines w:val="0"/>
        <w:pageBreakBefore w:val="0"/>
        <w:widowControl/>
        <w:kinsoku/>
        <w:wordWrap/>
        <w:overflowPunct/>
        <w:topLinePunct w:val="0"/>
        <w:autoSpaceDE/>
        <w:autoSpaceDN/>
        <w:bidi w:val="0"/>
        <w:adjustRightInd/>
        <w:snapToGrid/>
        <w:spacing w:before="13" w:line="800" w:lineRule="exact"/>
        <w:ind w:firstLine="1080" w:firstLineChars="300"/>
        <w:jc w:val="both"/>
        <w:textAlignment w:val="auto"/>
        <w:rPr>
          <w:rFonts w:hint="default" w:ascii="宋体" w:hAnsi="宋体" w:cs="宋体"/>
          <w:b w:val="0"/>
          <w:bCs w:val="0"/>
          <w:sz w:val="36"/>
          <w:szCs w:val="36"/>
          <w:lang w:val="en-US" w:eastAsia="zh-CN"/>
        </w:rPr>
      </w:pPr>
      <w:r>
        <w:rPr>
          <w:rFonts w:hint="eastAsia" w:ascii="宋体" w:hAnsi="宋体" w:cs="宋体"/>
          <w:b w:val="0"/>
          <w:bCs w:val="0"/>
          <w:sz w:val="36"/>
          <w:szCs w:val="36"/>
          <w:lang w:val="en-US" w:eastAsia="zh-CN"/>
        </w:rPr>
        <w:t>采购编号：NJACZC-2025-0043</w:t>
      </w:r>
    </w:p>
    <w:p w14:paraId="5FE35767">
      <w:pPr>
        <w:keepNext w:val="0"/>
        <w:keepLines w:val="0"/>
        <w:pageBreakBefore w:val="0"/>
        <w:widowControl/>
        <w:kinsoku/>
        <w:wordWrap/>
        <w:overflowPunct/>
        <w:topLinePunct w:val="0"/>
        <w:autoSpaceDE/>
        <w:autoSpaceDN/>
        <w:bidi w:val="0"/>
        <w:adjustRightInd/>
        <w:snapToGrid/>
        <w:spacing w:before="13" w:line="800" w:lineRule="exact"/>
        <w:ind w:firstLine="1080" w:firstLineChars="300"/>
        <w:jc w:val="both"/>
        <w:textAlignment w:val="auto"/>
        <w:rPr>
          <w:rFonts w:hint="default" w:ascii="宋体" w:hAnsi="宋体" w:cs="宋体"/>
          <w:b w:val="0"/>
          <w:bCs w:val="0"/>
          <w:sz w:val="36"/>
          <w:szCs w:val="36"/>
          <w:lang w:val="en-US" w:eastAsia="zh-CN"/>
        </w:rPr>
      </w:pPr>
      <w:r>
        <w:rPr>
          <w:rFonts w:hint="eastAsia" w:ascii="宋体" w:hAnsi="宋体" w:cs="宋体"/>
          <w:b w:val="0"/>
          <w:bCs w:val="0"/>
          <w:sz w:val="36"/>
          <w:szCs w:val="36"/>
          <w:lang w:val="en-US" w:eastAsia="zh-CN"/>
        </w:rPr>
        <w:t>采购项目：2025年度园区环境质量现状监测项目</w:t>
      </w:r>
    </w:p>
    <w:p w14:paraId="144F598D">
      <w:pPr>
        <w:spacing w:line="360" w:lineRule="auto"/>
        <w:rPr>
          <w:rFonts w:ascii="Times New Roman" w:hAnsi="Times New Roman" w:eastAsia="黑体"/>
          <w:sz w:val="44"/>
          <w:szCs w:val="44"/>
          <w:lang w:eastAsia="zh-CN"/>
        </w:rPr>
      </w:pPr>
    </w:p>
    <w:p w14:paraId="2B51CEBB">
      <w:pPr>
        <w:spacing w:line="360" w:lineRule="auto"/>
        <w:rPr>
          <w:rFonts w:ascii="Times New Roman" w:hAnsi="Times New Roman" w:eastAsia="黑体"/>
          <w:sz w:val="44"/>
          <w:szCs w:val="44"/>
          <w:lang w:eastAsia="zh-CN"/>
        </w:rPr>
      </w:pPr>
    </w:p>
    <w:p w14:paraId="65BC5E75">
      <w:pPr>
        <w:pStyle w:val="8"/>
        <w:rPr>
          <w:rFonts w:ascii="Times New Roman" w:hAnsi="Times New Roman" w:eastAsia="黑体"/>
          <w:sz w:val="44"/>
          <w:szCs w:val="44"/>
          <w:lang w:eastAsia="zh-CN"/>
        </w:rPr>
      </w:pPr>
    </w:p>
    <w:p w14:paraId="2AA29E8B">
      <w:pPr>
        <w:spacing w:before="13" w:line="360" w:lineRule="auto"/>
        <w:rPr>
          <w:rFonts w:ascii="Times New Roman" w:hAnsi="Times New Roman" w:eastAsia="宋体"/>
          <w:sz w:val="36"/>
          <w:szCs w:val="36"/>
          <w:lang w:eastAsia="zh-CN"/>
        </w:rPr>
      </w:pPr>
      <w:bookmarkStart w:id="0" w:name="_Toc221949915"/>
    </w:p>
    <w:p w14:paraId="2EBD3185">
      <w:pPr>
        <w:spacing w:before="13" w:line="360" w:lineRule="auto"/>
        <w:ind w:firstLine="360" w:firstLineChars="100"/>
        <w:jc w:val="center"/>
        <w:rPr>
          <w:rFonts w:hint="eastAsia" w:ascii="Times New Roman" w:hAnsi="Times New Roman" w:eastAsia="宋体"/>
          <w:sz w:val="36"/>
          <w:szCs w:val="36"/>
          <w:lang w:val="en-US" w:eastAsia="zh-CN"/>
        </w:rPr>
      </w:pPr>
      <w:r>
        <w:rPr>
          <w:rFonts w:ascii="Times New Roman" w:hAnsi="Times New Roman" w:eastAsia="宋体"/>
          <w:sz w:val="36"/>
          <w:szCs w:val="36"/>
          <w:lang w:eastAsia="zh-CN"/>
        </w:rPr>
        <w:t>采</w:t>
      </w:r>
      <w:r>
        <w:rPr>
          <w:rFonts w:hint="eastAsia"/>
          <w:sz w:val="36"/>
          <w:szCs w:val="36"/>
          <w:lang w:val="en-US" w:eastAsia="zh-CN"/>
        </w:rPr>
        <w:t xml:space="preserve"> </w:t>
      </w:r>
      <w:r>
        <w:rPr>
          <w:rFonts w:ascii="Times New Roman" w:hAnsi="Times New Roman" w:eastAsia="宋体"/>
          <w:sz w:val="36"/>
          <w:szCs w:val="36"/>
          <w:lang w:eastAsia="zh-CN"/>
        </w:rPr>
        <w:t>购</w:t>
      </w:r>
      <w:r>
        <w:rPr>
          <w:rFonts w:hint="eastAsia"/>
          <w:sz w:val="36"/>
          <w:szCs w:val="36"/>
          <w:lang w:val="en-US" w:eastAsia="zh-CN"/>
        </w:rPr>
        <w:t xml:space="preserve"> </w:t>
      </w:r>
      <w:r>
        <w:rPr>
          <w:rFonts w:hint="eastAsia" w:ascii="Times New Roman" w:hAnsi="Times New Roman" w:eastAsia="宋体"/>
          <w:sz w:val="36"/>
          <w:szCs w:val="36"/>
          <w:lang w:val="en-US" w:eastAsia="zh-CN"/>
        </w:rPr>
        <w:t>人：</w:t>
      </w:r>
      <w:bookmarkEnd w:id="0"/>
      <w:r>
        <w:rPr>
          <w:rFonts w:hint="eastAsia" w:ascii="Times New Roman" w:hAnsi="Times New Roman" w:eastAsia="宋体"/>
          <w:sz w:val="36"/>
          <w:szCs w:val="36"/>
          <w:lang w:val="en-US" w:eastAsia="zh-CN"/>
        </w:rPr>
        <w:t>江苏高淳经济开发区管理委员会</w:t>
      </w:r>
    </w:p>
    <w:p w14:paraId="3D934DEB">
      <w:pPr>
        <w:autoSpaceDE w:val="0"/>
        <w:autoSpaceDN w:val="0"/>
        <w:adjustRightInd w:val="0"/>
        <w:spacing w:line="360" w:lineRule="auto"/>
        <w:jc w:val="center"/>
        <w:rPr>
          <w:rFonts w:hint="eastAsia" w:ascii="Times New Roman" w:hAnsi="Times New Roman" w:eastAsia="宋体" w:cs="Times New Roman"/>
          <w:sz w:val="36"/>
          <w:szCs w:val="36"/>
          <w:lang w:val="en-US" w:eastAsia="zh-CN"/>
        </w:rPr>
      </w:pPr>
      <w:r>
        <w:rPr>
          <w:rFonts w:ascii="Times New Roman" w:hAnsi="Times New Roman" w:eastAsia="宋体"/>
          <w:sz w:val="36"/>
          <w:szCs w:val="36"/>
          <w:lang w:eastAsia="zh-CN"/>
        </w:rPr>
        <w:t>采购代理机构：</w:t>
      </w:r>
      <w:r>
        <w:rPr>
          <w:rFonts w:hint="eastAsia" w:ascii="Times New Roman" w:hAnsi="Times New Roman" w:eastAsia="宋体"/>
          <w:sz w:val="36"/>
          <w:szCs w:val="36"/>
          <w:lang w:eastAsia="zh-CN"/>
        </w:rPr>
        <w:t>南京</w:t>
      </w:r>
      <w:r>
        <w:rPr>
          <w:rFonts w:hint="eastAsia" w:ascii="Times New Roman" w:hAnsi="Times New Roman" w:eastAsia="宋体"/>
          <w:sz w:val="36"/>
          <w:szCs w:val="36"/>
          <w:lang w:val="en-US" w:eastAsia="zh-CN"/>
        </w:rPr>
        <w:t>爱诚工程项目咨询管</w:t>
      </w:r>
      <w:r>
        <w:rPr>
          <w:rFonts w:hint="eastAsia" w:ascii="Times New Roman" w:hAnsi="Times New Roman" w:eastAsia="宋体" w:cs="Times New Roman"/>
          <w:sz w:val="36"/>
          <w:szCs w:val="36"/>
          <w:lang w:val="en-US" w:eastAsia="zh-CN"/>
        </w:rPr>
        <w:t>理有限公司</w:t>
      </w:r>
    </w:p>
    <w:p w14:paraId="5013C847">
      <w:pPr>
        <w:autoSpaceDE w:val="0"/>
        <w:autoSpaceDN w:val="0"/>
        <w:adjustRightInd w:val="0"/>
        <w:spacing w:line="360" w:lineRule="auto"/>
        <w:jc w:val="center"/>
        <w:rPr>
          <w:rFonts w:hint="eastAsia" w:ascii="Times New Roman" w:hAnsi="Times New Roman" w:eastAsia="宋体" w:cs="Times New Roman"/>
          <w:sz w:val="36"/>
          <w:szCs w:val="36"/>
          <w:lang w:val="en-US" w:eastAsia="zh-CN"/>
        </w:rPr>
        <w:sectPr>
          <w:headerReference r:id="rId4" w:type="first"/>
          <w:footerReference r:id="rId6" w:type="first"/>
          <w:headerReference r:id="rId3" w:type="default"/>
          <w:footerReference r:id="rId5" w:type="default"/>
          <w:pgSz w:w="11906" w:h="16838"/>
          <w:pgMar w:top="1418" w:right="1418" w:bottom="1418" w:left="1418" w:header="851" w:footer="680" w:gutter="0"/>
          <w:pgNumType w:start="1"/>
          <w:cols w:space="720" w:num="1"/>
          <w:titlePg/>
          <w:docGrid w:linePitch="290" w:charSpace="0"/>
        </w:sectPr>
      </w:pPr>
      <w:r>
        <w:rPr>
          <w:rFonts w:hint="eastAsia" w:ascii="Times New Roman" w:hAnsi="Times New Roman" w:eastAsia="宋体" w:cs="Times New Roman"/>
          <w:sz w:val="36"/>
          <w:szCs w:val="36"/>
          <w:lang w:val="en-US" w:eastAsia="zh-CN"/>
        </w:rPr>
        <w:t>二〇二</w:t>
      </w:r>
      <w:r>
        <w:rPr>
          <w:rFonts w:hint="eastAsia" w:cs="Times New Roman"/>
          <w:sz w:val="36"/>
          <w:szCs w:val="36"/>
          <w:lang w:val="en-US" w:eastAsia="zh-CN"/>
        </w:rPr>
        <w:t>五</w:t>
      </w:r>
      <w:r>
        <w:rPr>
          <w:rFonts w:hint="eastAsia" w:ascii="Times New Roman" w:hAnsi="Times New Roman" w:eastAsia="宋体" w:cs="Times New Roman"/>
          <w:sz w:val="36"/>
          <w:szCs w:val="36"/>
          <w:lang w:val="en-US" w:eastAsia="zh-CN"/>
        </w:rPr>
        <w:t>年</w:t>
      </w:r>
      <w:r>
        <w:rPr>
          <w:rFonts w:hint="eastAsia" w:cs="Times New Roman"/>
          <w:sz w:val="36"/>
          <w:szCs w:val="36"/>
          <w:lang w:val="en-US" w:eastAsia="zh-CN"/>
        </w:rPr>
        <w:t>六</w:t>
      </w:r>
      <w:r>
        <w:rPr>
          <w:rFonts w:hint="eastAsia" w:ascii="Times New Roman" w:hAnsi="Times New Roman" w:eastAsia="宋体" w:cs="Times New Roman"/>
          <w:sz w:val="36"/>
          <w:szCs w:val="36"/>
          <w:lang w:val="en-US" w:eastAsia="zh-CN"/>
        </w:rPr>
        <w:t>月</w:t>
      </w:r>
    </w:p>
    <w:p w14:paraId="20B737F4">
      <w:pPr>
        <w:pStyle w:val="8"/>
        <w:spacing w:before="9" w:line="360" w:lineRule="auto"/>
        <w:ind w:left="136" w:right="266" w:firstLine="420"/>
        <w:jc w:val="center"/>
        <w:outlineLvl w:val="0"/>
        <w:rPr>
          <w:rFonts w:hint="eastAsia" w:cs="宋体"/>
          <w:b/>
          <w:bCs/>
          <w:spacing w:val="-2"/>
          <w:lang w:eastAsia="zh-CN"/>
        </w:rPr>
      </w:pPr>
      <w:r>
        <w:rPr>
          <w:rFonts w:hint="eastAsia" w:cs="宋体"/>
          <w:b/>
          <w:bCs/>
          <w:color w:val="000000"/>
          <w:sz w:val="36"/>
          <w:szCs w:val="36"/>
          <w:lang w:val="zh-CN" w:eastAsia="zh-CN"/>
        </w:rPr>
        <w:t>第一章</w:t>
      </w:r>
      <w:r>
        <w:rPr>
          <w:rFonts w:hint="eastAsia" w:cs="宋体"/>
          <w:b/>
          <w:bCs/>
          <w:color w:val="000000"/>
          <w:sz w:val="36"/>
          <w:szCs w:val="36"/>
          <w:lang w:val="en-US" w:eastAsia="zh-CN"/>
        </w:rPr>
        <w:t xml:space="preserve">  </w:t>
      </w:r>
      <w:r>
        <w:rPr>
          <w:rFonts w:hint="eastAsia" w:cs="宋体"/>
          <w:b/>
          <w:bCs/>
          <w:color w:val="000000"/>
          <w:sz w:val="36"/>
          <w:szCs w:val="36"/>
          <w:lang w:val="zh-CN" w:eastAsia="zh-CN"/>
        </w:rPr>
        <w:t>竞争性磋商公告</w:t>
      </w:r>
    </w:p>
    <w:p w14:paraId="339EE3E4">
      <w:pPr>
        <w:pStyle w:val="17"/>
        <w:keepNext w:val="0"/>
        <w:keepLines w:val="0"/>
        <w:pageBreakBefore w:val="0"/>
        <w:widowControl/>
        <w:kinsoku/>
        <w:wordWrap/>
        <w:overflowPunct/>
        <w:topLinePunct w:val="0"/>
        <w:bidi w:val="0"/>
        <w:spacing w:line="336" w:lineRule="auto"/>
        <w:ind w:left="0" w:leftChars="0" w:firstLine="0" w:firstLineChars="0"/>
        <w:textAlignment w:val="auto"/>
        <w:rPr>
          <w:rFonts w:hint="eastAsia" w:ascii="宋体" w:hAnsi="宋体" w:eastAsia="宋体" w:cs="宋体"/>
          <w:b/>
          <w:color w:val="000000"/>
          <w:sz w:val="21"/>
          <w:szCs w:val="21"/>
          <w:lang w:val="zh-CN" w:eastAsia="zh-CN" w:bidi="ar-SA"/>
        </w:rPr>
      </w:pPr>
      <w:r>
        <w:rPr>
          <w:rFonts w:hint="eastAsia" w:ascii="宋体" w:hAnsi="宋体" w:eastAsia="宋体" w:cs="宋体"/>
          <w:b/>
          <w:color w:val="000000"/>
          <w:sz w:val="21"/>
          <w:szCs w:val="21"/>
          <w:lang w:val="zh-CN" w:eastAsia="zh-CN" w:bidi="ar-SA"/>
        </w:rPr>
        <w:t>项目概况</w:t>
      </w:r>
    </w:p>
    <w:p w14:paraId="3B16A463">
      <w:pPr>
        <w:pStyle w:val="17"/>
        <w:keepNext w:val="0"/>
        <w:keepLines w:val="0"/>
        <w:pageBreakBefore w:val="0"/>
        <w:widowControl/>
        <w:kinsoku/>
        <w:wordWrap/>
        <w:overflowPunct/>
        <w:topLinePunct w:val="0"/>
        <w:bidi w:val="0"/>
        <w:snapToGrid/>
        <w:spacing w:line="336" w:lineRule="auto"/>
        <w:ind w:firstLine="420" w:firstLineChars="200"/>
        <w:textAlignment w:val="auto"/>
        <w:rPr>
          <w:rFonts w:hint="eastAsia" w:ascii="宋体" w:hAnsi="宋体" w:eastAsia="宋体" w:cs="宋体"/>
          <w:b/>
          <w:color w:val="000000"/>
          <w:sz w:val="21"/>
          <w:szCs w:val="21"/>
          <w:lang w:val="zh-CN" w:eastAsia="zh-CN"/>
        </w:rPr>
      </w:pPr>
      <w:r>
        <w:rPr>
          <w:rFonts w:hint="eastAsia" w:ascii="宋体" w:hAnsi="宋体" w:eastAsia="宋体" w:cs="宋体"/>
          <w:b w:val="0"/>
          <w:bCs/>
          <w:color w:val="000000"/>
          <w:sz w:val="21"/>
          <w:szCs w:val="21"/>
          <w:u w:val="single"/>
          <w:lang w:val="en-US" w:eastAsia="zh-CN"/>
        </w:rPr>
        <w:t>2025年度园区环境质量现状监测项目</w:t>
      </w:r>
      <w:r>
        <w:rPr>
          <w:rFonts w:hint="eastAsia" w:ascii="宋体" w:hAnsi="宋体" w:eastAsia="宋体" w:cs="宋体"/>
          <w:b w:val="0"/>
          <w:bCs/>
          <w:color w:val="000000"/>
          <w:sz w:val="21"/>
          <w:szCs w:val="21"/>
          <w:lang w:val="zh-CN" w:eastAsia="zh-CN"/>
        </w:rPr>
        <w:t>采购项目的潜在供应商应在</w:t>
      </w:r>
      <w:r>
        <w:rPr>
          <w:rFonts w:hint="eastAsia" w:ascii="宋体" w:hAnsi="宋体" w:eastAsia="宋体" w:cs="宋体"/>
          <w:b w:val="0"/>
          <w:bCs/>
          <w:color w:val="000000"/>
          <w:sz w:val="21"/>
          <w:szCs w:val="21"/>
          <w:u w:val="single"/>
          <w:lang w:val="zh-CN" w:eastAsia="zh-CN"/>
        </w:rPr>
        <w:t>南京市高淳区淳溪街道丹阳湖北路111号13栋3楼</w:t>
      </w:r>
      <w:r>
        <w:rPr>
          <w:rFonts w:hint="eastAsia" w:ascii="宋体" w:hAnsi="宋体" w:eastAsia="宋体" w:cs="宋体"/>
          <w:b w:val="0"/>
          <w:bCs/>
          <w:color w:val="000000"/>
          <w:sz w:val="21"/>
          <w:szCs w:val="21"/>
          <w:lang w:val="zh-CN" w:eastAsia="zh-CN"/>
        </w:rPr>
        <w:t>获取采购文件，并于</w:t>
      </w:r>
      <w:r>
        <w:rPr>
          <w:rFonts w:hint="eastAsia" w:ascii="宋体" w:hAnsi="宋体" w:eastAsia="宋体" w:cs="宋体"/>
          <w:b w:val="0"/>
          <w:bCs/>
          <w:color w:val="000000"/>
          <w:sz w:val="21"/>
          <w:szCs w:val="21"/>
          <w:u w:val="single"/>
          <w:lang w:val="zh-CN" w:eastAsia="zh-CN"/>
        </w:rPr>
        <w:t>202</w:t>
      </w:r>
      <w:r>
        <w:rPr>
          <w:rFonts w:hint="eastAsia" w:ascii="宋体" w:hAnsi="宋体" w:eastAsia="宋体" w:cs="宋体"/>
          <w:b w:val="0"/>
          <w:bCs/>
          <w:color w:val="000000"/>
          <w:sz w:val="21"/>
          <w:szCs w:val="21"/>
          <w:u w:val="single"/>
          <w:lang w:val="en-US" w:eastAsia="zh-CN"/>
        </w:rPr>
        <w:t>5</w:t>
      </w:r>
      <w:r>
        <w:rPr>
          <w:rFonts w:hint="eastAsia" w:ascii="宋体" w:hAnsi="宋体" w:eastAsia="宋体" w:cs="宋体"/>
          <w:b w:val="0"/>
          <w:bCs/>
          <w:color w:val="000000"/>
          <w:sz w:val="21"/>
          <w:szCs w:val="21"/>
          <w:u w:val="single"/>
          <w:lang w:val="zh-CN" w:eastAsia="zh-CN"/>
        </w:rPr>
        <w:t>年</w:t>
      </w:r>
      <w:r>
        <w:rPr>
          <w:rFonts w:hint="eastAsia" w:ascii="宋体" w:hAnsi="宋体" w:eastAsia="宋体" w:cs="宋体"/>
          <w:b w:val="0"/>
          <w:bCs/>
          <w:color w:val="000000"/>
          <w:sz w:val="21"/>
          <w:szCs w:val="21"/>
          <w:u w:val="single"/>
          <w:lang w:val="en-US" w:eastAsia="zh-CN"/>
        </w:rPr>
        <w:t>7</w:t>
      </w:r>
      <w:r>
        <w:rPr>
          <w:rFonts w:hint="eastAsia" w:ascii="宋体" w:hAnsi="宋体" w:eastAsia="宋体" w:cs="宋体"/>
          <w:b w:val="0"/>
          <w:bCs/>
          <w:color w:val="000000"/>
          <w:sz w:val="21"/>
          <w:szCs w:val="21"/>
          <w:u w:val="single"/>
          <w:lang w:val="zh-CN" w:eastAsia="zh-CN"/>
        </w:rPr>
        <w:t>月</w:t>
      </w:r>
      <w:r>
        <w:rPr>
          <w:rFonts w:hint="eastAsia" w:ascii="宋体" w:hAnsi="宋体" w:cs="宋体"/>
          <w:b w:val="0"/>
          <w:bCs/>
          <w:color w:val="000000"/>
          <w:sz w:val="21"/>
          <w:szCs w:val="21"/>
          <w:u w:val="single"/>
          <w:lang w:val="en-US" w:eastAsia="zh-CN"/>
        </w:rPr>
        <w:t>7</w:t>
      </w:r>
      <w:r>
        <w:rPr>
          <w:rFonts w:hint="eastAsia" w:ascii="宋体" w:hAnsi="宋体" w:eastAsia="宋体" w:cs="宋体"/>
          <w:b w:val="0"/>
          <w:bCs/>
          <w:color w:val="000000"/>
          <w:sz w:val="21"/>
          <w:szCs w:val="21"/>
          <w:u w:val="single"/>
          <w:lang w:val="zh-CN" w:eastAsia="zh-CN"/>
        </w:rPr>
        <w:t>日</w:t>
      </w:r>
      <w:r>
        <w:rPr>
          <w:rFonts w:hint="eastAsia" w:ascii="宋体" w:hAnsi="宋体" w:eastAsia="宋体" w:cs="宋体"/>
          <w:b w:val="0"/>
          <w:bCs/>
          <w:color w:val="000000"/>
          <w:sz w:val="21"/>
          <w:szCs w:val="21"/>
          <w:u w:val="single"/>
          <w:lang w:val="en-US" w:eastAsia="zh-CN"/>
        </w:rPr>
        <w:t>14</w:t>
      </w:r>
      <w:r>
        <w:rPr>
          <w:rFonts w:hint="eastAsia" w:ascii="宋体" w:hAnsi="宋体" w:eastAsia="宋体" w:cs="宋体"/>
          <w:b w:val="0"/>
          <w:bCs/>
          <w:color w:val="000000"/>
          <w:sz w:val="21"/>
          <w:szCs w:val="21"/>
          <w:u w:val="single"/>
          <w:lang w:val="zh-CN" w:eastAsia="zh-CN"/>
        </w:rPr>
        <w:t>时</w:t>
      </w:r>
      <w:r>
        <w:rPr>
          <w:rFonts w:hint="eastAsia" w:ascii="宋体" w:hAnsi="宋体" w:eastAsia="宋体" w:cs="宋体"/>
          <w:b w:val="0"/>
          <w:bCs/>
          <w:color w:val="000000"/>
          <w:sz w:val="21"/>
          <w:szCs w:val="21"/>
          <w:u w:val="single"/>
          <w:lang w:val="en-US" w:eastAsia="zh-CN"/>
        </w:rPr>
        <w:t>00</w:t>
      </w:r>
      <w:r>
        <w:rPr>
          <w:rFonts w:hint="eastAsia" w:ascii="宋体" w:hAnsi="宋体" w:eastAsia="宋体" w:cs="宋体"/>
          <w:b w:val="0"/>
          <w:bCs/>
          <w:color w:val="000000"/>
          <w:sz w:val="21"/>
          <w:szCs w:val="21"/>
          <w:u w:val="single"/>
          <w:lang w:val="zh-CN" w:eastAsia="zh-CN"/>
        </w:rPr>
        <w:t>分</w:t>
      </w:r>
      <w:r>
        <w:rPr>
          <w:rFonts w:hint="eastAsia" w:ascii="宋体" w:hAnsi="宋体" w:eastAsia="宋体" w:cs="宋体"/>
          <w:b w:val="0"/>
          <w:bCs/>
          <w:color w:val="000000"/>
          <w:sz w:val="21"/>
          <w:szCs w:val="21"/>
          <w:lang w:val="zh-CN" w:eastAsia="zh-CN"/>
        </w:rPr>
        <w:t>（北京时间）前提交响应文件。</w:t>
      </w:r>
    </w:p>
    <w:p w14:paraId="75DC63E4">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textAlignment w:val="auto"/>
        <w:outlineLvl w:val="1"/>
        <w:rPr>
          <w:rFonts w:hint="eastAsia" w:ascii="宋体" w:hAnsi="宋体" w:eastAsia="宋体" w:cs="宋体"/>
          <w:b/>
          <w:color w:val="000000"/>
          <w:sz w:val="21"/>
          <w:szCs w:val="21"/>
          <w:lang w:val="zh-CN" w:eastAsia="zh-CN"/>
        </w:rPr>
      </w:pPr>
      <w:r>
        <w:rPr>
          <w:rFonts w:hint="eastAsia" w:ascii="宋体" w:hAnsi="宋体" w:eastAsia="宋体" w:cs="宋体"/>
          <w:b/>
          <w:color w:val="000000"/>
          <w:sz w:val="21"/>
          <w:szCs w:val="21"/>
          <w:lang w:val="zh-CN" w:eastAsia="zh-CN"/>
        </w:rPr>
        <w:t>一、</w:t>
      </w:r>
      <w:r>
        <w:rPr>
          <w:rFonts w:hint="eastAsia" w:ascii="宋体" w:hAnsi="宋体" w:eastAsia="宋体" w:cs="宋体"/>
          <w:b/>
          <w:color w:val="000000"/>
          <w:sz w:val="21"/>
          <w:szCs w:val="21"/>
          <w:lang w:eastAsia="zh-CN"/>
        </w:rPr>
        <w:t>项目基本情况：</w:t>
      </w:r>
    </w:p>
    <w:p w14:paraId="778938DA">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color w:val="000000"/>
          <w:sz w:val="21"/>
          <w:szCs w:val="21"/>
          <w:lang w:eastAsia="zh-CN"/>
        </w:rPr>
        <w:t>项目编</w:t>
      </w:r>
      <w:r>
        <w:rPr>
          <w:rFonts w:hint="eastAsia" w:ascii="宋体" w:hAnsi="宋体" w:eastAsia="宋体" w:cs="宋体"/>
          <w:b/>
          <w:color w:val="000000"/>
          <w:sz w:val="21"/>
          <w:szCs w:val="21"/>
          <w:lang w:val="en-US" w:eastAsia="zh-CN"/>
        </w:rPr>
        <w:t>号：</w:t>
      </w:r>
      <w:r>
        <w:rPr>
          <w:rFonts w:hint="eastAsia" w:ascii="宋体" w:hAnsi="宋体" w:eastAsia="宋体" w:cs="宋体"/>
          <w:color w:val="000000"/>
          <w:sz w:val="21"/>
          <w:szCs w:val="21"/>
          <w:lang w:val="en-US" w:eastAsia="zh-CN"/>
        </w:rPr>
        <w:t>NJACZC-2025-0043</w:t>
      </w:r>
    </w:p>
    <w:p w14:paraId="0D5AC0E6">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firstLine="422"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b/>
          <w:color w:val="000000"/>
          <w:sz w:val="21"/>
          <w:szCs w:val="21"/>
          <w:lang w:eastAsia="zh-CN"/>
        </w:rPr>
        <w:t>项目名称：</w:t>
      </w:r>
      <w:r>
        <w:rPr>
          <w:rFonts w:hint="eastAsia" w:ascii="宋体" w:hAnsi="宋体" w:eastAsia="宋体" w:cs="宋体"/>
          <w:color w:val="000000"/>
          <w:sz w:val="21"/>
          <w:szCs w:val="21"/>
          <w:lang w:val="en-US" w:eastAsia="zh-CN"/>
        </w:rPr>
        <w:t>2025年度园区环境质量现状监测项目</w:t>
      </w:r>
    </w:p>
    <w:p w14:paraId="29982EE8">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firstLine="422"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b/>
          <w:color w:val="auto"/>
          <w:sz w:val="21"/>
          <w:szCs w:val="21"/>
          <w:lang w:eastAsia="zh-CN"/>
        </w:rPr>
        <w:t>采购方式：</w:t>
      </w:r>
      <w:r>
        <w:rPr>
          <w:rFonts w:hint="eastAsia" w:ascii="宋体" w:hAnsi="宋体" w:eastAsia="宋体" w:cs="宋体"/>
          <w:color w:val="auto"/>
          <w:sz w:val="21"/>
          <w:szCs w:val="21"/>
          <w:lang w:val="zh-CN" w:eastAsia="zh-CN"/>
        </w:rPr>
        <w:t xml:space="preserve">竞争性磋商 </w:t>
      </w:r>
    </w:p>
    <w:p w14:paraId="2AD7DF9E">
      <w:pPr>
        <w:keepNext w:val="0"/>
        <w:keepLines w:val="0"/>
        <w:pageBreakBefore w:val="0"/>
        <w:widowControl/>
        <w:tabs>
          <w:tab w:val="left" w:pos="7005"/>
        </w:tabs>
        <w:kinsoku/>
        <w:wordWrap/>
        <w:overflowPunct/>
        <w:topLinePunct w:val="0"/>
        <w:autoSpaceDE w:val="0"/>
        <w:autoSpaceDN w:val="0"/>
        <w:bidi w:val="0"/>
        <w:adjustRightInd w:val="0"/>
        <w:spacing w:line="336" w:lineRule="auto"/>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项目预算：</w:t>
      </w:r>
      <w:r>
        <w:rPr>
          <w:rFonts w:hint="eastAsia" w:ascii="宋体" w:hAnsi="宋体" w:eastAsia="宋体" w:cs="宋体"/>
          <w:color w:val="auto"/>
          <w:sz w:val="21"/>
          <w:szCs w:val="21"/>
          <w:lang w:val="en-US" w:eastAsia="zh-CN"/>
        </w:rPr>
        <w:t>262000元</w:t>
      </w:r>
    </w:p>
    <w:p w14:paraId="15C30538">
      <w:pPr>
        <w:keepNext w:val="0"/>
        <w:keepLines w:val="0"/>
        <w:pageBreakBefore w:val="0"/>
        <w:widowControl/>
        <w:tabs>
          <w:tab w:val="left" w:pos="7005"/>
        </w:tabs>
        <w:kinsoku/>
        <w:wordWrap/>
        <w:overflowPunct/>
        <w:topLinePunct w:val="0"/>
        <w:autoSpaceDE w:val="0"/>
        <w:autoSpaceDN w:val="0"/>
        <w:bidi w:val="0"/>
        <w:adjustRightInd w:val="0"/>
        <w:spacing w:line="336" w:lineRule="auto"/>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eastAsia="zh-CN"/>
        </w:rPr>
        <w:t>最高限价：</w:t>
      </w:r>
      <w:r>
        <w:rPr>
          <w:rFonts w:hint="eastAsia" w:ascii="宋体" w:hAnsi="宋体" w:eastAsia="宋体" w:cs="宋体"/>
          <w:color w:val="auto"/>
          <w:sz w:val="21"/>
          <w:szCs w:val="21"/>
          <w:lang w:val="en-US" w:eastAsia="zh-CN"/>
        </w:rPr>
        <w:t>262000元</w:t>
      </w:r>
    </w:p>
    <w:p w14:paraId="55E8B105">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firstLine="422" w:firstLineChars="200"/>
        <w:textAlignment w:val="auto"/>
        <w:rPr>
          <w:rFonts w:hint="default" w:ascii="宋体" w:hAnsi="宋体" w:eastAsia="宋体" w:cs="宋体"/>
          <w:color w:val="000000"/>
          <w:sz w:val="21"/>
          <w:szCs w:val="21"/>
          <w:lang w:val="en-US" w:eastAsia="zh-CN"/>
        </w:rPr>
      </w:pPr>
      <w:r>
        <w:rPr>
          <w:rFonts w:hint="eastAsia" w:ascii="宋体" w:hAnsi="宋体" w:eastAsia="宋体" w:cs="宋体"/>
          <w:b/>
          <w:color w:val="auto"/>
          <w:sz w:val="21"/>
          <w:szCs w:val="21"/>
          <w:lang w:val="zh-CN" w:eastAsia="zh-CN"/>
        </w:rPr>
        <w:t>采购需求：</w:t>
      </w:r>
      <w:r>
        <w:rPr>
          <w:rFonts w:hint="eastAsia" w:ascii="宋体" w:hAnsi="宋体" w:eastAsia="宋体" w:cs="宋体"/>
          <w:color w:val="000000"/>
          <w:sz w:val="21"/>
          <w:szCs w:val="21"/>
          <w:lang w:val="en-US" w:eastAsia="zh-CN"/>
        </w:rPr>
        <w:t>详见</w:t>
      </w:r>
      <w:r>
        <w:rPr>
          <w:rFonts w:hint="eastAsia" w:ascii="宋体" w:hAnsi="宋体" w:cs="宋体"/>
          <w:color w:val="000000"/>
          <w:sz w:val="21"/>
          <w:szCs w:val="21"/>
          <w:lang w:val="en-US" w:eastAsia="zh-CN"/>
        </w:rPr>
        <w:t>竞争性磋商文件</w:t>
      </w:r>
    </w:p>
    <w:p w14:paraId="03D07D61">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firstLine="422"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zh-CN" w:eastAsia="zh-CN"/>
        </w:rPr>
        <w:t>合</w:t>
      </w:r>
      <w:r>
        <w:rPr>
          <w:rFonts w:hint="eastAsia" w:ascii="宋体" w:hAnsi="宋体" w:eastAsia="宋体" w:cs="宋体"/>
          <w:b/>
          <w:color w:val="auto"/>
          <w:sz w:val="21"/>
          <w:szCs w:val="21"/>
          <w:lang w:val="en-US" w:eastAsia="zh-CN"/>
        </w:rPr>
        <w:t>同履行期限：</w:t>
      </w:r>
      <w:r>
        <w:rPr>
          <w:rFonts w:hint="eastAsia" w:ascii="宋体" w:hAnsi="宋体" w:eastAsia="宋体" w:cs="宋体"/>
          <w:color w:val="auto"/>
          <w:sz w:val="21"/>
          <w:szCs w:val="21"/>
          <w:lang w:val="en-US" w:eastAsia="zh-CN"/>
        </w:rPr>
        <w:t>自合同签订之日起一年</w:t>
      </w:r>
    </w:p>
    <w:p w14:paraId="3EB73B02">
      <w:pPr>
        <w:keepNext w:val="0"/>
        <w:keepLines w:val="0"/>
        <w:pageBreakBefore w:val="0"/>
        <w:widowControl/>
        <w:tabs>
          <w:tab w:val="left" w:pos="7005"/>
        </w:tabs>
        <w:kinsoku/>
        <w:wordWrap/>
        <w:overflowPunct/>
        <w:topLinePunct w:val="0"/>
        <w:autoSpaceDE w:val="0"/>
        <w:autoSpaceDN w:val="0"/>
        <w:bidi w:val="0"/>
        <w:adjustRightInd w:val="0"/>
        <w:snapToGrid/>
        <w:spacing w:line="336" w:lineRule="auto"/>
        <w:ind w:firstLine="422" w:firstLineChars="200"/>
        <w:textAlignment w:val="auto"/>
        <w:rPr>
          <w:rFonts w:hint="eastAsia" w:ascii="宋体" w:hAnsi="宋体" w:eastAsia="宋体" w:cs="宋体"/>
          <w:b/>
          <w:spacing w:val="-2"/>
          <w:sz w:val="21"/>
          <w:szCs w:val="21"/>
          <w:lang w:eastAsia="zh-CN"/>
        </w:rPr>
      </w:pPr>
      <w:r>
        <w:rPr>
          <w:rFonts w:hint="eastAsia" w:ascii="宋体" w:hAnsi="宋体" w:eastAsia="宋体" w:cs="宋体"/>
          <w:b/>
          <w:color w:val="auto"/>
          <w:sz w:val="21"/>
          <w:szCs w:val="21"/>
          <w:lang w:eastAsia="zh-CN"/>
        </w:rPr>
        <w:t>本项目（是/否）接受联合体：</w:t>
      </w:r>
      <w:r>
        <w:rPr>
          <w:rFonts w:hint="eastAsia" w:ascii="宋体" w:hAnsi="宋体" w:eastAsia="宋体" w:cs="宋体"/>
          <w:b/>
          <w:bCs/>
          <w:color w:val="000000"/>
          <w:sz w:val="21"/>
          <w:szCs w:val="21"/>
          <w:lang w:val="en-US" w:eastAsia="zh-CN"/>
        </w:rPr>
        <w:t xml:space="preserve">不接受。 </w:t>
      </w:r>
    </w:p>
    <w:p w14:paraId="0AF92DDC">
      <w:pPr>
        <w:keepNext w:val="0"/>
        <w:keepLines w:val="0"/>
        <w:pageBreakBefore w:val="0"/>
        <w:widowControl/>
        <w:kinsoku/>
        <w:wordWrap/>
        <w:overflowPunct/>
        <w:topLinePunct w:val="0"/>
        <w:bidi w:val="0"/>
        <w:adjustRightInd w:val="0"/>
        <w:snapToGrid w:val="0"/>
        <w:spacing w:line="336" w:lineRule="auto"/>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eastAsia="zh-CN"/>
        </w:rPr>
        <w:t>二、申请人的资格要求：</w:t>
      </w:r>
    </w:p>
    <w:p w14:paraId="4EFD4916">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满足《中华人民共和国政府采购法》第二十二条规定，并提供以下材料；</w:t>
      </w:r>
    </w:p>
    <w:p w14:paraId="174E5DE3">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sz w:val="21"/>
          <w:szCs w:val="21"/>
          <w:lang w:eastAsia="zh-CN"/>
        </w:rPr>
      </w:pPr>
      <w:bookmarkStart w:id="1" w:name="_Toc28359081"/>
      <w:r>
        <w:rPr>
          <w:rFonts w:hint="eastAsia" w:ascii="宋体" w:hAnsi="宋体" w:eastAsia="宋体" w:cs="宋体"/>
          <w:color w:val="000000"/>
          <w:sz w:val="21"/>
          <w:szCs w:val="21"/>
          <w:lang w:val="en-US" w:eastAsia="zh-CN"/>
        </w:rPr>
        <w:t>（1）具有独立承担民事责任的能力（法人或者其他组织提供营业执照或法人证书或组织机构代码证，自然人提供身份证）；</w:t>
      </w:r>
    </w:p>
    <w:p w14:paraId="0297FA23">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（2）具有良好的商业信誉和健全的财务会计制度（提供参加本次政府采购活动前的会计报表，成立不满一年的无需提供）；</w:t>
      </w:r>
    </w:p>
    <w:p w14:paraId="168E88E7">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（3）具有履行合同所必须的设备和专业技术能力（根据项目需求提供履行合同所必需的设备和专业技术能力的声明或证明材料）；</w:t>
      </w:r>
    </w:p>
    <w:p w14:paraId="5ECC965B">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（4）有依法缴纳税收和社会保障资金的良好记录（提供参加本次政府采购活动前一年内（至少一个月）依法缴纳税收和社会保障资金的相关材料复印件并加盖公章）；</w:t>
      </w:r>
    </w:p>
    <w:p w14:paraId="0678A212">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参加政府采购活动前三年内，在经营活动中没有重大违法记录（在经营活动中没有重大违法记录,提供参加政府采购活动前3年内在经营活动中没有重大违法记录的书面声明原件并加盖公章）（格式见后附件）；</w:t>
      </w:r>
    </w:p>
    <w:p w14:paraId="2C234DB6">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（6）法律、行政法规规定的其他条件：无</w:t>
      </w:r>
      <w:bookmarkEnd w:id="1"/>
    </w:p>
    <w:p w14:paraId="5F090E84">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 落实政府采购政策需满足的资格要求：供应商如为小微型企业、监狱企业、残疾人福利性单位，提供的产品为国家认定的节能产品和环保产品的须按要求提供相关材料。</w:t>
      </w:r>
    </w:p>
    <w:p w14:paraId="68C01B1F">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本项目按照以下第（4）种方式落实政府采购促进中小企业发展的要求： </w:t>
      </w:r>
    </w:p>
    <w:p w14:paraId="335C343A">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（1）本项目整体专门面向中小企业采购货物。 </w:t>
      </w:r>
    </w:p>
    <w:p w14:paraId="6C1DB043">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（2）本项目整体专门面向小微企业采购货物。</w:t>
      </w:r>
    </w:p>
    <w:p w14:paraId="0F412289">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（3）本项目通过以下第（）种方式预留部分采购份额采购中小企业货物：</w:t>
      </w:r>
    </w:p>
    <w:p w14:paraId="267F02EC">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①本项目要求供应商以联合体形式参加，中小企业合同金额应当达到的比例为_%。 </w:t>
      </w:r>
    </w:p>
    <w:p w14:paraId="2C7CC665">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②本项目要求供应商进行合同分包，中小企业合同金额应当达到的比例为_%。 </w:t>
      </w:r>
    </w:p>
    <w:p w14:paraId="14CCD935">
      <w:pPr>
        <w:keepNext w:val="0"/>
        <w:keepLines w:val="0"/>
        <w:pageBreakBefore w:val="0"/>
        <w:widowControl/>
        <w:shd w:val="clear" w:color="auto" w:fill="FFFFFF"/>
        <w:kinsoku/>
        <w:wordWrap/>
        <w:overflowPunct/>
        <w:topLinePunct w:val="0"/>
        <w:bidi w:val="0"/>
        <w:spacing w:line="336" w:lineRule="auto"/>
        <w:ind w:firstLine="480"/>
        <w:textAlignment w:val="auto"/>
        <w:rPr>
          <w:rFonts w:ascii="宋体" w:hAnsi="宋体" w:cs="宋体"/>
          <w:sz w:val="21"/>
          <w:szCs w:val="21"/>
        </w:rPr>
      </w:pPr>
      <w:r>
        <w:rPr>
          <w:rFonts w:hint="eastAsia" w:ascii="宋体" w:hAnsi="宋体" w:eastAsia="宋体" w:cs="宋体"/>
          <w:color w:val="000000" w:themeColor="text1"/>
          <w:sz w:val="21"/>
          <w:szCs w:val="21"/>
          <w:lang w:val="en-US" w:eastAsia="zh-CN"/>
          <w14:textFill>
            <w14:solidFill>
              <w14:schemeClr w14:val="tx1"/>
            </w14:solidFill>
          </w14:textFill>
        </w:rPr>
        <w:t>（4）本项目为非预留份额的采购项目或采购包，执行价格扣除优惠政策，具体详见第三章评审标准。</w:t>
      </w:r>
    </w:p>
    <w:p w14:paraId="2712A3A6">
      <w:pPr>
        <w:pStyle w:val="16"/>
        <w:keepNext w:val="0"/>
        <w:keepLines w:val="0"/>
        <w:pageBreakBefore w:val="0"/>
        <w:widowControl/>
        <w:kinsoku/>
        <w:wordWrap/>
        <w:overflowPunct/>
        <w:topLinePunct w:val="0"/>
        <w:autoSpaceDE/>
        <w:autoSpaceDN/>
        <w:bidi w:val="0"/>
        <w:snapToGrid/>
        <w:spacing w:before="0" w:after="0" w:line="336" w:lineRule="auto"/>
        <w:ind w:right="0" w:rightChars="0" w:firstLine="630" w:firstLineChars="300"/>
        <w:jc w:val="left"/>
        <w:rPr>
          <w:rFonts w:hint="eastAsia" w:ascii="宋体" w:hAnsi="宋体" w:eastAsia="宋体" w:cs="宋体"/>
          <w:b w:val="0"/>
          <w:bCs/>
          <w:color w:val="000000"/>
          <w:sz w:val="21"/>
          <w:szCs w:val="21"/>
          <w:lang w:val="en-US" w:eastAsia="zh-CN" w:bidi="ar-SA"/>
        </w:rPr>
      </w:pPr>
    </w:p>
    <w:p w14:paraId="7C8AB3AB">
      <w:pPr>
        <w:keepNext w:val="0"/>
        <w:keepLines w:val="0"/>
        <w:pageBreakBefore w:val="0"/>
        <w:widowControl w:val="0"/>
        <w:tabs>
          <w:tab w:val="left" w:pos="10120"/>
        </w:tabs>
        <w:kinsoku/>
        <w:wordWrap/>
        <w:overflowPunct/>
        <w:topLinePunct w:val="0"/>
        <w:autoSpaceDE w:val="0"/>
        <w:autoSpaceDN w:val="0"/>
        <w:bidi w:val="0"/>
        <w:adjustRightInd/>
        <w:snapToGrid/>
        <w:spacing w:line="336" w:lineRule="auto"/>
        <w:ind w:firstLine="632" w:firstLineChars="30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 xml:space="preserve">2.3 </w:t>
      </w:r>
      <w:r>
        <w:rPr>
          <w:rFonts w:hint="eastAsia" w:ascii="宋体" w:hAnsi="宋体" w:eastAsia="宋体" w:cs="宋体"/>
          <w:b/>
          <w:bCs/>
          <w:color w:val="auto"/>
          <w:sz w:val="21"/>
          <w:szCs w:val="21"/>
          <w:lang w:eastAsia="zh-CN"/>
        </w:rPr>
        <w:t>本项目的特定资格要求：</w:t>
      </w:r>
      <w:bookmarkStart w:id="2" w:name="_Hlk66710535"/>
      <w:bookmarkEnd w:id="2"/>
    </w:p>
    <w:p w14:paraId="2BC649BE">
      <w:pPr>
        <w:keepNext w:val="0"/>
        <w:keepLines w:val="0"/>
        <w:pageBreakBefore w:val="0"/>
        <w:widowControl w:val="0"/>
        <w:tabs>
          <w:tab w:val="left" w:pos="10120"/>
        </w:tabs>
        <w:kinsoku/>
        <w:wordWrap/>
        <w:overflowPunct/>
        <w:topLinePunct w:val="0"/>
        <w:autoSpaceDE w:val="0"/>
        <w:autoSpaceDN w:val="0"/>
        <w:bidi w:val="0"/>
        <w:adjustRightInd/>
        <w:snapToGrid/>
        <w:spacing w:line="336" w:lineRule="auto"/>
        <w:ind w:firstLine="630" w:firstLineChars="300"/>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val="0"/>
          <w:bCs w:val="0"/>
          <w:color w:val="000000"/>
          <w:sz w:val="21"/>
          <w:szCs w:val="21"/>
          <w:lang w:val="en-US" w:eastAsia="zh-CN" w:bidi="ar-SA"/>
        </w:rPr>
        <w:t>投标供应商应具有省级及以上质量技术监督部门颁发的CMA计量认证证书。（提供证书复印件加盖公章）</w:t>
      </w:r>
    </w:p>
    <w:p w14:paraId="32DFC403">
      <w:pPr>
        <w:keepNext w:val="0"/>
        <w:keepLines w:val="0"/>
        <w:pageBreakBefore w:val="0"/>
        <w:widowControl/>
        <w:numPr>
          <w:ilvl w:val="0"/>
          <w:numId w:val="0"/>
        </w:numPr>
        <w:suppressLineNumbers w:val="0"/>
        <w:kinsoku/>
        <w:wordWrap/>
        <w:overflowPunct/>
        <w:topLinePunct w:val="0"/>
        <w:bidi w:val="0"/>
        <w:spacing w:before="0" w:beforeAutospacing="0" w:after="0" w:afterAutospacing="0" w:line="336" w:lineRule="auto"/>
        <w:ind w:leftChars="300" w:right="0" w:rightChars="0"/>
        <w:jc w:val="left"/>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val="en-US" w:eastAsia="zh-CN"/>
        </w:rPr>
        <w:t xml:space="preserve">2.4 </w:t>
      </w:r>
      <w:r>
        <w:rPr>
          <w:rFonts w:hint="eastAsia" w:ascii="宋体" w:hAnsi="宋体" w:eastAsia="宋体" w:cs="宋体"/>
          <w:b/>
          <w:bCs/>
          <w:color w:val="000000"/>
          <w:sz w:val="21"/>
          <w:szCs w:val="21"/>
          <w:lang w:eastAsia="zh-CN"/>
        </w:rPr>
        <w:t>拒绝下述供应商参加本次采购活动：</w:t>
      </w:r>
    </w:p>
    <w:p w14:paraId="2803CB5E">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（1）投标供应商单位负责人为同一人或者存在直接控股、管理关系的不同供应商，不得参加同一合同项下的政府采购活动。</w:t>
      </w:r>
    </w:p>
    <w:p w14:paraId="54670D87">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（2）凡为采购项目提供整体设计、规范编制或者项目管理、监理、检测等服务的供应商，不得再参加本项目的采购活动。</w:t>
      </w:r>
    </w:p>
    <w:p w14:paraId="20A8D211">
      <w:pPr>
        <w:keepNext w:val="0"/>
        <w:keepLines w:val="0"/>
        <w:pageBreakBefore w:val="0"/>
        <w:widowControl/>
        <w:shd w:val="clear" w:color="auto" w:fill="FFFFFF"/>
        <w:kinsoku/>
        <w:wordWrap/>
        <w:overflowPunct/>
        <w:topLinePunct w:val="0"/>
        <w:bidi w:val="0"/>
        <w:spacing w:line="336" w:lineRule="auto"/>
        <w:ind w:firstLine="48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供应商被“信用中国”网站（www.creditchina.gov.cn）、“中国政府采购网”(www.ccgp.gov.cn)列入失信被执行人、重大税收违法案件当事人名单、政府采购严重违法失信行为记录名单；</w:t>
      </w:r>
    </w:p>
    <w:p w14:paraId="1D67C458">
      <w:pPr>
        <w:keepNext w:val="0"/>
        <w:keepLines w:val="0"/>
        <w:pageBreakBefore w:val="0"/>
        <w:widowControl/>
        <w:kinsoku/>
        <w:wordWrap/>
        <w:overflowPunct/>
        <w:topLinePunct w:val="0"/>
        <w:bidi w:val="0"/>
        <w:adjustRightInd w:val="0"/>
        <w:snapToGrid w:val="0"/>
        <w:spacing w:line="336" w:lineRule="auto"/>
        <w:ind w:right="196" w:rightChars="98"/>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eastAsia="zh-CN"/>
        </w:rPr>
        <w:t>三、获取采购文件：</w:t>
      </w:r>
    </w:p>
    <w:p w14:paraId="7C13A25B">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 xml:space="preserve">3.1 </w:t>
      </w:r>
      <w:r>
        <w:rPr>
          <w:rFonts w:hint="eastAsia" w:ascii="宋体" w:hAnsi="宋体" w:eastAsia="宋体" w:cs="宋体"/>
          <w:color w:val="000000"/>
          <w:sz w:val="21"/>
          <w:szCs w:val="21"/>
          <w:lang w:eastAsia="zh-CN"/>
        </w:rPr>
        <w:t>时间：202</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年</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lang w:eastAsia="zh-CN"/>
        </w:rPr>
        <w:t>月</w:t>
      </w:r>
      <w:r>
        <w:rPr>
          <w:rFonts w:hint="eastAsia" w:ascii="宋体" w:hAnsi="宋体" w:eastAsia="宋体" w:cs="宋体"/>
          <w:color w:val="000000"/>
          <w:sz w:val="21"/>
          <w:szCs w:val="21"/>
          <w:lang w:val="en-US" w:eastAsia="zh-CN"/>
        </w:rPr>
        <w:t>2</w:t>
      </w:r>
      <w:r>
        <w:rPr>
          <w:rFonts w:hint="eastAsia" w:ascii="宋体" w:hAnsi="宋体" w:cs="宋体"/>
          <w:color w:val="000000"/>
          <w:sz w:val="21"/>
          <w:szCs w:val="21"/>
          <w:lang w:val="en-US" w:eastAsia="zh-CN"/>
        </w:rPr>
        <w:t>6</w:t>
      </w:r>
      <w:r>
        <w:rPr>
          <w:rFonts w:hint="eastAsia" w:ascii="宋体" w:hAnsi="宋体" w:eastAsia="宋体" w:cs="宋体"/>
          <w:color w:val="000000"/>
          <w:sz w:val="21"/>
          <w:szCs w:val="21"/>
          <w:lang w:eastAsia="zh-CN"/>
        </w:rPr>
        <w:t>日至202</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年</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lang w:eastAsia="zh-CN"/>
        </w:rPr>
        <w:t>月</w:t>
      </w:r>
      <w:r>
        <w:rPr>
          <w:rFonts w:hint="eastAsia" w:ascii="宋体" w:hAnsi="宋体" w:cs="宋体"/>
          <w:color w:val="000000"/>
          <w:sz w:val="21"/>
          <w:szCs w:val="21"/>
          <w:lang w:val="en-US" w:eastAsia="zh-CN"/>
        </w:rPr>
        <w:t>3</w:t>
      </w:r>
      <w:r>
        <w:rPr>
          <w:rFonts w:hint="eastAsia" w:ascii="宋体" w:hAnsi="宋体" w:eastAsia="宋体" w:cs="宋体"/>
          <w:color w:val="000000"/>
          <w:sz w:val="21"/>
          <w:szCs w:val="21"/>
          <w:lang w:eastAsia="zh-CN"/>
        </w:rPr>
        <w:t>日17:00（北京时间，法定节假日除外）。</w:t>
      </w:r>
    </w:p>
    <w:p w14:paraId="46706849">
      <w:pPr>
        <w:keepNext w:val="0"/>
        <w:keepLines w:val="0"/>
        <w:pageBreakBefore w:val="0"/>
        <w:widowControl/>
        <w:kinsoku/>
        <w:wordWrap/>
        <w:overflowPunct/>
        <w:topLinePunct w:val="0"/>
        <w:autoSpaceDE/>
        <w:autoSpaceDN/>
        <w:bidi w:val="0"/>
        <w:adjustRightInd w:val="0"/>
        <w:snapToGrid w:val="0"/>
        <w:spacing w:line="336" w:lineRule="auto"/>
        <w:ind w:right="196" w:rightChars="98" w:firstLine="420" w:firstLineChars="200"/>
        <w:textAlignment w:val="auto"/>
        <w:rPr>
          <w:rFonts w:hint="eastAsia" w:ascii="宋体" w:hAnsi="宋体" w:eastAsia="宋体" w:cs="宋体"/>
          <w:b w:val="0"/>
          <w:bCs w:val="0"/>
          <w:color w:val="000000"/>
          <w:sz w:val="21"/>
          <w:szCs w:val="21"/>
          <w:lang w:eastAsia="zh-CN"/>
        </w:rPr>
      </w:pPr>
      <w:r>
        <w:rPr>
          <w:rFonts w:hint="eastAsia" w:ascii="宋体" w:hAnsi="宋体" w:cs="宋体"/>
          <w:color w:val="000000"/>
          <w:sz w:val="21"/>
          <w:szCs w:val="21"/>
          <w:lang w:val="en-US" w:eastAsia="zh-CN"/>
        </w:rPr>
        <w:t xml:space="preserve">3.2 </w:t>
      </w:r>
      <w:r>
        <w:rPr>
          <w:rFonts w:hint="eastAsia" w:ascii="宋体" w:hAnsi="宋体" w:eastAsia="宋体" w:cs="宋体"/>
          <w:color w:val="000000"/>
          <w:sz w:val="21"/>
          <w:szCs w:val="21"/>
          <w:lang w:eastAsia="zh-CN"/>
        </w:rPr>
        <w:t>地点：</w:t>
      </w:r>
      <w:r>
        <w:rPr>
          <w:rFonts w:hint="eastAsia" w:ascii="宋体" w:hAnsi="宋体" w:eastAsia="宋体" w:cs="宋体"/>
          <w:b w:val="0"/>
          <w:bCs w:val="0"/>
          <w:color w:val="000000"/>
          <w:sz w:val="21"/>
          <w:szCs w:val="21"/>
          <w:lang w:eastAsia="zh-CN"/>
        </w:rPr>
        <w:t>南京市高淳区淳溪街道丹阳湖北路</w:t>
      </w:r>
      <w:r>
        <w:rPr>
          <w:rFonts w:hint="eastAsia" w:ascii="宋体" w:hAnsi="宋体" w:eastAsia="宋体" w:cs="宋体"/>
          <w:b w:val="0"/>
          <w:bCs w:val="0"/>
          <w:color w:val="000000"/>
          <w:sz w:val="21"/>
          <w:szCs w:val="21"/>
          <w:lang w:val="en-US" w:eastAsia="zh-CN"/>
        </w:rPr>
        <w:t>111号13栋3楼</w:t>
      </w:r>
      <w:r>
        <w:rPr>
          <w:rFonts w:hint="eastAsia" w:ascii="宋体" w:hAnsi="宋体" w:eastAsia="宋体" w:cs="宋体"/>
          <w:b w:val="0"/>
          <w:bCs w:val="0"/>
          <w:color w:val="000000"/>
          <w:sz w:val="21"/>
          <w:szCs w:val="21"/>
          <w:lang w:eastAsia="zh-CN"/>
        </w:rPr>
        <w:t>。</w:t>
      </w:r>
    </w:p>
    <w:p w14:paraId="352FE933">
      <w:pPr>
        <w:keepNext w:val="0"/>
        <w:keepLines w:val="0"/>
        <w:pageBreakBefore w:val="0"/>
        <w:widowControl/>
        <w:kinsoku/>
        <w:wordWrap/>
        <w:overflowPunct/>
        <w:topLinePunct w:val="0"/>
        <w:autoSpaceDE/>
        <w:autoSpaceDN/>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 xml:space="preserve">3.3 </w:t>
      </w:r>
      <w:r>
        <w:rPr>
          <w:rFonts w:hint="eastAsia" w:ascii="宋体" w:hAnsi="宋体" w:eastAsia="宋体" w:cs="宋体"/>
          <w:color w:val="000000"/>
          <w:sz w:val="21"/>
          <w:szCs w:val="21"/>
          <w:lang w:eastAsia="zh-CN"/>
        </w:rPr>
        <w:t>方式：供应商携带下述资料到南京爱诚工程项目咨询管理有限公司（高淳区淳溪街道丹阳湖北路111号13栋3楼）进行投标报名、接受审查及购买竞争性磋商文件，文件每份售价</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lang w:eastAsia="zh-CN"/>
        </w:rPr>
        <w:t>00元（现金），售后不退。</w:t>
      </w:r>
    </w:p>
    <w:p w14:paraId="621AF421">
      <w:pPr>
        <w:keepNext w:val="0"/>
        <w:keepLines w:val="0"/>
        <w:pageBreakBefore w:val="0"/>
        <w:widowControl/>
        <w:kinsoku/>
        <w:wordWrap/>
        <w:overflowPunct/>
        <w:topLinePunct w:val="0"/>
        <w:autoSpaceDE/>
        <w:autoSpaceDN/>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val="en-US" w:eastAsia="zh-CN"/>
        </w:rPr>
        <w:t>提供</w:t>
      </w:r>
      <w:r>
        <w:rPr>
          <w:rFonts w:hint="eastAsia" w:ascii="宋体" w:hAnsi="宋体" w:eastAsia="宋体" w:cs="宋体"/>
          <w:color w:val="000000"/>
          <w:sz w:val="21"/>
          <w:szCs w:val="21"/>
          <w:lang w:val="zh-CN" w:eastAsia="zh-CN"/>
        </w:rPr>
        <w:t>有效的</w:t>
      </w:r>
      <w:r>
        <w:rPr>
          <w:rFonts w:hint="eastAsia" w:ascii="宋体" w:hAnsi="宋体" w:eastAsia="宋体" w:cs="宋体"/>
          <w:color w:val="000000"/>
          <w:sz w:val="21"/>
          <w:szCs w:val="21"/>
          <w:lang w:eastAsia="zh-CN"/>
        </w:rPr>
        <w:t>营业执照</w:t>
      </w:r>
      <w:r>
        <w:rPr>
          <w:rFonts w:hint="eastAsia" w:ascii="宋体" w:hAnsi="宋体" w:eastAsia="宋体" w:cs="宋体"/>
          <w:color w:val="000000"/>
          <w:sz w:val="21"/>
          <w:szCs w:val="21"/>
          <w:lang w:val="zh-CN" w:eastAsia="zh-CN"/>
        </w:rPr>
        <w:t>；（</w:t>
      </w:r>
      <w:r>
        <w:rPr>
          <w:rFonts w:hint="eastAsia" w:ascii="宋体" w:hAnsi="宋体" w:eastAsia="宋体" w:cs="宋体"/>
          <w:color w:val="000000"/>
          <w:sz w:val="21"/>
          <w:szCs w:val="21"/>
          <w:lang w:eastAsia="zh-CN"/>
        </w:rPr>
        <w:t>提供复印件加盖供应商公章</w:t>
      </w:r>
      <w:r>
        <w:rPr>
          <w:rFonts w:hint="eastAsia" w:ascii="宋体" w:hAnsi="宋体" w:eastAsia="宋体" w:cs="宋体"/>
          <w:color w:val="000000"/>
          <w:sz w:val="21"/>
          <w:szCs w:val="21"/>
          <w:lang w:val="zh-CN" w:eastAsia="zh-CN"/>
        </w:rPr>
        <w:t>）</w:t>
      </w:r>
    </w:p>
    <w:p w14:paraId="5981FF45">
      <w:pPr>
        <w:keepNext w:val="0"/>
        <w:keepLines w:val="0"/>
        <w:pageBreakBefore w:val="0"/>
        <w:widowControl/>
        <w:kinsoku/>
        <w:wordWrap/>
        <w:overflowPunct/>
        <w:topLinePunct w:val="0"/>
        <w:autoSpaceDE/>
        <w:autoSpaceDN/>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（2）法定代表人授权委托书（原件）和授权委托人身份证（原件）及复印件加盖供应商公章。</w:t>
      </w:r>
    </w:p>
    <w:p w14:paraId="4F2FEE7E">
      <w:pPr>
        <w:keepNext w:val="0"/>
        <w:keepLines w:val="0"/>
        <w:pageBreakBefore w:val="0"/>
        <w:widowControl/>
        <w:kinsoku/>
        <w:wordWrap/>
        <w:overflowPunct/>
        <w:topLinePunct w:val="0"/>
        <w:bidi w:val="0"/>
        <w:adjustRightInd w:val="0"/>
        <w:snapToGrid w:val="0"/>
        <w:spacing w:line="336" w:lineRule="auto"/>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eastAsia="zh-CN"/>
        </w:rPr>
        <w:t>四、响应文件提交：</w:t>
      </w:r>
    </w:p>
    <w:p w14:paraId="2A92ED15">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 xml:space="preserve">4.1 </w:t>
      </w:r>
      <w:r>
        <w:rPr>
          <w:rFonts w:hint="eastAsia" w:ascii="宋体" w:hAnsi="宋体" w:eastAsia="宋体" w:cs="宋体"/>
          <w:color w:val="000000"/>
          <w:sz w:val="21"/>
          <w:szCs w:val="21"/>
          <w:lang w:eastAsia="zh-CN"/>
        </w:rPr>
        <w:t>截止时间：202</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年</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lang w:eastAsia="zh-CN"/>
        </w:rPr>
        <w:t>月</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lang w:eastAsia="zh-CN"/>
        </w:rPr>
        <w:t>日</w:t>
      </w:r>
      <w:r>
        <w:rPr>
          <w:rFonts w:hint="eastAsia" w:ascii="宋体" w:hAnsi="宋体" w:eastAsia="宋体" w:cs="宋体"/>
          <w:color w:val="000000"/>
          <w:sz w:val="21"/>
          <w:szCs w:val="21"/>
          <w:lang w:val="en-US" w:eastAsia="zh-CN"/>
        </w:rPr>
        <w:t>14</w:t>
      </w:r>
      <w:r>
        <w:rPr>
          <w:rFonts w:hint="eastAsia" w:ascii="宋体" w:hAnsi="宋体" w:eastAsia="宋体" w:cs="宋体"/>
          <w:color w:val="000000"/>
          <w:sz w:val="21"/>
          <w:szCs w:val="21"/>
          <w:lang w:eastAsia="zh-CN"/>
        </w:rPr>
        <w:t>时</w:t>
      </w:r>
      <w:r>
        <w:rPr>
          <w:rFonts w:hint="eastAsia" w:ascii="宋体" w:hAnsi="宋体" w:eastAsia="宋体" w:cs="宋体"/>
          <w:color w:val="000000"/>
          <w:sz w:val="21"/>
          <w:szCs w:val="21"/>
          <w:lang w:val="en-US" w:eastAsia="zh-CN"/>
        </w:rPr>
        <w:t>00</w:t>
      </w:r>
      <w:r>
        <w:rPr>
          <w:rFonts w:hint="eastAsia" w:ascii="宋体" w:hAnsi="宋体" w:eastAsia="宋体" w:cs="宋体"/>
          <w:color w:val="000000"/>
          <w:sz w:val="21"/>
          <w:szCs w:val="21"/>
          <w:lang w:eastAsia="zh-CN"/>
        </w:rPr>
        <w:t>分（北京时间）</w:t>
      </w:r>
    </w:p>
    <w:p w14:paraId="50950416">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 xml:space="preserve">4.2 </w:t>
      </w:r>
      <w:r>
        <w:rPr>
          <w:rFonts w:hint="eastAsia" w:ascii="宋体" w:hAnsi="宋体" w:eastAsia="宋体" w:cs="宋体"/>
          <w:color w:val="000000"/>
          <w:sz w:val="21"/>
          <w:szCs w:val="21"/>
          <w:lang w:eastAsia="zh-CN"/>
        </w:rPr>
        <w:t>地    点：南京市高淳区淳溪街道丹阳湖北路</w:t>
      </w:r>
      <w:r>
        <w:rPr>
          <w:rFonts w:hint="eastAsia" w:ascii="宋体" w:hAnsi="宋体" w:eastAsia="宋体" w:cs="宋体"/>
          <w:color w:val="000000"/>
          <w:sz w:val="21"/>
          <w:szCs w:val="21"/>
          <w:lang w:val="en-US" w:eastAsia="zh-CN"/>
        </w:rPr>
        <w:t>111号13栋3楼</w:t>
      </w:r>
    </w:p>
    <w:p w14:paraId="396BA051">
      <w:pPr>
        <w:keepNext w:val="0"/>
        <w:keepLines w:val="0"/>
        <w:pageBreakBefore w:val="0"/>
        <w:widowControl/>
        <w:numPr>
          <w:ilvl w:val="0"/>
          <w:numId w:val="2"/>
        </w:numPr>
        <w:kinsoku/>
        <w:wordWrap/>
        <w:overflowPunct/>
        <w:topLinePunct w:val="0"/>
        <w:bidi w:val="0"/>
        <w:adjustRightInd w:val="0"/>
        <w:snapToGrid w:val="0"/>
        <w:spacing w:line="336" w:lineRule="auto"/>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eastAsia="zh-CN"/>
        </w:rPr>
        <w:t>开启：</w:t>
      </w:r>
    </w:p>
    <w:p w14:paraId="12F34C8A">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 xml:space="preserve">5.1 </w:t>
      </w:r>
      <w:r>
        <w:rPr>
          <w:rFonts w:hint="eastAsia" w:ascii="宋体" w:hAnsi="宋体" w:eastAsia="宋体" w:cs="宋体"/>
          <w:color w:val="000000"/>
          <w:sz w:val="21"/>
          <w:szCs w:val="21"/>
          <w:lang w:eastAsia="zh-CN"/>
        </w:rPr>
        <w:t>时   间：202</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年</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lang w:eastAsia="zh-CN"/>
        </w:rPr>
        <w:t>月</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lang w:eastAsia="zh-CN"/>
        </w:rPr>
        <w:t>日</w:t>
      </w:r>
      <w:r>
        <w:rPr>
          <w:rFonts w:hint="eastAsia" w:ascii="宋体" w:hAnsi="宋体" w:eastAsia="宋体" w:cs="宋体"/>
          <w:color w:val="000000"/>
          <w:sz w:val="21"/>
          <w:szCs w:val="21"/>
          <w:lang w:val="en-US" w:eastAsia="zh-CN"/>
        </w:rPr>
        <w:t>14</w:t>
      </w:r>
      <w:r>
        <w:rPr>
          <w:rFonts w:hint="eastAsia" w:ascii="宋体" w:hAnsi="宋体" w:eastAsia="宋体" w:cs="宋体"/>
          <w:color w:val="000000"/>
          <w:sz w:val="21"/>
          <w:szCs w:val="21"/>
          <w:lang w:eastAsia="zh-CN"/>
        </w:rPr>
        <w:t>时</w:t>
      </w:r>
      <w:r>
        <w:rPr>
          <w:rFonts w:hint="eastAsia" w:ascii="宋体" w:hAnsi="宋体" w:eastAsia="宋体" w:cs="宋体"/>
          <w:color w:val="000000"/>
          <w:sz w:val="21"/>
          <w:szCs w:val="21"/>
          <w:lang w:val="en-US" w:eastAsia="zh-CN"/>
        </w:rPr>
        <w:t>00</w:t>
      </w:r>
      <w:r>
        <w:rPr>
          <w:rFonts w:hint="eastAsia" w:ascii="宋体" w:hAnsi="宋体" w:eastAsia="宋体" w:cs="宋体"/>
          <w:color w:val="000000"/>
          <w:sz w:val="21"/>
          <w:szCs w:val="21"/>
          <w:lang w:eastAsia="zh-CN"/>
        </w:rPr>
        <w:t>分（北京时间）</w:t>
      </w:r>
    </w:p>
    <w:p w14:paraId="7B80E413">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 xml:space="preserve">5.2 </w:t>
      </w:r>
      <w:r>
        <w:rPr>
          <w:rFonts w:hint="eastAsia" w:ascii="宋体" w:hAnsi="宋体" w:eastAsia="宋体" w:cs="宋体"/>
          <w:color w:val="000000"/>
          <w:sz w:val="21"/>
          <w:szCs w:val="21"/>
          <w:lang w:eastAsia="zh-CN"/>
        </w:rPr>
        <w:t>地   点：南京市高淳区淳溪街道丹阳湖北路</w:t>
      </w:r>
      <w:r>
        <w:rPr>
          <w:rFonts w:hint="eastAsia" w:ascii="宋体" w:hAnsi="宋体" w:eastAsia="宋体" w:cs="宋体"/>
          <w:color w:val="000000"/>
          <w:sz w:val="21"/>
          <w:szCs w:val="21"/>
          <w:lang w:val="en-US" w:eastAsia="zh-CN"/>
        </w:rPr>
        <w:t>111号13栋3楼</w:t>
      </w:r>
    </w:p>
    <w:p w14:paraId="6FCD833E">
      <w:pPr>
        <w:keepNext w:val="0"/>
        <w:keepLines w:val="0"/>
        <w:pageBreakBefore w:val="0"/>
        <w:widowControl/>
        <w:kinsoku/>
        <w:overflowPunct/>
        <w:topLinePunct w:val="0"/>
        <w:bidi w:val="0"/>
        <w:adjustRightInd w:val="0"/>
        <w:snapToGrid w:val="0"/>
        <w:spacing w:line="336" w:lineRule="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eastAsia="zh-CN"/>
        </w:rPr>
        <w:t>六、公告期限：</w:t>
      </w:r>
    </w:p>
    <w:p w14:paraId="04084661">
      <w:pPr>
        <w:keepNext w:val="0"/>
        <w:keepLines w:val="0"/>
        <w:pageBreakBefore w:val="0"/>
        <w:widowControl/>
        <w:kinsoku/>
        <w:overflowPunct/>
        <w:topLinePunct w:val="0"/>
        <w:bidi w:val="0"/>
        <w:adjustRightInd w:val="0"/>
        <w:snapToGrid w:val="0"/>
        <w:spacing w:line="336" w:lineRule="auto"/>
        <w:ind w:firstLine="420" w:firstLineChars="200"/>
        <w:rPr>
          <w:rFonts w:hint="eastAsia" w:ascii="宋体" w:hAnsi="宋体" w:eastAsia="宋体" w:cs="宋体"/>
          <w:b/>
          <w:bCs/>
          <w:color w:val="000000"/>
          <w:sz w:val="21"/>
          <w:szCs w:val="21"/>
          <w:shd w:val="clear" w:color="auto" w:fill="FFFFFF"/>
          <w:lang w:val="en-US" w:eastAsia="zh-CN"/>
        </w:rPr>
      </w:pPr>
      <w:r>
        <w:rPr>
          <w:rFonts w:hint="eastAsia" w:ascii="宋体" w:hAnsi="宋体" w:eastAsia="宋体" w:cs="宋体"/>
          <w:color w:val="000000"/>
          <w:sz w:val="21"/>
          <w:szCs w:val="21"/>
          <w:lang w:val="en-US" w:eastAsia="zh-CN"/>
        </w:rPr>
        <w:t xml:space="preserve">6.1 </w:t>
      </w:r>
      <w:r>
        <w:rPr>
          <w:rFonts w:hint="eastAsia" w:ascii="宋体" w:hAnsi="宋体" w:eastAsia="宋体" w:cs="宋体"/>
          <w:color w:val="000000"/>
          <w:sz w:val="21"/>
          <w:szCs w:val="21"/>
          <w:lang w:eastAsia="zh-CN"/>
        </w:rPr>
        <w:t>自本公告发布之日起5个工作日。</w:t>
      </w:r>
    </w:p>
    <w:p w14:paraId="0F0C3690">
      <w:pPr>
        <w:keepNext w:val="0"/>
        <w:keepLines w:val="0"/>
        <w:pageBreakBefore w:val="0"/>
        <w:widowControl/>
        <w:kinsoku/>
        <w:wordWrap/>
        <w:overflowPunct/>
        <w:topLinePunct w:val="0"/>
        <w:bidi w:val="0"/>
        <w:adjustRightInd w:val="0"/>
        <w:snapToGrid w:val="0"/>
        <w:spacing w:line="336" w:lineRule="auto"/>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val="en-US" w:eastAsia="zh-CN"/>
        </w:rPr>
        <w:t>七</w:t>
      </w:r>
      <w:r>
        <w:rPr>
          <w:rFonts w:hint="eastAsia" w:ascii="宋体" w:hAnsi="宋体" w:eastAsia="宋体" w:cs="宋体"/>
          <w:b/>
          <w:bCs/>
          <w:color w:val="000000"/>
          <w:sz w:val="21"/>
          <w:szCs w:val="21"/>
          <w:shd w:val="clear" w:color="auto" w:fill="FFFFFF"/>
          <w:lang w:eastAsia="zh-CN"/>
        </w:rPr>
        <w:t xml:space="preserve">、其他补充事宜： </w:t>
      </w:r>
    </w:p>
    <w:p w14:paraId="5563FF56">
      <w:pPr>
        <w:keepNext w:val="0"/>
        <w:keepLines w:val="0"/>
        <w:pageBreakBefore w:val="0"/>
        <w:widowControl/>
        <w:shd w:val="clear" w:color="auto" w:fill="FFFFFF"/>
        <w:kinsoku/>
        <w:overflowPunct/>
        <w:topLinePunct w:val="0"/>
        <w:bidi w:val="0"/>
        <w:spacing w:line="336"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7.1 公告媒体：本采购公告将在</w:t>
      </w:r>
      <w:r>
        <w:rPr>
          <w:rFonts w:hint="eastAsia" w:ascii="宋体" w:hAnsi="宋体" w:cs="宋体"/>
          <w:color w:val="000000"/>
          <w:sz w:val="21"/>
          <w:szCs w:val="21"/>
          <w:lang w:val="en-US" w:eastAsia="zh-CN"/>
        </w:rPr>
        <w:t>南京公共采购信息网</w:t>
      </w:r>
      <w:r>
        <w:rPr>
          <w:rFonts w:hint="eastAsia" w:ascii="宋体" w:hAnsi="宋体" w:eastAsia="宋体" w:cs="宋体"/>
          <w:color w:val="000000"/>
          <w:sz w:val="21"/>
          <w:szCs w:val="21"/>
          <w:lang w:val="en-US" w:eastAsia="zh-CN"/>
        </w:rPr>
        <w:t>（https://njgc.jfh.com/purchase?menuActiveIndex=8）上发布，敬请各供应商关注。</w:t>
      </w:r>
    </w:p>
    <w:p w14:paraId="47576D91">
      <w:pPr>
        <w:keepNext w:val="0"/>
        <w:keepLines w:val="0"/>
        <w:pageBreakBefore w:val="0"/>
        <w:widowControl/>
        <w:shd w:val="clear" w:color="auto" w:fill="FFFFFF"/>
        <w:kinsoku/>
        <w:wordWrap/>
        <w:overflowPunct/>
        <w:topLinePunct w:val="0"/>
        <w:bidi w:val="0"/>
        <w:spacing w:line="336"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lang w:eastAsia="zh-CN"/>
        </w:rPr>
        <w:t>响应文件份数：</w:t>
      </w:r>
      <w:r>
        <w:rPr>
          <w:rFonts w:hint="eastAsia" w:ascii="宋体" w:hAnsi="宋体" w:eastAsia="宋体" w:cs="宋体"/>
          <w:b/>
          <w:bCs/>
          <w:color w:val="000000"/>
          <w:sz w:val="21"/>
          <w:szCs w:val="21"/>
          <w:lang w:eastAsia="zh-CN"/>
        </w:rPr>
        <w:t>一式叁份</w:t>
      </w:r>
      <w:r>
        <w:rPr>
          <w:rFonts w:hint="eastAsia" w:ascii="宋体" w:hAnsi="宋体" w:eastAsia="宋体" w:cs="宋体"/>
          <w:color w:val="000000"/>
          <w:sz w:val="21"/>
          <w:szCs w:val="21"/>
          <w:lang w:eastAsia="zh-CN"/>
        </w:rPr>
        <w:t>（壹份正本、贰份副本）（电子版标书一份（U盘）；响应文件电子版中必须包含响应文件的全部内容，不得加密），每份响应文件须清楚标明“正本”或“副本”字样。一旦正本和副本不符，以正本为准。</w:t>
      </w:r>
    </w:p>
    <w:p w14:paraId="51D7FA6E">
      <w:pPr>
        <w:keepNext w:val="0"/>
        <w:keepLines w:val="0"/>
        <w:pageBreakBefore w:val="0"/>
        <w:widowControl/>
        <w:shd w:val="clear" w:color="auto" w:fill="FFFFFF"/>
        <w:kinsoku/>
        <w:wordWrap/>
        <w:overflowPunct/>
        <w:topLinePunct w:val="0"/>
        <w:bidi w:val="0"/>
        <w:spacing w:line="336" w:lineRule="auto"/>
        <w:ind w:firstLine="422" w:firstLineChars="200"/>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7</w:t>
      </w:r>
      <w:r>
        <w:rPr>
          <w:rFonts w:hint="eastAsia" w:ascii="宋体" w:hAnsi="宋体" w:eastAsia="宋体" w:cs="宋体"/>
          <w:b/>
          <w:bCs w:val="0"/>
          <w:color w:val="auto"/>
          <w:sz w:val="21"/>
          <w:szCs w:val="21"/>
          <w:lang w:eastAsia="zh-CN"/>
        </w:rPr>
        <w:t>.</w:t>
      </w:r>
      <w:r>
        <w:rPr>
          <w:rFonts w:hint="eastAsia" w:ascii="宋体" w:hAnsi="宋体" w:eastAsia="宋体" w:cs="宋体"/>
          <w:b/>
          <w:bCs w:val="0"/>
          <w:color w:val="auto"/>
          <w:sz w:val="21"/>
          <w:szCs w:val="21"/>
          <w:lang w:val="en-US" w:eastAsia="zh-CN"/>
        </w:rPr>
        <w:t xml:space="preserve">3 </w:t>
      </w:r>
      <w:r>
        <w:rPr>
          <w:rFonts w:hint="eastAsia" w:ascii="宋体" w:hAnsi="宋体" w:eastAsia="宋体" w:cs="宋体"/>
          <w:b/>
          <w:bCs w:val="0"/>
          <w:color w:val="auto"/>
          <w:sz w:val="21"/>
          <w:szCs w:val="21"/>
          <w:lang w:eastAsia="zh-CN"/>
        </w:rPr>
        <w:t>响应文件提交时，请供应商法定代表人或其授权委托代表人携带本人有效身份证原件出席，否则不予接收。</w:t>
      </w:r>
    </w:p>
    <w:p w14:paraId="427B8EEC">
      <w:pPr>
        <w:keepNext w:val="0"/>
        <w:keepLines w:val="0"/>
        <w:pageBreakBefore w:val="0"/>
        <w:widowControl/>
        <w:shd w:val="clear" w:color="auto" w:fill="FFFFFF"/>
        <w:kinsoku/>
        <w:overflowPunct/>
        <w:topLinePunct w:val="0"/>
        <w:bidi w:val="0"/>
        <w:spacing w:line="336"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lang w:eastAsia="zh-CN"/>
        </w:rPr>
        <w:t>勘察现场或答疑：采购人不组织，供应商可自行联系采购人。请务必对项目现场和周围环境进行仔细认真地查勘，在随后的采购中，对现场资料和数据所作出的推论、解释和结论及由此造成的后果由供应商负责。</w:t>
      </w:r>
    </w:p>
    <w:p w14:paraId="39A728ED">
      <w:pPr>
        <w:keepNext w:val="0"/>
        <w:keepLines w:val="0"/>
        <w:pageBreakBefore w:val="0"/>
        <w:widowControl/>
        <w:shd w:val="clear" w:color="auto" w:fill="FFFFFF"/>
        <w:kinsoku/>
        <w:overflowPunct/>
        <w:topLinePunct w:val="0"/>
        <w:bidi w:val="0"/>
        <w:spacing w:line="336"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7.</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供应商诚信档案</w:t>
      </w:r>
    </w:p>
    <w:p w14:paraId="6F1B3AA0">
      <w:pPr>
        <w:keepNext w:val="0"/>
        <w:keepLines w:val="0"/>
        <w:pageBreakBefore w:val="0"/>
        <w:widowControl/>
        <w:kinsoku/>
        <w:wordWrap w:val="0"/>
        <w:overflowPunct/>
        <w:topLinePunct w:val="0"/>
        <w:bidi w:val="0"/>
        <w:adjustRightInd w:val="0"/>
        <w:snapToGrid w:val="0"/>
        <w:spacing w:line="336"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根据《南京市政府采购供应商信用管理工作暂行办法》（宁财规[2018]10号）有关规定，凡在南京地区参加政府采购活动的供应商，应当事先登陆“信用南京”（www.njcredit.gov.cn）或“南京市政府采购网”（www.njgp.gov.cn）主页“政府采购供应商诚信档案”栏目进行注册登记。由于特殊原因未及时注册的供应商可先行获取采购文件，但必须在提交投标（响应）文件截止日2天前办理登记注册手续。 </w:t>
      </w:r>
    </w:p>
    <w:p w14:paraId="4B530467">
      <w:pPr>
        <w:keepNext w:val="0"/>
        <w:keepLines w:val="0"/>
        <w:pageBreakBefore w:val="0"/>
        <w:widowControl/>
        <w:kinsoku/>
        <w:wordWrap w:val="0"/>
        <w:overflowPunct/>
        <w:topLinePunct w:val="0"/>
        <w:bidi w:val="0"/>
        <w:adjustRightInd w:val="0"/>
        <w:snapToGrid w:val="0"/>
        <w:spacing w:line="336"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供应商申请网上注册的，应当按以下程序进行：</w:t>
      </w:r>
    </w:p>
    <w:p w14:paraId="45622B0B">
      <w:pPr>
        <w:keepNext w:val="0"/>
        <w:keepLines w:val="0"/>
        <w:pageBreakBefore w:val="0"/>
        <w:widowControl/>
        <w:kinsoku/>
        <w:wordWrap w:val="0"/>
        <w:overflowPunct/>
        <w:topLinePunct w:val="0"/>
        <w:bidi w:val="0"/>
        <w:adjustRightInd w:val="0"/>
        <w:snapToGrid w:val="0"/>
        <w:spacing w:line="336"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根据《南京市政府采购供应商信用管理工作暂行办法》（宁财规[2018]10号）有关规定：凡在南京地区参加政府采购活动的供应商，应当事先登陆“信用南京”（www.njcredit.gov.cn）或南京公共采购信息网（https://njgc.jfh.com/）主页“南京市政府采购供应商诚信档案”栏目进行注册登记。由于特殊原因未及时注册的供应商可先行获取采购文件，但必须在提交响应文件截止日2天前办理登记注册手续。</w:t>
      </w:r>
    </w:p>
    <w:p w14:paraId="37F19A26">
      <w:pPr>
        <w:keepNext w:val="0"/>
        <w:keepLines w:val="0"/>
        <w:pageBreakBefore w:val="0"/>
        <w:widowControl/>
        <w:kinsoku/>
        <w:wordWrap w:val="0"/>
        <w:overflowPunct/>
        <w:topLinePunct w:val="0"/>
        <w:bidi w:val="0"/>
        <w:adjustRightInd w:val="0"/>
        <w:snapToGrid w:val="0"/>
        <w:spacing w:line="336"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供应商申请网上注册的，应当按以下程序进行：</w:t>
      </w:r>
    </w:p>
    <w:p w14:paraId="53EB9AF3">
      <w:pPr>
        <w:keepNext w:val="0"/>
        <w:keepLines w:val="0"/>
        <w:pageBreakBefore w:val="0"/>
        <w:widowControl/>
        <w:kinsoku/>
        <w:wordWrap w:val="0"/>
        <w:overflowPunct/>
        <w:topLinePunct w:val="0"/>
        <w:bidi w:val="0"/>
        <w:adjustRightInd w:val="0"/>
        <w:snapToGrid w:val="0"/>
        <w:spacing w:line="336"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（1）登陆“信用南京”或“南京公共采购信息网”网站，点击“南京市政府采购供应商诚信档案”图标，在弹出的用户登录界面，点击“新用户注册”；</w:t>
      </w:r>
    </w:p>
    <w:p w14:paraId="599606F7">
      <w:pPr>
        <w:keepNext w:val="0"/>
        <w:keepLines w:val="0"/>
        <w:pageBreakBefore w:val="0"/>
        <w:widowControl/>
        <w:kinsoku/>
        <w:wordWrap w:val="0"/>
        <w:overflowPunct/>
        <w:topLinePunct w:val="0"/>
        <w:bidi w:val="0"/>
        <w:adjustRightInd w:val="0"/>
        <w:snapToGrid w:val="0"/>
        <w:spacing w:line="336"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4ECEE3D6">
      <w:pPr>
        <w:keepNext w:val="0"/>
        <w:keepLines w:val="0"/>
        <w:pageBreakBefore w:val="0"/>
        <w:widowControl/>
        <w:kinsoku/>
        <w:wordWrap w:val="0"/>
        <w:overflowPunct/>
        <w:topLinePunct w:val="0"/>
        <w:bidi w:val="0"/>
        <w:adjustRightInd w:val="0"/>
        <w:snapToGrid w:val="0"/>
        <w:spacing w:line="336"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注册成功后，供应商参加本次政府采购活动时，供应商需在采购文件发布之日起至递交响应文件截止日前，应先登录“信用南京”在线打印其“南京市政府采购供应商信用记录表”，经法定代表人签名盖章后作为响应文件的组成部分提交给采购代理机构或采购人。“南京市政府采购供应商信用记录表”是其参加政府采购活动的必备材料。</w:t>
      </w:r>
    </w:p>
    <w:p w14:paraId="6AEED2F2">
      <w:pPr>
        <w:keepNext w:val="0"/>
        <w:keepLines w:val="0"/>
        <w:pageBreakBefore w:val="0"/>
        <w:widowControl/>
        <w:kinsoku/>
        <w:wordWrap w:val="0"/>
        <w:overflowPunct/>
        <w:topLinePunct w:val="0"/>
        <w:bidi w:val="0"/>
        <w:adjustRightInd w:val="0"/>
        <w:snapToGrid w:val="0"/>
        <w:spacing w:line="336"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南京市政府采购供应商诚信档案管理系统客服电话：025-52718366；供应商可就用户注册与打印“南京市政府采购供应商信用记录表”等事宜进行咨询。</w:t>
      </w:r>
    </w:p>
    <w:p w14:paraId="70846094">
      <w:pPr>
        <w:keepNext w:val="0"/>
        <w:keepLines w:val="0"/>
        <w:pageBreakBefore w:val="0"/>
        <w:widowControl/>
        <w:kinsoku/>
        <w:wordWrap/>
        <w:overflowPunct/>
        <w:topLinePunct w:val="0"/>
        <w:bidi w:val="0"/>
        <w:adjustRightInd w:val="0"/>
        <w:snapToGrid w:val="0"/>
        <w:spacing w:line="336" w:lineRule="auto"/>
        <w:textAlignment w:val="auto"/>
        <w:outlineLvl w:val="1"/>
        <w:rPr>
          <w:rFonts w:hint="eastAsia" w:ascii="宋体" w:hAnsi="宋体" w:eastAsia="宋体" w:cs="宋体"/>
          <w:b/>
          <w:bCs/>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eastAsia="zh-CN"/>
        </w:rPr>
        <w:t> </w:t>
      </w:r>
      <w:r>
        <w:rPr>
          <w:rFonts w:hint="eastAsia" w:ascii="宋体" w:hAnsi="宋体" w:eastAsia="宋体" w:cs="宋体"/>
          <w:b/>
          <w:bCs/>
          <w:color w:val="000000"/>
          <w:sz w:val="21"/>
          <w:szCs w:val="21"/>
          <w:shd w:val="clear" w:color="auto" w:fill="FFFFFF"/>
          <w:lang w:val="en-US" w:eastAsia="zh-CN"/>
        </w:rPr>
        <w:t>八</w:t>
      </w:r>
      <w:r>
        <w:rPr>
          <w:rFonts w:hint="eastAsia" w:ascii="宋体" w:hAnsi="宋体" w:eastAsia="宋体" w:cs="宋体"/>
          <w:b/>
          <w:bCs/>
          <w:color w:val="000000"/>
          <w:sz w:val="21"/>
          <w:szCs w:val="21"/>
          <w:shd w:val="clear" w:color="auto" w:fill="FFFFFF"/>
          <w:lang w:eastAsia="zh-CN"/>
        </w:rPr>
        <w:t>、凡对本次采购提出询问，请按以下方式联系：</w:t>
      </w:r>
    </w:p>
    <w:p w14:paraId="6D151589">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lang w:eastAsia="zh-CN"/>
        </w:rPr>
        <w:t>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lang w:eastAsia="zh-CN"/>
        </w:rPr>
        <w:t>采购人信息</w:t>
      </w:r>
    </w:p>
    <w:p w14:paraId="5FE64012">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eastAsia="zh-CN"/>
        </w:rPr>
        <w:t>名称：</w:t>
      </w:r>
      <w:r>
        <w:rPr>
          <w:rFonts w:hint="eastAsia" w:ascii="宋体" w:hAnsi="宋体" w:eastAsia="宋体" w:cs="宋体"/>
          <w:color w:val="000000"/>
          <w:sz w:val="21"/>
          <w:szCs w:val="21"/>
          <w:lang w:val="en-US" w:eastAsia="zh-CN"/>
        </w:rPr>
        <w:t>江苏高淳经济开发区管理委员会</w:t>
      </w:r>
    </w:p>
    <w:p w14:paraId="5D1CD456">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地址：</w:t>
      </w:r>
      <w:bookmarkStart w:id="5" w:name="_GoBack"/>
      <w:r>
        <w:rPr>
          <w:rFonts w:hint="eastAsia" w:ascii="宋体" w:hAnsi="宋体" w:eastAsia="宋体" w:cs="宋体"/>
          <w:color w:val="000000"/>
          <w:sz w:val="21"/>
          <w:szCs w:val="21"/>
          <w:lang w:val="en-US" w:eastAsia="zh-CN"/>
        </w:rPr>
        <w:t>南京市高淳区经济开发区古檀大道1号</w:t>
      </w:r>
      <w:bookmarkEnd w:id="5"/>
    </w:p>
    <w:p w14:paraId="76BC6377">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联系人：孔科</w:t>
      </w:r>
    </w:p>
    <w:p w14:paraId="2EE8598B">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 xml:space="preserve">联系电话：025-57358236 </w:t>
      </w:r>
      <w:r>
        <w:rPr>
          <w:rFonts w:hint="eastAsia" w:ascii="宋体" w:hAnsi="宋体" w:eastAsia="宋体" w:cs="宋体"/>
          <w:color w:val="000000"/>
          <w:sz w:val="21"/>
          <w:szCs w:val="21"/>
          <w:lang w:eastAsia="zh-CN"/>
        </w:rPr>
        <w:t xml:space="preserve"> </w:t>
      </w:r>
    </w:p>
    <w:p w14:paraId="31F255D4">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 xml:space="preserve">8.2 </w:t>
      </w:r>
      <w:r>
        <w:rPr>
          <w:rFonts w:hint="eastAsia" w:ascii="宋体" w:hAnsi="宋体" w:eastAsia="宋体" w:cs="宋体"/>
          <w:color w:val="000000"/>
          <w:sz w:val="21"/>
          <w:szCs w:val="21"/>
          <w:lang w:eastAsia="zh-CN"/>
        </w:rPr>
        <w:t>采购代理机构信息</w:t>
      </w:r>
    </w:p>
    <w:p w14:paraId="3E1BFFDD">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名称：南京爱诚工程项目咨询管理有限公司</w:t>
      </w:r>
    </w:p>
    <w:p w14:paraId="73F6DF1F">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地    址：南京市高淳区淳溪街道丹阳湖北路</w:t>
      </w:r>
      <w:r>
        <w:rPr>
          <w:rFonts w:hint="eastAsia" w:ascii="宋体" w:hAnsi="宋体" w:eastAsia="宋体" w:cs="宋体"/>
          <w:color w:val="000000"/>
          <w:sz w:val="21"/>
          <w:szCs w:val="21"/>
          <w:lang w:val="en-US" w:eastAsia="zh-CN"/>
        </w:rPr>
        <w:t>111号13栋3楼</w:t>
      </w:r>
    </w:p>
    <w:p w14:paraId="1BF54704">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联 系 人：</w:t>
      </w:r>
      <w:r>
        <w:rPr>
          <w:rFonts w:hint="eastAsia" w:ascii="宋体" w:hAnsi="宋体" w:eastAsia="宋体" w:cs="宋体"/>
          <w:color w:val="000000"/>
          <w:sz w:val="21"/>
          <w:szCs w:val="21"/>
          <w:lang w:val="en-US" w:eastAsia="zh-CN"/>
        </w:rPr>
        <w:t>孔</w:t>
      </w:r>
      <w:r>
        <w:rPr>
          <w:rFonts w:hint="eastAsia" w:ascii="宋体" w:hAnsi="宋体" w:eastAsia="宋体" w:cs="宋体"/>
          <w:color w:val="000000"/>
          <w:sz w:val="21"/>
          <w:szCs w:val="21"/>
          <w:lang w:eastAsia="zh-CN"/>
        </w:rPr>
        <w:t>工</w:t>
      </w:r>
    </w:p>
    <w:p w14:paraId="4F7736CF">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电    话：</w:t>
      </w:r>
      <w:r>
        <w:rPr>
          <w:rFonts w:hint="eastAsia" w:ascii="宋体" w:hAnsi="宋体" w:eastAsia="宋体" w:cs="宋体"/>
          <w:color w:val="000000"/>
          <w:sz w:val="21"/>
          <w:szCs w:val="21"/>
          <w:lang w:val="en-US" w:eastAsia="zh-CN"/>
        </w:rPr>
        <w:t>13913334829、15195780103</w:t>
      </w:r>
    </w:p>
    <w:p w14:paraId="5B907FF4">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 xml:space="preserve">8.3 </w:t>
      </w:r>
      <w:r>
        <w:rPr>
          <w:rFonts w:hint="eastAsia" w:ascii="宋体" w:hAnsi="宋体" w:eastAsia="宋体" w:cs="宋体"/>
          <w:color w:val="000000"/>
          <w:sz w:val="21"/>
          <w:szCs w:val="21"/>
          <w:lang w:eastAsia="zh-CN"/>
        </w:rPr>
        <w:t>项目联系方式</w:t>
      </w:r>
    </w:p>
    <w:p w14:paraId="6CE9B178">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项目联系人：</w:t>
      </w:r>
      <w:r>
        <w:rPr>
          <w:rFonts w:hint="eastAsia" w:ascii="宋体" w:hAnsi="宋体" w:eastAsia="宋体" w:cs="宋体"/>
          <w:color w:val="000000"/>
          <w:sz w:val="21"/>
          <w:szCs w:val="21"/>
          <w:lang w:val="en-US" w:eastAsia="zh-CN"/>
        </w:rPr>
        <w:t>孔工</w:t>
      </w:r>
    </w:p>
    <w:p w14:paraId="2019D696">
      <w:pPr>
        <w:keepNext w:val="0"/>
        <w:keepLines w:val="0"/>
        <w:pageBreakBefore w:val="0"/>
        <w:widowControl/>
        <w:kinsoku/>
        <w:wordWrap/>
        <w:overflowPunct/>
        <w:topLinePunct w:val="0"/>
        <w:bidi w:val="0"/>
        <w:adjustRightInd w:val="0"/>
        <w:snapToGrid w:val="0"/>
        <w:spacing w:line="336" w:lineRule="auto"/>
        <w:ind w:right="196" w:rightChars="98" w:firstLine="420" w:firstLineChars="20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电　　 话：</w:t>
      </w:r>
      <w:r>
        <w:rPr>
          <w:rFonts w:hint="eastAsia" w:ascii="宋体" w:hAnsi="宋体" w:eastAsia="宋体" w:cs="宋体"/>
          <w:color w:val="000000"/>
          <w:sz w:val="21"/>
          <w:szCs w:val="21"/>
          <w:lang w:val="en-US" w:eastAsia="zh-CN"/>
        </w:rPr>
        <w:t>13913334829、15195780103</w:t>
      </w:r>
    </w:p>
    <w:p w14:paraId="0C530D0E">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outlineLvl w:val="0"/>
        <w:rPr>
          <w:rFonts w:hint="eastAsia" w:ascii="宋体" w:hAnsi="宋体" w:eastAsia="宋体" w:cs="宋体"/>
          <w:b/>
          <w:bCs/>
          <w:color w:val="000000"/>
          <w:sz w:val="36"/>
          <w:szCs w:val="36"/>
          <w:lang w:val="zh-CN" w:eastAsia="zh-CN" w:bidi="ar-SA"/>
        </w:rPr>
      </w:pPr>
    </w:p>
    <w:p w14:paraId="77C47E12">
      <w:pPr>
        <w:keepNext w:val="0"/>
        <w:keepLines w:val="0"/>
        <w:pageBreakBefore w:val="0"/>
        <w:widowControl/>
        <w:kinsoku/>
        <w:wordWrap/>
        <w:overflowPunct/>
        <w:topLinePunct w:val="0"/>
        <w:autoSpaceDE w:val="0"/>
        <w:autoSpaceDN w:val="0"/>
        <w:bidi w:val="0"/>
        <w:adjustRightInd w:val="0"/>
        <w:snapToGrid/>
        <w:spacing w:line="500" w:lineRule="exact"/>
        <w:jc w:val="both"/>
        <w:textAlignment w:val="auto"/>
        <w:outlineLvl w:val="0"/>
        <w:rPr>
          <w:rFonts w:hint="eastAsia" w:ascii="宋体" w:hAnsi="宋体" w:eastAsia="宋体" w:cs="宋体"/>
          <w:b/>
          <w:bCs/>
          <w:color w:val="000000"/>
          <w:sz w:val="36"/>
          <w:szCs w:val="36"/>
          <w:lang w:val="zh-CN" w:eastAsia="zh-CN" w:bidi="ar-SA"/>
        </w:rPr>
      </w:pPr>
    </w:p>
    <w:p w14:paraId="01E5A4F4">
      <w:pPr>
        <w:keepNext w:val="0"/>
        <w:keepLines w:val="0"/>
        <w:pageBreakBefore w:val="0"/>
        <w:widowControl/>
        <w:kinsoku/>
        <w:wordWrap/>
        <w:overflowPunct/>
        <w:topLinePunct w:val="0"/>
        <w:autoSpaceDE w:val="0"/>
        <w:autoSpaceDN w:val="0"/>
        <w:bidi w:val="0"/>
        <w:adjustRightInd w:val="0"/>
        <w:snapToGrid/>
        <w:spacing w:line="500" w:lineRule="exact"/>
        <w:jc w:val="center"/>
        <w:textAlignment w:val="auto"/>
        <w:outlineLvl w:val="0"/>
        <w:rPr>
          <w:rFonts w:hint="eastAsia" w:ascii="宋体" w:hAnsi="宋体" w:eastAsia="宋体" w:cs="宋体"/>
          <w:b/>
          <w:bCs/>
          <w:color w:val="000000"/>
          <w:sz w:val="36"/>
          <w:szCs w:val="36"/>
          <w:lang w:val="zh-CN" w:eastAsia="zh-CN" w:bidi="ar-SA"/>
        </w:rPr>
      </w:pPr>
      <w:r>
        <w:rPr>
          <w:rFonts w:hint="eastAsia" w:ascii="宋体" w:hAnsi="宋体" w:eastAsia="宋体" w:cs="宋体"/>
          <w:b/>
          <w:bCs/>
          <w:color w:val="000000"/>
          <w:sz w:val="36"/>
          <w:szCs w:val="36"/>
          <w:lang w:val="zh-CN" w:eastAsia="zh-CN" w:bidi="ar-SA"/>
        </w:rPr>
        <w:t>第二章</w:t>
      </w:r>
      <w:r>
        <w:rPr>
          <w:rFonts w:hint="eastAsia" w:ascii="宋体" w:hAnsi="宋体" w:eastAsia="宋体" w:cs="宋体"/>
          <w:b/>
          <w:bCs/>
          <w:color w:val="000000"/>
          <w:sz w:val="36"/>
          <w:szCs w:val="36"/>
          <w:lang w:val="en-US" w:eastAsia="zh-CN" w:bidi="ar-SA"/>
        </w:rPr>
        <w:t xml:space="preserve">  </w:t>
      </w:r>
      <w:r>
        <w:rPr>
          <w:rFonts w:hint="eastAsia" w:ascii="宋体" w:hAnsi="宋体" w:eastAsia="宋体" w:cs="宋体"/>
          <w:b/>
          <w:bCs/>
          <w:color w:val="000000"/>
          <w:sz w:val="36"/>
          <w:szCs w:val="36"/>
          <w:lang w:val="zh-CN" w:eastAsia="zh-CN" w:bidi="ar-SA"/>
        </w:rPr>
        <w:t>供应商须知</w:t>
      </w:r>
    </w:p>
    <w:p w14:paraId="454C8CD0">
      <w:pPr>
        <w:pStyle w:val="6"/>
        <w:keepNext w:val="0"/>
        <w:keepLines w:val="0"/>
        <w:pageBreakBefore w:val="0"/>
        <w:widowControl/>
        <w:numPr>
          <w:ilvl w:val="0"/>
          <w:numId w:val="0"/>
        </w:numPr>
        <w:kinsoku/>
        <w:wordWrap/>
        <w:overflowPunct/>
        <w:topLinePunct w:val="0"/>
        <w:bidi w:val="0"/>
        <w:snapToGrid/>
        <w:spacing w:line="348" w:lineRule="auto"/>
        <w:ind w:firstLine="422" w:firstLineChars="200"/>
        <w:textAlignment w:val="auto"/>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一、</w:t>
      </w:r>
      <w:r>
        <w:rPr>
          <w:rFonts w:hint="eastAsia" w:ascii="宋体" w:hAnsi="宋体" w:eastAsia="宋体" w:cs="宋体"/>
          <w:b/>
          <w:color w:val="000000"/>
          <w:sz w:val="21"/>
          <w:szCs w:val="21"/>
        </w:rPr>
        <w:t>总则</w:t>
      </w:r>
    </w:p>
    <w:p w14:paraId="50AB2463">
      <w:pPr>
        <w:pStyle w:val="6"/>
        <w:keepNext w:val="0"/>
        <w:keepLines w:val="0"/>
        <w:pageBreakBefore w:val="0"/>
        <w:widowControl/>
        <w:kinsoku/>
        <w:wordWrap/>
        <w:overflowPunct/>
        <w:topLinePunct w:val="0"/>
        <w:bidi w:val="0"/>
        <w:snapToGrid/>
        <w:spacing w:line="348" w:lineRule="auto"/>
        <w:ind w:firstLine="422"/>
        <w:textAlignment w:val="auto"/>
        <w:outlineLvl w:val="2"/>
        <w:rPr>
          <w:rFonts w:hint="eastAsia" w:ascii="宋体" w:hAnsi="宋体" w:eastAsia="宋体" w:cs="宋体"/>
          <w:b/>
          <w:color w:val="000000"/>
          <w:sz w:val="21"/>
          <w:szCs w:val="21"/>
        </w:rPr>
      </w:pPr>
      <w:r>
        <w:rPr>
          <w:rFonts w:hint="eastAsia" w:ascii="宋体" w:hAnsi="宋体" w:eastAsia="宋体" w:cs="宋体"/>
          <w:b/>
          <w:color w:val="000000"/>
          <w:sz w:val="21"/>
          <w:szCs w:val="21"/>
        </w:rPr>
        <w:t>1、适用法律</w:t>
      </w:r>
    </w:p>
    <w:p w14:paraId="287FE1CF">
      <w:pPr>
        <w:pStyle w:val="6"/>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1.1 《中华人民共和国政府采购法》、《中华人民共和国政府采购法实施条例》、《政府采购竞争性磋商采购方式管理暂行办法》等有关法律、规章和规定等。</w:t>
      </w:r>
    </w:p>
    <w:p w14:paraId="1D82C26B">
      <w:pPr>
        <w:pStyle w:val="6"/>
        <w:keepNext w:val="0"/>
        <w:keepLines w:val="0"/>
        <w:pageBreakBefore w:val="0"/>
        <w:widowControl/>
        <w:kinsoku/>
        <w:wordWrap/>
        <w:overflowPunct/>
        <w:topLinePunct w:val="0"/>
        <w:bidi w:val="0"/>
        <w:snapToGrid/>
        <w:spacing w:line="348" w:lineRule="auto"/>
        <w:ind w:firstLine="422"/>
        <w:textAlignment w:val="auto"/>
        <w:outlineLvl w:val="2"/>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2、定义</w:t>
      </w:r>
    </w:p>
    <w:p w14:paraId="5E41D268">
      <w:pPr>
        <w:pStyle w:val="6"/>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2.1 “供应商”是指参加投标竞争，并符合磋商文件规定资格条件的法人、其他组织或者自然人。</w:t>
      </w:r>
    </w:p>
    <w:p w14:paraId="18B2E3C3">
      <w:pPr>
        <w:pStyle w:val="6"/>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2.2 “产品”指本磋商文件中所述产品及相关服务。</w:t>
      </w:r>
    </w:p>
    <w:p w14:paraId="35EF89DC">
      <w:pPr>
        <w:pStyle w:val="6"/>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2.3 “用户或使用单位”是指使用货物、服务的单位。</w:t>
      </w:r>
    </w:p>
    <w:p w14:paraId="55D30309">
      <w:pPr>
        <w:pStyle w:val="6"/>
        <w:keepNext w:val="0"/>
        <w:keepLines w:val="0"/>
        <w:pageBreakBefore w:val="0"/>
        <w:widowControl/>
        <w:kinsoku/>
        <w:wordWrap/>
        <w:overflowPunct/>
        <w:topLinePunct w:val="0"/>
        <w:bidi w:val="0"/>
        <w:snapToGrid/>
        <w:spacing w:line="348" w:lineRule="auto"/>
        <w:ind w:firstLine="422"/>
        <w:textAlignment w:val="auto"/>
        <w:outlineLvl w:val="2"/>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 xml:space="preserve">3、政策功能 </w:t>
      </w:r>
    </w:p>
    <w:p w14:paraId="1084F299">
      <w:pPr>
        <w:pStyle w:val="6"/>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3.1政府采购促进中小企业发展，小企业（含小型、微型企业）提供的产品和服务在评审时将获得优势，参加投标的小企业，应当提供《中小企业声明函》（“中小企业划型标准”详见《关于印发中小企业划型标准规定的通知》工信部联企业〔2011〕300号及《国家统计局关于印发统计上大中小微型企业划分办法的通知》国统字〔2011〕75号）。</w:t>
      </w:r>
    </w:p>
    <w:p w14:paraId="71C50061">
      <w:pPr>
        <w:pStyle w:val="6"/>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3.2政府采购支持监狱和戒毒企业发展政策，监狱和戒毒企业提供的产品和服务在评审时将获得优势，参加投标的监狱和戒毒企业，应当提供由省级以上监狱管理局、戒毒管理局（含新疆生产建设兵团）出具的属于监狱企业的证明文件，监狱和戒毒企业享受政府采购支持政策的要求详见财库〔2014〕68号。</w:t>
      </w:r>
    </w:p>
    <w:p w14:paraId="5CBBF937">
      <w:pPr>
        <w:pStyle w:val="6"/>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3.3政府采购促进残疾人就业政策，残疾人福利性单位提供的产品和服务在评审时将获得优势，参加投标的残疾人福利性单位，应当提供《残疾人福利性单位声明函》，残疾人福利性单位享受政府采购支持政策的要求详见财库〔2017〕141号。</w:t>
      </w:r>
    </w:p>
    <w:p w14:paraId="7AB33C1A">
      <w:pPr>
        <w:pStyle w:val="6"/>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3.4 强制采购节能产品、信息安全产品，优先采购环境标志产品。节能产品是指列入财政部、国家发展和改革委员会制定的节能产品品目政府采购清单，且经过认定的节能产品；信息安全产品是指列入国家质检总局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国家认监委《信息安全产品强制性认证目录》，并获得强制性产品认证证书的产品；环境标志产品是指列入财政部、国家环保总局制定的环境标志产品品目政府采购清单，且经过认证的环境标志产品。</w:t>
      </w:r>
    </w:p>
    <w:p w14:paraId="4749187E">
      <w:pPr>
        <w:pStyle w:val="6"/>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3.5提供的产品属于信息安全产品的，供应商应当选择经国家认证的信息安全产品投标，并提供由中国信息安全认证中心按国家标准认证颁发的有效认证证书复印件。</w:t>
      </w:r>
    </w:p>
    <w:p w14:paraId="4CEE0C39">
      <w:pPr>
        <w:pStyle w:val="6"/>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3.6提供的产品属于政府强制采购节能产品的，供应商应当选择经过认证的节能产品投标，并提供有效的节能产品认证证书复印件。</w:t>
      </w:r>
    </w:p>
    <w:p w14:paraId="20142CB8">
      <w:pPr>
        <w:pStyle w:val="6"/>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3.7提供的产品属于环境标志产品的,供应商应当选择经过认证的环境标志产品投标,并提供有效的环境标志产品认证证书复印件。</w:t>
      </w:r>
    </w:p>
    <w:p w14:paraId="674839F1">
      <w:pPr>
        <w:pStyle w:val="6"/>
        <w:keepNext w:val="0"/>
        <w:keepLines w:val="0"/>
        <w:pageBreakBefore w:val="0"/>
        <w:widowControl/>
        <w:kinsoku/>
        <w:wordWrap/>
        <w:overflowPunct/>
        <w:topLinePunct w:val="0"/>
        <w:bidi w:val="0"/>
        <w:snapToGrid/>
        <w:spacing w:line="348" w:lineRule="auto"/>
        <w:ind w:firstLine="422" w:firstLineChars="0"/>
        <w:textAlignment w:val="auto"/>
        <w:outlineLvl w:val="2"/>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4、磋商费用</w:t>
      </w:r>
    </w:p>
    <w:p w14:paraId="5044D780">
      <w:pPr>
        <w:pStyle w:val="6"/>
        <w:keepNext w:val="0"/>
        <w:keepLines w:val="0"/>
        <w:pageBreakBefore w:val="0"/>
        <w:widowControl/>
        <w:kinsoku/>
        <w:wordWrap/>
        <w:overflowPunct/>
        <w:topLinePunct w:val="0"/>
        <w:bidi w:val="0"/>
        <w:snapToGrid/>
        <w:spacing w:line="348" w:lineRule="auto"/>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4.1供应商应承担所有与准备和参加竞争性磋商有关的费用，无论采购结果如何，采购代理单位和采购人在任何情况下均无义务和责任承担这些费用。</w:t>
      </w:r>
    </w:p>
    <w:p w14:paraId="7BDBEE27">
      <w:pPr>
        <w:pStyle w:val="6"/>
        <w:keepNext w:val="0"/>
        <w:keepLines w:val="0"/>
        <w:pageBreakBefore w:val="0"/>
        <w:widowControl/>
        <w:kinsoku/>
        <w:wordWrap/>
        <w:overflowPunct/>
        <w:topLinePunct w:val="0"/>
        <w:bidi w:val="0"/>
        <w:snapToGrid/>
        <w:spacing w:line="348" w:lineRule="auto"/>
        <w:ind w:firstLine="422"/>
        <w:textAlignment w:val="auto"/>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4.2 本项目采购代理服务费由中标（成交）供应商参照《招标代理服务收费管理暂行办法》（计价格〔2002〕1980号）文规定相应的标准计取；该项费用供应商应综合考虑在磋商报价中，后期采购人不单独列支，供应商必须在领取成交通知书前向采购代理机构支付。</w:t>
      </w:r>
    </w:p>
    <w:p w14:paraId="043FA026">
      <w:pPr>
        <w:pStyle w:val="6"/>
        <w:keepNext w:val="0"/>
        <w:keepLines w:val="0"/>
        <w:pageBreakBefore w:val="0"/>
        <w:widowControl/>
        <w:kinsoku/>
        <w:wordWrap/>
        <w:overflowPunct/>
        <w:topLinePunct w:val="0"/>
        <w:bidi w:val="0"/>
        <w:snapToGrid/>
        <w:spacing w:line="348" w:lineRule="auto"/>
        <w:ind w:firstLine="422"/>
        <w:textAlignment w:val="auto"/>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4.3评委费由代理机构先行垫付，最终由中标供应商支付。该项费用请供应商综合考虑在投标报价中，后期采购人不单独列支。供应商必须在领取成交通知书前向采购代理机构支付。</w:t>
      </w:r>
    </w:p>
    <w:p w14:paraId="3726A44F">
      <w:pPr>
        <w:pStyle w:val="6"/>
        <w:keepNext w:val="0"/>
        <w:keepLines w:val="0"/>
        <w:pageBreakBefore w:val="0"/>
        <w:widowControl/>
        <w:numPr>
          <w:ilvl w:val="0"/>
          <w:numId w:val="0"/>
        </w:numPr>
        <w:kinsoku/>
        <w:wordWrap/>
        <w:overflowPunct/>
        <w:topLinePunct w:val="0"/>
        <w:bidi w:val="0"/>
        <w:snapToGrid/>
        <w:spacing w:line="348" w:lineRule="auto"/>
        <w:ind w:firstLine="422" w:firstLineChars="200"/>
        <w:jc w:val="left"/>
        <w:textAlignment w:val="auto"/>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bidi="ar"/>
        </w:rPr>
        <w:t>二、</w:t>
      </w:r>
      <w:r>
        <w:rPr>
          <w:rFonts w:hint="eastAsia" w:ascii="宋体" w:hAnsi="宋体" w:eastAsia="宋体" w:cs="宋体"/>
          <w:b/>
          <w:color w:val="000000"/>
          <w:sz w:val="21"/>
          <w:szCs w:val="21"/>
          <w:lang w:bidi="ar"/>
        </w:rPr>
        <w:t xml:space="preserve">响应文件编制 </w:t>
      </w:r>
    </w:p>
    <w:p w14:paraId="583F6E1F">
      <w:pPr>
        <w:pStyle w:val="6"/>
        <w:keepNext w:val="0"/>
        <w:keepLines w:val="0"/>
        <w:pageBreakBefore w:val="0"/>
        <w:widowControl/>
        <w:kinsoku/>
        <w:wordWrap/>
        <w:overflowPunct/>
        <w:topLinePunct w:val="0"/>
        <w:bidi w:val="0"/>
        <w:snapToGrid/>
        <w:spacing w:line="348" w:lineRule="auto"/>
        <w:ind w:firstLine="422"/>
        <w:jc w:val="left"/>
        <w:textAlignment w:val="auto"/>
        <w:outlineLvl w:val="2"/>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bidi="ar"/>
        </w:rPr>
        <w:t xml:space="preserve">5、响应文件的语言、计量单位、货币和编制 </w:t>
      </w:r>
    </w:p>
    <w:p w14:paraId="59E3E9A8">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5.1 供应商提交的磋商响应文件、技术文件和资料，包括图纸中的说明，以及供应商与代理机构就有关磋商的所有来往函电均应使用中文。响应文件中若有英文或其他语言文字的资料，应提供相应的中文翻译资料。对不同文本响应文件的解释发生异议的，以中文文本为准。</w:t>
      </w:r>
    </w:p>
    <w:p w14:paraId="5D473F05">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5.2 供应商所使用的计量单位应为国家法定计量单位。 </w:t>
      </w:r>
    </w:p>
    <w:p w14:paraId="4D0C248C">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5.3 供应商所使用的币种位应为人民币，单位为“元”。投标产品如果属于进口产品的，应提供人民币与美元之间的汇率。 </w:t>
      </w:r>
    </w:p>
    <w:p w14:paraId="4DB32405">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5.4 供应商所使用的技术标准应遵循国家最新标准及规范。</w:t>
      </w:r>
    </w:p>
    <w:p w14:paraId="215F8983">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5.5 响应文件应字迹清楚、内容齐全、不得涂改。如有修改，修改处须有供应商公章和法定代表人或其授权的供应商代表签字。</w:t>
      </w:r>
    </w:p>
    <w:p w14:paraId="171C9CD4">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5.6 响应文件应按照磋商文件规定的顺序，统一用A4规格幅面打印、装订成册并编制目录，逐页编码，不得跳页（包括但不限于证明材料、声明及产品介绍、彩页等）。由于编排混乱导致投标文件被误读或查找不到，责任由供应商承担。</w:t>
      </w:r>
    </w:p>
    <w:p w14:paraId="11C3D65A">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5.7 供应商应在响应文件中写清相应的项目编号、项目名称、供应商全称、地址、电话、传真等。 </w:t>
      </w:r>
    </w:p>
    <w:p w14:paraId="02D21CAD">
      <w:pPr>
        <w:pStyle w:val="6"/>
        <w:keepNext w:val="0"/>
        <w:keepLines w:val="0"/>
        <w:pageBreakBefore w:val="0"/>
        <w:widowControl/>
        <w:kinsoku/>
        <w:wordWrap/>
        <w:overflowPunct/>
        <w:topLinePunct w:val="0"/>
        <w:bidi w:val="0"/>
        <w:snapToGrid/>
        <w:spacing w:line="348" w:lineRule="auto"/>
        <w:ind w:firstLine="422"/>
        <w:jc w:val="left"/>
        <w:textAlignment w:val="auto"/>
        <w:outlineLvl w:val="2"/>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bidi="ar"/>
        </w:rPr>
        <w:t xml:space="preserve">6、响应文件的组成 </w:t>
      </w:r>
    </w:p>
    <w:p w14:paraId="1F94B58F">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6.1 供应商应当根据磋商文件要求编制响应文件，并根据自己的商务能力、技术水平对磋商文件提出的要求和条件逐条标明是否响应。响应文件由商务部分、技术部分、价格部分，以及其他部分组成。 </w:t>
      </w:r>
    </w:p>
    <w:p w14:paraId="5C060BF5">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6.2 </w:t>
      </w:r>
      <w:r>
        <w:rPr>
          <w:rFonts w:hint="eastAsia" w:ascii="宋体" w:hAnsi="宋体" w:eastAsia="宋体" w:cs="宋体"/>
          <w:b/>
          <w:color w:val="000000"/>
          <w:sz w:val="21"/>
          <w:szCs w:val="21"/>
          <w:lang w:eastAsia="zh-CN" w:bidi="ar"/>
        </w:rPr>
        <w:t>响应文件的商务部分</w:t>
      </w:r>
      <w:r>
        <w:rPr>
          <w:rFonts w:hint="eastAsia" w:ascii="宋体" w:hAnsi="宋体" w:eastAsia="宋体" w:cs="宋体"/>
          <w:color w:val="000000"/>
          <w:sz w:val="21"/>
          <w:szCs w:val="21"/>
          <w:lang w:eastAsia="zh-CN" w:bidi="ar"/>
        </w:rPr>
        <w:t xml:space="preserve">。商务部分是证明供应商有资格参加磋商和成交后有能力履行合同的文件，这些文件应能满足竞争性磋商采购文件的要求，包括但不限于下列文件，其中加“★”项目不得有缺失或无效： </w:t>
      </w:r>
    </w:p>
    <w:p w14:paraId="320F861E">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（1）★ 竞争性磋商申请及声明； </w:t>
      </w:r>
    </w:p>
    <w:p w14:paraId="517E754B">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eastAsia="zh-CN" w:bidi="ar"/>
        </w:rPr>
        <w:t xml:space="preserve">（2）★ 法定代表人授权委托书及委托代理人的身份证复印件； </w:t>
      </w:r>
    </w:p>
    <w:p w14:paraId="43CD0DA4">
      <w:pPr>
        <w:keepNext w:val="0"/>
        <w:keepLines w:val="0"/>
        <w:pageBreakBefore w:val="0"/>
        <w:widowControl/>
        <w:kinsoku/>
        <w:wordWrap/>
        <w:overflowPunct/>
        <w:topLinePunct w:val="0"/>
        <w:autoSpaceDE w:val="0"/>
        <w:autoSpaceDN w:val="0"/>
        <w:bidi w:val="0"/>
        <w:adjustRightInd w:val="0"/>
        <w:snapToGrid/>
        <w:spacing w:line="348" w:lineRule="auto"/>
        <w:ind w:firstLine="420" w:firstLineChars="200"/>
        <w:jc w:val="both"/>
        <w:textAlignment w:val="auto"/>
        <w:outlineLvl w:val="1"/>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bidi="ar"/>
        </w:rPr>
        <w:t>（</w:t>
      </w:r>
      <w:r>
        <w:rPr>
          <w:rFonts w:hint="eastAsia" w:ascii="宋体" w:hAnsi="宋体" w:cs="宋体"/>
          <w:color w:val="000000"/>
          <w:sz w:val="21"/>
          <w:szCs w:val="21"/>
          <w:lang w:val="en-US" w:eastAsia="zh-CN" w:bidi="ar"/>
        </w:rPr>
        <w:t>3</w:t>
      </w:r>
      <w:r>
        <w:rPr>
          <w:rFonts w:hint="eastAsia" w:ascii="宋体" w:hAnsi="宋体" w:eastAsia="宋体" w:cs="宋体"/>
          <w:color w:val="000000"/>
          <w:sz w:val="21"/>
          <w:szCs w:val="21"/>
          <w:lang w:val="en-US" w:eastAsia="zh-CN" w:bidi="ar"/>
        </w:rPr>
        <w:t>）</w:t>
      </w: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val="en-US" w:eastAsia="zh-CN" w:bidi="ar"/>
        </w:rPr>
        <w:t xml:space="preserve"> </w:t>
      </w:r>
      <w:r>
        <w:rPr>
          <w:rFonts w:hint="eastAsia" w:ascii="宋体" w:hAnsi="宋体" w:eastAsia="宋体" w:cs="宋体"/>
          <w:color w:val="000000"/>
          <w:sz w:val="21"/>
          <w:szCs w:val="21"/>
          <w:lang w:eastAsia="zh-CN"/>
        </w:rPr>
        <w:t>本项目的特定资格要求；</w:t>
      </w:r>
    </w:p>
    <w:p w14:paraId="2D3E5452">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w:t>
      </w:r>
      <w:r>
        <w:rPr>
          <w:rFonts w:hint="eastAsia" w:ascii="宋体" w:hAnsi="宋体" w:cs="宋体"/>
          <w:color w:val="000000"/>
          <w:sz w:val="21"/>
          <w:szCs w:val="21"/>
          <w:lang w:val="en-US" w:eastAsia="zh-CN" w:bidi="ar"/>
        </w:rPr>
        <w:t>4</w:t>
      </w:r>
      <w:r>
        <w:rPr>
          <w:rFonts w:hint="eastAsia" w:ascii="宋体" w:hAnsi="宋体" w:eastAsia="宋体" w:cs="宋体"/>
          <w:color w:val="000000"/>
          <w:sz w:val="21"/>
          <w:szCs w:val="21"/>
          <w:lang w:eastAsia="zh-CN" w:bidi="ar"/>
        </w:rPr>
        <w:t xml:space="preserve">）★《商务条款偏离表》； </w:t>
      </w:r>
    </w:p>
    <w:p w14:paraId="5493BC09">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w:t>
      </w:r>
      <w:r>
        <w:rPr>
          <w:rFonts w:hint="eastAsia" w:ascii="宋体" w:hAnsi="宋体" w:cs="宋体"/>
          <w:color w:val="000000"/>
          <w:sz w:val="21"/>
          <w:szCs w:val="21"/>
          <w:lang w:val="en-US" w:eastAsia="zh-CN" w:bidi="ar"/>
        </w:rPr>
        <w:t>5</w:t>
      </w:r>
      <w:r>
        <w:rPr>
          <w:rFonts w:hint="eastAsia" w:ascii="宋体" w:hAnsi="宋体" w:eastAsia="宋体" w:cs="宋体"/>
          <w:color w:val="000000"/>
          <w:sz w:val="21"/>
          <w:szCs w:val="21"/>
          <w:lang w:eastAsia="zh-CN" w:bidi="ar"/>
        </w:rPr>
        <w:t>）合同草案条款</w:t>
      </w:r>
    </w:p>
    <w:p w14:paraId="49886596">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w:t>
      </w:r>
      <w:r>
        <w:rPr>
          <w:rFonts w:hint="eastAsia" w:ascii="宋体" w:hAnsi="宋体" w:cs="宋体"/>
          <w:color w:val="000000"/>
          <w:sz w:val="21"/>
          <w:szCs w:val="21"/>
          <w:lang w:val="en-US" w:eastAsia="zh-CN" w:bidi="ar"/>
        </w:rPr>
        <w:t>6</w:t>
      </w:r>
      <w:r>
        <w:rPr>
          <w:rFonts w:hint="eastAsia" w:ascii="宋体" w:hAnsi="宋体" w:eastAsia="宋体" w:cs="宋体"/>
          <w:color w:val="000000"/>
          <w:sz w:val="21"/>
          <w:szCs w:val="21"/>
          <w:lang w:eastAsia="zh-CN" w:bidi="ar"/>
        </w:rPr>
        <w:t xml:space="preserve">）供应商认为需要提供的其他资格证明文件和商务资料。 </w:t>
      </w:r>
    </w:p>
    <w:p w14:paraId="4EBC3C97">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6.3 </w:t>
      </w:r>
      <w:r>
        <w:rPr>
          <w:rFonts w:hint="eastAsia" w:ascii="宋体" w:hAnsi="宋体" w:eastAsia="宋体" w:cs="宋体"/>
          <w:b/>
          <w:color w:val="000000"/>
          <w:sz w:val="21"/>
          <w:szCs w:val="21"/>
          <w:lang w:eastAsia="zh-CN" w:bidi="ar"/>
        </w:rPr>
        <w:t>响应文件的技术部分</w:t>
      </w:r>
      <w:r>
        <w:rPr>
          <w:rFonts w:hint="eastAsia" w:ascii="宋体" w:hAnsi="宋体" w:eastAsia="宋体" w:cs="宋体"/>
          <w:color w:val="000000"/>
          <w:sz w:val="21"/>
          <w:szCs w:val="21"/>
          <w:lang w:eastAsia="zh-CN" w:bidi="ar"/>
        </w:rPr>
        <w:t xml:space="preserve">。技术部分是证明供应商提供的服务是合格的，并符合磋商文件要求的证明文件，以及对服务的详细说明，这些文件可以是文字资料、图纸和数据等。若技术性能无特殊说明，则按国家有关部门最新颁布的标准及规范为准。提供的服务如与磋商文件要求有不符之处，应说明其差别之所在。响应文件应按照磋商文件要求提供技术资料、文件和有关证明，其中加“★”项目不得有缺失或无效。 </w:t>
      </w:r>
    </w:p>
    <w:p w14:paraId="426B3221">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val="zh-CN" w:eastAsia="zh-CN" w:bidi="ar"/>
        </w:rPr>
      </w:pPr>
      <w:r>
        <w:rPr>
          <w:rFonts w:hint="eastAsia" w:ascii="宋体" w:hAnsi="宋体" w:eastAsia="宋体" w:cs="宋体"/>
          <w:color w:val="000000"/>
          <w:sz w:val="21"/>
          <w:szCs w:val="21"/>
          <w:lang w:val="zh-CN" w:eastAsia="zh-CN" w:bidi="ar"/>
        </w:rPr>
        <w:t>（</w:t>
      </w:r>
      <w:r>
        <w:rPr>
          <w:rFonts w:hint="eastAsia" w:ascii="宋体" w:hAnsi="宋体" w:eastAsia="宋体" w:cs="宋体"/>
          <w:color w:val="000000"/>
          <w:sz w:val="21"/>
          <w:szCs w:val="21"/>
          <w:lang w:eastAsia="zh-CN" w:bidi="ar"/>
        </w:rPr>
        <w:t>1）★</w:t>
      </w:r>
      <w:r>
        <w:rPr>
          <w:rFonts w:hint="eastAsia" w:ascii="宋体" w:hAnsi="宋体" w:eastAsia="宋体" w:cs="宋体"/>
          <w:color w:val="000000"/>
          <w:sz w:val="21"/>
          <w:szCs w:val="21"/>
          <w:lang w:val="zh-CN" w:eastAsia="zh-CN" w:bidi="ar"/>
        </w:rPr>
        <w:t>《技术条款偏离表》；</w:t>
      </w:r>
    </w:p>
    <w:p w14:paraId="0CC76EE3">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（2）服务内容的详细说明；</w:t>
      </w:r>
    </w:p>
    <w:p w14:paraId="4CF71998">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（3）项目集成（实施）方案；</w:t>
      </w:r>
    </w:p>
    <w:p w14:paraId="2664CAB2">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 xml:space="preserve">（4）★ </w:t>
      </w:r>
      <w:r>
        <w:rPr>
          <w:rFonts w:hint="eastAsia" w:ascii="宋体" w:hAnsi="宋体" w:eastAsia="宋体" w:cs="宋体"/>
          <w:color w:val="000000"/>
          <w:sz w:val="21"/>
          <w:szCs w:val="21"/>
          <w:lang w:val="en-US" w:eastAsia="zh-CN" w:bidi="ar"/>
        </w:rPr>
        <w:t>服务方案</w:t>
      </w:r>
      <w:r>
        <w:rPr>
          <w:rFonts w:hint="eastAsia" w:ascii="宋体" w:hAnsi="宋体" w:eastAsia="宋体" w:cs="宋体"/>
          <w:color w:val="000000"/>
          <w:sz w:val="21"/>
          <w:szCs w:val="21"/>
          <w:lang w:eastAsia="zh-CN" w:bidi="ar"/>
        </w:rPr>
        <w:t>；</w:t>
      </w:r>
    </w:p>
    <w:p w14:paraId="5F34AC0D">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（5）供应商认为需要提供的其他技术资料。</w:t>
      </w:r>
    </w:p>
    <w:p w14:paraId="16529F25">
      <w:pPr>
        <w:keepNext w:val="0"/>
        <w:keepLines w:val="0"/>
        <w:pageBreakBefore w:val="0"/>
        <w:widowControl/>
        <w:kinsoku/>
        <w:wordWrap/>
        <w:overflowPunct/>
        <w:topLinePunct w:val="0"/>
        <w:bidi w:val="0"/>
        <w:snapToGrid/>
        <w:spacing w:line="348" w:lineRule="auto"/>
        <w:ind w:firstLine="422" w:firstLineChars="200"/>
        <w:textAlignment w:val="auto"/>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bidi="ar"/>
        </w:rPr>
        <w:t xml:space="preserve">6.4 响应文件的价格部分 </w:t>
      </w:r>
    </w:p>
    <w:p w14:paraId="21C6C11E">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（1）价格部分是对货物和服务价格构成的说明，磋商文件如没有特别说明的话，对每一项货物和服务仅接受一个价格。 </w:t>
      </w:r>
    </w:p>
    <w:p w14:paraId="16E2CE28">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（2）报价应包含完成本项目发生的所有含税费用包括代理服务费及评委费、支付给员工的工资和国家强制缴纳的各种社会保障资金，以及供应商认为需要的其他费用等。 </w:t>
      </w:r>
    </w:p>
    <w:p w14:paraId="6BE56F49">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（3）供应商应充分考虑到市场价格变动，以及项目实施过程中的不可预见因素，一旦成交，费率不变。如果有漏项，视同让利。 </w:t>
      </w:r>
    </w:p>
    <w:p w14:paraId="6FCC9B69">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（4）</w:t>
      </w:r>
      <w:r>
        <w:rPr>
          <w:rFonts w:hint="eastAsia" w:ascii="宋体" w:hAnsi="宋体" w:eastAsia="宋体" w:cs="宋体"/>
          <w:b/>
          <w:color w:val="000000"/>
          <w:sz w:val="21"/>
          <w:szCs w:val="21"/>
          <w:lang w:eastAsia="zh-CN" w:bidi="ar"/>
        </w:rPr>
        <w:t>经磋商后，如果成交价高于或低于供应商在响应文件首次报价的，分项报价同比例调整。</w:t>
      </w:r>
      <w:r>
        <w:rPr>
          <w:rFonts w:hint="eastAsia" w:ascii="宋体" w:hAnsi="宋体" w:eastAsia="宋体" w:cs="宋体"/>
          <w:color w:val="000000"/>
          <w:sz w:val="21"/>
          <w:szCs w:val="21"/>
          <w:lang w:eastAsia="zh-CN" w:bidi="ar"/>
        </w:rPr>
        <w:t xml:space="preserve"> </w:t>
      </w:r>
    </w:p>
    <w:p w14:paraId="4FB1B48E">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bidi="ar"/>
        </w:rPr>
        <w:t xml:space="preserve">6.5 响应文件的其他部分。其他部分由供应商根据编制响应文件需要提供的其他相关文件。 </w:t>
      </w:r>
    </w:p>
    <w:p w14:paraId="396B7FA2">
      <w:pPr>
        <w:pStyle w:val="6"/>
        <w:keepNext w:val="0"/>
        <w:keepLines w:val="0"/>
        <w:pageBreakBefore w:val="0"/>
        <w:widowControl/>
        <w:kinsoku/>
        <w:wordWrap/>
        <w:overflowPunct/>
        <w:topLinePunct w:val="0"/>
        <w:bidi w:val="0"/>
        <w:snapToGrid/>
        <w:spacing w:line="348" w:lineRule="auto"/>
        <w:ind w:firstLine="422"/>
        <w:jc w:val="left"/>
        <w:textAlignment w:val="auto"/>
        <w:outlineLvl w:val="2"/>
        <w:rPr>
          <w:rFonts w:hint="eastAsia" w:ascii="宋体" w:hAnsi="宋体" w:eastAsia="宋体" w:cs="宋体"/>
          <w:b/>
          <w:color w:val="000000"/>
          <w:sz w:val="21"/>
          <w:szCs w:val="21"/>
          <w:lang w:eastAsia="zh-CN" w:bidi="ar"/>
        </w:rPr>
      </w:pPr>
      <w:r>
        <w:rPr>
          <w:rFonts w:hint="eastAsia" w:ascii="宋体" w:hAnsi="宋体" w:eastAsia="宋体" w:cs="宋体"/>
          <w:b/>
          <w:color w:val="000000"/>
          <w:sz w:val="21"/>
          <w:szCs w:val="21"/>
          <w:lang w:eastAsia="zh-CN" w:bidi="ar"/>
        </w:rPr>
        <w:t>7、响应文件份数和签署</w:t>
      </w:r>
    </w:p>
    <w:p w14:paraId="54533C96">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b/>
          <w:color w:val="000000"/>
          <w:sz w:val="21"/>
          <w:szCs w:val="21"/>
          <w:lang w:eastAsia="zh-CN" w:bidi="ar"/>
        </w:rPr>
      </w:pPr>
      <w:r>
        <w:rPr>
          <w:rFonts w:hint="eastAsia" w:ascii="宋体" w:hAnsi="宋体" w:eastAsia="宋体" w:cs="宋体"/>
          <w:color w:val="000000"/>
          <w:sz w:val="21"/>
          <w:szCs w:val="21"/>
          <w:lang w:eastAsia="zh-CN" w:bidi="ar"/>
        </w:rPr>
        <w:t>7.1磋商供应商应严格按照采购邀请要求准备磋商响应文件（以下简称响应文件），每份响应文件须清楚地标明“正本”或“副本”字样。</w:t>
      </w:r>
      <w:r>
        <w:rPr>
          <w:rFonts w:hint="eastAsia" w:ascii="宋体" w:hAnsi="宋体" w:eastAsia="宋体" w:cs="宋体"/>
          <w:b/>
          <w:color w:val="000000"/>
          <w:sz w:val="21"/>
          <w:szCs w:val="21"/>
          <w:lang w:eastAsia="zh-CN" w:bidi="ar"/>
        </w:rPr>
        <w:t>正本份数：1份；副本份数：2份。（另请提供电子标书&lt;U&gt;盘一份，U盘中含响应文件所有内容）</w:t>
      </w:r>
    </w:p>
    <w:p w14:paraId="1CE7D9E1">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2559B7C4">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7.2 除磋商供应商对错处做必要修改外，响应文件不得行间插字、涂改或增删。如有修改错漏处，必须由响应文件签署人签字或盖章。</w:t>
      </w:r>
    </w:p>
    <w:p w14:paraId="78CA6FF3">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zh-CN"/>
        </w:rPr>
        <w:t>三、磋商响应文件的递交</w:t>
      </w:r>
    </w:p>
    <w:p w14:paraId="68F68B0F">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8</w:t>
      </w:r>
      <w:r>
        <w:rPr>
          <w:rFonts w:hint="eastAsia" w:ascii="宋体" w:hAnsi="宋体" w:eastAsia="宋体" w:cs="宋体"/>
          <w:b/>
          <w:bCs/>
          <w:sz w:val="21"/>
          <w:szCs w:val="21"/>
          <w:lang w:val="zh-CN"/>
        </w:rPr>
        <w:t>、磋商响应文件的密封和递交</w:t>
      </w:r>
    </w:p>
    <w:p w14:paraId="65A995B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8</w:t>
      </w:r>
      <w:r>
        <w:rPr>
          <w:rFonts w:hint="eastAsia" w:ascii="宋体" w:hAnsi="宋体" w:eastAsia="宋体" w:cs="宋体"/>
          <w:sz w:val="21"/>
          <w:szCs w:val="21"/>
          <w:lang w:val="zh-CN"/>
        </w:rPr>
        <w:t>.1 供应商应当在竞争性磋商文件要求提交磋商响应文件的截止时间前，将磋商响应文件密封送达指定地点。</w:t>
      </w:r>
    </w:p>
    <w:p w14:paraId="233AAF76">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Cs/>
          <w:sz w:val="21"/>
          <w:szCs w:val="21"/>
          <w:lang w:val="en-US" w:eastAsia="zh-CN"/>
        </w:rPr>
        <w:t>8</w:t>
      </w:r>
      <w:r>
        <w:rPr>
          <w:rFonts w:hint="eastAsia" w:ascii="宋体" w:hAnsi="宋体" w:eastAsia="宋体" w:cs="宋体"/>
          <w:bCs/>
          <w:sz w:val="21"/>
          <w:szCs w:val="21"/>
          <w:lang w:val="zh-CN"/>
        </w:rPr>
        <w:t xml:space="preserve">.2 </w:t>
      </w:r>
      <w:r>
        <w:rPr>
          <w:rFonts w:hint="eastAsia" w:ascii="宋体" w:hAnsi="宋体" w:eastAsia="宋体" w:cs="宋体"/>
          <w:b/>
          <w:bCs/>
          <w:sz w:val="21"/>
          <w:szCs w:val="21"/>
          <w:lang w:val="zh-CN"/>
        </w:rPr>
        <w:t>有下列情形之一的磋商响应文件将拒收：</w:t>
      </w:r>
    </w:p>
    <w:p w14:paraId="4C012336">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 xml:space="preserve">（1）未按竞争性磋商文件要求密封的； </w:t>
      </w:r>
    </w:p>
    <w:p w14:paraId="0AF853CC">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（2）在竞争性磋商文件要求的递交响应文件截止时间之后送达的。</w:t>
      </w:r>
    </w:p>
    <w:p w14:paraId="4AB4FE7E">
      <w:pPr>
        <w:keepNext w:val="0"/>
        <w:keepLines w:val="0"/>
        <w:pageBreakBefore w:val="0"/>
        <w:widowControl/>
        <w:tabs>
          <w:tab w:val="left" w:pos="5355"/>
        </w:tabs>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9</w:t>
      </w:r>
      <w:r>
        <w:rPr>
          <w:rFonts w:hint="eastAsia" w:ascii="宋体" w:hAnsi="宋体" w:eastAsia="宋体" w:cs="宋体"/>
          <w:b/>
          <w:bCs/>
          <w:sz w:val="21"/>
          <w:szCs w:val="21"/>
          <w:lang w:val="zh-CN"/>
        </w:rPr>
        <w:t>、诚实信用</w:t>
      </w:r>
    </w:p>
    <w:p w14:paraId="1C638A19">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9</w:t>
      </w:r>
      <w:r>
        <w:rPr>
          <w:rFonts w:hint="eastAsia" w:ascii="宋体" w:hAnsi="宋体" w:eastAsia="宋体" w:cs="宋体"/>
          <w:sz w:val="21"/>
          <w:szCs w:val="21"/>
          <w:lang w:val="zh-CN"/>
        </w:rPr>
        <w:t>.1 供应商之间不得相互串通报价，不得妨碍其他供应商的公平竞争，不得损害供应商或者其他供应商的合法权益。</w:t>
      </w:r>
    </w:p>
    <w:p w14:paraId="21A5875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9</w:t>
      </w:r>
      <w:r>
        <w:rPr>
          <w:rFonts w:hint="eastAsia" w:ascii="宋体" w:hAnsi="宋体" w:eastAsia="宋体" w:cs="宋体"/>
          <w:sz w:val="21"/>
          <w:szCs w:val="21"/>
          <w:lang w:val="zh-CN"/>
        </w:rPr>
        <w:t>.2 供应商不得以向工作人员、磋商小组成员行贿或者采取其他不正当手段谋取成交。</w:t>
      </w:r>
    </w:p>
    <w:p w14:paraId="74A282B4">
      <w:pPr>
        <w:keepNext w:val="0"/>
        <w:keepLines w:val="0"/>
        <w:pageBreakBefore w:val="0"/>
        <w:widowControl/>
        <w:kinsoku/>
        <w:wordWrap/>
        <w:overflowPunct/>
        <w:topLinePunct w:val="0"/>
        <w:autoSpaceDE w:val="0"/>
        <w:autoSpaceDN w:val="0"/>
        <w:bidi w:val="0"/>
        <w:adjustRightInd w:val="0"/>
        <w:snapToGrid/>
        <w:spacing w:line="348" w:lineRule="auto"/>
        <w:ind w:firstLine="422" w:firstLineChars="200"/>
        <w:textAlignment w:val="auto"/>
        <w:rPr>
          <w:rFonts w:hint="eastAsia" w:ascii="宋体" w:hAnsi="宋体" w:eastAsia="宋体" w:cs="宋体"/>
          <w:sz w:val="21"/>
          <w:szCs w:val="21"/>
          <w:lang w:val="zh-CN"/>
        </w:rPr>
      </w:pPr>
      <w:r>
        <w:rPr>
          <w:rFonts w:hint="eastAsia" w:ascii="宋体" w:hAnsi="宋体" w:eastAsia="宋体" w:cs="宋体"/>
          <w:b/>
          <w:bCs/>
          <w:sz w:val="21"/>
          <w:szCs w:val="21"/>
          <w:lang w:val="zh-CN"/>
        </w:rPr>
        <w:t>四、磋商</w:t>
      </w:r>
    </w:p>
    <w:p w14:paraId="02052F08">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10</w:t>
      </w:r>
      <w:r>
        <w:rPr>
          <w:rFonts w:hint="eastAsia" w:ascii="宋体" w:hAnsi="宋体" w:eastAsia="宋体" w:cs="宋体"/>
          <w:b/>
          <w:bCs/>
          <w:sz w:val="21"/>
          <w:szCs w:val="21"/>
          <w:lang w:val="zh-CN"/>
        </w:rPr>
        <w:t>、磋商组织</w:t>
      </w:r>
    </w:p>
    <w:p w14:paraId="197FDF3F">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10</w:t>
      </w:r>
      <w:r>
        <w:rPr>
          <w:rFonts w:hint="eastAsia" w:ascii="宋体" w:hAnsi="宋体" w:eastAsia="宋体" w:cs="宋体"/>
          <w:sz w:val="21"/>
          <w:szCs w:val="21"/>
          <w:lang w:val="zh-CN"/>
        </w:rPr>
        <w:t>.1 在递交磋商响应文件时间截止后，代理机构在规定的时间和地点组织磋商小组分别与供应商进行磋商。</w:t>
      </w:r>
    </w:p>
    <w:p w14:paraId="55611B30">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10</w:t>
      </w:r>
      <w:r>
        <w:rPr>
          <w:rFonts w:hint="eastAsia" w:ascii="宋体" w:hAnsi="宋体" w:eastAsia="宋体" w:cs="宋体"/>
          <w:sz w:val="21"/>
          <w:szCs w:val="21"/>
          <w:lang w:val="zh-CN"/>
        </w:rPr>
        <w:t>.2 磋商工作由</w:t>
      </w:r>
      <w:r>
        <w:rPr>
          <w:rFonts w:hint="eastAsia" w:ascii="宋体" w:hAnsi="宋体" w:eastAsia="宋体" w:cs="宋体"/>
          <w:sz w:val="21"/>
          <w:szCs w:val="21"/>
        </w:rPr>
        <w:t>代理机构</w:t>
      </w:r>
      <w:r>
        <w:rPr>
          <w:rFonts w:hint="eastAsia" w:ascii="宋体" w:hAnsi="宋体" w:eastAsia="宋体" w:cs="宋体"/>
          <w:sz w:val="21"/>
          <w:szCs w:val="21"/>
          <w:lang w:val="zh-CN"/>
        </w:rPr>
        <w:t>负责组织，具体磋商事务由依法组建的磋商小组负责。</w:t>
      </w:r>
    </w:p>
    <w:p w14:paraId="6D7CD8A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lang w:val="zh-CN"/>
        </w:rPr>
      </w:pPr>
      <w:r>
        <w:rPr>
          <w:rFonts w:hint="eastAsia" w:ascii="宋体" w:hAnsi="宋体" w:eastAsia="宋体" w:cs="宋体"/>
          <w:b/>
          <w:sz w:val="21"/>
          <w:szCs w:val="21"/>
          <w:lang w:val="en-US" w:eastAsia="zh-CN"/>
        </w:rPr>
        <w:t>11</w:t>
      </w:r>
      <w:r>
        <w:rPr>
          <w:rFonts w:hint="eastAsia" w:ascii="宋体" w:hAnsi="宋体" w:eastAsia="宋体" w:cs="宋体"/>
          <w:b/>
          <w:sz w:val="21"/>
          <w:szCs w:val="21"/>
          <w:lang w:val="zh-CN"/>
        </w:rPr>
        <w:t>、磋商程序</w:t>
      </w:r>
    </w:p>
    <w:p w14:paraId="6C7D1137">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11</w:t>
      </w:r>
      <w:r>
        <w:rPr>
          <w:rFonts w:hint="eastAsia" w:ascii="宋体" w:hAnsi="宋体" w:eastAsia="宋体" w:cs="宋体"/>
          <w:sz w:val="21"/>
          <w:szCs w:val="21"/>
          <w:lang w:val="zh-CN"/>
        </w:rPr>
        <w:t xml:space="preserve">.1 </w:t>
      </w:r>
      <w:r>
        <w:rPr>
          <w:rFonts w:hint="eastAsia" w:ascii="宋体" w:hAnsi="宋体" w:eastAsia="宋体" w:cs="宋体"/>
          <w:kern w:val="0"/>
          <w:sz w:val="21"/>
          <w:szCs w:val="21"/>
        </w:rPr>
        <w:t>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08AD999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11</w:t>
      </w:r>
      <w:r>
        <w:rPr>
          <w:rFonts w:hint="eastAsia" w:ascii="宋体" w:hAnsi="宋体" w:eastAsia="宋体" w:cs="宋体"/>
          <w:sz w:val="21"/>
          <w:szCs w:val="21"/>
          <w:lang w:val="zh-CN"/>
        </w:rPr>
        <w:t xml:space="preserve">.2 </w:t>
      </w:r>
      <w:r>
        <w:rPr>
          <w:rFonts w:hint="eastAsia" w:ascii="宋体" w:hAnsi="宋体" w:eastAsia="宋体" w:cs="宋体"/>
          <w:kern w:val="0"/>
          <w:sz w:val="21"/>
          <w:szCs w:val="21"/>
        </w:rPr>
        <w:t>磋商小组所有成员集中与单一供应商分别进行磋商，所有参加磋商的供应商均有同等的磋商机会。</w:t>
      </w:r>
    </w:p>
    <w:p w14:paraId="439CC31B">
      <w:pPr>
        <w:keepNext w:val="0"/>
        <w:keepLines w:val="0"/>
        <w:pageBreakBefore w:val="0"/>
        <w:widowControl/>
        <w:shd w:val="clear" w:color="auto" w:fill="FFFFFF"/>
        <w:kinsoku/>
        <w:wordWrap/>
        <w:overflowPunct/>
        <w:topLinePunct w:val="0"/>
        <w:bidi w:val="0"/>
        <w:snapToGrid/>
        <w:spacing w:line="348" w:lineRule="auto"/>
        <w:ind w:firstLine="420"/>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rPr>
        <w:t>.</w:t>
      </w:r>
      <w:r>
        <w:rPr>
          <w:rFonts w:hint="eastAsia" w:ascii="宋体" w:hAnsi="宋体" w:eastAsia="宋体" w:cs="宋体"/>
          <w:sz w:val="21"/>
          <w:szCs w:val="21"/>
          <w:lang w:val="zh-CN"/>
        </w:rPr>
        <w:t xml:space="preserve">3 </w:t>
      </w:r>
      <w:r>
        <w:rPr>
          <w:rFonts w:hint="eastAsia" w:ascii="宋体" w:hAnsi="宋体" w:eastAsia="宋体" w:cs="宋体"/>
          <w:kern w:val="0"/>
          <w:sz w:val="21"/>
          <w:szCs w:val="21"/>
        </w:rPr>
        <w:t>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00C68AD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lang w:val="zh-CN"/>
        </w:rPr>
        <w:t xml:space="preserve">.4 </w:t>
      </w:r>
      <w:r>
        <w:rPr>
          <w:rFonts w:hint="eastAsia" w:ascii="宋体" w:hAnsi="宋体" w:eastAsia="宋体" w:cs="宋体"/>
          <w:kern w:val="0"/>
          <w:sz w:val="21"/>
          <w:szCs w:val="21"/>
        </w:rPr>
        <w:t>供应商应当按照磋商文件的变动情况和磋商小组的要求重新提交响应文件，并由其法定代表人或授权代表签字或者加盖公章。</w:t>
      </w:r>
    </w:p>
    <w:p w14:paraId="6F3D29C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.5 磋商结束后，磋商小组将要求所有继续参加磋商的供应商在规定时间内提交最后报价。最后报价由其法定代表人或授权代表签字或者加盖公章，最后报价是供应商响应文件的有效组成部分。</w:t>
      </w:r>
    </w:p>
    <w:p w14:paraId="5F099F14">
      <w:pPr>
        <w:keepNext w:val="0"/>
        <w:keepLines w:val="0"/>
        <w:pageBreakBefore w:val="0"/>
        <w:widowControl/>
        <w:kinsoku/>
        <w:wordWrap/>
        <w:overflowPunct/>
        <w:topLinePunct w:val="0"/>
        <w:bidi w:val="0"/>
        <w:adjustRightInd w:val="0"/>
        <w:snapToGrid/>
        <w:spacing w:line="348"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11</w:t>
      </w:r>
      <w:r>
        <w:rPr>
          <w:rFonts w:hint="eastAsia" w:ascii="宋体" w:hAnsi="宋体" w:eastAsia="宋体" w:cs="宋体"/>
          <w:kern w:val="0"/>
          <w:sz w:val="21"/>
          <w:szCs w:val="21"/>
        </w:rPr>
        <w:t>.6 已提交响应文件的供应商，在提交最后报价之前，可以根据磋商情况退出磋商。退出磋商的供应商，</w:t>
      </w:r>
      <w:r>
        <w:rPr>
          <w:rFonts w:hint="eastAsia" w:ascii="宋体" w:hAnsi="宋体" w:eastAsia="宋体" w:cs="宋体"/>
          <w:kern w:val="0"/>
          <w:sz w:val="21"/>
          <w:szCs w:val="21"/>
          <w:lang w:val="zh-CN"/>
        </w:rPr>
        <w:t>在一至三年内禁止参加</w:t>
      </w:r>
      <w:r>
        <w:rPr>
          <w:rFonts w:hint="eastAsia" w:ascii="宋体" w:hAnsi="宋体" w:cs="宋体"/>
          <w:kern w:val="0"/>
          <w:sz w:val="21"/>
          <w:szCs w:val="21"/>
          <w:lang w:val="en-US" w:eastAsia="zh-CN"/>
        </w:rPr>
        <w:t>我单位组织的</w:t>
      </w:r>
      <w:r>
        <w:rPr>
          <w:rFonts w:hint="eastAsia" w:ascii="宋体" w:hAnsi="宋体" w:eastAsia="宋体" w:cs="宋体"/>
          <w:kern w:val="0"/>
          <w:sz w:val="21"/>
          <w:szCs w:val="21"/>
          <w:lang w:val="zh-CN"/>
        </w:rPr>
        <w:t>采购活动，并予以通报。</w:t>
      </w:r>
    </w:p>
    <w:p w14:paraId="19F8F090">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kern w:val="0"/>
          <w:sz w:val="21"/>
          <w:szCs w:val="21"/>
        </w:rPr>
      </w:pPr>
      <w:r>
        <w:rPr>
          <w:rFonts w:hint="eastAsia" w:ascii="宋体" w:hAnsi="宋体" w:eastAsia="宋体" w:cs="宋体"/>
          <w:sz w:val="21"/>
          <w:szCs w:val="21"/>
          <w:lang w:val="en-US" w:eastAsia="zh-CN"/>
        </w:rPr>
        <w:t>11</w:t>
      </w:r>
      <w:r>
        <w:rPr>
          <w:rFonts w:hint="eastAsia" w:ascii="宋体" w:hAnsi="宋体" w:eastAsia="宋体" w:cs="宋体"/>
          <w:sz w:val="21"/>
          <w:szCs w:val="21"/>
          <w:lang w:val="zh-CN"/>
        </w:rPr>
        <w:t>.7 出现下列情形之一的磋商响应文件按照无效处理：</w:t>
      </w:r>
    </w:p>
    <w:p w14:paraId="782EA2B5">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（1）不具备竞争性磋商文件中规定资格条件的（</w:t>
      </w:r>
      <w:r>
        <w:rPr>
          <w:rFonts w:hint="eastAsia" w:ascii="宋体" w:hAnsi="宋体" w:eastAsia="宋体" w:cs="宋体"/>
          <w:b/>
          <w:sz w:val="21"/>
          <w:szCs w:val="21"/>
        </w:rPr>
        <w:t>仅审查供应商根据采购项目的特殊要求规定供应商的特定条件</w:t>
      </w:r>
      <w:r>
        <w:rPr>
          <w:rFonts w:hint="eastAsia" w:ascii="宋体" w:hAnsi="宋体" w:eastAsia="宋体" w:cs="宋体"/>
          <w:sz w:val="21"/>
          <w:szCs w:val="21"/>
        </w:rPr>
        <w:t>）；</w:t>
      </w:r>
    </w:p>
    <w:p w14:paraId="6A8FB970">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（2）未实质性响应采购文件要求的；</w:t>
      </w:r>
    </w:p>
    <w:p w14:paraId="28955AF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（3）</w:t>
      </w:r>
      <w:r>
        <w:rPr>
          <w:rFonts w:hint="eastAsia" w:ascii="宋体" w:hAnsi="宋体" w:eastAsia="宋体" w:cs="宋体"/>
          <w:sz w:val="21"/>
          <w:szCs w:val="21"/>
          <w:lang w:val="zh-CN"/>
        </w:rPr>
        <w:t>不符合法律、法规和竞争性磋商文件规定的其他实质性要求的。</w:t>
      </w:r>
    </w:p>
    <w:p w14:paraId="569B260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rPr>
      </w:pPr>
      <w:r>
        <w:rPr>
          <w:rFonts w:hint="eastAsia" w:ascii="宋体" w:hAnsi="宋体" w:eastAsia="宋体" w:cs="宋体"/>
          <w:b/>
          <w:sz w:val="21"/>
          <w:szCs w:val="21"/>
          <w:lang w:val="en-US" w:eastAsia="zh-CN"/>
        </w:rPr>
        <w:t>11</w:t>
      </w:r>
      <w:r>
        <w:rPr>
          <w:rFonts w:hint="eastAsia" w:ascii="宋体" w:hAnsi="宋体" w:eastAsia="宋体" w:cs="宋体"/>
          <w:b/>
          <w:sz w:val="21"/>
          <w:szCs w:val="21"/>
          <w:lang w:val="zh-CN"/>
        </w:rPr>
        <w:t xml:space="preserve">.8 </w:t>
      </w:r>
      <w:r>
        <w:rPr>
          <w:rFonts w:hint="eastAsia" w:ascii="宋体" w:hAnsi="宋体" w:eastAsia="宋体" w:cs="宋体"/>
          <w:b/>
          <w:bCs/>
          <w:sz w:val="21"/>
          <w:szCs w:val="21"/>
        </w:rPr>
        <w:t>出现下列情形之一的磋商终止，无成交供应商：</w:t>
      </w:r>
    </w:p>
    <w:p w14:paraId="72093E07">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Cs/>
          <w:sz w:val="21"/>
          <w:szCs w:val="21"/>
          <w:lang w:val="zh-CN"/>
        </w:rPr>
        <w:t>（1）</w:t>
      </w:r>
      <w:r>
        <w:rPr>
          <w:rFonts w:hint="eastAsia" w:ascii="宋体" w:hAnsi="宋体" w:eastAsia="宋体" w:cs="宋体"/>
          <w:b/>
          <w:bCs/>
          <w:sz w:val="21"/>
          <w:szCs w:val="21"/>
          <w:lang w:val="zh-CN"/>
        </w:rPr>
        <w:t>所有供应商的磋商响应文件被磋商小组认定为无效的；</w:t>
      </w:r>
    </w:p>
    <w:p w14:paraId="5F282971">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Cs/>
          <w:sz w:val="21"/>
          <w:szCs w:val="21"/>
          <w:lang w:val="zh-CN"/>
        </w:rPr>
        <w:t>（2）</w:t>
      </w:r>
      <w:r>
        <w:rPr>
          <w:rFonts w:hint="eastAsia" w:ascii="宋体" w:hAnsi="宋体" w:eastAsia="宋体" w:cs="宋体"/>
          <w:sz w:val="21"/>
          <w:szCs w:val="21"/>
          <w:lang w:val="zh-CN"/>
        </w:rPr>
        <w:t>出现影响采购公正的违法、违规行为的；</w:t>
      </w:r>
    </w:p>
    <w:p w14:paraId="65FBDA82">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Cs/>
          <w:sz w:val="21"/>
          <w:szCs w:val="21"/>
          <w:lang w:val="zh-CN"/>
        </w:rPr>
        <w:t>（3）</w:t>
      </w:r>
      <w:r>
        <w:rPr>
          <w:rFonts w:hint="eastAsia" w:ascii="宋体" w:hAnsi="宋体" w:eastAsia="宋体" w:cs="宋体"/>
          <w:b/>
          <w:bCs/>
          <w:sz w:val="21"/>
          <w:szCs w:val="21"/>
          <w:lang w:val="zh-CN"/>
        </w:rPr>
        <w:t>供应商的最终报价超过采购预算，且供应商不能支付的；</w:t>
      </w:r>
    </w:p>
    <w:p w14:paraId="523AB93C">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（4）因重大变故，采购任务取消的；</w:t>
      </w:r>
    </w:p>
    <w:p w14:paraId="2000F8E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（5）供应商需求发生重大变化暂时不能确定或供应商提供的服务不能满足需求等。</w:t>
      </w:r>
    </w:p>
    <w:p w14:paraId="139D3A7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1</w:t>
      </w:r>
      <w:r>
        <w:rPr>
          <w:rFonts w:hint="eastAsia" w:ascii="宋体" w:hAnsi="宋体" w:eastAsia="宋体" w:cs="宋体"/>
          <w:b/>
          <w:sz w:val="21"/>
          <w:szCs w:val="21"/>
          <w:lang w:val="en-US" w:eastAsia="zh-CN"/>
        </w:rPr>
        <w:t>2</w:t>
      </w:r>
      <w:r>
        <w:rPr>
          <w:rFonts w:hint="eastAsia" w:ascii="宋体" w:hAnsi="宋体" w:eastAsia="宋体" w:cs="宋体"/>
          <w:b/>
          <w:sz w:val="21"/>
          <w:szCs w:val="21"/>
          <w:lang w:val="zh-CN"/>
        </w:rPr>
        <w:t>、投标文件的符合性检查。</w:t>
      </w:r>
    </w:p>
    <w:p w14:paraId="13B2F4BB">
      <w:pPr>
        <w:keepNext w:val="0"/>
        <w:keepLines w:val="0"/>
        <w:pageBreakBefore w:val="0"/>
        <w:widowControl/>
        <w:kinsoku/>
        <w:wordWrap/>
        <w:overflowPunct/>
        <w:topLinePunct w:val="0"/>
        <w:bidi w:val="0"/>
        <w:adjustRightInd w:val="0"/>
        <w:snapToGrid/>
        <w:spacing w:line="348" w:lineRule="auto"/>
        <w:ind w:firstLine="420" w:firstLineChars="200"/>
        <w:textAlignment w:val="auto"/>
        <w:rPr>
          <w:rFonts w:hint="eastAsia" w:ascii="宋体" w:hAnsi="宋体" w:eastAsia="宋体" w:cs="宋体"/>
          <w:bCs/>
          <w:kern w:val="0"/>
          <w:sz w:val="21"/>
          <w:szCs w:val="21"/>
          <w:lang w:val="zh-CN"/>
        </w:rPr>
      </w:pPr>
      <w:r>
        <w:rPr>
          <w:rFonts w:hint="eastAsia" w:ascii="宋体" w:hAnsi="宋体" w:eastAsia="宋体" w:cs="宋体"/>
          <w:bCs/>
          <w:kern w:val="0"/>
          <w:sz w:val="21"/>
          <w:szCs w:val="21"/>
          <w:lang w:val="zh-CN"/>
        </w:rPr>
        <w:t>评标委员会将依据法律法规和招标文件的规定，对投标文件的有效性、完整性和对招标文件的响应程度进行审查，以确定是否对招标文件的实质性要求作出响应。</w:t>
      </w:r>
    </w:p>
    <w:p w14:paraId="4EFFEC6B">
      <w:pPr>
        <w:keepNext w:val="0"/>
        <w:keepLines w:val="0"/>
        <w:pageBreakBefore w:val="0"/>
        <w:widowControl/>
        <w:kinsoku/>
        <w:wordWrap/>
        <w:overflowPunct/>
        <w:topLinePunct w:val="0"/>
        <w:bidi w:val="0"/>
        <w:adjustRightInd w:val="0"/>
        <w:snapToGrid/>
        <w:spacing w:line="348" w:lineRule="auto"/>
        <w:ind w:firstLine="420" w:firstLineChars="200"/>
        <w:textAlignment w:val="auto"/>
        <w:rPr>
          <w:rFonts w:hint="eastAsia" w:ascii="宋体" w:hAnsi="宋体" w:eastAsia="宋体" w:cs="宋体"/>
          <w:bCs/>
          <w:kern w:val="0"/>
          <w:sz w:val="21"/>
          <w:szCs w:val="21"/>
          <w:lang w:val="zh-CN"/>
        </w:rPr>
      </w:pPr>
      <w:r>
        <w:rPr>
          <w:rFonts w:hint="eastAsia" w:ascii="宋体" w:hAnsi="宋体" w:eastAsia="宋体" w:cs="宋体"/>
          <w:bCs/>
          <w:kern w:val="0"/>
          <w:sz w:val="21"/>
          <w:szCs w:val="21"/>
          <w:lang w:val="zh-CN"/>
        </w:rPr>
        <w:t>实质性要求是指本招标文件中用带星号（“★”）的商务和技术要求。</w:t>
      </w:r>
    </w:p>
    <w:p w14:paraId="434B2002">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1</w:t>
      </w:r>
      <w:r>
        <w:rPr>
          <w:rFonts w:hint="eastAsia" w:ascii="宋体" w:hAnsi="宋体" w:eastAsia="宋体" w:cs="宋体"/>
          <w:b/>
          <w:sz w:val="21"/>
          <w:szCs w:val="21"/>
          <w:lang w:val="en-US" w:eastAsia="zh-CN"/>
        </w:rPr>
        <w:t>3</w:t>
      </w:r>
      <w:r>
        <w:rPr>
          <w:rFonts w:hint="eastAsia" w:ascii="宋体" w:hAnsi="宋体" w:eastAsia="宋体" w:cs="宋体"/>
          <w:b/>
          <w:sz w:val="21"/>
          <w:szCs w:val="21"/>
          <w:lang w:val="zh-CN"/>
        </w:rPr>
        <w:t>、</w:t>
      </w:r>
      <w:r>
        <w:rPr>
          <w:rFonts w:hint="eastAsia" w:ascii="宋体" w:hAnsi="宋体" w:eastAsia="宋体" w:cs="宋体"/>
          <w:b/>
          <w:bCs/>
          <w:kern w:val="0"/>
          <w:sz w:val="21"/>
          <w:szCs w:val="21"/>
          <w:lang w:val="zh-CN"/>
        </w:rPr>
        <w:t>评分方法和标准。</w:t>
      </w:r>
    </w:p>
    <w:p w14:paraId="23A20AB4">
      <w:pPr>
        <w:keepNext w:val="0"/>
        <w:keepLines w:val="0"/>
        <w:pageBreakBefore w:val="0"/>
        <w:widowControl/>
        <w:kinsoku/>
        <w:wordWrap/>
        <w:overflowPunct/>
        <w:topLinePunct w:val="0"/>
        <w:bidi w:val="0"/>
        <w:adjustRightInd w:val="0"/>
        <w:snapToGrid/>
        <w:spacing w:line="348" w:lineRule="auto"/>
        <w:ind w:firstLine="420" w:firstLineChars="200"/>
        <w:textAlignment w:val="auto"/>
        <w:rPr>
          <w:rFonts w:hint="eastAsia" w:ascii="宋体" w:hAnsi="宋体" w:eastAsia="宋体" w:cs="宋体"/>
          <w:bCs/>
          <w:kern w:val="0"/>
          <w:sz w:val="21"/>
          <w:szCs w:val="21"/>
          <w:lang w:val="zh-CN"/>
        </w:rPr>
      </w:pPr>
      <w:r>
        <w:rPr>
          <w:rFonts w:hint="eastAsia" w:ascii="宋体" w:hAnsi="宋体" w:eastAsia="宋体" w:cs="宋体"/>
          <w:bCs/>
          <w:kern w:val="0"/>
          <w:sz w:val="21"/>
          <w:szCs w:val="21"/>
          <w:lang w:val="zh-CN"/>
        </w:rPr>
        <w:t>1</w:t>
      </w:r>
      <w:r>
        <w:rPr>
          <w:rFonts w:hint="eastAsia" w:ascii="宋体" w:hAnsi="宋体" w:eastAsia="宋体" w:cs="宋体"/>
          <w:bCs/>
          <w:kern w:val="0"/>
          <w:sz w:val="21"/>
          <w:szCs w:val="21"/>
          <w:lang w:val="en-US" w:eastAsia="zh-CN"/>
        </w:rPr>
        <w:t>3</w:t>
      </w:r>
      <w:r>
        <w:rPr>
          <w:rFonts w:hint="eastAsia" w:ascii="宋体" w:hAnsi="宋体" w:eastAsia="宋体" w:cs="宋体"/>
          <w:bCs/>
          <w:kern w:val="0"/>
          <w:sz w:val="21"/>
          <w:szCs w:val="21"/>
          <w:lang w:val="zh-CN"/>
        </w:rPr>
        <w:t xml:space="preserve">.1 </w:t>
      </w:r>
      <w:r>
        <w:rPr>
          <w:rFonts w:hint="eastAsia" w:ascii="宋体" w:hAnsi="宋体" w:eastAsia="宋体" w:cs="宋体"/>
          <w:kern w:val="0"/>
          <w:sz w:val="21"/>
          <w:szCs w:val="21"/>
          <w:lang w:val="zh-CN"/>
        </w:rPr>
        <w:t>采用综合评分法。即</w:t>
      </w:r>
      <w:r>
        <w:rPr>
          <w:rFonts w:hint="eastAsia" w:ascii="宋体" w:hAnsi="宋体" w:eastAsia="宋体" w:cs="宋体"/>
          <w:kern w:val="0"/>
          <w:sz w:val="21"/>
          <w:szCs w:val="21"/>
        </w:rPr>
        <w:t>在最大限度地满足磋商文件实质性要求前提下，按照磋商文件中规定的各项因素进行综合评审后，以评审总得分最高的供应商作为成交候选供应商或者成交供应商的评分方法。</w:t>
      </w:r>
    </w:p>
    <w:p w14:paraId="3F122940">
      <w:pPr>
        <w:keepNext w:val="0"/>
        <w:keepLines w:val="0"/>
        <w:pageBreakBefore w:val="0"/>
        <w:widowControl/>
        <w:kinsoku/>
        <w:wordWrap/>
        <w:overflowPunct/>
        <w:topLinePunct w:val="0"/>
        <w:bidi w:val="0"/>
        <w:adjustRightInd w:val="0"/>
        <w:snapToGrid/>
        <w:spacing w:line="348" w:lineRule="auto"/>
        <w:ind w:firstLine="420" w:firstLineChars="200"/>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en-US" w:eastAsia="zh-CN"/>
        </w:rPr>
        <w:t>13</w:t>
      </w:r>
      <w:r>
        <w:rPr>
          <w:rFonts w:hint="eastAsia" w:ascii="宋体" w:hAnsi="宋体" w:eastAsia="宋体" w:cs="宋体"/>
          <w:kern w:val="0"/>
          <w:sz w:val="21"/>
          <w:szCs w:val="21"/>
          <w:lang w:val="zh-CN"/>
        </w:rPr>
        <w:t>.</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val="zh-CN"/>
        </w:rPr>
        <w:t>评</w:t>
      </w:r>
      <w:r>
        <w:rPr>
          <w:rFonts w:hint="eastAsia" w:ascii="宋体" w:hAnsi="宋体" w:cs="宋体"/>
          <w:kern w:val="0"/>
          <w:sz w:val="21"/>
          <w:szCs w:val="21"/>
          <w:lang w:val="en-US" w:eastAsia="zh-CN"/>
        </w:rPr>
        <w:t>审</w:t>
      </w:r>
      <w:r>
        <w:rPr>
          <w:rFonts w:hint="eastAsia" w:ascii="宋体" w:hAnsi="宋体" w:eastAsia="宋体" w:cs="宋体"/>
          <w:kern w:val="0"/>
          <w:sz w:val="21"/>
          <w:szCs w:val="21"/>
          <w:lang w:val="zh-CN"/>
        </w:rPr>
        <w:t>标准详见第三章。</w:t>
      </w:r>
    </w:p>
    <w:p w14:paraId="6F64B5A3">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14</w:t>
      </w:r>
      <w:r>
        <w:rPr>
          <w:rFonts w:hint="eastAsia" w:ascii="宋体" w:hAnsi="宋体" w:eastAsia="宋体" w:cs="宋体"/>
          <w:b/>
          <w:bCs/>
          <w:sz w:val="21"/>
          <w:szCs w:val="21"/>
          <w:lang w:val="zh-CN"/>
        </w:rPr>
        <w:t>、确定成交供应商</w:t>
      </w:r>
    </w:p>
    <w:p w14:paraId="7579D6C8">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.1 在综合比较与评价后按照得分高低顺序对供应商进行排列。</w:t>
      </w:r>
      <w:r>
        <w:rPr>
          <w:rFonts w:hint="eastAsia" w:ascii="宋体" w:hAnsi="宋体" w:eastAsia="宋体" w:cs="宋体"/>
          <w:sz w:val="21"/>
          <w:szCs w:val="21"/>
        </w:rPr>
        <w:t>得分相同的，按报价由低到高顺序排列。得分且报价相同的，按技术指标优劣顺序排列。</w:t>
      </w:r>
      <w:r>
        <w:rPr>
          <w:rFonts w:hint="eastAsia" w:ascii="宋体" w:hAnsi="宋体" w:eastAsia="宋体" w:cs="宋体"/>
          <w:sz w:val="21"/>
          <w:szCs w:val="21"/>
          <w:lang w:val="zh-CN"/>
        </w:rPr>
        <w:t>磋商小组将综合排名第一的供应商确定为成交供应商。</w:t>
      </w:r>
    </w:p>
    <w:p w14:paraId="06C61D36">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.2 成交供应商确定后将进行公示，公示期为</w:t>
      </w:r>
      <w:r>
        <w:rPr>
          <w:rFonts w:hint="eastAsia" w:ascii="宋体" w:hAnsi="宋体" w:eastAsia="宋体" w:cs="宋体"/>
          <w:b/>
          <w:bCs/>
          <w:sz w:val="21"/>
          <w:szCs w:val="21"/>
        </w:rPr>
        <w:t>一</w:t>
      </w:r>
      <w:r>
        <w:rPr>
          <w:rFonts w:hint="eastAsia" w:ascii="宋体" w:hAnsi="宋体" w:eastAsia="宋体" w:cs="宋体"/>
          <w:b/>
          <w:bCs/>
          <w:sz w:val="21"/>
          <w:szCs w:val="21"/>
          <w:lang w:val="zh-CN"/>
        </w:rPr>
        <w:t>个工作日</w:t>
      </w:r>
      <w:r>
        <w:rPr>
          <w:rFonts w:hint="eastAsia" w:ascii="宋体" w:hAnsi="宋体" w:eastAsia="宋体" w:cs="宋体"/>
          <w:sz w:val="21"/>
          <w:szCs w:val="21"/>
          <w:lang w:val="zh-CN"/>
        </w:rPr>
        <w:t>，公示期内无供应商质疑的，向成交供应商发出成交通知书。</w:t>
      </w:r>
    </w:p>
    <w:p w14:paraId="24CAF8E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.3 成交通知书对供应商和成交供应商具有同等法律效力。</w:t>
      </w:r>
    </w:p>
    <w:p w14:paraId="5FE9510F">
      <w:pPr>
        <w:keepNext w:val="0"/>
        <w:keepLines w:val="0"/>
        <w:pageBreakBefore w:val="0"/>
        <w:widowControl/>
        <w:kinsoku/>
        <w:wordWrap/>
        <w:overflowPunct/>
        <w:topLinePunct w:val="0"/>
        <w:bidi w:val="0"/>
        <w:adjustRightInd w:val="0"/>
        <w:snapToGrid/>
        <w:spacing w:line="348" w:lineRule="auto"/>
        <w:ind w:firstLine="422" w:firstLineChars="200"/>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1</w:t>
      </w:r>
      <w:r>
        <w:rPr>
          <w:rFonts w:hint="eastAsia" w:ascii="宋体" w:hAnsi="宋体" w:eastAsia="宋体" w:cs="宋体"/>
          <w:b/>
          <w:sz w:val="21"/>
          <w:szCs w:val="21"/>
          <w:lang w:val="en-US" w:eastAsia="zh-CN"/>
        </w:rPr>
        <w:t>4</w:t>
      </w:r>
      <w:r>
        <w:rPr>
          <w:rFonts w:hint="eastAsia" w:ascii="宋体" w:hAnsi="宋体" w:eastAsia="宋体" w:cs="宋体"/>
          <w:b/>
          <w:sz w:val="21"/>
          <w:szCs w:val="21"/>
          <w:lang w:val="zh-CN"/>
        </w:rPr>
        <w:t>.4中标通知书发出后，中标供应商除发生法律规定的不能预见、不能避免并不能克服的客观情况外不与采购人签订合同的，按照预算金额2%向采购人缴纳罚金，并按照《南京市政府采购供应商信用管理工作暂行办法》（宁财规[2018]10号）属第十一条第8款情形，作为严重失信行为，纳入供应商诚信档案记录。由财政部门将其列入“黑名单”，在一至三年内禁止参加</w:t>
      </w:r>
      <w:r>
        <w:rPr>
          <w:rFonts w:hint="eastAsia" w:ascii="宋体" w:hAnsi="宋体" w:cs="宋体"/>
          <w:b/>
          <w:sz w:val="21"/>
          <w:szCs w:val="21"/>
          <w:lang w:val="en-US" w:eastAsia="zh-CN"/>
        </w:rPr>
        <w:t>我单位组织的</w:t>
      </w:r>
      <w:r>
        <w:rPr>
          <w:rFonts w:hint="eastAsia" w:ascii="宋体" w:hAnsi="宋体" w:eastAsia="宋体" w:cs="宋体"/>
          <w:b/>
          <w:sz w:val="21"/>
          <w:szCs w:val="21"/>
          <w:lang w:val="zh-CN"/>
        </w:rPr>
        <w:t>采购活动，并予以通报。</w:t>
      </w:r>
    </w:p>
    <w:p w14:paraId="53F145AF">
      <w:pPr>
        <w:keepNext w:val="0"/>
        <w:keepLines w:val="0"/>
        <w:pageBreakBefore w:val="0"/>
        <w:widowControl/>
        <w:tabs>
          <w:tab w:val="left" w:pos="1260"/>
        </w:tabs>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.5 代理机构对未成交的供应商不作未成交原因的解释。</w:t>
      </w:r>
    </w:p>
    <w:p w14:paraId="3CF24A6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r>
        <w:rPr>
          <w:rFonts w:hint="eastAsia" w:ascii="宋体" w:hAnsi="宋体" w:eastAsia="宋体" w:cs="宋体"/>
          <w:sz w:val="21"/>
          <w:szCs w:val="21"/>
        </w:rPr>
        <w:t>.6 所有磋商响应文件都将作为档案保存，不论成交与否，代理机构均不退回。</w:t>
      </w:r>
    </w:p>
    <w:p w14:paraId="78361C63">
      <w:pPr>
        <w:keepNext w:val="0"/>
        <w:keepLines w:val="0"/>
        <w:pageBreakBefore w:val="0"/>
        <w:widowControl/>
        <w:kinsoku/>
        <w:wordWrap/>
        <w:overflowPunct/>
        <w:topLinePunct w:val="0"/>
        <w:autoSpaceDE w:val="0"/>
        <w:autoSpaceDN w:val="0"/>
        <w:bidi w:val="0"/>
        <w:adjustRightInd w:val="0"/>
        <w:snapToGrid/>
        <w:spacing w:line="348" w:lineRule="auto"/>
        <w:ind w:firstLine="413" w:firstLineChars="196"/>
        <w:textAlignment w:val="auto"/>
        <w:rPr>
          <w:rFonts w:hint="eastAsia" w:ascii="宋体" w:hAnsi="宋体" w:eastAsia="宋体" w:cs="宋体"/>
          <w:b/>
          <w:sz w:val="21"/>
          <w:szCs w:val="21"/>
        </w:rPr>
      </w:pPr>
      <w:r>
        <w:rPr>
          <w:rFonts w:hint="eastAsia" w:ascii="宋体" w:hAnsi="宋体" w:eastAsia="宋体" w:cs="宋体"/>
          <w:b/>
          <w:sz w:val="21"/>
          <w:szCs w:val="21"/>
          <w:lang w:val="zh-CN"/>
        </w:rPr>
        <w:t>1</w:t>
      </w:r>
      <w:r>
        <w:rPr>
          <w:rFonts w:hint="eastAsia" w:ascii="宋体" w:hAnsi="宋体" w:eastAsia="宋体" w:cs="宋体"/>
          <w:b/>
          <w:sz w:val="21"/>
          <w:szCs w:val="21"/>
          <w:lang w:val="en-US" w:eastAsia="zh-CN"/>
        </w:rPr>
        <w:t>5</w:t>
      </w:r>
      <w:r>
        <w:rPr>
          <w:rFonts w:hint="eastAsia" w:ascii="宋体" w:hAnsi="宋体" w:eastAsia="宋体" w:cs="宋体"/>
          <w:b/>
          <w:sz w:val="21"/>
          <w:szCs w:val="21"/>
        </w:rPr>
        <w:t>、编写磋商（评审）报告</w:t>
      </w:r>
    </w:p>
    <w:p w14:paraId="6CEB2CB1">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r>
        <w:rPr>
          <w:rFonts w:hint="eastAsia" w:ascii="宋体" w:hAnsi="宋体" w:eastAsia="宋体" w:cs="宋体"/>
          <w:sz w:val="21"/>
          <w:szCs w:val="21"/>
        </w:rPr>
        <w:t>.1 磋商小组根据磋商过程和结果编写磋商（评审）报告。</w:t>
      </w:r>
    </w:p>
    <w:p w14:paraId="0D91BE43">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rPr>
      </w:pPr>
      <w:r>
        <w:rPr>
          <w:rFonts w:hint="eastAsia" w:ascii="宋体" w:hAnsi="宋体" w:eastAsia="宋体" w:cs="宋体"/>
          <w:b/>
          <w:bCs/>
          <w:sz w:val="21"/>
          <w:szCs w:val="21"/>
        </w:rPr>
        <w:t>五、签订合同</w:t>
      </w:r>
    </w:p>
    <w:p w14:paraId="723DB404">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sz w:val="21"/>
          <w:szCs w:val="21"/>
          <w:lang w:val="zh-CN"/>
        </w:rPr>
        <w:t>1</w:t>
      </w:r>
      <w:r>
        <w:rPr>
          <w:rFonts w:hint="eastAsia" w:ascii="宋体" w:hAnsi="宋体" w:eastAsia="宋体" w:cs="宋体"/>
          <w:b/>
          <w:sz w:val="21"/>
          <w:szCs w:val="21"/>
          <w:lang w:val="en-US" w:eastAsia="zh-CN"/>
        </w:rPr>
        <w:t>6</w:t>
      </w:r>
      <w:r>
        <w:rPr>
          <w:rFonts w:hint="eastAsia" w:ascii="宋体" w:hAnsi="宋体" w:eastAsia="宋体" w:cs="宋体"/>
          <w:b/>
          <w:sz w:val="21"/>
          <w:szCs w:val="21"/>
          <w:lang w:val="zh-CN"/>
        </w:rPr>
        <w:t>、</w:t>
      </w:r>
      <w:r>
        <w:rPr>
          <w:rFonts w:hint="eastAsia" w:ascii="宋体" w:hAnsi="宋体" w:eastAsia="宋体" w:cs="宋体"/>
          <w:b/>
          <w:bCs/>
          <w:sz w:val="21"/>
          <w:szCs w:val="21"/>
          <w:lang w:val="zh-CN"/>
        </w:rPr>
        <w:t>签订合同</w:t>
      </w:r>
    </w:p>
    <w:p w14:paraId="61ED9A4B">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lang w:val="zh-CN"/>
        </w:rPr>
        <w:t>.</w:t>
      </w:r>
      <w:r>
        <w:rPr>
          <w:rFonts w:hint="eastAsia" w:ascii="宋体" w:hAnsi="宋体" w:eastAsia="宋体" w:cs="宋体"/>
          <w:sz w:val="21"/>
          <w:szCs w:val="21"/>
        </w:rPr>
        <w:t>1 成交供应商应当</w:t>
      </w:r>
      <w:r>
        <w:rPr>
          <w:rFonts w:hint="eastAsia" w:ascii="宋体" w:hAnsi="宋体" w:eastAsia="宋体" w:cs="宋体"/>
          <w:sz w:val="21"/>
          <w:szCs w:val="21"/>
          <w:lang w:val="zh-CN"/>
        </w:rPr>
        <w:t>自成交通知书发出之日起三十日内，</w:t>
      </w:r>
      <w:r>
        <w:rPr>
          <w:rFonts w:hint="eastAsia" w:ascii="宋体" w:hAnsi="宋体" w:eastAsia="宋体" w:cs="宋体"/>
          <w:sz w:val="21"/>
          <w:szCs w:val="21"/>
        </w:rPr>
        <w:t>与供应商签订政府采购合同，所签订的合同不得对竞争性磋商文件和竞争性磋商响应文件作实质性修改。</w:t>
      </w:r>
    </w:p>
    <w:p w14:paraId="405CE56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lang w:val="zh-CN"/>
        </w:rPr>
        <w:t xml:space="preserve">.2 </w:t>
      </w:r>
      <w:r>
        <w:rPr>
          <w:rFonts w:hint="eastAsia" w:ascii="宋体" w:hAnsi="宋体" w:eastAsia="宋体" w:cs="宋体"/>
          <w:sz w:val="21"/>
          <w:szCs w:val="21"/>
        </w:rPr>
        <w:t>供应商不得向成交供应商提出任何不合理的要求作为签订合同的条件，不得与成交供应商私下订立背离合同实质性内容的协议。</w:t>
      </w:r>
    </w:p>
    <w:p w14:paraId="4426C55E">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6</w:t>
      </w:r>
      <w:r>
        <w:rPr>
          <w:rFonts w:hint="eastAsia" w:ascii="宋体" w:hAnsi="宋体" w:eastAsia="宋体" w:cs="宋体"/>
          <w:sz w:val="21"/>
          <w:szCs w:val="21"/>
          <w:lang w:val="zh-CN"/>
        </w:rPr>
        <w:t xml:space="preserve">.3 </w:t>
      </w:r>
      <w:r>
        <w:rPr>
          <w:rFonts w:hint="eastAsia" w:ascii="宋体" w:hAnsi="宋体" w:eastAsia="宋体" w:cs="宋体"/>
          <w:sz w:val="21"/>
          <w:szCs w:val="21"/>
        </w:rPr>
        <w:t>成交通知书发出后，供应商改变成交结果或拒绝签订合同的，应至少向成交供应商支付补偿金，以及供应商为参加竞争性磋商所发生的有关费用和双方商定的其他补偿，并承担相应的法律责任。</w:t>
      </w:r>
    </w:p>
    <w:p w14:paraId="72E71FEB">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.4 </w:t>
      </w:r>
      <w:r>
        <w:rPr>
          <w:rFonts w:hint="eastAsia" w:ascii="宋体" w:hAnsi="宋体" w:eastAsia="宋体" w:cs="宋体"/>
          <w:sz w:val="21"/>
          <w:szCs w:val="21"/>
          <w:lang w:val="zh-CN"/>
        </w:rPr>
        <w:t>成交供应商因不可抗力或者自身原因不能履行政府采购合同的，供应商可以视情与排位在成交供应商之后第一位的成交候选供应商签订政府采购合同，以此类推。</w:t>
      </w:r>
    </w:p>
    <w:p w14:paraId="73619A38">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6</w:t>
      </w:r>
      <w:r>
        <w:rPr>
          <w:rFonts w:hint="eastAsia" w:ascii="宋体" w:hAnsi="宋体" w:eastAsia="宋体" w:cs="宋体"/>
          <w:sz w:val="21"/>
          <w:szCs w:val="21"/>
          <w:lang w:val="zh-CN"/>
        </w:rPr>
        <w:t>.5 政府采购合同履行中，供应商需追加与合同标的相同的服务的，在不改变合同其他条款的前提下，可以与供应商协商签订补充合同，但所有补充合同的采购金额不得超过原合同采购金额的百分之十。</w:t>
      </w:r>
    </w:p>
    <w:p w14:paraId="7000104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outlineLvl w:val="0"/>
        <w:rPr>
          <w:rFonts w:hint="eastAsia" w:ascii="宋体" w:hAnsi="宋体" w:eastAsia="宋体" w:cs="宋体"/>
          <w:b/>
          <w:bCs/>
          <w:sz w:val="21"/>
          <w:szCs w:val="21"/>
          <w:lang w:val="zh-CN"/>
        </w:rPr>
      </w:pPr>
      <w:r>
        <w:rPr>
          <w:rFonts w:hint="eastAsia" w:ascii="宋体" w:hAnsi="宋体" w:eastAsia="宋体" w:cs="宋体"/>
          <w:b/>
          <w:bCs/>
          <w:sz w:val="21"/>
          <w:szCs w:val="21"/>
          <w:lang w:val="zh-CN"/>
        </w:rPr>
        <w:t>六、询问、质疑、投诉和诚实信用</w:t>
      </w:r>
    </w:p>
    <w:p w14:paraId="2BD10BCF">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rPr>
        <w:t>1</w:t>
      </w:r>
      <w:r>
        <w:rPr>
          <w:rFonts w:hint="eastAsia" w:ascii="宋体" w:hAnsi="宋体" w:eastAsia="宋体" w:cs="宋体"/>
          <w:b/>
          <w:bCs/>
          <w:sz w:val="21"/>
          <w:szCs w:val="21"/>
          <w:lang w:val="en-US" w:eastAsia="zh-CN"/>
        </w:rPr>
        <w:t>7</w:t>
      </w:r>
      <w:r>
        <w:rPr>
          <w:rFonts w:hint="eastAsia" w:ascii="宋体" w:hAnsi="宋体" w:eastAsia="宋体" w:cs="宋体"/>
          <w:b/>
          <w:bCs/>
          <w:sz w:val="21"/>
          <w:szCs w:val="21"/>
          <w:lang w:val="zh-CN"/>
        </w:rPr>
        <w:t>、询问</w:t>
      </w:r>
    </w:p>
    <w:p w14:paraId="38785670">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lang w:val="zh-CN"/>
        </w:rPr>
      </w:pPr>
      <w:r>
        <w:rPr>
          <w:rFonts w:hint="eastAsia" w:ascii="宋体" w:hAnsi="宋体" w:eastAsia="宋体" w:cs="宋体"/>
          <w:sz w:val="21"/>
          <w:szCs w:val="21"/>
          <w:lang w:val="zh-CN"/>
        </w:rPr>
        <w:t>供应商对招标活动事项有疑问的，可以向招标代理公司或招标人提出询问，招标代理或招标人将在两个工作日内作出答复，但答复的内容不涉及商业秘密</w:t>
      </w:r>
      <w:r>
        <w:rPr>
          <w:rFonts w:hint="eastAsia" w:ascii="宋体" w:hAnsi="宋体" w:eastAsia="宋体" w:cs="宋体"/>
          <w:b/>
          <w:sz w:val="21"/>
          <w:szCs w:val="21"/>
          <w:lang w:val="zh-CN"/>
        </w:rPr>
        <w:t>。</w:t>
      </w:r>
    </w:p>
    <w:p w14:paraId="5A6AA935">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lang w:val="zh-CN"/>
        </w:rPr>
      </w:pPr>
      <w:r>
        <w:rPr>
          <w:rFonts w:hint="eastAsia" w:ascii="宋体" w:hAnsi="宋体" w:eastAsia="宋体" w:cs="宋体"/>
          <w:b/>
          <w:sz w:val="21"/>
          <w:szCs w:val="21"/>
        </w:rPr>
        <w:t>1</w:t>
      </w:r>
      <w:r>
        <w:rPr>
          <w:rFonts w:hint="eastAsia" w:ascii="宋体" w:hAnsi="宋体" w:eastAsia="宋体" w:cs="宋体"/>
          <w:b/>
          <w:sz w:val="21"/>
          <w:szCs w:val="21"/>
          <w:lang w:val="en-US" w:eastAsia="zh-CN"/>
        </w:rPr>
        <w:t>8</w:t>
      </w:r>
      <w:r>
        <w:rPr>
          <w:rFonts w:hint="eastAsia" w:ascii="宋体" w:hAnsi="宋体" w:eastAsia="宋体" w:cs="宋体"/>
          <w:b/>
          <w:sz w:val="21"/>
          <w:szCs w:val="21"/>
          <w:lang w:val="zh-CN"/>
        </w:rPr>
        <w:t>、质疑</w:t>
      </w:r>
    </w:p>
    <w:p w14:paraId="63699EBF">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lang w:val="zh-CN"/>
        </w:rPr>
        <w:t>.1 供应商认为招标文件、采购过程和中标结果使自己的合法权益受到损害的，可以在采购公告期限满之日起七个工作日内（逾期不予受理），将质疑文件原件送达招标代理（传真件与快递件不予受理）。采购信息公告期限自财政部门指定媒体发布公告之日起算，期限5个工作日。采购结果公告期限自财政部门指定媒体发布公告之日起算，期限1个工作日。</w:t>
      </w:r>
    </w:p>
    <w:p w14:paraId="5D9493AF">
      <w:pPr>
        <w:keepNext w:val="0"/>
        <w:keepLines w:val="0"/>
        <w:pageBreakBefore w:val="0"/>
        <w:widowControl/>
        <w:kinsoku/>
        <w:wordWrap/>
        <w:overflowPunct/>
        <w:topLinePunct w:val="0"/>
        <w:autoSpaceDE w:val="0"/>
        <w:autoSpaceDN w:val="0"/>
        <w:bidi w:val="0"/>
        <w:adjustRightInd w:val="0"/>
        <w:snapToGrid/>
        <w:spacing w:line="348" w:lineRule="auto"/>
        <w:ind w:firstLine="420" w:firstLineChars="200"/>
        <w:textAlignment w:val="auto"/>
        <w:rPr>
          <w:rFonts w:hint="eastAsia" w:ascii="宋体" w:hAnsi="宋体" w:eastAsia="宋体" w:cs="宋体"/>
          <w:snapToGrid w:val="0"/>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lang w:val="zh-CN"/>
        </w:rPr>
        <w:t>.2 质疑文件应包括以下主要内容，并</w:t>
      </w:r>
      <w:r>
        <w:rPr>
          <w:rFonts w:hint="eastAsia" w:ascii="宋体" w:hAnsi="宋体" w:eastAsia="宋体" w:cs="宋体"/>
          <w:sz w:val="21"/>
          <w:szCs w:val="21"/>
        </w:rPr>
        <w:t>按照“谁主张、谁举证”的原则，附上相关证明材料。否则，招标代理或采购人不予受理：</w:t>
      </w:r>
      <w:r>
        <w:rPr>
          <w:rFonts w:hint="eastAsia" w:ascii="宋体" w:hAnsi="宋体" w:eastAsia="宋体" w:cs="宋体"/>
          <w:snapToGrid w:val="0"/>
          <w:sz w:val="21"/>
          <w:szCs w:val="21"/>
        </w:rPr>
        <w:t>　　　　　　　</w:t>
      </w:r>
    </w:p>
    <w:p w14:paraId="0996D7BA">
      <w:pPr>
        <w:keepNext w:val="0"/>
        <w:keepLines w:val="0"/>
        <w:pageBreakBefore w:val="0"/>
        <w:widowControl/>
        <w:kinsoku/>
        <w:wordWrap/>
        <w:overflowPunct/>
        <w:topLinePunct w:val="0"/>
        <w:autoSpaceDE w:val="0"/>
        <w:autoSpaceDN w:val="0"/>
        <w:bidi w:val="0"/>
        <w:adjustRightInd w:val="0"/>
        <w:snapToGrid/>
        <w:spacing w:line="348" w:lineRule="auto"/>
        <w:ind w:left="400" w:leftChars="200"/>
        <w:textAlignment w:val="auto"/>
        <w:rPr>
          <w:rFonts w:hint="eastAsia" w:ascii="宋体" w:hAnsi="宋体" w:eastAsia="宋体" w:cs="宋体"/>
          <w:sz w:val="21"/>
          <w:szCs w:val="21"/>
          <w:lang w:val="zh-CN"/>
        </w:rPr>
      </w:pPr>
      <w:r>
        <w:rPr>
          <w:rFonts w:hint="eastAsia" w:ascii="宋体" w:hAnsi="宋体" w:eastAsia="宋体" w:cs="宋体"/>
          <w:sz w:val="21"/>
          <w:szCs w:val="21"/>
        </w:rPr>
        <w:t>（1）质疑项目名称、项目编号、包号、招标公告发布时间、开标时间；</w:t>
      </w:r>
    </w:p>
    <w:p w14:paraId="36629FE1">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（2）提起质疑的日期、具体的质疑事项及事实根据（具体条款）；</w:t>
      </w:r>
    </w:p>
    <w:p w14:paraId="3E09E0D8">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（3）认为自己合法权益受到损害或可能受到损害的相关证据材料。质疑相关证明材料中如涉及到产品功能或技术指标的，应出具相关制造商的证明文件（友情提示：</w:t>
      </w:r>
      <w:r>
        <w:rPr>
          <w:rFonts w:hint="eastAsia" w:ascii="宋体" w:hAnsi="宋体" w:eastAsia="宋体" w:cs="宋体"/>
          <w:sz w:val="21"/>
          <w:szCs w:val="21"/>
        </w:rPr>
        <w:t>供应商全部产品线中没有满足技术需求要求的产品才可以对招标产品提出质疑，并提出</w:t>
      </w:r>
      <w:r>
        <w:rPr>
          <w:rFonts w:hint="eastAsia" w:ascii="宋体" w:hAnsi="宋体" w:eastAsia="宋体" w:cs="宋体"/>
          <w:sz w:val="21"/>
          <w:szCs w:val="21"/>
          <w:lang w:val="zh-CN"/>
        </w:rPr>
        <w:t>修改理由和修改建议）；</w:t>
      </w:r>
    </w:p>
    <w:p w14:paraId="1550D9A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（4）质疑供应商名称、地址、邮编、联系人、联系电话</w:t>
      </w:r>
      <w:r>
        <w:rPr>
          <w:rFonts w:hint="eastAsia" w:ascii="宋体" w:hAnsi="宋体" w:eastAsia="宋体" w:cs="宋体"/>
          <w:sz w:val="21"/>
          <w:szCs w:val="21"/>
        </w:rPr>
        <w:t>（包括座机、手机、传真号码等）</w:t>
      </w:r>
      <w:r>
        <w:rPr>
          <w:rFonts w:hint="eastAsia" w:ascii="宋体" w:hAnsi="宋体" w:eastAsia="宋体" w:cs="宋体"/>
          <w:sz w:val="21"/>
          <w:szCs w:val="21"/>
          <w:lang w:val="zh-CN"/>
        </w:rPr>
        <w:t>；</w:t>
      </w:r>
    </w:p>
    <w:p w14:paraId="15AE803A">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（5）质疑文件应当署名，质疑人为自然人的，应当由本人签字并附有效身份证明；质疑人为法人或其他组织的，应当由法定代表人签字并加盖单位公章。</w:t>
      </w:r>
    </w:p>
    <w:p w14:paraId="2BC89636">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rPr>
      </w:pPr>
      <w:r>
        <w:rPr>
          <w:rFonts w:hint="eastAsia" w:ascii="宋体" w:hAnsi="宋体" w:eastAsia="宋体" w:cs="宋体"/>
          <w:sz w:val="21"/>
          <w:szCs w:val="21"/>
          <w:lang w:val="zh-CN"/>
        </w:rPr>
        <w:t>（6）供应商委托代理质疑的，应当向被质疑人提交授权委托书，并载明委托代理的具体权限和事项。</w:t>
      </w:r>
    </w:p>
    <w:p w14:paraId="58E004FC">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lang w:val="zh-CN"/>
        </w:rPr>
        <w:t>.3 质疑</w:t>
      </w:r>
      <w:r>
        <w:rPr>
          <w:rFonts w:hint="eastAsia" w:ascii="宋体" w:hAnsi="宋体" w:eastAsia="宋体" w:cs="宋体"/>
          <w:sz w:val="21"/>
          <w:szCs w:val="21"/>
        </w:rPr>
        <w:t>供应商是指直接参加本项目采购活动的供应商；对采购文件提出质疑的，应自供应商获得采购文件之日起计算，且应当在投标截止之日前提出；对采购过程提出质疑的，自采购程序环节结束之日起计算；对中标结果提出质疑的，自中标结果公告之日起计算。</w:t>
      </w:r>
    </w:p>
    <w:p w14:paraId="1373743D">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r>
        <w:rPr>
          <w:rFonts w:hint="eastAsia" w:ascii="宋体" w:hAnsi="宋体" w:eastAsia="宋体" w:cs="宋体"/>
          <w:sz w:val="21"/>
          <w:szCs w:val="21"/>
        </w:rPr>
        <w:t>.4招标代理在收到供应商的书面质疑后将及时组织调查核实，在</w:t>
      </w:r>
      <w:r>
        <w:rPr>
          <w:rFonts w:hint="eastAsia" w:ascii="宋体" w:hAnsi="宋体" w:eastAsia="宋体" w:cs="宋体"/>
          <w:b/>
          <w:bCs/>
          <w:sz w:val="21"/>
          <w:szCs w:val="21"/>
          <w:lang w:val="zh-CN"/>
        </w:rPr>
        <w:t>七个工作日内</w:t>
      </w:r>
      <w:r>
        <w:rPr>
          <w:rFonts w:hint="eastAsia" w:ascii="宋体" w:hAnsi="宋体" w:eastAsia="宋体" w:cs="宋体"/>
          <w:sz w:val="21"/>
          <w:szCs w:val="21"/>
          <w:lang w:val="zh-CN"/>
        </w:rPr>
        <w:t>作出答复，并以书面或在网站公告形式通知质疑供应商和其他有关供应商，答复的内容不涉及商业秘密。招标代理</w:t>
      </w:r>
      <w:r>
        <w:rPr>
          <w:rFonts w:hint="eastAsia" w:ascii="宋体" w:hAnsi="宋体" w:eastAsia="宋体" w:cs="宋体"/>
          <w:sz w:val="21"/>
          <w:szCs w:val="21"/>
        </w:rPr>
        <w:t>遵循“谁过错谁负担”的原则，有过错的一方承担调查论证费用。</w:t>
      </w:r>
    </w:p>
    <w:p w14:paraId="53BEAD64">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b/>
          <w:bCs/>
          <w:sz w:val="21"/>
          <w:szCs w:val="21"/>
        </w:rPr>
        <w:t>1</w:t>
      </w:r>
      <w:r>
        <w:rPr>
          <w:rFonts w:hint="eastAsia" w:ascii="宋体" w:hAnsi="宋体" w:eastAsia="宋体" w:cs="宋体"/>
          <w:b/>
          <w:bCs/>
          <w:sz w:val="21"/>
          <w:szCs w:val="21"/>
          <w:lang w:val="en-US" w:eastAsia="zh-CN"/>
        </w:rPr>
        <w:t>9</w:t>
      </w:r>
      <w:r>
        <w:rPr>
          <w:rFonts w:hint="eastAsia" w:ascii="宋体" w:hAnsi="宋体" w:eastAsia="宋体" w:cs="宋体"/>
          <w:b/>
          <w:bCs/>
          <w:sz w:val="21"/>
          <w:szCs w:val="21"/>
          <w:lang w:val="zh-CN"/>
        </w:rPr>
        <w:t>、投诉</w:t>
      </w:r>
    </w:p>
    <w:p w14:paraId="0C24D659">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sz w:val="21"/>
          <w:szCs w:val="21"/>
          <w:lang w:val="zh-CN"/>
        </w:rPr>
      </w:pPr>
      <w:r>
        <w:rPr>
          <w:rFonts w:hint="eastAsia" w:ascii="宋体" w:hAnsi="宋体" w:eastAsia="宋体" w:cs="宋体"/>
          <w:sz w:val="21"/>
          <w:szCs w:val="21"/>
          <w:lang w:val="zh-CN"/>
        </w:rPr>
        <w:t>质疑供应商对答复不满意，或招标代理未在规定的时间内作出答复的，可以在答复期满后</w:t>
      </w:r>
      <w:r>
        <w:rPr>
          <w:rFonts w:hint="eastAsia" w:ascii="宋体" w:hAnsi="宋体" w:eastAsia="宋体" w:cs="宋体"/>
          <w:b/>
          <w:bCs/>
          <w:sz w:val="21"/>
          <w:szCs w:val="21"/>
          <w:lang w:val="zh-CN"/>
        </w:rPr>
        <w:t>十五个工作日内</w:t>
      </w:r>
      <w:r>
        <w:rPr>
          <w:rFonts w:hint="eastAsia" w:ascii="宋体" w:hAnsi="宋体" w:eastAsia="宋体" w:cs="宋体"/>
          <w:sz w:val="21"/>
          <w:szCs w:val="21"/>
          <w:lang w:val="zh-CN"/>
        </w:rPr>
        <w:t>向采购项目同级财政部门投诉。</w:t>
      </w:r>
      <w:r>
        <w:rPr>
          <w:rFonts w:hint="eastAsia" w:ascii="宋体" w:hAnsi="宋体" w:eastAsia="宋体" w:cs="宋体"/>
          <w:b/>
          <w:sz w:val="21"/>
          <w:szCs w:val="21"/>
          <w:lang w:val="zh-CN"/>
        </w:rPr>
        <w:t>如投诉查无实据，按照《南京市政府采购供应商信用管理工作暂行办法》（宁财规[2018]10号）属第十一条第13款情形</w:t>
      </w:r>
      <w:r>
        <w:rPr>
          <w:rFonts w:hint="eastAsia" w:ascii="宋体" w:hAnsi="宋体" w:eastAsia="宋体" w:cs="宋体"/>
          <w:b/>
          <w:sz w:val="21"/>
          <w:szCs w:val="21"/>
        </w:rPr>
        <w:t>，作为严重失信行为，</w:t>
      </w:r>
      <w:r>
        <w:rPr>
          <w:rFonts w:hint="eastAsia" w:ascii="宋体" w:hAnsi="宋体" w:eastAsia="宋体" w:cs="宋体"/>
          <w:b/>
          <w:sz w:val="21"/>
          <w:szCs w:val="21"/>
          <w:lang w:val="zh-CN"/>
        </w:rPr>
        <w:t>纳入供应商诚信档案记录。</w:t>
      </w:r>
    </w:p>
    <w:p w14:paraId="7B9F1E1E">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20</w:t>
      </w:r>
      <w:r>
        <w:rPr>
          <w:rFonts w:hint="eastAsia" w:ascii="宋体" w:hAnsi="宋体" w:eastAsia="宋体" w:cs="宋体"/>
          <w:b/>
          <w:bCs/>
          <w:sz w:val="21"/>
          <w:szCs w:val="21"/>
          <w:lang w:val="zh-CN"/>
        </w:rPr>
        <w:t>、诚实信用</w:t>
      </w:r>
    </w:p>
    <w:p w14:paraId="01948163">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.1 供应商之间不得相互串通投标报价，不得妨碍其他供应商的公平竞争，不得损害采购人和其他供应商的合法权益。</w:t>
      </w:r>
    </w:p>
    <w:p w14:paraId="71E47933">
      <w:pPr>
        <w:keepNext w:val="0"/>
        <w:keepLines w:val="0"/>
        <w:pageBreakBefore w:val="0"/>
        <w:widowControl/>
        <w:kinsoku/>
        <w:wordWrap/>
        <w:overflowPunct/>
        <w:topLinePunct w:val="0"/>
        <w:autoSpaceDE w:val="0"/>
        <w:autoSpaceDN w:val="0"/>
        <w:bidi w:val="0"/>
        <w:adjustRightInd w:val="0"/>
        <w:snapToGrid/>
        <w:spacing w:line="348" w:lineRule="auto"/>
        <w:ind w:firstLine="42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.2 供应商不得以向招标代理工作人员、评标委员会成员行贿或者采取其他不正当手段谋取中标。经查实供应商有此行为的，</w:t>
      </w:r>
      <w:r>
        <w:rPr>
          <w:rFonts w:hint="eastAsia" w:ascii="宋体" w:hAnsi="宋体" w:eastAsia="宋体" w:cs="宋体"/>
          <w:sz w:val="21"/>
          <w:szCs w:val="21"/>
        </w:rPr>
        <w:t>政府采购管理部门将供应商列入不良行为记录名单，按照《政府采购法》有关规定处理。</w:t>
      </w:r>
    </w:p>
    <w:p w14:paraId="4037D3B6">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.3 供应商不得虚假质疑和恶意质疑，并对质疑内容的真实性承担责任。</w:t>
      </w:r>
      <w:r>
        <w:rPr>
          <w:rFonts w:hint="eastAsia" w:ascii="宋体" w:hAnsi="宋体" w:eastAsia="宋体" w:cs="宋体"/>
          <w:sz w:val="21"/>
          <w:szCs w:val="21"/>
        </w:rPr>
        <w:t>供应商或者其他利害关系人通过捏造事实、伪造证明材料等方式提出异议或投诉，阻碍招投标活动正常进行的，属于严重不良行为，</w:t>
      </w:r>
      <w:r>
        <w:rPr>
          <w:rFonts w:hint="eastAsia" w:ascii="宋体" w:hAnsi="宋体" w:eastAsia="宋体" w:cs="宋体"/>
          <w:sz w:val="21"/>
          <w:szCs w:val="21"/>
          <w:lang w:val="zh-CN"/>
        </w:rPr>
        <w:t>招标代理</w:t>
      </w:r>
      <w:r>
        <w:rPr>
          <w:rFonts w:hint="eastAsia" w:ascii="宋体" w:hAnsi="宋体" w:eastAsia="宋体" w:cs="宋体"/>
          <w:sz w:val="21"/>
          <w:szCs w:val="21"/>
        </w:rPr>
        <w:t>将提请财政部门将其列入不良行为记录名单，并依法予以处罚。</w:t>
      </w:r>
    </w:p>
    <w:p w14:paraId="4075E104">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.4 供应商不得虚假承诺，否则，按照提供虚假材料谋取中标成交处理。</w:t>
      </w:r>
    </w:p>
    <w:p w14:paraId="7AC31461">
      <w:pPr>
        <w:keepNext w:val="0"/>
        <w:keepLines w:val="0"/>
        <w:pageBreakBefore w:val="0"/>
        <w:widowControl/>
        <w:kinsoku/>
        <w:wordWrap/>
        <w:overflowPunct/>
        <w:topLinePunct w:val="0"/>
        <w:bidi w:val="0"/>
        <w:snapToGrid/>
        <w:spacing w:line="348"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20</w:t>
      </w:r>
      <w:r>
        <w:rPr>
          <w:rFonts w:hint="eastAsia" w:ascii="宋体" w:hAnsi="宋体" w:eastAsia="宋体" w:cs="宋体"/>
          <w:sz w:val="21"/>
          <w:szCs w:val="21"/>
          <w:lang w:val="zh-CN"/>
        </w:rPr>
        <w:t>.5 供应商应自觉遵守开标、评标纪律，扰乱开标评标现场秩序的，属于失信行为，根据《江苏省政府采购供应商监督管理暂行办法》和</w:t>
      </w:r>
      <w:r>
        <w:rPr>
          <w:rFonts w:hint="eastAsia" w:ascii="宋体" w:hAnsi="宋体" w:eastAsia="宋体" w:cs="宋体"/>
          <w:b/>
          <w:sz w:val="21"/>
          <w:szCs w:val="21"/>
          <w:lang w:val="zh-CN"/>
        </w:rPr>
        <w:t>《南京市政府采购供应商信用管理工作暂行办法》</w:t>
      </w:r>
      <w:r>
        <w:rPr>
          <w:rFonts w:hint="eastAsia" w:ascii="宋体" w:hAnsi="宋体" w:eastAsia="宋体" w:cs="宋体"/>
          <w:sz w:val="21"/>
          <w:szCs w:val="21"/>
          <w:lang w:val="zh-CN"/>
        </w:rPr>
        <w:t>，失信行为将被记入供应商诚信档案。</w:t>
      </w:r>
    </w:p>
    <w:p w14:paraId="0191E7AA">
      <w:pPr>
        <w:widowControl/>
        <w:spacing w:line="360" w:lineRule="auto"/>
        <w:jc w:val="both"/>
        <w:rPr>
          <w:rFonts w:hint="eastAsia" w:ascii="宋体" w:hAnsi="宋体" w:eastAsia="宋体" w:cs="宋体"/>
          <w:b/>
          <w:bCs/>
          <w:color w:val="000000"/>
          <w:sz w:val="36"/>
          <w:szCs w:val="36"/>
          <w:lang w:val="zh-CN" w:eastAsia="zh-CN" w:bidi="ar-SA"/>
        </w:rPr>
      </w:pPr>
    </w:p>
    <w:p w14:paraId="21DA7C62">
      <w:pPr>
        <w:widowControl/>
        <w:spacing w:line="360" w:lineRule="auto"/>
        <w:jc w:val="center"/>
        <w:rPr>
          <w:rFonts w:hint="eastAsia" w:ascii="宋体" w:hAnsi="宋体" w:eastAsia="宋体" w:cs="宋体"/>
          <w:b/>
          <w:bCs/>
          <w:color w:val="auto"/>
          <w:sz w:val="36"/>
          <w:szCs w:val="36"/>
          <w:lang w:val="zh-CN" w:eastAsia="zh-CN" w:bidi="ar-SA"/>
        </w:rPr>
      </w:pPr>
    </w:p>
    <w:p w14:paraId="4E3ED4FE">
      <w:pPr>
        <w:widowControl/>
        <w:spacing w:line="360" w:lineRule="auto"/>
        <w:jc w:val="center"/>
        <w:rPr>
          <w:rFonts w:hint="eastAsia" w:ascii="宋体" w:hAnsi="宋体" w:eastAsia="宋体" w:cs="宋体"/>
          <w:b/>
          <w:bCs/>
          <w:color w:val="auto"/>
          <w:sz w:val="36"/>
          <w:szCs w:val="36"/>
          <w:lang w:val="zh-CN" w:eastAsia="zh-CN" w:bidi="ar-SA"/>
        </w:rPr>
      </w:pPr>
    </w:p>
    <w:p w14:paraId="5C9807A0">
      <w:pPr>
        <w:widowControl/>
        <w:spacing w:line="360" w:lineRule="auto"/>
        <w:jc w:val="center"/>
        <w:rPr>
          <w:rFonts w:hint="eastAsia" w:ascii="宋体" w:hAnsi="宋体" w:eastAsia="宋体" w:cs="宋体"/>
          <w:b/>
          <w:bCs/>
          <w:color w:val="auto"/>
          <w:sz w:val="36"/>
          <w:szCs w:val="36"/>
          <w:lang w:val="zh-CN" w:eastAsia="zh-CN" w:bidi="ar-SA"/>
        </w:rPr>
      </w:pPr>
    </w:p>
    <w:p w14:paraId="36506103">
      <w:pPr>
        <w:widowControl/>
        <w:spacing w:line="360" w:lineRule="auto"/>
        <w:jc w:val="center"/>
        <w:rPr>
          <w:rFonts w:hint="eastAsia" w:ascii="宋体" w:hAnsi="宋体" w:eastAsia="宋体" w:cs="宋体"/>
          <w:b/>
          <w:bCs/>
          <w:color w:val="auto"/>
          <w:sz w:val="36"/>
          <w:szCs w:val="36"/>
          <w:lang w:val="zh-CN" w:eastAsia="zh-CN" w:bidi="ar-SA"/>
        </w:rPr>
      </w:pPr>
    </w:p>
    <w:p w14:paraId="2710EE51">
      <w:pPr>
        <w:widowControl/>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b/>
          <w:bCs/>
          <w:color w:val="auto"/>
          <w:sz w:val="36"/>
          <w:szCs w:val="36"/>
          <w:lang w:val="zh-CN" w:eastAsia="zh-CN" w:bidi="ar-SA"/>
        </w:rPr>
        <w:t>第三章  评审标准</w:t>
      </w:r>
    </w:p>
    <w:tbl>
      <w:tblPr>
        <w:tblStyle w:val="19"/>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351"/>
        <w:gridCol w:w="7225"/>
        <w:gridCol w:w="767"/>
      </w:tblGrid>
      <w:tr w14:paraId="6298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345" w:type="pct"/>
            <w:noWrap w:val="0"/>
            <w:vAlign w:val="center"/>
          </w:tcPr>
          <w:p w14:paraId="5DAA3E24">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673" w:type="pct"/>
            <w:noWrap w:val="0"/>
            <w:vAlign w:val="center"/>
          </w:tcPr>
          <w:p w14:paraId="781EBB5B">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评分因素</w:t>
            </w:r>
          </w:p>
        </w:tc>
        <w:tc>
          <w:tcPr>
            <w:tcW w:w="3599" w:type="pct"/>
            <w:noWrap w:val="0"/>
            <w:vAlign w:val="center"/>
          </w:tcPr>
          <w:p w14:paraId="18AA0DB8">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评审标准</w:t>
            </w:r>
          </w:p>
        </w:tc>
        <w:tc>
          <w:tcPr>
            <w:tcW w:w="382" w:type="pct"/>
            <w:noWrap w:val="0"/>
            <w:vAlign w:val="center"/>
          </w:tcPr>
          <w:p w14:paraId="3EF2EAA9">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r>
      <w:tr w14:paraId="0191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noWrap w:val="0"/>
            <w:vAlign w:val="center"/>
          </w:tcPr>
          <w:p w14:paraId="1B22F558">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bookmarkStart w:id="3" w:name="_Hlk297273538"/>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p>
        </w:tc>
        <w:tc>
          <w:tcPr>
            <w:tcW w:w="673" w:type="pct"/>
            <w:noWrap w:val="0"/>
            <w:vAlign w:val="center"/>
          </w:tcPr>
          <w:p w14:paraId="13DCAB8A">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价格分</w:t>
            </w:r>
          </w:p>
          <w:p w14:paraId="03413F45">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tc>
        <w:tc>
          <w:tcPr>
            <w:tcW w:w="3599" w:type="pct"/>
            <w:noWrap w:val="0"/>
            <w:vAlign w:val="center"/>
          </w:tcPr>
          <w:p w14:paraId="0CB0FADF">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b w:val="0"/>
                <w:bCs/>
                <w:color w:val="auto"/>
                <w:kern w:val="0"/>
                <w:sz w:val="21"/>
                <w:szCs w:val="21"/>
                <w:lang w:val="en-US" w:eastAsia="zh-CN" w:bidi="ar-SA"/>
              </w:rPr>
              <w:t>采用低价优先法计算，即满足磋商文件要求且投标价格最低的投标报价为评标基准价，其价格分为满分。其他投标人的价格分统一按照下列公式计算：投标报价得分=（评标基准价/投标报价）×10.00。</w:t>
            </w:r>
            <w:r>
              <w:rPr>
                <w:rFonts w:hint="eastAsia" w:ascii="宋体" w:hAnsi="宋体" w:eastAsia="宋体" w:cs="宋体"/>
                <w:b w:val="0"/>
                <w:bCs w:val="0"/>
                <w:color w:val="auto"/>
                <w:sz w:val="21"/>
                <w:szCs w:val="21"/>
              </w:rPr>
              <w:t>（小数点保留2位）</w:t>
            </w:r>
          </w:p>
        </w:tc>
        <w:tc>
          <w:tcPr>
            <w:tcW w:w="382" w:type="pct"/>
            <w:noWrap w:val="0"/>
            <w:vAlign w:val="center"/>
          </w:tcPr>
          <w:p w14:paraId="40681252">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681D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noWrap w:val="0"/>
            <w:vAlign w:val="center"/>
          </w:tcPr>
          <w:p w14:paraId="75D10F90">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.1</w:t>
            </w:r>
          </w:p>
        </w:tc>
        <w:tc>
          <w:tcPr>
            <w:tcW w:w="673" w:type="pct"/>
            <w:vMerge w:val="restart"/>
            <w:noWrap w:val="0"/>
            <w:vAlign w:val="center"/>
          </w:tcPr>
          <w:p w14:paraId="1930587F">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技术方案（55分）</w:t>
            </w:r>
          </w:p>
        </w:tc>
        <w:tc>
          <w:tcPr>
            <w:tcW w:w="3599" w:type="pct"/>
            <w:noWrap w:val="0"/>
            <w:vAlign w:val="center"/>
          </w:tcPr>
          <w:p w14:paraId="760D67AC">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服务工作方案（包括：对监测服务的认识、环境质量监测整体设想及总体目标；组织架构、监测器具及设备配备计划；服务重点、难点及措施；管理规章制度、监测质量控制方案等），满分为</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lang w:val="zh-CN"/>
              </w:rPr>
              <w:t>分。</w:t>
            </w:r>
          </w:p>
          <w:p w14:paraId="48819ABA">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整体认识准确，思路清晰，能准确把握规划的重点、难点，分析透彻，得</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lang w:val="zh-CN"/>
              </w:rPr>
              <w:t>分；</w:t>
            </w:r>
          </w:p>
          <w:p w14:paraId="1E23045C">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整体认识较准确，思路较清晰，基本抓住重点、难点，分析达到一定深度的，得</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lang w:val="zh-CN"/>
              </w:rPr>
              <w:t>分；</w:t>
            </w:r>
          </w:p>
          <w:p w14:paraId="46C20D1D">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整体认识较一般，思路一般的得</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val="zh-CN"/>
              </w:rPr>
              <w:t>分；</w:t>
            </w:r>
          </w:p>
          <w:p w14:paraId="39EB77DC">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整体认识较差的，得</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zh-CN"/>
              </w:rPr>
              <w:t>分；</w:t>
            </w:r>
          </w:p>
          <w:p w14:paraId="532556C7">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未提供的得</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val="zh-CN"/>
              </w:rPr>
              <w:t>分。</w:t>
            </w:r>
          </w:p>
        </w:tc>
        <w:tc>
          <w:tcPr>
            <w:tcW w:w="382" w:type="pct"/>
            <w:noWrap w:val="0"/>
            <w:vAlign w:val="center"/>
          </w:tcPr>
          <w:p w14:paraId="4D5990FC">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r>
      <w:tr w14:paraId="1B66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345" w:type="pct"/>
            <w:noWrap w:val="0"/>
            <w:vAlign w:val="center"/>
          </w:tcPr>
          <w:p w14:paraId="37B0D738">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673" w:type="pct"/>
            <w:vMerge w:val="continue"/>
            <w:noWrap w:val="0"/>
            <w:vAlign w:val="center"/>
          </w:tcPr>
          <w:p w14:paraId="43B2E5C2">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rPr>
            </w:pPr>
          </w:p>
        </w:tc>
        <w:tc>
          <w:tcPr>
            <w:tcW w:w="3599" w:type="pct"/>
            <w:noWrap w:val="0"/>
            <w:vAlign w:val="center"/>
          </w:tcPr>
          <w:p w14:paraId="14BDD443">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评委根据供应商提供环境质量监测实验室配置条件等因素评分，满分为</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分。实验室配置齐全，满足监测需求的，得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p w14:paraId="5572700E">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实验室配置较齐全，基本达到监测需求的，得</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p w14:paraId="58918D4E">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实验室配置一般的，得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086F82F8">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实验室配置较差的，得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p w14:paraId="358F687D">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未提供的得</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c>
          <w:tcPr>
            <w:tcW w:w="382" w:type="pct"/>
            <w:noWrap w:val="0"/>
            <w:vAlign w:val="center"/>
          </w:tcPr>
          <w:p w14:paraId="2D35700B">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7D6C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345" w:type="pct"/>
            <w:noWrap w:val="0"/>
            <w:vAlign w:val="center"/>
          </w:tcPr>
          <w:p w14:paraId="49956A45">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673" w:type="pct"/>
            <w:vMerge w:val="continue"/>
            <w:noWrap w:val="0"/>
            <w:vAlign w:val="center"/>
          </w:tcPr>
          <w:p w14:paraId="08B5B615">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rPr>
            </w:pPr>
          </w:p>
        </w:tc>
        <w:tc>
          <w:tcPr>
            <w:tcW w:w="3599" w:type="pct"/>
            <w:noWrap w:val="0"/>
            <w:vAlign w:val="center"/>
          </w:tcPr>
          <w:p w14:paraId="58888478">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监测档案资料管理制度，档案收集、保存、移交等因素评分，满分为</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17F03838">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制度健全，流程规范、全面的，得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p w14:paraId="32624091">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制度较健全，流程较规范、全面的，得</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分；</w:t>
            </w:r>
          </w:p>
          <w:p w14:paraId="24049C6E">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制度不健全，流程一般的，得</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p w14:paraId="7A853051">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制度不健全，流程混乱的，得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p>
          <w:p w14:paraId="06889E25">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未提供的得</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c>
          <w:tcPr>
            <w:tcW w:w="382" w:type="pct"/>
            <w:noWrap w:val="0"/>
            <w:vAlign w:val="center"/>
          </w:tcPr>
          <w:p w14:paraId="48658CF6">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6B083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345" w:type="pct"/>
            <w:noWrap w:val="0"/>
            <w:vAlign w:val="center"/>
          </w:tcPr>
          <w:p w14:paraId="056E98D4">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673" w:type="pct"/>
            <w:vMerge w:val="continue"/>
            <w:noWrap w:val="0"/>
            <w:vAlign w:val="center"/>
          </w:tcPr>
          <w:p w14:paraId="2D3E93E9">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rPr>
            </w:pPr>
          </w:p>
        </w:tc>
        <w:tc>
          <w:tcPr>
            <w:tcW w:w="3599" w:type="pct"/>
            <w:noWrap w:val="0"/>
            <w:vAlign w:val="center"/>
          </w:tcPr>
          <w:p w14:paraId="226C16D6">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根据供应商提供的服务承诺、应急响应时间及质量保证措施综合评分，满分为</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392DD1E1">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服务承诺、应急响应时间及质量保证措施科学合理且具有针对性</w:t>
            </w:r>
            <w:r>
              <w:rPr>
                <w:rFonts w:hint="eastAsia" w:ascii="宋体" w:hAnsi="宋体" w:eastAsia="宋体" w:cs="宋体"/>
                <w:color w:val="auto"/>
                <w:sz w:val="21"/>
                <w:szCs w:val="21"/>
                <w:lang w:eastAsia="zh-CN"/>
              </w:rPr>
              <w:t>；</w:t>
            </w:r>
          </w:p>
          <w:p w14:paraId="5C25DB4E">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供应商接到采购人通知后30分钟内到达现场进行采样的</w:t>
            </w: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14:paraId="2682C486">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1小时内到达现场进行采样的，得10分，</w:t>
            </w:r>
          </w:p>
          <w:p w14:paraId="2DCD58FA">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2小时内到达现场进行采样的，得5分，</w:t>
            </w:r>
          </w:p>
          <w:p w14:paraId="365C2699">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超过2小时不得分。</w:t>
            </w:r>
          </w:p>
          <w:p w14:paraId="6985697C">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注：需提供供应商位置到高淳经济开发区管委会两地之间的手机导航时间截图，未提供不得分</w:t>
            </w:r>
            <w:r>
              <w:rPr>
                <w:rFonts w:hint="eastAsia" w:ascii="宋体" w:hAnsi="宋体" w:eastAsia="宋体" w:cs="宋体"/>
                <w:color w:val="auto"/>
                <w:sz w:val="21"/>
                <w:szCs w:val="21"/>
              </w:rPr>
              <w:t>。</w:t>
            </w:r>
          </w:p>
        </w:tc>
        <w:tc>
          <w:tcPr>
            <w:tcW w:w="382" w:type="pct"/>
            <w:noWrap w:val="0"/>
            <w:vAlign w:val="center"/>
          </w:tcPr>
          <w:p w14:paraId="44D4E236">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r>
      <w:tr w14:paraId="1E588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345" w:type="pct"/>
            <w:noWrap w:val="0"/>
            <w:vAlign w:val="center"/>
          </w:tcPr>
          <w:p w14:paraId="43BE4234">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673" w:type="pct"/>
            <w:vMerge w:val="continue"/>
            <w:noWrap w:val="0"/>
            <w:vAlign w:val="center"/>
          </w:tcPr>
          <w:p w14:paraId="068EDAD0">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rPr>
            </w:pPr>
          </w:p>
        </w:tc>
        <w:tc>
          <w:tcPr>
            <w:tcW w:w="3599" w:type="pct"/>
            <w:noWrap w:val="0"/>
            <w:vAlign w:val="center"/>
          </w:tcPr>
          <w:p w14:paraId="3C27E454">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与相关单位的配合措施，满足项目需求的，得5分；</w:t>
            </w:r>
          </w:p>
          <w:p w14:paraId="26DBC8A5">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基本能满足项目需求的，得3分；</w:t>
            </w:r>
          </w:p>
          <w:p w14:paraId="4B4CBF31">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与相关单位的配合措施一般的，得2分；</w:t>
            </w:r>
          </w:p>
          <w:p w14:paraId="4F2B1097">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与相关单位的配合措施较差的，</w:t>
            </w:r>
            <w:r>
              <w:rPr>
                <w:rFonts w:hint="eastAsia" w:ascii="宋体" w:hAnsi="宋体" w:eastAsia="宋体" w:cs="宋体"/>
                <w:color w:val="auto"/>
                <w:sz w:val="21"/>
                <w:szCs w:val="21"/>
                <w:lang w:val="en-US" w:eastAsia="zh-CN"/>
              </w:rPr>
              <w:t>得1</w:t>
            </w:r>
            <w:r>
              <w:rPr>
                <w:rFonts w:hint="eastAsia" w:ascii="宋体" w:hAnsi="宋体" w:eastAsia="宋体" w:cs="宋体"/>
                <w:color w:val="auto"/>
                <w:sz w:val="21"/>
                <w:szCs w:val="21"/>
              </w:rPr>
              <w:t>分；</w:t>
            </w:r>
          </w:p>
          <w:p w14:paraId="57C64591">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未提供的得</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分。</w:t>
            </w:r>
          </w:p>
        </w:tc>
        <w:tc>
          <w:tcPr>
            <w:tcW w:w="382" w:type="pct"/>
            <w:noWrap w:val="0"/>
            <w:vAlign w:val="center"/>
          </w:tcPr>
          <w:p w14:paraId="624754B8">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r>
      <w:tr w14:paraId="03D6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noWrap w:val="0"/>
            <w:vAlign w:val="center"/>
          </w:tcPr>
          <w:p w14:paraId="546FBA09">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.1</w:t>
            </w:r>
          </w:p>
        </w:tc>
        <w:tc>
          <w:tcPr>
            <w:tcW w:w="673" w:type="pct"/>
            <w:noWrap w:val="0"/>
            <w:vAlign w:val="center"/>
          </w:tcPr>
          <w:p w14:paraId="7A7CB577">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业绩</w:t>
            </w:r>
          </w:p>
          <w:p w14:paraId="0041681E">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tc>
        <w:tc>
          <w:tcPr>
            <w:tcW w:w="3599" w:type="pct"/>
            <w:noWrap w:val="0"/>
            <w:vAlign w:val="center"/>
          </w:tcPr>
          <w:p w14:paraId="61FAB1FE">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供应商自2022年6月1日以来完成过工业园区环境质量现状监测业绩的，每提供1个得5分，最多得15分，未提供不得分。</w:t>
            </w:r>
            <w:r>
              <w:rPr>
                <w:rFonts w:hint="eastAsia" w:ascii="宋体" w:hAnsi="宋体" w:eastAsia="宋体" w:cs="宋体"/>
                <w:color w:val="auto"/>
                <w:sz w:val="21"/>
                <w:szCs w:val="21"/>
              </w:rPr>
              <w:t>（注：</w:t>
            </w:r>
            <w:r>
              <w:rPr>
                <w:rFonts w:hint="eastAsia" w:ascii="宋体" w:hAnsi="宋体" w:eastAsia="宋体" w:cs="宋体"/>
                <w:color w:val="auto"/>
                <w:sz w:val="21"/>
                <w:szCs w:val="21"/>
                <w:lang w:val="en-US" w:eastAsia="zh-CN"/>
              </w:rPr>
              <w:t>提供合同复印件加盖公章。合同须能反映相关信息，时间以合同签订时间为准，否则视为未提供）</w:t>
            </w:r>
          </w:p>
        </w:tc>
        <w:tc>
          <w:tcPr>
            <w:tcW w:w="382" w:type="pct"/>
            <w:noWrap w:val="0"/>
            <w:vAlign w:val="center"/>
          </w:tcPr>
          <w:p w14:paraId="0AD3A51B">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r>
      <w:tr w14:paraId="3C20A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45" w:type="pct"/>
            <w:noWrap w:val="0"/>
            <w:vAlign w:val="center"/>
          </w:tcPr>
          <w:p w14:paraId="61043562">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4.1</w:t>
            </w:r>
          </w:p>
        </w:tc>
        <w:tc>
          <w:tcPr>
            <w:tcW w:w="673" w:type="pct"/>
            <w:vMerge w:val="restart"/>
            <w:noWrap w:val="0"/>
            <w:vAlign w:val="center"/>
          </w:tcPr>
          <w:p w14:paraId="5BFBB96C">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履约能力（20分）</w:t>
            </w:r>
          </w:p>
        </w:tc>
        <w:tc>
          <w:tcPr>
            <w:tcW w:w="3599" w:type="pct"/>
            <w:noWrap w:val="0"/>
            <w:vAlign w:val="center"/>
          </w:tcPr>
          <w:p w14:paraId="2879549F">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项目负责人具有注册环境影响评价工程师且具有环保专业高级工程师职称的得5分，否则不得分。（须提供证书复印件，加盖公章）</w:t>
            </w:r>
          </w:p>
        </w:tc>
        <w:tc>
          <w:tcPr>
            <w:tcW w:w="382" w:type="pct"/>
            <w:noWrap w:val="0"/>
            <w:vAlign w:val="center"/>
          </w:tcPr>
          <w:p w14:paraId="71D99BE1">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r>
      <w:tr w14:paraId="70B1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noWrap w:val="0"/>
            <w:vAlign w:val="center"/>
          </w:tcPr>
          <w:p w14:paraId="4A1D8BB3">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4.2</w:t>
            </w:r>
          </w:p>
        </w:tc>
        <w:tc>
          <w:tcPr>
            <w:tcW w:w="673" w:type="pct"/>
            <w:vMerge w:val="continue"/>
            <w:noWrap w:val="0"/>
            <w:vAlign w:val="center"/>
          </w:tcPr>
          <w:p w14:paraId="18A4812F">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p>
        </w:tc>
        <w:tc>
          <w:tcPr>
            <w:tcW w:w="3599" w:type="pct"/>
            <w:noWrap w:val="0"/>
            <w:vAlign w:val="center"/>
          </w:tcPr>
          <w:p w14:paraId="551195E4">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从事本次服务项目的专业人员具有环保专业或化工类专业高级工程师职称的，每有一人得4分；具有环保专业中级职称的，每有一人得2分，本项最高得10分。（提供证书复印件加盖公章）</w:t>
            </w:r>
          </w:p>
        </w:tc>
        <w:tc>
          <w:tcPr>
            <w:tcW w:w="382" w:type="pct"/>
            <w:noWrap w:val="0"/>
            <w:vAlign w:val="center"/>
          </w:tcPr>
          <w:p w14:paraId="19A37DD2">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6E12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noWrap w:val="0"/>
            <w:vAlign w:val="center"/>
          </w:tcPr>
          <w:p w14:paraId="0628B9E5">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4.3</w:t>
            </w:r>
          </w:p>
        </w:tc>
        <w:tc>
          <w:tcPr>
            <w:tcW w:w="673" w:type="pct"/>
            <w:vMerge w:val="continue"/>
            <w:noWrap w:val="0"/>
            <w:vAlign w:val="center"/>
          </w:tcPr>
          <w:p w14:paraId="7B3CDB3E">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rPr>
            </w:pPr>
          </w:p>
        </w:tc>
        <w:tc>
          <w:tcPr>
            <w:tcW w:w="3599" w:type="pct"/>
            <w:noWrap w:val="0"/>
            <w:vAlign w:val="center"/>
          </w:tcPr>
          <w:p w14:paraId="73D684A2">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拟派项目成员应至少配备检测人员4人，现场采样人员5人。满足要求得5分,每少1人扣1分,扣完5分为止。（提供截止投标前连续三个月供应商为上述人员缴纳社保的记录等证明文件)</w:t>
            </w:r>
          </w:p>
        </w:tc>
        <w:tc>
          <w:tcPr>
            <w:tcW w:w="382" w:type="pct"/>
            <w:noWrap w:val="0"/>
            <w:vAlign w:val="center"/>
          </w:tcPr>
          <w:p w14:paraId="7ACDCB16">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r>
      <w:tr w14:paraId="5B70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617" w:type="pct"/>
            <w:gridSpan w:val="3"/>
            <w:noWrap w:val="0"/>
            <w:vAlign w:val="center"/>
          </w:tcPr>
          <w:p w14:paraId="2240204C">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382" w:type="pct"/>
            <w:noWrap w:val="0"/>
            <w:vAlign w:val="center"/>
          </w:tcPr>
          <w:p w14:paraId="439193B6">
            <w:pPr>
              <w:keepNext w:val="0"/>
              <w:keepLines w:val="0"/>
              <w:pageBreakBefore w:val="0"/>
              <w:widowControl/>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w:t>
            </w:r>
          </w:p>
          <w:bookmarkEnd w:id="3"/>
        </w:tc>
      </w:tr>
    </w:tbl>
    <w:p w14:paraId="2CAB8D8E">
      <w:pPr>
        <w:keepNext w:val="0"/>
        <w:keepLines w:val="0"/>
        <w:pageBreakBefore w:val="0"/>
        <w:widowControl/>
        <w:kinsoku/>
        <w:wordWrap/>
        <w:overflowPunct/>
        <w:topLinePunct w:val="0"/>
        <w:autoSpaceDE/>
        <w:autoSpaceDN/>
        <w:bidi w:val="0"/>
        <w:adjustRightInd w:val="0"/>
        <w:snapToGrid w:val="0"/>
        <w:spacing w:line="348" w:lineRule="auto"/>
        <w:textAlignment w:val="auto"/>
        <w:rPr>
          <w:rFonts w:hint="eastAsia"/>
          <w:b/>
          <w:color w:val="000000"/>
          <w:sz w:val="21"/>
          <w:szCs w:val="21"/>
        </w:rPr>
      </w:pPr>
    </w:p>
    <w:p w14:paraId="142323A7">
      <w:pPr>
        <w:keepNext w:val="0"/>
        <w:keepLines w:val="0"/>
        <w:pageBreakBefore w:val="0"/>
        <w:widowControl/>
        <w:kinsoku/>
        <w:wordWrap/>
        <w:overflowPunct/>
        <w:topLinePunct w:val="0"/>
        <w:autoSpaceDE/>
        <w:autoSpaceDN/>
        <w:bidi w:val="0"/>
        <w:adjustRightInd w:val="0"/>
        <w:snapToGrid w:val="0"/>
        <w:spacing w:line="348" w:lineRule="auto"/>
        <w:textAlignment w:val="auto"/>
        <w:rPr>
          <w:rFonts w:hint="eastAsia"/>
          <w:b/>
          <w:color w:val="000000"/>
          <w:sz w:val="21"/>
          <w:szCs w:val="21"/>
        </w:rPr>
      </w:pPr>
      <w:r>
        <w:rPr>
          <w:rFonts w:hint="eastAsia"/>
          <w:b/>
          <w:color w:val="000000"/>
          <w:sz w:val="21"/>
          <w:szCs w:val="21"/>
        </w:rPr>
        <w:t>说明：</w:t>
      </w:r>
    </w:p>
    <w:p w14:paraId="747F4A82">
      <w:pPr>
        <w:pStyle w:val="8"/>
        <w:keepNext w:val="0"/>
        <w:keepLines w:val="0"/>
        <w:pageBreakBefore w:val="0"/>
        <w:widowControl/>
        <w:kinsoku/>
        <w:wordWrap/>
        <w:overflowPunct/>
        <w:topLinePunct w:val="0"/>
        <w:autoSpaceDE/>
        <w:autoSpaceDN/>
        <w:bidi w:val="0"/>
        <w:spacing w:line="348" w:lineRule="auto"/>
        <w:textAlignment w:val="auto"/>
        <w:rPr>
          <w:rFonts w:ascii="宋体" w:hAnsi="宋体"/>
          <w:sz w:val="21"/>
          <w:szCs w:val="21"/>
        </w:rPr>
      </w:pPr>
      <w:r>
        <w:rPr>
          <w:rFonts w:hint="eastAsia" w:ascii="宋体" w:hAnsi="宋体"/>
          <w:sz w:val="21"/>
          <w:szCs w:val="21"/>
        </w:rPr>
        <w:t>1、在满足采购基本要求的前提下，对国家认定的节能、环保产品分别给予投标价的5%、5%的价格扣除，用扣除后的价格参与评审。（特别说明：节能、环保产品必须纳入“中国政府采购网http://www.ccgp.gov.cn”等官方网站“节能、环保产品查询系统”，且以提供的证书复印件为准）。</w:t>
      </w:r>
    </w:p>
    <w:p w14:paraId="006FCA31">
      <w:pPr>
        <w:pStyle w:val="8"/>
        <w:keepNext w:val="0"/>
        <w:keepLines w:val="0"/>
        <w:pageBreakBefore w:val="0"/>
        <w:widowControl/>
        <w:kinsoku/>
        <w:wordWrap/>
        <w:overflowPunct/>
        <w:topLinePunct w:val="0"/>
        <w:autoSpaceDE/>
        <w:autoSpaceDN/>
        <w:bidi w:val="0"/>
        <w:spacing w:line="348" w:lineRule="auto"/>
        <w:textAlignment w:val="auto"/>
        <w:rPr>
          <w:rFonts w:ascii="宋体" w:hAnsi="宋体"/>
          <w:sz w:val="21"/>
          <w:szCs w:val="21"/>
        </w:rPr>
      </w:pPr>
      <w:r>
        <w:rPr>
          <w:rFonts w:hint="eastAsia" w:ascii="宋体" w:hAnsi="宋体"/>
          <w:sz w:val="21"/>
          <w:szCs w:val="21"/>
        </w:rPr>
        <w:t>2、对小微企业生产的产品给予投标价的10%价格扣除，用扣除后的价格参与评审。</w:t>
      </w:r>
    </w:p>
    <w:p w14:paraId="1E4A252F">
      <w:pPr>
        <w:pStyle w:val="8"/>
        <w:keepNext w:val="0"/>
        <w:keepLines w:val="0"/>
        <w:pageBreakBefore w:val="0"/>
        <w:widowControl/>
        <w:kinsoku/>
        <w:wordWrap/>
        <w:overflowPunct/>
        <w:topLinePunct w:val="0"/>
        <w:autoSpaceDE/>
        <w:autoSpaceDN/>
        <w:bidi w:val="0"/>
        <w:spacing w:line="348" w:lineRule="auto"/>
        <w:textAlignment w:val="auto"/>
        <w:rPr>
          <w:rFonts w:ascii="宋体" w:hAnsi="宋体"/>
          <w:sz w:val="21"/>
          <w:szCs w:val="21"/>
        </w:rPr>
      </w:pPr>
      <w:r>
        <w:rPr>
          <w:rFonts w:hint="eastAsia" w:ascii="宋体" w:hAnsi="宋体"/>
          <w:sz w:val="21"/>
          <w:szCs w:val="21"/>
        </w:rPr>
        <w:t>3、大中型企业和其他自然人、法人或者其他组织与小型、微型企业组成联合体共同参加投标，如果联合协议中约定，小型、微型企业的协议合同金额占到联合体协议合同总金额30%以上的，给予联合体2%的价格扣除。联合体各方均为小型、微型企业的，联合体视同为小型、微型企业享受10%价格扣除，用扣除后的价格参与评审。</w:t>
      </w:r>
    </w:p>
    <w:p w14:paraId="2E1E6213">
      <w:pPr>
        <w:pStyle w:val="8"/>
        <w:keepNext w:val="0"/>
        <w:keepLines w:val="0"/>
        <w:pageBreakBefore w:val="0"/>
        <w:widowControl/>
        <w:kinsoku/>
        <w:wordWrap/>
        <w:overflowPunct/>
        <w:topLinePunct w:val="0"/>
        <w:autoSpaceDE/>
        <w:autoSpaceDN/>
        <w:bidi w:val="0"/>
        <w:spacing w:line="348" w:lineRule="auto"/>
        <w:textAlignment w:val="auto"/>
        <w:rPr>
          <w:rFonts w:ascii="宋体" w:hAnsi="宋体"/>
          <w:sz w:val="21"/>
          <w:szCs w:val="21"/>
        </w:rPr>
      </w:pPr>
      <w:r>
        <w:rPr>
          <w:rFonts w:hint="eastAsia" w:ascii="宋体" w:hAnsi="宋体"/>
          <w:sz w:val="21"/>
          <w:szCs w:val="21"/>
        </w:rPr>
        <w:t>小企业（含小型、微型企业）应当同时符合以下条件：</w:t>
      </w:r>
    </w:p>
    <w:p w14:paraId="21D4874B">
      <w:pPr>
        <w:pStyle w:val="8"/>
        <w:keepNext w:val="0"/>
        <w:keepLines w:val="0"/>
        <w:pageBreakBefore w:val="0"/>
        <w:widowControl/>
        <w:kinsoku/>
        <w:wordWrap/>
        <w:overflowPunct/>
        <w:topLinePunct w:val="0"/>
        <w:autoSpaceDE/>
        <w:autoSpaceDN/>
        <w:bidi w:val="0"/>
        <w:spacing w:line="348" w:lineRule="auto"/>
        <w:textAlignment w:val="auto"/>
        <w:rPr>
          <w:rFonts w:ascii="宋体" w:hAnsi="宋体"/>
          <w:sz w:val="21"/>
          <w:szCs w:val="21"/>
        </w:rPr>
      </w:pPr>
      <w:r>
        <w:rPr>
          <w:rFonts w:hint="eastAsia" w:ascii="宋体" w:hAnsi="宋体"/>
          <w:sz w:val="21"/>
          <w:szCs w:val="21"/>
        </w:rPr>
        <w:t>（1）供应商为小企业，且符合中小企业划分标准；</w:t>
      </w:r>
    </w:p>
    <w:p w14:paraId="2C5F0564">
      <w:pPr>
        <w:pStyle w:val="8"/>
        <w:keepNext w:val="0"/>
        <w:keepLines w:val="0"/>
        <w:pageBreakBefore w:val="0"/>
        <w:widowControl/>
        <w:kinsoku/>
        <w:wordWrap/>
        <w:overflowPunct/>
        <w:topLinePunct w:val="0"/>
        <w:autoSpaceDE/>
        <w:autoSpaceDN/>
        <w:bidi w:val="0"/>
        <w:spacing w:line="348" w:lineRule="auto"/>
        <w:textAlignment w:val="auto"/>
        <w:rPr>
          <w:rFonts w:ascii="宋体" w:hAnsi="宋体"/>
          <w:sz w:val="21"/>
          <w:szCs w:val="21"/>
        </w:rPr>
      </w:pPr>
      <w:r>
        <w:rPr>
          <w:rFonts w:hint="eastAsia" w:ascii="宋体" w:hAnsi="宋体"/>
          <w:sz w:val="21"/>
          <w:szCs w:val="21"/>
        </w:rPr>
        <w:t>（2）提供本企业制造的货物、承担的工程或者服务，或者提供其他小企业制造的货物。如果提供的货物为大中型企业注册商标的货物，视同大中型企业。</w:t>
      </w:r>
    </w:p>
    <w:p w14:paraId="42ED1035">
      <w:pPr>
        <w:pStyle w:val="8"/>
        <w:keepNext w:val="0"/>
        <w:keepLines w:val="0"/>
        <w:pageBreakBefore w:val="0"/>
        <w:widowControl/>
        <w:kinsoku/>
        <w:wordWrap/>
        <w:overflowPunct/>
        <w:topLinePunct w:val="0"/>
        <w:autoSpaceDE/>
        <w:autoSpaceDN/>
        <w:bidi w:val="0"/>
        <w:spacing w:line="348" w:lineRule="auto"/>
        <w:textAlignment w:val="auto"/>
        <w:rPr>
          <w:rFonts w:hint="eastAsia" w:ascii="宋体" w:hAnsi="宋体"/>
          <w:sz w:val="21"/>
          <w:szCs w:val="21"/>
        </w:rPr>
      </w:pPr>
      <w:r>
        <w:rPr>
          <w:rFonts w:hint="eastAsia" w:ascii="宋体" w:hAnsi="宋体"/>
          <w:sz w:val="21"/>
          <w:szCs w:val="21"/>
        </w:rPr>
        <w:t>4、</w:t>
      </w:r>
      <w:r>
        <w:rPr>
          <w:rFonts w:ascii="宋体" w:hAnsi="宋体"/>
          <w:sz w:val="21"/>
          <w:szCs w:val="21"/>
        </w:rPr>
        <w:t>所有认证、证明和业绩均以有效的证明文件的复印件为依据</w:t>
      </w:r>
      <w:r>
        <w:rPr>
          <w:rFonts w:hint="eastAsia" w:ascii="宋体" w:hAnsi="宋体"/>
          <w:sz w:val="21"/>
          <w:szCs w:val="21"/>
        </w:rPr>
        <w:t>并装订在投标文件中，未提供不得分（年检或换证须有相关部门出具的有效证明材料）。评标委员会有权对相关资质向相关监督部门进行核实，</w:t>
      </w:r>
      <w:r>
        <w:rPr>
          <w:rFonts w:ascii="宋体" w:hAnsi="宋体"/>
          <w:sz w:val="21"/>
          <w:szCs w:val="21"/>
        </w:rPr>
        <w:t>若供应商提供虚假资料，一经查实作无效文件处理。</w:t>
      </w:r>
    </w:p>
    <w:p w14:paraId="2FD1A853">
      <w:pPr>
        <w:pStyle w:val="8"/>
        <w:keepNext w:val="0"/>
        <w:keepLines w:val="0"/>
        <w:pageBreakBefore w:val="0"/>
        <w:widowControl/>
        <w:kinsoku/>
        <w:wordWrap/>
        <w:overflowPunct/>
        <w:topLinePunct w:val="0"/>
        <w:autoSpaceDE/>
        <w:autoSpaceDN/>
        <w:bidi w:val="0"/>
        <w:spacing w:line="348" w:lineRule="auto"/>
        <w:textAlignment w:val="auto"/>
        <w:rPr>
          <w:rFonts w:hint="eastAsia" w:ascii="宋体" w:hAnsi="宋体"/>
          <w:sz w:val="21"/>
          <w:szCs w:val="21"/>
        </w:rPr>
      </w:pPr>
      <w:r>
        <w:rPr>
          <w:rFonts w:hint="eastAsia" w:ascii="宋体" w:hAnsi="宋体"/>
          <w:sz w:val="21"/>
          <w:szCs w:val="21"/>
        </w:rPr>
        <w:t>5、计分时，取各评委打分后的平均值为汇总值。（得分计算保留2位小数）。</w:t>
      </w:r>
      <w:bookmarkStart w:id="4" w:name="_Toc481604677"/>
    </w:p>
    <w:bookmarkEnd w:id="4"/>
    <w:p w14:paraId="065D3EE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1"/>
          <w:szCs w:val="21"/>
          <w:lang w:eastAsia="zh-CN"/>
        </w:rPr>
        <w:sectPr>
          <w:headerReference r:id="rId7" w:type="default"/>
          <w:footerReference r:id="rId8" w:type="default"/>
          <w:pgSz w:w="11910" w:h="16840"/>
          <w:pgMar w:top="1134" w:right="1020" w:bottom="1134" w:left="1020" w:header="0" w:footer="1166" w:gutter="0"/>
          <w:pgNumType w:fmt="decimal" w:start="1"/>
          <w:cols w:space="720" w:num="1"/>
          <w:docGrid w:linePitch="299" w:charSpace="0"/>
        </w:sectPr>
      </w:pPr>
    </w:p>
    <w:p w14:paraId="2B681E06">
      <w:pPr>
        <w:widowControl/>
        <w:spacing w:line="360" w:lineRule="auto"/>
        <w:jc w:val="center"/>
        <w:rPr>
          <w:rFonts w:hint="default" w:ascii="宋体" w:hAnsi="宋体" w:eastAsia="宋体" w:cs="宋体"/>
          <w:b/>
          <w:bCs/>
          <w:color w:val="auto"/>
          <w:sz w:val="36"/>
          <w:szCs w:val="36"/>
          <w:lang w:val="en-US" w:eastAsia="zh-CN" w:bidi="ar-SA"/>
        </w:rPr>
      </w:pPr>
      <w:r>
        <w:rPr>
          <w:rFonts w:hint="eastAsia" w:ascii="宋体" w:hAnsi="宋体" w:eastAsia="宋体" w:cs="宋体"/>
          <w:b/>
          <w:bCs/>
          <w:color w:val="auto"/>
          <w:sz w:val="36"/>
          <w:szCs w:val="36"/>
          <w:lang w:val="zh-CN" w:eastAsia="zh-CN" w:bidi="ar-SA"/>
        </w:rPr>
        <w:t xml:space="preserve">第四章  </w:t>
      </w:r>
      <w:r>
        <w:rPr>
          <w:rFonts w:hint="eastAsia" w:ascii="宋体" w:hAnsi="宋体" w:eastAsia="宋体" w:cs="宋体"/>
          <w:b/>
          <w:bCs/>
          <w:color w:val="auto"/>
          <w:sz w:val="36"/>
          <w:szCs w:val="36"/>
          <w:lang w:val="en-US" w:eastAsia="zh-CN" w:bidi="ar-SA"/>
        </w:rPr>
        <w:t>采购需求</w:t>
      </w:r>
    </w:p>
    <w:p w14:paraId="2CE4CD1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一、项目概况：</w:t>
      </w:r>
    </w:p>
    <w:p w14:paraId="5876D85F">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本项目服务于园区规划环评、环境质量信息公开以及生态环境问题治理工作，拟通过开展园区环境质量现状监测，掌握园区大气、地表水、地下水、噪声、土壤等各项指标现状，排查整治污染源，全面提升园区环境质量。</w:t>
      </w:r>
    </w:p>
    <w:p w14:paraId="6486C37F">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二、项目服务内容及要求：</w:t>
      </w:r>
    </w:p>
    <w:p w14:paraId="7EF637E2">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1、中标供应商根据收集的相关资料及现场踏勘情况，制定切实可行的监测方案、工作方案（包含监测、复测、补测计划）；</w:t>
      </w:r>
    </w:p>
    <w:p w14:paraId="074AF55D">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2、样品检测数据必须由具有CMA资质检测单位出具；</w:t>
      </w:r>
    </w:p>
    <w:p w14:paraId="6CC0A4AC">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3、根据相关标准，分析造成数据异常的原因，配合园区排查整治污染源，制定复测方案，开展复测工作；</w:t>
      </w:r>
    </w:p>
    <w:p w14:paraId="5C10C48E">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bCs/>
          <w:color w:val="auto"/>
          <w:sz w:val="21"/>
          <w:szCs w:val="21"/>
          <w:lang w:val="en-US" w:eastAsia="zh-CN"/>
        </w:rPr>
        <w:t>三、技术和资料的保密事项：</w:t>
      </w:r>
    </w:p>
    <w:p w14:paraId="58011E11">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1、成交供应商在任何时候，不论是合同有效期内还是合同终止以后，对本项目提供的秘密信息均实行严格保密。</w:t>
      </w:r>
    </w:p>
    <w:p w14:paraId="0E2232D5">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2、成交供应商有责任对技术数据服务中涉及的采购人商业情报技术情报及相关文档资料保密。未得到采购人书面许可前提下，不得向任何第三方所涉及的采购人的商业秘密和技术秘密。</w:t>
      </w:r>
    </w:p>
    <w:p w14:paraId="3FFB13AD">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3、成交供应商须根据采购人及询价文件要求出具可供采购人所需要的一切成果及其他相关资料。提交成果后，成交人应按照采购人要求继续提供服务，直至所提交的服务成果通过采购人审查批准。</w:t>
      </w:r>
    </w:p>
    <w:p w14:paraId="052A0683">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4、服务成果署名权及版权归采购人所有，采购人有权公开展示服务成果，并通过传播、媒介、专业杂志、书刊或其它形式介绍服务成果。</w:t>
      </w:r>
    </w:p>
    <w:p w14:paraId="228352C8">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四、验收方式：</w:t>
      </w:r>
    </w:p>
    <w:p w14:paraId="78AE0D7D">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由采购人组织对一切成果及其他相关资料进行工作质量认定。</w:t>
      </w:r>
    </w:p>
    <w:p w14:paraId="358BC8DD">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五、服务时间：</w:t>
      </w:r>
    </w:p>
    <w:p w14:paraId="13B68C12">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自合同签订之日起</w:t>
      </w:r>
      <w:r>
        <w:rPr>
          <w:rFonts w:hint="eastAsia" w:ascii="宋体" w:hAnsi="宋体" w:cs="宋体"/>
          <w:b w:val="0"/>
          <w:bCs w:val="0"/>
          <w:color w:val="auto"/>
          <w:sz w:val="21"/>
          <w:szCs w:val="21"/>
          <w:lang w:val="en-US" w:eastAsia="zh-CN"/>
        </w:rPr>
        <w:t>一</w:t>
      </w:r>
      <w:r>
        <w:rPr>
          <w:rFonts w:hint="eastAsia" w:ascii="宋体" w:hAnsi="宋体" w:eastAsia="宋体" w:cs="宋体"/>
          <w:b w:val="0"/>
          <w:bCs w:val="0"/>
          <w:color w:val="auto"/>
          <w:sz w:val="21"/>
          <w:szCs w:val="21"/>
          <w:lang w:val="en-US" w:eastAsia="zh-CN"/>
        </w:rPr>
        <w:t>年。</w:t>
      </w:r>
    </w:p>
    <w:p w14:paraId="1DD7C669">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六、付款方式：</w:t>
      </w:r>
    </w:p>
    <w:p w14:paraId="6C277796">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lang w:val="en-US" w:eastAsia="zh-CN"/>
        </w:rPr>
        <w:t>合同签订后、工作启动前，支付合同价款的40%；递交项目工作成果后，付清余款。</w:t>
      </w:r>
    </w:p>
    <w:p w14:paraId="393E4FC1">
      <w:pPr>
        <w:tabs>
          <w:tab w:val="left" w:pos="5120"/>
        </w:tabs>
        <w:spacing w:line="360" w:lineRule="auto"/>
        <w:jc w:val="both"/>
        <w:rPr>
          <w:rFonts w:hint="eastAsia" w:ascii="宋体" w:hAnsi="宋体" w:eastAsia="宋体" w:cs="宋体"/>
          <w:b/>
          <w:bCs w:val="0"/>
          <w:sz w:val="36"/>
          <w:szCs w:val="36"/>
          <w:lang w:val="zh-CN"/>
        </w:rPr>
      </w:pPr>
    </w:p>
    <w:p w14:paraId="5D3E9DA5">
      <w:pPr>
        <w:tabs>
          <w:tab w:val="left" w:pos="5120"/>
        </w:tabs>
        <w:spacing w:line="360" w:lineRule="auto"/>
        <w:jc w:val="center"/>
        <w:rPr>
          <w:rFonts w:hint="eastAsia" w:ascii="宋体" w:hAnsi="宋体" w:eastAsia="宋体" w:cs="宋体"/>
          <w:b/>
          <w:bCs w:val="0"/>
          <w:sz w:val="36"/>
          <w:szCs w:val="36"/>
          <w:lang w:val="zh-CN"/>
        </w:rPr>
      </w:pPr>
    </w:p>
    <w:p w14:paraId="4AF9C625">
      <w:pPr>
        <w:tabs>
          <w:tab w:val="left" w:pos="5120"/>
        </w:tabs>
        <w:spacing w:line="360" w:lineRule="auto"/>
        <w:jc w:val="center"/>
        <w:rPr>
          <w:rFonts w:hint="eastAsia" w:hAnsi="Verdana"/>
          <w:b/>
          <w:bCs/>
          <w:sz w:val="36"/>
          <w:szCs w:val="36"/>
          <w:lang w:val="zh-CN"/>
        </w:rPr>
      </w:pPr>
      <w:r>
        <w:rPr>
          <w:rFonts w:hint="eastAsia" w:ascii="宋体" w:hAnsi="宋体" w:eastAsia="宋体" w:cs="宋体"/>
          <w:b/>
          <w:bCs w:val="0"/>
          <w:sz w:val="36"/>
          <w:szCs w:val="36"/>
          <w:lang w:val="zh-CN"/>
        </w:rPr>
        <w:t>第五章</w:t>
      </w:r>
      <w:r>
        <w:rPr>
          <w:rFonts w:hint="eastAsia" w:ascii="宋体" w:hAnsi="宋体" w:eastAsia="宋体" w:cs="宋体"/>
          <w:b/>
          <w:bCs w:val="0"/>
          <w:sz w:val="36"/>
          <w:szCs w:val="36"/>
        </w:rPr>
        <w:t xml:space="preserve">  </w:t>
      </w:r>
      <w:r>
        <w:rPr>
          <w:rFonts w:hint="eastAsia" w:ascii="宋体" w:hAnsi="宋体" w:eastAsia="宋体" w:cs="宋体"/>
          <w:b/>
          <w:bCs w:val="0"/>
          <w:sz w:val="36"/>
          <w:szCs w:val="36"/>
          <w:lang w:val="zh-CN"/>
        </w:rPr>
        <w:t>合同主要条款及格式</w:t>
      </w:r>
    </w:p>
    <w:p w14:paraId="6498372E">
      <w:pPr>
        <w:spacing w:line="360" w:lineRule="auto"/>
        <w:jc w:val="center"/>
        <w:rPr>
          <w:rFonts w:hint="eastAsia" w:hAnsi="Verdana"/>
          <w:sz w:val="36"/>
          <w:szCs w:val="36"/>
          <w:lang w:val="zh-CN"/>
        </w:rPr>
      </w:pPr>
    </w:p>
    <w:p w14:paraId="025286D3">
      <w:pPr>
        <w:spacing w:line="360" w:lineRule="auto"/>
        <w:jc w:val="center"/>
        <w:rPr>
          <w:rFonts w:hint="eastAsia" w:hAnsi="黑体" w:cs="黑体"/>
          <w:b/>
          <w:sz w:val="36"/>
          <w:szCs w:val="36"/>
        </w:rPr>
      </w:pPr>
      <w:r>
        <w:rPr>
          <w:rFonts w:hint="eastAsia" w:hAnsi="Verdana"/>
          <w:sz w:val="36"/>
          <w:szCs w:val="36"/>
          <w:lang w:val="zh-CN"/>
        </w:rPr>
        <w:t>政府采购项目合同</w:t>
      </w:r>
    </w:p>
    <w:p w14:paraId="4322217B">
      <w:pPr>
        <w:spacing w:line="360" w:lineRule="auto"/>
        <w:ind w:firstLine="315"/>
        <w:rPr>
          <w:rFonts w:hint="eastAsia" w:ascii="宋体" w:hAnsi="宋体"/>
          <w:b/>
          <w:sz w:val="36"/>
        </w:rPr>
      </w:pPr>
      <w:r>
        <w:rPr>
          <w:rFonts w:ascii="宋体" w:hAnsi="宋体"/>
          <w:b/>
          <w:sz w:val="32"/>
        </w:rPr>
        <w:t xml:space="preserve">            </w:t>
      </w:r>
      <w:r>
        <w:rPr>
          <w:rFonts w:ascii="宋体" w:hAnsi="宋体"/>
          <w:sz w:val="32"/>
        </w:rPr>
        <w:t xml:space="preserve">  </w:t>
      </w:r>
    </w:p>
    <w:p w14:paraId="38D5636F">
      <w:pPr>
        <w:spacing w:line="360" w:lineRule="auto"/>
        <w:rPr>
          <w:rFonts w:ascii="宋体" w:hAnsi="宋体"/>
          <w:b/>
          <w:sz w:val="36"/>
        </w:rPr>
      </w:pPr>
    </w:p>
    <w:p w14:paraId="757DB172">
      <w:pPr>
        <w:spacing w:line="360" w:lineRule="auto"/>
        <w:ind w:firstLine="1918"/>
        <w:rPr>
          <w:rFonts w:hint="eastAsia" w:ascii="宋体" w:hAnsi="宋体"/>
          <w:b/>
          <w:sz w:val="36"/>
        </w:rPr>
      </w:pPr>
    </w:p>
    <w:p w14:paraId="5355D8B0">
      <w:pPr>
        <w:pStyle w:val="2"/>
        <w:rPr>
          <w:rFonts w:hint="eastAsia"/>
        </w:rPr>
      </w:pPr>
    </w:p>
    <w:p w14:paraId="3DF8E66B">
      <w:pPr>
        <w:spacing w:line="360" w:lineRule="auto"/>
        <w:ind w:firstLine="1918"/>
        <w:rPr>
          <w:rFonts w:ascii="宋体" w:hAnsi="宋体"/>
          <w:b/>
          <w:sz w:val="36"/>
        </w:rPr>
      </w:pPr>
      <w:r>
        <w:rPr>
          <w:rFonts w:hint="eastAsia" w:ascii="宋体" w:hAnsi="宋体"/>
          <w:b/>
          <w:sz w:val="36"/>
        </w:rPr>
        <w:t>合同编号：</w:t>
      </w:r>
      <w:r>
        <w:rPr>
          <w:rFonts w:ascii="宋体" w:hAnsi="宋体"/>
          <w:b/>
          <w:sz w:val="36"/>
          <w:u w:val="single"/>
        </w:rPr>
        <w:t xml:space="preserve">                    </w:t>
      </w:r>
    </w:p>
    <w:p w14:paraId="1A2C9467">
      <w:pPr>
        <w:spacing w:line="360" w:lineRule="auto"/>
        <w:ind w:firstLine="1918"/>
        <w:rPr>
          <w:rFonts w:ascii="宋体" w:hAnsi="宋体"/>
          <w:b/>
          <w:sz w:val="36"/>
          <w:u w:val="single"/>
        </w:rPr>
      </w:pPr>
      <w:r>
        <w:rPr>
          <w:rFonts w:hint="eastAsia" w:ascii="宋体" w:hAnsi="宋体"/>
          <w:b/>
          <w:sz w:val="36"/>
        </w:rPr>
        <w:t>项目名称：</w:t>
      </w:r>
      <w:r>
        <w:rPr>
          <w:rFonts w:ascii="宋体" w:hAnsi="宋体"/>
          <w:b/>
          <w:sz w:val="36"/>
          <w:u w:val="single"/>
        </w:rPr>
        <w:t xml:space="preserve">                    </w:t>
      </w:r>
    </w:p>
    <w:p w14:paraId="068E6D8C">
      <w:pPr>
        <w:spacing w:line="360" w:lineRule="auto"/>
        <w:ind w:firstLine="1918"/>
        <w:rPr>
          <w:rFonts w:ascii="宋体" w:hAnsi="宋体"/>
          <w:b/>
          <w:sz w:val="36"/>
          <w:u w:val="single"/>
        </w:rPr>
      </w:pPr>
      <w:r>
        <w:rPr>
          <w:rFonts w:hint="eastAsia" w:ascii="宋体" w:hAnsi="宋体"/>
          <w:b/>
          <w:sz w:val="36"/>
        </w:rPr>
        <w:t>使用单位：</w:t>
      </w:r>
      <w:r>
        <w:rPr>
          <w:rFonts w:ascii="宋体" w:hAnsi="宋体"/>
          <w:b/>
          <w:sz w:val="36"/>
          <w:u w:val="single"/>
        </w:rPr>
        <w:t xml:space="preserve">                    </w:t>
      </w:r>
    </w:p>
    <w:p w14:paraId="3F8A62CF">
      <w:pPr>
        <w:spacing w:line="360" w:lineRule="auto"/>
        <w:ind w:firstLine="1916"/>
        <w:rPr>
          <w:rFonts w:ascii="宋体" w:hAnsi="宋体"/>
          <w:b/>
          <w:sz w:val="36"/>
        </w:rPr>
      </w:pPr>
      <w:r>
        <w:rPr>
          <w:rFonts w:hint="eastAsia" w:ascii="宋体" w:hAnsi="宋体"/>
          <w:b/>
          <w:sz w:val="36"/>
        </w:rPr>
        <w:t>供货单位：</w:t>
      </w:r>
      <w:r>
        <w:rPr>
          <w:rFonts w:ascii="宋体" w:hAnsi="宋体"/>
          <w:b/>
          <w:sz w:val="36"/>
          <w:u w:val="single"/>
        </w:rPr>
        <w:t xml:space="preserve">                    </w:t>
      </w:r>
    </w:p>
    <w:p w14:paraId="6CF5A214">
      <w:pPr>
        <w:spacing w:line="360" w:lineRule="auto"/>
        <w:ind w:firstLine="1916"/>
        <w:rPr>
          <w:rFonts w:ascii="宋体" w:hAnsi="宋体"/>
          <w:b/>
          <w:sz w:val="36"/>
        </w:rPr>
      </w:pPr>
      <w:r>
        <w:rPr>
          <w:rFonts w:hint="eastAsia" w:ascii="宋体" w:hAnsi="宋体"/>
          <w:b/>
          <w:sz w:val="36"/>
        </w:rPr>
        <w:t>签订日期：</w:t>
      </w:r>
      <w:r>
        <w:rPr>
          <w:rFonts w:ascii="宋体" w:hAnsi="宋体"/>
          <w:b/>
          <w:sz w:val="36"/>
          <w:u w:val="single"/>
        </w:rPr>
        <w:t xml:space="preserve">                    </w:t>
      </w:r>
    </w:p>
    <w:p w14:paraId="0BA9C578">
      <w:pPr>
        <w:spacing w:line="360" w:lineRule="auto"/>
        <w:rPr>
          <w:rFonts w:hint="eastAsia" w:ascii="宋体" w:hAnsi="宋体"/>
          <w:w w:val="105"/>
          <w:sz w:val="36"/>
        </w:rPr>
      </w:pPr>
      <w:r>
        <w:rPr>
          <w:rFonts w:ascii="宋体" w:hAnsi="宋体"/>
          <w:w w:val="105"/>
          <w:sz w:val="36"/>
        </w:rPr>
        <w:t xml:space="preserve">      </w:t>
      </w:r>
    </w:p>
    <w:p w14:paraId="1C93D633">
      <w:pPr>
        <w:pStyle w:val="2"/>
      </w:pPr>
    </w:p>
    <w:p w14:paraId="6F980B69"/>
    <w:p w14:paraId="36E26340">
      <w:pPr>
        <w:autoSpaceDE w:val="0"/>
        <w:autoSpaceDN w:val="0"/>
        <w:spacing w:line="800" w:lineRule="exact"/>
        <w:jc w:val="center"/>
        <w:rPr>
          <w:rFonts w:hint="eastAsia" w:ascii="宋体" w:hAnsi="宋体"/>
          <w:b/>
          <w:w w:val="105"/>
          <w:sz w:val="36"/>
        </w:rPr>
      </w:pPr>
    </w:p>
    <w:p w14:paraId="38A59664">
      <w:pPr>
        <w:snapToGrid w:val="0"/>
        <w:spacing w:line="360" w:lineRule="auto"/>
        <w:jc w:val="center"/>
        <w:rPr>
          <w:rFonts w:hint="eastAsia" w:hAnsi="黑体" w:cs="黑体"/>
          <w:w w:val="105"/>
          <w:sz w:val="36"/>
          <w:szCs w:val="36"/>
        </w:rPr>
      </w:pPr>
      <w:r>
        <w:rPr>
          <w:rFonts w:hint="eastAsia" w:hAnsi="黑体" w:cs="黑体"/>
          <w:w w:val="105"/>
          <w:sz w:val="36"/>
          <w:szCs w:val="36"/>
        </w:rPr>
        <w:t>南 京 市 财 政 局  监制</w:t>
      </w:r>
    </w:p>
    <w:p w14:paraId="1D38000E">
      <w:pPr>
        <w:spacing w:line="360" w:lineRule="auto"/>
        <w:rPr>
          <w:rFonts w:hint="eastAsia" w:ascii="宋体" w:hAnsi="宋体" w:cs="宋体"/>
          <w:color w:val="000000"/>
          <w:kern w:val="0"/>
          <w:szCs w:val="21"/>
        </w:rPr>
      </w:pPr>
    </w:p>
    <w:p w14:paraId="189A355E">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5B98C454">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采购人（以下称甲方）：                   供应商：（以下称乙方）</w:t>
      </w:r>
    </w:p>
    <w:p w14:paraId="72268789">
      <w:pPr>
        <w:keepNext w:val="0"/>
        <w:keepLines w:val="0"/>
        <w:pageBreakBefore w:val="0"/>
        <w:widowControl/>
        <w:shd w:val="clear" w:color="auto" w:fill="FFFFFF"/>
        <w:kinsoku/>
        <w:wordWrap/>
        <w:overflowPunct/>
        <w:topLinePunct w:val="0"/>
        <w:bidi w:val="0"/>
        <w:snapToGrid/>
        <w:spacing w:line="360" w:lineRule="auto"/>
        <w:ind w:firstLine="210" w:firstLineChars="1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住所地：                                 住所地： </w:t>
      </w:r>
    </w:p>
    <w:p w14:paraId="4ABD42DB">
      <w:pPr>
        <w:keepNext w:val="0"/>
        <w:keepLines w:val="0"/>
        <w:pageBreakBefore w:val="0"/>
        <w:widowControl/>
        <w:shd w:val="clear" w:color="auto" w:fill="FFFFFF"/>
        <w:kinsoku/>
        <w:wordWrap/>
        <w:overflowPunct/>
        <w:topLinePunct w:val="0"/>
        <w:bidi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根据《中华人民共和国政府采购法》、《中华人民共和国</w:t>
      </w:r>
      <w:r>
        <w:rPr>
          <w:rFonts w:hint="eastAsia" w:ascii="宋体" w:hAnsi="宋体" w:eastAsia="宋体" w:cs="宋体"/>
          <w:color w:val="auto"/>
          <w:kern w:val="0"/>
          <w:sz w:val="21"/>
          <w:szCs w:val="21"/>
          <w:highlight w:val="none"/>
          <w:lang w:val="en-US" w:eastAsia="zh-CN"/>
        </w:rPr>
        <w:t>民</w:t>
      </w:r>
      <w:r>
        <w:rPr>
          <w:rFonts w:hint="eastAsia" w:ascii="宋体" w:hAnsi="宋体" w:eastAsia="宋体" w:cs="宋体"/>
          <w:color w:val="auto"/>
          <w:kern w:val="0"/>
          <w:sz w:val="21"/>
          <w:szCs w:val="21"/>
          <w:highlight w:val="none"/>
        </w:rPr>
        <w:t>法</w:t>
      </w:r>
      <w:r>
        <w:rPr>
          <w:rFonts w:hint="eastAsia" w:ascii="宋体" w:hAnsi="宋体" w:eastAsia="宋体" w:cs="宋体"/>
          <w:color w:val="auto"/>
          <w:kern w:val="0"/>
          <w:sz w:val="21"/>
          <w:szCs w:val="21"/>
          <w:highlight w:val="none"/>
          <w:lang w:val="en-US" w:eastAsia="zh-CN"/>
        </w:rPr>
        <w:t>典</w:t>
      </w:r>
      <w:r>
        <w:rPr>
          <w:rFonts w:hint="eastAsia" w:ascii="宋体" w:hAnsi="宋体" w:eastAsia="宋体" w:cs="宋体"/>
          <w:color w:val="auto"/>
          <w:kern w:val="0"/>
          <w:sz w:val="21"/>
          <w:szCs w:val="21"/>
          <w:highlight w:val="none"/>
        </w:rPr>
        <w:t>》等法律法规的规定，甲乙双方按照本项目的磋商结果签订本合同。</w:t>
      </w:r>
    </w:p>
    <w:p w14:paraId="252B12DE">
      <w:pPr>
        <w:keepNext w:val="0"/>
        <w:keepLines w:val="0"/>
        <w:pageBreakBefore w:val="0"/>
        <w:widowControl/>
        <w:shd w:val="clear" w:color="auto" w:fill="FFFFFF"/>
        <w:kinsoku/>
        <w:wordWrap/>
        <w:overflowPunct/>
        <w:topLinePunct w:val="0"/>
        <w:bidi w:val="0"/>
        <w:snapToGrid/>
        <w:spacing w:line="360" w:lineRule="auto"/>
        <w:textAlignment w:val="auto"/>
        <w:outlineLvl w:val="0"/>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第一条 合同标的</w:t>
      </w:r>
      <w:r>
        <w:rPr>
          <w:rFonts w:hint="eastAsia" w:ascii="宋体" w:hAnsi="宋体" w:eastAsia="宋体" w:cs="宋体"/>
          <w:color w:val="auto"/>
          <w:kern w:val="0"/>
          <w:sz w:val="21"/>
          <w:szCs w:val="21"/>
          <w:highlight w:val="none"/>
        </w:rPr>
        <w:t> </w:t>
      </w:r>
    </w:p>
    <w:p w14:paraId="3E664CAB">
      <w:pPr>
        <w:keepNext w:val="0"/>
        <w:keepLines w:val="0"/>
        <w:pageBreakBefore w:val="0"/>
        <w:widowControl/>
        <w:shd w:val="clear" w:color="auto" w:fill="FFFFFF"/>
        <w:kinsoku/>
        <w:wordWrap/>
        <w:overflowPunct/>
        <w:topLinePunct w:val="0"/>
        <w:bidi w:val="0"/>
        <w:snapToGrid/>
        <w:spacing w:line="360" w:lineRule="auto"/>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乙方根据甲方要求提供下列服务：</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none"/>
          <w:lang w:val="en-US" w:eastAsia="zh-CN" w:bidi="ar"/>
        </w:rPr>
        <w:t>。</w:t>
      </w:r>
    </w:p>
    <w:p w14:paraId="027460E1">
      <w:pPr>
        <w:keepNext w:val="0"/>
        <w:keepLines w:val="0"/>
        <w:pageBreakBefore w:val="0"/>
        <w:widowControl/>
        <w:shd w:val="clear" w:color="auto" w:fill="FFFFFF"/>
        <w:kinsoku/>
        <w:wordWrap/>
        <w:overflowPunct/>
        <w:topLinePunct w:val="0"/>
        <w:bidi w:val="0"/>
        <w:snapToGrid/>
        <w:spacing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服务内容详见乙方响应性文件等。</w:t>
      </w:r>
    </w:p>
    <w:p w14:paraId="1C13B7CC">
      <w:pPr>
        <w:keepNext w:val="0"/>
        <w:keepLines w:val="0"/>
        <w:pageBreakBefore w:val="0"/>
        <w:widowControl/>
        <w:numPr>
          <w:ilvl w:val="0"/>
          <w:numId w:val="3"/>
        </w:numPr>
        <w:kinsoku/>
        <w:wordWrap/>
        <w:overflowPunct/>
        <w:topLinePunct w:val="0"/>
        <w:bidi w:val="0"/>
        <w:snapToGrid/>
        <w:spacing w:line="360" w:lineRule="auto"/>
        <w:jc w:val="left"/>
        <w:textAlignment w:val="auto"/>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 xml:space="preserve">合同总价款 </w:t>
      </w:r>
    </w:p>
    <w:p w14:paraId="5561129A">
      <w:pPr>
        <w:keepNext w:val="0"/>
        <w:keepLines w:val="0"/>
        <w:pageBreakBefore w:val="0"/>
        <w:kinsoku/>
        <w:wordWrap/>
        <w:overflowPunct/>
        <w:topLinePunct w:val="0"/>
        <w:autoSpaceDE/>
        <w:autoSpaceDN/>
        <w:bidi w:val="0"/>
        <w:snapToGrid/>
        <w:spacing w:line="360" w:lineRule="auto"/>
        <w:textAlignment w:val="auto"/>
        <w:rPr>
          <w:rFonts w:ascii="宋体" w:hAnsi="宋体"/>
          <w:color w:val="auto"/>
          <w:szCs w:val="21"/>
          <w:highlight w:val="none"/>
          <w:lang w:val="zh-CN"/>
        </w:rPr>
      </w:pPr>
      <w:r>
        <w:rPr>
          <w:rFonts w:hint="eastAsia" w:ascii="宋体" w:hAnsi="宋体"/>
          <w:color w:val="auto"/>
          <w:szCs w:val="21"/>
          <w:highlight w:val="none"/>
          <w:lang w:val="zh-CN"/>
        </w:rPr>
        <w:t>本合同项下服务总价款为</w:t>
      </w:r>
      <w:r>
        <w:rPr>
          <w:rFonts w:ascii="宋体" w:hAnsi="宋体"/>
          <w:color w:val="auto"/>
          <w:szCs w:val="21"/>
          <w:highlight w:val="none"/>
          <w:lang w:val="zh-CN"/>
        </w:rPr>
        <w:t>___________</w:t>
      </w:r>
      <w:r>
        <w:rPr>
          <w:rFonts w:hint="eastAsia" w:ascii="宋体" w:hAnsi="宋体"/>
          <w:color w:val="auto"/>
          <w:szCs w:val="21"/>
          <w:highlight w:val="none"/>
          <w:lang w:val="zh-CN"/>
        </w:rPr>
        <w:t>（大写）人民币。</w:t>
      </w:r>
    </w:p>
    <w:p w14:paraId="0FAC2BB8">
      <w:pPr>
        <w:keepNext w:val="0"/>
        <w:keepLines w:val="0"/>
        <w:pageBreakBefore w:val="0"/>
        <w:kinsoku/>
        <w:wordWrap/>
        <w:overflowPunct/>
        <w:topLinePunct w:val="0"/>
        <w:autoSpaceDE/>
        <w:autoSpaceDN/>
        <w:bidi w:val="0"/>
        <w:snapToGrid/>
        <w:spacing w:line="360" w:lineRule="auto"/>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本合同价款是完成本项目所发生的所有含税费用、支付给员工的工资和国家强制缴纳的各种社会保障资金，以及乙方认为需要的其他费用等。</w:t>
      </w:r>
    </w:p>
    <w:p w14:paraId="1E3302BC">
      <w:pPr>
        <w:keepNext w:val="0"/>
        <w:keepLines w:val="0"/>
        <w:pageBreakBefore w:val="0"/>
        <w:widowControl/>
        <w:kinsoku/>
        <w:wordWrap/>
        <w:overflowPunct/>
        <w:topLinePunct w:val="0"/>
        <w:autoSpaceDE/>
        <w:autoSpaceDN/>
        <w:bidi w:val="0"/>
        <w:adjustRightInd w:val="0"/>
        <w:snapToGrid/>
        <w:spacing w:line="360" w:lineRule="auto"/>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本合同总价款还包含乙方应当提供的伴随服务/售后服务费用。</w:t>
      </w:r>
    </w:p>
    <w:p w14:paraId="056E0CE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第三条 组成本合同的有关文件 </w:t>
      </w:r>
    </w:p>
    <w:p w14:paraId="20C30E2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下列关于南京市政府采购</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 xml:space="preserve">（项目编号）的采购文件、响应文件或与本次采购活动方式相适应的文件及有关附件是本合同不可分割的组成部分，与本合同具有同等法律效力，这些文件包括但不限于： </w:t>
      </w:r>
    </w:p>
    <w:p w14:paraId="3300505E">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 xml:space="preserve">乙方提供的响应文件和报价表； </w:t>
      </w:r>
    </w:p>
    <w:p w14:paraId="509AA779">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 xml:space="preserve">技术规格响应表； </w:t>
      </w:r>
    </w:p>
    <w:p w14:paraId="0366BF1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 xml:space="preserve">磋商承诺/服务承诺； </w:t>
      </w:r>
    </w:p>
    <w:p w14:paraId="71A750E0">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 xml:space="preserve">成交通知书； </w:t>
      </w:r>
    </w:p>
    <w:p w14:paraId="6D055C19">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 xml:space="preserve">甲乙双方商定的其他文件等。 </w:t>
      </w:r>
    </w:p>
    <w:p w14:paraId="055BED74">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第四条 履行合同期限、地点 </w:t>
      </w:r>
    </w:p>
    <w:p w14:paraId="4F4BDF8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1、履行合同期限：</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none"/>
          <w:lang w:eastAsia="zh-CN" w:bidi="ar"/>
        </w:rPr>
        <w:t>；</w:t>
      </w:r>
    </w:p>
    <w:p w14:paraId="13BC0A9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2、履行合同地点：</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eastAsia="zh-CN" w:bidi="ar"/>
        </w:rPr>
        <w:t>。</w:t>
      </w:r>
    </w:p>
    <w:p w14:paraId="644EFFB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第五条 权利保证 </w:t>
      </w:r>
    </w:p>
    <w:p w14:paraId="19A0DD42">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乙方应保证向甲方提供的服务不受第三方提出侵犯其专利权、版权、商标权或其他权利的起诉。一旦出现侵权，乙方应承担全部责任。</w:t>
      </w:r>
    </w:p>
    <w:p w14:paraId="0A2EA5A1">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第六条 质量保证 </w:t>
      </w:r>
    </w:p>
    <w:p w14:paraId="269703D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1、乙方提供的服务质量应当符合采购文件的约定，以及乙方的承诺。 </w:t>
      </w:r>
    </w:p>
    <w:p w14:paraId="0DDE6D7D">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2、除特别说明外，质量保证期为自验收合格后，在此期间，乙方提供免费服务。 </w:t>
      </w:r>
    </w:p>
    <w:p w14:paraId="59CDD9DA">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第</w:t>
      </w:r>
      <w:r>
        <w:rPr>
          <w:rFonts w:hint="eastAsia" w:ascii="宋体" w:hAnsi="宋体" w:eastAsia="宋体" w:cs="宋体"/>
          <w:b/>
          <w:bCs/>
          <w:color w:val="auto"/>
          <w:kern w:val="0"/>
          <w:sz w:val="21"/>
          <w:szCs w:val="21"/>
          <w:highlight w:val="none"/>
          <w:lang w:val="en-US" w:eastAsia="zh-CN" w:bidi="ar"/>
        </w:rPr>
        <w:t>七</w:t>
      </w:r>
      <w:r>
        <w:rPr>
          <w:rFonts w:hint="eastAsia" w:ascii="宋体" w:hAnsi="宋体" w:eastAsia="宋体" w:cs="宋体"/>
          <w:b/>
          <w:bCs/>
          <w:color w:val="auto"/>
          <w:kern w:val="0"/>
          <w:sz w:val="21"/>
          <w:szCs w:val="21"/>
          <w:highlight w:val="none"/>
          <w:lang w:bidi="ar"/>
        </w:rPr>
        <w:t>条 交付和验收</w:t>
      </w:r>
    </w:p>
    <w:p w14:paraId="21B3335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1、乙方应当在合同签订后</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天内完成服务事项。</w:t>
      </w:r>
    </w:p>
    <w:p w14:paraId="1A20DF76">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2、验收标准：按行业通行标准和乙方响应文件的承诺（详见合同附件载明的标准，并不低于国家相关标准）。</w:t>
      </w:r>
    </w:p>
    <w:p w14:paraId="6A2851A0">
      <w:pPr>
        <w:keepNext w:val="0"/>
        <w:keepLines w:val="0"/>
        <w:pageBreakBefore w:val="0"/>
        <w:widowControl/>
        <w:kinsoku/>
        <w:wordWrap/>
        <w:overflowPunct/>
        <w:topLinePunct w:val="0"/>
        <w:bidi w:val="0"/>
        <w:snapToGrid/>
        <w:spacing w:line="360" w:lineRule="auto"/>
        <w:jc w:val="left"/>
        <w:textAlignment w:val="auto"/>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第八条 履约保证金</w:t>
      </w:r>
      <w:r>
        <w:rPr>
          <w:rFonts w:hint="eastAsia" w:ascii="宋体" w:hAnsi="宋体" w:cs="宋体"/>
          <w:b/>
          <w:bCs/>
          <w:color w:val="auto"/>
          <w:kern w:val="0"/>
          <w:sz w:val="21"/>
          <w:szCs w:val="21"/>
          <w:highlight w:val="none"/>
          <w:lang w:eastAsia="zh-CN" w:bidi="ar"/>
        </w:rPr>
        <w:t>（</w:t>
      </w:r>
      <w:r>
        <w:rPr>
          <w:rFonts w:hint="eastAsia" w:ascii="宋体" w:hAnsi="宋体" w:cs="宋体"/>
          <w:b/>
          <w:bCs/>
          <w:color w:val="auto"/>
          <w:kern w:val="0"/>
          <w:sz w:val="21"/>
          <w:szCs w:val="21"/>
          <w:highlight w:val="none"/>
          <w:lang w:val="en-US" w:eastAsia="zh-CN" w:bidi="ar"/>
        </w:rPr>
        <w:t>无需缴纳）</w:t>
      </w:r>
    </w:p>
    <w:p w14:paraId="78283EC3">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kern w:val="0"/>
          <w:sz w:val="21"/>
          <w:szCs w:val="21"/>
          <w:highlight w:val="none"/>
          <w:lang w:eastAsia="zh-CN" w:bidi="ar"/>
        </w:rPr>
      </w:pPr>
      <w:r>
        <w:rPr>
          <w:rFonts w:hint="eastAsia" w:ascii="宋体" w:hAnsi="宋体" w:eastAsia="宋体" w:cs="宋体"/>
          <w:b/>
          <w:bCs/>
          <w:color w:val="auto"/>
          <w:kern w:val="0"/>
          <w:sz w:val="21"/>
          <w:szCs w:val="21"/>
          <w:highlight w:val="none"/>
          <w:lang w:bidi="ar"/>
        </w:rPr>
        <w:t>第九条 合同款支付</w:t>
      </w:r>
      <w:r>
        <w:rPr>
          <w:rFonts w:hint="eastAsia" w:ascii="宋体" w:hAnsi="宋体" w:eastAsia="宋体" w:cs="宋体"/>
          <w:b/>
          <w:bCs/>
          <w:color w:val="auto"/>
          <w:kern w:val="0"/>
          <w:sz w:val="21"/>
          <w:szCs w:val="21"/>
          <w:highlight w:val="none"/>
          <w:lang w:eastAsia="zh-CN" w:bidi="ar"/>
        </w:rPr>
        <w:t>：</w:t>
      </w:r>
    </w:p>
    <w:p w14:paraId="191E4A93">
      <w:pPr>
        <w:keepNext w:val="0"/>
        <w:keepLines w:val="0"/>
        <w:pageBreakBefore w:val="0"/>
        <w:widowControl/>
        <w:numPr>
          <w:ilvl w:val="0"/>
          <w:numId w:val="0"/>
        </w:numPr>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val="0"/>
          <w:bCs w:val="0"/>
          <w:i w:val="0"/>
          <w:iCs w:val="0"/>
          <w:color w:val="auto"/>
          <w:sz w:val="21"/>
          <w:szCs w:val="21"/>
          <w:lang w:val="en-US" w:eastAsia="zh-CN"/>
        </w:rPr>
      </w:pPr>
      <w:r>
        <w:rPr>
          <w:rFonts w:hint="eastAsia" w:ascii="宋体" w:hAnsi="宋体" w:eastAsia="宋体" w:cs="宋体"/>
          <w:b w:val="0"/>
          <w:bCs w:val="0"/>
          <w:i w:val="0"/>
          <w:iCs w:val="0"/>
          <w:color w:val="auto"/>
          <w:sz w:val="21"/>
          <w:szCs w:val="21"/>
          <w:lang w:val="en-US" w:eastAsia="zh-CN"/>
        </w:rPr>
        <w:t>合同签订后、工作启动前，支付合同价款的40%；递交项目工作成果后，付清余款。</w:t>
      </w:r>
    </w:p>
    <w:p w14:paraId="232DEEF0">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第十条 违约责任 </w:t>
      </w:r>
    </w:p>
    <w:p w14:paraId="55EC50E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1、乙方按合同约定的时间和质量标准提供服务，而甲方无正当理由逾期支付服务费用的，每逾期1天甲方向乙方偿付欠款总额的5‰滞纳金，但累计滞纳金总额不超过欠款总额的5%。 </w:t>
      </w:r>
    </w:p>
    <w:p w14:paraId="023D7526">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2、乙方违约，甲方可扣除相应的</w:t>
      </w:r>
      <w:r>
        <w:rPr>
          <w:rFonts w:hint="eastAsia" w:ascii="宋体" w:hAnsi="宋体" w:cs="宋体"/>
          <w:color w:val="auto"/>
          <w:kern w:val="0"/>
          <w:sz w:val="21"/>
          <w:szCs w:val="21"/>
          <w:highlight w:val="none"/>
          <w:lang w:val="en-US" w:eastAsia="zh-CN" w:bidi="ar"/>
        </w:rPr>
        <w:t>款项</w:t>
      </w:r>
      <w:r>
        <w:rPr>
          <w:rFonts w:hint="eastAsia" w:ascii="宋体" w:hAnsi="宋体" w:eastAsia="宋体" w:cs="宋体"/>
          <w:color w:val="auto"/>
          <w:kern w:val="0"/>
          <w:sz w:val="21"/>
          <w:szCs w:val="21"/>
          <w:highlight w:val="none"/>
          <w:lang w:bidi="ar"/>
        </w:rPr>
        <w:t xml:space="preserve">。 </w:t>
      </w:r>
    </w:p>
    <w:p w14:paraId="1967B07E">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3、乙方未按合同约定的时间和质量标准提供服务，但未给甲方造成损失的，甲方可要求乙方整改，乙方在双方协定期限内达到甲方或第三方评估机构认定的质量标准后，甲方应支付相应的服务费用；否则，甲方有权解除本合同。 </w:t>
      </w:r>
    </w:p>
    <w:p w14:paraId="43924D7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4、乙方未按合同约定的时间和质量标准提供服务，给甲方造成损失的，甲方可要求乙方按实赔偿；因乙方服务质量问题导致甲方无法实现合同目的的，甲方有权解除合同。 </w:t>
      </w:r>
    </w:p>
    <w:p w14:paraId="465D7E79">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kern w:val="0"/>
          <w:sz w:val="21"/>
          <w:szCs w:val="21"/>
          <w:highlight w:val="none"/>
          <w:lang w:bidi="ar"/>
        </w:rPr>
      </w:pPr>
      <w:r>
        <w:rPr>
          <w:rFonts w:hint="eastAsia" w:ascii="宋体" w:hAnsi="宋体" w:eastAsia="宋体" w:cs="宋体"/>
          <w:color w:val="auto"/>
          <w:kern w:val="0"/>
          <w:sz w:val="21"/>
          <w:szCs w:val="21"/>
          <w:highlight w:val="none"/>
          <w:lang w:bidi="ar"/>
        </w:rPr>
        <w:t>5、其他违约责任约定。</w:t>
      </w:r>
    </w:p>
    <w:p w14:paraId="70F7659A">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第十一条 合同的变更和终止 </w:t>
      </w:r>
    </w:p>
    <w:p w14:paraId="0E29BC8E">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1、除《政府采购法》第50条第二款规定的情形外，本合同一经签订，甲乙双方不得擅自变更、中止或终止合同。 </w:t>
      </w:r>
    </w:p>
    <w:p w14:paraId="474A6D3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2、除发生法律规定的不能预见、不能避免并不能克服的客观情况外，甲乙双方不得放弃或拒绝履行合同。乙方放弃或拒绝履行合同，保证金不予退还。 </w:t>
      </w:r>
    </w:p>
    <w:p w14:paraId="396A8352">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第十二条 合同的转让</w:t>
      </w:r>
      <w:r>
        <w:rPr>
          <w:rFonts w:hint="eastAsia" w:ascii="宋体" w:hAnsi="宋体" w:eastAsia="宋体" w:cs="宋体"/>
          <w:color w:val="auto"/>
          <w:kern w:val="0"/>
          <w:sz w:val="21"/>
          <w:szCs w:val="21"/>
          <w:highlight w:val="none"/>
          <w:lang w:bidi="ar"/>
        </w:rPr>
        <w:t xml:space="preserve"> </w:t>
      </w:r>
    </w:p>
    <w:p w14:paraId="0B68ABD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乙方不得擅自部分或全部转让其应履行的合同义务。 </w:t>
      </w:r>
    </w:p>
    <w:p w14:paraId="21F44BD7">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第十三条 争议的解决 </w:t>
      </w:r>
    </w:p>
    <w:p w14:paraId="38688792">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1、因履行本合同引起的或与本合同有关的争议，甲、乙双方应首先通过友好协商解决，如果协商不能解决争议，则采取以下第（ ）种方式解决争议；</w:t>
      </w:r>
    </w:p>
    <w:p w14:paraId="6428C4E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（1）向甲方所在地有管辖权的人民法院提起诉讼； </w:t>
      </w:r>
    </w:p>
    <w:p w14:paraId="4E50C9D6">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（2）向南京仲裁委员会按其仲裁规则申请仲裁。 </w:t>
      </w:r>
    </w:p>
    <w:p w14:paraId="69DEACCB">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如没有约定，默认采取第2种方式解决争议。 </w:t>
      </w:r>
    </w:p>
    <w:p w14:paraId="1412D41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2、在仲裁期间，本合同应继续履行 </w:t>
      </w:r>
    </w:p>
    <w:p w14:paraId="46EFDFC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第十四条 诚实信用 </w:t>
      </w:r>
    </w:p>
    <w:p w14:paraId="5C4A3DD3">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乙方应诚实信用，严格按照招标（采购）文件要求和投标（响应）承诺履行合同，不向甲方进行商业贿赂或者提供不正当利益。 </w:t>
      </w:r>
    </w:p>
    <w:p w14:paraId="08D8720F">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 xml:space="preserve">第十五条 合同生效及其他 </w:t>
      </w:r>
    </w:p>
    <w:p w14:paraId="089AE1B9">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1、本合同自签订之日起生效。 </w:t>
      </w:r>
    </w:p>
    <w:p w14:paraId="021BD5D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2、本合同一式伍份，甲乙双方各执贰份，一份报送政府采购监督管理部门备案。 </w:t>
      </w:r>
    </w:p>
    <w:p w14:paraId="36737FCC">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3、本合同应按照中华人民共和国的现行法律进行解释。 </w:t>
      </w:r>
    </w:p>
    <w:p w14:paraId="70B9C064">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甲方（采购人）：                                乙方（供应商）： </w:t>
      </w:r>
    </w:p>
    <w:p w14:paraId="43D8B084">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（盖章）                                       （盖章） </w:t>
      </w:r>
    </w:p>
    <w:p w14:paraId="7171B628">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代表人：                                        代表人： </w:t>
      </w:r>
    </w:p>
    <w:p w14:paraId="455A1D03">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电话：                                          电话： </w:t>
      </w:r>
    </w:p>
    <w:p w14:paraId="693367C0">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开户银行：                                      开户银行： </w:t>
      </w:r>
    </w:p>
    <w:p w14:paraId="0D571615">
      <w:pPr>
        <w:keepNext w:val="0"/>
        <w:keepLines w:val="0"/>
        <w:pageBreakBefore w:val="0"/>
        <w:widowControl/>
        <w:kinsoku/>
        <w:wordWrap/>
        <w:overflowPunct/>
        <w:topLinePunct w:val="0"/>
        <w:bidi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账号：                                          账号：</w:t>
      </w:r>
    </w:p>
    <w:p w14:paraId="5C5CBD1E">
      <w:pPr>
        <w:keepNext w:val="0"/>
        <w:keepLines w:val="0"/>
        <w:pageBreakBefore w:val="0"/>
        <w:widowControl w:val="0"/>
        <w:tabs>
          <w:tab w:val="left" w:pos="0"/>
          <w:tab w:val="left" w:pos="993"/>
          <w:tab w:val="left" w:pos="1134"/>
        </w:tabs>
        <w:kinsoku/>
        <w:wordWrap/>
        <w:overflowPunct/>
        <w:topLinePunct w:val="0"/>
        <w:autoSpaceDE/>
        <w:autoSpaceDN/>
        <w:bidi w:val="0"/>
        <w:adjustRightInd w:val="0"/>
        <w:snapToGrid w:val="0"/>
        <w:spacing w:line="440" w:lineRule="exact"/>
        <w:textAlignment w:val="auto"/>
        <w:rPr>
          <w:rFonts w:hint="eastAsia" w:hAnsi="黑体" w:cs="黑体"/>
          <w:color w:val="auto"/>
          <w:sz w:val="36"/>
          <w:szCs w:val="36"/>
          <w:highlight w:val="none"/>
          <w:lang w:val="zh-CN"/>
        </w:rPr>
      </w:pPr>
      <w:r>
        <w:rPr>
          <w:rFonts w:hint="eastAsia" w:ascii="宋体" w:hAnsi="宋体" w:eastAsia="宋体" w:cs="宋体"/>
          <w:color w:val="auto"/>
          <w:sz w:val="21"/>
          <w:szCs w:val="21"/>
          <w:highlight w:val="none"/>
        </w:rPr>
        <w:t> </w:t>
      </w:r>
    </w:p>
    <w:p w14:paraId="62DC0308">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3277C2CE">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49FA3A97">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061998E8">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54311642">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372803A0">
      <w:pPr>
        <w:keepNext w:val="0"/>
        <w:keepLines w:val="0"/>
        <w:pageBreakBefore w:val="0"/>
        <w:widowControl/>
        <w:kinsoku/>
        <w:wordWrap/>
        <w:overflowPunct/>
        <w:topLinePunct w:val="0"/>
        <w:bidi w:val="0"/>
        <w:snapToGrid/>
        <w:spacing w:line="360" w:lineRule="auto"/>
        <w:ind w:firstLine="210" w:firstLineChars="100"/>
        <w:textAlignment w:val="auto"/>
        <w:rPr>
          <w:rFonts w:hint="eastAsia" w:ascii="宋体" w:hAnsi="宋体" w:eastAsia="宋体" w:cs="宋体"/>
          <w:color w:val="000000"/>
          <w:kern w:val="0"/>
          <w:sz w:val="21"/>
          <w:szCs w:val="21"/>
        </w:rPr>
      </w:pPr>
    </w:p>
    <w:p w14:paraId="52F2DCE8">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p>
    <w:p w14:paraId="4F3FCED5">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p>
    <w:p w14:paraId="482BEA0D">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p>
    <w:p w14:paraId="6D9B5E2E">
      <w:pPr>
        <w:autoSpaceDE w:val="0"/>
        <w:autoSpaceDN w:val="0"/>
        <w:adjustRightInd w:val="0"/>
        <w:spacing w:line="360" w:lineRule="auto"/>
        <w:jc w:val="both"/>
        <w:outlineLvl w:val="0"/>
        <w:rPr>
          <w:rFonts w:hint="eastAsia" w:ascii="宋体" w:hAnsi="宋体" w:eastAsia="宋体" w:cs="宋体"/>
          <w:b/>
          <w:bCs/>
          <w:color w:val="auto"/>
          <w:sz w:val="36"/>
          <w:szCs w:val="36"/>
          <w:highlight w:val="none"/>
          <w:lang w:val="zh-CN" w:eastAsia="zh-CN" w:bidi="ar-SA"/>
        </w:rPr>
      </w:pPr>
    </w:p>
    <w:p w14:paraId="2C1EC0CC">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p>
    <w:p w14:paraId="313593B9">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p>
    <w:p w14:paraId="2F37D28D">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p>
    <w:p w14:paraId="2745DD5A">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p>
    <w:p w14:paraId="182644D4">
      <w:pPr>
        <w:autoSpaceDE w:val="0"/>
        <w:autoSpaceDN w:val="0"/>
        <w:adjustRightInd w:val="0"/>
        <w:spacing w:line="360" w:lineRule="auto"/>
        <w:jc w:val="center"/>
        <w:outlineLvl w:val="0"/>
        <w:rPr>
          <w:rFonts w:hint="eastAsia" w:ascii="宋体" w:hAnsi="宋体" w:eastAsia="宋体" w:cs="宋体"/>
          <w:b/>
          <w:bCs/>
          <w:color w:val="auto"/>
          <w:sz w:val="36"/>
          <w:szCs w:val="36"/>
          <w:highlight w:val="none"/>
          <w:lang w:val="zh-CN" w:eastAsia="zh-CN" w:bidi="ar-SA"/>
        </w:rPr>
      </w:pPr>
      <w:r>
        <w:rPr>
          <w:rFonts w:hint="eastAsia" w:ascii="宋体" w:hAnsi="宋体" w:eastAsia="宋体" w:cs="宋体"/>
          <w:b/>
          <w:bCs/>
          <w:color w:val="auto"/>
          <w:sz w:val="36"/>
          <w:szCs w:val="36"/>
          <w:highlight w:val="none"/>
          <w:lang w:val="zh-CN" w:eastAsia="zh-CN" w:bidi="ar-SA"/>
        </w:rPr>
        <w:t>第六章</w:t>
      </w:r>
      <w:r>
        <w:rPr>
          <w:rFonts w:hint="eastAsia" w:ascii="宋体" w:hAnsi="宋体" w:eastAsia="宋体" w:cs="宋体"/>
          <w:b/>
          <w:bCs/>
          <w:color w:val="auto"/>
          <w:sz w:val="36"/>
          <w:szCs w:val="36"/>
          <w:highlight w:val="none"/>
          <w:lang w:val="en-US" w:eastAsia="zh-CN" w:bidi="ar-SA"/>
        </w:rPr>
        <w:t xml:space="preserve">  </w:t>
      </w:r>
      <w:r>
        <w:rPr>
          <w:rFonts w:hint="eastAsia" w:ascii="宋体" w:hAnsi="宋体" w:eastAsia="宋体" w:cs="宋体"/>
          <w:b/>
          <w:bCs/>
          <w:color w:val="auto"/>
          <w:sz w:val="36"/>
          <w:szCs w:val="36"/>
          <w:highlight w:val="none"/>
          <w:lang w:val="zh-CN" w:eastAsia="zh-CN" w:bidi="ar-SA"/>
        </w:rPr>
        <w:t>竞争性磋商响应文件格式及附件</w:t>
      </w:r>
    </w:p>
    <w:p w14:paraId="7C558724">
      <w:pPr>
        <w:autoSpaceDE w:val="0"/>
        <w:autoSpaceDN w:val="0"/>
        <w:adjustRightInd w:val="0"/>
        <w:spacing w:line="360" w:lineRule="auto"/>
        <w:rPr>
          <w:rFonts w:eastAsia="黑体"/>
          <w:color w:val="auto"/>
          <w:sz w:val="36"/>
          <w:szCs w:val="36"/>
          <w:highlight w:val="none"/>
        </w:rPr>
      </w:pPr>
    </w:p>
    <w:p w14:paraId="67D0C8BC">
      <w:pPr>
        <w:spacing w:line="360" w:lineRule="auto"/>
        <w:jc w:val="both"/>
        <w:rPr>
          <w:b/>
          <w:color w:val="auto"/>
          <w:sz w:val="72"/>
          <w:highlight w:val="none"/>
        </w:rPr>
      </w:pPr>
    </w:p>
    <w:p w14:paraId="41552EA1">
      <w:pPr>
        <w:spacing w:line="360" w:lineRule="auto"/>
        <w:jc w:val="both"/>
        <w:rPr>
          <w:b/>
          <w:color w:val="auto"/>
          <w:sz w:val="72"/>
          <w:highlight w:val="none"/>
        </w:rPr>
      </w:pPr>
    </w:p>
    <w:p w14:paraId="73E41F8D">
      <w:pPr>
        <w:spacing w:line="360" w:lineRule="auto"/>
        <w:jc w:val="center"/>
        <w:rPr>
          <w:b/>
          <w:color w:val="auto"/>
          <w:sz w:val="72"/>
          <w:highlight w:val="none"/>
        </w:rPr>
      </w:pPr>
      <w:r>
        <w:rPr>
          <w:b/>
          <w:color w:val="auto"/>
          <w:sz w:val="72"/>
          <w:highlight w:val="none"/>
        </w:rPr>
        <w:t>竞争性磋商</w:t>
      </w:r>
      <w:r>
        <w:rPr>
          <w:rFonts w:hint="eastAsia"/>
          <w:b/>
          <w:color w:val="auto"/>
          <w:sz w:val="72"/>
          <w:highlight w:val="none"/>
        </w:rPr>
        <w:t>响应</w:t>
      </w:r>
      <w:r>
        <w:rPr>
          <w:b/>
          <w:color w:val="auto"/>
          <w:sz w:val="72"/>
          <w:highlight w:val="none"/>
        </w:rPr>
        <w:t>文件</w:t>
      </w:r>
    </w:p>
    <w:p w14:paraId="15EC7A08">
      <w:pPr>
        <w:spacing w:line="360" w:lineRule="auto"/>
        <w:ind w:firstLine="3708" w:firstLineChars="1026"/>
        <w:rPr>
          <w:b/>
          <w:color w:val="auto"/>
          <w:sz w:val="36"/>
          <w:highlight w:val="none"/>
        </w:rPr>
      </w:pPr>
    </w:p>
    <w:p w14:paraId="4F04D957">
      <w:pPr>
        <w:spacing w:line="360" w:lineRule="auto"/>
        <w:jc w:val="center"/>
        <w:rPr>
          <w:b/>
          <w:color w:val="auto"/>
          <w:sz w:val="36"/>
          <w:highlight w:val="none"/>
        </w:rPr>
      </w:pPr>
    </w:p>
    <w:p w14:paraId="0EB3FBA0">
      <w:pPr>
        <w:spacing w:line="360" w:lineRule="auto"/>
        <w:jc w:val="center"/>
        <w:rPr>
          <w:b/>
          <w:color w:val="auto"/>
          <w:sz w:val="36"/>
          <w:highlight w:val="none"/>
        </w:rPr>
      </w:pPr>
    </w:p>
    <w:p w14:paraId="5049D6D9">
      <w:pPr>
        <w:pStyle w:val="17"/>
        <w:rPr>
          <w:b/>
          <w:color w:val="auto"/>
          <w:sz w:val="36"/>
          <w:highlight w:val="none"/>
        </w:rPr>
      </w:pPr>
    </w:p>
    <w:p w14:paraId="0F494824">
      <w:pPr>
        <w:pStyle w:val="17"/>
        <w:rPr>
          <w:b/>
          <w:color w:val="auto"/>
          <w:sz w:val="36"/>
          <w:highlight w:val="none"/>
        </w:rPr>
      </w:pPr>
    </w:p>
    <w:p w14:paraId="49070221">
      <w:pPr>
        <w:pStyle w:val="17"/>
        <w:rPr>
          <w:b/>
          <w:color w:val="auto"/>
          <w:sz w:val="36"/>
          <w:highlight w:val="none"/>
        </w:rPr>
      </w:pPr>
    </w:p>
    <w:p w14:paraId="5E450083">
      <w:pPr>
        <w:spacing w:line="360" w:lineRule="auto"/>
        <w:jc w:val="center"/>
        <w:rPr>
          <w:b/>
          <w:color w:val="auto"/>
          <w:sz w:val="36"/>
          <w:highlight w:val="none"/>
        </w:rPr>
      </w:pPr>
    </w:p>
    <w:p w14:paraId="029CFBD2">
      <w:pPr>
        <w:spacing w:line="360" w:lineRule="auto"/>
        <w:ind w:firstLine="1446" w:firstLineChars="400"/>
        <w:rPr>
          <w:b/>
          <w:color w:val="auto"/>
          <w:sz w:val="36"/>
          <w:highlight w:val="none"/>
        </w:rPr>
      </w:pPr>
      <w:r>
        <w:rPr>
          <w:b/>
          <w:color w:val="auto"/>
          <w:sz w:val="36"/>
          <w:highlight w:val="none"/>
        </w:rPr>
        <w:t>项 目 编号：</w:t>
      </w:r>
      <w:r>
        <w:rPr>
          <w:b/>
          <w:color w:val="auto"/>
          <w:sz w:val="36"/>
          <w:highlight w:val="none"/>
          <w:u w:val="single"/>
        </w:rPr>
        <w:t xml:space="preserve">          </w:t>
      </w:r>
      <w:r>
        <w:rPr>
          <w:rFonts w:hint="eastAsia" w:eastAsia="宋体"/>
          <w:b/>
          <w:color w:val="auto"/>
          <w:sz w:val="36"/>
          <w:highlight w:val="none"/>
          <w:u w:val="single"/>
          <w:lang w:val="en-US" w:eastAsia="zh-CN"/>
        </w:rPr>
        <w:t xml:space="preserve">        </w:t>
      </w:r>
      <w:r>
        <w:rPr>
          <w:b/>
          <w:color w:val="auto"/>
          <w:sz w:val="36"/>
          <w:highlight w:val="none"/>
          <w:u w:val="single"/>
        </w:rPr>
        <w:t xml:space="preserve">    </w:t>
      </w:r>
      <w:r>
        <w:rPr>
          <w:rFonts w:hint="eastAsia"/>
          <w:b/>
          <w:color w:val="auto"/>
          <w:sz w:val="36"/>
          <w:highlight w:val="none"/>
          <w:u w:val="single"/>
          <w:lang w:val="en-US" w:eastAsia="zh-CN"/>
        </w:rPr>
        <w:t xml:space="preserve"> </w:t>
      </w:r>
      <w:r>
        <w:rPr>
          <w:b/>
          <w:color w:val="auto"/>
          <w:sz w:val="36"/>
          <w:highlight w:val="none"/>
          <w:u w:val="single"/>
        </w:rPr>
        <w:t xml:space="preserve"> </w:t>
      </w:r>
    </w:p>
    <w:p w14:paraId="00C88F3D">
      <w:pPr>
        <w:spacing w:line="360" w:lineRule="auto"/>
        <w:ind w:firstLine="1446" w:firstLineChars="400"/>
        <w:rPr>
          <w:b/>
          <w:color w:val="auto"/>
          <w:sz w:val="36"/>
          <w:highlight w:val="none"/>
        </w:rPr>
      </w:pPr>
      <w:r>
        <w:rPr>
          <w:b/>
          <w:color w:val="auto"/>
          <w:sz w:val="36"/>
          <w:highlight w:val="none"/>
        </w:rPr>
        <w:t>项 目 名称：</w:t>
      </w:r>
      <w:r>
        <w:rPr>
          <w:b/>
          <w:color w:val="auto"/>
          <w:sz w:val="36"/>
          <w:highlight w:val="none"/>
          <w:u w:val="single"/>
        </w:rPr>
        <w:t xml:space="preserve">         </w:t>
      </w:r>
      <w:r>
        <w:rPr>
          <w:rFonts w:hint="eastAsia" w:eastAsia="宋体"/>
          <w:b/>
          <w:color w:val="auto"/>
          <w:sz w:val="36"/>
          <w:highlight w:val="none"/>
          <w:u w:val="single"/>
          <w:lang w:val="en-US" w:eastAsia="zh-CN"/>
        </w:rPr>
        <w:t xml:space="preserve">            </w:t>
      </w:r>
      <w:r>
        <w:rPr>
          <w:b/>
          <w:color w:val="auto"/>
          <w:sz w:val="36"/>
          <w:highlight w:val="none"/>
          <w:u w:val="single"/>
        </w:rPr>
        <w:t xml:space="preserve">   </w:t>
      </w:r>
    </w:p>
    <w:p w14:paraId="2931DC7E">
      <w:pPr>
        <w:spacing w:line="360" w:lineRule="auto"/>
        <w:ind w:firstLine="1446" w:firstLineChars="400"/>
        <w:rPr>
          <w:b/>
          <w:color w:val="auto"/>
          <w:sz w:val="36"/>
          <w:highlight w:val="none"/>
          <w:u w:val="single"/>
        </w:rPr>
      </w:pPr>
      <w:r>
        <w:rPr>
          <w:b/>
          <w:color w:val="auto"/>
          <w:sz w:val="36"/>
          <w:highlight w:val="none"/>
        </w:rPr>
        <w:t>供应商名称</w:t>
      </w:r>
      <w:r>
        <w:rPr>
          <w:rFonts w:hint="eastAsia" w:eastAsia="宋体"/>
          <w:b/>
          <w:color w:val="auto"/>
          <w:sz w:val="36"/>
          <w:highlight w:val="none"/>
          <w:lang w:eastAsia="zh-CN"/>
        </w:rPr>
        <w:t>：</w:t>
      </w:r>
      <w:r>
        <w:rPr>
          <w:b/>
          <w:color w:val="auto"/>
          <w:sz w:val="36"/>
          <w:highlight w:val="none"/>
          <w:u w:val="single"/>
        </w:rPr>
        <w:t xml:space="preserve">         </w:t>
      </w:r>
      <w:r>
        <w:rPr>
          <w:rFonts w:hint="eastAsia" w:eastAsia="宋体"/>
          <w:b/>
          <w:color w:val="auto"/>
          <w:sz w:val="36"/>
          <w:highlight w:val="none"/>
          <w:u w:val="single"/>
          <w:lang w:val="en-US" w:eastAsia="zh-CN"/>
        </w:rPr>
        <w:t xml:space="preserve">              </w:t>
      </w:r>
      <w:r>
        <w:rPr>
          <w:b/>
          <w:color w:val="auto"/>
          <w:sz w:val="36"/>
          <w:highlight w:val="none"/>
          <w:u w:val="single"/>
        </w:rPr>
        <w:t xml:space="preserve"> </w:t>
      </w:r>
    </w:p>
    <w:p w14:paraId="1F7272A3">
      <w:pPr>
        <w:spacing w:line="360" w:lineRule="auto"/>
        <w:ind w:firstLine="1446" w:firstLineChars="400"/>
        <w:rPr>
          <w:b/>
          <w:color w:val="auto"/>
          <w:sz w:val="36"/>
          <w:highlight w:val="none"/>
        </w:rPr>
      </w:pPr>
      <w:r>
        <w:rPr>
          <w:b/>
          <w:color w:val="auto"/>
          <w:sz w:val="36"/>
          <w:highlight w:val="none"/>
        </w:rPr>
        <w:t xml:space="preserve">日     </w:t>
      </w:r>
      <w:r>
        <w:rPr>
          <w:rFonts w:hint="eastAsia"/>
          <w:b/>
          <w:color w:val="auto"/>
          <w:sz w:val="36"/>
          <w:highlight w:val="none"/>
          <w:lang w:val="en-US" w:eastAsia="zh-CN"/>
        </w:rPr>
        <w:t xml:space="preserve"> </w:t>
      </w:r>
      <w:r>
        <w:rPr>
          <w:b/>
          <w:color w:val="auto"/>
          <w:sz w:val="36"/>
          <w:highlight w:val="none"/>
        </w:rPr>
        <w:t>期：</w:t>
      </w:r>
      <w:r>
        <w:rPr>
          <w:b/>
          <w:color w:val="auto"/>
          <w:sz w:val="36"/>
          <w:highlight w:val="none"/>
          <w:u w:val="single"/>
        </w:rPr>
        <w:t xml:space="preserve">     </w:t>
      </w:r>
      <w:r>
        <w:rPr>
          <w:rFonts w:hint="eastAsia" w:eastAsia="宋体"/>
          <w:b/>
          <w:color w:val="auto"/>
          <w:sz w:val="36"/>
          <w:highlight w:val="none"/>
          <w:u w:val="single"/>
          <w:lang w:val="en-US" w:eastAsia="zh-CN"/>
        </w:rPr>
        <w:t xml:space="preserve">               </w:t>
      </w:r>
      <w:r>
        <w:rPr>
          <w:b/>
          <w:color w:val="auto"/>
          <w:sz w:val="36"/>
          <w:highlight w:val="none"/>
          <w:u w:val="single"/>
        </w:rPr>
        <w:t xml:space="preserve">    </w:t>
      </w:r>
    </w:p>
    <w:p w14:paraId="657119D4">
      <w:pPr>
        <w:spacing w:line="360" w:lineRule="auto"/>
        <w:jc w:val="center"/>
        <w:rPr>
          <w:b/>
          <w:bCs/>
          <w:color w:val="auto"/>
          <w:sz w:val="44"/>
          <w:highlight w:val="none"/>
        </w:rPr>
      </w:pPr>
    </w:p>
    <w:p w14:paraId="1FB3DFF2">
      <w:pPr>
        <w:spacing w:line="360" w:lineRule="auto"/>
        <w:outlineLvl w:val="1"/>
        <w:rPr>
          <w:b/>
          <w:bCs/>
          <w:color w:val="auto"/>
          <w:sz w:val="44"/>
          <w:highlight w:val="none"/>
        </w:rPr>
      </w:pPr>
    </w:p>
    <w:p w14:paraId="12562A42">
      <w:pPr>
        <w:spacing w:line="360" w:lineRule="auto"/>
        <w:jc w:val="both"/>
        <w:outlineLvl w:val="1"/>
        <w:rPr>
          <w:b/>
          <w:bCs/>
          <w:color w:val="auto"/>
          <w:sz w:val="32"/>
          <w:szCs w:val="32"/>
          <w:highlight w:val="none"/>
        </w:rPr>
      </w:pPr>
    </w:p>
    <w:p w14:paraId="35BD58B4">
      <w:pPr>
        <w:spacing w:line="360" w:lineRule="auto"/>
        <w:jc w:val="center"/>
        <w:outlineLvl w:val="1"/>
        <w:rPr>
          <w:b/>
          <w:bCs/>
          <w:color w:val="auto"/>
          <w:sz w:val="32"/>
          <w:szCs w:val="32"/>
          <w:highlight w:val="none"/>
        </w:rPr>
      </w:pPr>
      <w:r>
        <w:rPr>
          <w:b/>
          <w:bCs/>
          <w:color w:val="auto"/>
          <w:sz w:val="32"/>
          <w:szCs w:val="32"/>
          <w:highlight w:val="none"/>
        </w:rPr>
        <w:t>磋商文件主要目录及相关证明材料格式、附件</w:t>
      </w:r>
    </w:p>
    <w:p w14:paraId="62CF26F4">
      <w:pPr>
        <w:spacing w:line="360" w:lineRule="auto"/>
        <w:rPr>
          <w:color w:val="auto"/>
          <w:szCs w:val="21"/>
          <w:highlight w:val="none"/>
        </w:rPr>
      </w:pPr>
    </w:p>
    <w:p w14:paraId="3DE2304A">
      <w:pPr>
        <w:numPr>
          <w:ilvl w:val="0"/>
          <w:numId w:val="4"/>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竞争性磋商申请及声明</w:t>
      </w:r>
    </w:p>
    <w:p w14:paraId="094EDAB0">
      <w:pPr>
        <w:numPr>
          <w:ilvl w:val="0"/>
          <w:numId w:val="4"/>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法定代表人授权书</w:t>
      </w:r>
    </w:p>
    <w:p w14:paraId="4DD28BA3">
      <w:pPr>
        <w:numPr>
          <w:ilvl w:val="0"/>
          <w:numId w:val="4"/>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竞争性磋商报价表</w:t>
      </w:r>
    </w:p>
    <w:p w14:paraId="24442630">
      <w:pPr>
        <w:numPr>
          <w:ilvl w:val="0"/>
          <w:numId w:val="4"/>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27DC11F5">
      <w:pPr>
        <w:numPr>
          <w:ilvl w:val="0"/>
          <w:numId w:val="4"/>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7EDB03F0">
      <w:pPr>
        <w:numPr>
          <w:ilvl w:val="0"/>
          <w:numId w:val="4"/>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技术条款偏离表</w:t>
      </w:r>
    </w:p>
    <w:p w14:paraId="2CEE4343">
      <w:pPr>
        <w:numPr>
          <w:ilvl w:val="0"/>
          <w:numId w:val="4"/>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商务条款偏离表</w:t>
      </w:r>
    </w:p>
    <w:p w14:paraId="651BD097">
      <w:pPr>
        <w:numPr>
          <w:ilvl w:val="0"/>
          <w:numId w:val="4"/>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服务与承诺</w:t>
      </w:r>
    </w:p>
    <w:p w14:paraId="077CE291">
      <w:pPr>
        <w:numPr>
          <w:ilvl w:val="0"/>
          <w:numId w:val="4"/>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竞争性磋商需要的其他证明文件及材料（若有)</w:t>
      </w:r>
    </w:p>
    <w:p w14:paraId="1C84E7E1">
      <w:pPr>
        <w:numPr>
          <w:ilvl w:val="0"/>
          <w:numId w:val="4"/>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资格性和符合性审查响应对照表</w:t>
      </w:r>
    </w:p>
    <w:p w14:paraId="3091B07C">
      <w:pPr>
        <w:spacing w:line="360" w:lineRule="auto"/>
        <w:rPr>
          <w:rFonts w:hint="eastAsia" w:ascii="宋体" w:hAnsi="宋体" w:cs="宋体"/>
          <w:color w:val="auto"/>
          <w:sz w:val="24"/>
          <w:szCs w:val="24"/>
          <w:highlight w:val="none"/>
        </w:rPr>
      </w:pPr>
    </w:p>
    <w:p w14:paraId="42288E7D">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0B8472F">
      <w:pPr>
        <w:spacing w:line="360" w:lineRule="auto"/>
        <w:rPr>
          <w:rFonts w:hint="eastAsia" w:ascii="宋体" w:hAnsi="宋体" w:cs="宋体"/>
          <w:color w:val="auto"/>
          <w:sz w:val="24"/>
          <w:szCs w:val="24"/>
          <w:highlight w:val="none"/>
        </w:rPr>
      </w:pPr>
    </w:p>
    <w:p w14:paraId="213F692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中小企业声明函</w:t>
      </w:r>
    </w:p>
    <w:p w14:paraId="58C6E6D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、无重大违法记录声明格式</w:t>
      </w:r>
    </w:p>
    <w:p w14:paraId="35E8AF9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、具备履行合同所必需的设备和专业技术能力的声明格式</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证明材料</w:t>
      </w:r>
    </w:p>
    <w:p w14:paraId="626EB1BF">
      <w:pPr>
        <w:autoSpaceDE w:val="0"/>
        <w:autoSpaceDN w:val="0"/>
        <w:adjustRightInd w:val="0"/>
        <w:spacing w:line="360" w:lineRule="auto"/>
        <w:rPr>
          <w:rFonts w:hint="eastAsia" w:ascii="宋体" w:hAnsi="宋体" w:cs="宋体"/>
          <w:b/>
          <w:color w:val="auto"/>
          <w:szCs w:val="21"/>
          <w:highlight w:val="none"/>
          <w:lang w:val="zh-CN"/>
        </w:rPr>
      </w:pPr>
    </w:p>
    <w:p w14:paraId="66B8162F">
      <w:pPr>
        <w:autoSpaceDE w:val="0"/>
        <w:autoSpaceDN w:val="0"/>
        <w:adjustRightInd w:val="0"/>
        <w:spacing w:line="360" w:lineRule="auto"/>
        <w:rPr>
          <w:rFonts w:hint="eastAsia" w:ascii="宋体" w:hAnsi="宋体" w:cs="宋体"/>
          <w:b/>
          <w:bCs/>
          <w:color w:val="auto"/>
          <w:szCs w:val="21"/>
          <w:highlight w:val="none"/>
          <w:lang w:val="zh-CN"/>
        </w:rPr>
      </w:pPr>
    </w:p>
    <w:p w14:paraId="6A73DE4F">
      <w:pPr>
        <w:autoSpaceDE w:val="0"/>
        <w:autoSpaceDN w:val="0"/>
        <w:adjustRightInd w:val="0"/>
        <w:spacing w:line="360" w:lineRule="auto"/>
        <w:rPr>
          <w:rFonts w:hint="eastAsia" w:ascii="宋体" w:hAnsi="宋体" w:cs="宋体"/>
          <w:b/>
          <w:bCs/>
          <w:color w:val="auto"/>
          <w:szCs w:val="21"/>
          <w:highlight w:val="none"/>
          <w:lang w:val="zh-CN"/>
        </w:rPr>
      </w:pPr>
    </w:p>
    <w:p w14:paraId="29F6DA2E">
      <w:pPr>
        <w:autoSpaceDE w:val="0"/>
        <w:autoSpaceDN w:val="0"/>
        <w:adjustRightInd w:val="0"/>
        <w:spacing w:line="360" w:lineRule="auto"/>
        <w:rPr>
          <w:rFonts w:hint="eastAsia" w:ascii="宋体" w:hAnsi="宋体" w:cs="宋体"/>
          <w:b/>
          <w:bCs/>
          <w:color w:val="auto"/>
          <w:szCs w:val="21"/>
          <w:highlight w:val="none"/>
          <w:lang w:val="zh-CN"/>
        </w:rPr>
      </w:pPr>
    </w:p>
    <w:p w14:paraId="169E9745">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123221FD">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5C52DEB1">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796515D1">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73107CB5">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12896B96">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25D6EC34">
      <w:pPr>
        <w:autoSpaceDE w:val="0"/>
        <w:autoSpaceDN w:val="0"/>
        <w:adjustRightInd w:val="0"/>
        <w:spacing w:line="348" w:lineRule="auto"/>
        <w:outlineLvl w:val="2"/>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lang w:val="zh-CN"/>
        </w:rPr>
        <w:t>目录一、竞争性磋商申请及声明</w:t>
      </w:r>
    </w:p>
    <w:p w14:paraId="1B827F4F">
      <w:pPr>
        <w:spacing w:line="348" w:lineRule="auto"/>
        <w:jc w:val="center"/>
        <w:rPr>
          <w:rFonts w:eastAsia="黑体"/>
          <w:color w:val="auto"/>
          <w:sz w:val="36"/>
          <w:szCs w:val="36"/>
          <w:highlight w:val="none"/>
        </w:rPr>
      </w:pPr>
      <w:r>
        <w:rPr>
          <w:rFonts w:eastAsia="黑体"/>
          <w:color w:val="auto"/>
          <w:sz w:val="36"/>
          <w:szCs w:val="36"/>
          <w:highlight w:val="none"/>
        </w:rPr>
        <w:t>竞争性磋商申请及声明</w:t>
      </w:r>
    </w:p>
    <w:p w14:paraId="002A6541">
      <w:pPr>
        <w:autoSpaceDE w:val="0"/>
        <w:autoSpaceDN w:val="0"/>
        <w:adjustRightInd w:val="0"/>
        <w:spacing w:line="348" w:lineRule="auto"/>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zh-CN"/>
        </w:rPr>
        <w:t>致：</w:t>
      </w:r>
      <w:r>
        <w:rPr>
          <w:rFonts w:hint="eastAsia" w:ascii="宋体" w:hAnsi="宋体" w:cs="宋体"/>
          <w:color w:val="auto"/>
          <w:sz w:val="22"/>
          <w:szCs w:val="22"/>
          <w:highlight w:val="none"/>
          <w:lang w:val="en-US"/>
        </w:rPr>
        <w:t>江苏高淳经济开发区管理委员会</w:t>
      </w:r>
    </w:p>
    <w:p w14:paraId="2930E3A3">
      <w:pPr>
        <w:autoSpaceDE w:val="0"/>
        <w:autoSpaceDN w:val="0"/>
        <w:adjustRightInd w:val="0"/>
        <w:spacing w:line="348" w:lineRule="auto"/>
        <w:ind w:firstLine="420"/>
        <w:rPr>
          <w:rFonts w:hint="eastAsia" w:ascii="宋体" w:hAnsi="宋体" w:cs="宋体"/>
          <w:color w:val="auto"/>
          <w:sz w:val="22"/>
          <w:szCs w:val="22"/>
          <w:highlight w:val="none"/>
          <w:lang w:val="zh-CN"/>
        </w:rPr>
      </w:pPr>
      <w:r>
        <w:rPr>
          <w:rFonts w:hint="eastAsia" w:ascii="宋体" w:hAnsi="宋体" w:cs="宋体"/>
          <w:color w:val="auto"/>
          <w:sz w:val="22"/>
          <w:szCs w:val="22"/>
          <w:highlight w:val="none"/>
          <w:lang w:val="zh-CN"/>
        </w:rPr>
        <w:t>根据贵方</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（项目名称）</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（项目编号）竞争性磋商邀请，正式授权下述签字人</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(姓名和职务)代表</w:t>
      </w:r>
      <w:r>
        <w:rPr>
          <w:rFonts w:hint="eastAsia" w:ascii="宋体" w:hAnsi="宋体" w:cs="宋体"/>
          <w:color w:val="auto"/>
          <w:sz w:val="22"/>
          <w:szCs w:val="22"/>
          <w:highlight w:val="none"/>
          <w:u w:val="single"/>
          <w:lang w:val="zh-CN"/>
        </w:rPr>
        <w:t xml:space="preserve">                  </w:t>
      </w:r>
      <w:r>
        <w:rPr>
          <w:rFonts w:hint="eastAsia" w:ascii="宋体" w:hAnsi="宋体" w:cs="宋体"/>
          <w:color w:val="auto"/>
          <w:sz w:val="22"/>
          <w:szCs w:val="22"/>
          <w:highlight w:val="none"/>
          <w:lang w:val="zh-CN"/>
        </w:rPr>
        <w:t>（供应商名称），提交响应文件并参加磋商。</w:t>
      </w:r>
    </w:p>
    <w:p w14:paraId="0583AD82">
      <w:pPr>
        <w:spacing w:line="348"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据此函，签字人兹宣布同意如下：</w:t>
      </w:r>
    </w:p>
    <w:p w14:paraId="2B118869">
      <w:pPr>
        <w:spacing w:line="348"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b/>
          <w:color w:val="auto"/>
          <w:sz w:val="22"/>
          <w:szCs w:val="22"/>
          <w:highlight w:val="none"/>
          <w:lang w:val="zh-CN"/>
        </w:rPr>
        <w:t>我们的资格条件完全符合政府采购法和本次采购要求</w:t>
      </w:r>
      <w:r>
        <w:rPr>
          <w:rFonts w:hint="eastAsia" w:ascii="宋体" w:hAnsi="宋体" w:cs="宋体"/>
          <w:color w:val="auto"/>
          <w:sz w:val="22"/>
          <w:szCs w:val="22"/>
          <w:highlight w:val="none"/>
          <w:lang w:val="zh-CN"/>
        </w:rPr>
        <w:t>，</w:t>
      </w:r>
      <w:r>
        <w:rPr>
          <w:rFonts w:hint="eastAsia" w:ascii="宋体" w:hAnsi="宋体" w:cs="宋体"/>
          <w:color w:val="auto"/>
          <w:sz w:val="22"/>
          <w:szCs w:val="22"/>
          <w:highlight w:val="none"/>
        </w:rPr>
        <w:t>我们</w:t>
      </w:r>
      <w:r>
        <w:rPr>
          <w:rFonts w:hint="eastAsia" w:ascii="宋体" w:hAnsi="宋体" w:cs="宋体"/>
          <w:color w:val="auto"/>
          <w:sz w:val="22"/>
          <w:szCs w:val="22"/>
          <w:highlight w:val="none"/>
          <w:lang w:val="zh-CN"/>
        </w:rPr>
        <w:t>同意并向贵方提供了与本次采购活动有关的所有证据和资料</w:t>
      </w:r>
      <w:r>
        <w:rPr>
          <w:rFonts w:hint="eastAsia" w:ascii="宋体" w:hAnsi="宋体" w:cs="宋体"/>
          <w:color w:val="auto"/>
          <w:sz w:val="22"/>
          <w:szCs w:val="22"/>
          <w:highlight w:val="none"/>
        </w:rPr>
        <w:t>。</w:t>
      </w:r>
    </w:p>
    <w:p w14:paraId="383F7C81">
      <w:pPr>
        <w:spacing w:line="348" w:lineRule="auto"/>
        <w:ind w:firstLine="440" w:firstLineChars="200"/>
        <w:rPr>
          <w:rFonts w:hint="eastAsia"/>
          <w:color w:val="auto"/>
          <w:highlight w:val="none"/>
        </w:rPr>
      </w:pPr>
      <w:r>
        <w:rPr>
          <w:rFonts w:hint="eastAsia" w:ascii="宋体" w:hAnsi="宋体" w:cs="宋体"/>
          <w:color w:val="auto"/>
          <w:sz w:val="22"/>
          <w:szCs w:val="22"/>
          <w:highlight w:val="none"/>
          <w:lang w:val="zh-CN"/>
        </w:rPr>
        <w:t>2、项目名称：</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kern w:val="0"/>
          <w:sz w:val="21"/>
          <w:szCs w:val="21"/>
          <w:highlight w:val="none"/>
          <w:u w:val="none"/>
          <w:lang w:eastAsia="zh-CN" w:bidi="ar"/>
        </w:rPr>
        <w:t>；</w:t>
      </w:r>
      <w:r>
        <w:rPr>
          <w:rFonts w:hint="eastAsia" w:ascii="宋体" w:hAnsi="宋体" w:cs="宋体"/>
          <w:color w:val="auto"/>
          <w:highlight w:val="none"/>
        </w:rPr>
        <w:t>总报价为（大写）</w:t>
      </w:r>
      <w:r>
        <w:rPr>
          <w:rFonts w:hint="eastAsia" w:ascii="宋体" w:hAnsi="宋体" w:cs="宋体"/>
          <w:b/>
          <w:bCs/>
          <w:color w:val="auto"/>
          <w:highlight w:val="none"/>
          <w:u w:val="single"/>
        </w:rPr>
        <w:t xml:space="preserve">             </w:t>
      </w:r>
      <w:r>
        <w:rPr>
          <w:rFonts w:hint="eastAsia" w:ascii="宋体" w:hAnsi="宋体" w:cs="宋体"/>
          <w:color w:val="auto"/>
          <w:highlight w:val="none"/>
        </w:rPr>
        <w:t>元人民币。</w:t>
      </w:r>
    </w:p>
    <w:p w14:paraId="05383E0F">
      <w:pPr>
        <w:spacing w:line="348"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val="zh-CN"/>
        </w:rPr>
        <w:t>我们已详细审核全部磋商文件及其有效补充文件，我们放弃对磋商文件任何误解的权利，提交响应文件后，</w:t>
      </w:r>
      <w:r>
        <w:rPr>
          <w:rFonts w:hint="eastAsia" w:ascii="宋体" w:hAnsi="宋体" w:cs="宋体"/>
          <w:b/>
          <w:color w:val="auto"/>
          <w:sz w:val="22"/>
          <w:szCs w:val="22"/>
          <w:highlight w:val="none"/>
          <w:lang w:val="zh-CN"/>
        </w:rPr>
        <w:t>不对磋商文件本身提出质疑</w:t>
      </w:r>
      <w:r>
        <w:rPr>
          <w:rFonts w:hint="eastAsia" w:ascii="宋体" w:hAnsi="宋体" w:cs="宋体"/>
          <w:color w:val="auto"/>
          <w:sz w:val="22"/>
          <w:szCs w:val="22"/>
          <w:highlight w:val="none"/>
          <w:lang w:val="zh-CN"/>
        </w:rPr>
        <w:t>。否则，属于不诚信和故意扰乱政府采购活动行为，我们将无条件接受处罚。</w:t>
      </w:r>
    </w:p>
    <w:p w14:paraId="63896087">
      <w:pPr>
        <w:spacing w:line="348"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4、一旦我方成交，我方将根据磋商文件的规定，严格履行合同，保证于承诺的时间内完成本项目规定的服务内容。</w:t>
      </w:r>
    </w:p>
    <w:p w14:paraId="234C8E9B">
      <w:pPr>
        <w:spacing w:line="348"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我方决不提供虚假材料谋取成交、决不采取不正当手段诋毁、排挤其他供应商、决不与供应商、其它供应商或者代理机构恶意串通、决不向供应商、代理机构工作人员和磋商小组进行商业贿赂、决不拒绝有关部门监督检查或提供虚假情况，如有违反，无条件接受贵方及相关管理部门的处罚。</w:t>
      </w:r>
    </w:p>
    <w:p w14:paraId="1FAFF38B">
      <w:pPr>
        <w:spacing w:line="324"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6、我方正式通讯方式为：</w:t>
      </w:r>
    </w:p>
    <w:p w14:paraId="4B95F04E">
      <w:pPr>
        <w:spacing w:line="324"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地   址：</w:t>
      </w:r>
      <w:r>
        <w:rPr>
          <w:rFonts w:hint="eastAsia" w:ascii="宋体" w:hAnsi="宋体" w:cs="宋体"/>
          <w:color w:val="auto"/>
          <w:sz w:val="22"/>
          <w:szCs w:val="22"/>
          <w:highlight w:val="none"/>
          <w:u w:val="single"/>
        </w:rPr>
        <w:t xml:space="preserve">                       </w:t>
      </w:r>
    </w:p>
    <w:p w14:paraId="4AEAA11C">
      <w:pPr>
        <w:spacing w:line="324"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电   话：</w:t>
      </w:r>
      <w:r>
        <w:rPr>
          <w:rFonts w:hint="eastAsia" w:ascii="宋体" w:hAnsi="宋体" w:cs="宋体"/>
          <w:color w:val="auto"/>
          <w:sz w:val="22"/>
          <w:szCs w:val="22"/>
          <w:highlight w:val="none"/>
          <w:u w:val="single"/>
        </w:rPr>
        <w:t xml:space="preserve">                       </w:t>
      </w:r>
    </w:p>
    <w:p w14:paraId="5A187E84">
      <w:pPr>
        <w:spacing w:line="324"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传   真：</w:t>
      </w:r>
      <w:r>
        <w:rPr>
          <w:rFonts w:hint="eastAsia" w:ascii="宋体" w:hAnsi="宋体" w:cs="宋体"/>
          <w:color w:val="auto"/>
          <w:sz w:val="22"/>
          <w:szCs w:val="22"/>
          <w:highlight w:val="none"/>
          <w:u w:val="single"/>
        </w:rPr>
        <w:t xml:space="preserve">                       </w:t>
      </w:r>
    </w:p>
    <w:p w14:paraId="444A08BB">
      <w:pPr>
        <w:spacing w:line="324"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7、我方正式开户银行和</w:t>
      </w:r>
      <w:r>
        <w:rPr>
          <w:rFonts w:hint="eastAsia" w:ascii="宋体" w:hAnsi="宋体" w:cs="宋体"/>
          <w:color w:val="auto"/>
          <w:sz w:val="22"/>
          <w:szCs w:val="22"/>
          <w:highlight w:val="none"/>
          <w:lang w:val="en-US" w:eastAsia="zh-CN"/>
        </w:rPr>
        <w:t>账号</w:t>
      </w:r>
      <w:r>
        <w:rPr>
          <w:rFonts w:hint="eastAsia" w:ascii="宋体" w:hAnsi="宋体" w:cs="宋体"/>
          <w:color w:val="auto"/>
          <w:sz w:val="22"/>
          <w:szCs w:val="22"/>
          <w:highlight w:val="none"/>
        </w:rPr>
        <w:t>为：</w:t>
      </w:r>
    </w:p>
    <w:p w14:paraId="61B0CC81">
      <w:pPr>
        <w:spacing w:line="324"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开户银行：</w:t>
      </w:r>
      <w:r>
        <w:rPr>
          <w:rFonts w:hint="eastAsia" w:ascii="宋体" w:hAnsi="宋体" w:cs="宋体"/>
          <w:color w:val="auto"/>
          <w:sz w:val="22"/>
          <w:szCs w:val="22"/>
          <w:highlight w:val="none"/>
          <w:u w:val="single"/>
        </w:rPr>
        <w:t xml:space="preserve">                       </w:t>
      </w:r>
    </w:p>
    <w:p w14:paraId="3B843FE2">
      <w:pPr>
        <w:spacing w:line="324"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帐    号：</w:t>
      </w:r>
      <w:r>
        <w:rPr>
          <w:rFonts w:hint="eastAsia" w:ascii="宋体" w:hAnsi="宋体" w:cs="宋体"/>
          <w:color w:val="auto"/>
          <w:sz w:val="22"/>
          <w:szCs w:val="22"/>
          <w:highlight w:val="none"/>
          <w:u w:val="single"/>
        </w:rPr>
        <w:t xml:space="preserve">                       </w:t>
      </w:r>
    </w:p>
    <w:p w14:paraId="1A291781">
      <w:pPr>
        <w:spacing w:line="324" w:lineRule="auto"/>
        <w:ind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供应商授权代表姓名（签字）：</w:t>
      </w:r>
      <w:r>
        <w:rPr>
          <w:rFonts w:hint="eastAsia" w:ascii="宋体" w:hAnsi="宋体" w:cs="宋体"/>
          <w:color w:val="auto"/>
          <w:sz w:val="22"/>
          <w:szCs w:val="22"/>
          <w:highlight w:val="none"/>
          <w:u w:val="single"/>
        </w:rPr>
        <w:t xml:space="preserve">         </w:t>
      </w:r>
    </w:p>
    <w:p w14:paraId="6A8C46A3">
      <w:pPr>
        <w:spacing w:line="324"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供应商名称（公章）：</w:t>
      </w:r>
      <w:r>
        <w:rPr>
          <w:rFonts w:hint="eastAsia" w:ascii="宋体" w:hAnsi="宋体" w:cs="宋体"/>
          <w:color w:val="auto"/>
          <w:sz w:val="22"/>
          <w:szCs w:val="22"/>
          <w:highlight w:val="none"/>
          <w:u w:val="single"/>
        </w:rPr>
        <w:t xml:space="preserve">                 </w:t>
      </w:r>
    </w:p>
    <w:p w14:paraId="406DA5EC">
      <w:pPr>
        <w:spacing w:line="324"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日    期：</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日</w:t>
      </w:r>
    </w:p>
    <w:p w14:paraId="13612DC3">
      <w:pPr>
        <w:autoSpaceDE w:val="0"/>
        <w:autoSpaceDN w:val="0"/>
        <w:adjustRightInd w:val="0"/>
        <w:spacing w:line="360" w:lineRule="auto"/>
        <w:outlineLvl w:val="2"/>
        <w:rPr>
          <w:b/>
          <w:bCs/>
          <w:color w:val="auto"/>
          <w:szCs w:val="21"/>
          <w:highlight w:val="none"/>
          <w:lang w:val="zh-CN"/>
        </w:rPr>
      </w:pPr>
    </w:p>
    <w:p w14:paraId="5A1C3727">
      <w:pPr>
        <w:autoSpaceDE w:val="0"/>
        <w:autoSpaceDN w:val="0"/>
        <w:adjustRightInd w:val="0"/>
        <w:spacing w:line="348" w:lineRule="auto"/>
        <w:outlineLvl w:val="2"/>
        <w:rPr>
          <w:rFonts w:hint="eastAsia" w:ascii="宋体" w:hAnsi="宋体" w:cs="宋体"/>
          <w:b/>
          <w:color w:val="auto"/>
          <w:sz w:val="22"/>
          <w:szCs w:val="22"/>
          <w:highlight w:val="none"/>
          <w:lang w:val="zh-CN"/>
        </w:rPr>
      </w:pPr>
    </w:p>
    <w:p w14:paraId="1B9F1C42">
      <w:pPr>
        <w:autoSpaceDE w:val="0"/>
        <w:autoSpaceDN w:val="0"/>
        <w:adjustRightInd w:val="0"/>
        <w:spacing w:line="348" w:lineRule="auto"/>
        <w:outlineLvl w:val="2"/>
        <w:rPr>
          <w:rFonts w:hint="eastAsia" w:ascii="宋体" w:hAnsi="宋体" w:cs="宋体"/>
          <w:b/>
          <w:color w:val="auto"/>
          <w:sz w:val="22"/>
          <w:szCs w:val="22"/>
          <w:highlight w:val="none"/>
          <w:lang w:val="zh-CN"/>
        </w:rPr>
      </w:pPr>
      <w:r>
        <w:rPr>
          <w:rFonts w:hint="eastAsia" w:ascii="宋体" w:hAnsi="宋体" w:cs="宋体"/>
          <w:b/>
          <w:color w:val="auto"/>
          <w:sz w:val="22"/>
          <w:szCs w:val="22"/>
          <w:highlight w:val="none"/>
          <w:lang w:val="zh-CN"/>
        </w:rPr>
        <w:t>目录二、法定代表人授权书格式</w:t>
      </w:r>
    </w:p>
    <w:p w14:paraId="5AFD1F13">
      <w:pPr>
        <w:spacing w:line="360" w:lineRule="auto"/>
        <w:jc w:val="center"/>
        <w:rPr>
          <w:rFonts w:eastAsia="黑体"/>
          <w:color w:val="auto"/>
          <w:sz w:val="36"/>
          <w:szCs w:val="36"/>
          <w:highlight w:val="none"/>
        </w:rPr>
      </w:pPr>
      <w:r>
        <w:rPr>
          <w:rFonts w:eastAsia="黑体"/>
          <w:color w:val="auto"/>
          <w:sz w:val="36"/>
          <w:szCs w:val="36"/>
          <w:highlight w:val="none"/>
        </w:rPr>
        <w:t>法定代表人授权书</w:t>
      </w:r>
    </w:p>
    <w:p w14:paraId="7AEEAAD0">
      <w:pPr>
        <w:autoSpaceDE w:val="0"/>
        <w:autoSpaceDN w:val="0"/>
        <w:adjustRightInd w:val="0"/>
        <w:spacing w:line="360" w:lineRule="auto"/>
        <w:rPr>
          <w:rFonts w:hint="default" w:ascii="Times New Roman" w:hAnsi="Times New Roman"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rPr>
        <w:t>江苏高淳经济开发区管理委员会</w:t>
      </w:r>
      <w:r>
        <w:rPr>
          <w:rFonts w:hint="eastAsia" w:ascii="Times New Roman" w:hAnsi="Times New Roman" w:cs="Times New Roman"/>
          <w:color w:val="auto"/>
          <w:sz w:val="22"/>
          <w:szCs w:val="22"/>
          <w:highlight w:val="none"/>
          <w:lang w:val="en-US" w:eastAsia="zh-CN"/>
        </w:rPr>
        <w:t>：</w:t>
      </w:r>
    </w:p>
    <w:p w14:paraId="6543878F">
      <w:pPr>
        <w:autoSpaceDE w:val="0"/>
        <w:autoSpaceDN w:val="0"/>
        <w:adjustRightInd w:val="0"/>
        <w:spacing w:line="360" w:lineRule="auto"/>
        <w:rPr>
          <w:color w:val="auto"/>
          <w:sz w:val="22"/>
          <w:szCs w:val="22"/>
          <w:highlight w:val="none"/>
          <w:lang w:val="zh-CN"/>
        </w:rPr>
      </w:pPr>
      <w:r>
        <w:rPr>
          <w:color w:val="auto"/>
          <w:sz w:val="22"/>
          <w:szCs w:val="22"/>
          <w:highlight w:val="none"/>
          <w:lang w:val="zh-CN"/>
        </w:rPr>
        <w:t xml:space="preserve">    本授权书声明：注册于</w:t>
      </w:r>
      <w:r>
        <w:rPr>
          <w:color w:val="auto"/>
          <w:sz w:val="22"/>
          <w:szCs w:val="22"/>
          <w:highlight w:val="none"/>
          <w:u w:val="single"/>
          <w:lang w:val="zh-CN"/>
        </w:rPr>
        <w:t xml:space="preserve">                             </w:t>
      </w:r>
      <w:r>
        <w:rPr>
          <w:color w:val="auto"/>
          <w:sz w:val="22"/>
          <w:szCs w:val="22"/>
          <w:highlight w:val="none"/>
          <w:lang w:val="zh-CN"/>
        </w:rPr>
        <w:t>（供应商住址）的</w:t>
      </w:r>
      <w:r>
        <w:rPr>
          <w:color w:val="auto"/>
          <w:sz w:val="22"/>
          <w:szCs w:val="22"/>
          <w:highlight w:val="none"/>
          <w:u w:val="single"/>
          <w:lang w:val="zh-CN"/>
        </w:rPr>
        <w:t xml:space="preserve">                 </w:t>
      </w:r>
      <w:r>
        <w:rPr>
          <w:color w:val="auto"/>
          <w:sz w:val="22"/>
          <w:szCs w:val="22"/>
          <w:highlight w:val="none"/>
          <w:lang w:val="zh-CN"/>
        </w:rPr>
        <w:t>（供应商名称）法定代表人</w:t>
      </w:r>
      <w:r>
        <w:rPr>
          <w:color w:val="auto"/>
          <w:sz w:val="22"/>
          <w:szCs w:val="22"/>
          <w:highlight w:val="none"/>
          <w:u w:val="single"/>
          <w:lang w:val="zh-CN"/>
        </w:rPr>
        <w:t xml:space="preserve">                      </w:t>
      </w:r>
      <w:r>
        <w:rPr>
          <w:color w:val="auto"/>
          <w:sz w:val="22"/>
          <w:szCs w:val="22"/>
          <w:highlight w:val="none"/>
          <w:lang w:val="zh-CN"/>
        </w:rPr>
        <w:t>（法定代表人姓名、职务）代表本公司授权在下面签字的</w:t>
      </w:r>
      <w:r>
        <w:rPr>
          <w:color w:val="auto"/>
          <w:sz w:val="22"/>
          <w:szCs w:val="22"/>
          <w:highlight w:val="none"/>
          <w:u w:val="single"/>
          <w:lang w:val="zh-CN"/>
        </w:rPr>
        <w:t xml:space="preserve">                       </w:t>
      </w:r>
      <w:r>
        <w:rPr>
          <w:color w:val="auto"/>
          <w:sz w:val="22"/>
          <w:szCs w:val="22"/>
          <w:highlight w:val="none"/>
          <w:lang w:val="zh-CN"/>
        </w:rPr>
        <w:t>（供应商代表姓名、职务）为本公司的合法代理人，就贵方组织的</w:t>
      </w:r>
      <w:r>
        <w:rPr>
          <w:color w:val="auto"/>
          <w:sz w:val="22"/>
          <w:szCs w:val="22"/>
          <w:highlight w:val="none"/>
          <w:u w:val="single"/>
          <w:lang w:val="zh-CN"/>
        </w:rPr>
        <w:t xml:space="preserve">                                </w:t>
      </w:r>
      <w:r>
        <w:rPr>
          <w:color w:val="auto"/>
          <w:sz w:val="22"/>
          <w:szCs w:val="22"/>
          <w:highlight w:val="none"/>
          <w:lang w:val="zh-CN"/>
        </w:rPr>
        <w:t>（项目名称）</w:t>
      </w:r>
      <w:r>
        <w:rPr>
          <w:color w:val="auto"/>
          <w:sz w:val="22"/>
          <w:szCs w:val="22"/>
          <w:highlight w:val="none"/>
          <w:u w:val="single"/>
          <w:lang w:val="zh-CN"/>
        </w:rPr>
        <w:t xml:space="preserve">                    </w:t>
      </w:r>
      <w:r>
        <w:rPr>
          <w:color w:val="auto"/>
          <w:sz w:val="22"/>
          <w:szCs w:val="22"/>
          <w:highlight w:val="none"/>
          <w:lang w:val="zh-CN"/>
        </w:rPr>
        <w:t>（项目编号）竞争性磋商，以本公司名义处理一切与之有关的事务。</w:t>
      </w:r>
    </w:p>
    <w:p w14:paraId="25C26AC8">
      <w:pPr>
        <w:autoSpaceDE w:val="0"/>
        <w:autoSpaceDN w:val="0"/>
        <w:adjustRightInd w:val="0"/>
        <w:spacing w:line="360" w:lineRule="auto"/>
        <w:rPr>
          <w:color w:val="auto"/>
          <w:sz w:val="22"/>
          <w:szCs w:val="22"/>
          <w:highlight w:val="none"/>
          <w:lang w:val="zh-CN"/>
        </w:rPr>
      </w:pPr>
      <w:r>
        <w:rPr>
          <w:color w:val="auto"/>
          <w:sz w:val="22"/>
          <w:szCs w:val="22"/>
          <w:highlight w:val="none"/>
          <w:lang w:val="zh-CN"/>
        </w:rPr>
        <w:t xml:space="preserve">    本授权书于        年   月   日签字生效，特此声明。</w:t>
      </w:r>
    </w:p>
    <w:p w14:paraId="202978B4">
      <w:pPr>
        <w:autoSpaceDE w:val="0"/>
        <w:autoSpaceDN w:val="0"/>
        <w:adjustRightInd w:val="0"/>
        <w:spacing w:line="360" w:lineRule="auto"/>
        <w:rPr>
          <w:color w:val="auto"/>
          <w:sz w:val="22"/>
          <w:szCs w:val="22"/>
          <w:highlight w:val="none"/>
          <w:lang w:val="zh-CN"/>
        </w:rPr>
      </w:pPr>
      <w:r>
        <w:rPr>
          <w:color w:val="auto"/>
          <w:sz w:val="22"/>
          <w:szCs w:val="22"/>
          <w:highlight w:val="none"/>
          <w:lang w:val="zh-CN"/>
        </w:rPr>
        <w:t xml:space="preserve">    法定代表人签字：</w:t>
      </w:r>
    </w:p>
    <w:p w14:paraId="65FF488F">
      <w:pPr>
        <w:autoSpaceDE w:val="0"/>
        <w:autoSpaceDN w:val="0"/>
        <w:adjustRightInd w:val="0"/>
        <w:spacing w:line="360" w:lineRule="auto"/>
        <w:rPr>
          <w:color w:val="auto"/>
          <w:sz w:val="22"/>
          <w:szCs w:val="22"/>
          <w:highlight w:val="none"/>
          <w:lang w:val="zh-CN"/>
        </w:rPr>
      </w:pPr>
      <w:r>
        <w:rPr>
          <w:color w:val="auto"/>
          <w:sz w:val="22"/>
          <w:szCs w:val="22"/>
          <w:highlight w:val="none"/>
          <w:lang w:val="zh-CN"/>
        </w:rPr>
        <w:t xml:space="preserve">    被授权人签字：                    </w:t>
      </w:r>
    </w:p>
    <w:p w14:paraId="35C52C18">
      <w:pPr>
        <w:tabs>
          <w:tab w:val="left" w:pos="1440"/>
        </w:tabs>
        <w:autoSpaceDE w:val="0"/>
        <w:autoSpaceDN w:val="0"/>
        <w:adjustRightInd w:val="0"/>
        <w:spacing w:line="360" w:lineRule="auto"/>
        <w:ind w:firstLine="440" w:firstLineChars="200"/>
        <w:rPr>
          <w:color w:val="auto"/>
          <w:sz w:val="22"/>
          <w:szCs w:val="22"/>
          <w:highlight w:val="none"/>
          <w:lang w:val="zh-CN"/>
        </w:rPr>
      </w:pPr>
      <w:r>
        <w:rPr>
          <w:color w:val="auto"/>
          <w:sz w:val="22"/>
          <w:szCs w:val="22"/>
          <w:highlight w:val="none"/>
          <w:lang w:val="zh-CN"/>
        </w:rPr>
        <w:t>日        期：    年    月    日</w:t>
      </w:r>
    </w:p>
    <w:p w14:paraId="450DA821">
      <w:pPr>
        <w:autoSpaceDE w:val="0"/>
        <w:autoSpaceDN w:val="0"/>
        <w:adjustRightInd w:val="0"/>
        <w:spacing w:line="360" w:lineRule="auto"/>
        <w:outlineLvl w:val="2"/>
        <w:rPr>
          <w:color w:val="auto"/>
          <w:sz w:val="22"/>
          <w:szCs w:val="22"/>
          <w:highlight w:val="none"/>
          <w:lang w:val="zh-CN"/>
        </w:rPr>
      </w:pPr>
    </w:p>
    <w:p w14:paraId="17805600">
      <w:pPr>
        <w:autoSpaceDE w:val="0"/>
        <w:autoSpaceDN w:val="0"/>
        <w:adjustRightInd w:val="0"/>
        <w:spacing w:line="360" w:lineRule="auto"/>
        <w:outlineLvl w:val="2"/>
        <w:rPr>
          <w:color w:val="auto"/>
          <w:sz w:val="22"/>
          <w:szCs w:val="22"/>
          <w:highlight w:val="none"/>
          <w:lang w:val="zh-CN"/>
        </w:rPr>
      </w:pPr>
    </w:p>
    <w:p w14:paraId="0C6EFF6D">
      <w:pPr>
        <w:autoSpaceDE w:val="0"/>
        <w:autoSpaceDN w:val="0"/>
        <w:adjustRightInd w:val="0"/>
        <w:spacing w:line="360" w:lineRule="auto"/>
        <w:outlineLvl w:val="2"/>
        <w:rPr>
          <w:b/>
          <w:bCs/>
          <w:color w:val="auto"/>
          <w:sz w:val="22"/>
          <w:szCs w:val="22"/>
          <w:highlight w:val="none"/>
          <w:lang w:val="zh-CN"/>
        </w:rPr>
      </w:pPr>
      <w:r>
        <w:rPr>
          <w:b/>
          <w:bCs/>
          <w:color w:val="auto"/>
          <w:sz w:val="22"/>
          <w:szCs w:val="22"/>
          <w:highlight w:val="none"/>
          <w:lang w:val="zh-CN"/>
        </w:rPr>
        <w:t>目录三、报价表格式</w:t>
      </w:r>
    </w:p>
    <w:p w14:paraId="7F9FD982">
      <w:pPr>
        <w:spacing w:line="360" w:lineRule="auto"/>
        <w:jc w:val="center"/>
        <w:rPr>
          <w:rFonts w:eastAsia="黑体"/>
          <w:color w:val="auto"/>
          <w:sz w:val="36"/>
          <w:szCs w:val="36"/>
          <w:highlight w:val="none"/>
        </w:rPr>
      </w:pPr>
      <w:r>
        <w:rPr>
          <w:rFonts w:eastAsia="黑体"/>
          <w:color w:val="auto"/>
          <w:sz w:val="36"/>
          <w:szCs w:val="36"/>
          <w:highlight w:val="none"/>
        </w:rPr>
        <w:t>报  价  表</w:t>
      </w:r>
    </w:p>
    <w:tbl>
      <w:tblPr>
        <w:tblStyle w:val="19"/>
        <w:tblW w:w="10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5"/>
        <w:gridCol w:w="1683"/>
        <w:gridCol w:w="477"/>
        <w:gridCol w:w="954"/>
        <w:gridCol w:w="3082"/>
        <w:gridCol w:w="2723"/>
      </w:tblGrid>
      <w:tr w14:paraId="6E1D9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05" w:type="dxa"/>
            <w:noWrap w:val="0"/>
            <w:vAlign w:val="center"/>
          </w:tcPr>
          <w:p w14:paraId="483F413F">
            <w:pPr>
              <w:spacing w:line="360" w:lineRule="auto"/>
              <w:jc w:val="center"/>
              <w:rPr>
                <w:color w:val="auto"/>
                <w:sz w:val="22"/>
                <w:szCs w:val="22"/>
                <w:highlight w:val="none"/>
                <w:lang w:val="zh-CN"/>
              </w:rPr>
            </w:pPr>
            <w:r>
              <w:rPr>
                <w:color w:val="auto"/>
                <w:sz w:val="22"/>
                <w:szCs w:val="22"/>
                <w:highlight w:val="none"/>
                <w:lang w:val="zh-CN"/>
              </w:rPr>
              <w:t>序号</w:t>
            </w:r>
          </w:p>
        </w:tc>
        <w:tc>
          <w:tcPr>
            <w:tcW w:w="1683" w:type="dxa"/>
            <w:noWrap w:val="0"/>
            <w:vAlign w:val="center"/>
          </w:tcPr>
          <w:p w14:paraId="7840A9B5">
            <w:pPr>
              <w:spacing w:line="360" w:lineRule="auto"/>
              <w:jc w:val="center"/>
              <w:rPr>
                <w:color w:val="auto"/>
                <w:sz w:val="22"/>
                <w:szCs w:val="22"/>
                <w:highlight w:val="none"/>
                <w:lang w:val="zh-CN"/>
              </w:rPr>
            </w:pPr>
            <w:r>
              <w:rPr>
                <w:color w:val="auto"/>
                <w:sz w:val="22"/>
                <w:szCs w:val="22"/>
                <w:highlight w:val="none"/>
                <w:lang w:val="zh-CN"/>
              </w:rPr>
              <w:t>名称</w:t>
            </w:r>
          </w:p>
        </w:tc>
        <w:tc>
          <w:tcPr>
            <w:tcW w:w="1431" w:type="dxa"/>
            <w:gridSpan w:val="2"/>
            <w:noWrap w:val="0"/>
            <w:vAlign w:val="center"/>
          </w:tcPr>
          <w:p w14:paraId="44A75151">
            <w:pPr>
              <w:spacing w:line="360" w:lineRule="auto"/>
              <w:jc w:val="center"/>
              <w:rPr>
                <w:color w:val="auto"/>
                <w:kern w:val="0"/>
                <w:sz w:val="22"/>
                <w:szCs w:val="22"/>
                <w:highlight w:val="none"/>
                <w:lang w:val="zh-CN"/>
              </w:rPr>
            </w:pPr>
            <w:r>
              <w:rPr>
                <w:color w:val="auto"/>
                <w:kern w:val="0"/>
                <w:sz w:val="22"/>
                <w:szCs w:val="22"/>
                <w:highlight w:val="none"/>
                <w:lang w:val="zh-CN"/>
              </w:rPr>
              <w:t>报价（元）</w:t>
            </w:r>
          </w:p>
        </w:tc>
        <w:tc>
          <w:tcPr>
            <w:tcW w:w="3082" w:type="dxa"/>
            <w:noWrap w:val="0"/>
            <w:vAlign w:val="center"/>
          </w:tcPr>
          <w:p w14:paraId="28906C57">
            <w:pPr>
              <w:spacing w:line="360" w:lineRule="auto"/>
              <w:jc w:val="center"/>
              <w:rPr>
                <w:color w:val="auto"/>
                <w:kern w:val="0"/>
                <w:sz w:val="22"/>
                <w:szCs w:val="22"/>
                <w:highlight w:val="none"/>
                <w:lang w:val="zh-CN"/>
              </w:rPr>
            </w:pPr>
            <w:r>
              <w:rPr>
                <w:rFonts w:hint="eastAsia"/>
                <w:color w:val="auto"/>
                <w:kern w:val="0"/>
                <w:sz w:val="22"/>
                <w:szCs w:val="22"/>
                <w:highlight w:val="none"/>
                <w:lang w:val="zh-CN"/>
              </w:rPr>
              <w:t>供应商是否属于</w:t>
            </w:r>
            <w:r>
              <w:rPr>
                <w:rFonts w:hint="eastAsia"/>
                <w:color w:val="auto"/>
                <w:kern w:val="0"/>
                <w:sz w:val="22"/>
                <w:szCs w:val="22"/>
                <w:highlight w:val="none"/>
              </w:rPr>
              <w:t>小、微型企业</w:t>
            </w:r>
          </w:p>
        </w:tc>
        <w:tc>
          <w:tcPr>
            <w:tcW w:w="2723" w:type="dxa"/>
            <w:noWrap w:val="0"/>
            <w:vAlign w:val="center"/>
          </w:tcPr>
          <w:p w14:paraId="4647B7D7">
            <w:pPr>
              <w:spacing w:line="360" w:lineRule="auto"/>
              <w:jc w:val="center"/>
              <w:rPr>
                <w:color w:val="auto"/>
                <w:sz w:val="22"/>
                <w:szCs w:val="22"/>
                <w:highlight w:val="none"/>
                <w:lang w:val="zh-CN"/>
              </w:rPr>
            </w:pPr>
            <w:r>
              <w:rPr>
                <w:color w:val="auto"/>
                <w:sz w:val="22"/>
                <w:szCs w:val="22"/>
                <w:highlight w:val="none"/>
                <w:lang w:val="zh-CN"/>
              </w:rPr>
              <w:t>其中，</w:t>
            </w:r>
            <w:r>
              <w:rPr>
                <w:color w:val="auto"/>
                <w:kern w:val="0"/>
                <w:sz w:val="22"/>
                <w:szCs w:val="22"/>
                <w:highlight w:val="none"/>
              </w:rPr>
              <w:t>小、微型企业报价（元）</w:t>
            </w:r>
          </w:p>
        </w:tc>
      </w:tr>
      <w:tr w14:paraId="07643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05" w:type="dxa"/>
            <w:noWrap w:val="0"/>
            <w:vAlign w:val="center"/>
          </w:tcPr>
          <w:p w14:paraId="677EDB9E">
            <w:pPr>
              <w:spacing w:line="360" w:lineRule="auto"/>
              <w:jc w:val="center"/>
              <w:rPr>
                <w:color w:val="auto"/>
                <w:spacing w:val="-2"/>
                <w:sz w:val="22"/>
                <w:szCs w:val="22"/>
                <w:highlight w:val="none"/>
              </w:rPr>
            </w:pPr>
          </w:p>
        </w:tc>
        <w:tc>
          <w:tcPr>
            <w:tcW w:w="1683" w:type="dxa"/>
            <w:noWrap w:val="0"/>
            <w:vAlign w:val="center"/>
          </w:tcPr>
          <w:p w14:paraId="1B7721EB">
            <w:pPr>
              <w:spacing w:line="360" w:lineRule="auto"/>
              <w:rPr>
                <w:color w:val="auto"/>
                <w:spacing w:val="-2"/>
                <w:sz w:val="22"/>
                <w:szCs w:val="22"/>
                <w:highlight w:val="none"/>
              </w:rPr>
            </w:pPr>
          </w:p>
        </w:tc>
        <w:tc>
          <w:tcPr>
            <w:tcW w:w="1431" w:type="dxa"/>
            <w:gridSpan w:val="2"/>
            <w:noWrap w:val="0"/>
            <w:vAlign w:val="center"/>
          </w:tcPr>
          <w:p w14:paraId="1B608DD4">
            <w:pPr>
              <w:spacing w:line="360" w:lineRule="auto"/>
              <w:jc w:val="center"/>
              <w:rPr>
                <w:color w:val="auto"/>
                <w:sz w:val="22"/>
                <w:szCs w:val="22"/>
                <w:highlight w:val="none"/>
                <w:lang w:val="zh-CN"/>
              </w:rPr>
            </w:pPr>
          </w:p>
        </w:tc>
        <w:tc>
          <w:tcPr>
            <w:tcW w:w="3082" w:type="dxa"/>
            <w:noWrap w:val="0"/>
            <w:vAlign w:val="center"/>
          </w:tcPr>
          <w:p w14:paraId="6BD5EA4F">
            <w:pPr>
              <w:spacing w:line="360" w:lineRule="auto"/>
              <w:jc w:val="center"/>
              <w:rPr>
                <w:color w:val="auto"/>
                <w:sz w:val="22"/>
                <w:szCs w:val="22"/>
                <w:highlight w:val="none"/>
                <w:lang w:val="zh-CN"/>
              </w:rPr>
            </w:pPr>
          </w:p>
        </w:tc>
        <w:tc>
          <w:tcPr>
            <w:tcW w:w="2723" w:type="dxa"/>
            <w:noWrap w:val="0"/>
            <w:vAlign w:val="center"/>
          </w:tcPr>
          <w:p w14:paraId="17D68566">
            <w:pPr>
              <w:spacing w:line="360" w:lineRule="auto"/>
              <w:jc w:val="center"/>
              <w:rPr>
                <w:color w:val="auto"/>
                <w:sz w:val="22"/>
                <w:szCs w:val="22"/>
                <w:highlight w:val="none"/>
                <w:lang w:val="zh-CN"/>
              </w:rPr>
            </w:pPr>
          </w:p>
        </w:tc>
      </w:tr>
      <w:tr w14:paraId="37437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05" w:type="dxa"/>
            <w:noWrap w:val="0"/>
            <w:vAlign w:val="center"/>
          </w:tcPr>
          <w:p w14:paraId="5E241566">
            <w:pPr>
              <w:spacing w:line="360" w:lineRule="auto"/>
              <w:jc w:val="center"/>
              <w:rPr>
                <w:color w:val="auto"/>
                <w:spacing w:val="-2"/>
                <w:sz w:val="22"/>
                <w:szCs w:val="22"/>
                <w:highlight w:val="none"/>
              </w:rPr>
            </w:pPr>
          </w:p>
        </w:tc>
        <w:tc>
          <w:tcPr>
            <w:tcW w:w="1683" w:type="dxa"/>
            <w:noWrap w:val="0"/>
            <w:vAlign w:val="center"/>
          </w:tcPr>
          <w:p w14:paraId="7469C4C6">
            <w:pPr>
              <w:spacing w:line="360" w:lineRule="auto"/>
              <w:rPr>
                <w:color w:val="auto"/>
                <w:spacing w:val="-2"/>
                <w:sz w:val="22"/>
                <w:szCs w:val="22"/>
                <w:highlight w:val="none"/>
              </w:rPr>
            </w:pPr>
          </w:p>
        </w:tc>
        <w:tc>
          <w:tcPr>
            <w:tcW w:w="1431" w:type="dxa"/>
            <w:gridSpan w:val="2"/>
            <w:noWrap w:val="0"/>
            <w:vAlign w:val="center"/>
          </w:tcPr>
          <w:p w14:paraId="54AA63B8">
            <w:pPr>
              <w:spacing w:line="360" w:lineRule="auto"/>
              <w:jc w:val="center"/>
              <w:rPr>
                <w:color w:val="auto"/>
                <w:sz w:val="22"/>
                <w:szCs w:val="22"/>
                <w:highlight w:val="none"/>
                <w:lang w:val="zh-CN"/>
              </w:rPr>
            </w:pPr>
          </w:p>
        </w:tc>
        <w:tc>
          <w:tcPr>
            <w:tcW w:w="3082" w:type="dxa"/>
            <w:noWrap w:val="0"/>
            <w:vAlign w:val="center"/>
          </w:tcPr>
          <w:p w14:paraId="7F31A96F">
            <w:pPr>
              <w:spacing w:line="360" w:lineRule="auto"/>
              <w:jc w:val="center"/>
              <w:rPr>
                <w:color w:val="auto"/>
                <w:sz w:val="22"/>
                <w:szCs w:val="22"/>
                <w:highlight w:val="none"/>
                <w:lang w:val="zh-CN"/>
              </w:rPr>
            </w:pPr>
          </w:p>
        </w:tc>
        <w:tc>
          <w:tcPr>
            <w:tcW w:w="2723" w:type="dxa"/>
            <w:noWrap w:val="0"/>
            <w:vAlign w:val="center"/>
          </w:tcPr>
          <w:p w14:paraId="21CF5D2E">
            <w:pPr>
              <w:spacing w:line="360" w:lineRule="auto"/>
              <w:jc w:val="center"/>
              <w:rPr>
                <w:color w:val="auto"/>
                <w:sz w:val="22"/>
                <w:szCs w:val="22"/>
                <w:highlight w:val="none"/>
                <w:lang w:val="zh-CN"/>
              </w:rPr>
            </w:pPr>
          </w:p>
        </w:tc>
      </w:tr>
      <w:tr w14:paraId="0250F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05" w:type="dxa"/>
            <w:noWrap w:val="0"/>
            <w:vAlign w:val="center"/>
          </w:tcPr>
          <w:p w14:paraId="4E4ADA71">
            <w:pPr>
              <w:spacing w:line="360" w:lineRule="auto"/>
              <w:jc w:val="center"/>
              <w:rPr>
                <w:color w:val="auto"/>
                <w:spacing w:val="-2"/>
                <w:sz w:val="22"/>
                <w:szCs w:val="22"/>
                <w:highlight w:val="none"/>
              </w:rPr>
            </w:pPr>
          </w:p>
        </w:tc>
        <w:tc>
          <w:tcPr>
            <w:tcW w:w="1683" w:type="dxa"/>
            <w:noWrap w:val="0"/>
            <w:vAlign w:val="center"/>
          </w:tcPr>
          <w:p w14:paraId="6DEF3209">
            <w:pPr>
              <w:spacing w:line="360" w:lineRule="auto"/>
              <w:rPr>
                <w:color w:val="auto"/>
                <w:spacing w:val="-2"/>
                <w:sz w:val="22"/>
                <w:szCs w:val="22"/>
                <w:highlight w:val="none"/>
              </w:rPr>
            </w:pPr>
          </w:p>
        </w:tc>
        <w:tc>
          <w:tcPr>
            <w:tcW w:w="1431" w:type="dxa"/>
            <w:gridSpan w:val="2"/>
            <w:noWrap w:val="0"/>
            <w:vAlign w:val="center"/>
          </w:tcPr>
          <w:p w14:paraId="350BA82C">
            <w:pPr>
              <w:spacing w:line="360" w:lineRule="auto"/>
              <w:jc w:val="center"/>
              <w:rPr>
                <w:color w:val="auto"/>
                <w:sz w:val="22"/>
                <w:szCs w:val="22"/>
                <w:highlight w:val="none"/>
                <w:lang w:val="zh-CN"/>
              </w:rPr>
            </w:pPr>
          </w:p>
        </w:tc>
        <w:tc>
          <w:tcPr>
            <w:tcW w:w="3082" w:type="dxa"/>
            <w:noWrap w:val="0"/>
            <w:vAlign w:val="center"/>
          </w:tcPr>
          <w:p w14:paraId="7EC32674">
            <w:pPr>
              <w:spacing w:line="360" w:lineRule="auto"/>
              <w:jc w:val="center"/>
              <w:rPr>
                <w:color w:val="auto"/>
                <w:sz w:val="22"/>
                <w:szCs w:val="22"/>
                <w:highlight w:val="none"/>
                <w:lang w:val="zh-CN"/>
              </w:rPr>
            </w:pPr>
          </w:p>
        </w:tc>
        <w:tc>
          <w:tcPr>
            <w:tcW w:w="2723" w:type="dxa"/>
            <w:noWrap w:val="0"/>
            <w:vAlign w:val="center"/>
          </w:tcPr>
          <w:p w14:paraId="3277BAE1">
            <w:pPr>
              <w:spacing w:line="360" w:lineRule="auto"/>
              <w:jc w:val="center"/>
              <w:rPr>
                <w:color w:val="auto"/>
                <w:sz w:val="22"/>
                <w:szCs w:val="22"/>
                <w:highlight w:val="none"/>
                <w:lang w:val="zh-CN"/>
              </w:rPr>
            </w:pPr>
          </w:p>
        </w:tc>
      </w:tr>
      <w:tr w14:paraId="61033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05" w:type="dxa"/>
            <w:noWrap w:val="0"/>
            <w:vAlign w:val="center"/>
          </w:tcPr>
          <w:p w14:paraId="7CCF289D">
            <w:pPr>
              <w:spacing w:line="360" w:lineRule="auto"/>
              <w:jc w:val="center"/>
              <w:rPr>
                <w:color w:val="auto"/>
                <w:spacing w:val="-2"/>
                <w:sz w:val="22"/>
                <w:szCs w:val="22"/>
                <w:highlight w:val="none"/>
              </w:rPr>
            </w:pPr>
          </w:p>
        </w:tc>
        <w:tc>
          <w:tcPr>
            <w:tcW w:w="1683" w:type="dxa"/>
            <w:noWrap w:val="0"/>
            <w:vAlign w:val="center"/>
          </w:tcPr>
          <w:p w14:paraId="1AF5E735">
            <w:pPr>
              <w:spacing w:line="360" w:lineRule="auto"/>
              <w:rPr>
                <w:color w:val="auto"/>
                <w:spacing w:val="-2"/>
                <w:sz w:val="22"/>
                <w:szCs w:val="22"/>
                <w:highlight w:val="none"/>
              </w:rPr>
            </w:pPr>
          </w:p>
        </w:tc>
        <w:tc>
          <w:tcPr>
            <w:tcW w:w="1431" w:type="dxa"/>
            <w:gridSpan w:val="2"/>
            <w:noWrap w:val="0"/>
            <w:vAlign w:val="center"/>
          </w:tcPr>
          <w:p w14:paraId="6FBDC9AE">
            <w:pPr>
              <w:spacing w:line="360" w:lineRule="auto"/>
              <w:jc w:val="center"/>
              <w:rPr>
                <w:color w:val="auto"/>
                <w:sz w:val="22"/>
                <w:szCs w:val="22"/>
                <w:highlight w:val="none"/>
                <w:lang w:val="zh-CN"/>
              </w:rPr>
            </w:pPr>
          </w:p>
        </w:tc>
        <w:tc>
          <w:tcPr>
            <w:tcW w:w="3082" w:type="dxa"/>
            <w:noWrap w:val="0"/>
            <w:vAlign w:val="center"/>
          </w:tcPr>
          <w:p w14:paraId="7EEAACE7">
            <w:pPr>
              <w:spacing w:line="360" w:lineRule="auto"/>
              <w:jc w:val="center"/>
              <w:rPr>
                <w:color w:val="auto"/>
                <w:sz w:val="22"/>
                <w:szCs w:val="22"/>
                <w:highlight w:val="none"/>
                <w:lang w:val="zh-CN"/>
              </w:rPr>
            </w:pPr>
          </w:p>
        </w:tc>
        <w:tc>
          <w:tcPr>
            <w:tcW w:w="2723" w:type="dxa"/>
            <w:noWrap w:val="0"/>
            <w:vAlign w:val="center"/>
          </w:tcPr>
          <w:p w14:paraId="3C6D177E">
            <w:pPr>
              <w:spacing w:line="360" w:lineRule="auto"/>
              <w:jc w:val="center"/>
              <w:rPr>
                <w:color w:val="auto"/>
                <w:sz w:val="22"/>
                <w:szCs w:val="22"/>
                <w:highlight w:val="none"/>
                <w:lang w:val="zh-CN"/>
              </w:rPr>
            </w:pPr>
          </w:p>
        </w:tc>
      </w:tr>
      <w:tr w14:paraId="711FD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1105" w:type="dxa"/>
            <w:noWrap w:val="0"/>
            <w:vAlign w:val="center"/>
          </w:tcPr>
          <w:p w14:paraId="74CBF1D4">
            <w:pPr>
              <w:spacing w:line="360" w:lineRule="auto"/>
              <w:jc w:val="center"/>
              <w:rPr>
                <w:color w:val="auto"/>
                <w:spacing w:val="-2"/>
                <w:sz w:val="22"/>
                <w:szCs w:val="22"/>
                <w:highlight w:val="none"/>
              </w:rPr>
            </w:pPr>
          </w:p>
        </w:tc>
        <w:tc>
          <w:tcPr>
            <w:tcW w:w="1683" w:type="dxa"/>
            <w:noWrap w:val="0"/>
            <w:vAlign w:val="center"/>
          </w:tcPr>
          <w:p w14:paraId="6C1CE592">
            <w:pPr>
              <w:spacing w:line="360" w:lineRule="auto"/>
              <w:rPr>
                <w:color w:val="auto"/>
                <w:spacing w:val="-2"/>
                <w:sz w:val="22"/>
                <w:szCs w:val="22"/>
                <w:highlight w:val="none"/>
              </w:rPr>
            </w:pPr>
          </w:p>
        </w:tc>
        <w:tc>
          <w:tcPr>
            <w:tcW w:w="1431" w:type="dxa"/>
            <w:gridSpan w:val="2"/>
            <w:noWrap w:val="0"/>
            <w:vAlign w:val="center"/>
          </w:tcPr>
          <w:p w14:paraId="36009B98">
            <w:pPr>
              <w:spacing w:line="360" w:lineRule="auto"/>
              <w:jc w:val="center"/>
              <w:rPr>
                <w:color w:val="auto"/>
                <w:sz w:val="22"/>
                <w:szCs w:val="22"/>
                <w:highlight w:val="none"/>
                <w:lang w:val="zh-CN"/>
              </w:rPr>
            </w:pPr>
          </w:p>
        </w:tc>
        <w:tc>
          <w:tcPr>
            <w:tcW w:w="3082" w:type="dxa"/>
            <w:noWrap w:val="0"/>
            <w:vAlign w:val="center"/>
          </w:tcPr>
          <w:p w14:paraId="3A3AD7E3">
            <w:pPr>
              <w:spacing w:line="360" w:lineRule="auto"/>
              <w:jc w:val="center"/>
              <w:rPr>
                <w:color w:val="auto"/>
                <w:sz w:val="22"/>
                <w:szCs w:val="22"/>
                <w:highlight w:val="none"/>
                <w:lang w:val="zh-CN"/>
              </w:rPr>
            </w:pPr>
          </w:p>
        </w:tc>
        <w:tc>
          <w:tcPr>
            <w:tcW w:w="2723" w:type="dxa"/>
            <w:noWrap w:val="0"/>
            <w:vAlign w:val="center"/>
          </w:tcPr>
          <w:p w14:paraId="4CD61990">
            <w:pPr>
              <w:spacing w:line="360" w:lineRule="auto"/>
              <w:jc w:val="center"/>
              <w:rPr>
                <w:color w:val="auto"/>
                <w:sz w:val="22"/>
                <w:szCs w:val="22"/>
                <w:highlight w:val="none"/>
                <w:lang w:val="zh-CN"/>
              </w:rPr>
            </w:pPr>
          </w:p>
        </w:tc>
      </w:tr>
      <w:tr w14:paraId="35062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3265" w:type="dxa"/>
            <w:gridSpan w:val="3"/>
            <w:noWrap w:val="0"/>
            <w:vAlign w:val="center"/>
          </w:tcPr>
          <w:p w14:paraId="2656BDC3">
            <w:pPr>
              <w:widowControl/>
              <w:spacing w:line="360" w:lineRule="auto"/>
              <w:jc w:val="center"/>
              <w:rPr>
                <w:color w:val="auto"/>
                <w:kern w:val="0"/>
                <w:sz w:val="22"/>
                <w:szCs w:val="22"/>
                <w:highlight w:val="none"/>
                <w:lang w:val="zh-CN"/>
              </w:rPr>
            </w:pPr>
            <w:r>
              <w:rPr>
                <w:color w:val="auto"/>
                <w:kern w:val="0"/>
                <w:sz w:val="22"/>
                <w:szCs w:val="22"/>
                <w:highlight w:val="none"/>
                <w:lang w:val="zh-CN"/>
              </w:rPr>
              <w:t>总价（人民币，大写）</w:t>
            </w:r>
          </w:p>
        </w:tc>
        <w:tc>
          <w:tcPr>
            <w:tcW w:w="6759" w:type="dxa"/>
            <w:gridSpan w:val="3"/>
            <w:noWrap w:val="0"/>
            <w:vAlign w:val="center"/>
          </w:tcPr>
          <w:p w14:paraId="5346B635">
            <w:pPr>
              <w:widowControl/>
              <w:spacing w:line="360" w:lineRule="auto"/>
              <w:ind w:firstLine="4180" w:firstLineChars="1900"/>
              <w:jc w:val="left"/>
              <w:rPr>
                <w:color w:val="auto"/>
                <w:kern w:val="0"/>
                <w:sz w:val="22"/>
                <w:szCs w:val="22"/>
                <w:highlight w:val="none"/>
                <w:lang w:val="zh-CN"/>
              </w:rPr>
            </w:pPr>
            <w:r>
              <w:rPr>
                <w:color w:val="auto"/>
                <w:kern w:val="0"/>
                <w:sz w:val="22"/>
                <w:szCs w:val="22"/>
                <w:highlight w:val="none"/>
                <w:lang w:val="zh-CN"/>
              </w:rPr>
              <w:t>元</w:t>
            </w:r>
          </w:p>
        </w:tc>
      </w:tr>
    </w:tbl>
    <w:p w14:paraId="2DC6D779">
      <w:pPr>
        <w:widowControl/>
        <w:adjustRightInd w:val="0"/>
        <w:spacing w:line="360" w:lineRule="auto"/>
        <w:jc w:val="lef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供应商名称：</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（盖章）</w:t>
      </w:r>
    </w:p>
    <w:p w14:paraId="39A502D9">
      <w:pPr>
        <w:widowControl/>
        <w:adjustRightInd w:val="0"/>
        <w:spacing w:line="360" w:lineRule="auto"/>
        <w:jc w:val="lef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说明：</w:t>
      </w:r>
    </w:p>
    <w:p w14:paraId="3151E722">
      <w:pPr>
        <w:spacing w:line="360" w:lineRule="auto"/>
        <w:rPr>
          <w:rFonts w:ascii="宋体" w:hAnsi="宋体"/>
          <w:color w:val="auto"/>
          <w:sz w:val="22"/>
          <w:szCs w:val="22"/>
          <w:highlight w:val="none"/>
        </w:rPr>
      </w:pPr>
      <w:r>
        <w:rPr>
          <w:rFonts w:hint="eastAsia" w:ascii="宋体" w:hAnsi="宋体" w:cs="宋体"/>
          <w:color w:val="auto"/>
          <w:kern w:val="0"/>
          <w:sz w:val="22"/>
          <w:szCs w:val="22"/>
          <w:highlight w:val="none"/>
        </w:rPr>
        <w:t>1、</w:t>
      </w:r>
      <w:r>
        <w:rPr>
          <w:rFonts w:hint="eastAsia" w:ascii="宋体" w:hAnsi="宋体" w:cs="宋体"/>
          <w:color w:val="auto"/>
          <w:kern w:val="0"/>
          <w:sz w:val="22"/>
          <w:szCs w:val="22"/>
          <w:highlight w:val="none"/>
          <w:lang w:val="zh-CN"/>
        </w:rPr>
        <w:t>在“供应商是否属于小、微型企业”栏里填“是”或“否”。</w:t>
      </w:r>
    </w:p>
    <w:p w14:paraId="5144DE9E">
      <w:pPr>
        <w:widowControl/>
        <w:adjustRightInd w:val="0"/>
        <w:spacing w:line="360" w:lineRule="auto"/>
        <w:jc w:val="left"/>
        <w:rPr>
          <w:rFonts w:hint="eastAsia" w:ascii="宋体" w:hAnsi="宋体" w:cs="宋体"/>
          <w:color w:val="auto"/>
          <w:sz w:val="22"/>
          <w:szCs w:val="22"/>
          <w:highlight w:val="none"/>
        </w:rPr>
      </w:pPr>
    </w:p>
    <w:p w14:paraId="63D9E014">
      <w:pPr>
        <w:autoSpaceDE w:val="0"/>
        <w:autoSpaceDN w:val="0"/>
        <w:adjustRightInd w:val="0"/>
        <w:spacing w:line="360" w:lineRule="auto"/>
        <w:outlineLvl w:val="2"/>
        <w:rPr>
          <w:b/>
          <w:bCs/>
          <w:color w:val="auto"/>
          <w:sz w:val="22"/>
          <w:szCs w:val="22"/>
          <w:highlight w:val="none"/>
          <w:lang w:val="zh-CN"/>
        </w:rPr>
      </w:pPr>
      <w:r>
        <w:rPr>
          <w:color w:val="auto"/>
          <w:sz w:val="22"/>
          <w:szCs w:val="22"/>
          <w:highlight w:val="none"/>
          <w:lang w:val="zh-CN"/>
        </w:rPr>
        <w:br w:type="page"/>
      </w:r>
      <w:r>
        <w:rPr>
          <w:b/>
          <w:bCs/>
          <w:color w:val="auto"/>
          <w:sz w:val="22"/>
          <w:szCs w:val="22"/>
          <w:highlight w:val="none"/>
          <w:lang w:val="zh-CN"/>
        </w:rPr>
        <w:t>目录</w:t>
      </w:r>
      <w:r>
        <w:rPr>
          <w:rFonts w:hint="eastAsia"/>
          <w:b/>
          <w:bCs/>
          <w:color w:val="auto"/>
          <w:sz w:val="22"/>
          <w:szCs w:val="22"/>
          <w:highlight w:val="none"/>
          <w:lang w:val="en-US" w:eastAsia="zh-CN"/>
        </w:rPr>
        <w:t>四</w:t>
      </w:r>
      <w:r>
        <w:rPr>
          <w:b/>
          <w:bCs/>
          <w:color w:val="auto"/>
          <w:sz w:val="22"/>
          <w:szCs w:val="22"/>
          <w:highlight w:val="none"/>
          <w:lang w:val="zh-CN"/>
        </w:rPr>
        <w:t>、资格证明文件</w:t>
      </w:r>
    </w:p>
    <w:p w14:paraId="7511A9B3">
      <w:pPr>
        <w:spacing w:line="360" w:lineRule="auto"/>
        <w:jc w:val="center"/>
        <w:rPr>
          <w:b/>
          <w:color w:val="auto"/>
          <w:sz w:val="32"/>
          <w:szCs w:val="32"/>
          <w:highlight w:val="none"/>
        </w:rPr>
      </w:pPr>
      <w:r>
        <w:rPr>
          <w:b/>
          <w:color w:val="auto"/>
          <w:sz w:val="32"/>
          <w:szCs w:val="32"/>
          <w:highlight w:val="none"/>
        </w:rPr>
        <w:t>资格证明文件</w:t>
      </w:r>
    </w:p>
    <w:p w14:paraId="29E24F40">
      <w:pPr>
        <w:spacing w:line="348"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（1）具有独立承担民事责任的能力（法人或者其他组织提供营业执照或法人证书或组织机构代码证，自然人提供身份证）；</w:t>
      </w:r>
    </w:p>
    <w:p w14:paraId="2DB753D8">
      <w:pPr>
        <w:spacing w:line="348"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color w:val="000000"/>
          <w:sz w:val="21"/>
          <w:szCs w:val="21"/>
          <w:lang w:val="en-US" w:eastAsia="zh-CN"/>
        </w:rPr>
        <w:t>（2）具有良好的商业信誉和健全的财务会计制度（提供参加本次政府采购活动前的会计报表，成立不满一年的无需提供）</w:t>
      </w:r>
      <w:r>
        <w:rPr>
          <w:rFonts w:hint="eastAsia" w:ascii="宋体" w:hAnsi="宋体" w:eastAsia="宋体" w:cs="宋体"/>
          <w:bCs/>
          <w:color w:val="auto"/>
          <w:kern w:val="0"/>
          <w:sz w:val="21"/>
          <w:szCs w:val="21"/>
          <w:highlight w:val="none"/>
          <w:lang w:bidi="ar"/>
        </w:rPr>
        <w:t>；</w:t>
      </w:r>
    </w:p>
    <w:p w14:paraId="75ADC896">
      <w:pPr>
        <w:spacing w:line="348"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（3）具有履行合同所必需的设备和专业技术能力（根据项目需求提供履行合同所必需的设备和专业技术能力的声明或证明材料）；</w:t>
      </w:r>
    </w:p>
    <w:p w14:paraId="595FCE54">
      <w:pPr>
        <w:spacing w:line="348"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（4）有依法缴纳税收和社会保障资金的良好记录（提供参加本次政府采购活动前一年内至少一个月依法缴纳税收和社会保障资金的相关材料）；</w:t>
      </w:r>
    </w:p>
    <w:p w14:paraId="1D127F6F">
      <w:pPr>
        <w:spacing w:line="348" w:lineRule="auto"/>
        <w:jc w:val="left"/>
        <w:rPr>
          <w:rFonts w:hint="eastAsia" w:ascii="宋体" w:hAnsi="宋体" w:eastAsia="宋体" w:cs="宋体"/>
          <w:bCs/>
          <w:color w:val="auto"/>
          <w:kern w:val="0"/>
          <w:sz w:val="21"/>
          <w:szCs w:val="21"/>
          <w:highlight w:val="none"/>
          <w:lang w:bidi="ar"/>
        </w:rPr>
      </w:pPr>
      <w:r>
        <w:rPr>
          <w:rFonts w:hint="eastAsia" w:ascii="宋体" w:hAnsi="宋体" w:eastAsia="宋体" w:cs="宋体"/>
          <w:bCs/>
          <w:color w:val="auto"/>
          <w:kern w:val="0"/>
          <w:sz w:val="21"/>
          <w:szCs w:val="21"/>
          <w:highlight w:val="none"/>
          <w:lang w:bidi="ar"/>
        </w:rPr>
        <w:t>（5）参加本项目政府采购活动前三年内，在经营活动中没有重大违法记录（提供参加本次政府采购活动前3年内在经营活动中没有重大违法记录的书面声明）；</w:t>
      </w:r>
    </w:p>
    <w:p w14:paraId="70E6DF32">
      <w:pPr>
        <w:spacing w:line="348" w:lineRule="auto"/>
        <w:jc w:val="left"/>
        <w:rPr>
          <w:rFonts w:hint="eastAsia" w:eastAsia="宋体"/>
          <w:color w:val="auto"/>
          <w:highlight w:val="none"/>
          <w:lang w:val="en-US" w:eastAsia="zh-CN"/>
        </w:rPr>
      </w:pPr>
      <w:r>
        <w:rPr>
          <w:rFonts w:hint="eastAsia" w:ascii="宋体" w:hAnsi="宋体" w:eastAsia="宋体" w:cs="宋体"/>
          <w:bCs/>
          <w:color w:val="auto"/>
          <w:kern w:val="0"/>
          <w:sz w:val="21"/>
          <w:szCs w:val="21"/>
          <w:highlight w:val="none"/>
          <w:lang w:bidi="ar"/>
        </w:rPr>
        <w:t>（6）法律、行政法规规定的其他条件：无</w:t>
      </w:r>
      <w:r>
        <w:rPr>
          <w:rFonts w:hint="eastAsia" w:ascii="宋体" w:hAnsi="宋体" w:cs="宋体"/>
          <w:bCs/>
          <w:color w:val="auto"/>
          <w:kern w:val="0"/>
          <w:sz w:val="21"/>
          <w:szCs w:val="21"/>
          <w:highlight w:val="none"/>
          <w:lang w:eastAsia="zh-CN" w:bidi="ar"/>
        </w:rPr>
        <w:t>。</w:t>
      </w:r>
    </w:p>
    <w:p w14:paraId="73689CF8">
      <w:pPr>
        <w:spacing w:line="348" w:lineRule="auto"/>
        <w:jc w:val="left"/>
        <w:rPr>
          <w:rFonts w:hint="eastAsia" w:ascii="宋体" w:hAnsi="宋体" w:cs="宋体"/>
          <w:bCs/>
          <w:color w:val="auto"/>
          <w:kern w:val="0"/>
          <w:szCs w:val="21"/>
          <w:highlight w:val="none"/>
          <w:lang w:bidi="ar"/>
        </w:rPr>
      </w:pPr>
    </w:p>
    <w:p w14:paraId="1FE51BCC">
      <w:pPr>
        <w:autoSpaceDE w:val="0"/>
        <w:autoSpaceDN w:val="0"/>
        <w:adjustRightInd w:val="0"/>
        <w:spacing w:line="360" w:lineRule="auto"/>
        <w:outlineLvl w:val="2"/>
        <w:rPr>
          <w:b/>
          <w:bCs/>
          <w:color w:val="auto"/>
          <w:sz w:val="22"/>
          <w:szCs w:val="22"/>
          <w:highlight w:val="none"/>
          <w:lang w:val="zh-CN"/>
        </w:rPr>
      </w:pPr>
      <w:r>
        <w:rPr>
          <w:rFonts w:hint="eastAsia" w:ascii="宋体" w:hAnsi="宋体" w:cs="宋体"/>
          <w:b/>
          <w:bCs/>
          <w:color w:val="auto"/>
          <w:szCs w:val="21"/>
          <w:highlight w:val="none"/>
        </w:rPr>
        <w:br w:type="page"/>
      </w:r>
      <w:r>
        <w:rPr>
          <w:b/>
          <w:bCs/>
          <w:color w:val="auto"/>
          <w:sz w:val="22"/>
          <w:szCs w:val="22"/>
          <w:highlight w:val="none"/>
          <w:lang w:val="zh-CN"/>
        </w:rPr>
        <w:t>目录五、分项报价表格式</w:t>
      </w:r>
    </w:p>
    <w:p w14:paraId="67261E57">
      <w:pPr>
        <w:pStyle w:val="8"/>
        <w:ind w:firstLine="210"/>
        <w:jc w:val="right"/>
        <w:rPr>
          <w:rFonts w:ascii="宋体" w:hAnsi="宋体"/>
          <w:color w:val="auto"/>
          <w:szCs w:val="21"/>
          <w:highlight w:val="none"/>
        </w:rPr>
      </w:pPr>
    </w:p>
    <w:p w14:paraId="2995EBF4">
      <w:pPr>
        <w:widowControl/>
        <w:spacing w:line="240" w:lineRule="atLeast"/>
        <w:jc w:val="center"/>
        <w:rPr>
          <w:rFonts w:ascii="黑体" w:hAnsi="宋体" w:eastAsia="黑体" w:cs="宋体"/>
          <w:color w:val="auto"/>
          <w:sz w:val="32"/>
          <w:szCs w:val="32"/>
          <w:highlight w:val="none"/>
          <w:lang w:val="zh-CN"/>
        </w:rPr>
      </w:pPr>
      <w:r>
        <w:rPr>
          <w:rFonts w:hint="eastAsia" w:ascii="黑体" w:hAnsi="宋体" w:eastAsia="黑体" w:cs="宋体"/>
          <w:color w:val="auto"/>
          <w:sz w:val="32"/>
          <w:szCs w:val="32"/>
          <w:highlight w:val="none"/>
          <w:lang w:val="zh-CN"/>
        </w:rPr>
        <w:t>分项报价表</w:t>
      </w:r>
    </w:p>
    <w:p w14:paraId="4EF1A282">
      <w:pPr>
        <w:pStyle w:val="8"/>
        <w:ind w:right="1050" w:firstLine="210"/>
        <w:jc w:val="right"/>
        <w:rPr>
          <w:rFonts w:ascii="宋体" w:hAnsi="宋体"/>
          <w:color w:val="auto"/>
          <w:szCs w:val="21"/>
          <w:highlight w:val="none"/>
        </w:rPr>
      </w:pPr>
    </w:p>
    <w:p w14:paraId="60B001B1">
      <w:pPr>
        <w:jc w:val="center"/>
        <w:rPr>
          <w:color w:val="auto"/>
          <w:highlight w:val="none"/>
        </w:rPr>
      </w:pPr>
      <w:r>
        <w:rPr>
          <w:rFonts w:hint="eastAsia"/>
          <w:color w:val="auto"/>
          <w:sz w:val="28"/>
          <w:szCs w:val="32"/>
          <w:highlight w:val="none"/>
        </w:rPr>
        <w:t>（如有，格式自拟）</w:t>
      </w:r>
    </w:p>
    <w:p w14:paraId="67593E55">
      <w:pPr>
        <w:pStyle w:val="8"/>
        <w:ind w:right="1050" w:firstLine="21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w:t>
      </w:r>
    </w:p>
    <w:p w14:paraId="2246EB59">
      <w:pPr>
        <w:pStyle w:val="8"/>
        <w:ind w:right="1050" w:firstLine="21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供应商（盖章）：</w:t>
      </w:r>
    </w:p>
    <w:p w14:paraId="73080837">
      <w:pPr>
        <w:pStyle w:val="8"/>
        <w:ind w:right="840" w:firstLine="21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授权代表（签字）：</w:t>
      </w:r>
    </w:p>
    <w:p w14:paraId="4F10388B">
      <w:pPr>
        <w:pStyle w:val="8"/>
        <w:ind w:firstLine="21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    期：   年    月   日</w:t>
      </w:r>
    </w:p>
    <w:p w14:paraId="658DD6E3">
      <w:pPr>
        <w:rPr>
          <w:color w:val="auto"/>
          <w:highlight w:val="none"/>
        </w:rPr>
      </w:pPr>
    </w:p>
    <w:p w14:paraId="3869E86E">
      <w:pPr>
        <w:widowControl/>
        <w:snapToGrid w:val="0"/>
        <w:spacing w:line="360" w:lineRule="auto"/>
        <w:jc w:val="left"/>
        <w:rPr>
          <w:b/>
          <w:color w:val="auto"/>
          <w:kern w:val="0"/>
          <w:sz w:val="22"/>
          <w:szCs w:val="22"/>
          <w:highlight w:val="none"/>
          <w:lang w:val="zh-CN"/>
        </w:rPr>
      </w:pPr>
    </w:p>
    <w:p w14:paraId="3961C36F">
      <w:pPr>
        <w:widowControl/>
        <w:snapToGrid w:val="0"/>
        <w:spacing w:line="360" w:lineRule="auto"/>
        <w:jc w:val="left"/>
        <w:rPr>
          <w:b/>
          <w:color w:val="auto"/>
          <w:kern w:val="0"/>
          <w:sz w:val="22"/>
          <w:szCs w:val="22"/>
          <w:highlight w:val="none"/>
          <w:lang w:val="zh-CN"/>
        </w:rPr>
      </w:pPr>
    </w:p>
    <w:p w14:paraId="1B18257F">
      <w:pPr>
        <w:widowControl/>
        <w:snapToGrid w:val="0"/>
        <w:spacing w:line="360" w:lineRule="auto"/>
        <w:jc w:val="left"/>
        <w:rPr>
          <w:b/>
          <w:color w:val="auto"/>
          <w:kern w:val="0"/>
          <w:sz w:val="22"/>
          <w:szCs w:val="22"/>
          <w:highlight w:val="none"/>
          <w:lang w:val="zh-CN"/>
        </w:rPr>
      </w:pPr>
    </w:p>
    <w:p w14:paraId="40F1CDCB">
      <w:pPr>
        <w:widowControl/>
        <w:snapToGrid w:val="0"/>
        <w:spacing w:line="360" w:lineRule="auto"/>
        <w:jc w:val="left"/>
        <w:rPr>
          <w:b/>
          <w:color w:val="auto"/>
          <w:kern w:val="0"/>
          <w:sz w:val="22"/>
          <w:szCs w:val="22"/>
          <w:highlight w:val="none"/>
          <w:lang w:val="zh-CN"/>
        </w:rPr>
      </w:pPr>
      <w:r>
        <w:rPr>
          <w:b/>
          <w:color w:val="auto"/>
          <w:kern w:val="0"/>
          <w:sz w:val="22"/>
          <w:szCs w:val="22"/>
          <w:highlight w:val="none"/>
          <w:lang w:val="zh-CN"/>
        </w:rPr>
        <w:t>目录</w:t>
      </w:r>
      <w:r>
        <w:rPr>
          <w:rFonts w:hint="eastAsia"/>
          <w:b/>
          <w:color w:val="auto"/>
          <w:kern w:val="0"/>
          <w:sz w:val="22"/>
          <w:szCs w:val="22"/>
          <w:highlight w:val="none"/>
          <w:lang w:val="en-US" w:eastAsia="zh-CN"/>
        </w:rPr>
        <w:t>六</w:t>
      </w:r>
      <w:r>
        <w:rPr>
          <w:b/>
          <w:color w:val="auto"/>
          <w:kern w:val="0"/>
          <w:sz w:val="22"/>
          <w:szCs w:val="22"/>
          <w:highlight w:val="none"/>
          <w:lang w:val="zh-CN"/>
        </w:rPr>
        <w:t>、技术条款偏离表格式</w:t>
      </w:r>
    </w:p>
    <w:p w14:paraId="2645FDF7">
      <w:pPr>
        <w:widowControl/>
        <w:adjustRightInd w:val="0"/>
        <w:spacing w:line="360" w:lineRule="auto"/>
        <w:ind w:left="420"/>
        <w:jc w:val="center"/>
        <w:outlineLvl w:val="0"/>
        <w:rPr>
          <w:rFonts w:eastAsia="黑体"/>
          <w:color w:val="auto"/>
          <w:kern w:val="0"/>
          <w:sz w:val="36"/>
          <w:szCs w:val="36"/>
          <w:highlight w:val="none"/>
          <w:lang w:val="zh-CN"/>
        </w:rPr>
      </w:pPr>
      <w:r>
        <w:rPr>
          <w:rFonts w:eastAsia="黑体"/>
          <w:color w:val="auto"/>
          <w:kern w:val="0"/>
          <w:sz w:val="36"/>
          <w:szCs w:val="36"/>
          <w:highlight w:val="none"/>
          <w:lang w:val="zh-CN"/>
        </w:rPr>
        <w:t>技术条款偏离表</w:t>
      </w:r>
    </w:p>
    <w:tbl>
      <w:tblPr>
        <w:tblStyle w:val="19"/>
        <w:tblW w:w="9435" w:type="dxa"/>
        <w:jc w:val="center"/>
        <w:tblLayout w:type="fixed"/>
        <w:tblCellMar>
          <w:top w:w="0" w:type="dxa"/>
          <w:left w:w="0" w:type="dxa"/>
          <w:bottom w:w="0" w:type="dxa"/>
          <w:right w:w="0" w:type="dxa"/>
        </w:tblCellMar>
      </w:tblPr>
      <w:tblGrid>
        <w:gridCol w:w="765"/>
        <w:gridCol w:w="1620"/>
        <w:gridCol w:w="2700"/>
        <w:gridCol w:w="1411"/>
        <w:gridCol w:w="1829"/>
        <w:gridCol w:w="1110"/>
      </w:tblGrid>
      <w:tr w14:paraId="29C9951A">
        <w:tblPrEx>
          <w:tblCellMar>
            <w:top w:w="0" w:type="dxa"/>
            <w:left w:w="0" w:type="dxa"/>
            <w:bottom w:w="0" w:type="dxa"/>
            <w:right w:w="0" w:type="dxa"/>
          </w:tblCellMar>
        </w:tblPrEx>
        <w:trPr>
          <w:trHeight w:val="284" w:hRule="atLeast"/>
          <w:jc w:val="center"/>
        </w:trPr>
        <w:tc>
          <w:tcPr>
            <w:tcW w:w="6496" w:type="dxa"/>
            <w:gridSpan w:val="4"/>
            <w:tcBorders>
              <w:top w:val="nil"/>
              <w:left w:val="nil"/>
              <w:bottom w:val="single" w:color="auto" w:sz="6" w:space="0"/>
              <w:right w:val="nil"/>
            </w:tcBorders>
            <w:noWrap w:val="0"/>
            <w:vAlign w:val="center"/>
          </w:tcPr>
          <w:p w14:paraId="14841D4A">
            <w:pPr>
              <w:widowControl/>
              <w:adjustRightInd w:val="0"/>
              <w:spacing w:line="360" w:lineRule="auto"/>
              <w:jc w:val="left"/>
              <w:rPr>
                <w:color w:val="auto"/>
                <w:kern w:val="0"/>
                <w:sz w:val="22"/>
                <w:szCs w:val="22"/>
                <w:highlight w:val="none"/>
                <w:lang w:val="zh-CN"/>
              </w:rPr>
            </w:pPr>
            <w:r>
              <w:rPr>
                <w:color w:val="auto"/>
                <w:kern w:val="0"/>
                <w:sz w:val="22"/>
                <w:szCs w:val="22"/>
                <w:highlight w:val="none"/>
                <w:lang w:val="zh-CN"/>
              </w:rPr>
              <w:t>项目名称：</w:t>
            </w:r>
          </w:p>
        </w:tc>
        <w:tc>
          <w:tcPr>
            <w:tcW w:w="2939" w:type="dxa"/>
            <w:gridSpan w:val="2"/>
            <w:tcBorders>
              <w:top w:val="nil"/>
              <w:left w:val="nil"/>
              <w:bottom w:val="single" w:color="auto" w:sz="6" w:space="0"/>
              <w:right w:val="nil"/>
            </w:tcBorders>
            <w:noWrap w:val="0"/>
            <w:vAlign w:val="center"/>
          </w:tcPr>
          <w:p w14:paraId="5549BEAC">
            <w:pPr>
              <w:widowControl/>
              <w:adjustRightInd w:val="0"/>
              <w:spacing w:line="360" w:lineRule="auto"/>
              <w:jc w:val="left"/>
              <w:rPr>
                <w:color w:val="auto"/>
                <w:kern w:val="0"/>
                <w:sz w:val="22"/>
                <w:szCs w:val="22"/>
                <w:highlight w:val="none"/>
                <w:lang w:val="zh-CN"/>
              </w:rPr>
            </w:pPr>
            <w:r>
              <w:rPr>
                <w:color w:val="auto"/>
                <w:kern w:val="0"/>
                <w:sz w:val="22"/>
                <w:szCs w:val="22"/>
                <w:highlight w:val="none"/>
                <w:lang w:val="zh-CN"/>
              </w:rPr>
              <w:t>项目编号：</w:t>
            </w:r>
          </w:p>
        </w:tc>
      </w:tr>
      <w:tr w14:paraId="42DF17E6">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24021A8C">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14:paraId="55C9551B">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磋商文件条目号</w:t>
            </w:r>
          </w:p>
        </w:tc>
        <w:tc>
          <w:tcPr>
            <w:tcW w:w="2700" w:type="dxa"/>
            <w:tcBorders>
              <w:top w:val="single" w:color="auto" w:sz="6" w:space="0"/>
              <w:left w:val="single" w:color="auto" w:sz="6" w:space="0"/>
              <w:bottom w:val="single" w:color="auto" w:sz="6" w:space="0"/>
              <w:right w:val="single" w:color="auto" w:sz="6" w:space="0"/>
            </w:tcBorders>
            <w:noWrap w:val="0"/>
            <w:vAlign w:val="center"/>
          </w:tcPr>
          <w:p w14:paraId="0CECC944">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磋商要求规格</w:t>
            </w: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14:paraId="0E38B502">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供应商响应</w:t>
            </w:r>
          </w:p>
        </w:tc>
        <w:tc>
          <w:tcPr>
            <w:tcW w:w="1110" w:type="dxa"/>
            <w:tcBorders>
              <w:top w:val="single" w:color="auto" w:sz="6" w:space="0"/>
              <w:left w:val="single" w:color="auto" w:sz="6" w:space="0"/>
              <w:bottom w:val="single" w:color="auto" w:sz="6" w:space="0"/>
              <w:right w:val="single" w:color="auto" w:sz="6" w:space="0"/>
            </w:tcBorders>
            <w:noWrap w:val="0"/>
            <w:vAlign w:val="center"/>
          </w:tcPr>
          <w:p w14:paraId="41C3CAEE">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偏离</w:t>
            </w:r>
          </w:p>
        </w:tc>
      </w:tr>
      <w:tr w14:paraId="34E12D3D">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6C817437">
            <w:pPr>
              <w:widowControl/>
              <w:adjustRightInd w:val="0"/>
              <w:spacing w:line="360" w:lineRule="auto"/>
              <w:jc w:val="center"/>
              <w:rPr>
                <w:color w:val="auto"/>
                <w:kern w:val="0"/>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364AC6AD">
            <w:pPr>
              <w:widowControl/>
              <w:adjustRightInd w:val="0"/>
              <w:spacing w:line="360" w:lineRule="auto"/>
              <w:jc w:val="center"/>
              <w:rPr>
                <w:color w:val="auto"/>
                <w:kern w:val="0"/>
                <w:sz w:val="22"/>
                <w:szCs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6FC82623">
            <w:pPr>
              <w:widowControl/>
              <w:adjustRightInd w:val="0"/>
              <w:spacing w:line="360" w:lineRule="auto"/>
              <w:jc w:val="center"/>
              <w:rPr>
                <w:color w:val="auto"/>
                <w:kern w:val="0"/>
                <w:sz w:val="22"/>
                <w:szCs w:val="22"/>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14:paraId="1246ACF3">
            <w:pPr>
              <w:widowControl/>
              <w:adjustRightInd w:val="0"/>
              <w:spacing w:line="360" w:lineRule="auto"/>
              <w:jc w:val="center"/>
              <w:rPr>
                <w:color w:val="auto"/>
                <w:kern w:val="0"/>
                <w:sz w:val="22"/>
                <w:szCs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0AE9576E">
            <w:pPr>
              <w:widowControl/>
              <w:adjustRightInd w:val="0"/>
              <w:spacing w:line="360" w:lineRule="auto"/>
              <w:jc w:val="center"/>
              <w:rPr>
                <w:color w:val="auto"/>
                <w:kern w:val="0"/>
                <w:sz w:val="22"/>
                <w:szCs w:val="22"/>
                <w:highlight w:val="none"/>
                <w:lang w:val="zh-CN"/>
              </w:rPr>
            </w:pPr>
          </w:p>
        </w:tc>
      </w:tr>
      <w:tr w14:paraId="5581A734">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18F9BF51">
            <w:pPr>
              <w:widowControl/>
              <w:adjustRightInd w:val="0"/>
              <w:spacing w:line="360" w:lineRule="auto"/>
              <w:jc w:val="center"/>
              <w:rPr>
                <w:color w:val="auto"/>
                <w:kern w:val="0"/>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321EDD5C">
            <w:pPr>
              <w:widowControl/>
              <w:adjustRightInd w:val="0"/>
              <w:spacing w:line="360" w:lineRule="auto"/>
              <w:jc w:val="center"/>
              <w:rPr>
                <w:color w:val="auto"/>
                <w:kern w:val="0"/>
                <w:sz w:val="22"/>
                <w:szCs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41694014">
            <w:pPr>
              <w:widowControl/>
              <w:adjustRightInd w:val="0"/>
              <w:spacing w:line="360" w:lineRule="auto"/>
              <w:jc w:val="center"/>
              <w:rPr>
                <w:color w:val="auto"/>
                <w:kern w:val="0"/>
                <w:sz w:val="22"/>
                <w:szCs w:val="22"/>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14:paraId="583B9C20">
            <w:pPr>
              <w:widowControl/>
              <w:adjustRightInd w:val="0"/>
              <w:spacing w:line="360" w:lineRule="auto"/>
              <w:jc w:val="center"/>
              <w:rPr>
                <w:color w:val="auto"/>
                <w:kern w:val="0"/>
                <w:sz w:val="22"/>
                <w:szCs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1A1BA157">
            <w:pPr>
              <w:widowControl/>
              <w:adjustRightInd w:val="0"/>
              <w:spacing w:line="360" w:lineRule="auto"/>
              <w:jc w:val="center"/>
              <w:rPr>
                <w:color w:val="auto"/>
                <w:kern w:val="0"/>
                <w:sz w:val="22"/>
                <w:szCs w:val="22"/>
                <w:highlight w:val="none"/>
                <w:lang w:val="zh-CN"/>
              </w:rPr>
            </w:pPr>
          </w:p>
        </w:tc>
      </w:tr>
      <w:tr w14:paraId="77D13F11">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27E2FF6A">
            <w:pPr>
              <w:widowControl/>
              <w:adjustRightInd w:val="0"/>
              <w:spacing w:line="360" w:lineRule="auto"/>
              <w:jc w:val="center"/>
              <w:rPr>
                <w:color w:val="auto"/>
                <w:kern w:val="0"/>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7FE984F7">
            <w:pPr>
              <w:widowControl/>
              <w:adjustRightInd w:val="0"/>
              <w:spacing w:line="360" w:lineRule="auto"/>
              <w:jc w:val="center"/>
              <w:rPr>
                <w:color w:val="auto"/>
                <w:kern w:val="0"/>
                <w:sz w:val="22"/>
                <w:szCs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79A0F18F">
            <w:pPr>
              <w:widowControl/>
              <w:adjustRightInd w:val="0"/>
              <w:spacing w:line="360" w:lineRule="auto"/>
              <w:jc w:val="center"/>
              <w:rPr>
                <w:color w:val="auto"/>
                <w:kern w:val="0"/>
                <w:sz w:val="22"/>
                <w:szCs w:val="22"/>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14:paraId="22E702B5">
            <w:pPr>
              <w:widowControl/>
              <w:adjustRightInd w:val="0"/>
              <w:spacing w:line="360" w:lineRule="auto"/>
              <w:jc w:val="center"/>
              <w:rPr>
                <w:color w:val="auto"/>
                <w:kern w:val="0"/>
                <w:sz w:val="22"/>
                <w:szCs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2EE49D39">
            <w:pPr>
              <w:widowControl/>
              <w:adjustRightInd w:val="0"/>
              <w:spacing w:line="360" w:lineRule="auto"/>
              <w:jc w:val="center"/>
              <w:rPr>
                <w:color w:val="auto"/>
                <w:kern w:val="0"/>
                <w:sz w:val="22"/>
                <w:szCs w:val="22"/>
                <w:highlight w:val="none"/>
                <w:lang w:val="zh-CN"/>
              </w:rPr>
            </w:pPr>
          </w:p>
        </w:tc>
      </w:tr>
      <w:tr w14:paraId="67F536C6">
        <w:tblPrEx>
          <w:tblCellMar>
            <w:top w:w="0" w:type="dxa"/>
            <w:left w:w="0" w:type="dxa"/>
            <w:bottom w:w="0" w:type="dxa"/>
            <w:right w:w="0" w:type="dxa"/>
          </w:tblCellMar>
        </w:tblPrEx>
        <w:trPr>
          <w:trHeight w:val="284" w:hRule="atLeast"/>
          <w:jc w:val="center"/>
        </w:trPr>
        <w:tc>
          <w:tcPr>
            <w:tcW w:w="765" w:type="dxa"/>
            <w:tcBorders>
              <w:top w:val="single" w:color="auto" w:sz="6" w:space="0"/>
              <w:left w:val="single" w:color="auto" w:sz="6" w:space="0"/>
              <w:bottom w:val="single" w:color="auto" w:sz="6" w:space="0"/>
              <w:right w:val="single" w:color="auto" w:sz="6" w:space="0"/>
            </w:tcBorders>
            <w:noWrap w:val="0"/>
            <w:vAlign w:val="center"/>
          </w:tcPr>
          <w:p w14:paraId="0C513285">
            <w:pPr>
              <w:widowControl/>
              <w:adjustRightInd w:val="0"/>
              <w:spacing w:line="360" w:lineRule="auto"/>
              <w:jc w:val="center"/>
              <w:rPr>
                <w:color w:val="auto"/>
                <w:kern w:val="0"/>
                <w:sz w:val="22"/>
                <w:szCs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14:paraId="3E49216E">
            <w:pPr>
              <w:widowControl/>
              <w:adjustRightInd w:val="0"/>
              <w:spacing w:line="360" w:lineRule="auto"/>
              <w:jc w:val="center"/>
              <w:rPr>
                <w:color w:val="auto"/>
                <w:kern w:val="0"/>
                <w:sz w:val="22"/>
                <w:szCs w:val="22"/>
                <w:highlight w:val="none"/>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14:paraId="2B5581DE">
            <w:pPr>
              <w:widowControl/>
              <w:adjustRightInd w:val="0"/>
              <w:spacing w:line="360" w:lineRule="auto"/>
              <w:jc w:val="center"/>
              <w:rPr>
                <w:color w:val="auto"/>
                <w:kern w:val="0"/>
                <w:sz w:val="22"/>
                <w:szCs w:val="22"/>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14:paraId="431A6E89">
            <w:pPr>
              <w:widowControl/>
              <w:adjustRightInd w:val="0"/>
              <w:spacing w:line="360" w:lineRule="auto"/>
              <w:jc w:val="center"/>
              <w:rPr>
                <w:color w:val="auto"/>
                <w:kern w:val="0"/>
                <w:sz w:val="22"/>
                <w:szCs w:val="22"/>
                <w:highlight w:val="none"/>
                <w:lang w:val="zh-CN"/>
              </w:rPr>
            </w:pPr>
          </w:p>
        </w:tc>
        <w:tc>
          <w:tcPr>
            <w:tcW w:w="1110" w:type="dxa"/>
            <w:tcBorders>
              <w:top w:val="single" w:color="auto" w:sz="6" w:space="0"/>
              <w:left w:val="single" w:color="auto" w:sz="6" w:space="0"/>
              <w:bottom w:val="single" w:color="auto" w:sz="6" w:space="0"/>
              <w:right w:val="single" w:color="auto" w:sz="6" w:space="0"/>
            </w:tcBorders>
            <w:noWrap w:val="0"/>
            <w:vAlign w:val="center"/>
          </w:tcPr>
          <w:p w14:paraId="76C5A4ED">
            <w:pPr>
              <w:widowControl/>
              <w:adjustRightInd w:val="0"/>
              <w:spacing w:line="360" w:lineRule="auto"/>
              <w:jc w:val="center"/>
              <w:rPr>
                <w:color w:val="auto"/>
                <w:kern w:val="0"/>
                <w:sz w:val="22"/>
                <w:szCs w:val="22"/>
                <w:highlight w:val="none"/>
                <w:lang w:val="zh-CN"/>
              </w:rPr>
            </w:pPr>
          </w:p>
        </w:tc>
      </w:tr>
    </w:tbl>
    <w:p w14:paraId="53E6FAF5">
      <w:pPr>
        <w:widowControl/>
        <w:adjustRightInd w:val="0"/>
        <w:spacing w:line="360" w:lineRule="auto"/>
        <w:jc w:val="left"/>
        <w:rPr>
          <w:rFonts w:hint="eastAsia"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供应商名称：</w:t>
      </w:r>
      <w:r>
        <w:rPr>
          <w:rFonts w:hint="eastAsia" w:ascii="宋体" w:hAnsi="宋体" w:cs="宋体"/>
          <w:color w:val="auto"/>
          <w:kern w:val="0"/>
          <w:sz w:val="22"/>
          <w:szCs w:val="22"/>
          <w:highlight w:val="none"/>
          <w:u w:val="single"/>
          <w:lang w:val="zh-CN"/>
        </w:rPr>
        <w:t xml:space="preserve">                                     </w:t>
      </w:r>
      <w:r>
        <w:rPr>
          <w:rFonts w:hint="eastAsia" w:ascii="宋体" w:hAnsi="宋体" w:cs="宋体"/>
          <w:color w:val="auto"/>
          <w:kern w:val="0"/>
          <w:sz w:val="22"/>
          <w:szCs w:val="22"/>
          <w:highlight w:val="none"/>
          <w:lang w:val="zh-CN"/>
        </w:rPr>
        <w:t>（盖章）</w:t>
      </w:r>
    </w:p>
    <w:p w14:paraId="2A5DB10A">
      <w:pPr>
        <w:widowControl/>
        <w:adjustRightInd w:val="0"/>
        <w:spacing w:line="360" w:lineRule="auto"/>
        <w:jc w:val="left"/>
        <w:rPr>
          <w:b/>
          <w:color w:val="auto"/>
          <w:kern w:val="0"/>
          <w:sz w:val="22"/>
          <w:szCs w:val="22"/>
          <w:highlight w:val="none"/>
          <w:lang w:val="zh-CN"/>
        </w:rPr>
      </w:pPr>
      <w:r>
        <w:rPr>
          <w:rFonts w:hint="eastAsia" w:ascii="宋体" w:hAnsi="宋体" w:cs="宋体"/>
          <w:color w:val="auto"/>
          <w:kern w:val="0"/>
          <w:sz w:val="22"/>
          <w:szCs w:val="22"/>
          <w:highlight w:val="none"/>
          <w:lang w:val="zh-CN"/>
        </w:rPr>
        <w:t>说明：如果行数不够，请自行增加。</w:t>
      </w:r>
      <w:r>
        <w:rPr>
          <w:rFonts w:hint="eastAsia" w:ascii="宋体" w:hAnsi="宋体" w:cs="宋体"/>
          <w:color w:val="auto"/>
          <w:kern w:val="0"/>
          <w:sz w:val="22"/>
          <w:szCs w:val="22"/>
          <w:highlight w:val="none"/>
          <w:lang w:val="zh-CN"/>
        </w:rPr>
        <w:br w:type="page"/>
      </w:r>
      <w:r>
        <w:rPr>
          <w:b/>
          <w:color w:val="auto"/>
          <w:kern w:val="0"/>
          <w:sz w:val="22"/>
          <w:szCs w:val="22"/>
          <w:highlight w:val="none"/>
          <w:lang w:val="zh-CN"/>
        </w:rPr>
        <w:t>目录</w:t>
      </w:r>
      <w:r>
        <w:rPr>
          <w:rFonts w:hint="eastAsia"/>
          <w:b/>
          <w:color w:val="auto"/>
          <w:kern w:val="0"/>
          <w:sz w:val="22"/>
          <w:szCs w:val="22"/>
          <w:highlight w:val="none"/>
          <w:lang w:val="en-US" w:eastAsia="zh-CN"/>
        </w:rPr>
        <w:t>七</w:t>
      </w:r>
      <w:r>
        <w:rPr>
          <w:b/>
          <w:color w:val="auto"/>
          <w:kern w:val="0"/>
          <w:sz w:val="22"/>
          <w:szCs w:val="22"/>
          <w:highlight w:val="none"/>
          <w:lang w:val="zh-CN"/>
        </w:rPr>
        <w:t>、商务条款偏离表格式</w:t>
      </w:r>
    </w:p>
    <w:p w14:paraId="2DC7680B">
      <w:pPr>
        <w:widowControl/>
        <w:adjustRightInd w:val="0"/>
        <w:spacing w:line="360" w:lineRule="auto"/>
        <w:ind w:left="420"/>
        <w:jc w:val="center"/>
        <w:outlineLvl w:val="0"/>
        <w:rPr>
          <w:rFonts w:eastAsia="黑体"/>
          <w:color w:val="auto"/>
          <w:kern w:val="0"/>
          <w:sz w:val="36"/>
          <w:szCs w:val="36"/>
          <w:highlight w:val="none"/>
          <w:lang w:val="zh-CN"/>
        </w:rPr>
      </w:pPr>
      <w:r>
        <w:rPr>
          <w:rFonts w:eastAsia="黑体"/>
          <w:color w:val="auto"/>
          <w:kern w:val="0"/>
          <w:sz w:val="36"/>
          <w:szCs w:val="36"/>
          <w:highlight w:val="none"/>
          <w:lang w:val="zh-CN"/>
        </w:rPr>
        <w:t>商务条款偏离表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
        <w:gridCol w:w="1620"/>
        <w:gridCol w:w="2700"/>
        <w:gridCol w:w="1415"/>
        <w:gridCol w:w="1458"/>
        <w:gridCol w:w="1372"/>
      </w:tblGrid>
      <w:tr w14:paraId="6A44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698" w:type="dxa"/>
            <w:gridSpan w:val="4"/>
            <w:tcBorders>
              <w:top w:val="nil"/>
              <w:left w:val="nil"/>
              <w:right w:val="nil"/>
            </w:tcBorders>
            <w:noWrap w:val="0"/>
            <w:vAlign w:val="center"/>
          </w:tcPr>
          <w:p w14:paraId="436F91B3">
            <w:pPr>
              <w:widowControl/>
              <w:adjustRightInd w:val="0"/>
              <w:spacing w:line="360" w:lineRule="auto"/>
              <w:jc w:val="left"/>
              <w:rPr>
                <w:color w:val="auto"/>
                <w:kern w:val="0"/>
                <w:sz w:val="22"/>
                <w:szCs w:val="22"/>
                <w:highlight w:val="none"/>
                <w:lang w:val="zh-CN"/>
              </w:rPr>
            </w:pPr>
            <w:r>
              <w:rPr>
                <w:color w:val="auto"/>
                <w:kern w:val="0"/>
                <w:sz w:val="22"/>
                <w:szCs w:val="22"/>
                <w:highlight w:val="none"/>
                <w:lang w:val="zh-CN"/>
              </w:rPr>
              <w:t>项目名称：</w:t>
            </w:r>
          </w:p>
        </w:tc>
        <w:tc>
          <w:tcPr>
            <w:tcW w:w="2830" w:type="dxa"/>
            <w:gridSpan w:val="2"/>
            <w:tcBorders>
              <w:top w:val="nil"/>
              <w:left w:val="nil"/>
              <w:right w:val="nil"/>
            </w:tcBorders>
            <w:noWrap w:val="0"/>
            <w:vAlign w:val="center"/>
          </w:tcPr>
          <w:p w14:paraId="6E1CF5BA">
            <w:pPr>
              <w:widowControl/>
              <w:adjustRightInd w:val="0"/>
              <w:spacing w:line="360" w:lineRule="auto"/>
              <w:jc w:val="left"/>
              <w:rPr>
                <w:color w:val="auto"/>
                <w:kern w:val="0"/>
                <w:sz w:val="22"/>
                <w:szCs w:val="22"/>
                <w:highlight w:val="none"/>
                <w:lang w:val="zh-CN"/>
              </w:rPr>
            </w:pPr>
            <w:r>
              <w:rPr>
                <w:color w:val="auto"/>
                <w:kern w:val="0"/>
                <w:sz w:val="22"/>
                <w:szCs w:val="22"/>
                <w:highlight w:val="none"/>
                <w:lang w:val="zh-CN"/>
              </w:rPr>
              <w:t>项目编号：</w:t>
            </w:r>
          </w:p>
        </w:tc>
      </w:tr>
      <w:tr w14:paraId="56C1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3" w:type="dxa"/>
            <w:noWrap w:val="0"/>
            <w:vAlign w:val="center"/>
          </w:tcPr>
          <w:p w14:paraId="36052FA6">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序号</w:t>
            </w:r>
          </w:p>
        </w:tc>
        <w:tc>
          <w:tcPr>
            <w:tcW w:w="1620" w:type="dxa"/>
            <w:noWrap w:val="0"/>
            <w:vAlign w:val="center"/>
          </w:tcPr>
          <w:p w14:paraId="5CEAEB04">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磋商文件条目号</w:t>
            </w:r>
          </w:p>
        </w:tc>
        <w:tc>
          <w:tcPr>
            <w:tcW w:w="2700" w:type="dxa"/>
            <w:noWrap w:val="0"/>
            <w:vAlign w:val="center"/>
          </w:tcPr>
          <w:p w14:paraId="75598B68">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磋商要求规格</w:t>
            </w:r>
          </w:p>
        </w:tc>
        <w:tc>
          <w:tcPr>
            <w:tcW w:w="2873" w:type="dxa"/>
            <w:gridSpan w:val="2"/>
            <w:noWrap w:val="0"/>
            <w:vAlign w:val="center"/>
          </w:tcPr>
          <w:p w14:paraId="29066863">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供应商响应</w:t>
            </w:r>
          </w:p>
        </w:tc>
        <w:tc>
          <w:tcPr>
            <w:tcW w:w="1372" w:type="dxa"/>
            <w:noWrap w:val="0"/>
            <w:vAlign w:val="center"/>
          </w:tcPr>
          <w:p w14:paraId="4C76613D">
            <w:pPr>
              <w:widowControl/>
              <w:adjustRightInd w:val="0"/>
              <w:spacing w:line="360" w:lineRule="auto"/>
              <w:jc w:val="center"/>
              <w:rPr>
                <w:color w:val="auto"/>
                <w:kern w:val="0"/>
                <w:sz w:val="22"/>
                <w:szCs w:val="22"/>
                <w:highlight w:val="none"/>
                <w:lang w:val="zh-CN"/>
              </w:rPr>
            </w:pPr>
            <w:r>
              <w:rPr>
                <w:color w:val="auto"/>
                <w:kern w:val="0"/>
                <w:sz w:val="22"/>
                <w:szCs w:val="22"/>
                <w:highlight w:val="none"/>
                <w:lang w:val="zh-CN"/>
              </w:rPr>
              <w:t>偏离</w:t>
            </w:r>
          </w:p>
        </w:tc>
      </w:tr>
      <w:tr w14:paraId="746E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3" w:type="dxa"/>
            <w:noWrap w:val="0"/>
            <w:vAlign w:val="center"/>
          </w:tcPr>
          <w:p w14:paraId="41F37853">
            <w:pPr>
              <w:widowControl/>
              <w:adjustRightInd w:val="0"/>
              <w:spacing w:line="360" w:lineRule="auto"/>
              <w:jc w:val="center"/>
              <w:rPr>
                <w:color w:val="auto"/>
                <w:kern w:val="0"/>
                <w:sz w:val="22"/>
                <w:szCs w:val="22"/>
                <w:highlight w:val="none"/>
                <w:lang w:val="zh-CN"/>
              </w:rPr>
            </w:pPr>
          </w:p>
        </w:tc>
        <w:tc>
          <w:tcPr>
            <w:tcW w:w="1620" w:type="dxa"/>
            <w:noWrap w:val="0"/>
            <w:vAlign w:val="center"/>
          </w:tcPr>
          <w:p w14:paraId="792E46C8">
            <w:pPr>
              <w:widowControl/>
              <w:adjustRightInd w:val="0"/>
              <w:spacing w:line="360" w:lineRule="auto"/>
              <w:jc w:val="center"/>
              <w:rPr>
                <w:color w:val="auto"/>
                <w:kern w:val="0"/>
                <w:sz w:val="22"/>
                <w:szCs w:val="22"/>
                <w:highlight w:val="none"/>
                <w:lang w:val="zh-CN"/>
              </w:rPr>
            </w:pPr>
          </w:p>
        </w:tc>
        <w:tc>
          <w:tcPr>
            <w:tcW w:w="2700" w:type="dxa"/>
            <w:noWrap w:val="0"/>
            <w:vAlign w:val="center"/>
          </w:tcPr>
          <w:p w14:paraId="1976BFD3">
            <w:pPr>
              <w:widowControl/>
              <w:adjustRightInd w:val="0"/>
              <w:spacing w:line="360" w:lineRule="auto"/>
              <w:jc w:val="center"/>
              <w:rPr>
                <w:color w:val="auto"/>
                <w:kern w:val="0"/>
                <w:sz w:val="22"/>
                <w:szCs w:val="22"/>
                <w:highlight w:val="none"/>
                <w:lang w:val="zh-CN"/>
              </w:rPr>
            </w:pPr>
          </w:p>
        </w:tc>
        <w:tc>
          <w:tcPr>
            <w:tcW w:w="2873" w:type="dxa"/>
            <w:gridSpan w:val="2"/>
            <w:noWrap w:val="0"/>
            <w:vAlign w:val="center"/>
          </w:tcPr>
          <w:p w14:paraId="0233D71B">
            <w:pPr>
              <w:widowControl/>
              <w:adjustRightInd w:val="0"/>
              <w:spacing w:line="360" w:lineRule="auto"/>
              <w:jc w:val="center"/>
              <w:rPr>
                <w:color w:val="auto"/>
                <w:kern w:val="0"/>
                <w:sz w:val="22"/>
                <w:szCs w:val="22"/>
                <w:highlight w:val="none"/>
                <w:lang w:val="zh-CN"/>
              </w:rPr>
            </w:pPr>
          </w:p>
        </w:tc>
        <w:tc>
          <w:tcPr>
            <w:tcW w:w="1372" w:type="dxa"/>
            <w:noWrap w:val="0"/>
            <w:vAlign w:val="center"/>
          </w:tcPr>
          <w:p w14:paraId="5329B81A">
            <w:pPr>
              <w:widowControl/>
              <w:adjustRightInd w:val="0"/>
              <w:spacing w:line="360" w:lineRule="auto"/>
              <w:jc w:val="center"/>
              <w:rPr>
                <w:color w:val="auto"/>
                <w:kern w:val="0"/>
                <w:sz w:val="22"/>
                <w:szCs w:val="22"/>
                <w:highlight w:val="none"/>
                <w:lang w:val="zh-CN"/>
              </w:rPr>
            </w:pPr>
          </w:p>
        </w:tc>
      </w:tr>
      <w:tr w14:paraId="39F5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3" w:type="dxa"/>
            <w:noWrap w:val="0"/>
            <w:vAlign w:val="center"/>
          </w:tcPr>
          <w:p w14:paraId="66C74963">
            <w:pPr>
              <w:widowControl/>
              <w:adjustRightInd w:val="0"/>
              <w:spacing w:line="360" w:lineRule="auto"/>
              <w:jc w:val="center"/>
              <w:rPr>
                <w:color w:val="auto"/>
                <w:kern w:val="0"/>
                <w:sz w:val="22"/>
                <w:szCs w:val="22"/>
                <w:highlight w:val="none"/>
                <w:lang w:val="zh-CN"/>
              </w:rPr>
            </w:pPr>
          </w:p>
        </w:tc>
        <w:tc>
          <w:tcPr>
            <w:tcW w:w="1620" w:type="dxa"/>
            <w:noWrap w:val="0"/>
            <w:vAlign w:val="center"/>
          </w:tcPr>
          <w:p w14:paraId="59EBBC0A">
            <w:pPr>
              <w:widowControl/>
              <w:adjustRightInd w:val="0"/>
              <w:spacing w:line="360" w:lineRule="auto"/>
              <w:jc w:val="center"/>
              <w:rPr>
                <w:color w:val="auto"/>
                <w:kern w:val="0"/>
                <w:sz w:val="22"/>
                <w:szCs w:val="22"/>
                <w:highlight w:val="none"/>
                <w:lang w:val="zh-CN"/>
              </w:rPr>
            </w:pPr>
          </w:p>
        </w:tc>
        <w:tc>
          <w:tcPr>
            <w:tcW w:w="2700" w:type="dxa"/>
            <w:noWrap w:val="0"/>
            <w:vAlign w:val="center"/>
          </w:tcPr>
          <w:p w14:paraId="6045DEF3">
            <w:pPr>
              <w:widowControl/>
              <w:adjustRightInd w:val="0"/>
              <w:spacing w:line="360" w:lineRule="auto"/>
              <w:jc w:val="center"/>
              <w:rPr>
                <w:color w:val="auto"/>
                <w:kern w:val="0"/>
                <w:sz w:val="22"/>
                <w:szCs w:val="22"/>
                <w:highlight w:val="none"/>
                <w:lang w:val="zh-CN"/>
              </w:rPr>
            </w:pPr>
          </w:p>
        </w:tc>
        <w:tc>
          <w:tcPr>
            <w:tcW w:w="2873" w:type="dxa"/>
            <w:gridSpan w:val="2"/>
            <w:noWrap w:val="0"/>
            <w:vAlign w:val="center"/>
          </w:tcPr>
          <w:p w14:paraId="47D4C2D0">
            <w:pPr>
              <w:widowControl/>
              <w:adjustRightInd w:val="0"/>
              <w:spacing w:line="360" w:lineRule="auto"/>
              <w:jc w:val="center"/>
              <w:rPr>
                <w:color w:val="auto"/>
                <w:kern w:val="0"/>
                <w:sz w:val="22"/>
                <w:szCs w:val="22"/>
                <w:highlight w:val="none"/>
                <w:lang w:val="zh-CN"/>
              </w:rPr>
            </w:pPr>
          </w:p>
        </w:tc>
        <w:tc>
          <w:tcPr>
            <w:tcW w:w="1372" w:type="dxa"/>
            <w:noWrap w:val="0"/>
            <w:vAlign w:val="center"/>
          </w:tcPr>
          <w:p w14:paraId="77A96AE3">
            <w:pPr>
              <w:widowControl/>
              <w:adjustRightInd w:val="0"/>
              <w:spacing w:line="360" w:lineRule="auto"/>
              <w:jc w:val="center"/>
              <w:rPr>
                <w:color w:val="auto"/>
                <w:kern w:val="0"/>
                <w:sz w:val="22"/>
                <w:szCs w:val="22"/>
                <w:highlight w:val="none"/>
                <w:lang w:val="zh-CN"/>
              </w:rPr>
            </w:pPr>
          </w:p>
        </w:tc>
      </w:tr>
      <w:tr w14:paraId="75C1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3" w:type="dxa"/>
            <w:noWrap w:val="0"/>
            <w:vAlign w:val="center"/>
          </w:tcPr>
          <w:p w14:paraId="54D654BC">
            <w:pPr>
              <w:widowControl/>
              <w:adjustRightInd w:val="0"/>
              <w:spacing w:line="360" w:lineRule="auto"/>
              <w:jc w:val="center"/>
              <w:rPr>
                <w:color w:val="auto"/>
                <w:kern w:val="0"/>
                <w:sz w:val="22"/>
                <w:szCs w:val="22"/>
                <w:highlight w:val="none"/>
                <w:lang w:val="zh-CN"/>
              </w:rPr>
            </w:pPr>
          </w:p>
        </w:tc>
        <w:tc>
          <w:tcPr>
            <w:tcW w:w="1620" w:type="dxa"/>
            <w:noWrap w:val="0"/>
            <w:vAlign w:val="center"/>
          </w:tcPr>
          <w:p w14:paraId="333AD122">
            <w:pPr>
              <w:widowControl/>
              <w:adjustRightInd w:val="0"/>
              <w:spacing w:line="360" w:lineRule="auto"/>
              <w:jc w:val="center"/>
              <w:rPr>
                <w:color w:val="auto"/>
                <w:kern w:val="0"/>
                <w:sz w:val="22"/>
                <w:szCs w:val="22"/>
                <w:highlight w:val="none"/>
                <w:lang w:val="zh-CN"/>
              </w:rPr>
            </w:pPr>
          </w:p>
        </w:tc>
        <w:tc>
          <w:tcPr>
            <w:tcW w:w="2700" w:type="dxa"/>
            <w:noWrap w:val="0"/>
            <w:vAlign w:val="center"/>
          </w:tcPr>
          <w:p w14:paraId="7D312B7E">
            <w:pPr>
              <w:widowControl/>
              <w:adjustRightInd w:val="0"/>
              <w:spacing w:line="360" w:lineRule="auto"/>
              <w:jc w:val="center"/>
              <w:rPr>
                <w:color w:val="auto"/>
                <w:kern w:val="0"/>
                <w:sz w:val="22"/>
                <w:szCs w:val="22"/>
                <w:highlight w:val="none"/>
                <w:lang w:val="zh-CN"/>
              </w:rPr>
            </w:pPr>
          </w:p>
        </w:tc>
        <w:tc>
          <w:tcPr>
            <w:tcW w:w="2873" w:type="dxa"/>
            <w:gridSpan w:val="2"/>
            <w:noWrap w:val="0"/>
            <w:vAlign w:val="center"/>
          </w:tcPr>
          <w:p w14:paraId="72ECC399">
            <w:pPr>
              <w:widowControl/>
              <w:adjustRightInd w:val="0"/>
              <w:spacing w:line="360" w:lineRule="auto"/>
              <w:jc w:val="center"/>
              <w:rPr>
                <w:color w:val="auto"/>
                <w:kern w:val="0"/>
                <w:sz w:val="22"/>
                <w:szCs w:val="22"/>
                <w:highlight w:val="none"/>
                <w:lang w:val="zh-CN"/>
              </w:rPr>
            </w:pPr>
          </w:p>
        </w:tc>
        <w:tc>
          <w:tcPr>
            <w:tcW w:w="1372" w:type="dxa"/>
            <w:noWrap w:val="0"/>
            <w:vAlign w:val="center"/>
          </w:tcPr>
          <w:p w14:paraId="5E2FF162">
            <w:pPr>
              <w:widowControl/>
              <w:adjustRightInd w:val="0"/>
              <w:spacing w:line="360" w:lineRule="auto"/>
              <w:jc w:val="center"/>
              <w:rPr>
                <w:color w:val="auto"/>
                <w:kern w:val="0"/>
                <w:sz w:val="22"/>
                <w:szCs w:val="22"/>
                <w:highlight w:val="none"/>
                <w:lang w:val="zh-CN"/>
              </w:rPr>
            </w:pPr>
          </w:p>
        </w:tc>
      </w:tr>
      <w:tr w14:paraId="3EDD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3" w:type="dxa"/>
            <w:noWrap w:val="0"/>
            <w:vAlign w:val="center"/>
          </w:tcPr>
          <w:p w14:paraId="07C9D59F">
            <w:pPr>
              <w:widowControl/>
              <w:adjustRightInd w:val="0"/>
              <w:spacing w:line="360" w:lineRule="auto"/>
              <w:jc w:val="center"/>
              <w:rPr>
                <w:color w:val="auto"/>
                <w:kern w:val="0"/>
                <w:sz w:val="22"/>
                <w:szCs w:val="22"/>
                <w:highlight w:val="none"/>
                <w:lang w:val="zh-CN"/>
              </w:rPr>
            </w:pPr>
          </w:p>
        </w:tc>
        <w:tc>
          <w:tcPr>
            <w:tcW w:w="1620" w:type="dxa"/>
            <w:noWrap w:val="0"/>
            <w:vAlign w:val="center"/>
          </w:tcPr>
          <w:p w14:paraId="1938E45E">
            <w:pPr>
              <w:widowControl/>
              <w:adjustRightInd w:val="0"/>
              <w:spacing w:line="360" w:lineRule="auto"/>
              <w:jc w:val="center"/>
              <w:rPr>
                <w:color w:val="auto"/>
                <w:kern w:val="0"/>
                <w:sz w:val="22"/>
                <w:szCs w:val="22"/>
                <w:highlight w:val="none"/>
                <w:lang w:val="zh-CN"/>
              </w:rPr>
            </w:pPr>
          </w:p>
        </w:tc>
        <w:tc>
          <w:tcPr>
            <w:tcW w:w="2700" w:type="dxa"/>
            <w:noWrap w:val="0"/>
            <w:vAlign w:val="center"/>
          </w:tcPr>
          <w:p w14:paraId="15AFDBB4">
            <w:pPr>
              <w:widowControl/>
              <w:adjustRightInd w:val="0"/>
              <w:spacing w:line="360" w:lineRule="auto"/>
              <w:jc w:val="center"/>
              <w:rPr>
                <w:color w:val="auto"/>
                <w:kern w:val="0"/>
                <w:sz w:val="22"/>
                <w:szCs w:val="22"/>
                <w:highlight w:val="none"/>
                <w:lang w:val="zh-CN"/>
              </w:rPr>
            </w:pPr>
          </w:p>
        </w:tc>
        <w:tc>
          <w:tcPr>
            <w:tcW w:w="2873" w:type="dxa"/>
            <w:gridSpan w:val="2"/>
            <w:noWrap w:val="0"/>
            <w:vAlign w:val="center"/>
          </w:tcPr>
          <w:p w14:paraId="6187F7BA">
            <w:pPr>
              <w:widowControl/>
              <w:adjustRightInd w:val="0"/>
              <w:spacing w:line="360" w:lineRule="auto"/>
              <w:jc w:val="center"/>
              <w:rPr>
                <w:color w:val="auto"/>
                <w:kern w:val="0"/>
                <w:sz w:val="22"/>
                <w:szCs w:val="22"/>
                <w:highlight w:val="none"/>
                <w:lang w:val="zh-CN"/>
              </w:rPr>
            </w:pPr>
          </w:p>
        </w:tc>
        <w:tc>
          <w:tcPr>
            <w:tcW w:w="1372" w:type="dxa"/>
            <w:noWrap w:val="0"/>
            <w:vAlign w:val="center"/>
          </w:tcPr>
          <w:p w14:paraId="2A3332B5">
            <w:pPr>
              <w:widowControl/>
              <w:adjustRightInd w:val="0"/>
              <w:spacing w:line="360" w:lineRule="auto"/>
              <w:jc w:val="center"/>
              <w:rPr>
                <w:color w:val="auto"/>
                <w:kern w:val="0"/>
                <w:sz w:val="22"/>
                <w:szCs w:val="22"/>
                <w:highlight w:val="none"/>
                <w:lang w:val="zh-CN"/>
              </w:rPr>
            </w:pPr>
          </w:p>
        </w:tc>
      </w:tr>
      <w:tr w14:paraId="2AD6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3" w:type="dxa"/>
            <w:noWrap w:val="0"/>
            <w:vAlign w:val="center"/>
          </w:tcPr>
          <w:p w14:paraId="3FD539F8">
            <w:pPr>
              <w:widowControl/>
              <w:adjustRightInd w:val="0"/>
              <w:spacing w:line="360" w:lineRule="auto"/>
              <w:jc w:val="center"/>
              <w:rPr>
                <w:color w:val="auto"/>
                <w:kern w:val="0"/>
                <w:sz w:val="22"/>
                <w:szCs w:val="22"/>
                <w:highlight w:val="none"/>
                <w:lang w:val="zh-CN"/>
              </w:rPr>
            </w:pPr>
          </w:p>
        </w:tc>
        <w:tc>
          <w:tcPr>
            <w:tcW w:w="1620" w:type="dxa"/>
            <w:noWrap w:val="0"/>
            <w:vAlign w:val="center"/>
          </w:tcPr>
          <w:p w14:paraId="583E7A2E">
            <w:pPr>
              <w:widowControl/>
              <w:adjustRightInd w:val="0"/>
              <w:spacing w:line="360" w:lineRule="auto"/>
              <w:jc w:val="center"/>
              <w:rPr>
                <w:color w:val="auto"/>
                <w:kern w:val="0"/>
                <w:sz w:val="22"/>
                <w:szCs w:val="22"/>
                <w:highlight w:val="none"/>
                <w:lang w:val="zh-CN"/>
              </w:rPr>
            </w:pPr>
          </w:p>
        </w:tc>
        <w:tc>
          <w:tcPr>
            <w:tcW w:w="2700" w:type="dxa"/>
            <w:noWrap w:val="0"/>
            <w:vAlign w:val="center"/>
          </w:tcPr>
          <w:p w14:paraId="22DD90E3">
            <w:pPr>
              <w:widowControl/>
              <w:adjustRightInd w:val="0"/>
              <w:spacing w:line="360" w:lineRule="auto"/>
              <w:jc w:val="center"/>
              <w:rPr>
                <w:color w:val="auto"/>
                <w:kern w:val="0"/>
                <w:sz w:val="22"/>
                <w:szCs w:val="22"/>
                <w:highlight w:val="none"/>
                <w:lang w:val="zh-CN"/>
              </w:rPr>
            </w:pPr>
          </w:p>
        </w:tc>
        <w:tc>
          <w:tcPr>
            <w:tcW w:w="2873" w:type="dxa"/>
            <w:gridSpan w:val="2"/>
            <w:noWrap w:val="0"/>
            <w:vAlign w:val="center"/>
          </w:tcPr>
          <w:p w14:paraId="596FAB02">
            <w:pPr>
              <w:widowControl/>
              <w:adjustRightInd w:val="0"/>
              <w:spacing w:line="360" w:lineRule="auto"/>
              <w:jc w:val="center"/>
              <w:rPr>
                <w:color w:val="auto"/>
                <w:kern w:val="0"/>
                <w:sz w:val="22"/>
                <w:szCs w:val="22"/>
                <w:highlight w:val="none"/>
                <w:lang w:val="zh-CN"/>
              </w:rPr>
            </w:pPr>
          </w:p>
        </w:tc>
        <w:tc>
          <w:tcPr>
            <w:tcW w:w="1372" w:type="dxa"/>
            <w:noWrap w:val="0"/>
            <w:vAlign w:val="center"/>
          </w:tcPr>
          <w:p w14:paraId="4D81E9A4">
            <w:pPr>
              <w:widowControl/>
              <w:adjustRightInd w:val="0"/>
              <w:spacing w:line="360" w:lineRule="auto"/>
              <w:jc w:val="center"/>
              <w:rPr>
                <w:color w:val="auto"/>
                <w:kern w:val="0"/>
                <w:sz w:val="22"/>
                <w:szCs w:val="22"/>
                <w:highlight w:val="none"/>
                <w:lang w:val="zh-CN"/>
              </w:rPr>
            </w:pPr>
          </w:p>
        </w:tc>
      </w:tr>
      <w:tr w14:paraId="3EE7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63" w:type="dxa"/>
            <w:noWrap w:val="0"/>
            <w:vAlign w:val="center"/>
          </w:tcPr>
          <w:p w14:paraId="213E78A8">
            <w:pPr>
              <w:widowControl/>
              <w:spacing w:line="360" w:lineRule="auto"/>
              <w:jc w:val="left"/>
              <w:rPr>
                <w:color w:val="auto"/>
                <w:kern w:val="0"/>
                <w:sz w:val="22"/>
                <w:szCs w:val="22"/>
                <w:highlight w:val="none"/>
              </w:rPr>
            </w:pPr>
          </w:p>
        </w:tc>
        <w:tc>
          <w:tcPr>
            <w:tcW w:w="1620" w:type="dxa"/>
            <w:noWrap w:val="0"/>
            <w:vAlign w:val="center"/>
          </w:tcPr>
          <w:p w14:paraId="5B421F94">
            <w:pPr>
              <w:widowControl/>
              <w:spacing w:line="360" w:lineRule="auto"/>
              <w:jc w:val="left"/>
              <w:rPr>
                <w:color w:val="auto"/>
                <w:kern w:val="0"/>
                <w:sz w:val="22"/>
                <w:szCs w:val="22"/>
                <w:highlight w:val="none"/>
              </w:rPr>
            </w:pPr>
          </w:p>
        </w:tc>
        <w:tc>
          <w:tcPr>
            <w:tcW w:w="2700" w:type="dxa"/>
            <w:noWrap w:val="0"/>
            <w:vAlign w:val="center"/>
          </w:tcPr>
          <w:p w14:paraId="62C8D1D3">
            <w:pPr>
              <w:widowControl/>
              <w:spacing w:line="360" w:lineRule="auto"/>
              <w:jc w:val="left"/>
              <w:rPr>
                <w:color w:val="auto"/>
                <w:kern w:val="0"/>
                <w:sz w:val="22"/>
                <w:szCs w:val="22"/>
                <w:highlight w:val="none"/>
              </w:rPr>
            </w:pPr>
          </w:p>
        </w:tc>
        <w:tc>
          <w:tcPr>
            <w:tcW w:w="2873" w:type="dxa"/>
            <w:gridSpan w:val="2"/>
            <w:noWrap w:val="0"/>
            <w:vAlign w:val="center"/>
          </w:tcPr>
          <w:p w14:paraId="0DCF4DCF">
            <w:pPr>
              <w:widowControl/>
              <w:spacing w:line="360" w:lineRule="auto"/>
              <w:jc w:val="left"/>
              <w:rPr>
                <w:color w:val="auto"/>
                <w:kern w:val="0"/>
                <w:sz w:val="22"/>
                <w:szCs w:val="22"/>
                <w:highlight w:val="none"/>
              </w:rPr>
            </w:pPr>
          </w:p>
        </w:tc>
        <w:tc>
          <w:tcPr>
            <w:tcW w:w="1372" w:type="dxa"/>
            <w:noWrap w:val="0"/>
            <w:vAlign w:val="center"/>
          </w:tcPr>
          <w:p w14:paraId="4A4750B2">
            <w:pPr>
              <w:widowControl/>
              <w:spacing w:line="360" w:lineRule="auto"/>
              <w:jc w:val="left"/>
              <w:rPr>
                <w:color w:val="auto"/>
                <w:kern w:val="0"/>
                <w:sz w:val="22"/>
                <w:szCs w:val="22"/>
                <w:highlight w:val="none"/>
              </w:rPr>
            </w:pPr>
          </w:p>
        </w:tc>
      </w:tr>
    </w:tbl>
    <w:p w14:paraId="33FD3335">
      <w:pPr>
        <w:widowControl/>
        <w:adjustRightInd w:val="0"/>
        <w:spacing w:line="360" w:lineRule="auto"/>
        <w:jc w:val="left"/>
        <w:rPr>
          <w:color w:val="auto"/>
          <w:kern w:val="0"/>
          <w:sz w:val="22"/>
          <w:szCs w:val="22"/>
          <w:highlight w:val="none"/>
          <w:lang w:val="zh-CN"/>
        </w:rPr>
      </w:pPr>
      <w:r>
        <w:rPr>
          <w:color w:val="auto"/>
          <w:kern w:val="0"/>
          <w:sz w:val="22"/>
          <w:szCs w:val="22"/>
          <w:highlight w:val="none"/>
          <w:lang w:val="zh-CN"/>
        </w:rPr>
        <w:t>供应商名称：</w:t>
      </w:r>
      <w:r>
        <w:rPr>
          <w:color w:val="auto"/>
          <w:kern w:val="0"/>
          <w:sz w:val="22"/>
          <w:szCs w:val="22"/>
          <w:highlight w:val="none"/>
          <w:u w:val="single"/>
          <w:lang w:val="zh-CN"/>
        </w:rPr>
        <w:t xml:space="preserve">                            </w:t>
      </w:r>
      <w:r>
        <w:rPr>
          <w:color w:val="auto"/>
          <w:kern w:val="0"/>
          <w:sz w:val="22"/>
          <w:szCs w:val="22"/>
          <w:highlight w:val="none"/>
          <w:lang w:val="zh-CN"/>
        </w:rPr>
        <w:t>（盖章）</w:t>
      </w:r>
    </w:p>
    <w:p w14:paraId="72B44434">
      <w:pPr>
        <w:widowControl/>
        <w:adjustRightInd w:val="0"/>
        <w:spacing w:line="360" w:lineRule="auto"/>
        <w:jc w:val="left"/>
        <w:rPr>
          <w:color w:val="auto"/>
          <w:kern w:val="0"/>
          <w:sz w:val="22"/>
          <w:szCs w:val="22"/>
          <w:highlight w:val="none"/>
          <w:lang w:val="zh-CN"/>
        </w:rPr>
      </w:pPr>
      <w:r>
        <w:rPr>
          <w:color w:val="auto"/>
          <w:kern w:val="0"/>
          <w:sz w:val="22"/>
          <w:szCs w:val="22"/>
          <w:highlight w:val="none"/>
          <w:lang w:val="zh-CN"/>
        </w:rPr>
        <w:t>说明：如果行数不够，请自行增加。</w:t>
      </w:r>
    </w:p>
    <w:p w14:paraId="0D5EE79E">
      <w:pPr>
        <w:spacing w:line="360" w:lineRule="auto"/>
        <w:rPr>
          <w:b/>
          <w:color w:val="auto"/>
          <w:sz w:val="22"/>
          <w:szCs w:val="22"/>
          <w:highlight w:val="none"/>
        </w:rPr>
      </w:pPr>
    </w:p>
    <w:p w14:paraId="721A5B29">
      <w:pPr>
        <w:spacing w:line="360" w:lineRule="auto"/>
        <w:rPr>
          <w:rFonts w:eastAsia="黑体"/>
          <w:color w:val="auto"/>
          <w:kern w:val="0"/>
          <w:sz w:val="36"/>
          <w:szCs w:val="36"/>
          <w:highlight w:val="none"/>
          <w:lang w:val="zh-CN"/>
        </w:rPr>
      </w:pPr>
    </w:p>
    <w:p w14:paraId="13685DEE">
      <w:pPr>
        <w:spacing w:line="360" w:lineRule="auto"/>
        <w:rPr>
          <w:color w:val="auto"/>
          <w:highlight w:val="none"/>
        </w:rPr>
      </w:pPr>
    </w:p>
    <w:p w14:paraId="12F65585">
      <w:pPr>
        <w:spacing w:line="360" w:lineRule="auto"/>
        <w:rPr>
          <w:b/>
          <w:color w:val="auto"/>
          <w:sz w:val="22"/>
          <w:szCs w:val="22"/>
          <w:highlight w:val="none"/>
        </w:rPr>
      </w:pPr>
      <w:r>
        <w:rPr>
          <w:b/>
          <w:color w:val="auto"/>
          <w:sz w:val="22"/>
          <w:szCs w:val="22"/>
          <w:highlight w:val="none"/>
        </w:rPr>
        <w:t>目录</w:t>
      </w:r>
      <w:r>
        <w:rPr>
          <w:rFonts w:hint="eastAsia"/>
          <w:b/>
          <w:color w:val="auto"/>
          <w:sz w:val="22"/>
          <w:szCs w:val="22"/>
          <w:highlight w:val="none"/>
          <w:lang w:val="en-US" w:eastAsia="zh-CN"/>
        </w:rPr>
        <w:t>八</w:t>
      </w:r>
      <w:r>
        <w:rPr>
          <w:b/>
          <w:color w:val="auto"/>
          <w:sz w:val="22"/>
          <w:szCs w:val="22"/>
          <w:highlight w:val="none"/>
        </w:rPr>
        <w:t>、竞争性磋商需要的其他证明文件及材料</w:t>
      </w:r>
    </w:p>
    <w:p w14:paraId="01A2C779">
      <w:pPr>
        <w:spacing w:line="360" w:lineRule="auto"/>
        <w:rPr>
          <w:b/>
          <w:color w:val="auto"/>
          <w:sz w:val="22"/>
          <w:szCs w:val="22"/>
          <w:highlight w:val="none"/>
        </w:rPr>
      </w:pPr>
    </w:p>
    <w:p w14:paraId="15F5F639">
      <w:pPr>
        <w:spacing w:line="360" w:lineRule="auto"/>
        <w:rPr>
          <w:b/>
          <w:color w:val="auto"/>
          <w:sz w:val="22"/>
          <w:szCs w:val="22"/>
          <w:highlight w:val="none"/>
        </w:rPr>
      </w:pPr>
    </w:p>
    <w:p w14:paraId="3C217EB0">
      <w:pPr>
        <w:spacing w:line="360" w:lineRule="auto"/>
        <w:jc w:val="center"/>
        <w:rPr>
          <w:color w:val="auto"/>
          <w:highlight w:val="none"/>
        </w:rPr>
      </w:pPr>
      <w:r>
        <w:rPr>
          <w:rFonts w:eastAsia="黑体"/>
          <w:color w:val="auto"/>
          <w:kern w:val="0"/>
          <w:sz w:val="36"/>
          <w:szCs w:val="36"/>
          <w:highlight w:val="none"/>
          <w:lang w:val="zh-CN"/>
        </w:rPr>
        <w:t>竞争性磋商需要的其他证明文件及材料（若有）</w:t>
      </w:r>
    </w:p>
    <w:p w14:paraId="4F073DFD">
      <w:pPr>
        <w:spacing w:line="360" w:lineRule="auto"/>
        <w:rPr>
          <w:b/>
          <w:color w:val="auto"/>
          <w:highlight w:val="none"/>
        </w:rPr>
      </w:pPr>
    </w:p>
    <w:p w14:paraId="2E9915A6">
      <w:pPr>
        <w:snapToGrid w:val="0"/>
        <w:spacing w:line="360" w:lineRule="auto"/>
        <w:rPr>
          <w:b/>
          <w:color w:val="auto"/>
          <w:highlight w:val="none"/>
        </w:rPr>
      </w:pPr>
    </w:p>
    <w:p w14:paraId="0B211CC4">
      <w:pPr>
        <w:snapToGrid w:val="0"/>
        <w:spacing w:line="360" w:lineRule="auto"/>
        <w:rPr>
          <w:b/>
          <w:color w:val="auto"/>
          <w:highlight w:val="none"/>
        </w:rPr>
      </w:pPr>
    </w:p>
    <w:p w14:paraId="177AC845">
      <w:pPr>
        <w:snapToGrid w:val="0"/>
        <w:spacing w:line="360" w:lineRule="auto"/>
        <w:rPr>
          <w:b/>
          <w:color w:val="auto"/>
          <w:highlight w:val="none"/>
        </w:rPr>
      </w:pPr>
    </w:p>
    <w:p w14:paraId="243790A9">
      <w:pPr>
        <w:snapToGrid w:val="0"/>
        <w:spacing w:line="360" w:lineRule="auto"/>
        <w:rPr>
          <w:b/>
          <w:color w:val="auto"/>
          <w:highlight w:val="none"/>
        </w:rPr>
      </w:pPr>
    </w:p>
    <w:p w14:paraId="3B51BD4F">
      <w:pPr>
        <w:snapToGrid w:val="0"/>
        <w:spacing w:line="360" w:lineRule="auto"/>
        <w:rPr>
          <w:b/>
          <w:color w:val="auto"/>
          <w:highlight w:val="none"/>
        </w:rPr>
      </w:pPr>
    </w:p>
    <w:p w14:paraId="57C74401">
      <w:pPr>
        <w:snapToGrid w:val="0"/>
        <w:spacing w:line="360" w:lineRule="auto"/>
        <w:rPr>
          <w:b/>
          <w:color w:val="auto"/>
          <w:highlight w:val="none"/>
        </w:rPr>
      </w:pPr>
    </w:p>
    <w:p w14:paraId="6ADC1BB1">
      <w:pPr>
        <w:snapToGrid w:val="0"/>
        <w:spacing w:line="360" w:lineRule="auto"/>
        <w:rPr>
          <w:b/>
          <w:color w:val="auto"/>
          <w:highlight w:val="none"/>
        </w:rPr>
      </w:pPr>
    </w:p>
    <w:p w14:paraId="0DDB0D63">
      <w:pPr>
        <w:snapToGrid w:val="0"/>
        <w:spacing w:line="360" w:lineRule="auto"/>
        <w:rPr>
          <w:b/>
          <w:color w:val="auto"/>
          <w:highlight w:val="none"/>
        </w:rPr>
      </w:pPr>
    </w:p>
    <w:p w14:paraId="6A62EFD6">
      <w:pPr>
        <w:snapToGrid w:val="0"/>
        <w:spacing w:line="360" w:lineRule="auto"/>
        <w:rPr>
          <w:b/>
          <w:color w:val="auto"/>
          <w:highlight w:val="none"/>
        </w:rPr>
      </w:pPr>
    </w:p>
    <w:p w14:paraId="774ED141">
      <w:pPr>
        <w:snapToGrid w:val="0"/>
        <w:spacing w:line="360" w:lineRule="auto"/>
        <w:rPr>
          <w:b/>
          <w:color w:val="auto"/>
          <w:highlight w:val="none"/>
        </w:rPr>
      </w:pPr>
    </w:p>
    <w:p w14:paraId="270D654B">
      <w:pPr>
        <w:snapToGrid w:val="0"/>
        <w:spacing w:line="360" w:lineRule="auto"/>
        <w:rPr>
          <w:b/>
          <w:color w:val="auto"/>
          <w:highlight w:val="none"/>
        </w:rPr>
      </w:pPr>
    </w:p>
    <w:p w14:paraId="48A10CDD">
      <w:pPr>
        <w:snapToGrid w:val="0"/>
        <w:spacing w:line="360" w:lineRule="auto"/>
        <w:rPr>
          <w:b/>
          <w:color w:val="auto"/>
          <w:sz w:val="22"/>
          <w:szCs w:val="22"/>
          <w:highlight w:val="none"/>
        </w:rPr>
      </w:pPr>
    </w:p>
    <w:p w14:paraId="31B0DCA8">
      <w:pPr>
        <w:snapToGrid w:val="0"/>
        <w:spacing w:line="360" w:lineRule="auto"/>
        <w:rPr>
          <w:b/>
          <w:color w:val="auto"/>
          <w:sz w:val="22"/>
          <w:szCs w:val="22"/>
          <w:highlight w:val="none"/>
        </w:rPr>
      </w:pPr>
      <w:r>
        <w:rPr>
          <w:b/>
          <w:color w:val="auto"/>
          <w:sz w:val="22"/>
          <w:szCs w:val="22"/>
          <w:highlight w:val="none"/>
        </w:rPr>
        <w:t>目录</w:t>
      </w:r>
      <w:r>
        <w:rPr>
          <w:rFonts w:hint="eastAsia"/>
          <w:b/>
          <w:color w:val="auto"/>
          <w:sz w:val="22"/>
          <w:szCs w:val="22"/>
          <w:highlight w:val="none"/>
          <w:lang w:val="en-US" w:eastAsia="zh-CN"/>
        </w:rPr>
        <w:t>九</w:t>
      </w:r>
      <w:r>
        <w:rPr>
          <w:b/>
          <w:color w:val="auto"/>
          <w:sz w:val="22"/>
          <w:szCs w:val="22"/>
          <w:highlight w:val="none"/>
        </w:rPr>
        <w:t>、资格性和符合性审查响应对照表</w:t>
      </w:r>
    </w:p>
    <w:p w14:paraId="5019BB5F">
      <w:pPr>
        <w:snapToGrid w:val="0"/>
        <w:spacing w:line="360" w:lineRule="auto"/>
        <w:jc w:val="center"/>
        <w:rPr>
          <w:rFonts w:eastAsia="黑体"/>
          <w:color w:val="auto"/>
          <w:sz w:val="36"/>
          <w:szCs w:val="36"/>
          <w:highlight w:val="none"/>
        </w:rPr>
      </w:pPr>
      <w:r>
        <w:rPr>
          <w:rFonts w:eastAsia="黑体"/>
          <w:color w:val="auto"/>
          <w:sz w:val="36"/>
          <w:szCs w:val="36"/>
          <w:highlight w:val="none"/>
        </w:rPr>
        <w:t>资格性和符合性审查响应对照表</w:t>
      </w:r>
    </w:p>
    <w:p w14:paraId="3172AFE7">
      <w:pPr>
        <w:snapToGrid w:val="0"/>
        <w:spacing w:line="360" w:lineRule="auto"/>
        <w:ind w:firstLine="215" w:firstLineChars="98"/>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项目名称：                                                 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010"/>
        <w:gridCol w:w="1903"/>
        <w:gridCol w:w="1785"/>
      </w:tblGrid>
      <w:tr w14:paraId="05BF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60" w:type="dxa"/>
            <w:noWrap w:val="0"/>
            <w:vAlign w:val="center"/>
          </w:tcPr>
          <w:p w14:paraId="0F206353">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5010" w:type="dxa"/>
            <w:noWrap w:val="0"/>
            <w:vAlign w:val="center"/>
          </w:tcPr>
          <w:p w14:paraId="3AEAF39F">
            <w:pPr>
              <w:snapToGri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资格性审查响应内容</w:t>
            </w:r>
          </w:p>
        </w:tc>
        <w:tc>
          <w:tcPr>
            <w:tcW w:w="1903" w:type="dxa"/>
            <w:noWrap w:val="0"/>
            <w:vAlign w:val="center"/>
          </w:tcPr>
          <w:p w14:paraId="741042A5">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是否响应</w:t>
            </w:r>
          </w:p>
          <w:p w14:paraId="713DAD6D">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（填是或者否）</w:t>
            </w:r>
          </w:p>
        </w:tc>
        <w:tc>
          <w:tcPr>
            <w:tcW w:w="1785" w:type="dxa"/>
            <w:noWrap w:val="0"/>
            <w:vAlign w:val="center"/>
          </w:tcPr>
          <w:p w14:paraId="26BDB93F">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zh-CN"/>
              </w:rPr>
              <w:t>磋商</w:t>
            </w:r>
            <w:r>
              <w:rPr>
                <w:rFonts w:hint="eastAsia" w:ascii="宋体" w:hAnsi="宋体" w:eastAsia="宋体" w:cs="宋体"/>
                <w:color w:val="auto"/>
                <w:sz w:val="22"/>
                <w:szCs w:val="22"/>
                <w:highlight w:val="none"/>
              </w:rPr>
              <w:t>文件中的</w:t>
            </w:r>
          </w:p>
          <w:p w14:paraId="3F3E0BEB">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页码位置</w:t>
            </w:r>
          </w:p>
        </w:tc>
      </w:tr>
      <w:tr w14:paraId="7ED4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0" w:type="dxa"/>
            <w:noWrap w:val="0"/>
            <w:vAlign w:val="center"/>
          </w:tcPr>
          <w:p w14:paraId="56753AC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5010" w:type="dxa"/>
            <w:noWrap w:val="0"/>
            <w:vAlign w:val="center"/>
          </w:tcPr>
          <w:p w14:paraId="389EF891">
            <w:pPr>
              <w:spacing w:line="360" w:lineRule="auto"/>
              <w:rPr>
                <w:rFonts w:hint="eastAsia" w:ascii="宋体" w:hAnsi="宋体" w:eastAsia="宋体" w:cs="宋体"/>
                <w:color w:val="auto"/>
                <w:sz w:val="22"/>
                <w:szCs w:val="22"/>
                <w:highlight w:val="none"/>
              </w:rPr>
            </w:pPr>
          </w:p>
        </w:tc>
        <w:tc>
          <w:tcPr>
            <w:tcW w:w="1903" w:type="dxa"/>
            <w:noWrap w:val="0"/>
            <w:vAlign w:val="center"/>
          </w:tcPr>
          <w:p w14:paraId="73EBCC63">
            <w:pPr>
              <w:spacing w:line="360" w:lineRule="auto"/>
              <w:rPr>
                <w:rFonts w:hint="eastAsia" w:ascii="宋体" w:hAnsi="宋体" w:eastAsia="宋体" w:cs="宋体"/>
                <w:color w:val="auto"/>
                <w:sz w:val="22"/>
                <w:szCs w:val="22"/>
                <w:highlight w:val="none"/>
              </w:rPr>
            </w:pPr>
          </w:p>
        </w:tc>
        <w:tc>
          <w:tcPr>
            <w:tcW w:w="1785" w:type="dxa"/>
            <w:noWrap w:val="0"/>
            <w:vAlign w:val="center"/>
          </w:tcPr>
          <w:p w14:paraId="3D822D5D">
            <w:pPr>
              <w:spacing w:line="360" w:lineRule="auto"/>
              <w:rPr>
                <w:rFonts w:hint="eastAsia" w:ascii="宋体" w:hAnsi="宋体" w:eastAsia="宋体" w:cs="宋体"/>
                <w:color w:val="auto"/>
                <w:sz w:val="22"/>
                <w:szCs w:val="22"/>
                <w:highlight w:val="none"/>
              </w:rPr>
            </w:pPr>
          </w:p>
        </w:tc>
      </w:tr>
      <w:tr w14:paraId="05AD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60" w:type="dxa"/>
            <w:noWrap w:val="0"/>
            <w:vAlign w:val="center"/>
          </w:tcPr>
          <w:p w14:paraId="72492852">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010" w:type="dxa"/>
            <w:noWrap w:val="0"/>
            <w:vAlign w:val="center"/>
          </w:tcPr>
          <w:p w14:paraId="016DF06C">
            <w:pPr>
              <w:spacing w:line="360" w:lineRule="auto"/>
              <w:rPr>
                <w:rFonts w:hint="eastAsia" w:ascii="宋体" w:hAnsi="宋体" w:eastAsia="宋体" w:cs="宋体"/>
                <w:color w:val="auto"/>
                <w:sz w:val="22"/>
                <w:szCs w:val="22"/>
                <w:highlight w:val="none"/>
              </w:rPr>
            </w:pPr>
          </w:p>
        </w:tc>
        <w:tc>
          <w:tcPr>
            <w:tcW w:w="1903" w:type="dxa"/>
            <w:noWrap w:val="0"/>
            <w:vAlign w:val="center"/>
          </w:tcPr>
          <w:p w14:paraId="2286D742">
            <w:pPr>
              <w:spacing w:line="360" w:lineRule="auto"/>
              <w:rPr>
                <w:rFonts w:hint="eastAsia" w:ascii="宋体" w:hAnsi="宋体" w:eastAsia="宋体" w:cs="宋体"/>
                <w:color w:val="auto"/>
                <w:sz w:val="22"/>
                <w:szCs w:val="22"/>
                <w:highlight w:val="none"/>
              </w:rPr>
            </w:pPr>
          </w:p>
        </w:tc>
        <w:tc>
          <w:tcPr>
            <w:tcW w:w="1785" w:type="dxa"/>
            <w:noWrap w:val="0"/>
            <w:vAlign w:val="center"/>
          </w:tcPr>
          <w:p w14:paraId="39411FA4">
            <w:pPr>
              <w:spacing w:line="360" w:lineRule="auto"/>
              <w:rPr>
                <w:rFonts w:hint="eastAsia" w:ascii="宋体" w:hAnsi="宋体" w:eastAsia="宋体" w:cs="宋体"/>
                <w:color w:val="auto"/>
                <w:sz w:val="22"/>
                <w:szCs w:val="22"/>
                <w:highlight w:val="none"/>
              </w:rPr>
            </w:pPr>
          </w:p>
        </w:tc>
      </w:tr>
      <w:tr w14:paraId="0350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60" w:type="dxa"/>
            <w:noWrap w:val="0"/>
            <w:vAlign w:val="center"/>
          </w:tcPr>
          <w:p w14:paraId="69FC49C0">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010" w:type="dxa"/>
            <w:noWrap w:val="0"/>
            <w:vAlign w:val="center"/>
          </w:tcPr>
          <w:p w14:paraId="539D3736">
            <w:pPr>
              <w:spacing w:line="360" w:lineRule="auto"/>
              <w:rPr>
                <w:rFonts w:hint="eastAsia" w:ascii="宋体" w:hAnsi="宋体" w:eastAsia="宋体" w:cs="宋体"/>
                <w:color w:val="auto"/>
                <w:sz w:val="22"/>
                <w:szCs w:val="22"/>
                <w:highlight w:val="none"/>
              </w:rPr>
            </w:pPr>
          </w:p>
        </w:tc>
        <w:tc>
          <w:tcPr>
            <w:tcW w:w="1903" w:type="dxa"/>
            <w:noWrap w:val="0"/>
            <w:vAlign w:val="center"/>
          </w:tcPr>
          <w:p w14:paraId="58D0BB89">
            <w:pPr>
              <w:spacing w:line="360" w:lineRule="auto"/>
              <w:rPr>
                <w:rFonts w:hint="eastAsia" w:ascii="宋体" w:hAnsi="宋体" w:eastAsia="宋体" w:cs="宋体"/>
                <w:color w:val="auto"/>
                <w:sz w:val="22"/>
                <w:szCs w:val="22"/>
                <w:highlight w:val="none"/>
              </w:rPr>
            </w:pPr>
          </w:p>
        </w:tc>
        <w:tc>
          <w:tcPr>
            <w:tcW w:w="1785" w:type="dxa"/>
            <w:noWrap w:val="0"/>
            <w:vAlign w:val="center"/>
          </w:tcPr>
          <w:p w14:paraId="7EBF6DE1">
            <w:pPr>
              <w:spacing w:line="360" w:lineRule="auto"/>
              <w:rPr>
                <w:rFonts w:hint="eastAsia" w:ascii="宋体" w:hAnsi="宋体" w:eastAsia="宋体" w:cs="宋体"/>
                <w:color w:val="auto"/>
                <w:sz w:val="22"/>
                <w:szCs w:val="22"/>
                <w:highlight w:val="none"/>
              </w:rPr>
            </w:pPr>
          </w:p>
        </w:tc>
      </w:tr>
      <w:tr w14:paraId="4433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0" w:type="dxa"/>
            <w:noWrap w:val="0"/>
            <w:vAlign w:val="center"/>
          </w:tcPr>
          <w:p w14:paraId="57B23856">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75E77BCC">
            <w:pPr>
              <w:snapToGrid w:val="0"/>
              <w:spacing w:line="360" w:lineRule="auto"/>
              <w:rPr>
                <w:rFonts w:hint="eastAsia" w:ascii="宋体" w:hAnsi="宋体" w:eastAsia="宋体" w:cs="宋体"/>
                <w:color w:val="auto"/>
                <w:sz w:val="22"/>
                <w:szCs w:val="22"/>
                <w:highlight w:val="none"/>
              </w:rPr>
            </w:pPr>
          </w:p>
        </w:tc>
        <w:tc>
          <w:tcPr>
            <w:tcW w:w="1903" w:type="dxa"/>
            <w:noWrap w:val="0"/>
            <w:vAlign w:val="center"/>
          </w:tcPr>
          <w:p w14:paraId="4C800FBE">
            <w:pPr>
              <w:spacing w:line="360" w:lineRule="auto"/>
              <w:rPr>
                <w:rFonts w:hint="eastAsia" w:ascii="宋体" w:hAnsi="宋体" w:eastAsia="宋体" w:cs="宋体"/>
                <w:color w:val="auto"/>
                <w:sz w:val="22"/>
                <w:szCs w:val="22"/>
                <w:highlight w:val="none"/>
              </w:rPr>
            </w:pPr>
          </w:p>
        </w:tc>
        <w:tc>
          <w:tcPr>
            <w:tcW w:w="1785" w:type="dxa"/>
            <w:noWrap w:val="0"/>
            <w:vAlign w:val="center"/>
          </w:tcPr>
          <w:p w14:paraId="0B1659DD">
            <w:pPr>
              <w:spacing w:line="360" w:lineRule="auto"/>
              <w:rPr>
                <w:rFonts w:hint="eastAsia" w:ascii="宋体" w:hAnsi="宋体" w:eastAsia="宋体" w:cs="宋体"/>
                <w:color w:val="auto"/>
                <w:sz w:val="22"/>
                <w:szCs w:val="22"/>
                <w:highlight w:val="none"/>
              </w:rPr>
            </w:pPr>
          </w:p>
        </w:tc>
      </w:tr>
      <w:tr w14:paraId="31D3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0" w:type="dxa"/>
            <w:noWrap w:val="0"/>
            <w:vAlign w:val="center"/>
          </w:tcPr>
          <w:p w14:paraId="09599B28">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682E9513">
            <w:pPr>
              <w:snapToGrid w:val="0"/>
              <w:spacing w:line="360" w:lineRule="auto"/>
              <w:rPr>
                <w:rFonts w:hint="eastAsia" w:ascii="宋体" w:hAnsi="宋体" w:eastAsia="宋体" w:cs="宋体"/>
                <w:color w:val="auto"/>
                <w:sz w:val="22"/>
                <w:szCs w:val="22"/>
                <w:highlight w:val="none"/>
              </w:rPr>
            </w:pPr>
          </w:p>
        </w:tc>
        <w:tc>
          <w:tcPr>
            <w:tcW w:w="1903" w:type="dxa"/>
            <w:noWrap w:val="0"/>
            <w:vAlign w:val="center"/>
          </w:tcPr>
          <w:p w14:paraId="65FD1DC8">
            <w:pPr>
              <w:spacing w:line="360" w:lineRule="auto"/>
              <w:rPr>
                <w:rFonts w:hint="eastAsia" w:ascii="宋体" w:hAnsi="宋体" w:eastAsia="宋体" w:cs="宋体"/>
                <w:color w:val="auto"/>
                <w:sz w:val="22"/>
                <w:szCs w:val="22"/>
                <w:highlight w:val="none"/>
              </w:rPr>
            </w:pPr>
          </w:p>
        </w:tc>
        <w:tc>
          <w:tcPr>
            <w:tcW w:w="1785" w:type="dxa"/>
            <w:noWrap w:val="0"/>
            <w:vAlign w:val="center"/>
          </w:tcPr>
          <w:p w14:paraId="0EBB9BA6">
            <w:pPr>
              <w:spacing w:line="360" w:lineRule="auto"/>
              <w:rPr>
                <w:rFonts w:hint="eastAsia" w:ascii="宋体" w:hAnsi="宋体" w:eastAsia="宋体" w:cs="宋体"/>
                <w:color w:val="auto"/>
                <w:sz w:val="22"/>
                <w:szCs w:val="22"/>
                <w:highlight w:val="none"/>
              </w:rPr>
            </w:pPr>
          </w:p>
        </w:tc>
      </w:tr>
      <w:tr w14:paraId="7441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0" w:type="dxa"/>
            <w:noWrap w:val="0"/>
            <w:vAlign w:val="center"/>
          </w:tcPr>
          <w:p w14:paraId="5872F0E9">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5010" w:type="dxa"/>
            <w:noWrap w:val="0"/>
            <w:vAlign w:val="center"/>
          </w:tcPr>
          <w:p w14:paraId="7618020F">
            <w:pPr>
              <w:snapToGrid w:val="0"/>
              <w:spacing w:line="360" w:lineRule="auto"/>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符合性审查响应内容</w:t>
            </w:r>
          </w:p>
        </w:tc>
        <w:tc>
          <w:tcPr>
            <w:tcW w:w="1903" w:type="dxa"/>
            <w:noWrap w:val="0"/>
            <w:vAlign w:val="center"/>
          </w:tcPr>
          <w:p w14:paraId="2C6998B8">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是否响应</w:t>
            </w:r>
          </w:p>
          <w:p w14:paraId="76C7C9D6">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（填是或者否）</w:t>
            </w:r>
          </w:p>
        </w:tc>
        <w:tc>
          <w:tcPr>
            <w:tcW w:w="1785" w:type="dxa"/>
            <w:noWrap w:val="0"/>
            <w:vAlign w:val="center"/>
          </w:tcPr>
          <w:p w14:paraId="31391995">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zh-CN"/>
              </w:rPr>
              <w:t>磋商</w:t>
            </w:r>
            <w:r>
              <w:rPr>
                <w:rFonts w:hint="eastAsia" w:ascii="宋体" w:hAnsi="宋体" w:eastAsia="宋体" w:cs="宋体"/>
                <w:color w:val="auto"/>
                <w:sz w:val="22"/>
                <w:szCs w:val="22"/>
                <w:highlight w:val="none"/>
              </w:rPr>
              <w:t>文件中的</w:t>
            </w:r>
          </w:p>
          <w:p w14:paraId="122069BC">
            <w:pPr>
              <w:snapToGrid w:val="0"/>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页码位置</w:t>
            </w:r>
          </w:p>
        </w:tc>
      </w:tr>
      <w:tr w14:paraId="483D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60" w:type="dxa"/>
            <w:noWrap w:val="0"/>
            <w:vAlign w:val="center"/>
          </w:tcPr>
          <w:p w14:paraId="5400389E">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26E9C2AB">
            <w:pPr>
              <w:snapToGrid w:val="0"/>
              <w:spacing w:line="360" w:lineRule="auto"/>
              <w:rPr>
                <w:rFonts w:hint="eastAsia" w:ascii="宋体" w:hAnsi="宋体" w:eastAsia="宋体" w:cs="宋体"/>
                <w:color w:val="auto"/>
                <w:sz w:val="22"/>
                <w:szCs w:val="22"/>
                <w:highlight w:val="none"/>
              </w:rPr>
            </w:pPr>
          </w:p>
        </w:tc>
        <w:tc>
          <w:tcPr>
            <w:tcW w:w="1903" w:type="dxa"/>
            <w:noWrap w:val="0"/>
            <w:vAlign w:val="center"/>
          </w:tcPr>
          <w:p w14:paraId="5A872D43">
            <w:pPr>
              <w:spacing w:line="360" w:lineRule="auto"/>
              <w:rPr>
                <w:rFonts w:hint="eastAsia" w:ascii="宋体" w:hAnsi="宋体" w:eastAsia="宋体" w:cs="宋体"/>
                <w:color w:val="auto"/>
                <w:sz w:val="22"/>
                <w:szCs w:val="22"/>
                <w:highlight w:val="none"/>
              </w:rPr>
            </w:pPr>
          </w:p>
        </w:tc>
        <w:tc>
          <w:tcPr>
            <w:tcW w:w="1785" w:type="dxa"/>
            <w:noWrap w:val="0"/>
            <w:vAlign w:val="center"/>
          </w:tcPr>
          <w:p w14:paraId="22EA416E">
            <w:pPr>
              <w:spacing w:line="360" w:lineRule="auto"/>
              <w:rPr>
                <w:rFonts w:hint="eastAsia" w:ascii="宋体" w:hAnsi="宋体" w:eastAsia="宋体" w:cs="宋体"/>
                <w:color w:val="auto"/>
                <w:sz w:val="22"/>
                <w:szCs w:val="22"/>
                <w:highlight w:val="none"/>
              </w:rPr>
            </w:pPr>
          </w:p>
        </w:tc>
      </w:tr>
      <w:tr w14:paraId="1636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0"/>
            <w:vAlign w:val="center"/>
          </w:tcPr>
          <w:p w14:paraId="1318D2A4">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0A060B5D">
            <w:pPr>
              <w:snapToGrid w:val="0"/>
              <w:spacing w:line="360" w:lineRule="auto"/>
              <w:rPr>
                <w:rFonts w:hint="eastAsia" w:ascii="宋体" w:hAnsi="宋体" w:eastAsia="宋体" w:cs="宋体"/>
                <w:color w:val="auto"/>
                <w:sz w:val="22"/>
                <w:szCs w:val="22"/>
                <w:highlight w:val="none"/>
              </w:rPr>
            </w:pPr>
          </w:p>
        </w:tc>
        <w:tc>
          <w:tcPr>
            <w:tcW w:w="1903" w:type="dxa"/>
            <w:noWrap w:val="0"/>
            <w:vAlign w:val="center"/>
          </w:tcPr>
          <w:p w14:paraId="6D1BE36C">
            <w:pPr>
              <w:spacing w:line="360" w:lineRule="auto"/>
              <w:rPr>
                <w:rFonts w:hint="eastAsia" w:ascii="宋体" w:hAnsi="宋体" w:eastAsia="宋体" w:cs="宋体"/>
                <w:color w:val="auto"/>
                <w:sz w:val="22"/>
                <w:szCs w:val="22"/>
                <w:highlight w:val="none"/>
              </w:rPr>
            </w:pPr>
          </w:p>
        </w:tc>
        <w:tc>
          <w:tcPr>
            <w:tcW w:w="1785" w:type="dxa"/>
            <w:noWrap w:val="0"/>
            <w:vAlign w:val="center"/>
          </w:tcPr>
          <w:p w14:paraId="16877898">
            <w:pPr>
              <w:spacing w:line="360" w:lineRule="auto"/>
              <w:rPr>
                <w:rFonts w:hint="eastAsia" w:ascii="宋体" w:hAnsi="宋体" w:eastAsia="宋体" w:cs="宋体"/>
                <w:color w:val="auto"/>
                <w:sz w:val="22"/>
                <w:szCs w:val="22"/>
                <w:highlight w:val="none"/>
              </w:rPr>
            </w:pPr>
          </w:p>
        </w:tc>
      </w:tr>
      <w:tr w14:paraId="378E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0"/>
            <w:vAlign w:val="center"/>
          </w:tcPr>
          <w:p w14:paraId="2DEC3647">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074C1195">
            <w:pPr>
              <w:snapToGrid w:val="0"/>
              <w:spacing w:line="360" w:lineRule="auto"/>
              <w:rPr>
                <w:rFonts w:hint="eastAsia" w:ascii="宋体" w:hAnsi="宋体" w:eastAsia="宋体" w:cs="宋体"/>
                <w:color w:val="auto"/>
                <w:sz w:val="22"/>
                <w:szCs w:val="22"/>
                <w:highlight w:val="none"/>
              </w:rPr>
            </w:pPr>
          </w:p>
        </w:tc>
        <w:tc>
          <w:tcPr>
            <w:tcW w:w="1903" w:type="dxa"/>
            <w:noWrap w:val="0"/>
            <w:vAlign w:val="center"/>
          </w:tcPr>
          <w:p w14:paraId="325D16E0">
            <w:pPr>
              <w:spacing w:line="360" w:lineRule="auto"/>
              <w:rPr>
                <w:rFonts w:hint="eastAsia" w:ascii="宋体" w:hAnsi="宋体" w:eastAsia="宋体" w:cs="宋体"/>
                <w:color w:val="auto"/>
                <w:sz w:val="22"/>
                <w:szCs w:val="22"/>
                <w:highlight w:val="none"/>
              </w:rPr>
            </w:pPr>
          </w:p>
        </w:tc>
        <w:tc>
          <w:tcPr>
            <w:tcW w:w="1785" w:type="dxa"/>
            <w:noWrap w:val="0"/>
            <w:vAlign w:val="center"/>
          </w:tcPr>
          <w:p w14:paraId="06E7BF9F">
            <w:pPr>
              <w:spacing w:line="360" w:lineRule="auto"/>
              <w:rPr>
                <w:rFonts w:hint="eastAsia" w:ascii="宋体" w:hAnsi="宋体" w:eastAsia="宋体" w:cs="宋体"/>
                <w:color w:val="auto"/>
                <w:sz w:val="22"/>
                <w:szCs w:val="22"/>
                <w:highlight w:val="none"/>
              </w:rPr>
            </w:pPr>
          </w:p>
        </w:tc>
      </w:tr>
      <w:tr w14:paraId="7E88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noWrap w:val="0"/>
            <w:vAlign w:val="center"/>
          </w:tcPr>
          <w:p w14:paraId="18273DB3">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11AA4E38">
            <w:pPr>
              <w:snapToGrid w:val="0"/>
              <w:spacing w:line="360" w:lineRule="auto"/>
              <w:rPr>
                <w:rFonts w:hint="eastAsia" w:ascii="宋体" w:hAnsi="宋体" w:eastAsia="宋体" w:cs="宋体"/>
                <w:color w:val="auto"/>
                <w:sz w:val="22"/>
                <w:szCs w:val="22"/>
                <w:highlight w:val="none"/>
              </w:rPr>
            </w:pPr>
          </w:p>
        </w:tc>
        <w:tc>
          <w:tcPr>
            <w:tcW w:w="1903" w:type="dxa"/>
            <w:noWrap w:val="0"/>
            <w:vAlign w:val="center"/>
          </w:tcPr>
          <w:p w14:paraId="1400507E">
            <w:pPr>
              <w:spacing w:line="360" w:lineRule="auto"/>
              <w:rPr>
                <w:rFonts w:hint="eastAsia" w:ascii="宋体" w:hAnsi="宋体" w:eastAsia="宋体" w:cs="宋体"/>
                <w:color w:val="auto"/>
                <w:sz w:val="22"/>
                <w:szCs w:val="22"/>
                <w:highlight w:val="none"/>
              </w:rPr>
            </w:pPr>
          </w:p>
        </w:tc>
        <w:tc>
          <w:tcPr>
            <w:tcW w:w="1785" w:type="dxa"/>
            <w:noWrap w:val="0"/>
            <w:vAlign w:val="center"/>
          </w:tcPr>
          <w:p w14:paraId="6A260965">
            <w:pPr>
              <w:spacing w:line="360" w:lineRule="auto"/>
              <w:rPr>
                <w:rFonts w:hint="eastAsia" w:ascii="宋体" w:hAnsi="宋体" w:eastAsia="宋体" w:cs="宋体"/>
                <w:color w:val="auto"/>
                <w:sz w:val="22"/>
                <w:szCs w:val="22"/>
                <w:highlight w:val="none"/>
              </w:rPr>
            </w:pPr>
          </w:p>
        </w:tc>
      </w:tr>
      <w:tr w14:paraId="6F9D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60" w:type="dxa"/>
            <w:noWrap w:val="0"/>
            <w:vAlign w:val="center"/>
          </w:tcPr>
          <w:p w14:paraId="54DAFE58">
            <w:pP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5010" w:type="dxa"/>
            <w:noWrap w:val="0"/>
            <w:vAlign w:val="center"/>
          </w:tcPr>
          <w:p w14:paraId="44C7F315">
            <w:pPr>
              <w:snapToGrid w:val="0"/>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磋商文件中的其他实质性要求</w:t>
            </w:r>
          </w:p>
        </w:tc>
        <w:tc>
          <w:tcPr>
            <w:tcW w:w="1903" w:type="dxa"/>
            <w:noWrap w:val="0"/>
            <w:vAlign w:val="center"/>
          </w:tcPr>
          <w:p w14:paraId="501356B4">
            <w:pPr>
              <w:spacing w:line="360" w:lineRule="auto"/>
              <w:rPr>
                <w:rFonts w:hint="eastAsia" w:ascii="宋体" w:hAnsi="宋体" w:eastAsia="宋体" w:cs="宋体"/>
                <w:color w:val="auto"/>
                <w:sz w:val="22"/>
                <w:szCs w:val="22"/>
                <w:highlight w:val="none"/>
              </w:rPr>
            </w:pPr>
          </w:p>
        </w:tc>
        <w:tc>
          <w:tcPr>
            <w:tcW w:w="1785" w:type="dxa"/>
            <w:noWrap w:val="0"/>
            <w:vAlign w:val="center"/>
          </w:tcPr>
          <w:p w14:paraId="5DB370B7">
            <w:pPr>
              <w:spacing w:line="360" w:lineRule="auto"/>
              <w:rPr>
                <w:rFonts w:hint="eastAsia" w:ascii="宋体" w:hAnsi="宋体" w:eastAsia="宋体" w:cs="宋体"/>
                <w:color w:val="auto"/>
                <w:sz w:val="22"/>
                <w:szCs w:val="22"/>
                <w:highlight w:val="none"/>
              </w:rPr>
            </w:pPr>
          </w:p>
        </w:tc>
      </w:tr>
    </w:tbl>
    <w:p w14:paraId="466820C0">
      <w:pPr>
        <w:widowControl/>
        <w:adjustRightInd w:val="0"/>
        <w:spacing w:line="360" w:lineRule="auto"/>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供应商名称：</w:t>
      </w:r>
      <w:r>
        <w:rPr>
          <w:rFonts w:hint="eastAsia" w:ascii="宋体" w:hAnsi="宋体" w:eastAsia="宋体" w:cs="宋体"/>
          <w:color w:val="auto"/>
          <w:kern w:val="0"/>
          <w:sz w:val="22"/>
          <w:szCs w:val="22"/>
          <w:highlight w:val="none"/>
          <w:u w:val="single"/>
          <w:lang w:val="zh-CN"/>
        </w:rPr>
        <w:t xml:space="preserve">                                     </w:t>
      </w:r>
      <w:r>
        <w:rPr>
          <w:rFonts w:hint="eastAsia" w:ascii="宋体" w:hAnsi="宋体" w:eastAsia="宋体" w:cs="宋体"/>
          <w:color w:val="auto"/>
          <w:kern w:val="0"/>
          <w:sz w:val="22"/>
          <w:szCs w:val="22"/>
          <w:highlight w:val="none"/>
          <w:lang w:val="zh-CN"/>
        </w:rPr>
        <w:t>（盖章）</w:t>
      </w:r>
    </w:p>
    <w:p w14:paraId="1B873CA0">
      <w:pPr>
        <w:widowControl/>
        <w:adjustRightInd w:val="0"/>
        <w:spacing w:line="360" w:lineRule="auto"/>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说明：如果行数不够，请自行增加。</w:t>
      </w:r>
    </w:p>
    <w:p w14:paraId="66EA836C">
      <w:pPr>
        <w:spacing w:line="360" w:lineRule="auto"/>
        <w:rPr>
          <w:rFonts w:hint="eastAsia" w:ascii="宋体" w:hAnsi="宋体" w:eastAsia="宋体" w:cs="宋体"/>
          <w:b/>
          <w:color w:val="auto"/>
          <w:sz w:val="22"/>
          <w:szCs w:val="22"/>
          <w:highlight w:val="none"/>
        </w:rPr>
      </w:pPr>
    </w:p>
    <w:p w14:paraId="16DB92B5">
      <w:pPr>
        <w:spacing w:line="360" w:lineRule="auto"/>
        <w:rPr>
          <w:b/>
          <w:color w:val="auto"/>
          <w:highlight w:val="none"/>
        </w:rPr>
      </w:pPr>
    </w:p>
    <w:p w14:paraId="47F78BB6">
      <w:pPr>
        <w:spacing w:line="360" w:lineRule="auto"/>
        <w:rPr>
          <w:rFonts w:hint="eastAsia"/>
          <w:b/>
          <w:color w:val="auto"/>
          <w:highlight w:val="none"/>
        </w:rPr>
      </w:pPr>
    </w:p>
    <w:p w14:paraId="4829316A">
      <w:pPr>
        <w:spacing w:line="360" w:lineRule="auto"/>
        <w:rPr>
          <w:rFonts w:hint="eastAsia"/>
          <w:b/>
          <w:color w:val="auto"/>
          <w:highlight w:val="none"/>
        </w:rPr>
      </w:pPr>
    </w:p>
    <w:p w14:paraId="6D076E43">
      <w:pPr>
        <w:spacing w:line="360" w:lineRule="auto"/>
        <w:rPr>
          <w:rFonts w:hint="eastAsia"/>
          <w:b/>
          <w:color w:val="auto"/>
          <w:highlight w:val="none"/>
        </w:rPr>
      </w:pPr>
    </w:p>
    <w:p w14:paraId="6AE9B4F4">
      <w:pPr>
        <w:spacing w:line="360" w:lineRule="auto"/>
        <w:rPr>
          <w:rFonts w:hint="eastAsia"/>
          <w:b/>
          <w:color w:val="auto"/>
          <w:highlight w:val="none"/>
        </w:rPr>
      </w:pPr>
    </w:p>
    <w:p w14:paraId="4EE7D08A">
      <w:pPr>
        <w:spacing w:line="360" w:lineRule="auto"/>
        <w:rPr>
          <w:rFonts w:hint="eastAsia"/>
          <w:b/>
          <w:color w:val="auto"/>
          <w:highlight w:val="none"/>
        </w:rPr>
      </w:pPr>
    </w:p>
    <w:p w14:paraId="12C392BA">
      <w:pPr>
        <w:spacing w:line="360" w:lineRule="auto"/>
        <w:rPr>
          <w:rFonts w:hint="eastAsia"/>
          <w:b/>
          <w:color w:val="auto"/>
          <w:highlight w:val="none"/>
        </w:rPr>
      </w:pPr>
    </w:p>
    <w:p w14:paraId="02F8527D">
      <w:pPr>
        <w:widowControl/>
        <w:adjustRightInd w:val="0"/>
        <w:spacing w:line="360" w:lineRule="auto"/>
        <w:rPr>
          <w:b/>
          <w:color w:val="auto"/>
          <w:sz w:val="22"/>
          <w:szCs w:val="22"/>
          <w:highlight w:val="none"/>
        </w:rPr>
      </w:pPr>
    </w:p>
    <w:p w14:paraId="02173844">
      <w:pPr>
        <w:spacing w:line="360" w:lineRule="auto"/>
        <w:rPr>
          <w:b/>
          <w:color w:val="auto"/>
          <w:highlight w:val="none"/>
        </w:rPr>
      </w:pPr>
    </w:p>
    <w:p w14:paraId="3B79BC0A">
      <w:pPr>
        <w:spacing w:line="360" w:lineRule="auto"/>
        <w:rPr>
          <w:b/>
          <w:color w:val="auto"/>
          <w:highlight w:val="none"/>
        </w:rPr>
      </w:pPr>
      <w:r>
        <w:rPr>
          <w:b/>
          <w:color w:val="auto"/>
          <w:highlight w:val="none"/>
        </w:rPr>
        <w:t>附件一、中小企业声明函格式</w:t>
      </w:r>
    </w:p>
    <w:p w14:paraId="2C6192A1">
      <w:pPr>
        <w:spacing w:line="360" w:lineRule="auto"/>
        <w:jc w:val="center"/>
        <w:rPr>
          <w:rFonts w:ascii="Times New Roman" w:hAnsi="Times New Roman" w:eastAsia="黑体" w:cs="Times New Roman"/>
          <w:color w:val="auto"/>
          <w:sz w:val="36"/>
          <w:szCs w:val="36"/>
          <w:highlight w:val="none"/>
        </w:rPr>
      </w:pPr>
      <w:r>
        <w:rPr>
          <w:rFonts w:hint="eastAsia" w:ascii="Times New Roman" w:hAnsi="Times New Roman" w:eastAsia="黑体" w:cs="Times New Roman"/>
          <w:color w:val="auto"/>
          <w:sz w:val="36"/>
          <w:szCs w:val="36"/>
          <w:highlight w:val="none"/>
          <w:lang w:val="en-US" w:eastAsia="zh-CN"/>
        </w:rPr>
        <w:t>中小企业声明函（服务）</w:t>
      </w:r>
    </w:p>
    <w:p w14:paraId="2C829410">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本公司（联合体）郑重声明，根据《政府采购促进中小企业发展管理办法》（财库﹝2020﹞46 号）的规定，本公司（联合体）参加</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（单位名称）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085AD70">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u w:val="none"/>
          <w:shd w:val="clear" w:color="auto" w:fill="FFFFFF"/>
          <w:lang w:val="en-US" w:eastAsia="zh-CN" w:bidi="ar"/>
        </w:rPr>
        <w:t>1.</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（标的名称）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，属于</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（采购文件中明确的所属行业）</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；承建（承接）企业为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（企业名称）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，从业人员</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人，营业收入为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万元，资产总额为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万元，属于</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（中型企业、小型企业、微型企业）</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p>
    <w:p w14:paraId="11F36E8F">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（标的名称）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，属于</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（采购文件中明确的所属行业）</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行业；制造商为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（企业名称）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，从业人员</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人，营业收入为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万元，资产总额为</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万元</w:t>
      </w:r>
      <w:r>
        <w:rPr>
          <w:rFonts w:hint="eastAsia" w:ascii="宋体" w:hAnsi="宋体" w:eastAsia="宋体" w:cs="宋体"/>
          <w:i w:val="0"/>
          <w:iCs w:val="0"/>
          <w:caps w:val="0"/>
          <w:color w:val="auto"/>
          <w:spacing w:val="0"/>
          <w:kern w:val="0"/>
          <w:sz w:val="21"/>
          <w:szCs w:val="21"/>
          <w:highlight w:val="none"/>
          <w:shd w:val="clear" w:color="auto" w:fill="FFFFFF"/>
          <w:vertAlign w:val="superscript"/>
          <w:lang w:val="en-US" w:eastAsia="zh-CN" w:bidi="ar"/>
        </w:rPr>
        <w:t>1</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，属于</w:t>
      </w:r>
      <w:r>
        <w:rPr>
          <w:rFonts w:hint="eastAsia" w:ascii="宋体" w:hAnsi="宋体" w:eastAsia="宋体" w:cs="宋体"/>
          <w:i w:val="0"/>
          <w:iCs w:val="0"/>
          <w:caps w:val="0"/>
          <w:color w:val="auto"/>
          <w:spacing w:val="0"/>
          <w:kern w:val="0"/>
          <w:sz w:val="21"/>
          <w:szCs w:val="21"/>
          <w:highlight w:val="none"/>
          <w:u w:val="single"/>
          <w:shd w:val="clear" w:color="auto" w:fill="FFFFFF"/>
          <w:lang w:val="en-US" w:eastAsia="zh-CN" w:bidi="ar"/>
        </w:rPr>
        <w:t>     （中型企业、小型企业、微型企业）</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p>
    <w:p w14:paraId="04BD6736">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w:t>
      </w:r>
    </w:p>
    <w:p w14:paraId="7C2EFF17">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以上企业，不属于大企业的分支机构，不存在控股股东为大企业的情形，也不存在与大企业的负责人为同一人的情形。</w:t>
      </w:r>
    </w:p>
    <w:p w14:paraId="6A4ABDF6">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本企业对上述声明内容的真实性负责。如有虚假，将依法承担相应责任。</w:t>
      </w:r>
    </w:p>
    <w:p w14:paraId="3D0ED5E9">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482"/>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5D590225">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5280"/>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企业名称（盖章）：</w:t>
      </w:r>
    </w:p>
    <w:p w14:paraId="35736189">
      <w:pPr>
        <w:keepNext w:val="0"/>
        <w:keepLines w:val="0"/>
        <w:pageBreakBefore w:val="0"/>
        <w:widowControl/>
        <w:suppressLineNumbers w:val="0"/>
        <w:shd w:val="clear" w:color="auto" w:fill="FFFFFF"/>
        <w:kinsoku/>
        <w:wordWrap/>
        <w:overflowPunct/>
        <w:topLinePunct w:val="0"/>
        <w:autoSpaceDE/>
        <w:autoSpaceDN/>
        <w:bidi w:val="0"/>
        <w:adjustRightInd/>
        <w:snapToGrid/>
        <w:spacing w:before="100" w:beforeAutospacing="1" w:after="100" w:afterAutospacing="1" w:line="360" w:lineRule="auto"/>
        <w:ind w:left="0" w:right="0" w:firstLine="5280"/>
        <w:jc w:val="left"/>
        <w:textAlignment w:val="auto"/>
        <w:rPr>
          <w:rFonts w:hint="default" w:ascii="Arial" w:hAnsi="Arial" w:cs="Arial"/>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日 期：</w:t>
      </w:r>
    </w:p>
    <w:p w14:paraId="2B60E09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备注 1、从业人员、营业收入、资产总额填报上一年度数据，无上一年度数据的新成立企业可不填报。 </w:t>
      </w:r>
    </w:p>
    <w:p w14:paraId="258023B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30" w:firstLineChars="300"/>
        <w:jc w:val="left"/>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color w:val="auto"/>
          <w:kern w:val="0"/>
          <w:sz w:val="21"/>
          <w:szCs w:val="21"/>
          <w:highlight w:val="none"/>
          <w:lang w:val="en-US" w:eastAsia="zh-CN" w:bidi="ar"/>
        </w:rPr>
        <w:t>2、供应商如不提供此声明函，价格将不做相应扣除。</w:t>
      </w:r>
    </w:p>
    <w:p w14:paraId="55F59C0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auto"/>
        <w:rPr>
          <w:color w:val="auto"/>
          <w:sz w:val="28"/>
          <w:szCs w:val="28"/>
          <w:highlight w:val="none"/>
        </w:rPr>
      </w:pPr>
      <w:r>
        <w:rPr>
          <w:rFonts w:hint="eastAsia" w:ascii="宋体" w:hAnsi="宋体" w:eastAsia="宋体" w:cs="宋体"/>
          <w:b/>
          <w:bCs/>
          <w:color w:val="auto"/>
          <w:kern w:val="0"/>
          <w:sz w:val="28"/>
          <w:szCs w:val="28"/>
          <w:highlight w:val="none"/>
          <w:lang w:val="en-US" w:eastAsia="zh-CN" w:bidi="ar"/>
        </w:rPr>
        <w:t>残疾人福利性单位声明函（如有）</w:t>
      </w:r>
    </w:p>
    <w:p w14:paraId="50BD24D5">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本单位郑重声明，根据《财政部民政部中国残疾人联合会关于促进残疾人就业政府采购政策的通知》（财库〔2017〕141 号）的规定，本单位为        （符合/不符合）      条件的残疾人福利性单位，且本单位参加           单位的项目采购活动提供本单位制造的货物（由本单位承担工程/提供服务）， 或者提供其他残疾人福利性单位制造的货物（不包括使用非残疾人福利性单位注册商标的货物）。 </w:t>
      </w:r>
    </w:p>
    <w:p w14:paraId="47231BFA">
      <w:pPr>
        <w:keepNext w:val="0"/>
        <w:keepLines w:val="0"/>
        <w:pageBreakBefore w:val="0"/>
        <w:widowControl/>
        <w:suppressLineNumbers w:val="0"/>
        <w:kinsoku/>
        <w:wordWrap/>
        <w:overflowPunct/>
        <w:topLinePunct w:val="0"/>
        <w:autoSpaceDE/>
        <w:autoSpaceDN/>
        <w:bidi w:val="0"/>
        <w:adjustRightInd/>
        <w:snapToGrid w:val="0"/>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本单位对上述声明的真实性负责。如有虚假，将依法承担相应责任。 </w:t>
      </w:r>
    </w:p>
    <w:p w14:paraId="73217506">
      <w:pPr>
        <w:keepNext w:val="0"/>
        <w:keepLines w:val="0"/>
        <w:pageBreakBefore w:val="0"/>
        <w:widowControl/>
        <w:suppressLineNumbers w:val="0"/>
        <w:kinsoku/>
        <w:wordWrap/>
        <w:overflowPunct/>
        <w:topLinePunct w:val="0"/>
        <w:autoSpaceDE/>
        <w:autoSpaceDN/>
        <w:bidi w:val="0"/>
        <w:adjustRightInd/>
        <w:snapToGrid w:val="0"/>
        <w:spacing w:line="360" w:lineRule="auto"/>
        <w:ind w:firstLine="6300" w:firstLineChars="3000"/>
        <w:jc w:val="left"/>
        <w:textAlignment w:val="auto"/>
        <w:rPr>
          <w:rFonts w:hint="eastAsia" w:ascii="宋体" w:hAnsi="宋体" w:eastAsia="宋体" w:cs="宋体"/>
          <w:color w:val="auto"/>
          <w:kern w:val="0"/>
          <w:sz w:val="21"/>
          <w:szCs w:val="21"/>
          <w:highlight w:val="none"/>
          <w:lang w:val="en-US" w:eastAsia="zh-CN" w:bidi="ar"/>
        </w:rPr>
      </w:pPr>
    </w:p>
    <w:p w14:paraId="6CE1B456">
      <w:pPr>
        <w:keepNext w:val="0"/>
        <w:keepLines w:val="0"/>
        <w:pageBreakBefore w:val="0"/>
        <w:widowControl/>
        <w:suppressLineNumbers w:val="0"/>
        <w:kinsoku/>
        <w:wordWrap/>
        <w:overflowPunct/>
        <w:topLinePunct w:val="0"/>
        <w:autoSpaceDE/>
        <w:autoSpaceDN/>
        <w:bidi w:val="0"/>
        <w:adjustRightInd/>
        <w:snapToGrid w:val="0"/>
        <w:spacing w:line="360" w:lineRule="auto"/>
        <w:ind w:firstLine="6300" w:firstLineChars="3000"/>
        <w:jc w:val="left"/>
        <w:textAlignment w:val="auto"/>
        <w:rPr>
          <w:rFonts w:hint="eastAsia" w:ascii="宋体" w:hAnsi="宋体" w:eastAsia="宋体" w:cs="宋体"/>
          <w:color w:val="auto"/>
          <w:kern w:val="0"/>
          <w:sz w:val="21"/>
          <w:szCs w:val="21"/>
          <w:highlight w:val="none"/>
          <w:lang w:val="en-US" w:eastAsia="zh-CN" w:bidi="ar"/>
        </w:rPr>
      </w:pPr>
    </w:p>
    <w:p w14:paraId="6B441B90">
      <w:pPr>
        <w:keepNext w:val="0"/>
        <w:keepLines w:val="0"/>
        <w:pageBreakBefore w:val="0"/>
        <w:widowControl/>
        <w:suppressLineNumbers w:val="0"/>
        <w:kinsoku/>
        <w:wordWrap/>
        <w:overflowPunct/>
        <w:topLinePunct w:val="0"/>
        <w:autoSpaceDE/>
        <w:autoSpaceDN/>
        <w:bidi w:val="0"/>
        <w:adjustRightInd/>
        <w:snapToGrid w:val="0"/>
        <w:spacing w:line="360" w:lineRule="auto"/>
        <w:ind w:firstLine="6300" w:firstLineChars="30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供应商（盖章）： </w:t>
      </w:r>
    </w:p>
    <w:p w14:paraId="047B460D">
      <w:pPr>
        <w:keepNext w:val="0"/>
        <w:keepLines w:val="0"/>
        <w:pageBreakBefore w:val="0"/>
        <w:widowControl/>
        <w:suppressLineNumbers w:val="0"/>
        <w:kinsoku/>
        <w:wordWrap/>
        <w:overflowPunct/>
        <w:topLinePunct w:val="0"/>
        <w:autoSpaceDE/>
        <w:autoSpaceDN/>
        <w:bidi w:val="0"/>
        <w:adjustRightInd/>
        <w:snapToGrid w:val="0"/>
        <w:spacing w:line="360" w:lineRule="auto"/>
        <w:ind w:firstLine="6300" w:firstLineChars="30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日          期： </w:t>
      </w:r>
    </w:p>
    <w:p w14:paraId="5AD73FE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AB968FF">
      <w:pPr>
        <w:pStyle w:val="28"/>
        <w:rPr>
          <w:rFonts w:hint="eastAsia" w:ascii="宋体" w:hAnsi="宋体" w:eastAsia="宋体" w:cs="宋体"/>
          <w:b/>
          <w:bCs/>
          <w:color w:val="auto"/>
          <w:kern w:val="0"/>
          <w:sz w:val="28"/>
          <w:szCs w:val="28"/>
          <w:highlight w:val="none"/>
          <w:lang w:val="en-US" w:eastAsia="zh-CN" w:bidi="ar"/>
        </w:rPr>
      </w:pPr>
    </w:p>
    <w:p w14:paraId="75D95693">
      <w:pPr>
        <w:rPr>
          <w:rFonts w:hint="eastAsia"/>
          <w:color w:val="auto"/>
          <w:highlight w:val="none"/>
          <w:lang w:val="en-US" w:eastAsia="zh-CN"/>
        </w:rPr>
      </w:pPr>
    </w:p>
    <w:p w14:paraId="47E6F281">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5F7C6A13">
      <w:pPr>
        <w:pStyle w:val="28"/>
        <w:rPr>
          <w:rFonts w:hint="eastAsia"/>
          <w:color w:val="auto"/>
          <w:highlight w:val="none"/>
          <w:lang w:val="en-US" w:eastAsia="zh-CN"/>
        </w:rPr>
      </w:pPr>
    </w:p>
    <w:p w14:paraId="341DCD6A">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属于监狱企业的证明文件</w:t>
      </w:r>
    </w:p>
    <w:p w14:paraId="1223801F">
      <w:pPr>
        <w:keepNext w:val="0"/>
        <w:keepLines w:val="0"/>
        <w:pageBreakBefore w:val="0"/>
        <w:widowControl/>
        <w:suppressLineNumbers w:val="0"/>
        <w:kinsoku/>
        <w:wordWrap/>
        <w:overflowPunct/>
        <w:topLinePunct w:val="0"/>
        <w:autoSpaceDE/>
        <w:autoSpaceDN/>
        <w:bidi w:val="0"/>
        <w:adjustRightInd/>
        <w:snapToGrid w:val="0"/>
        <w:spacing w:line="360" w:lineRule="auto"/>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（提供由省级以上监狱管理局、戒毒管理局(含新疆生产建设兵团)出具的属于监狱企业的证明文件）</w:t>
      </w:r>
    </w:p>
    <w:p w14:paraId="1A33F52F">
      <w:pPr>
        <w:spacing w:line="360" w:lineRule="auto"/>
        <w:rPr>
          <w:color w:val="auto"/>
          <w:highlight w:val="none"/>
        </w:rPr>
      </w:pPr>
    </w:p>
    <w:p w14:paraId="24092981">
      <w:pPr>
        <w:widowControl/>
        <w:adjustRightInd w:val="0"/>
        <w:spacing w:line="360" w:lineRule="auto"/>
        <w:rPr>
          <w:b/>
          <w:color w:val="auto"/>
          <w:highlight w:val="none"/>
        </w:rPr>
      </w:pPr>
    </w:p>
    <w:p w14:paraId="1E3106DC">
      <w:pPr>
        <w:widowControl/>
        <w:adjustRightInd w:val="0"/>
        <w:spacing w:line="360" w:lineRule="auto"/>
        <w:rPr>
          <w:b/>
          <w:color w:val="auto"/>
          <w:highlight w:val="none"/>
        </w:rPr>
      </w:pPr>
    </w:p>
    <w:p w14:paraId="28901FD2">
      <w:pPr>
        <w:widowControl/>
        <w:adjustRightInd w:val="0"/>
        <w:spacing w:line="360" w:lineRule="auto"/>
        <w:rPr>
          <w:b/>
          <w:color w:val="auto"/>
          <w:sz w:val="22"/>
          <w:szCs w:val="22"/>
          <w:highlight w:val="none"/>
        </w:rPr>
      </w:pPr>
    </w:p>
    <w:p w14:paraId="09903821">
      <w:pPr>
        <w:widowControl/>
        <w:adjustRightInd w:val="0"/>
        <w:spacing w:line="360" w:lineRule="auto"/>
        <w:rPr>
          <w:b/>
          <w:color w:val="auto"/>
          <w:sz w:val="22"/>
          <w:szCs w:val="22"/>
          <w:highlight w:val="none"/>
        </w:rPr>
      </w:pPr>
    </w:p>
    <w:p w14:paraId="21AFEC8C">
      <w:pPr>
        <w:widowControl/>
        <w:adjustRightInd w:val="0"/>
        <w:spacing w:line="360" w:lineRule="auto"/>
        <w:rPr>
          <w:b/>
          <w:color w:val="auto"/>
          <w:sz w:val="22"/>
          <w:szCs w:val="22"/>
          <w:highlight w:val="none"/>
        </w:rPr>
      </w:pPr>
    </w:p>
    <w:p w14:paraId="4DEDF2BF">
      <w:pPr>
        <w:widowControl/>
        <w:adjustRightInd w:val="0"/>
        <w:spacing w:line="360" w:lineRule="auto"/>
        <w:rPr>
          <w:b/>
          <w:color w:val="auto"/>
          <w:sz w:val="22"/>
          <w:szCs w:val="22"/>
          <w:highlight w:val="none"/>
        </w:rPr>
      </w:pPr>
    </w:p>
    <w:p w14:paraId="49279BA2">
      <w:pPr>
        <w:widowControl/>
        <w:adjustRightInd w:val="0"/>
        <w:spacing w:line="360" w:lineRule="auto"/>
        <w:rPr>
          <w:b/>
          <w:color w:val="auto"/>
          <w:sz w:val="22"/>
          <w:szCs w:val="22"/>
          <w:highlight w:val="none"/>
        </w:rPr>
      </w:pPr>
    </w:p>
    <w:p w14:paraId="5566D906">
      <w:pPr>
        <w:widowControl/>
        <w:adjustRightInd w:val="0"/>
        <w:spacing w:line="360" w:lineRule="auto"/>
        <w:rPr>
          <w:b/>
          <w:color w:val="auto"/>
          <w:sz w:val="22"/>
          <w:szCs w:val="22"/>
          <w:highlight w:val="none"/>
        </w:rPr>
      </w:pPr>
    </w:p>
    <w:p w14:paraId="47892BD2">
      <w:pPr>
        <w:widowControl/>
        <w:adjustRightInd w:val="0"/>
        <w:spacing w:line="360" w:lineRule="auto"/>
        <w:rPr>
          <w:b/>
          <w:color w:val="auto"/>
          <w:sz w:val="22"/>
          <w:szCs w:val="22"/>
          <w:highlight w:val="none"/>
        </w:rPr>
      </w:pPr>
    </w:p>
    <w:p w14:paraId="5ABB0ADF">
      <w:pPr>
        <w:widowControl/>
        <w:adjustRightInd w:val="0"/>
        <w:spacing w:line="360" w:lineRule="auto"/>
        <w:rPr>
          <w:b/>
          <w:color w:val="auto"/>
          <w:sz w:val="22"/>
          <w:szCs w:val="22"/>
          <w:highlight w:val="none"/>
        </w:rPr>
      </w:pPr>
    </w:p>
    <w:p w14:paraId="0F4D8B16">
      <w:pPr>
        <w:widowControl/>
        <w:adjustRightInd w:val="0"/>
        <w:spacing w:line="360" w:lineRule="auto"/>
        <w:rPr>
          <w:b/>
          <w:color w:val="auto"/>
          <w:sz w:val="22"/>
          <w:szCs w:val="22"/>
          <w:highlight w:val="none"/>
        </w:rPr>
      </w:pPr>
    </w:p>
    <w:p w14:paraId="2CA9B44E">
      <w:pPr>
        <w:widowControl/>
        <w:adjustRightInd w:val="0"/>
        <w:spacing w:line="360" w:lineRule="auto"/>
        <w:rPr>
          <w:b/>
          <w:color w:val="auto"/>
          <w:sz w:val="22"/>
          <w:szCs w:val="22"/>
          <w:highlight w:val="none"/>
        </w:rPr>
      </w:pPr>
      <w:r>
        <w:rPr>
          <w:b/>
          <w:color w:val="auto"/>
          <w:sz w:val="22"/>
          <w:szCs w:val="22"/>
          <w:highlight w:val="none"/>
        </w:rPr>
        <w:t>附件</w:t>
      </w:r>
      <w:r>
        <w:rPr>
          <w:rFonts w:hint="eastAsia"/>
          <w:b/>
          <w:color w:val="auto"/>
          <w:sz w:val="22"/>
          <w:szCs w:val="22"/>
          <w:highlight w:val="none"/>
          <w:lang w:val="en-US" w:eastAsia="zh-CN"/>
        </w:rPr>
        <w:t>二</w:t>
      </w:r>
      <w:r>
        <w:rPr>
          <w:b/>
          <w:color w:val="auto"/>
          <w:sz w:val="22"/>
          <w:szCs w:val="22"/>
          <w:highlight w:val="none"/>
        </w:rPr>
        <w:t>、无重大违法记录声明格式</w:t>
      </w:r>
    </w:p>
    <w:p w14:paraId="2062F986">
      <w:pPr>
        <w:spacing w:line="360" w:lineRule="auto"/>
        <w:jc w:val="center"/>
        <w:rPr>
          <w:rFonts w:eastAsia="黑体"/>
          <w:color w:val="auto"/>
          <w:sz w:val="36"/>
          <w:szCs w:val="36"/>
          <w:highlight w:val="none"/>
        </w:rPr>
      </w:pPr>
      <w:r>
        <w:rPr>
          <w:rFonts w:eastAsia="黑体"/>
          <w:color w:val="auto"/>
          <w:sz w:val="36"/>
          <w:szCs w:val="36"/>
          <w:highlight w:val="none"/>
        </w:rPr>
        <w:t>无重大违法记录声明</w:t>
      </w:r>
    </w:p>
    <w:p w14:paraId="50D44ADD">
      <w:pPr>
        <w:autoSpaceDE w:val="0"/>
        <w:autoSpaceDN w:val="0"/>
        <w:adjustRightInd w:val="0"/>
        <w:spacing w:line="360" w:lineRule="auto"/>
        <w:rPr>
          <w:rFonts w:hint="default" w:ascii="Times New Roman" w:hAnsi="Times New Roman" w:cs="Times New Roman"/>
          <w:color w:val="auto"/>
          <w:sz w:val="22"/>
          <w:szCs w:val="22"/>
          <w:highlight w:val="none"/>
          <w:lang w:val="en-US" w:eastAsia="zh-CN"/>
        </w:rPr>
      </w:pPr>
      <w:r>
        <w:rPr>
          <w:rFonts w:hint="eastAsia" w:ascii="Times New Roman" w:hAnsi="Times New Roman" w:cs="Times New Roman"/>
          <w:color w:val="auto"/>
          <w:sz w:val="22"/>
          <w:szCs w:val="22"/>
          <w:highlight w:val="none"/>
          <w:lang w:val="en-US"/>
        </w:rPr>
        <w:t>江苏高淳经济开发区管理委员会</w:t>
      </w:r>
      <w:r>
        <w:rPr>
          <w:rFonts w:hint="eastAsia" w:ascii="Times New Roman" w:hAnsi="Times New Roman" w:cs="Times New Roman"/>
          <w:color w:val="auto"/>
          <w:sz w:val="22"/>
          <w:szCs w:val="22"/>
          <w:highlight w:val="none"/>
          <w:lang w:val="en-US" w:eastAsia="zh-CN"/>
        </w:rPr>
        <w:t>：</w:t>
      </w:r>
    </w:p>
    <w:p w14:paraId="2F634439">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我单位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（供应商名称）郑重声明：</w:t>
      </w:r>
    </w:p>
    <w:p w14:paraId="0F351928">
      <w:pPr>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参加政府采购活动前3年内在经营活动中</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（在下划线上如实填写：有或没有）重大违法记录。</w:t>
      </w:r>
    </w:p>
    <w:p w14:paraId="0E8705B5">
      <w:pPr>
        <w:spacing w:line="360" w:lineRule="auto"/>
        <w:ind w:firstLine="420"/>
        <w:rPr>
          <w:rFonts w:hint="eastAsia" w:ascii="宋体" w:hAnsi="宋体" w:cs="宋体"/>
          <w:color w:val="auto"/>
          <w:sz w:val="22"/>
          <w:szCs w:val="22"/>
          <w:highlight w:val="none"/>
        </w:rPr>
      </w:pPr>
      <w:r>
        <w:rPr>
          <w:rFonts w:hint="eastAsia" w:ascii="宋体" w:hAnsi="宋体" w:cs="宋体"/>
          <w:color w:val="auto"/>
          <w:sz w:val="22"/>
          <w:szCs w:val="22"/>
          <w:highlight w:val="none"/>
        </w:rPr>
        <w:t>（说明：政府采购法第二十二条第一款第五项所称重大违法记录，是指供应商因违法经营受到刑事处罚或者责令停产停业、吊销许可证或者执照、较大数额罚款等行政处罚。）</w:t>
      </w:r>
    </w:p>
    <w:p w14:paraId="42E84077">
      <w:pPr>
        <w:spacing w:line="360" w:lineRule="auto"/>
        <w:ind w:firstLine="420"/>
        <w:rPr>
          <w:rFonts w:hint="eastAsia" w:ascii="宋体" w:hAnsi="宋体" w:cs="宋体"/>
          <w:color w:val="auto"/>
          <w:sz w:val="22"/>
          <w:szCs w:val="22"/>
          <w:highlight w:val="none"/>
        </w:rPr>
      </w:pPr>
    </w:p>
    <w:p w14:paraId="47E8B493">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声明人：（公章）</w:t>
      </w:r>
    </w:p>
    <w:p w14:paraId="3759E2D2">
      <w:pPr>
        <w:spacing w:line="360" w:lineRule="auto"/>
        <w:rPr>
          <w:rFonts w:hint="eastAsia" w:ascii="宋体" w:hAnsi="宋体" w:cs="宋体"/>
          <w:color w:val="auto"/>
          <w:sz w:val="22"/>
          <w:szCs w:val="22"/>
          <w:highlight w:val="none"/>
        </w:rPr>
      </w:pPr>
      <w:r>
        <w:rPr>
          <w:rFonts w:hint="eastAsia" w:ascii="宋体" w:hAnsi="宋体" w:cs="宋体"/>
          <w:bCs/>
          <w:color w:val="auto"/>
          <w:sz w:val="22"/>
          <w:szCs w:val="22"/>
          <w:highlight w:val="none"/>
        </w:rPr>
        <w:t xml:space="preserve">                                           </w:t>
      </w:r>
      <w:r>
        <w:rPr>
          <w:rFonts w:hint="eastAsia" w:ascii="宋体" w:hAnsi="宋体" w:cs="宋体"/>
          <w:color w:val="auto"/>
          <w:sz w:val="22"/>
          <w:szCs w:val="22"/>
          <w:highlight w:val="none"/>
        </w:rPr>
        <w:t>日  期： 年    月    日</w:t>
      </w:r>
    </w:p>
    <w:p w14:paraId="66CDC149">
      <w:pPr>
        <w:spacing w:line="360" w:lineRule="auto"/>
        <w:rPr>
          <w:color w:val="auto"/>
          <w:sz w:val="22"/>
          <w:szCs w:val="22"/>
          <w:highlight w:val="none"/>
        </w:rPr>
      </w:pPr>
    </w:p>
    <w:p w14:paraId="5D37FC14">
      <w:pPr>
        <w:spacing w:line="360" w:lineRule="auto"/>
        <w:rPr>
          <w:b/>
          <w:color w:val="auto"/>
          <w:highlight w:val="none"/>
        </w:rPr>
      </w:pPr>
    </w:p>
    <w:p w14:paraId="374692E5">
      <w:pPr>
        <w:spacing w:line="360" w:lineRule="auto"/>
        <w:rPr>
          <w:b/>
          <w:color w:val="auto"/>
          <w:sz w:val="22"/>
          <w:szCs w:val="22"/>
          <w:highlight w:val="none"/>
        </w:rPr>
      </w:pPr>
      <w:r>
        <w:rPr>
          <w:b/>
          <w:color w:val="auto"/>
          <w:sz w:val="22"/>
          <w:szCs w:val="22"/>
          <w:highlight w:val="none"/>
        </w:rPr>
        <w:t>附件</w:t>
      </w:r>
      <w:r>
        <w:rPr>
          <w:rFonts w:hint="eastAsia"/>
          <w:b/>
          <w:color w:val="auto"/>
          <w:sz w:val="22"/>
          <w:szCs w:val="22"/>
          <w:highlight w:val="none"/>
          <w:lang w:val="en-US" w:eastAsia="zh-CN"/>
        </w:rPr>
        <w:t>三</w:t>
      </w:r>
      <w:r>
        <w:rPr>
          <w:b/>
          <w:color w:val="auto"/>
          <w:sz w:val="22"/>
          <w:szCs w:val="22"/>
          <w:highlight w:val="none"/>
        </w:rPr>
        <w:t>、具备履行合同所必需的设备和专业技术能力的声明格式</w:t>
      </w:r>
    </w:p>
    <w:p w14:paraId="0363F267">
      <w:pPr>
        <w:spacing w:line="360" w:lineRule="auto"/>
        <w:jc w:val="center"/>
        <w:rPr>
          <w:rFonts w:eastAsia="黑体"/>
          <w:color w:val="auto"/>
          <w:sz w:val="36"/>
          <w:szCs w:val="36"/>
          <w:highlight w:val="none"/>
        </w:rPr>
      </w:pPr>
      <w:r>
        <w:rPr>
          <w:rFonts w:eastAsia="黑体"/>
          <w:color w:val="auto"/>
          <w:sz w:val="36"/>
          <w:szCs w:val="36"/>
          <w:highlight w:val="none"/>
        </w:rPr>
        <w:t>具备履行合同所必需的设备和专业技术能力的声明格式</w:t>
      </w:r>
    </w:p>
    <w:p w14:paraId="43C63B68">
      <w:pPr>
        <w:autoSpaceDE w:val="0"/>
        <w:autoSpaceDN w:val="0"/>
        <w:adjustRightInd w:val="0"/>
        <w:spacing w:line="360" w:lineRule="auto"/>
        <w:rPr>
          <w:rFonts w:hint="eastAsia" w:ascii="宋体" w:hAnsi="宋体" w:cs="宋体"/>
          <w:color w:val="auto"/>
          <w:sz w:val="22"/>
          <w:szCs w:val="22"/>
          <w:highlight w:val="none"/>
          <w:lang w:val="en-US" w:eastAsia="zh-CN"/>
        </w:rPr>
      </w:pPr>
      <w:r>
        <w:rPr>
          <w:rFonts w:hint="eastAsia" w:ascii="Times New Roman" w:hAnsi="Times New Roman" w:cs="Times New Roman"/>
          <w:color w:val="auto"/>
          <w:sz w:val="22"/>
          <w:szCs w:val="22"/>
          <w:highlight w:val="none"/>
          <w:lang w:val="en-US"/>
        </w:rPr>
        <w:t>江苏高淳经济开发区管理委员会</w:t>
      </w:r>
      <w:r>
        <w:rPr>
          <w:rFonts w:hint="eastAsia" w:ascii="宋体" w:hAnsi="宋体" w:cs="宋体"/>
          <w:color w:val="auto"/>
          <w:sz w:val="22"/>
          <w:szCs w:val="22"/>
          <w:highlight w:val="none"/>
          <w:lang w:val="en-US" w:eastAsia="zh-CN"/>
        </w:rPr>
        <w:t>：</w:t>
      </w:r>
    </w:p>
    <w:p w14:paraId="192B0EDF">
      <w:pPr>
        <w:spacing w:line="360" w:lineRule="auto"/>
        <w:ind w:firstLine="492"/>
        <w:rPr>
          <w:rFonts w:hint="eastAsia" w:ascii="宋体" w:hAnsi="宋体" w:cs="宋体"/>
          <w:color w:val="auto"/>
          <w:sz w:val="22"/>
          <w:szCs w:val="22"/>
          <w:highlight w:val="none"/>
        </w:rPr>
      </w:pPr>
      <w:r>
        <w:rPr>
          <w:rFonts w:hint="eastAsia" w:ascii="宋体" w:hAnsi="宋体" w:cs="宋体"/>
          <w:color w:val="auto"/>
          <w:sz w:val="22"/>
          <w:szCs w:val="22"/>
          <w:highlight w:val="none"/>
        </w:rPr>
        <w:t>我单位</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（供应商名称）郑重声明：我公司具备履行本项采购合同所必需的设备和专业技术能力，为履行本项采购合同我单位具备如下主要设备和主要专业技术能力：</w:t>
      </w:r>
    </w:p>
    <w:p w14:paraId="0339BF77">
      <w:pPr>
        <w:spacing w:line="360" w:lineRule="auto"/>
        <w:ind w:firstLine="492"/>
        <w:rPr>
          <w:rFonts w:hint="eastAsia" w:ascii="宋体" w:hAnsi="宋体" w:cs="宋体"/>
          <w:color w:val="auto"/>
          <w:sz w:val="22"/>
          <w:szCs w:val="22"/>
          <w:highlight w:val="none"/>
        </w:rPr>
      </w:pPr>
      <w:r>
        <w:rPr>
          <w:rFonts w:hint="eastAsia" w:ascii="宋体" w:hAnsi="宋体" w:cs="宋体"/>
          <w:color w:val="auto"/>
          <w:sz w:val="22"/>
          <w:szCs w:val="22"/>
          <w:highlight w:val="none"/>
        </w:rPr>
        <w:t>主要设备有：</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6493C5EE">
      <w:pPr>
        <w:spacing w:line="360" w:lineRule="auto"/>
        <w:ind w:firstLine="492"/>
        <w:rPr>
          <w:rFonts w:hint="eastAsia" w:ascii="宋体" w:hAnsi="宋体" w:cs="宋体"/>
          <w:color w:val="auto"/>
          <w:sz w:val="22"/>
          <w:szCs w:val="22"/>
          <w:highlight w:val="none"/>
        </w:rPr>
      </w:pPr>
      <w:r>
        <w:rPr>
          <w:rFonts w:hint="eastAsia" w:ascii="宋体" w:hAnsi="宋体" w:cs="宋体"/>
          <w:color w:val="auto"/>
          <w:sz w:val="22"/>
          <w:szCs w:val="22"/>
          <w:highlight w:val="none"/>
        </w:rPr>
        <w:t>主要专业技术能力有：</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w:t>
      </w:r>
    </w:p>
    <w:p w14:paraId="645EB3D0">
      <w:pPr>
        <w:spacing w:line="360" w:lineRule="auto"/>
        <w:rPr>
          <w:rFonts w:hint="eastAsia" w:ascii="宋体" w:hAnsi="宋体" w:cs="宋体"/>
          <w:color w:val="auto"/>
          <w:sz w:val="22"/>
          <w:szCs w:val="22"/>
          <w:highlight w:val="none"/>
        </w:rPr>
      </w:pPr>
    </w:p>
    <w:p w14:paraId="6FD74FCE">
      <w:pPr>
        <w:spacing w:line="360" w:lineRule="auto"/>
        <w:rPr>
          <w:rFonts w:hint="eastAsia" w:ascii="宋体" w:hAnsi="宋体" w:cs="宋体"/>
          <w:color w:val="auto"/>
          <w:sz w:val="22"/>
          <w:szCs w:val="22"/>
          <w:highlight w:val="none"/>
        </w:rPr>
      </w:pPr>
    </w:p>
    <w:p w14:paraId="79B276AB">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声明人：（公章）</w:t>
      </w:r>
    </w:p>
    <w:p w14:paraId="19E1B273">
      <w:pPr>
        <w:spacing w:line="360" w:lineRule="auto"/>
        <w:rPr>
          <w:rFonts w:hint="eastAsia" w:ascii="宋体" w:hAnsi="宋体" w:cs="宋体"/>
          <w:color w:val="auto"/>
          <w:sz w:val="22"/>
          <w:szCs w:val="22"/>
          <w:highlight w:val="none"/>
        </w:rPr>
      </w:pPr>
      <w:r>
        <w:rPr>
          <w:rFonts w:hint="eastAsia" w:ascii="宋体" w:hAnsi="宋体" w:cs="宋体"/>
          <w:bCs/>
          <w:color w:val="auto"/>
          <w:sz w:val="22"/>
          <w:szCs w:val="22"/>
          <w:highlight w:val="none"/>
        </w:rPr>
        <w:t xml:space="preserve">                                           </w:t>
      </w:r>
      <w:r>
        <w:rPr>
          <w:rFonts w:hint="eastAsia" w:ascii="宋体" w:hAnsi="宋体" w:cs="宋体"/>
          <w:color w:val="auto"/>
          <w:sz w:val="22"/>
          <w:szCs w:val="22"/>
          <w:highlight w:val="none"/>
        </w:rPr>
        <w:t>日  期： 年    月    日</w:t>
      </w:r>
    </w:p>
    <w:p w14:paraId="681E10FC">
      <w:pPr>
        <w:spacing w:line="360" w:lineRule="auto"/>
        <w:rPr>
          <w:rFonts w:hint="eastAsia" w:ascii="宋体" w:hAnsi="宋体" w:cs="宋体"/>
          <w:color w:val="auto"/>
          <w:sz w:val="22"/>
          <w:szCs w:val="22"/>
          <w:highlight w:val="none"/>
        </w:rPr>
      </w:pPr>
    </w:p>
    <w:p w14:paraId="1BAD0DD4">
      <w:pPr>
        <w:spacing w:line="360" w:lineRule="auto"/>
      </w:pPr>
      <w:r>
        <w:rPr>
          <w:rFonts w:hint="eastAsia" w:ascii="宋体" w:hAnsi="宋体" w:cs="宋体"/>
          <w:color w:val="auto"/>
          <w:sz w:val="22"/>
          <w:szCs w:val="22"/>
          <w:highlight w:val="none"/>
        </w:rPr>
        <w:t>其他证明材料及文件：（如果供应商认为需要提供的话）</w:t>
      </w: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金山简魏碑">
    <w:altName w:val="宋体"/>
    <w:panose1 w:val="02010609000101010101"/>
    <w:charset w:val="86"/>
    <w:family w:val="modern"/>
    <w:pitch w:val="default"/>
    <w:sig w:usb0="00000000" w:usb1="00000000" w:usb2="0000001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80670">
    <w:pPr>
      <w:snapToGrid w:val="0"/>
    </w:pPr>
    <w:r>
      <w:rPr>
        <w:sz w:val="18"/>
        <w:lang w:val="zh-CN"/>
      </w:rPr>
      <mc:AlternateContent>
        <mc:Choice Requires="wps">
          <w:drawing>
            <wp:anchor distT="0" distB="0" distL="114300" distR="114300" simplePos="0" relativeHeight="251659264" behindDoc="0" locked="0" layoutInCell="1" allowOverlap="1">
              <wp:simplePos x="0" y="0"/>
              <wp:positionH relativeFrom="margin">
                <wp:posOffset>2679700</wp:posOffset>
              </wp:positionH>
              <wp:positionV relativeFrom="paragraph">
                <wp:posOffset>83820</wp:posOffset>
              </wp:positionV>
              <wp:extent cx="114300" cy="1593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 cy="159385"/>
                      </a:xfrm>
                      <a:prstGeom prst="rect">
                        <a:avLst/>
                      </a:prstGeom>
                      <a:noFill/>
                      <a:ln>
                        <a:noFill/>
                      </a:ln>
                    </wps:spPr>
                    <wps:txbx>
                      <w:txbxContent>
                        <w:p w14:paraId="749E8ADE">
                          <w:pPr>
                            <w:snapToGrid w:val="0"/>
                            <w:rPr>
                              <w:sz w:val="18"/>
                            </w:rPr>
                          </w:pPr>
                        </w:p>
                      </w:txbxContent>
                    </wps:txbx>
                    <wps:bodyPr lIns="0" tIns="0" rIns="0" bIns="0" upright="1"/>
                  </wps:wsp>
                </a:graphicData>
              </a:graphic>
            </wp:anchor>
          </w:drawing>
        </mc:Choice>
        <mc:Fallback>
          <w:pict>
            <v:shape id="_x0000_s1026" o:spid="_x0000_s1026" o:spt="202" type="#_x0000_t202" style="position:absolute;left:0pt;margin-left:211pt;margin-top:6.6pt;height:12.55pt;width:9pt;mso-position-horizontal-relative:margin;z-index:251659264;mso-width-relative:page;mso-height-relative:page;" filled="f" stroked="f" coordsize="21600,21600" o:gfxdata="UEsDBAoAAAAAAIdO4kAAAAAAAAAAAAAAAAAEAAAAZHJzL1BLAwQUAAAACACHTuJAP60riNgAAAAJ&#10;AQAADwAAAGRycy9kb3ducmV2LnhtbE2PzU7DMBCE70i8g7WVuFG7SVSVNE6FEJyQEGk4cHTibRI1&#10;XofY/eHtWU5w3JnR7DfF7upGccY5DJ40rJYKBFLr7UCdho/65X4DIkRD1oyeUMM3BtiVtzeFya2/&#10;UIXnfewEl1DIjYY+ximXMrQ9OhOWfkJi7+BnZyKfcyftbC5c7kaZKLWWzgzEH3oz4VOP7XF/choe&#10;P6l6Hr7emvfqUA11/aDodX3U+m6xUlsQEa/xLwy/+IwOJTM1/kQ2iFFDliS8JbKRJiA4kGWKhUZD&#10;uklBloX8v6D8AVBLAwQUAAAACACHTuJAzwR/1bkBAABxAwAADgAAAGRycy9lMm9Eb2MueG1srVPN&#10;bhMxEL4j8Q6W78SblKJ2lU2lKipCQoBUeADHa2ct+U8eJ7t5AXgDTly481x5DsbebFrKpYdevOOZ&#10;8TfzfTO7vBmsIXsZQXvX0PmsokQ64Vvttg399vXuzRUlkLhrufFONvQggd6sXr9a9qGWC99508pI&#10;EMRB3YeGdimFmjEQnbQcZj5Ih0Hlo+UJr3HL2sh7RLeGLarqHet9bEP0QgKgdz0G6QkxPgfQK6WF&#10;XHuxs9KlETVKwxNSgk4HoKvSrVJSpM9KgUzENBSZpnJiEbQ3+WSrJa+3kYdOi1ML/DktPOFkuXZY&#10;9Ay15omTXdT/QVktogev0kx4y0YiRRFkMa+eaHPf8SALF5Qawll0eDlY8Wn/JRLdNnRBieMWB378&#10;+eP468/x93eyyPL0AWrMug+Yl4ZbP+DSTH5AZ2Y9qGjzF/kQjKO4h7O4ckhE5EfztxcVRgSG5pfX&#10;F1eXGYU9PA4R0nvpLclGQyPOrkjK9x8hjalTSq7l/J02pszPuH8ciJk9LHc+dpitNGyGE52Nbw/I&#10;xnxwqGTeismIk7GZjF2IetthO4VzgcRJlL5PW5NH/fheCj/8Ka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60riNgAAAAJAQAADwAAAAAAAAABACAAAAAiAAAAZHJzL2Rvd25yZXYueG1sUEsBAhQA&#10;FAAAAAgAh07iQM8Ef9W5AQAAcQMAAA4AAAAAAAAAAQAgAAAAJwEAAGRycy9lMm9Eb2MueG1sUEsF&#10;BgAAAAAGAAYAWQEAAFIFAAAAAA==&#10;">
              <v:fill on="f" focussize="0,0"/>
              <v:stroke on="f"/>
              <v:imagedata o:title=""/>
              <o:lock v:ext="edit" aspectratio="f"/>
              <v:textbox inset="0mm,0mm,0mm,0mm">
                <w:txbxContent>
                  <w:p w14:paraId="749E8ADE">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9A9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9C948">
    <w:pPr>
      <w:spacing w:line="14" w:lineRule="auto"/>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63B8E">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B463B8E">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74BB3">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980D1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6980D1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FCF4">
    <w:pPr>
      <w:tabs>
        <w:tab w:val="left" w:pos="238"/>
      </w:tabs>
      <w:rPr>
        <w:rFonts w:eastAsia="楷体_GB2312"/>
        <w:i/>
        <w:lang w:eastAsia="zh-CN"/>
      </w:rPr>
    </w:pPr>
    <w:r>
      <w:rPr>
        <w:rFonts w:hint="eastAsia" w:eastAsia="楷体_GB2312"/>
        <w:i/>
        <w:lang w:eastAsia="zh-CN"/>
      </w:rPr>
      <w:t xml:space="preserve">        </w:t>
    </w:r>
  </w:p>
  <w:p w14:paraId="1C0F328F">
    <w:pPr>
      <w:tabs>
        <w:tab w:val="left" w:pos="238"/>
      </w:tabs>
      <w:rPr>
        <w:rFonts w:eastAsia="楷体_GB2312"/>
        <w:i/>
        <w:lang w:eastAsia="zh-CN"/>
      </w:rPr>
    </w:pPr>
    <w:r>
      <w:rPr>
        <w:rFonts w:hint="eastAsia" w:eastAsia="楷体_GB2312"/>
        <w:i/>
        <w:lang w:eastAsia="zh-CN"/>
      </w:rPr>
      <w:t xml:space="preserve">        </w:t>
    </w:r>
    <w:r>
      <w:rPr>
        <w:rFonts w:hint="eastAsia" w:eastAsia="楷体_GB2312"/>
        <w:iCs/>
        <w:lang w:eastAsia="zh-CN"/>
      </w:rPr>
      <w:t>《南京市公路运输管理处安全监督管理制度体系及工作规范》课题研究服务</w:t>
    </w:r>
  </w:p>
  <w:p w14:paraId="6D5D24F8">
    <w:pPr>
      <w:tabs>
        <w:tab w:val="left" w:pos="238"/>
      </w:tabs>
      <w:rPr>
        <w:rFonts w:eastAsia="楷体_GB2312"/>
        <w:i/>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53439">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5FE4F">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CA03A">
    <w:pPr>
      <w:autoSpaceDE w:val="0"/>
      <w:autoSpaceDN w:val="0"/>
      <w:adjustRightInd w:val="0"/>
      <w:jc w:val="right"/>
      <w:rPr>
        <w:i/>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40E97"/>
    <w:multiLevelType w:val="singleLevel"/>
    <w:tmpl w:val="9D740E97"/>
    <w:lvl w:ilvl="0" w:tentative="0">
      <w:start w:val="2"/>
      <w:numFmt w:val="chineseCounting"/>
      <w:suff w:val="space"/>
      <w:lvlText w:val="第%1条"/>
      <w:lvlJc w:val="left"/>
      <w:rPr>
        <w:rFonts w:hint="eastAsia"/>
      </w:rPr>
    </w:lvl>
  </w:abstractNum>
  <w:abstractNum w:abstractNumId="1">
    <w:nsid w:val="FDB9157A"/>
    <w:multiLevelType w:val="singleLevel"/>
    <w:tmpl w:val="FDB9157A"/>
    <w:lvl w:ilvl="0" w:tentative="0">
      <w:start w:val="5"/>
      <w:numFmt w:val="chineseCounting"/>
      <w:suff w:val="nothing"/>
      <w:lvlText w:val="%1、"/>
      <w:lvlJc w:val="left"/>
      <w:rPr>
        <w:rFonts w:hint="eastAsia"/>
      </w:rPr>
    </w:lvl>
  </w:abstractNum>
  <w:abstractNum w:abstractNumId="2">
    <w:nsid w:val="00000004"/>
    <w:multiLevelType w:val="multilevel"/>
    <w:tmpl w:val="00000004"/>
    <w:lvl w:ilvl="0" w:tentative="0">
      <w:start w:val="1"/>
      <w:numFmt w:val="decimal"/>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pStyle w:val="3"/>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3822BF"/>
    <w:multiLevelType w:val="multilevel"/>
    <w:tmpl w:val="003822BF"/>
    <w:lvl w:ilvl="0" w:tentative="0">
      <w:start w:val="1"/>
      <w:numFmt w:val="japaneseCounting"/>
      <w:lvlText w:val="%1、"/>
      <w:lvlJc w:val="left"/>
      <w:pPr>
        <w:tabs>
          <w:tab w:val="left" w:pos="2280"/>
        </w:tabs>
        <w:ind w:left="2280" w:hanging="720"/>
      </w:pPr>
      <w:rPr>
        <w:rFonts w:hint="eastAsia"/>
      </w:rPr>
    </w:lvl>
    <w:lvl w:ilvl="1" w:tentative="0">
      <w:start w:val="1"/>
      <w:numFmt w:val="lowerLetter"/>
      <w:lvlText w:val="%2)"/>
      <w:lvlJc w:val="left"/>
      <w:pPr>
        <w:tabs>
          <w:tab w:val="left" w:pos="2400"/>
        </w:tabs>
        <w:ind w:left="2400" w:hanging="420"/>
      </w:pPr>
    </w:lvl>
    <w:lvl w:ilvl="2" w:tentative="0">
      <w:start w:val="1"/>
      <w:numFmt w:val="lowerRoman"/>
      <w:lvlText w:val="%3."/>
      <w:lvlJc w:val="right"/>
      <w:pPr>
        <w:tabs>
          <w:tab w:val="left" w:pos="2820"/>
        </w:tabs>
        <w:ind w:left="2820" w:hanging="420"/>
      </w:p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ZTdmYmNjNjE1ZjA3NjQ0ZTBhMTBlZWJkZDI0MDEifQ=="/>
  </w:docVars>
  <w:rsids>
    <w:rsidRoot w:val="00000000"/>
    <w:rsid w:val="00565CB4"/>
    <w:rsid w:val="00BF1744"/>
    <w:rsid w:val="013D256B"/>
    <w:rsid w:val="0166542F"/>
    <w:rsid w:val="01C61ED4"/>
    <w:rsid w:val="02381AB7"/>
    <w:rsid w:val="02BD0658"/>
    <w:rsid w:val="03144286"/>
    <w:rsid w:val="03160A69"/>
    <w:rsid w:val="03681729"/>
    <w:rsid w:val="03C01061"/>
    <w:rsid w:val="048411DA"/>
    <w:rsid w:val="049F2D31"/>
    <w:rsid w:val="04CB4AA1"/>
    <w:rsid w:val="04FF388E"/>
    <w:rsid w:val="05C82218"/>
    <w:rsid w:val="061A5470"/>
    <w:rsid w:val="069769D1"/>
    <w:rsid w:val="06F4459D"/>
    <w:rsid w:val="07456322"/>
    <w:rsid w:val="07AB0349"/>
    <w:rsid w:val="07D91620"/>
    <w:rsid w:val="08755C67"/>
    <w:rsid w:val="08AD0FE6"/>
    <w:rsid w:val="08B14217"/>
    <w:rsid w:val="08B32F90"/>
    <w:rsid w:val="08B77CB8"/>
    <w:rsid w:val="08D538D0"/>
    <w:rsid w:val="09F5421F"/>
    <w:rsid w:val="0A2831EF"/>
    <w:rsid w:val="0A3E131D"/>
    <w:rsid w:val="0AB37C41"/>
    <w:rsid w:val="0B1306DF"/>
    <w:rsid w:val="0B2C6D35"/>
    <w:rsid w:val="0B425250"/>
    <w:rsid w:val="0B8D2240"/>
    <w:rsid w:val="0BB430BF"/>
    <w:rsid w:val="0BDD62F6"/>
    <w:rsid w:val="0BF123CF"/>
    <w:rsid w:val="0C6D49B1"/>
    <w:rsid w:val="0C807F53"/>
    <w:rsid w:val="0CE54122"/>
    <w:rsid w:val="0D2546FA"/>
    <w:rsid w:val="0D930C96"/>
    <w:rsid w:val="0DF05D36"/>
    <w:rsid w:val="0E107F11"/>
    <w:rsid w:val="0E133FB6"/>
    <w:rsid w:val="0F516D14"/>
    <w:rsid w:val="0F5E2DE3"/>
    <w:rsid w:val="0F7B3407"/>
    <w:rsid w:val="0FEE1785"/>
    <w:rsid w:val="10060813"/>
    <w:rsid w:val="10207B26"/>
    <w:rsid w:val="10B160B7"/>
    <w:rsid w:val="10ED552F"/>
    <w:rsid w:val="115A0432"/>
    <w:rsid w:val="117138E2"/>
    <w:rsid w:val="117813E3"/>
    <w:rsid w:val="11947032"/>
    <w:rsid w:val="12080872"/>
    <w:rsid w:val="121861DB"/>
    <w:rsid w:val="130B2C19"/>
    <w:rsid w:val="134B3E56"/>
    <w:rsid w:val="139B2010"/>
    <w:rsid w:val="1400264D"/>
    <w:rsid w:val="14240013"/>
    <w:rsid w:val="1490466C"/>
    <w:rsid w:val="14DA5130"/>
    <w:rsid w:val="15294CBD"/>
    <w:rsid w:val="1651006A"/>
    <w:rsid w:val="16923B49"/>
    <w:rsid w:val="16B94831"/>
    <w:rsid w:val="16DF2B06"/>
    <w:rsid w:val="17620A24"/>
    <w:rsid w:val="17D86F39"/>
    <w:rsid w:val="17DB4333"/>
    <w:rsid w:val="18061E28"/>
    <w:rsid w:val="188A7C47"/>
    <w:rsid w:val="188F368A"/>
    <w:rsid w:val="1894660E"/>
    <w:rsid w:val="18C528D3"/>
    <w:rsid w:val="19332869"/>
    <w:rsid w:val="19420F57"/>
    <w:rsid w:val="19CD30D0"/>
    <w:rsid w:val="1A2A707C"/>
    <w:rsid w:val="1A3467A0"/>
    <w:rsid w:val="1A3A657A"/>
    <w:rsid w:val="1A65707A"/>
    <w:rsid w:val="1AD86D0B"/>
    <w:rsid w:val="1B312933"/>
    <w:rsid w:val="1B763747"/>
    <w:rsid w:val="1B975EAC"/>
    <w:rsid w:val="1BA13A10"/>
    <w:rsid w:val="1BC76299"/>
    <w:rsid w:val="1C3F0F57"/>
    <w:rsid w:val="1C9571A6"/>
    <w:rsid w:val="1D38366A"/>
    <w:rsid w:val="1D5C5A99"/>
    <w:rsid w:val="1DBB271B"/>
    <w:rsid w:val="1DEC5A80"/>
    <w:rsid w:val="1E9F6C4B"/>
    <w:rsid w:val="1ED4612B"/>
    <w:rsid w:val="1EEB7551"/>
    <w:rsid w:val="1F1727E7"/>
    <w:rsid w:val="1F1E6F0A"/>
    <w:rsid w:val="1F3E1929"/>
    <w:rsid w:val="1FD323BE"/>
    <w:rsid w:val="202B6493"/>
    <w:rsid w:val="20F9115A"/>
    <w:rsid w:val="212136FE"/>
    <w:rsid w:val="21222FD3"/>
    <w:rsid w:val="217E0CB9"/>
    <w:rsid w:val="21AC2302"/>
    <w:rsid w:val="21F61A08"/>
    <w:rsid w:val="220C684F"/>
    <w:rsid w:val="225B70E3"/>
    <w:rsid w:val="22835816"/>
    <w:rsid w:val="22864C8A"/>
    <w:rsid w:val="228C2DF9"/>
    <w:rsid w:val="22974C49"/>
    <w:rsid w:val="2318643B"/>
    <w:rsid w:val="24627C5B"/>
    <w:rsid w:val="24A67A7A"/>
    <w:rsid w:val="24F23092"/>
    <w:rsid w:val="24F25E7B"/>
    <w:rsid w:val="2578263C"/>
    <w:rsid w:val="25AF5877"/>
    <w:rsid w:val="25E14E67"/>
    <w:rsid w:val="25F5465A"/>
    <w:rsid w:val="26DE54F3"/>
    <w:rsid w:val="27AE1DE3"/>
    <w:rsid w:val="27E807DB"/>
    <w:rsid w:val="27FD7E40"/>
    <w:rsid w:val="280D66A4"/>
    <w:rsid w:val="28481D19"/>
    <w:rsid w:val="28593E8B"/>
    <w:rsid w:val="29C410CB"/>
    <w:rsid w:val="29E65E68"/>
    <w:rsid w:val="2AD1133E"/>
    <w:rsid w:val="2B7B7C49"/>
    <w:rsid w:val="2B82456D"/>
    <w:rsid w:val="2BD27D20"/>
    <w:rsid w:val="2C3D69AB"/>
    <w:rsid w:val="2CDD2B4A"/>
    <w:rsid w:val="2D0A39F6"/>
    <w:rsid w:val="2D700F57"/>
    <w:rsid w:val="2DBF4301"/>
    <w:rsid w:val="2E24482E"/>
    <w:rsid w:val="2E5F7614"/>
    <w:rsid w:val="2E7E31DD"/>
    <w:rsid w:val="2E8A4146"/>
    <w:rsid w:val="2ED27653"/>
    <w:rsid w:val="2EEC261B"/>
    <w:rsid w:val="2F7D08C3"/>
    <w:rsid w:val="2F8D6403"/>
    <w:rsid w:val="2F9452D2"/>
    <w:rsid w:val="2FDD106C"/>
    <w:rsid w:val="30586A11"/>
    <w:rsid w:val="30A27C8C"/>
    <w:rsid w:val="30A656D2"/>
    <w:rsid w:val="30CE0A81"/>
    <w:rsid w:val="313A1A7C"/>
    <w:rsid w:val="32086A85"/>
    <w:rsid w:val="322A7F39"/>
    <w:rsid w:val="325B2846"/>
    <w:rsid w:val="3283200B"/>
    <w:rsid w:val="32B1065A"/>
    <w:rsid w:val="33324596"/>
    <w:rsid w:val="33770732"/>
    <w:rsid w:val="34450505"/>
    <w:rsid w:val="34F767AB"/>
    <w:rsid w:val="36383C32"/>
    <w:rsid w:val="366A2FFA"/>
    <w:rsid w:val="36BA7833"/>
    <w:rsid w:val="37133692"/>
    <w:rsid w:val="37320158"/>
    <w:rsid w:val="37994A88"/>
    <w:rsid w:val="37D83100"/>
    <w:rsid w:val="37D921E5"/>
    <w:rsid w:val="38673DF7"/>
    <w:rsid w:val="38CE244E"/>
    <w:rsid w:val="39762ABD"/>
    <w:rsid w:val="39823192"/>
    <w:rsid w:val="39D6555D"/>
    <w:rsid w:val="3A943DFE"/>
    <w:rsid w:val="3A9C74FA"/>
    <w:rsid w:val="3B637CFC"/>
    <w:rsid w:val="3C510DE7"/>
    <w:rsid w:val="3C962EC5"/>
    <w:rsid w:val="3D0D46DF"/>
    <w:rsid w:val="3D183E1D"/>
    <w:rsid w:val="3D5065B9"/>
    <w:rsid w:val="3D5A598D"/>
    <w:rsid w:val="3D680BF2"/>
    <w:rsid w:val="3D7F1047"/>
    <w:rsid w:val="3F612540"/>
    <w:rsid w:val="3FE71217"/>
    <w:rsid w:val="40184C81"/>
    <w:rsid w:val="402F3EFE"/>
    <w:rsid w:val="40361E9C"/>
    <w:rsid w:val="406229AA"/>
    <w:rsid w:val="40741318"/>
    <w:rsid w:val="41D4603F"/>
    <w:rsid w:val="429F402B"/>
    <w:rsid w:val="42A41642"/>
    <w:rsid w:val="42FD3947"/>
    <w:rsid w:val="43754D8C"/>
    <w:rsid w:val="438C0733"/>
    <w:rsid w:val="43972084"/>
    <w:rsid w:val="43BE5FC5"/>
    <w:rsid w:val="43CA2810"/>
    <w:rsid w:val="43EA7528"/>
    <w:rsid w:val="4420631A"/>
    <w:rsid w:val="452B604A"/>
    <w:rsid w:val="4559097C"/>
    <w:rsid w:val="45D70B71"/>
    <w:rsid w:val="460948FE"/>
    <w:rsid w:val="4663133A"/>
    <w:rsid w:val="469F3D6C"/>
    <w:rsid w:val="46C10A14"/>
    <w:rsid w:val="46E12E64"/>
    <w:rsid w:val="47AB2947"/>
    <w:rsid w:val="47FC5A7C"/>
    <w:rsid w:val="484235E1"/>
    <w:rsid w:val="489B5295"/>
    <w:rsid w:val="48C447A4"/>
    <w:rsid w:val="48CF70EB"/>
    <w:rsid w:val="49163C1F"/>
    <w:rsid w:val="4A3B5EF0"/>
    <w:rsid w:val="4A632FEA"/>
    <w:rsid w:val="4A666EC4"/>
    <w:rsid w:val="4A7303F1"/>
    <w:rsid w:val="4A7C5543"/>
    <w:rsid w:val="4ADB23BB"/>
    <w:rsid w:val="4B225FBE"/>
    <w:rsid w:val="4B35496F"/>
    <w:rsid w:val="4B6776B0"/>
    <w:rsid w:val="4C1911C5"/>
    <w:rsid w:val="4C4F374A"/>
    <w:rsid w:val="4C50647A"/>
    <w:rsid w:val="4C9251A3"/>
    <w:rsid w:val="4CB52852"/>
    <w:rsid w:val="4CE822C0"/>
    <w:rsid w:val="4D1077E8"/>
    <w:rsid w:val="4D1352B2"/>
    <w:rsid w:val="4DB95CFE"/>
    <w:rsid w:val="4E5C1022"/>
    <w:rsid w:val="4F255AF8"/>
    <w:rsid w:val="4F4D72ED"/>
    <w:rsid w:val="4FBE77D5"/>
    <w:rsid w:val="501E6ED7"/>
    <w:rsid w:val="50AC34F3"/>
    <w:rsid w:val="50AF12F2"/>
    <w:rsid w:val="50DF48DF"/>
    <w:rsid w:val="511A58F1"/>
    <w:rsid w:val="518E38C6"/>
    <w:rsid w:val="51EA609C"/>
    <w:rsid w:val="53F35F85"/>
    <w:rsid w:val="542D5F7D"/>
    <w:rsid w:val="550374A1"/>
    <w:rsid w:val="550D702F"/>
    <w:rsid w:val="558A5E90"/>
    <w:rsid w:val="55E24114"/>
    <w:rsid w:val="57B8376D"/>
    <w:rsid w:val="5805272B"/>
    <w:rsid w:val="58484521"/>
    <w:rsid w:val="590D7AE9"/>
    <w:rsid w:val="59166EFD"/>
    <w:rsid w:val="59254E33"/>
    <w:rsid w:val="59390E8C"/>
    <w:rsid w:val="59DD6E5F"/>
    <w:rsid w:val="5A0C4A3B"/>
    <w:rsid w:val="5A4B55F5"/>
    <w:rsid w:val="5AF00630"/>
    <w:rsid w:val="5BD30D92"/>
    <w:rsid w:val="5D7501C0"/>
    <w:rsid w:val="5DFD23B6"/>
    <w:rsid w:val="5E020F8F"/>
    <w:rsid w:val="5E3F2085"/>
    <w:rsid w:val="5E4B58B8"/>
    <w:rsid w:val="5EA458B1"/>
    <w:rsid w:val="5F6366B5"/>
    <w:rsid w:val="61283B44"/>
    <w:rsid w:val="612A34BA"/>
    <w:rsid w:val="6138276B"/>
    <w:rsid w:val="6149133C"/>
    <w:rsid w:val="61525E0F"/>
    <w:rsid w:val="61B256D1"/>
    <w:rsid w:val="626C5880"/>
    <w:rsid w:val="632C14B3"/>
    <w:rsid w:val="63601FA2"/>
    <w:rsid w:val="638B1E52"/>
    <w:rsid w:val="646E6F8C"/>
    <w:rsid w:val="6488741E"/>
    <w:rsid w:val="64892204"/>
    <w:rsid w:val="652C5284"/>
    <w:rsid w:val="65444892"/>
    <w:rsid w:val="658158A8"/>
    <w:rsid w:val="684A301E"/>
    <w:rsid w:val="68582403"/>
    <w:rsid w:val="68A90FF8"/>
    <w:rsid w:val="6923233A"/>
    <w:rsid w:val="697A718C"/>
    <w:rsid w:val="6A873977"/>
    <w:rsid w:val="6AEB3A02"/>
    <w:rsid w:val="6B9F6960"/>
    <w:rsid w:val="6BBB3AB3"/>
    <w:rsid w:val="6C36712D"/>
    <w:rsid w:val="6D2D29DD"/>
    <w:rsid w:val="6D49654E"/>
    <w:rsid w:val="6D63372D"/>
    <w:rsid w:val="6D9C097A"/>
    <w:rsid w:val="6E827644"/>
    <w:rsid w:val="6E92797D"/>
    <w:rsid w:val="6EAC07FE"/>
    <w:rsid w:val="6EF97D0F"/>
    <w:rsid w:val="6F437A56"/>
    <w:rsid w:val="6F7F3FB4"/>
    <w:rsid w:val="6FEC6E3F"/>
    <w:rsid w:val="702E11C0"/>
    <w:rsid w:val="70EC5DDE"/>
    <w:rsid w:val="710F0849"/>
    <w:rsid w:val="718B3849"/>
    <w:rsid w:val="72091924"/>
    <w:rsid w:val="7222156C"/>
    <w:rsid w:val="72724BED"/>
    <w:rsid w:val="731A1328"/>
    <w:rsid w:val="732607AB"/>
    <w:rsid w:val="73483CCD"/>
    <w:rsid w:val="740C6EC3"/>
    <w:rsid w:val="743D3201"/>
    <w:rsid w:val="74A34B19"/>
    <w:rsid w:val="750D0628"/>
    <w:rsid w:val="762F57F1"/>
    <w:rsid w:val="76B86E8E"/>
    <w:rsid w:val="76E708E7"/>
    <w:rsid w:val="775B54A8"/>
    <w:rsid w:val="77692D9E"/>
    <w:rsid w:val="77701517"/>
    <w:rsid w:val="77AB1A9A"/>
    <w:rsid w:val="78054DE9"/>
    <w:rsid w:val="784373D1"/>
    <w:rsid w:val="7899684C"/>
    <w:rsid w:val="795E0B5E"/>
    <w:rsid w:val="797F01D0"/>
    <w:rsid w:val="79A110AD"/>
    <w:rsid w:val="7BCB7664"/>
    <w:rsid w:val="7BFF542A"/>
    <w:rsid w:val="7D391A22"/>
    <w:rsid w:val="7DAD4929"/>
    <w:rsid w:val="7DB30588"/>
    <w:rsid w:val="7DD40F9F"/>
    <w:rsid w:val="7EC16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autoRedefine/>
    <w:qFormat/>
    <w:uiPriority w:val="0"/>
    <w:pPr>
      <w:numPr>
        <w:ilvl w:val="2"/>
        <w:numId w:val="1"/>
      </w:numPr>
      <w:autoSpaceDE w:val="0"/>
      <w:autoSpaceDN w:val="0"/>
      <w:adjustRightInd w:val="0"/>
      <w:spacing w:line="300" w:lineRule="auto"/>
      <w:textAlignment w:val="baseline"/>
      <w:outlineLvl w:val="2"/>
    </w:pPr>
    <w:rPr>
      <w:b/>
      <w:color w:val="000000"/>
      <w:kern w:val="0"/>
      <w:sz w:val="28"/>
      <w:szCs w:val="20"/>
    </w:rPr>
  </w:style>
  <w:style w:type="paragraph" w:styleId="4">
    <w:name w:val="heading 4"/>
    <w:basedOn w:val="1"/>
    <w:next w:val="1"/>
    <w:autoRedefine/>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pPr>
  </w:style>
  <w:style w:type="paragraph" w:styleId="6">
    <w:name w:val="Normal Indent"/>
    <w:basedOn w:val="1"/>
    <w:autoRedefine/>
    <w:qFormat/>
    <w:uiPriority w:val="0"/>
    <w:pPr>
      <w:ind w:firstLine="420" w:firstLineChars="200"/>
      <w:jc w:val="both"/>
    </w:pPr>
    <w:rPr>
      <w:rFonts w:ascii="Times New Roman" w:hAnsi="Times New Roman" w:eastAsia="宋体"/>
      <w:kern w:val="2"/>
      <w:sz w:val="21"/>
      <w:szCs w:val="20"/>
    </w:rPr>
  </w:style>
  <w:style w:type="paragraph" w:styleId="7">
    <w:name w:val="annotation text"/>
    <w:basedOn w:val="1"/>
    <w:autoRedefine/>
    <w:unhideWhenUsed/>
    <w:qFormat/>
    <w:uiPriority w:val="99"/>
    <w:pPr>
      <w:jc w:val="left"/>
    </w:pPr>
  </w:style>
  <w:style w:type="paragraph" w:styleId="8">
    <w:name w:val="Body Text"/>
    <w:basedOn w:val="1"/>
    <w:autoRedefine/>
    <w:qFormat/>
    <w:uiPriority w:val="0"/>
    <w:pPr>
      <w:spacing w:after="120"/>
    </w:pPr>
    <w:rPr>
      <w:kern w:val="0"/>
      <w:sz w:val="24"/>
    </w:rPr>
  </w:style>
  <w:style w:type="paragraph" w:styleId="9">
    <w:name w:val="Body Text Indent"/>
    <w:basedOn w:val="1"/>
    <w:next w:val="10"/>
    <w:autoRedefine/>
    <w:qFormat/>
    <w:uiPriority w:val="0"/>
    <w:pPr>
      <w:spacing w:after="120"/>
      <w:ind w:left="420" w:leftChars="200"/>
    </w:pPr>
    <w:rPr>
      <w:kern w:val="0"/>
      <w:sz w:val="24"/>
    </w:rPr>
  </w:style>
  <w:style w:type="paragraph" w:styleId="10">
    <w:name w:val="envelope return"/>
    <w:basedOn w:val="1"/>
    <w:autoRedefine/>
    <w:qFormat/>
    <w:uiPriority w:val="0"/>
    <w:pPr>
      <w:snapToGrid w:val="0"/>
    </w:pPr>
    <w:rPr>
      <w:rFonts w:ascii="Arial" w:hAnsi="Arial"/>
    </w:rPr>
  </w:style>
  <w:style w:type="paragraph" w:styleId="11">
    <w:name w:val="Plain Text"/>
    <w:basedOn w:val="1"/>
    <w:autoRedefine/>
    <w:qFormat/>
    <w:uiPriority w:val="0"/>
    <w:pPr>
      <w:widowControl w:val="0"/>
      <w:jc w:val="both"/>
    </w:pPr>
    <w:rPr>
      <w:rFonts w:ascii="宋体" w:hAnsi="Courier New" w:eastAsia="宋体" w:cs="金山简魏碑"/>
      <w:kern w:val="2"/>
      <w:sz w:val="21"/>
      <w:szCs w:val="21"/>
      <w:lang w:val="en-US" w:eastAsia="zh-CN" w:bidi="ar-SA"/>
    </w:rPr>
  </w:style>
  <w:style w:type="paragraph" w:styleId="12">
    <w:name w:val="Balloon Text"/>
    <w:basedOn w:val="1"/>
    <w:autoRedefine/>
    <w:qFormat/>
    <w:uiPriority w:val="0"/>
    <w:rPr>
      <w:rFonts w:ascii="Calibri" w:hAnsi="Calibri" w:eastAsia="宋体" w:cs="Times New Roman"/>
      <w:kern w:val="0"/>
      <w:sz w:val="18"/>
      <w:szCs w:val="18"/>
    </w:rPr>
  </w:style>
  <w:style w:type="paragraph" w:styleId="13">
    <w:name w:val="footer"/>
    <w:basedOn w:val="1"/>
    <w:autoRedefine/>
    <w:qFormat/>
    <w:uiPriority w:val="99"/>
    <w:pPr>
      <w:tabs>
        <w:tab w:val="center" w:pos="4153"/>
        <w:tab w:val="right" w:pos="8306"/>
      </w:tabs>
      <w:snapToGrid w:val="0"/>
      <w:jc w:val="left"/>
    </w:pPr>
    <w:rPr>
      <w:kern w:val="0"/>
      <w:sz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6">
    <w:name w:val="Title"/>
    <w:basedOn w:val="1"/>
    <w:next w:val="1"/>
    <w:autoRedefine/>
    <w:qFormat/>
    <w:uiPriority w:val="99"/>
    <w:pPr>
      <w:adjustRightInd w:val="0"/>
      <w:spacing w:before="240" w:after="60" w:line="420" w:lineRule="atLeast"/>
      <w:jc w:val="center"/>
      <w:textAlignment w:val="baseline"/>
      <w:outlineLvl w:val="0"/>
    </w:pPr>
    <w:rPr>
      <w:rFonts w:ascii="Arial" w:hAnsi="Arial" w:eastAsia="宋体"/>
      <w:b/>
      <w:sz w:val="32"/>
      <w:szCs w:val="20"/>
    </w:rPr>
  </w:style>
  <w:style w:type="paragraph" w:styleId="17">
    <w:name w:val="Body Text First Indent"/>
    <w:basedOn w:val="8"/>
    <w:autoRedefine/>
    <w:qFormat/>
    <w:uiPriority w:val="0"/>
    <w:pPr>
      <w:ind w:firstLine="420" w:firstLineChars="100"/>
    </w:pPr>
  </w:style>
  <w:style w:type="paragraph" w:styleId="18">
    <w:name w:val="Body Text First Indent 2"/>
    <w:basedOn w:val="9"/>
    <w:next w:val="1"/>
    <w:autoRedefine/>
    <w:qFormat/>
    <w:uiPriority w:val="0"/>
    <w:pPr>
      <w:spacing w:after="0" w:line="360" w:lineRule="auto"/>
      <w:ind w:left="0" w:leftChars="0" w:firstLine="420" w:firstLineChars="200"/>
    </w:pPr>
    <w:rPr>
      <w:rFonts w:ascii="宋体" w:hAnsi="宋体"/>
      <w:sz w:val="20"/>
    </w:rPr>
  </w:style>
  <w:style w:type="table" w:styleId="20">
    <w:name w:val="Table Grid"/>
    <w:basedOn w:val="1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autoRedefine/>
    <w:qFormat/>
    <w:uiPriority w:val="0"/>
  </w:style>
  <w:style w:type="character" w:styleId="23">
    <w:name w:val="FollowedHyperlink"/>
    <w:basedOn w:val="21"/>
    <w:autoRedefine/>
    <w:qFormat/>
    <w:uiPriority w:val="0"/>
    <w:rPr>
      <w:color w:val="800080"/>
      <w:u w:val="single"/>
    </w:rPr>
  </w:style>
  <w:style w:type="character" w:styleId="24">
    <w:name w:val="Hyperlink"/>
    <w:basedOn w:val="21"/>
    <w:autoRedefine/>
    <w:qFormat/>
    <w:uiPriority w:val="0"/>
    <w:rPr>
      <w:color w:val="0000FF"/>
      <w:u w:val="single"/>
    </w:rPr>
  </w:style>
  <w:style w:type="paragraph" w:customStyle="1" w:styleId="25">
    <w:name w:val="正文文本1"/>
    <w:basedOn w:val="1"/>
    <w:next w:val="1"/>
    <w:autoRedefine/>
    <w:qFormat/>
    <w:uiPriority w:val="99"/>
    <w:rPr>
      <w:sz w:val="20"/>
    </w:rPr>
  </w:style>
  <w:style w:type="paragraph" w:customStyle="1" w:styleId="26">
    <w:name w:val="一级条标题"/>
    <w:basedOn w:val="27"/>
    <w:next w:val="28"/>
    <w:autoRedefine/>
    <w:qFormat/>
    <w:uiPriority w:val="0"/>
    <w:pPr>
      <w:tabs>
        <w:tab w:val="left" w:pos="839"/>
        <w:tab w:val="left" w:pos="840"/>
      </w:tabs>
      <w:spacing w:beforeLines="50" w:afterLines="50"/>
      <w:ind w:left="2730" w:hanging="419"/>
      <w:outlineLvl w:val="2"/>
    </w:pPr>
    <w:rPr>
      <w:rFonts w:ascii="黑体" w:eastAsia="黑体"/>
      <w:sz w:val="21"/>
      <w:szCs w:val="21"/>
      <w:lang w:val="en-US" w:eastAsia="zh-CN" w:bidi="ar-SA"/>
    </w:rPr>
  </w:style>
  <w:style w:type="paragraph" w:customStyle="1" w:styleId="27">
    <w:name w:val="章标题"/>
    <w:next w:val="1"/>
    <w:autoRedefine/>
    <w:qFormat/>
    <w:uiPriority w:val="0"/>
    <w:pPr>
      <w:tabs>
        <w:tab w:val="left" w:pos="839"/>
      </w:tabs>
      <w:spacing w:beforeLines="100" w:afterLines="100"/>
      <w:ind w:left="839" w:hanging="419"/>
      <w:jc w:val="both"/>
      <w:outlineLvl w:val="1"/>
    </w:pPr>
    <w:rPr>
      <w:rFonts w:ascii="黑体" w:hAnsi="Times New Roman" w:eastAsia="黑体" w:cs="Times New Roman"/>
      <w:sz w:val="21"/>
      <w:lang w:val="en-US" w:eastAsia="zh-CN" w:bidi="ar-SA"/>
    </w:rPr>
  </w:style>
  <w:style w:type="paragraph" w:customStyle="1" w:styleId="28">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正文段落"/>
    <w:basedOn w:val="1"/>
    <w:autoRedefine/>
    <w:qFormat/>
    <w:uiPriority w:val="0"/>
    <w:pPr>
      <w:ind w:firstLine="200" w:firstLineChars="200"/>
    </w:pPr>
  </w:style>
  <w:style w:type="paragraph" w:styleId="30">
    <w:name w:val="List Paragraph"/>
    <w:basedOn w:val="1"/>
    <w:next w:val="1"/>
    <w:autoRedefine/>
    <w:qFormat/>
    <w:uiPriority w:val="0"/>
    <w:pPr>
      <w:ind w:firstLine="420" w:firstLineChars="200"/>
    </w:pPr>
  </w:style>
  <w:style w:type="paragraph" w:customStyle="1" w:styleId="31">
    <w:name w:val="列出段落1"/>
    <w:basedOn w:val="1"/>
    <w:autoRedefine/>
    <w:qFormat/>
    <w:uiPriority w:val="0"/>
    <w:pPr>
      <w:ind w:firstLine="420" w:firstLineChars="200"/>
    </w:pPr>
    <w:rPr>
      <w:szCs w:val="24"/>
    </w:rPr>
  </w:style>
  <w:style w:type="paragraph" w:customStyle="1" w:styleId="32">
    <w:name w:val="UserStyle_0"/>
    <w:basedOn w:val="1"/>
    <w:autoRedefine/>
    <w:qFormat/>
    <w:uiPriority w:val="0"/>
    <w:pPr>
      <w:ind w:firstLine="420" w:firstLineChars="200"/>
      <w:jc w:val="both"/>
      <w:textAlignment w:val="baseline"/>
    </w:pPr>
    <w:rPr>
      <w:rFonts w:ascii="Calibri" w:hAnsi="Calibri" w:eastAsia="宋体"/>
      <w:kern w:val="2"/>
      <w:sz w:val="21"/>
      <w:szCs w:val="21"/>
      <w:lang w:val="en-US" w:eastAsia="zh-CN" w:bidi="ar-SA"/>
    </w:rPr>
  </w:style>
  <w:style w:type="character" w:customStyle="1" w:styleId="33">
    <w:name w:val="NormalCharacter"/>
    <w:autoRedefine/>
    <w:semiHidden/>
    <w:qFormat/>
    <w:uiPriority w:val="0"/>
    <w:rPr>
      <w:kern w:val="2"/>
      <w:sz w:val="21"/>
      <w:lang w:val="en-US" w:eastAsia="zh-CN" w:bidi="ar-SA"/>
    </w:rPr>
  </w:style>
  <w:style w:type="character" w:customStyle="1" w:styleId="34">
    <w:name w:val="style3"/>
    <w:autoRedefine/>
    <w:qFormat/>
    <w:uiPriority w:val="0"/>
    <w:rPr>
      <w:rFonts w:cs="Times New Roman"/>
    </w:rPr>
  </w:style>
  <w:style w:type="paragraph" w:customStyle="1" w:styleId="35">
    <w:name w:val="正文1"/>
    <w:basedOn w:val="1"/>
    <w:autoRedefine/>
    <w:qFormat/>
    <w:uiPriority w:val="0"/>
    <w:pPr>
      <w:spacing w:before="156" w:line="360" w:lineRule="auto"/>
      <w:ind w:firstLine="510" w:firstLineChars="200"/>
    </w:pPr>
    <w:rPr>
      <w:sz w:val="24"/>
    </w:rPr>
  </w:style>
  <w:style w:type="paragraph" w:customStyle="1" w:styleId="36">
    <w:name w:val="Table Paragraph"/>
    <w:basedOn w:val="1"/>
    <w:autoRedefine/>
    <w:qFormat/>
    <w:uiPriority w:val="1"/>
    <w:rPr>
      <w:rFonts w:ascii="宋体" w:hAnsi="宋体" w:eastAsia="宋体" w:cs="宋体"/>
      <w:lang w:val="zh-CN" w:eastAsia="zh-CN" w:bidi="zh-CN"/>
    </w:rPr>
  </w:style>
  <w:style w:type="paragraph" w:customStyle="1" w:styleId="37">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38">
    <w:name w:val="No Spacing"/>
    <w:autoRedefine/>
    <w:qFormat/>
    <w:uiPriority w:val="1"/>
    <w:rPr>
      <w:rFonts w:ascii="Times New Roman" w:hAnsi="Times New Roman" w:eastAsia="宋体" w:cs="Times New Roman"/>
      <w:sz w:val="22"/>
      <w:szCs w:val="22"/>
      <w:lang w:val="en-US" w:eastAsia="zh-CN" w:bidi="ar-SA"/>
    </w:rPr>
  </w:style>
  <w:style w:type="paragraph" w:customStyle="1" w:styleId="39">
    <w:name w:val="Heading4"/>
    <w:basedOn w:val="1"/>
    <w:next w:val="1"/>
    <w:autoRedefine/>
    <w:qFormat/>
    <w:uiPriority w:val="0"/>
    <w:pPr>
      <w:keepNext/>
      <w:keepLines/>
      <w:spacing w:before="280" w:after="290" w:line="372" w:lineRule="auto"/>
      <w:jc w:val="both"/>
      <w:textAlignment w:val="baseline"/>
    </w:pPr>
    <w:rPr>
      <w:rFonts w:ascii="Arial" w:hAnsi="Arial" w:eastAsia="黑体"/>
      <w:b/>
      <w:kern w:val="2"/>
      <w:sz w:val="28"/>
      <w:szCs w:val="20"/>
      <w:lang w:val="en-US" w:eastAsia="zh-CN" w:bidi="ar-SA"/>
    </w:rPr>
  </w:style>
  <w:style w:type="paragraph" w:customStyle="1" w:styleId="40">
    <w:name w:val="Heading 21"/>
    <w:basedOn w:val="1"/>
    <w:autoRedefine/>
    <w:qFormat/>
    <w:uiPriority w:val="99"/>
    <w:pPr>
      <w:spacing w:before="14"/>
      <w:ind w:left="100"/>
      <w:outlineLvl w:val="2"/>
    </w:pPr>
    <w:rPr>
      <w:rFonts w:ascii="宋体" w:hAnsi="宋体" w:cs="宋体"/>
      <w:sz w:val="24"/>
      <w:szCs w:val="24"/>
    </w:rPr>
  </w:style>
  <w:style w:type="paragraph" w:customStyle="1" w:styleId="41">
    <w:name w:val="【正文】"/>
    <w:basedOn w:val="1"/>
    <w:autoRedefine/>
    <w:qFormat/>
    <w:uiPriority w:val="0"/>
    <w:pPr>
      <w:spacing w:line="360" w:lineRule="auto"/>
      <w:ind w:firstLine="480" w:firstLineChars="200"/>
    </w:pPr>
    <w:rPr>
      <w:rFonts w:ascii="Calibri" w:hAnsi="Calibri"/>
      <w:sz w:val="24"/>
      <w:szCs w:val="22"/>
    </w:rPr>
  </w:style>
  <w:style w:type="paragraph" w:customStyle="1" w:styleId="42">
    <w:name w:val="[Normal]"/>
    <w:autoRedefine/>
    <w:qFormat/>
    <w:uiPriority w:val="0"/>
    <w:rPr>
      <w:rFonts w:ascii="方正仿宋简体" w:hAnsi="方正仿宋简体" w:eastAsia="方正仿宋简体" w:cs="Courier New"/>
      <w:sz w:val="24"/>
      <w:szCs w:val="22"/>
      <w:lang w:val="zh-CN" w:eastAsia="zh-CN" w:bidi="ar-SA"/>
    </w:rPr>
  </w:style>
  <w:style w:type="paragraph" w:customStyle="1" w:styleId="43">
    <w:name w:val="首行缩进"/>
    <w:basedOn w:val="1"/>
    <w:autoRedefine/>
    <w:qFormat/>
    <w:uiPriority w:val="0"/>
    <w:pPr>
      <w:ind w:firstLine="480" w:firstLineChars="200"/>
    </w:pPr>
    <w:rPr>
      <w:lang w:val="zh-CN"/>
    </w:rPr>
  </w:style>
  <w:style w:type="character" w:customStyle="1" w:styleId="44">
    <w:name w:val="not([class*=suffix])"/>
    <w:basedOn w:val="21"/>
    <w:autoRedefine/>
    <w:qFormat/>
    <w:uiPriority w:val="0"/>
    <w:rPr>
      <w:sz w:val="19"/>
      <w:szCs w:val="19"/>
    </w:rPr>
  </w:style>
  <w:style w:type="character" w:customStyle="1" w:styleId="45">
    <w:name w:val="not([class*=suffix])1"/>
    <w:basedOn w:val="2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10069</Words>
  <Characters>10696</Characters>
  <Lines>0</Lines>
  <Paragraphs>0</Paragraphs>
  <TotalTime>3</TotalTime>
  <ScaleCrop>false</ScaleCrop>
  <LinksUpToDate>false</LinksUpToDate>
  <CharactersWithSpaces>10841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2024-03-13T06:18:00Z</cp:lastPrinted>
  <dcterms:modified xsi:type="dcterms:W3CDTF">2025-07-07T07:16:07Z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7068163AA46D4ED6BF80B8C6F6CDB276_13</vt:lpwstr>
  </property>
  <property fmtid="{D5CDD505-2E9C-101B-9397-08002B2CF9AE}" pid="4" name="KSOTemplateDocerSaveRecord">
    <vt:lpwstr>eyJoZGlkIjoiZTlhZTdmYmNjNjE1ZjA3NjQ0ZTBhMTBlZWJkZDI0MDEifQ==</vt:lpwstr>
  </property>
</Properties>
</file>