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59DBA">
      <w:pPr>
        <w:spacing w:line="502" w:lineRule="exact"/>
        <w:ind w:right="4"/>
        <w:jc w:val="both"/>
        <w:rPr>
          <w:rFonts w:hint="eastAsia" w:ascii="宋体" w:hAnsi="宋体" w:cs="宋体"/>
          <w:color w:val="auto"/>
          <w:sz w:val="44"/>
          <w:szCs w:val="44"/>
          <w:lang w:eastAsia="zh-CN"/>
        </w:rPr>
      </w:pPr>
    </w:p>
    <w:p w14:paraId="31B9939A">
      <w:pPr>
        <w:spacing w:line="360" w:lineRule="auto"/>
        <w:ind w:right="4"/>
        <w:jc w:val="center"/>
        <w:rPr>
          <w:rFonts w:hint="eastAsia" w:ascii="宋体" w:hAnsi="宋体" w:cs="宋体"/>
          <w:sz w:val="52"/>
          <w:szCs w:val="52"/>
          <w:lang w:eastAsia="zh-CN"/>
        </w:rPr>
      </w:pPr>
      <w:r>
        <w:rPr>
          <w:rFonts w:hint="eastAsia" w:ascii="宋体" w:hAnsi="宋体" w:cs="宋体"/>
          <w:sz w:val="52"/>
          <w:szCs w:val="52"/>
          <w:lang w:eastAsia="zh-CN"/>
        </w:rPr>
        <w:t>南京市玄武区九华山、玄武湖隧道</w:t>
      </w:r>
    </w:p>
    <w:p w14:paraId="2CB73AA0">
      <w:pPr>
        <w:spacing w:line="360" w:lineRule="auto"/>
        <w:ind w:right="4"/>
        <w:jc w:val="center"/>
        <w:rPr>
          <w:rFonts w:ascii="宋体" w:hAnsi="宋体" w:cs="宋体"/>
          <w:sz w:val="30"/>
          <w:szCs w:val="30"/>
        </w:rPr>
      </w:pPr>
      <w:r>
        <w:rPr>
          <w:rFonts w:hint="eastAsia" w:ascii="宋体" w:hAnsi="宋体" w:cs="宋体"/>
          <w:sz w:val="52"/>
          <w:szCs w:val="52"/>
          <w:lang w:eastAsia="zh-CN"/>
        </w:rPr>
        <w:t>机动车尾气治理设施维修服务项目</w:t>
      </w:r>
    </w:p>
    <w:p w14:paraId="18C2691F">
      <w:pPr>
        <w:spacing w:line="502" w:lineRule="exact"/>
        <w:ind w:right="4"/>
        <w:jc w:val="both"/>
        <w:rPr>
          <w:rFonts w:ascii="宋体" w:hAnsi="宋体" w:cs="宋体"/>
          <w:sz w:val="30"/>
          <w:szCs w:val="30"/>
        </w:rPr>
      </w:pPr>
    </w:p>
    <w:p w14:paraId="48201325">
      <w:pPr>
        <w:spacing w:line="502" w:lineRule="exact"/>
        <w:ind w:right="4" w:firstLine="960" w:firstLineChars="200"/>
        <w:jc w:val="center"/>
        <w:rPr>
          <w:rFonts w:ascii="宋体" w:hAnsi="宋体" w:cs="宋体"/>
          <w:sz w:val="30"/>
          <w:szCs w:val="30"/>
        </w:rPr>
      </w:pPr>
      <w:r>
        <w:rPr>
          <w:rFonts w:ascii="宋体" w:hAnsi="宋体" w:cs="宋体"/>
          <w:sz w:val="48"/>
          <w:szCs w:val="48"/>
        </w:rPr>
        <w:t>项目编号：</w:t>
      </w:r>
      <w:r>
        <w:rPr>
          <w:rFonts w:hint="eastAsia" w:ascii="宋体" w:hAnsi="宋体" w:cs="宋体"/>
          <w:sz w:val="48"/>
          <w:szCs w:val="48"/>
          <w:lang w:eastAsia="zh-CN"/>
        </w:rPr>
        <w:t>SC-ZC2025018</w:t>
      </w:r>
      <w:r>
        <w:rPr>
          <w:rFonts w:hint="eastAsia" w:ascii="宋体" w:hAnsi="宋体" w:cs="宋体"/>
          <w:sz w:val="30"/>
          <w:szCs w:val="30"/>
        </w:rPr>
        <w:tab/>
      </w:r>
    </w:p>
    <w:p w14:paraId="27B4496B">
      <w:pPr>
        <w:spacing w:line="502" w:lineRule="exact"/>
        <w:ind w:right="4" w:firstLine="600" w:firstLineChars="200"/>
        <w:jc w:val="center"/>
        <w:rPr>
          <w:rFonts w:ascii="宋体" w:hAnsi="宋体" w:cs="宋体"/>
          <w:sz w:val="30"/>
          <w:szCs w:val="30"/>
        </w:rPr>
      </w:pPr>
    </w:p>
    <w:p w14:paraId="26B89B34">
      <w:pPr>
        <w:spacing w:line="502" w:lineRule="exact"/>
        <w:ind w:right="4" w:firstLine="600" w:firstLineChars="200"/>
        <w:jc w:val="center"/>
        <w:rPr>
          <w:rFonts w:ascii="宋体" w:hAnsi="宋体" w:cs="宋体"/>
          <w:sz w:val="30"/>
          <w:szCs w:val="30"/>
        </w:rPr>
      </w:pPr>
    </w:p>
    <w:p w14:paraId="681A11A4">
      <w:pPr>
        <w:spacing w:line="502" w:lineRule="exact"/>
        <w:ind w:right="4" w:firstLine="600" w:firstLineChars="200"/>
        <w:jc w:val="center"/>
        <w:rPr>
          <w:rFonts w:ascii="宋体" w:hAnsi="宋体" w:cs="宋体"/>
          <w:sz w:val="30"/>
          <w:szCs w:val="30"/>
        </w:rPr>
      </w:pPr>
    </w:p>
    <w:p w14:paraId="7C2694F9">
      <w:pPr>
        <w:spacing w:line="240" w:lineRule="auto"/>
        <w:ind w:right="4"/>
        <w:jc w:val="center"/>
        <w:rPr>
          <w:sz w:val="72"/>
          <w:szCs w:val="72"/>
        </w:rPr>
      </w:pPr>
      <w:r>
        <w:rPr>
          <w:rFonts w:ascii="宋体" w:hAnsi="宋体" w:cs="宋体"/>
          <w:sz w:val="72"/>
          <w:szCs w:val="72"/>
        </w:rPr>
        <w:t>公</w:t>
      </w:r>
    </w:p>
    <w:p w14:paraId="1405F287">
      <w:pPr>
        <w:spacing w:line="240" w:lineRule="auto"/>
        <w:ind w:right="4"/>
        <w:jc w:val="center"/>
        <w:rPr>
          <w:sz w:val="72"/>
          <w:szCs w:val="72"/>
        </w:rPr>
      </w:pPr>
      <w:r>
        <w:rPr>
          <w:rFonts w:ascii="宋体" w:hAnsi="宋体" w:cs="宋体"/>
          <w:sz w:val="72"/>
          <w:szCs w:val="72"/>
        </w:rPr>
        <w:t>开</w:t>
      </w:r>
    </w:p>
    <w:p w14:paraId="03CAD0C8">
      <w:pPr>
        <w:spacing w:line="240" w:lineRule="auto"/>
        <w:ind w:right="4"/>
        <w:jc w:val="center"/>
        <w:rPr>
          <w:sz w:val="72"/>
          <w:szCs w:val="72"/>
        </w:rPr>
      </w:pPr>
      <w:r>
        <w:rPr>
          <w:rFonts w:ascii="宋体" w:hAnsi="宋体" w:cs="宋体"/>
          <w:sz w:val="72"/>
          <w:szCs w:val="72"/>
        </w:rPr>
        <w:t>招</w:t>
      </w:r>
    </w:p>
    <w:p w14:paraId="54517AB7">
      <w:pPr>
        <w:spacing w:line="240" w:lineRule="auto"/>
        <w:ind w:right="4"/>
        <w:jc w:val="center"/>
        <w:rPr>
          <w:sz w:val="72"/>
          <w:szCs w:val="72"/>
        </w:rPr>
      </w:pPr>
      <w:r>
        <w:rPr>
          <w:rFonts w:ascii="宋体" w:hAnsi="宋体" w:cs="宋体"/>
          <w:sz w:val="72"/>
          <w:szCs w:val="72"/>
        </w:rPr>
        <w:t>标</w:t>
      </w:r>
    </w:p>
    <w:p w14:paraId="4BC2B26E">
      <w:pPr>
        <w:spacing w:line="240" w:lineRule="auto"/>
        <w:ind w:right="4"/>
        <w:jc w:val="center"/>
        <w:rPr>
          <w:sz w:val="72"/>
          <w:szCs w:val="72"/>
        </w:rPr>
      </w:pPr>
      <w:r>
        <w:rPr>
          <w:rFonts w:ascii="宋体" w:hAnsi="宋体" w:cs="宋体"/>
          <w:sz w:val="72"/>
          <w:szCs w:val="72"/>
        </w:rPr>
        <w:t>文</w:t>
      </w:r>
    </w:p>
    <w:p w14:paraId="30ECC236">
      <w:pPr>
        <w:spacing w:line="240" w:lineRule="auto"/>
        <w:ind w:right="4"/>
        <w:jc w:val="center"/>
        <w:rPr>
          <w:rFonts w:ascii="宋体" w:hAnsi="宋体" w:cs="宋体"/>
          <w:sz w:val="72"/>
          <w:szCs w:val="72"/>
        </w:rPr>
      </w:pPr>
      <w:r>
        <w:rPr>
          <w:rFonts w:ascii="宋体" w:hAnsi="宋体" w:cs="宋体"/>
          <w:sz w:val="72"/>
          <w:szCs w:val="72"/>
        </w:rPr>
        <w:t>件</w:t>
      </w:r>
    </w:p>
    <w:p w14:paraId="650B14F2">
      <w:pPr>
        <w:pStyle w:val="7"/>
        <w:ind w:firstLine="442"/>
        <w:rPr>
          <w:rFonts w:ascii="宋体" w:hAnsi="宋体" w:cs="宋体"/>
          <w:b/>
          <w:bCs/>
          <w:sz w:val="44"/>
          <w:szCs w:val="44"/>
        </w:rPr>
      </w:pPr>
    </w:p>
    <w:p w14:paraId="7EA3FFA8">
      <w:pPr>
        <w:pStyle w:val="7"/>
        <w:ind w:left="0" w:leftChars="0" w:firstLine="0" w:firstLineChars="0"/>
        <w:rPr>
          <w:rFonts w:ascii="宋体" w:hAnsi="宋体" w:cs="宋体"/>
          <w:sz w:val="30"/>
          <w:szCs w:val="30"/>
        </w:rPr>
      </w:pPr>
    </w:p>
    <w:p w14:paraId="2BF8782D">
      <w:pPr>
        <w:pStyle w:val="7"/>
        <w:ind w:firstLine="300"/>
        <w:rPr>
          <w:rFonts w:ascii="宋体" w:hAnsi="宋体" w:cs="宋体"/>
          <w:sz w:val="30"/>
          <w:szCs w:val="30"/>
        </w:rPr>
      </w:pPr>
    </w:p>
    <w:p w14:paraId="4BCACD2F">
      <w:pPr>
        <w:spacing w:line="360" w:lineRule="auto"/>
        <w:ind w:right="1084"/>
        <w:jc w:val="both"/>
        <w:rPr>
          <w:rFonts w:hint="eastAsia" w:ascii="宋体" w:hAnsi="宋体" w:cs="宋体"/>
          <w:color w:val="auto"/>
          <w:sz w:val="36"/>
          <w:szCs w:val="36"/>
          <w:lang w:val="en-US" w:eastAsia="zh-CN"/>
        </w:rPr>
      </w:pPr>
      <w:r>
        <w:rPr>
          <w:rFonts w:hint="eastAsia" w:ascii="宋体" w:hAnsi="宋体" w:cs="宋体"/>
          <w:color w:val="auto"/>
          <w:sz w:val="36"/>
          <w:szCs w:val="36"/>
          <w:lang w:val="en-US" w:eastAsia="zh-CN"/>
        </w:rPr>
        <w:t>采购人：南京市玄武生态环境局</w:t>
      </w:r>
    </w:p>
    <w:p w14:paraId="5647ADFB">
      <w:pPr>
        <w:spacing w:line="360" w:lineRule="auto"/>
        <w:ind w:right="1084"/>
        <w:jc w:val="center"/>
        <w:rPr>
          <w:rFonts w:hint="eastAsia" w:ascii="宋体" w:hAnsi="宋体" w:cs="宋体"/>
          <w:color w:val="auto"/>
          <w:sz w:val="36"/>
          <w:szCs w:val="36"/>
          <w:lang w:val="en-US" w:eastAsia="zh-CN"/>
        </w:rPr>
      </w:pPr>
      <w:r>
        <w:rPr>
          <w:rFonts w:hint="eastAsia" w:ascii="宋体" w:hAnsi="宋体" w:cs="宋体"/>
          <w:color w:val="auto"/>
          <w:sz w:val="36"/>
          <w:szCs w:val="36"/>
          <w:lang w:val="en-US" w:eastAsia="zh-CN"/>
        </w:rPr>
        <w:t>采购代理机构：江苏省苏辰建设投资顾问有限公司</w:t>
      </w:r>
    </w:p>
    <w:p w14:paraId="6D12F1EB">
      <w:pPr>
        <w:spacing w:line="360" w:lineRule="auto"/>
        <w:ind w:right="1084"/>
        <w:jc w:val="both"/>
        <w:rPr>
          <w:rFonts w:ascii="宋体" w:hAnsi="宋体" w:eastAsia="黑体" w:cs="宋体"/>
          <w:bCs/>
          <w:color w:val="auto"/>
          <w:sz w:val="32"/>
          <w:szCs w:val="32"/>
        </w:rPr>
      </w:pPr>
      <w:r>
        <w:rPr>
          <w:rFonts w:hint="eastAsia" w:ascii="宋体" w:hAnsi="宋体" w:cs="宋体"/>
          <w:color w:val="auto"/>
          <w:sz w:val="36"/>
          <w:szCs w:val="36"/>
          <w:lang w:val="en-US" w:eastAsia="zh-CN"/>
        </w:rPr>
        <w:t>代理时间：2025年06月</w:t>
      </w:r>
      <w:bookmarkStart w:id="0" w:name="page2"/>
      <w:bookmarkEnd w:id="0"/>
    </w:p>
    <w:p w14:paraId="648E0381">
      <w:pPr>
        <w:spacing w:before="480" w:after="120"/>
        <w:jc w:val="center"/>
        <w:rPr>
          <w:rFonts w:eastAsia="黑体"/>
          <w:sz w:val="32"/>
          <w:szCs w:val="20"/>
        </w:rPr>
      </w:pPr>
      <w:r>
        <w:rPr>
          <w:rFonts w:ascii="宋体" w:hAnsi="宋体" w:eastAsia="黑体" w:cs="宋体"/>
          <w:bCs/>
          <w:sz w:val="32"/>
          <w:szCs w:val="32"/>
        </w:rPr>
        <w:t>目 录</w:t>
      </w:r>
    </w:p>
    <w:p w14:paraId="27C4DA39">
      <w:pPr>
        <w:tabs>
          <w:tab w:val="left" w:leader="dot" w:pos="8900"/>
        </w:tabs>
        <w:spacing w:line="267" w:lineRule="exact"/>
        <w:ind w:firstLine="420" w:firstLineChars="200"/>
        <w:rPr>
          <w:rFonts w:hint="eastAsia" w:ascii="Times New Roman" w:hAnsi="Times New Roman" w:eastAsia="宋体"/>
          <w:sz w:val="21"/>
          <w:szCs w:val="21"/>
          <w:lang w:eastAsia="zh-CN"/>
        </w:rPr>
      </w:pPr>
      <w:r>
        <w:rPr>
          <w:sz w:val="21"/>
          <w:szCs w:val="21"/>
        </w:rPr>
        <w:fldChar w:fldCharType="begin"/>
      </w:r>
      <w:r>
        <w:rPr>
          <w:sz w:val="21"/>
          <w:szCs w:val="21"/>
        </w:rPr>
        <w:instrText xml:space="preserve"> HYPERLINK \l "page3" \h </w:instrText>
      </w:r>
      <w:r>
        <w:rPr>
          <w:sz w:val="21"/>
          <w:szCs w:val="21"/>
        </w:rPr>
        <w:fldChar w:fldCharType="separate"/>
      </w:r>
      <w:r>
        <w:rPr>
          <w:rFonts w:ascii="宋体" w:hAnsi="宋体" w:cs="宋体"/>
          <w:sz w:val="21"/>
          <w:szCs w:val="21"/>
        </w:rPr>
        <w:t xml:space="preserve">第一章 </w:t>
      </w:r>
      <w:r>
        <w:rPr>
          <w:rFonts w:hint="eastAsia" w:ascii="宋体" w:hAnsi="宋体" w:cs="宋体"/>
          <w:sz w:val="21"/>
          <w:szCs w:val="21"/>
          <w:lang w:val="en-US" w:eastAsia="zh-CN"/>
        </w:rPr>
        <w:t>招标</w:t>
      </w:r>
      <w:r>
        <w:rPr>
          <w:rFonts w:ascii="宋体" w:hAnsi="宋体" w:cs="宋体"/>
          <w:sz w:val="21"/>
          <w:szCs w:val="21"/>
        </w:rPr>
        <w:t>公告</w:t>
      </w:r>
      <w:r>
        <w:rPr>
          <w:rFonts w:ascii="宋体" w:hAnsi="宋体" w:cs="宋体"/>
          <w:sz w:val="21"/>
          <w:szCs w:val="21"/>
        </w:rPr>
        <w:fldChar w:fldCharType="end"/>
      </w:r>
      <w:r>
        <w:rPr>
          <w:rFonts w:ascii="Times New Roman" w:hAnsi="Times New Roman" w:eastAsia="Times New Roman"/>
          <w:sz w:val="21"/>
          <w:szCs w:val="21"/>
        </w:rPr>
        <w:tab/>
      </w:r>
      <w:r>
        <w:rPr>
          <w:rFonts w:hint="eastAsia"/>
          <w:sz w:val="21"/>
          <w:szCs w:val="21"/>
          <w:lang w:val="en-US" w:eastAsia="zh-CN"/>
        </w:rPr>
        <w:t>1</w:t>
      </w:r>
    </w:p>
    <w:p w14:paraId="41825E60">
      <w:pPr>
        <w:tabs>
          <w:tab w:val="left" w:leader="dot" w:pos="8900"/>
        </w:tabs>
        <w:spacing w:line="267" w:lineRule="exact"/>
        <w:ind w:firstLine="420" w:firstLineChars="200"/>
        <w:rPr>
          <w:rFonts w:hint="eastAsia" w:ascii="Times New Roman" w:hAnsi="Times New Roman" w:eastAsia="宋体"/>
          <w:sz w:val="21"/>
          <w:szCs w:val="21"/>
          <w:lang w:eastAsia="zh-CN"/>
        </w:rPr>
      </w:pPr>
      <w:r>
        <w:rPr>
          <w:sz w:val="21"/>
          <w:szCs w:val="21"/>
        </w:rPr>
        <w:fldChar w:fldCharType="begin"/>
      </w:r>
      <w:r>
        <w:rPr>
          <w:sz w:val="21"/>
          <w:szCs w:val="21"/>
        </w:rPr>
        <w:instrText xml:space="preserve"> HYPERLINK \l "page8" \h </w:instrText>
      </w:r>
      <w:r>
        <w:rPr>
          <w:sz w:val="21"/>
          <w:szCs w:val="21"/>
        </w:rPr>
        <w:fldChar w:fldCharType="separate"/>
      </w:r>
      <w:r>
        <w:rPr>
          <w:rFonts w:ascii="宋体" w:hAnsi="宋体" w:cs="宋体"/>
          <w:sz w:val="21"/>
          <w:szCs w:val="21"/>
        </w:rPr>
        <w:t>第二章 供应商须知</w:t>
      </w:r>
      <w:r>
        <w:rPr>
          <w:rFonts w:ascii="宋体" w:hAnsi="宋体" w:cs="宋体"/>
          <w:sz w:val="21"/>
          <w:szCs w:val="21"/>
        </w:rPr>
        <w:fldChar w:fldCharType="end"/>
      </w:r>
      <w:r>
        <w:rPr>
          <w:rFonts w:ascii="Times New Roman" w:hAnsi="Times New Roman" w:eastAsia="Times New Roman"/>
          <w:sz w:val="21"/>
          <w:szCs w:val="21"/>
        </w:rPr>
        <w:tab/>
      </w:r>
      <w:r>
        <w:rPr>
          <w:rFonts w:hint="eastAsia"/>
          <w:sz w:val="21"/>
          <w:szCs w:val="21"/>
          <w:lang w:val="en-US" w:eastAsia="zh-CN"/>
        </w:rPr>
        <w:t>6</w:t>
      </w:r>
    </w:p>
    <w:p w14:paraId="57BCA0FE">
      <w:pPr>
        <w:tabs>
          <w:tab w:val="left" w:leader="dot" w:pos="8780"/>
        </w:tabs>
        <w:spacing w:line="280" w:lineRule="exact"/>
        <w:ind w:firstLine="420" w:firstLineChars="200"/>
        <w:rPr>
          <w:rFonts w:ascii="Times New Roman" w:hAnsi="Times New Roman" w:eastAsia="Times New Roman"/>
          <w:sz w:val="21"/>
          <w:szCs w:val="21"/>
        </w:rPr>
      </w:pPr>
      <w:r>
        <w:rPr>
          <w:sz w:val="21"/>
          <w:szCs w:val="21"/>
        </w:rPr>
        <w:fldChar w:fldCharType="begin"/>
      </w:r>
      <w:r>
        <w:rPr>
          <w:sz w:val="21"/>
          <w:szCs w:val="21"/>
        </w:rPr>
        <w:instrText xml:space="preserve"> HYPERLINK \l "page22" \h </w:instrText>
      </w:r>
      <w:r>
        <w:rPr>
          <w:sz w:val="21"/>
          <w:szCs w:val="21"/>
        </w:rPr>
        <w:fldChar w:fldCharType="separate"/>
      </w:r>
      <w:r>
        <w:rPr>
          <w:rFonts w:ascii="宋体" w:hAnsi="宋体" w:cs="宋体"/>
          <w:sz w:val="21"/>
          <w:szCs w:val="21"/>
        </w:rPr>
        <w:t>第三章 评标标准</w:t>
      </w:r>
      <w:r>
        <w:rPr>
          <w:rFonts w:ascii="宋体" w:hAnsi="宋体" w:cs="宋体"/>
          <w:sz w:val="21"/>
          <w:szCs w:val="21"/>
        </w:rPr>
        <w:fldChar w:fldCharType="end"/>
      </w:r>
      <w:r>
        <w:rPr>
          <w:rFonts w:ascii="Times New Roman" w:hAnsi="Times New Roman" w:eastAsia="Times New Roman"/>
          <w:sz w:val="21"/>
          <w:szCs w:val="21"/>
        </w:rPr>
        <w:tab/>
      </w:r>
      <w:r>
        <w:rPr>
          <w:sz w:val="21"/>
          <w:szCs w:val="21"/>
        </w:rPr>
        <w:fldChar w:fldCharType="begin"/>
      </w:r>
      <w:r>
        <w:rPr>
          <w:sz w:val="21"/>
          <w:szCs w:val="21"/>
        </w:rPr>
        <w:instrText xml:space="preserve"> HYPERLINK \l "page22" \h </w:instrText>
      </w:r>
      <w:r>
        <w:rPr>
          <w:sz w:val="21"/>
          <w:szCs w:val="21"/>
        </w:rPr>
        <w:fldChar w:fldCharType="separate"/>
      </w:r>
      <w:r>
        <w:rPr>
          <w:rFonts w:ascii="Times New Roman" w:hAnsi="Times New Roman" w:eastAsia="Times New Roman"/>
          <w:sz w:val="21"/>
          <w:szCs w:val="21"/>
        </w:rPr>
        <w:t>2</w:t>
      </w:r>
      <w:r>
        <w:rPr>
          <w:rFonts w:hint="eastAsia" w:ascii="Times New Roman" w:hAnsi="Times New Roman"/>
          <w:sz w:val="21"/>
          <w:szCs w:val="21"/>
          <w:lang w:val="en-US" w:eastAsia="zh-CN"/>
        </w:rPr>
        <w:t>2</w:t>
      </w:r>
      <w:r>
        <w:rPr>
          <w:rFonts w:ascii="Times New Roman" w:hAnsi="Times New Roman" w:eastAsia="Times New Roman"/>
          <w:sz w:val="21"/>
          <w:szCs w:val="21"/>
        </w:rPr>
        <w:fldChar w:fldCharType="end"/>
      </w:r>
    </w:p>
    <w:p w14:paraId="3CD38E83">
      <w:pPr>
        <w:tabs>
          <w:tab w:val="left" w:leader="dot" w:pos="8780"/>
        </w:tabs>
        <w:spacing w:line="280" w:lineRule="exact"/>
        <w:ind w:firstLine="420" w:firstLineChars="200"/>
        <w:rPr>
          <w:rFonts w:ascii="Times New Roman" w:hAnsi="Times New Roman" w:eastAsia="Times New Roman"/>
          <w:sz w:val="21"/>
          <w:szCs w:val="21"/>
        </w:rPr>
      </w:pPr>
      <w:r>
        <w:rPr>
          <w:sz w:val="21"/>
          <w:szCs w:val="21"/>
        </w:rPr>
        <w:fldChar w:fldCharType="begin"/>
      </w:r>
      <w:r>
        <w:rPr>
          <w:sz w:val="21"/>
          <w:szCs w:val="21"/>
        </w:rPr>
        <w:instrText xml:space="preserve"> HYPERLINK \l "page24" \h </w:instrText>
      </w:r>
      <w:r>
        <w:rPr>
          <w:sz w:val="21"/>
          <w:szCs w:val="21"/>
        </w:rPr>
        <w:fldChar w:fldCharType="separate"/>
      </w:r>
      <w:r>
        <w:rPr>
          <w:rFonts w:ascii="宋体" w:hAnsi="宋体" w:cs="宋体"/>
          <w:sz w:val="21"/>
          <w:szCs w:val="21"/>
        </w:rPr>
        <w:t>第四章 采购项目的内容和相关技术要求等</w:t>
      </w:r>
      <w:r>
        <w:rPr>
          <w:rFonts w:ascii="宋体" w:hAnsi="宋体" w:cs="宋体"/>
          <w:sz w:val="21"/>
          <w:szCs w:val="21"/>
        </w:rPr>
        <w:fldChar w:fldCharType="end"/>
      </w:r>
      <w:r>
        <w:rPr>
          <w:rFonts w:ascii="Times New Roman" w:hAnsi="Times New Roman" w:eastAsia="Times New Roman"/>
          <w:sz w:val="21"/>
          <w:szCs w:val="21"/>
        </w:rPr>
        <w:tab/>
      </w:r>
      <w:r>
        <w:rPr>
          <w:sz w:val="21"/>
          <w:szCs w:val="21"/>
        </w:rPr>
        <w:fldChar w:fldCharType="begin"/>
      </w:r>
      <w:r>
        <w:rPr>
          <w:sz w:val="21"/>
          <w:szCs w:val="21"/>
        </w:rPr>
        <w:instrText xml:space="preserve"> HYPERLINK \l "page24" \h </w:instrText>
      </w:r>
      <w:r>
        <w:rPr>
          <w:sz w:val="21"/>
          <w:szCs w:val="21"/>
        </w:rPr>
        <w:fldChar w:fldCharType="separate"/>
      </w:r>
      <w:r>
        <w:rPr>
          <w:rFonts w:ascii="Times New Roman" w:hAnsi="Times New Roman" w:eastAsia="Times New Roman"/>
          <w:sz w:val="21"/>
          <w:szCs w:val="21"/>
        </w:rPr>
        <w:t>2</w:t>
      </w:r>
      <w:r>
        <w:rPr>
          <w:rFonts w:hint="eastAsia" w:ascii="Times New Roman" w:hAnsi="Times New Roman"/>
          <w:sz w:val="21"/>
          <w:szCs w:val="21"/>
          <w:lang w:val="en-US" w:eastAsia="zh-CN"/>
        </w:rPr>
        <w:t>4</w:t>
      </w:r>
      <w:r>
        <w:rPr>
          <w:rFonts w:ascii="Times New Roman" w:hAnsi="Times New Roman" w:eastAsia="Times New Roman"/>
          <w:sz w:val="21"/>
          <w:szCs w:val="21"/>
        </w:rPr>
        <w:fldChar w:fldCharType="end"/>
      </w:r>
    </w:p>
    <w:p w14:paraId="10F441A0">
      <w:pPr>
        <w:tabs>
          <w:tab w:val="left" w:leader="dot" w:pos="8780"/>
        </w:tabs>
        <w:spacing w:line="280" w:lineRule="exact"/>
        <w:ind w:firstLine="420" w:firstLineChars="200"/>
        <w:rPr>
          <w:rFonts w:ascii="Times New Roman" w:hAnsi="Times New Roman" w:eastAsia="Times New Roman"/>
          <w:sz w:val="21"/>
          <w:szCs w:val="21"/>
        </w:rPr>
      </w:pPr>
      <w:r>
        <w:rPr>
          <w:sz w:val="21"/>
          <w:szCs w:val="21"/>
        </w:rPr>
        <w:fldChar w:fldCharType="begin"/>
      </w:r>
      <w:r>
        <w:rPr>
          <w:sz w:val="21"/>
          <w:szCs w:val="21"/>
        </w:rPr>
        <w:instrText xml:space="preserve"> HYPERLINK \l "page29" \h </w:instrText>
      </w:r>
      <w:r>
        <w:rPr>
          <w:sz w:val="21"/>
          <w:szCs w:val="21"/>
        </w:rPr>
        <w:fldChar w:fldCharType="separate"/>
      </w:r>
      <w:r>
        <w:rPr>
          <w:rFonts w:ascii="宋体" w:hAnsi="宋体" w:cs="宋体"/>
          <w:sz w:val="21"/>
          <w:szCs w:val="21"/>
        </w:rPr>
        <w:t>第五章 合同主要条款及格式</w:t>
      </w:r>
      <w:r>
        <w:rPr>
          <w:rFonts w:ascii="宋体" w:hAnsi="宋体" w:cs="宋体"/>
          <w:sz w:val="21"/>
          <w:szCs w:val="21"/>
        </w:rPr>
        <w:fldChar w:fldCharType="end"/>
      </w:r>
      <w:r>
        <w:rPr>
          <w:rFonts w:ascii="Times New Roman" w:hAnsi="Times New Roman" w:eastAsia="Times New Roman"/>
          <w:sz w:val="21"/>
          <w:szCs w:val="21"/>
        </w:rPr>
        <w:tab/>
      </w:r>
      <w:r>
        <w:rPr>
          <w:sz w:val="21"/>
          <w:szCs w:val="21"/>
        </w:rPr>
        <w:fldChar w:fldCharType="begin"/>
      </w:r>
      <w:r>
        <w:rPr>
          <w:sz w:val="21"/>
          <w:szCs w:val="21"/>
        </w:rPr>
        <w:instrText xml:space="preserve"> HYPERLINK \l "page29" \h </w:instrText>
      </w:r>
      <w:r>
        <w:rPr>
          <w:sz w:val="21"/>
          <w:szCs w:val="21"/>
        </w:rPr>
        <w:fldChar w:fldCharType="separate"/>
      </w:r>
      <w:r>
        <w:rPr>
          <w:rFonts w:ascii="Times New Roman" w:hAnsi="Times New Roman" w:eastAsia="Times New Roman"/>
          <w:sz w:val="21"/>
          <w:szCs w:val="21"/>
        </w:rPr>
        <w:t>2</w:t>
      </w:r>
      <w:r>
        <w:rPr>
          <w:rFonts w:hint="eastAsia" w:ascii="Times New Roman" w:hAnsi="Times New Roman"/>
          <w:sz w:val="21"/>
          <w:szCs w:val="21"/>
          <w:lang w:val="en-US" w:eastAsia="zh-CN"/>
        </w:rPr>
        <w:t>7</w:t>
      </w:r>
      <w:r>
        <w:rPr>
          <w:rFonts w:ascii="Times New Roman" w:hAnsi="Times New Roman" w:eastAsia="Times New Roman"/>
          <w:sz w:val="21"/>
          <w:szCs w:val="21"/>
        </w:rPr>
        <w:fldChar w:fldCharType="end"/>
      </w:r>
    </w:p>
    <w:p w14:paraId="552E251D">
      <w:pPr>
        <w:tabs>
          <w:tab w:val="left" w:leader="dot" w:pos="8780"/>
        </w:tabs>
        <w:spacing w:line="280" w:lineRule="exact"/>
        <w:ind w:firstLine="420" w:firstLineChars="200"/>
        <w:rPr>
          <w:rFonts w:ascii="Times New Roman" w:hAnsi="Times New Roman" w:eastAsia="Times New Roman"/>
          <w:sz w:val="21"/>
          <w:szCs w:val="21"/>
        </w:rPr>
      </w:pPr>
      <w:r>
        <w:rPr>
          <w:sz w:val="21"/>
          <w:szCs w:val="21"/>
        </w:rPr>
        <w:fldChar w:fldCharType="begin"/>
      </w:r>
      <w:r>
        <w:rPr>
          <w:sz w:val="21"/>
          <w:szCs w:val="21"/>
        </w:rPr>
        <w:instrText xml:space="preserve"> HYPERLINK \l "page36" \h </w:instrText>
      </w:r>
      <w:r>
        <w:rPr>
          <w:sz w:val="21"/>
          <w:szCs w:val="21"/>
        </w:rPr>
        <w:fldChar w:fldCharType="separate"/>
      </w:r>
      <w:r>
        <w:rPr>
          <w:rFonts w:ascii="宋体" w:hAnsi="宋体" w:cs="宋体"/>
          <w:sz w:val="21"/>
          <w:szCs w:val="21"/>
        </w:rPr>
        <w:t>第六章 附件</w:t>
      </w:r>
      <w:r>
        <w:rPr>
          <w:rFonts w:ascii="宋体" w:hAnsi="宋体" w:cs="宋体"/>
          <w:sz w:val="21"/>
          <w:szCs w:val="21"/>
        </w:rPr>
        <w:fldChar w:fldCharType="end"/>
      </w:r>
      <w:r>
        <w:rPr>
          <w:rFonts w:ascii="Times New Roman" w:hAnsi="Times New Roman" w:eastAsia="Times New Roman"/>
          <w:sz w:val="21"/>
          <w:szCs w:val="21"/>
        </w:rPr>
        <w:tab/>
      </w:r>
      <w:r>
        <w:rPr>
          <w:sz w:val="21"/>
          <w:szCs w:val="21"/>
        </w:rPr>
        <w:fldChar w:fldCharType="begin"/>
      </w:r>
      <w:r>
        <w:rPr>
          <w:sz w:val="21"/>
          <w:szCs w:val="21"/>
        </w:rPr>
        <w:instrText xml:space="preserve"> HYPERLINK \l "page36" \h </w:instrText>
      </w:r>
      <w:r>
        <w:rPr>
          <w:sz w:val="21"/>
          <w:szCs w:val="21"/>
        </w:rPr>
        <w:fldChar w:fldCharType="separate"/>
      </w:r>
      <w:r>
        <w:rPr>
          <w:rFonts w:ascii="Times New Roman" w:hAnsi="Times New Roman" w:eastAsia="Times New Roman"/>
          <w:sz w:val="21"/>
          <w:szCs w:val="21"/>
        </w:rPr>
        <w:t>3</w:t>
      </w:r>
      <w:r>
        <w:rPr>
          <w:rFonts w:hint="eastAsia" w:ascii="Times New Roman" w:hAnsi="Times New Roman"/>
          <w:sz w:val="21"/>
          <w:szCs w:val="21"/>
          <w:lang w:val="en-US" w:eastAsia="zh-CN"/>
        </w:rPr>
        <w:t>6</w:t>
      </w:r>
      <w:r>
        <w:rPr>
          <w:rFonts w:ascii="Times New Roman" w:hAnsi="Times New Roman" w:eastAsia="Times New Roman"/>
          <w:sz w:val="21"/>
          <w:szCs w:val="21"/>
        </w:rPr>
        <w:fldChar w:fldCharType="end"/>
      </w:r>
    </w:p>
    <w:p w14:paraId="5E11B557">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"page38" \h </w:instrText>
      </w:r>
      <w:r>
        <w:rPr>
          <w:sz w:val="21"/>
          <w:szCs w:val="21"/>
        </w:rPr>
        <w:fldChar w:fldCharType="separate"/>
      </w:r>
      <w:r>
        <w:rPr>
          <w:rFonts w:ascii="宋体" w:hAnsi="宋体" w:cs="宋体"/>
          <w:sz w:val="21"/>
          <w:szCs w:val="21"/>
        </w:rPr>
        <w:t>评分索引表（可按需调整）</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"page38" \h </w:instrText>
      </w:r>
      <w:r>
        <w:rPr>
          <w:sz w:val="21"/>
          <w:szCs w:val="21"/>
        </w:rPr>
        <w:fldChar w:fldCharType="separate"/>
      </w:r>
      <w:r>
        <w:rPr>
          <w:rFonts w:eastAsia="Calibri" w:cs="Calibri"/>
          <w:sz w:val="21"/>
          <w:szCs w:val="21"/>
        </w:rPr>
        <w:t>3</w:t>
      </w:r>
      <w:r>
        <w:rPr>
          <w:rFonts w:hint="eastAsia" w:cs="Calibri"/>
          <w:sz w:val="21"/>
          <w:szCs w:val="21"/>
          <w:lang w:val="en-US" w:eastAsia="zh-CN"/>
        </w:rPr>
        <w:t>7</w:t>
      </w:r>
      <w:r>
        <w:rPr>
          <w:rFonts w:eastAsia="Calibri" w:cs="Calibri"/>
          <w:sz w:val="21"/>
          <w:szCs w:val="21"/>
        </w:rPr>
        <w:fldChar w:fldCharType="end"/>
      </w:r>
    </w:p>
    <w:p w14:paraId="54D753B7">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"page39" \h </w:instrText>
      </w:r>
      <w:r>
        <w:rPr>
          <w:sz w:val="21"/>
          <w:szCs w:val="21"/>
        </w:rPr>
        <w:fldChar w:fldCharType="separate"/>
      </w:r>
      <w:r>
        <w:rPr>
          <w:rFonts w:ascii="宋体" w:hAnsi="宋体" w:cs="宋体"/>
          <w:sz w:val="21"/>
          <w:szCs w:val="21"/>
        </w:rPr>
        <w:t>附件一、投标申请及声明格式</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"page39" \h </w:instrText>
      </w:r>
      <w:r>
        <w:rPr>
          <w:sz w:val="21"/>
          <w:szCs w:val="21"/>
        </w:rPr>
        <w:fldChar w:fldCharType="separate"/>
      </w:r>
      <w:r>
        <w:rPr>
          <w:rFonts w:eastAsia="Calibri" w:cs="Calibri"/>
          <w:sz w:val="21"/>
          <w:szCs w:val="21"/>
        </w:rPr>
        <w:t>3</w:t>
      </w:r>
      <w:r>
        <w:rPr>
          <w:rFonts w:hint="eastAsia" w:cs="Calibri"/>
          <w:sz w:val="21"/>
          <w:szCs w:val="21"/>
          <w:lang w:val="en-US" w:eastAsia="zh-CN"/>
        </w:rPr>
        <w:t>8</w:t>
      </w:r>
      <w:r>
        <w:rPr>
          <w:rFonts w:eastAsia="Calibri" w:cs="Calibri"/>
          <w:sz w:val="21"/>
          <w:szCs w:val="21"/>
        </w:rPr>
        <w:fldChar w:fldCharType="end"/>
      </w:r>
    </w:p>
    <w:p w14:paraId="1342779A">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"page41" \h </w:instrText>
      </w:r>
      <w:r>
        <w:rPr>
          <w:sz w:val="21"/>
          <w:szCs w:val="21"/>
        </w:rPr>
        <w:fldChar w:fldCharType="separate"/>
      </w:r>
      <w:r>
        <w:rPr>
          <w:rFonts w:ascii="宋体" w:hAnsi="宋体" w:cs="宋体"/>
          <w:sz w:val="21"/>
          <w:szCs w:val="21"/>
        </w:rPr>
        <w:t>附件二、法定代表人授权委托书格式</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"page41" \h </w:instrText>
      </w:r>
      <w:r>
        <w:rPr>
          <w:sz w:val="21"/>
          <w:szCs w:val="21"/>
        </w:rPr>
        <w:fldChar w:fldCharType="separate"/>
      </w:r>
      <w:r>
        <w:rPr>
          <w:rFonts w:eastAsia="Calibri" w:cs="Calibri"/>
          <w:sz w:val="21"/>
          <w:szCs w:val="21"/>
        </w:rPr>
        <w:t>4</w:t>
      </w:r>
      <w:r>
        <w:rPr>
          <w:rFonts w:hint="eastAsia" w:cs="Calibri"/>
          <w:sz w:val="21"/>
          <w:szCs w:val="21"/>
          <w:lang w:val="en-US" w:eastAsia="zh-CN"/>
        </w:rPr>
        <w:t>0</w:t>
      </w:r>
      <w:r>
        <w:rPr>
          <w:rFonts w:eastAsia="Calibri" w:cs="Calibri"/>
          <w:sz w:val="21"/>
          <w:szCs w:val="21"/>
        </w:rPr>
        <w:fldChar w:fldCharType="end"/>
      </w:r>
    </w:p>
    <w:p w14:paraId="52D64148">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"page42" \h </w:instrText>
      </w:r>
      <w:r>
        <w:rPr>
          <w:sz w:val="21"/>
          <w:szCs w:val="21"/>
        </w:rPr>
        <w:fldChar w:fldCharType="separate"/>
      </w:r>
      <w:r>
        <w:rPr>
          <w:rFonts w:ascii="宋体" w:hAnsi="宋体" w:cs="宋体"/>
          <w:sz w:val="21"/>
          <w:szCs w:val="21"/>
        </w:rPr>
        <w:t>附件三、报价表</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"page42" \h </w:instrText>
      </w:r>
      <w:r>
        <w:rPr>
          <w:sz w:val="21"/>
          <w:szCs w:val="21"/>
        </w:rPr>
        <w:fldChar w:fldCharType="separate"/>
      </w:r>
      <w:r>
        <w:rPr>
          <w:rFonts w:eastAsia="Calibri" w:cs="Calibri"/>
          <w:sz w:val="21"/>
          <w:szCs w:val="21"/>
        </w:rPr>
        <w:t>4</w:t>
      </w:r>
      <w:r>
        <w:rPr>
          <w:rFonts w:hint="eastAsia" w:cs="Calibri"/>
          <w:sz w:val="21"/>
          <w:szCs w:val="21"/>
          <w:lang w:val="en-US" w:eastAsia="zh-CN"/>
        </w:rPr>
        <w:t>1</w:t>
      </w:r>
      <w:r>
        <w:rPr>
          <w:rFonts w:eastAsia="Calibri" w:cs="Calibri"/>
          <w:sz w:val="21"/>
          <w:szCs w:val="21"/>
        </w:rPr>
        <w:fldChar w:fldCharType="end"/>
      </w:r>
    </w:p>
    <w:p w14:paraId="1DE262A1">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"page43" \h </w:instrText>
      </w:r>
      <w:r>
        <w:rPr>
          <w:sz w:val="21"/>
          <w:szCs w:val="21"/>
        </w:rPr>
        <w:fldChar w:fldCharType="separate"/>
      </w:r>
      <w:r>
        <w:rPr>
          <w:rFonts w:ascii="宋体" w:hAnsi="宋体" w:cs="宋体"/>
          <w:sz w:val="21"/>
          <w:szCs w:val="21"/>
        </w:rPr>
        <w:t>附件四、分项报价表格式（格式内容可根据投标内容自行调整）</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"page43" \h </w:instrText>
      </w:r>
      <w:r>
        <w:rPr>
          <w:sz w:val="21"/>
          <w:szCs w:val="21"/>
        </w:rPr>
        <w:fldChar w:fldCharType="separate"/>
      </w:r>
      <w:r>
        <w:rPr>
          <w:rFonts w:eastAsia="Calibri" w:cs="Calibri"/>
          <w:sz w:val="21"/>
          <w:szCs w:val="21"/>
        </w:rPr>
        <w:t>4</w:t>
      </w:r>
      <w:r>
        <w:rPr>
          <w:rFonts w:hint="eastAsia" w:cs="Calibri"/>
          <w:sz w:val="21"/>
          <w:szCs w:val="21"/>
          <w:lang w:val="en-US" w:eastAsia="zh-CN"/>
        </w:rPr>
        <w:t>2</w:t>
      </w:r>
      <w:r>
        <w:rPr>
          <w:rFonts w:eastAsia="Calibri" w:cs="Calibri"/>
          <w:sz w:val="21"/>
          <w:szCs w:val="21"/>
        </w:rPr>
        <w:fldChar w:fldCharType="end"/>
      </w:r>
    </w:p>
    <w:p w14:paraId="22594F08">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"page44" \h </w:instrText>
      </w:r>
      <w:r>
        <w:rPr>
          <w:sz w:val="21"/>
          <w:szCs w:val="21"/>
        </w:rPr>
        <w:fldChar w:fldCharType="separate"/>
      </w:r>
      <w:r>
        <w:rPr>
          <w:rFonts w:ascii="宋体" w:hAnsi="宋体" w:cs="宋体"/>
          <w:sz w:val="21"/>
          <w:szCs w:val="21"/>
        </w:rPr>
        <w:t>附件五、技术规格偏离表格式</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"page44" \h </w:instrText>
      </w:r>
      <w:r>
        <w:rPr>
          <w:sz w:val="21"/>
          <w:szCs w:val="21"/>
        </w:rPr>
        <w:fldChar w:fldCharType="separate"/>
      </w:r>
      <w:r>
        <w:rPr>
          <w:rFonts w:eastAsia="Calibri" w:cs="Calibri"/>
          <w:sz w:val="21"/>
          <w:szCs w:val="21"/>
        </w:rPr>
        <w:t>4</w:t>
      </w:r>
      <w:r>
        <w:rPr>
          <w:rFonts w:hint="eastAsia" w:cs="Calibri"/>
          <w:sz w:val="21"/>
          <w:szCs w:val="21"/>
          <w:lang w:val="en-US" w:eastAsia="zh-CN"/>
        </w:rPr>
        <w:t>3</w:t>
      </w:r>
      <w:r>
        <w:rPr>
          <w:rFonts w:eastAsia="Calibri" w:cs="Calibri"/>
          <w:sz w:val="21"/>
          <w:szCs w:val="21"/>
        </w:rPr>
        <w:fldChar w:fldCharType="end"/>
      </w:r>
    </w:p>
    <w:p w14:paraId="3886D648">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"page45" \h </w:instrText>
      </w:r>
      <w:r>
        <w:rPr>
          <w:sz w:val="21"/>
          <w:szCs w:val="21"/>
        </w:rPr>
        <w:fldChar w:fldCharType="separate"/>
      </w:r>
      <w:r>
        <w:rPr>
          <w:rFonts w:ascii="宋体" w:hAnsi="宋体" w:cs="宋体"/>
          <w:sz w:val="21"/>
          <w:szCs w:val="21"/>
        </w:rPr>
        <w:t>附件六、商务条款偏离表格式</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"page45" \h </w:instrText>
      </w:r>
      <w:r>
        <w:rPr>
          <w:sz w:val="21"/>
          <w:szCs w:val="21"/>
        </w:rPr>
        <w:fldChar w:fldCharType="separate"/>
      </w:r>
      <w:r>
        <w:rPr>
          <w:rFonts w:eastAsia="Calibri" w:cs="Calibri"/>
          <w:sz w:val="21"/>
          <w:szCs w:val="21"/>
        </w:rPr>
        <w:t>4</w:t>
      </w:r>
      <w:r>
        <w:rPr>
          <w:rFonts w:hint="eastAsia" w:cs="Calibri"/>
          <w:sz w:val="21"/>
          <w:szCs w:val="21"/>
          <w:lang w:val="en-US" w:eastAsia="zh-CN"/>
        </w:rPr>
        <w:t>4</w:t>
      </w:r>
      <w:r>
        <w:rPr>
          <w:rFonts w:eastAsia="Calibri" w:cs="Calibri"/>
          <w:sz w:val="21"/>
          <w:szCs w:val="21"/>
        </w:rPr>
        <w:fldChar w:fldCharType="end"/>
      </w:r>
    </w:p>
    <w:p w14:paraId="7D199267">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"page46" \h </w:instrText>
      </w:r>
      <w:r>
        <w:rPr>
          <w:sz w:val="21"/>
          <w:szCs w:val="21"/>
        </w:rPr>
        <w:fldChar w:fldCharType="separate"/>
      </w:r>
      <w:r>
        <w:rPr>
          <w:rFonts w:ascii="宋体" w:hAnsi="宋体" w:cs="宋体"/>
          <w:sz w:val="21"/>
          <w:szCs w:val="21"/>
        </w:rPr>
        <w:t>附件七、技术说明与服务方案</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"page46" \h </w:instrText>
      </w:r>
      <w:r>
        <w:rPr>
          <w:sz w:val="21"/>
          <w:szCs w:val="21"/>
        </w:rPr>
        <w:fldChar w:fldCharType="separate"/>
      </w:r>
      <w:r>
        <w:rPr>
          <w:rFonts w:eastAsia="Calibri" w:cs="Calibri"/>
          <w:sz w:val="21"/>
          <w:szCs w:val="21"/>
        </w:rPr>
        <w:t>4</w:t>
      </w:r>
      <w:r>
        <w:rPr>
          <w:rFonts w:hint="eastAsia" w:cs="Calibri"/>
          <w:sz w:val="21"/>
          <w:szCs w:val="21"/>
          <w:lang w:val="en-US" w:eastAsia="zh-CN"/>
        </w:rPr>
        <w:t>5</w:t>
      </w:r>
      <w:r>
        <w:rPr>
          <w:rFonts w:eastAsia="Calibri" w:cs="Calibri"/>
          <w:sz w:val="21"/>
          <w:szCs w:val="21"/>
        </w:rPr>
        <w:fldChar w:fldCharType="end"/>
      </w:r>
    </w:p>
    <w:p w14:paraId="28AD1D57">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"page47" \h </w:instrText>
      </w:r>
      <w:r>
        <w:rPr>
          <w:sz w:val="21"/>
          <w:szCs w:val="21"/>
        </w:rPr>
        <w:fldChar w:fldCharType="separate"/>
      </w:r>
      <w:r>
        <w:rPr>
          <w:rFonts w:ascii="宋体" w:hAnsi="宋体" w:cs="宋体"/>
          <w:sz w:val="21"/>
          <w:szCs w:val="21"/>
        </w:rPr>
        <w:t>附件八、供应商类似业绩情况表</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"page47" \h </w:instrText>
      </w:r>
      <w:r>
        <w:rPr>
          <w:sz w:val="21"/>
          <w:szCs w:val="21"/>
        </w:rPr>
        <w:fldChar w:fldCharType="separate"/>
      </w:r>
      <w:r>
        <w:rPr>
          <w:rFonts w:eastAsia="Calibri" w:cs="Calibri"/>
          <w:sz w:val="21"/>
          <w:szCs w:val="21"/>
        </w:rPr>
        <w:t>4</w:t>
      </w:r>
      <w:r>
        <w:rPr>
          <w:rFonts w:hint="eastAsia" w:cs="Calibri"/>
          <w:sz w:val="21"/>
          <w:szCs w:val="21"/>
          <w:lang w:val="en-US" w:eastAsia="zh-CN"/>
        </w:rPr>
        <w:t>6</w:t>
      </w:r>
      <w:r>
        <w:rPr>
          <w:rFonts w:eastAsia="Calibri" w:cs="Calibri"/>
          <w:sz w:val="21"/>
          <w:szCs w:val="21"/>
        </w:rPr>
        <w:fldChar w:fldCharType="end"/>
      </w:r>
    </w:p>
    <w:p w14:paraId="36B15CFA">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"page48" \h </w:instrText>
      </w:r>
      <w:r>
        <w:rPr>
          <w:sz w:val="21"/>
          <w:szCs w:val="21"/>
        </w:rPr>
        <w:fldChar w:fldCharType="separate"/>
      </w:r>
      <w:r>
        <w:rPr>
          <w:rFonts w:ascii="宋体" w:hAnsi="宋体" w:cs="宋体"/>
          <w:sz w:val="21"/>
          <w:szCs w:val="21"/>
        </w:rPr>
        <w:t>附件九、企业声明函格式</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"page48" \h </w:instrText>
      </w:r>
      <w:r>
        <w:rPr>
          <w:sz w:val="21"/>
          <w:szCs w:val="21"/>
        </w:rPr>
        <w:fldChar w:fldCharType="separate"/>
      </w:r>
      <w:r>
        <w:rPr>
          <w:rFonts w:eastAsia="Calibri" w:cs="Calibri"/>
          <w:sz w:val="21"/>
          <w:szCs w:val="21"/>
        </w:rPr>
        <w:t>4</w:t>
      </w:r>
      <w:r>
        <w:rPr>
          <w:rFonts w:hint="eastAsia" w:cs="Calibri"/>
          <w:sz w:val="21"/>
          <w:szCs w:val="21"/>
          <w:lang w:val="en-US" w:eastAsia="zh-CN"/>
        </w:rPr>
        <w:t>7</w:t>
      </w:r>
      <w:r>
        <w:rPr>
          <w:rFonts w:eastAsia="Calibri" w:cs="Calibri"/>
          <w:sz w:val="21"/>
          <w:szCs w:val="21"/>
        </w:rPr>
        <w:fldChar w:fldCharType="end"/>
      </w:r>
    </w:p>
    <w:p w14:paraId="6C008C07">
      <w:pPr>
        <w:tabs>
          <w:tab w:val="left" w:leader="dot" w:pos="8780"/>
        </w:tabs>
        <w:spacing w:line="270" w:lineRule="exact"/>
        <w:ind w:left="420" w:firstLine="420" w:firstLineChars="200"/>
        <w:rPr>
          <w:rFonts w:hint="default" w:eastAsia="宋体" w:cs="Calibri"/>
          <w:sz w:val="21"/>
          <w:szCs w:val="21"/>
          <w:lang w:val="en-US" w:eastAsia="zh-CN"/>
        </w:rPr>
      </w:pPr>
      <w:r>
        <w:rPr>
          <w:sz w:val="21"/>
          <w:szCs w:val="21"/>
        </w:rPr>
        <w:fldChar w:fldCharType="begin"/>
      </w:r>
      <w:r>
        <w:rPr>
          <w:sz w:val="21"/>
          <w:szCs w:val="21"/>
        </w:rPr>
        <w:instrText xml:space="preserve"> HYPERLINK \l "page50" \h </w:instrText>
      </w:r>
      <w:r>
        <w:rPr>
          <w:sz w:val="21"/>
          <w:szCs w:val="21"/>
        </w:rPr>
        <w:fldChar w:fldCharType="separate"/>
      </w:r>
      <w:r>
        <w:rPr>
          <w:rFonts w:ascii="宋体" w:hAnsi="宋体" w:cs="宋体"/>
          <w:sz w:val="21"/>
          <w:szCs w:val="21"/>
        </w:rPr>
        <w:t>附件十、无重大违法记录声明格式</w:t>
      </w:r>
      <w:r>
        <w:rPr>
          <w:rFonts w:ascii="宋体" w:hAnsi="宋体" w:cs="宋体"/>
          <w:sz w:val="21"/>
          <w:szCs w:val="21"/>
        </w:rPr>
        <w:fldChar w:fldCharType="end"/>
      </w:r>
      <w:r>
        <w:rPr>
          <w:rFonts w:eastAsia="Calibri" w:cs="Calibri"/>
          <w:sz w:val="21"/>
          <w:szCs w:val="21"/>
        </w:rPr>
        <w:tab/>
      </w:r>
      <w:r>
        <w:rPr>
          <w:rFonts w:hint="eastAsia"/>
          <w:sz w:val="21"/>
          <w:szCs w:val="21"/>
          <w:lang w:val="en-US" w:eastAsia="zh-CN"/>
        </w:rPr>
        <w:t>49</w:t>
      </w:r>
    </w:p>
    <w:p w14:paraId="0A5BF703">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"page51" \h </w:instrText>
      </w:r>
      <w:r>
        <w:rPr>
          <w:sz w:val="21"/>
          <w:szCs w:val="21"/>
        </w:rPr>
        <w:fldChar w:fldCharType="separate"/>
      </w:r>
      <w:r>
        <w:rPr>
          <w:rFonts w:ascii="宋体" w:hAnsi="宋体" w:cs="宋体"/>
          <w:sz w:val="21"/>
          <w:szCs w:val="21"/>
        </w:rPr>
        <w:t>附件十一、 资格资信证明文件</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"page51" \h </w:instrText>
      </w:r>
      <w:r>
        <w:rPr>
          <w:sz w:val="21"/>
          <w:szCs w:val="21"/>
        </w:rPr>
        <w:fldChar w:fldCharType="separate"/>
      </w:r>
      <w:r>
        <w:rPr>
          <w:rFonts w:eastAsia="Calibri" w:cs="Calibri"/>
          <w:sz w:val="21"/>
          <w:szCs w:val="21"/>
        </w:rPr>
        <w:t>5</w:t>
      </w:r>
      <w:r>
        <w:rPr>
          <w:rFonts w:hint="eastAsia" w:cs="Calibri"/>
          <w:sz w:val="21"/>
          <w:szCs w:val="21"/>
          <w:lang w:val="en-US" w:eastAsia="zh-CN"/>
        </w:rPr>
        <w:t>0</w:t>
      </w:r>
      <w:r>
        <w:rPr>
          <w:rFonts w:eastAsia="Calibri" w:cs="Calibri"/>
          <w:sz w:val="21"/>
          <w:szCs w:val="21"/>
        </w:rPr>
        <w:fldChar w:fldCharType="end"/>
      </w:r>
    </w:p>
    <w:p w14:paraId="69A50896">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"page51" \h </w:instrText>
      </w:r>
      <w:r>
        <w:rPr>
          <w:sz w:val="21"/>
          <w:szCs w:val="21"/>
        </w:rPr>
        <w:fldChar w:fldCharType="separate"/>
      </w:r>
      <w:r>
        <w:rPr>
          <w:rFonts w:ascii="宋体" w:hAnsi="宋体" w:cs="宋体"/>
          <w:sz w:val="21"/>
          <w:szCs w:val="21"/>
        </w:rPr>
        <w:t xml:space="preserve">附件十二、《南京市政府采购供应商信用记录表》 </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"page51" \h </w:instrText>
      </w:r>
      <w:r>
        <w:rPr>
          <w:sz w:val="21"/>
          <w:szCs w:val="21"/>
        </w:rPr>
        <w:fldChar w:fldCharType="separate"/>
      </w:r>
      <w:r>
        <w:rPr>
          <w:rFonts w:eastAsia="Calibri" w:cs="Calibri"/>
          <w:sz w:val="21"/>
          <w:szCs w:val="21"/>
        </w:rPr>
        <w:t>5</w:t>
      </w:r>
      <w:r>
        <w:rPr>
          <w:rFonts w:hint="eastAsia" w:cs="Calibri"/>
          <w:sz w:val="21"/>
          <w:szCs w:val="21"/>
          <w:lang w:val="en-US" w:eastAsia="zh-CN"/>
        </w:rPr>
        <w:t>0</w:t>
      </w:r>
      <w:r>
        <w:rPr>
          <w:rFonts w:eastAsia="Calibri" w:cs="Calibri"/>
          <w:sz w:val="21"/>
          <w:szCs w:val="21"/>
        </w:rPr>
        <w:fldChar w:fldCharType="end"/>
      </w:r>
    </w:p>
    <w:p w14:paraId="6435CA6E">
      <w:pPr>
        <w:tabs>
          <w:tab w:val="left" w:leader="dot" w:pos="8780"/>
        </w:tabs>
        <w:spacing w:line="270" w:lineRule="exact"/>
        <w:ind w:left="420" w:firstLine="420" w:firstLineChars="200"/>
        <w:rPr>
          <w:rFonts w:eastAsia="Calibri" w:cs="Calibri"/>
          <w:sz w:val="21"/>
          <w:szCs w:val="21"/>
        </w:rPr>
      </w:pPr>
      <w:r>
        <w:rPr>
          <w:sz w:val="21"/>
          <w:szCs w:val="21"/>
        </w:rPr>
        <w:fldChar w:fldCharType="begin"/>
      </w:r>
      <w:r>
        <w:rPr>
          <w:sz w:val="21"/>
          <w:szCs w:val="21"/>
        </w:rPr>
        <w:instrText xml:space="preserve"> HYPERLINK \l "page51" \h </w:instrText>
      </w:r>
      <w:r>
        <w:rPr>
          <w:sz w:val="21"/>
          <w:szCs w:val="21"/>
        </w:rPr>
        <w:fldChar w:fldCharType="separate"/>
      </w:r>
      <w:r>
        <w:rPr>
          <w:rFonts w:ascii="宋体" w:hAnsi="宋体" w:cs="宋体"/>
          <w:sz w:val="21"/>
          <w:szCs w:val="21"/>
        </w:rPr>
        <w:t>附件十三、供应商认为其他必要的材料</w:t>
      </w:r>
      <w:r>
        <w:rPr>
          <w:rFonts w:ascii="宋体" w:hAnsi="宋体" w:cs="宋体"/>
          <w:sz w:val="21"/>
          <w:szCs w:val="21"/>
        </w:rPr>
        <w:fldChar w:fldCharType="end"/>
      </w:r>
      <w:r>
        <w:rPr>
          <w:rFonts w:eastAsia="Calibri" w:cs="Calibri"/>
          <w:sz w:val="21"/>
          <w:szCs w:val="21"/>
        </w:rPr>
        <w:tab/>
      </w:r>
      <w:r>
        <w:rPr>
          <w:sz w:val="21"/>
          <w:szCs w:val="21"/>
        </w:rPr>
        <w:fldChar w:fldCharType="begin"/>
      </w:r>
      <w:r>
        <w:rPr>
          <w:sz w:val="21"/>
          <w:szCs w:val="21"/>
        </w:rPr>
        <w:instrText xml:space="preserve"> HYPERLINK \l "page51" \h </w:instrText>
      </w:r>
      <w:r>
        <w:rPr>
          <w:sz w:val="21"/>
          <w:szCs w:val="21"/>
        </w:rPr>
        <w:fldChar w:fldCharType="separate"/>
      </w:r>
      <w:r>
        <w:rPr>
          <w:rFonts w:eastAsia="Calibri" w:cs="Calibri"/>
          <w:sz w:val="21"/>
          <w:szCs w:val="21"/>
        </w:rPr>
        <w:t>5</w:t>
      </w:r>
      <w:r>
        <w:rPr>
          <w:rFonts w:hint="eastAsia" w:cs="Calibri"/>
          <w:sz w:val="21"/>
          <w:szCs w:val="21"/>
          <w:lang w:val="en-US" w:eastAsia="zh-CN"/>
        </w:rPr>
        <w:t>0</w:t>
      </w:r>
      <w:r>
        <w:rPr>
          <w:rFonts w:eastAsia="Calibri" w:cs="Calibri"/>
          <w:sz w:val="21"/>
          <w:szCs w:val="21"/>
        </w:rPr>
        <w:fldChar w:fldCharType="end"/>
      </w:r>
    </w:p>
    <w:p w14:paraId="6D9F0ED2">
      <w:pPr>
        <w:sectPr>
          <w:pgSz w:w="11900" w:h="16838"/>
          <w:pgMar w:top="1440" w:right="1440" w:bottom="1440" w:left="1440" w:header="624" w:footer="0" w:gutter="0"/>
          <w:cols w:space="720" w:num="1"/>
        </w:sectPr>
      </w:pPr>
    </w:p>
    <w:p w14:paraId="440B63F1">
      <w:pPr>
        <w:spacing w:before="200" w:after="100"/>
        <w:jc w:val="center"/>
        <w:outlineLvl w:val="0"/>
        <w:rPr>
          <w:rFonts w:ascii="黑体" w:eastAsia="黑体"/>
          <w:sz w:val="32"/>
          <w:szCs w:val="20"/>
        </w:rPr>
      </w:pPr>
      <w:bookmarkStart w:id="1" w:name="page3"/>
      <w:bookmarkEnd w:id="1"/>
      <w:r>
        <w:rPr>
          <w:rFonts w:ascii="黑体" w:hAnsi="宋体" w:eastAsia="黑体" w:cs="宋体"/>
          <w:bCs/>
          <w:sz w:val="32"/>
          <w:szCs w:val="32"/>
        </w:rPr>
        <w:t>第一章</w:t>
      </w:r>
      <w:r>
        <w:rPr>
          <w:rFonts w:hint="eastAsia" w:ascii="黑体" w:hAnsi="宋体" w:eastAsia="黑体" w:cs="宋体"/>
          <w:bCs/>
          <w:sz w:val="32"/>
          <w:szCs w:val="32"/>
          <w:lang w:val="en-US" w:eastAsia="zh-CN"/>
        </w:rPr>
        <w:t xml:space="preserve">  招标</w:t>
      </w:r>
      <w:r>
        <w:rPr>
          <w:rFonts w:ascii="黑体" w:hAnsi="宋体" w:eastAsia="黑体" w:cs="宋体"/>
          <w:bCs/>
          <w:sz w:val="32"/>
          <w:szCs w:val="32"/>
        </w:rPr>
        <w:t>公告</w:t>
      </w:r>
    </w:p>
    <w:p w14:paraId="0C32D685">
      <w:pPr>
        <w:spacing w:line="560" w:lineRule="exact"/>
        <w:ind w:firstLine="482"/>
        <w:rPr>
          <w:rFonts w:ascii="仿宋" w:eastAsia="仿宋"/>
          <w:color w:val="0000FF"/>
          <w:sz w:val="24"/>
          <w:szCs w:val="20"/>
        </w:rPr>
      </w:pPr>
      <w:r>
        <w:rPr>
          <w:rFonts w:hint="eastAsia" w:ascii="仿宋" w:hAnsi="宋体" w:eastAsia="仿宋" w:cs="宋体"/>
          <w:b/>
          <w:bCs/>
          <w:sz w:val="24"/>
          <w:szCs w:val="21"/>
          <w:u w:val="single"/>
          <w:lang w:eastAsia="zh-CN"/>
        </w:rPr>
        <w:t>江苏省苏辰建设投资顾问有限公司</w:t>
      </w:r>
      <w:r>
        <w:rPr>
          <w:rFonts w:ascii="仿宋" w:hAnsi="宋体" w:eastAsia="仿宋" w:cs="宋体"/>
          <w:sz w:val="24"/>
          <w:szCs w:val="21"/>
        </w:rPr>
        <w:t>（以下简称“采购代理机构”）受</w:t>
      </w:r>
      <w:r>
        <w:rPr>
          <w:rFonts w:hint="eastAsia" w:ascii="仿宋" w:hAnsi="宋体" w:eastAsia="仿宋" w:cs="宋体"/>
          <w:b/>
          <w:bCs/>
          <w:sz w:val="24"/>
          <w:szCs w:val="21"/>
          <w:u w:val="single"/>
          <w:lang w:eastAsia="zh-CN"/>
        </w:rPr>
        <w:t>南京市玄武生态环境局</w:t>
      </w:r>
      <w:r>
        <w:rPr>
          <w:rFonts w:ascii="仿宋" w:hAnsi="宋体" w:eastAsia="仿宋" w:cs="宋体"/>
          <w:sz w:val="24"/>
          <w:szCs w:val="21"/>
        </w:rPr>
        <w:t>（以下简称“采购人”）委托，就其</w:t>
      </w:r>
      <w:r>
        <w:rPr>
          <w:rFonts w:hint="eastAsia" w:ascii="仿宋" w:hAnsi="宋体" w:eastAsia="仿宋" w:cs="宋体"/>
          <w:b/>
          <w:bCs/>
          <w:sz w:val="24"/>
          <w:szCs w:val="21"/>
          <w:u w:val="single"/>
          <w:lang w:eastAsia="zh-CN"/>
        </w:rPr>
        <w:t>南京市玄武区九华山、玄武湖隧道机动车尾气治理设施维修服务项目</w:t>
      </w:r>
      <w:r>
        <w:rPr>
          <w:rFonts w:ascii="仿宋" w:hAnsi="宋体" w:eastAsia="仿宋" w:cs="宋体"/>
          <w:sz w:val="24"/>
          <w:szCs w:val="21"/>
        </w:rPr>
        <w:t>进行公开招标采购，现欢迎</w:t>
      </w:r>
      <w:r>
        <w:rPr>
          <w:rFonts w:hint="eastAsia" w:ascii="仿宋" w:hAnsi="宋体" w:eastAsia="仿宋" w:cs="宋体"/>
          <w:sz w:val="24"/>
          <w:szCs w:val="21"/>
        </w:rPr>
        <w:t>符合</w:t>
      </w:r>
      <w:r>
        <w:rPr>
          <w:rFonts w:ascii="仿宋" w:hAnsi="宋体" w:eastAsia="仿宋" w:cs="宋体"/>
          <w:sz w:val="24"/>
          <w:szCs w:val="21"/>
        </w:rPr>
        <w:t>相关条件的供应商参加投标。潜在供应商应</w:t>
      </w:r>
      <w:r>
        <w:rPr>
          <w:rFonts w:hint="eastAsia" w:ascii="仿宋" w:hAnsi="宋体" w:eastAsia="仿宋" w:cs="宋体"/>
          <w:sz w:val="24"/>
          <w:szCs w:val="21"/>
        </w:rPr>
        <w:t>至</w:t>
      </w:r>
      <w:r>
        <w:rPr>
          <w:rFonts w:hint="eastAsia" w:ascii="仿宋" w:hAnsi="宋体" w:eastAsia="仿宋" w:cs="宋体"/>
          <w:sz w:val="24"/>
          <w:szCs w:val="21"/>
          <w:u w:val="single"/>
          <w:lang w:eastAsia="zh-CN"/>
        </w:rPr>
        <w:t>江苏省苏辰建设投资顾问有限公司（南京市建邺区西城路300号C栋15</w:t>
      </w:r>
      <w:r>
        <w:rPr>
          <w:rFonts w:hint="eastAsia" w:ascii="仿宋" w:hAnsi="宋体" w:eastAsia="仿宋" w:cs="宋体"/>
          <w:color w:val="000000" w:themeColor="text1"/>
          <w:sz w:val="24"/>
          <w:szCs w:val="21"/>
          <w:u w:val="single"/>
          <w:lang w:eastAsia="zh-CN"/>
          <w14:textFill>
            <w14:solidFill>
              <w14:schemeClr w14:val="tx1"/>
            </w14:solidFill>
          </w14:textFill>
        </w:rPr>
        <w:t>F招标代理部）</w:t>
      </w:r>
      <w:r>
        <w:rPr>
          <w:rFonts w:ascii="仿宋" w:hAnsi="宋体" w:eastAsia="仿宋" w:cs="宋体"/>
          <w:color w:val="000000" w:themeColor="text1"/>
          <w:sz w:val="24"/>
          <w:szCs w:val="20"/>
          <w14:textFill>
            <w14:solidFill>
              <w14:schemeClr w14:val="tx1"/>
            </w14:solidFill>
          </w14:textFill>
        </w:rPr>
        <w:t xml:space="preserve">获取招标文件，并于 </w:t>
      </w:r>
      <w:r>
        <w:rPr>
          <w:rFonts w:ascii="仿宋" w:hAnsi="宋体" w:eastAsia="仿宋" w:cs="宋体"/>
          <w:b/>
          <w:bCs/>
          <w:color w:val="000000" w:themeColor="text1"/>
          <w:sz w:val="24"/>
          <w:szCs w:val="20"/>
          <w:u w:val="single"/>
          <w14:textFill>
            <w14:solidFill>
              <w14:schemeClr w14:val="tx1"/>
            </w14:solidFill>
          </w14:textFill>
        </w:rPr>
        <w:t>202</w:t>
      </w:r>
      <w:r>
        <w:rPr>
          <w:rFonts w:hint="eastAsia" w:ascii="仿宋" w:hAnsi="宋体" w:eastAsia="仿宋" w:cs="宋体"/>
          <w:b/>
          <w:bCs/>
          <w:color w:val="000000" w:themeColor="text1"/>
          <w:sz w:val="24"/>
          <w:szCs w:val="20"/>
          <w:u w:val="single"/>
          <w:lang w:val="en-US" w:eastAsia="zh-CN"/>
          <w14:textFill>
            <w14:solidFill>
              <w14:schemeClr w14:val="tx1"/>
            </w14:solidFill>
          </w14:textFill>
        </w:rPr>
        <w:t xml:space="preserve">5 </w:t>
      </w:r>
      <w:r>
        <w:rPr>
          <w:rFonts w:ascii="仿宋" w:hAnsi="宋体" w:eastAsia="仿宋" w:cs="宋体"/>
          <w:b/>
          <w:bCs/>
          <w:color w:val="000000" w:themeColor="text1"/>
          <w:sz w:val="24"/>
          <w:szCs w:val="20"/>
          <w:u w:val="single"/>
          <w14:textFill>
            <w14:solidFill>
              <w14:schemeClr w14:val="tx1"/>
            </w14:solidFill>
          </w14:textFill>
        </w:rPr>
        <w:t>年</w:t>
      </w:r>
      <w:r>
        <w:rPr>
          <w:rFonts w:hint="eastAsia" w:ascii="仿宋" w:hAnsi="宋体" w:eastAsia="仿宋" w:cs="宋体"/>
          <w:b/>
          <w:bCs/>
          <w:color w:val="000000" w:themeColor="text1"/>
          <w:sz w:val="24"/>
          <w:szCs w:val="20"/>
          <w:u w:val="single"/>
          <w:lang w:val="en-US" w:eastAsia="zh-CN"/>
          <w14:textFill>
            <w14:solidFill>
              <w14:schemeClr w14:val="tx1"/>
            </w14:solidFill>
          </w14:textFill>
        </w:rPr>
        <w:t>07</w:t>
      </w:r>
      <w:r>
        <w:rPr>
          <w:rFonts w:ascii="仿宋" w:hAnsi="宋体" w:eastAsia="仿宋" w:cs="宋体"/>
          <w:b/>
          <w:bCs/>
          <w:color w:val="000000" w:themeColor="text1"/>
          <w:sz w:val="24"/>
          <w:szCs w:val="20"/>
          <w:u w:val="single"/>
          <w14:textFill>
            <w14:solidFill>
              <w14:schemeClr w14:val="tx1"/>
            </w14:solidFill>
          </w14:textFill>
        </w:rPr>
        <w:t>月</w:t>
      </w:r>
      <w:r>
        <w:rPr>
          <w:rFonts w:hint="eastAsia" w:ascii="仿宋" w:hAnsi="宋体" w:eastAsia="仿宋" w:cs="宋体"/>
          <w:b/>
          <w:bCs/>
          <w:color w:val="000000" w:themeColor="text1"/>
          <w:sz w:val="24"/>
          <w:szCs w:val="20"/>
          <w:u w:val="single"/>
          <w:lang w:val="en-US" w:eastAsia="zh-CN"/>
          <w14:textFill>
            <w14:solidFill>
              <w14:schemeClr w14:val="tx1"/>
            </w14:solidFill>
          </w14:textFill>
        </w:rPr>
        <w:t xml:space="preserve"> 03 </w:t>
      </w:r>
      <w:r>
        <w:rPr>
          <w:rFonts w:ascii="仿宋" w:hAnsi="宋体" w:eastAsia="仿宋" w:cs="宋体"/>
          <w:b/>
          <w:bCs/>
          <w:color w:val="000000" w:themeColor="text1"/>
          <w:sz w:val="24"/>
          <w:szCs w:val="20"/>
          <w:u w:val="single"/>
          <w14:textFill>
            <w14:solidFill>
              <w14:schemeClr w14:val="tx1"/>
            </w14:solidFill>
          </w14:textFill>
        </w:rPr>
        <w:t>日</w:t>
      </w:r>
      <w:r>
        <w:rPr>
          <w:rFonts w:ascii="仿宋" w:hAnsi="宋体" w:eastAsia="仿宋" w:cs="宋体"/>
          <w:color w:val="000000" w:themeColor="text1"/>
          <w:sz w:val="24"/>
          <w:szCs w:val="20"/>
          <w:u w:val="single"/>
          <w14:textFill>
            <w14:solidFill>
              <w14:schemeClr w14:val="tx1"/>
            </w14:solidFill>
          </w14:textFill>
        </w:rPr>
        <w:t xml:space="preserve"> </w:t>
      </w:r>
      <w:r>
        <w:rPr>
          <w:rFonts w:ascii="仿宋" w:hAnsi="宋体" w:eastAsia="仿宋" w:cs="宋体"/>
          <w:b/>
          <w:bCs/>
          <w:color w:val="000000" w:themeColor="text1"/>
          <w:sz w:val="24"/>
          <w:szCs w:val="20"/>
          <w:u w:val="single"/>
          <w14:textFill>
            <w14:solidFill>
              <w14:schemeClr w14:val="tx1"/>
            </w14:solidFill>
          </w14:textFill>
        </w:rPr>
        <w:t>9</w:t>
      </w:r>
      <w:r>
        <w:rPr>
          <w:rFonts w:ascii="仿宋" w:hAnsi="宋体" w:eastAsia="仿宋" w:cs="宋体"/>
          <w:color w:val="000000" w:themeColor="text1"/>
          <w:sz w:val="24"/>
          <w:szCs w:val="20"/>
          <w:u w:val="single"/>
          <w14:textFill>
            <w14:solidFill>
              <w14:schemeClr w14:val="tx1"/>
            </w14:solidFill>
          </w14:textFill>
        </w:rPr>
        <w:t xml:space="preserve"> </w:t>
      </w:r>
      <w:r>
        <w:rPr>
          <w:rFonts w:ascii="仿宋" w:hAnsi="宋体" w:eastAsia="仿宋" w:cs="宋体"/>
          <w:b/>
          <w:bCs/>
          <w:color w:val="000000" w:themeColor="text1"/>
          <w:sz w:val="24"/>
          <w:szCs w:val="20"/>
          <w:u w:val="single"/>
          <w14:textFill>
            <w14:solidFill>
              <w14:schemeClr w14:val="tx1"/>
            </w14:solidFill>
          </w14:textFill>
        </w:rPr>
        <w:t>点</w:t>
      </w:r>
      <w:r>
        <w:rPr>
          <w:rFonts w:ascii="仿宋" w:hAnsi="宋体" w:eastAsia="仿宋" w:cs="宋体"/>
          <w:color w:val="000000" w:themeColor="text1"/>
          <w:sz w:val="24"/>
          <w:szCs w:val="20"/>
          <w:u w:val="single"/>
          <w14:textFill>
            <w14:solidFill>
              <w14:schemeClr w14:val="tx1"/>
            </w14:solidFill>
          </w14:textFill>
        </w:rPr>
        <w:t xml:space="preserve"> </w:t>
      </w:r>
      <w:r>
        <w:rPr>
          <w:rFonts w:ascii="仿宋" w:hAnsi="宋体" w:eastAsia="仿宋" w:cs="宋体"/>
          <w:b/>
          <w:bCs/>
          <w:color w:val="000000" w:themeColor="text1"/>
          <w:sz w:val="24"/>
          <w:szCs w:val="20"/>
          <w:u w:val="single"/>
          <w14:textFill>
            <w14:solidFill>
              <w14:schemeClr w14:val="tx1"/>
            </w14:solidFill>
          </w14:textFill>
        </w:rPr>
        <w:t>30</w:t>
      </w:r>
      <w:r>
        <w:rPr>
          <w:rFonts w:ascii="仿宋" w:hAnsi="宋体" w:eastAsia="仿宋" w:cs="宋体"/>
          <w:color w:val="000000" w:themeColor="text1"/>
          <w:sz w:val="24"/>
          <w:szCs w:val="20"/>
          <w:u w:val="single"/>
          <w14:textFill>
            <w14:solidFill>
              <w14:schemeClr w14:val="tx1"/>
            </w14:solidFill>
          </w14:textFill>
        </w:rPr>
        <w:t xml:space="preserve"> </w:t>
      </w:r>
      <w:r>
        <w:rPr>
          <w:rFonts w:ascii="仿宋" w:hAnsi="宋体" w:eastAsia="仿宋" w:cs="宋体"/>
          <w:b/>
          <w:bCs/>
          <w:color w:val="000000" w:themeColor="text1"/>
          <w:sz w:val="24"/>
          <w:szCs w:val="20"/>
          <w:u w:val="single"/>
          <w14:textFill>
            <w14:solidFill>
              <w14:schemeClr w14:val="tx1"/>
            </w14:solidFill>
          </w14:textFill>
        </w:rPr>
        <w:t>分</w:t>
      </w:r>
      <w:r>
        <w:rPr>
          <w:rFonts w:ascii="仿宋" w:hAnsi="宋体" w:eastAsia="仿宋" w:cs="宋体"/>
          <w:color w:val="000000" w:themeColor="text1"/>
          <w:sz w:val="24"/>
          <w:szCs w:val="21"/>
          <w14:textFill>
            <w14:solidFill>
              <w14:schemeClr w14:val="tx1"/>
            </w14:solidFill>
          </w14:textFill>
        </w:rPr>
        <w:t>（北京时间）前递交投标文件。</w:t>
      </w:r>
    </w:p>
    <w:p w14:paraId="178E9715">
      <w:pPr>
        <w:spacing w:before="200" w:after="100"/>
        <w:outlineLvl w:val="1"/>
        <w:rPr>
          <w:rFonts w:ascii="楷体" w:eastAsia="楷体"/>
          <w:sz w:val="32"/>
          <w:szCs w:val="20"/>
        </w:rPr>
      </w:pPr>
      <w:r>
        <w:rPr>
          <w:rFonts w:ascii="楷体" w:hAnsi="宋体" w:eastAsia="楷体" w:cs="宋体"/>
          <w:bCs/>
          <w:sz w:val="32"/>
          <w:szCs w:val="21"/>
        </w:rPr>
        <w:t>一、项目基本情况</w:t>
      </w:r>
    </w:p>
    <w:p w14:paraId="09697FAD">
      <w:pPr>
        <w:spacing w:line="560" w:lineRule="exact"/>
        <w:ind w:firstLine="482"/>
        <w:rPr>
          <w:rFonts w:ascii="仿宋" w:hAnsi="宋体" w:eastAsia="仿宋" w:cs="宋体"/>
          <w:b/>
          <w:bCs/>
          <w:sz w:val="24"/>
          <w:szCs w:val="21"/>
        </w:rPr>
      </w:pPr>
      <w:r>
        <w:rPr>
          <w:rFonts w:ascii="仿宋" w:hAnsi="宋体" w:eastAsia="仿宋" w:cs="宋体"/>
          <w:b/>
          <w:bCs/>
          <w:sz w:val="24"/>
          <w:szCs w:val="21"/>
        </w:rPr>
        <w:t>1.1 项目编号：</w:t>
      </w:r>
      <w:r>
        <w:rPr>
          <w:rFonts w:hint="eastAsia" w:ascii="仿宋" w:hAnsi="宋体" w:eastAsia="仿宋" w:cs="宋体"/>
          <w:b w:val="0"/>
          <w:bCs w:val="0"/>
          <w:sz w:val="24"/>
          <w:szCs w:val="21"/>
          <w:lang w:eastAsia="zh-CN"/>
        </w:rPr>
        <w:t>SC-ZC2025018</w:t>
      </w:r>
      <w:r>
        <w:rPr>
          <w:rFonts w:hint="eastAsia" w:ascii="仿宋" w:hAnsi="宋体" w:eastAsia="仿宋" w:cs="宋体"/>
          <w:b/>
          <w:bCs/>
          <w:sz w:val="24"/>
          <w:szCs w:val="21"/>
        </w:rPr>
        <w:tab/>
      </w:r>
    </w:p>
    <w:p w14:paraId="0FCD190F">
      <w:pPr>
        <w:spacing w:line="560" w:lineRule="exact"/>
        <w:ind w:firstLine="482"/>
        <w:rPr>
          <w:rFonts w:hint="eastAsia" w:ascii="仿宋" w:eastAsia="仿宋"/>
          <w:sz w:val="24"/>
          <w:szCs w:val="20"/>
          <w:lang w:eastAsia="zh-CN"/>
        </w:rPr>
      </w:pPr>
      <w:r>
        <w:rPr>
          <w:rFonts w:ascii="仿宋" w:hAnsi="宋体" w:eastAsia="仿宋" w:cs="宋体"/>
          <w:b/>
          <w:bCs/>
          <w:sz w:val="24"/>
          <w:szCs w:val="21"/>
        </w:rPr>
        <w:t>1.2 项目名称：</w:t>
      </w:r>
      <w:r>
        <w:rPr>
          <w:rFonts w:hint="eastAsia" w:ascii="仿宋" w:hAnsi="宋体" w:eastAsia="仿宋" w:cs="宋体"/>
          <w:sz w:val="24"/>
          <w:szCs w:val="21"/>
          <w:lang w:eastAsia="zh-CN"/>
        </w:rPr>
        <w:t>南京市玄武区九华山、玄武湖隧道机动车尾气治理设施维修服务项目</w:t>
      </w:r>
    </w:p>
    <w:p w14:paraId="1AD1299C">
      <w:pPr>
        <w:spacing w:line="560" w:lineRule="exact"/>
        <w:ind w:firstLine="482"/>
        <w:rPr>
          <w:rFonts w:ascii="仿宋" w:eastAsia="仿宋"/>
          <w:sz w:val="24"/>
          <w:szCs w:val="20"/>
        </w:rPr>
      </w:pPr>
      <w:r>
        <w:rPr>
          <w:rFonts w:ascii="仿宋" w:hAnsi="宋体" w:eastAsia="仿宋" w:cs="宋体"/>
          <w:b/>
          <w:bCs/>
          <w:sz w:val="24"/>
          <w:szCs w:val="21"/>
        </w:rPr>
        <w:t>1.3 项目预算即最高限价为</w:t>
      </w:r>
      <w:r>
        <w:rPr>
          <w:rFonts w:ascii="仿宋" w:hAnsi="宋体" w:eastAsia="仿宋" w:cs="宋体"/>
          <w:sz w:val="24"/>
          <w:szCs w:val="21"/>
        </w:rPr>
        <w:t>：</w:t>
      </w:r>
      <w:r>
        <w:rPr>
          <w:rFonts w:hint="eastAsia" w:ascii="仿宋" w:hAnsi="宋体" w:eastAsia="仿宋" w:cs="宋体"/>
          <w:sz w:val="24"/>
          <w:szCs w:val="21"/>
          <w:lang w:eastAsia="zh-CN"/>
        </w:rPr>
        <w:t>人民币34万元</w:t>
      </w:r>
      <w:r>
        <w:rPr>
          <w:rFonts w:ascii="仿宋" w:hAnsi="宋体" w:eastAsia="仿宋" w:cs="宋体"/>
          <w:sz w:val="24"/>
          <w:szCs w:val="21"/>
        </w:rPr>
        <w:t>；</w:t>
      </w:r>
    </w:p>
    <w:p w14:paraId="57946A1A">
      <w:pPr>
        <w:spacing w:line="560" w:lineRule="exact"/>
        <w:ind w:firstLine="482"/>
        <w:rPr>
          <w:rFonts w:ascii="仿宋" w:eastAsia="仿宋"/>
          <w:sz w:val="24"/>
          <w:szCs w:val="20"/>
        </w:rPr>
      </w:pPr>
      <w:r>
        <w:rPr>
          <w:rFonts w:ascii="仿宋" w:hAnsi="宋体" w:eastAsia="仿宋" w:cs="宋体"/>
          <w:b/>
          <w:bCs/>
          <w:sz w:val="24"/>
          <w:szCs w:val="21"/>
        </w:rPr>
        <w:t>1.4 采购需求：</w:t>
      </w:r>
      <w:r>
        <w:rPr>
          <w:rFonts w:hint="eastAsia" w:ascii="仿宋" w:hAnsi="宋体" w:eastAsia="仿宋" w:cs="宋体"/>
          <w:sz w:val="24"/>
          <w:szCs w:val="21"/>
        </w:rPr>
        <w:t>南京市玄武区九华山、玄武湖隧道机动车尾气治理设施部分设备老化损坏，需要对设施电气控制、机电设备、管道等进行系统维修，恢复治理设施正常使用功能，以及质保期内维护等内容</w:t>
      </w:r>
      <w:r>
        <w:rPr>
          <w:rFonts w:hint="eastAsia" w:ascii="仿宋" w:hAnsi="宋体" w:eastAsia="仿宋" w:cs="宋体"/>
          <w:sz w:val="24"/>
          <w:szCs w:val="21"/>
          <w:lang w:eastAsia="zh-CN"/>
        </w:rPr>
        <w:t>，</w:t>
      </w:r>
      <w:r>
        <w:rPr>
          <w:rFonts w:ascii="仿宋" w:hAnsi="宋体" w:eastAsia="仿宋" w:cs="宋体"/>
          <w:sz w:val="24"/>
          <w:szCs w:val="21"/>
        </w:rPr>
        <w:t>详细需求见招标文件。</w:t>
      </w:r>
    </w:p>
    <w:p w14:paraId="0A38FE38">
      <w:pPr>
        <w:spacing w:line="560" w:lineRule="exact"/>
        <w:ind w:firstLine="482"/>
        <w:rPr>
          <w:rFonts w:ascii="仿宋" w:hAnsi="宋体" w:eastAsia="仿宋" w:cs="宋体"/>
          <w:sz w:val="24"/>
          <w:szCs w:val="21"/>
        </w:rPr>
      </w:pPr>
      <w:r>
        <w:rPr>
          <w:rFonts w:ascii="仿宋" w:hAnsi="宋体" w:eastAsia="仿宋" w:cs="宋体"/>
          <w:b/>
          <w:bCs/>
          <w:sz w:val="24"/>
          <w:szCs w:val="21"/>
        </w:rPr>
        <w:t>1.5 合同履行期限：</w:t>
      </w:r>
      <w:r>
        <w:rPr>
          <w:rFonts w:hint="eastAsia" w:ascii="仿宋" w:hAnsi="宋体" w:eastAsia="仿宋" w:cs="宋体"/>
          <w:sz w:val="24"/>
          <w:szCs w:val="21"/>
          <w:lang w:eastAsia="zh-CN"/>
        </w:rPr>
        <w:t>自合同签订之日起45日历天内完成维修服务</w:t>
      </w:r>
      <w:r>
        <w:rPr>
          <w:rFonts w:ascii="仿宋" w:hAnsi="宋体" w:eastAsia="仿宋" w:cs="宋体"/>
          <w:sz w:val="24"/>
          <w:szCs w:val="21"/>
        </w:rPr>
        <w:t>。</w:t>
      </w:r>
    </w:p>
    <w:p w14:paraId="0FFC86ED">
      <w:pPr>
        <w:spacing w:line="560" w:lineRule="exact"/>
        <w:ind w:firstLine="482"/>
        <w:rPr>
          <w:rFonts w:hint="default" w:ascii="仿宋" w:hAnsi="宋体" w:eastAsia="仿宋" w:cs="宋体"/>
          <w:sz w:val="24"/>
          <w:szCs w:val="21"/>
          <w:lang w:val="en-US" w:eastAsia="zh-CN"/>
        </w:rPr>
      </w:pPr>
      <w:r>
        <w:rPr>
          <w:rFonts w:hint="eastAsia" w:ascii="仿宋" w:hAnsi="宋体" w:eastAsia="仿宋" w:cs="宋体"/>
          <w:b/>
          <w:bCs/>
          <w:sz w:val="24"/>
          <w:szCs w:val="21"/>
          <w:lang w:val="en-US" w:eastAsia="zh-CN"/>
        </w:rPr>
        <w:t>1.6 免费质保期：</w:t>
      </w:r>
      <w:r>
        <w:rPr>
          <w:rFonts w:hint="eastAsia" w:ascii="仿宋" w:hAnsi="宋体" w:eastAsia="仿宋" w:cs="宋体"/>
          <w:sz w:val="24"/>
          <w:szCs w:val="21"/>
          <w:lang w:val="en-US" w:eastAsia="zh-CN"/>
        </w:rPr>
        <w:t>自项目验收合格后提供1年免费质保。</w:t>
      </w:r>
    </w:p>
    <w:p w14:paraId="12CC706D">
      <w:pPr>
        <w:spacing w:line="560" w:lineRule="exact"/>
        <w:ind w:firstLine="482"/>
        <w:rPr>
          <w:rFonts w:ascii="仿宋" w:eastAsia="仿宋"/>
          <w:sz w:val="24"/>
          <w:szCs w:val="20"/>
        </w:rPr>
      </w:pPr>
      <w:r>
        <w:rPr>
          <w:rFonts w:ascii="仿宋" w:hAnsi="宋体" w:eastAsia="仿宋" w:cs="宋体"/>
          <w:b/>
          <w:bCs/>
          <w:sz w:val="24"/>
          <w:szCs w:val="21"/>
        </w:rPr>
        <w:t>1.</w:t>
      </w:r>
      <w:r>
        <w:rPr>
          <w:rFonts w:hint="eastAsia" w:ascii="仿宋" w:hAnsi="宋体" w:eastAsia="仿宋" w:cs="宋体"/>
          <w:b/>
          <w:bCs/>
          <w:sz w:val="24"/>
          <w:szCs w:val="21"/>
          <w:lang w:val="en-US" w:eastAsia="zh-CN"/>
        </w:rPr>
        <w:t>7</w:t>
      </w:r>
      <w:r>
        <w:rPr>
          <w:rFonts w:ascii="仿宋" w:hAnsi="宋体" w:eastAsia="仿宋" w:cs="宋体"/>
          <w:b/>
          <w:bCs/>
          <w:sz w:val="24"/>
          <w:szCs w:val="21"/>
        </w:rPr>
        <w:t xml:space="preserve"> 本项目不接受联合体投标。</w:t>
      </w:r>
    </w:p>
    <w:p w14:paraId="05C8356E">
      <w:pPr>
        <w:spacing w:before="200" w:after="100"/>
        <w:outlineLvl w:val="1"/>
        <w:rPr>
          <w:rFonts w:ascii="楷体" w:eastAsia="楷体"/>
          <w:sz w:val="32"/>
          <w:szCs w:val="20"/>
        </w:rPr>
      </w:pPr>
      <w:r>
        <w:rPr>
          <w:rFonts w:ascii="楷体" w:hAnsi="宋体" w:eastAsia="楷体" w:cs="宋体"/>
          <w:bCs/>
          <w:sz w:val="32"/>
          <w:szCs w:val="21"/>
        </w:rPr>
        <w:t>二、供应商的资格要求：</w:t>
      </w:r>
    </w:p>
    <w:p w14:paraId="6CC58ABA">
      <w:pPr>
        <w:spacing w:line="560" w:lineRule="exact"/>
        <w:ind w:firstLine="482"/>
        <w:rPr>
          <w:rFonts w:ascii="仿宋" w:eastAsia="仿宋"/>
          <w:sz w:val="24"/>
          <w:szCs w:val="20"/>
        </w:rPr>
      </w:pPr>
      <w:r>
        <w:rPr>
          <w:rFonts w:ascii="仿宋" w:hAnsi="宋体" w:eastAsia="仿宋" w:cs="宋体"/>
          <w:b/>
          <w:bCs/>
          <w:sz w:val="24"/>
          <w:szCs w:val="21"/>
        </w:rPr>
        <w:t>2.1 供应商应当满足《中华人民共和国政府采购法》第二十二条规定；</w:t>
      </w:r>
    </w:p>
    <w:p w14:paraId="2A2E13F4">
      <w:pPr>
        <w:spacing w:line="560" w:lineRule="exact"/>
        <w:ind w:firstLine="482"/>
        <w:rPr>
          <w:rFonts w:ascii="仿宋" w:eastAsia="仿宋"/>
          <w:sz w:val="24"/>
          <w:szCs w:val="20"/>
        </w:rPr>
      </w:pPr>
      <w:r>
        <w:rPr>
          <w:rFonts w:ascii="仿宋" w:hAnsi="宋体" w:eastAsia="仿宋" w:cs="宋体"/>
          <w:sz w:val="24"/>
          <w:szCs w:val="21"/>
        </w:rPr>
        <w:t>（1）具有独立承担民事责任的能力（提供法人或者其他组织的营业执照；供应商为自然人的，提供其身份证）；</w:t>
      </w:r>
    </w:p>
    <w:p w14:paraId="19D457F8">
      <w:pPr>
        <w:spacing w:line="560" w:lineRule="exact"/>
        <w:ind w:firstLine="482"/>
        <w:rPr>
          <w:rFonts w:ascii="仿宋" w:eastAsia="仿宋"/>
          <w:sz w:val="24"/>
          <w:szCs w:val="20"/>
        </w:rPr>
      </w:pPr>
      <w:r>
        <w:rPr>
          <w:rFonts w:ascii="仿宋" w:hAnsi="宋体" w:eastAsia="仿宋" w:cs="宋体"/>
          <w:sz w:val="24"/>
          <w:szCs w:val="20"/>
        </w:rPr>
        <w:t>（2）具有良好的商业信誉和健全的财务会计制度（提供参加本次政府采购活动前的会计报表，</w:t>
      </w:r>
      <w:bookmarkStart w:id="2" w:name="page4"/>
      <w:bookmarkEnd w:id="2"/>
      <w:r>
        <w:rPr>
          <w:rFonts w:ascii="仿宋" w:hAnsi="宋体" w:eastAsia="仿宋" w:cs="宋体"/>
          <w:sz w:val="24"/>
          <w:szCs w:val="21"/>
        </w:rPr>
        <w:t>或银行出具的投标截止时间前六个月内银行出具的资信证明，或财政部门认可的政府采购专业担保机构出具的投标担保函）；</w:t>
      </w:r>
    </w:p>
    <w:p w14:paraId="1D1DBDC9">
      <w:pPr>
        <w:spacing w:line="560" w:lineRule="exact"/>
        <w:ind w:firstLine="482"/>
        <w:rPr>
          <w:rFonts w:ascii="仿宋" w:eastAsia="仿宋"/>
          <w:sz w:val="24"/>
          <w:szCs w:val="20"/>
        </w:rPr>
      </w:pPr>
      <w:r>
        <w:rPr>
          <w:rFonts w:ascii="仿宋" w:hAnsi="宋体" w:eastAsia="仿宋" w:cs="宋体"/>
          <w:sz w:val="24"/>
          <w:szCs w:val="21"/>
        </w:rPr>
        <w:t>（3）具有履行合同所必需的设备和专业技术能力（根据项目需求提供履行合同所必需的设备和专业技术能力的声明及证明材料）；</w:t>
      </w:r>
    </w:p>
    <w:p w14:paraId="62A35A8D">
      <w:pPr>
        <w:spacing w:line="560" w:lineRule="exact"/>
        <w:ind w:firstLine="482"/>
        <w:rPr>
          <w:rFonts w:ascii="仿宋" w:eastAsia="仿宋"/>
          <w:sz w:val="24"/>
          <w:szCs w:val="20"/>
        </w:rPr>
      </w:pPr>
      <w:r>
        <w:rPr>
          <w:rFonts w:ascii="仿宋" w:hAnsi="宋体" w:eastAsia="仿宋" w:cs="宋体"/>
          <w:sz w:val="24"/>
          <w:szCs w:val="21"/>
        </w:rPr>
        <w:t>（4）有依法缴纳税收和社会保障资金的良好记录（提</w:t>
      </w:r>
      <w:r>
        <w:rPr>
          <w:rFonts w:hint="eastAsia" w:ascii="仿宋" w:hAnsi="宋体" w:eastAsia="仿宋" w:cs="宋体"/>
          <w:sz w:val="24"/>
          <w:szCs w:val="21"/>
          <w:lang w:eastAsia="zh-CN"/>
        </w:rPr>
        <w:t>供参加本次政府采购活动前至少一个月缴纳增值税，或营业税，或企业所得税的凭据，并缴纳社会保险的凭据（专用收据，或社会保险缴纳清单）</w:t>
      </w:r>
      <w:r>
        <w:rPr>
          <w:rFonts w:ascii="仿宋" w:hAnsi="宋体" w:eastAsia="仿宋" w:cs="宋体"/>
          <w:sz w:val="24"/>
          <w:szCs w:val="21"/>
        </w:rPr>
        <w:t>）；</w:t>
      </w:r>
    </w:p>
    <w:p w14:paraId="0634F2FF">
      <w:pPr>
        <w:spacing w:line="560" w:lineRule="exact"/>
        <w:ind w:firstLine="482"/>
        <w:rPr>
          <w:rFonts w:ascii="仿宋" w:eastAsia="仿宋"/>
          <w:sz w:val="24"/>
          <w:szCs w:val="20"/>
        </w:rPr>
      </w:pPr>
      <w:r>
        <w:rPr>
          <w:rFonts w:ascii="仿宋" w:hAnsi="宋体" w:eastAsia="仿宋" w:cs="宋体"/>
          <w:sz w:val="24"/>
          <w:szCs w:val="21"/>
        </w:rPr>
        <w:t>（5）参加政府采购活动前三年内，在经营活动中没有重大违法记录（提供承诺书，格式见招标文件）；</w:t>
      </w:r>
    </w:p>
    <w:p w14:paraId="1255E029">
      <w:pPr>
        <w:spacing w:line="560" w:lineRule="exact"/>
        <w:ind w:firstLine="482"/>
        <w:rPr>
          <w:rFonts w:hint="eastAsia" w:ascii="仿宋" w:hAnsi="宋体" w:eastAsia="仿宋" w:cs="宋体"/>
          <w:color w:val="auto"/>
          <w:sz w:val="24"/>
          <w:szCs w:val="21"/>
          <w:lang w:val="en-US" w:eastAsia="zh-CN"/>
        </w:rPr>
      </w:pPr>
      <w:r>
        <w:rPr>
          <w:rFonts w:ascii="仿宋" w:hAnsi="宋体" w:eastAsia="仿宋" w:cs="宋体"/>
          <w:color w:val="auto"/>
          <w:sz w:val="24"/>
          <w:szCs w:val="21"/>
        </w:rPr>
        <w:t>（6）采购人根据采购项目的特殊要求规定的特定条件：</w:t>
      </w:r>
      <w:r>
        <w:rPr>
          <w:rFonts w:hint="eastAsia" w:ascii="仿宋" w:hAnsi="宋体" w:eastAsia="仿宋" w:cs="宋体"/>
          <w:color w:val="auto"/>
          <w:sz w:val="24"/>
          <w:szCs w:val="21"/>
          <w:lang w:val="en-US" w:eastAsia="zh-CN"/>
        </w:rPr>
        <w:t>无</w:t>
      </w:r>
    </w:p>
    <w:p w14:paraId="64F28665">
      <w:pPr>
        <w:spacing w:line="560" w:lineRule="exact"/>
        <w:ind w:firstLine="482"/>
        <w:rPr>
          <w:rFonts w:ascii="仿宋" w:eastAsia="仿宋"/>
          <w:sz w:val="24"/>
          <w:szCs w:val="20"/>
        </w:rPr>
      </w:pPr>
      <w:r>
        <w:rPr>
          <w:rFonts w:hint="eastAsia" w:ascii="仿宋" w:hAnsi="宋体" w:eastAsia="仿宋" w:cs="宋体"/>
          <w:sz w:val="24"/>
          <w:szCs w:val="21"/>
          <w:lang w:eastAsia="zh-CN"/>
        </w:rPr>
        <w:t>（</w:t>
      </w:r>
      <w:r>
        <w:rPr>
          <w:rFonts w:hint="eastAsia" w:ascii="仿宋" w:hAnsi="宋体" w:eastAsia="仿宋" w:cs="宋体"/>
          <w:sz w:val="24"/>
          <w:szCs w:val="21"/>
          <w:lang w:val="en-US" w:eastAsia="zh-CN"/>
        </w:rPr>
        <w:t>7）</w:t>
      </w:r>
      <w:r>
        <w:rPr>
          <w:rFonts w:ascii="仿宋" w:hAnsi="宋体" w:eastAsia="仿宋" w:cs="宋体"/>
          <w:sz w:val="24"/>
          <w:szCs w:val="21"/>
        </w:rPr>
        <w:t>法律、行政法规规定的其他条件：无。</w:t>
      </w:r>
    </w:p>
    <w:p w14:paraId="61B8D309">
      <w:pPr>
        <w:spacing w:line="560" w:lineRule="exact"/>
        <w:ind w:firstLine="482"/>
        <w:rPr>
          <w:rFonts w:ascii="仿宋" w:eastAsia="仿宋"/>
          <w:sz w:val="24"/>
          <w:szCs w:val="20"/>
        </w:rPr>
      </w:pPr>
      <w:r>
        <w:rPr>
          <w:rFonts w:ascii="仿宋" w:hAnsi="宋体" w:eastAsia="仿宋" w:cs="宋体"/>
          <w:b/>
          <w:bCs/>
          <w:sz w:val="24"/>
          <w:szCs w:val="21"/>
        </w:rPr>
        <w:t>2.2 落实政府采购政策需满足的资格要求：</w:t>
      </w:r>
      <w:r>
        <w:rPr>
          <w:rFonts w:hint="eastAsia" w:ascii="仿宋" w:hAnsi="宋体" w:eastAsia="仿宋" w:cs="宋体"/>
          <w:sz w:val="24"/>
          <w:szCs w:val="21"/>
        </w:rPr>
        <w:t>本项目为非预留份额的采购项目或采购包，执行价格扣除优惠政策，具体详见第三章评标办法与标准</w:t>
      </w:r>
      <w:r>
        <w:rPr>
          <w:rFonts w:ascii="仿宋" w:hAnsi="宋体" w:eastAsia="仿宋" w:cs="宋体"/>
          <w:sz w:val="24"/>
          <w:szCs w:val="21"/>
        </w:rPr>
        <w:t>。</w:t>
      </w:r>
    </w:p>
    <w:p w14:paraId="4A3A9B92">
      <w:pPr>
        <w:spacing w:line="560" w:lineRule="exact"/>
        <w:ind w:firstLine="482"/>
        <w:rPr>
          <w:rFonts w:ascii="仿宋" w:eastAsia="仿宋"/>
          <w:sz w:val="24"/>
          <w:szCs w:val="20"/>
        </w:rPr>
      </w:pPr>
      <w:r>
        <w:rPr>
          <w:rFonts w:ascii="仿宋" w:hAnsi="宋体" w:eastAsia="仿宋" w:cs="宋体"/>
          <w:b/>
          <w:bCs/>
          <w:sz w:val="24"/>
          <w:szCs w:val="21"/>
        </w:rPr>
        <w:t>2.3 采购人根据采购项目的特殊要求规定的特定条件，并提供符合特殊要求的证明材料或者情况说明：无。</w:t>
      </w:r>
    </w:p>
    <w:p w14:paraId="547EECBF">
      <w:pPr>
        <w:spacing w:line="560" w:lineRule="exact"/>
        <w:ind w:firstLine="482"/>
        <w:rPr>
          <w:rFonts w:ascii="仿宋" w:eastAsia="仿宋"/>
          <w:sz w:val="24"/>
          <w:szCs w:val="20"/>
        </w:rPr>
      </w:pPr>
      <w:r>
        <w:rPr>
          <w:rFonts w:ascii="仿宋" w:hAnsi="宋体" w:eastAsia="仿宋" w:cs="宋体"/>
          <w:sz w:val="24"/>
          <w:szCs w:val="21"/>
        </w:rPr>
        <w:t>2.4 第 2.1（5）条所称重大违法记录，是指供应商因违法经营受到刑事处罚或者责令停产停业、吊销许可证或者执照、较大数额罚款等行政处罚。</w:t>
      </w:r>
    </w:p>
    <w:p w14:paraId="244FB886">
      <w:pPr>
        <w:spacing w:line="560" w:lineRule="exact"/>
        <w:ind w:firstLine="482"/>
        <w:rPr>
          <w:rFonts w:ascii="仿宋" w:eastAsia="仿宋"/>
          <w:sz w:val="24"/>
          <w:szCs w:val="20"/>
        </w:rPr>
      </w:pPr>
      <w:r>
        <w:rPr>
          <w:rFonts w:ascii="仿宋" w:hAnsi="宋体" w:eastAsia="仿宋" w:cs="宋体"/>
          <w:sz w:val="24"/>
          <w:szCs w:val="21"/>
        </w:rPr>
        <w:t>2.5 供应商在参加政府采购活动前 3 年内因违法经营被禁止在一定期限内参加政府采购活动，期限届满的，可以参加政府采购活动。</w:t>
      </w:r>
    </w:p>
    <w:p w14:paraId="1708AE40">
      <w:pPr>
        <w:spacing w:line="560" w:lineRule="exact"/>
        <w:ind w:firstLine="482"/>
        <w:rPr>
          <w:rFonts w:ascii="仿宋" w:eastAsia="仿宋"/>
          <w:sz w:val="24"/>
          <w:szCs w:val="20"/>
        </w:rPr>
      </w:pPr>
      <w:r>
        <w:rPr>
          <w:rFonts w:ascii="仿宋" w:hAnsi="宋体" w:eastAsia="仿宋" w:cs="宋体"/>
          <w:sz w:val="24"/>
          <w:szCs w:val="21"/>
        </w:rPr>
        <w:t>2.6 单位负责人为同一人或者存在直接控股、管理关系的不同供应商，不得参加同一合同项下的政府采购活动。</w:t>
      </w:r>
    </w:p>
    <w:p w14:paraId="05D99191">
      <w:pPr>
        <w:spacing w:line="560" w:lineRule="exact"/>
        <w:ind w:firstLine="482"/>
        <w:rPr>
          <w:rFonts w:ascii="仿宋" w:eastAsia="仿宋"/>
          <w:sz w:val="24"/>
          <w:szCs w:val="20"/>
        </w:rPr>
      </w:pPr>
      <w:r>
        <w:rPr>
          <w:rFonts w:ascii="仿宋" w:hAnsi="宋体" w:eastAsia="仿宋" w:cs="宋体"/>
          <w:sz w:val="24"/>
          <w:szCs w:val="21"/>
        </w:rPr>
        <w:t>为采购项目提供整体设计、规范编制或者项目管理、监理、检测等服务的供应商，不得再参加该采购项目的其他采购活动。</w:t>
      </w:r>
    </w:p>
    <w:p w14:paraId="724F1D0F">
      <w:pPr>
        <w:spacing w:line="560" w:lineRule="exact"/>
        <w:ind w:firstLine="482"/>
        <w:rPr>
          <w:rFonts w:ascii="仿宋" w:eastAsia="仿宋"/>
          <w:color w:val="000000" w:themeColor="text1"/>
          <w:sz w:val="24"/>
          <w:szCs w:val="20"/>
          <w14:textFill>
            <w14:solidFill>
              <w14:schemeClr w14:val="tx1"/>
            </w14:solidFill>
          </w14:textFill>
        </w:rPr>
      </w:pPr>
      <w:r>
        <w:rPr>
          <w:rFonts w:ascii="仿宋" w:hAnsi="宋体" w:eastAsia="仿宋" w:cs="宋体"/>
          <w:sz w:val="24"/>
          <w:szCs w:val="21"/>
        </w:rPr>
        <w:t>2.7 拒绝列入失信被执行人、重大税收违法案件当事人名单、政府采购严重违法失信行为记录名单的供应商参与政府采购活动。采购代理机构将在开标结束后，通过</w:t>
      </w:r>
      <w:r>
        <w:rPr>
          <w:rFonts w:ascii="仿宋" w:hAnsi="宋体" w:eastAsia="仿宋" w:cs="宋体"/>
          <w:color w:val="000000" w:themeColor="text1"/>
          <w:sz w:val="24"/>
          <w:szCs w:val="21"/>
          <w14:textFill>
            <w14:solidFill>
              <w14:schemeClr w14:val="tx1"/>
            </w14:solidFill>
          </w14:textFill>
        </w:rPr>
        <w:t>“中国政府采购网</w:t>
      </w:r>
      <w:r>
        <w:rPr>
          <w:rFonts w:hint="eastAsia" w:ascii="仿宋" w:hAnsi="宋体" w:eastAsia="仿宋" w:cs="宋体"/>
          <w:color w:val="000000" w:themeColor="text1"/>
          <w:sz w:val="24"/>
          <w:szCs w:val="21"/>
          <w14:textFill>
            <w14:solidFill>
              <w14:schemeClr w14:val="tx1"/>
            </w14:solidFill>
          </w14:textFill>
        </w:rPr>
        <w:t>”“</w:t>
      </w:r>
      <w:r>
        <w:rPr>
          <w:rFonts w:ascii="仿宋" w:hAnsi="宋体" w:eastAsia="仿宋" w:cs="宋体"/>
          <w:color w:val="000000" w:themeColor="text1"/>
          <w:sz w:val="24"/>
          <w:szCs w:val="21"/>
          <w14:textFill>
            <w14:solidFill>
              <w14:schemeClr w14:val="tx1"/>
            </w14:solidFill>
          </w14:textFill>
        </w:rPr>
        <w:t>信用中国”网站等渠道查询供应商信用记录并保存。</w:t>
      </w:r>
    </w:p>
    <w:p w14:paraId="558E1904">
      <w:pPr>
        <w:spacing w:line="560" w:lineRule="exact"/>
        <w:ind w:firstLine="482"/>
        <w:rPr>
          <w:rFonts w:ascii="仿宋" w:eastAsia="仿宋"/>
          <w:color w:val="000000" w:themeColor="text1"/>
          <w:sz w:val="24"/>
          <w:szCs w:val="20"/>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2.</w:t>
      </w:r>
      <w:r>
        <w:rPr>
          <w:rFonts w:hint="eastAsia" w:ascii="仿宋" w:hAnsi="宋体" w:eastAsia="仿宋" w:cs="宋体"/>
          <w:color w:val="000000" w:themeColor="text1"/>
          <w:sz w:val="24"/>
          <w:szCs w:val="21"/>
          <w14:textFill>
            <w14:solidFill>
              <w14:schemeClr w14:val="tx1"/>
            </w14:solidFill>
          </w14:textFill>
        </w:rPr>
        <w:t>8</w:t>
      </w:r>
      <w:r>
        <w:rPr>
          <w:rFonts w:ascii="仿宋" w:hAnsi="宋体" w:eastAsia="仿宋" w:cs="宋体"/>
          <w:color w:val="000000" w:themeColor="text1"/>
          <w:sz w:val="24"/>
          <w:szCs w:val="21"/>
          <w14:textFill>
            <w14:solidFill>
              <w14:schemeClr w14:val="tx1"/>
            </w14:solidFill>
          </w14:textFill>
        </w:rPr>
        <w:t xml:space="preserve"> 供应商应当从采购代理机构合法获得采购项目的招标文件。</w:t>
      </w:r>
    </w:p>
    <w:p w14:paraId="6F096D7C">
      <w:pPr>
        <w:spacing w:line="560" w:lineRule="exact"/>
        <w:ind w:firstLine="482"/>
        <w:rPr>
          <w:rFonts w:ascii="仿宋" w:eastAsia="仿宋"/>
          <w:color w:val="000000" w:themeColor="text1"/>
          <w:sz w:val="24"/>
          <w:szCs w:val="20"/>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2.</w:t>
      </w:r>
      <w:r>
        <w:rPr>
          <w:rFonts w:hint="eastAsia" w:ascii="仿宋" w:hAnsi="宋体" w:eastAsia="仿宋" w:cs="宋体"/>
          <w:color w:val="000000" w:themeColor="text1"/>
          <w:sz w:val="24"/>
          <w:szCs w:val="21"/>
          <w14:textFill>
            <w14:solidFill>
              <w14:schemeClr w14:val="tx1"/>
            </w14:solidFill>
          </w14:textFill>
        </w:rPr>
        <w:t>9</w:t>
      </w:r>
      <w:r>
        <w:rPr>
          <w:rFonts w:ascii="仿宋" w:hAnsi="宋体" w:eastAsia="仿宋" w:cs="宋体"/>
          <w:color w:val="000000" w:themeColor="text1"/>
          <w:sz w:val="24"/>
          <w:szCs w:val="21"/>
          <w14:textFill>
            <w14:solidFill>
              <w14:schemeClr w14:val="tx1"/>
            </w14:solidFill>
          </w14:textFill>
        </w:rPr>
        <w:t xml:space="preserve"> </w:t>
      </w:r>
      <w:r>
        <w:rPr>
          <w:rFonts w:hint="eastAsia" w:ascii="仿宋" w:hAnsi="宋体" w:eastAsia="仿宋" w:cs="宋体"/>
          <w:color w:val="000000" w:themeColor="text1"/>
          <w:sz w:val="24"/>
          <w:szCs w:val="21"/>
          <w14:textFill>
            <w14:solidFill>
              <w14:schemeClr w14:val="tx1"/>
            </w14:solidFill>
          </w14:textFill>
        </w:rPr>
        <w:t>勘查现场</w:t>
      </w:r>
      <w:r>
        <w:rPr>
          <w:rFonts w:ascii="仿宋" w:hAnsi="宋体" w:eastAsia="仿宋" w:cs="宋体"/>
          <w:color w:val="000000" w:themeColor="text1"/>
          <w:sz w:val="24"/>
          <w:szCs w:val="21"/>
          <w14:textFill>
            <w14:solidFill>
              <w14:schemeClr w14:val="tx1"/>
            </w14:solidFill>
          </w14:textFill>
        </w:rPr>
        <w:t>或答疑：不统一组织勘察现场或答疑，有需要的供应商自行勘察。</w:t>
      </w:r>
    </w:p>
    <w:p w14:paraId="528EA5DF">
      <w:pPr>
        <w:spacing w:before="200" w:after="100"/>
        <w:outlineLvl w:val="1"/>
        <w:rPr>
          <w:rFonts w:ascii="楷体" w:eastAsia="楷体"/>
          <w:color w:val="000000" w:themeColor="text1"/>
          <w:sz w:val="32"/>
          <w:szCs w:val="20"/>
          <w14:textFill>
            <w14:solidFill>
              <w14:schemeClr w14:val="tx1"/>
            </w14:solidFill>
          </w14:textFill>
        </w:rPr>
      </w:pPr>
      <w:r>
        <w:rPr>
          <w:rFonts w:ascii="楷体" w:hAnsi="宋体" w:eastAsia="楷体" w:cs="宋体"/>
          <w:bCs/>
          <w:color w:val="000000" w:themeColor="text1"/>
          <w:sz w:val="32"/>
          <w:szCs w:val="21"/>
          <w14:textFill>
            <w14:solidFill>
              <w14:schemeClr w14:val="tx1"/>
            </w14:solidFill>
          </w14:textFill>
        </w:rPr>
        <w:t>三、获取招标文件</w:t>
      </w:r>
      <w:bookmarkStart w:id="3" w:name="page5"/>
      <w:bookmarkEnd w:id="3"/>
    </w:p>
    <w:p w14:paraId="38789666">
      <w:pPr>
        <w:spacing w:line="560" w:lineRule="exact"/>
        <w:ind w:firstLine="482"/>
        <w:rPr>
          <w:rFonts w:ascii="仿宋" w:eastAsia="仿宋"/>
          <w:color w:val="000000" w:themeColor="text1"/>
          <w:sz w:val="24"/>
          <w:szCs w:val="20"/>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3.1 时间：</w:t>
      </w:r>
      <w:r>
        <w:rPr>
          <w:rFonts w:ascii="仿宋" w:hAnsi="宋体" w:eastAsia="仿宋" w:cs="宋体"/>
          <w:color w:val="000000" w:themeColor="text1"/>
          <w:sz w:val="24"/>
          <w:szCs w:val="21"/>
          <w:u w:val="single"/>
          <w14:textFill>
            <w14:solidFill>
              <w14:schemeClr w14:val="tx1"/>
            </w14:solidFill>
          </w14:textFill>
        </w:rPr>
        <w:t>20</w:t>
      </w:r>
      <w:r>
        <w:rPr>
          <w:rFonts w:hint="eastAsia" w:ascii="仿宋" w:hAnsi="宋体" w:eastAsia="仿宋" w:cs="宋体"/>
          <w:color w:val="000000" w:themeColor="text1"/>
          <w:sz w:val="24"/>
          <w:szCs w:val="21"/>
          <w:u w:val="single"/>
          <w14:textFill>
            <w14:solidFill>
              <w14:schemeClr w14:val="tx1"/>
            </w14:solidFill>
          </w14:textFill>
        </w:rPr>
        <w:t>2</w:t>
      </w:r>
      <w:r>
        <w:rPr>
          <w:rFonts w:hint="eastAsia" w:ascii="仿宋" w:hAnsi="宋体" w:eastAsia="仿宋" w:cs="宋体"/>
          <w:color w:val="000000" w:themeColor="text1"/>
          <w:sz w:val="24"/>
          <w:szCs w:val="21"/>
          <w:u w:val="single"/>
          <w:lang w:val="en-US" w:eastAsia="zh-CN"/>
          <w14:textFill>
            <w14:solidFill>
              <w14:schemeClr w14:val="tx1"/>
            </w14:solidFill>
          </w14:textFill>
        </w:rPr>
        <w:t>5</w:t>
      </w:r>
      <w:r>
        <w:rPr>
          <w:rFonts w:ascii="仿宋" w:hAnsi="宋体" w:eastAsia="仿宋" w:cs="宋体"/>
          <w:color w:val="000000" w:themeColor="text1"/>
          <w:sz w:val="24"/>
          <w:szCs w:val="21"/>
          <w:u w:val="single"/>
          <w14:textFill>
            <w14:solidFill>
              <w14:schemeClr w14:val="tx1"/>
            </w14:solidFill>
          </w14:textFill>
        </w:rPr>
        <w:t xml:space="preserve"> 年 </w:t>
      </w:r>
      <w:r>
        <w:rPr>
          <w:rFonts w:hint="eastAsia" w:ascii="仿宋" w:hAnsi="宋体" w:eastAsia="仿宋" w:cs="宋体"/>
          <w:color w:val="000000" w:themeColor="text1"/>
          <w:sz w:val="24"/>
          <w:szCs w:val="21"/>
          <w:u w:val="single"/>
          <w14:textFill>
            <w14:solidFill>
              <w14:schemeClr w14:val="tx1"/>
            </w14:solidFill>
          </w14:textFill>
        </w:rPr>
        <w:t>0</w:t>
      </w:r>
      <w:r>
        <w:rPr>
          <w:rFonts w:hint="eastAsia" w:ascii="仿宋" w:hAnsi="宋体" w:eastAsia="仿宋" w:cs="宋体"/>
          <w:color w:val="000000" w:themeColor="text1"/>
          <w:sz w:val="24"/>
          <w:szCs w:val="21"/>
          <w:u w:val="single"/>
          <w:lang w:val="en-US" w:eastAsia="zh-CN"/>
          <w14:textFill>
            <w14:solidFill>
              <w14:schemeClr w14:val="tx1"/>
            </w14:solidFill>
          </w14:textFill>
        </w:rPr>
        <w:t>6</w:t>
      </w:r>
      <w:r>
        <w:rPr>
          <w:rFonts w:ascii="仿宋" w:hAnsi="宋体" w:eastAsia="仿宋" w:cs="宋体"/>
          <w:color w:val="000000" w:themeColor="text1"/>
          <w:sz w:val="24"/>
          <w:szCs w:val="21"/>
          <w:u w:val="single"/>
          <w14:textFill>
            <w14:solidFill>
              <w14:schemeClr w14:val="tx1"/>
            </w14:solidFill>
          </w14:textFill>
        </w:rPr>
        <w:t>月</w:t>
      </w:r>
      <w:r>
        <w:rPr>
          <w:rFonts w:hint="eastAsia" w:ascii="仿宋" w:hAnsi="宋体" w:eastAsia="仿宋" w:cs="宋体"/>
          <w:color w:val="000000" w:themeColor="text1"/>
          <w:sz w:val="24"/>
          <w:szCs w:val="21"/>
          <w:u w:val="single"/>
          <w:lang w:val="en-US" w:eastAsia="zh-CN"/>
          <w14:textFill>
            <w14:solidFill>
              <w14:schemeClr w14:val="tx1"/>
            </w14:solidFill>
          </w14:textFill>
        </w:rPr>
        <w:t>12</w:t>
      </w:r>
      <w:r>
        <w:rPr>
          <w:rFonts w:ascii="仿宋" w:hAnsi="宋体" w:eastAsia="仿宋" w:cs="宋体"/>
          <w:color w:val="000000" w:themeColor="text1"/>
          <w:sz w:val="24"/>
          <w:szCs w:val="21"/>
          <w:u w:val="single"/>
          <w14:textFill>
            <w14:solidFill>
              <w14:schemeClr w14:val="tx1"/>
            </w14:solidFill>
          </w14:textFill>
        </w:rPr>
        <w:t>日</w:t>
      </w:r>
      <w:r>
        <w:rPr>
          <w:rFonts w:hint="eastAsia" w:ascii="仿宋" w:hAnsi="宋体" w:eastAsia="仿宋" w:cs="宋体"/>
          <w:color w:val="000000" w:themeColor="text1"/>
          <w:sz w:val="24"/>
          <w:szCs w:val="21"/>
          <w:u w:val="single"/>
          <w:lang w:val="en-US" w:eastAsia="zh-CN"/>
          <w14:textFill>
            <w14:solidFill>
              <w14:schemeClr w14:val="tx1"/>
            </w14:solidFill>
          </w14:textFill>
        </w:rPr>
        <w:t xml:space="preserve"> 09 </w:t>
      </w:r>
      <w:bookmarkStart w:id="39" w:name="_GoBack"/>
      <w:bookmarkEnd w:id="39"/>
      <w:r>
        <w:rPr>
          <w:rFonts w:ascii="仿宋" w:hAnsi="宋体" w:eastAsia="仿宋" w:cs="宋体"/>
          <w:color w:val="000000" w:themeColor="text1"/>
          <w:sz w:val="24"/>
          <w:szCs w:val="21"/>
          <w:u w:val="single"/>
          <w14:textFill>
            <w14:solidFill>
              <w14:schemeClr w14:val="tx1"/>
            </w14:solidFill>
          </w14:textFill>
        </w:rPr>
        <w:t>时至 202</w:t>
      </w:r>
      <w:r>
        <w:rPr>
          <w:rFonts w:hint="eastAsia" w:ascii="仿宋" w:hAnsi="宋体" w:eastAsia="仿宋" w:cs="宋体"/>
          <w:color w:val="000000" w:themeColor="text1"/>
          <w:sz w:val="24"/>
          <w:szCs w:val="21"/>
          <w:u w:val="single"/>
          <w:lang w:val="en-US" w:eastAsia="zh-CN"/>
          <w14:textFill>
            <w14:solidFill>
              <w14:schemeClr w14:val="tx1"/>
            </w14:solidFill>
          </w14:textFill>
        </w:rPr>
        <w:t>5</w:t>
      </w:r>
      <w:r>
        <w:rPr>
          <w:rFonts w:ascii="仿宋" w:hAnsi="宋体" w:eastAsia="仿宋" w:cs="宋体"/>
          <w:color w:val="000000" w:themeColor="text1"/>
          <w:sz w:val="24"/>
          <w:szCs w:val="21"/>
          <w:u w:val="single"/>
          <w14:textFill>
            <w14:solidFill>
              <w14:schemeClr w14:val="tx1"/>
            </w14:solidFill>
          </w14:textFill>
        </w:rPr>
        <w:t xml:space="preserve"> 年 </w:t>
      </w:r>
      <w:r>
        <w:rPr>
          <w:rFonts w:hint="eastAsia" w:ascii="仿宋" w:hAnsi="宋体" w:eastAsia="仿宋" w:cs="宋体"/>
          <w:color w:val="000000" w:themeColor="text1"/>
          <w:sz w:val="24"/>
          <w:szCs w:val="21"/>
          <w:u w:val="single"/>
          <w14:textFill>
            <w14:solidFill>
              <w14:schemeClr w14:val="tx1"/>
            </w14:solidFill>
          </w14:textFill>
        </w:rPr>
        <w:t>0</w:t>
      </w:r>
      <w:r>
        <w:rPr>
          <w:rFonts w:hint="eastAsia" w:ascii="仿宋" w:hAnsi="宋体" w:eastAsia="仿宋" w:cs="宋体"/>
          <w:color w:val="000000" w:themeColor="text1"/>
          <w:sz w:val="24"/>
          <w:szCs w:val="21"/>
          <w:u w:val="single"/>
          <w:lang w:val="en-US" w:eastAsia="zh-CN"/>
          <w14:textFill>
            <w14:solidFill>
              <w14:schemeClr w14:val="tx1"/>
            </w14:solidFill>
          </w14:textFill>
        </w:rPr>
        <w:t>6</w:t>
      </w:r>
      <w:r>
        <w:rPr>
          <w:rFonts w:ascii="仿宋" w:hAnsi="宋体" w:eastAsia="仿宋" w:cs="宋体"/>
          <w:color w:val="000000" w:themeColor="text1"/>
          <w:sz w:val="24"/>
          <w:szCs w:val="21"/>
          <w:u w:val="single"/>
          <w14:textFill>
            <w14:solidFill>
              <w14:schemeClr w14:val="tx1"/>
            </w14:solidFill>
          </w14:textFill>
        </w:rPr>
        <w:t xml:space="preserve"> 月</w:t>
      </w:r>
      <w:r>
        <w:rPr>
          <w:rFonts w:hint="eastAsia" w:ascii="仿宋" w:hAnsi="宋体" w:eastAsia="仿宋" w:cs="宋体"/>
          <w:color w:val="000000" w:themeColor="text1"/>
          <w:sz w:val="24"/>
          <w:szCs w:val="21"/>
          <w:u w:val="single"/>
          <w:lang w:val="en-US" w:eastAsia="zh-CN"/>
          <w14:textFill>
            <w14:solidFill>
              <w14:schemeClr w14:val="tx1"/>
            </w14:solidFill>
          </w14:textFill>
        </w:rPr>
        <w:t>18</w:t>
      </w:r>
      <w:r>
        <w:rPr>
          <w:rFonts w:ascii="仿宋" w:hAnsi="宋体" w:eastAsia="仿宋" w:cs="宋体"/>
          <w:color w:val="000000" w:themeColor="text1"/>
          <w:sz w:val="24"/>
          <w:szCs w:val="21"/>
          <w:u w:val="single"/>
          <w14:textFill>
            <w14:solidFill>
              <w14:schemeClr w14:val="tx1"/>
            </w14:solidFill>
          </w14:textFill>
        </w:rPr>
        <w:t>日 17 时。</w:t>
      </w:r>
      <w:r>
        <w:rPr>
          <w:rFonts w:ascii="仿宋" w:hAnsi="宋体" w:eastAsia="仿宋" w:cs="宋体"/>
          <w:color w:val="000000" w:themeColor="text1"/>
          <w:sz w:val="24"/>
          <w:szCs w:val="21"/>
          <w14:textFill>
            <w14:solidFill>
              <w14:schemeClr w14:val="tx1"/>
            </w14:solidFill>
          </w14:textFill>
        </w:rPr>
        <w:t>（北京时间，法定节假日除外）</w:t>
      </w:r>
    </w:p>
    <w:p w14:paraId="75D3C2FB">
      <w:pPr>
        <w:spacing w:line="560" w:lineRule="exact"/>
        <w:ind w:left="480" w:leftChars="218" w:firstLine="45" w:firstLineChars="19"/>
        <w:rPr>
          <w:rFonts w:ascii="仿宋" w:hAnsi="宋体" w:eastAsia="仿宋" w:cs="宋体"/>
          <w:color w:val="000000" w:themeColor="text1"/>
          <w:sz w:val="24"/>
          <w:szCs w:val="21"/>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3.2 地点：</w:t>
      </w:r>
      <w:r>
        <w:rPr>
          <w:rFonts w:hint="eastAsia" w:ascii="仿宋" w:hAnsi="宋体" w:eastAsia="仿宋" w:cs="宋体"/>
          <w:color w:val="000000" w:themeColor="text1"/>
          <w:sz w:val="24"/>
          <w:szCs w:val="21"/>
          <w:lang w:eastAsia="zh-CN"/>
          <w14:textFill>
            <w14:solidFill>
              <w14:schemeClr w14:val="tx1"/>
            </w14:solidFill>
          </w14:textFill>
        </w:rPr>
        <w:t>江苏省苏辰建设投资顾问有限公司（南京市建邺区西城路300号C栋15F招标代理部）</w:t>
      </w:r>
      <w:r>
        <w:rPr>
          <w:rFonts w:ascii="仿宋" w:hAnsi="宋体" w:eastAsia="仿宋" w:cs="宋体"/>
          <w:color w:val="000000" w:themeColor="text1"/>
          <w:sz w:val="24"/>
          <w:szCs w:val="21"/>
          <w14:textFill>
            <w14:solidFill>
              <w14:schemeClr w14:val="tx1"/>
            </w14:solidFill>
          </w14:textFill>
        </w:rPr>
        <w:t>。</w:t>
      </w:r>
    </w:p>
    <w:p w14:paraId="0F7E036B">
      <w:pPr>
        <w:spacing w:line="560" w:lineRule="exact"/>
        <w:ind w:left="480" w:leftChars="218" w:firstLine="45" w:firstLineChars="19"/>
        <w:rPr>
          <w:rFonts w:ascii="仿宋" w:eastAsia="仿宋"/>
          <w:color w:val="000000" w:themeColor="text1"/>
          <w:sz w:val="24"/>
          <w:szCs w:val="20"/>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3.3 方式：</w:t>
      </w:r>
      <w:r>
        <w:rPr>
          <w:rFonts w:hint="eastAsia" w:ascii="仿宋" w:hAnsi="宋体" w:eastAsia="仿宋" w:cs="宋体"/>
          <w:color w:val="000000" w:themeColor="text1"/>
          <w:sz w:val="24"/>
          <w:szCs w:val="21"/>
          <w14:textFill>
            <w14:solidFill>
              <w14:schemeClr w14:val="tx1"/>
            </w14:solidFill>
          </w14:textFill>
        </w:rPr>
        <w:t>现场购买。需携带的材料：1.营业执照复印件加盖公章。2.介绍信或者授权委托书复印件加盖公章。（格式自拟）。3.被授权委托人身份证复印件加盖公章。</w:t>
      </w:r>
    </w:p>
    <w:p w14:paraId="10CCAAA8">
      <w:pPr>
        <w:spacing w:line="560" w:lineRule="exact"/>
        <w:ind w:firstLine="482"/>
        <w:rPr>
          <w:rFonts w:ascii="仿宋" w:eastAsia="仿宋"/>
          <w:color w:val="000000" w:themeColor="text1"/>
          <w:sz w:val="24"/>
          <w:szCs w:val="20"/>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 xml:space="preserve">3.4 招标文件服务费每套 </w:t>
      </w:r>
      <w:r>
        <w:rPr>
          <w:rFonts w:hint="eastAsia" w:ascii="仿宋" w:hAnsi="宋体" w:eastAsia="仿宋" w:cs="宋体"/>
          <w:color w:val="000000" w:themeColor="text1"/>
          <w:sz w:val="24"/>
          <w:szCs w:val="21"/>
          <w14:textFill>
            <w14:solidFill>
              <w14:schemeClr w14:val="tx1"/>
            </w14:solidFill>
          </w14:textFill>
        </w:rPr>
        <w:t>1</w:t>
      </w:r>
      <w:r>
        <w:rPr>
          <w:rFonts w:ascii="仿宋" w:hAnsi="宋体" w:eastAsia="仿宋" w:cs="宋体"/>
          <w:color w:val="000000" w:themeColor="text1"/>
          <w:sz w:val="24"/>
          <w:szCs w:val="21"/>
          <w14:textFill>
            <w14:solidFill>
              <w14:schemeClr w14:val="tx1"/>
            </w14:solidFill>
          </w14:textFill>
        </w:rPr>
        <w:t>00 元</w:t>
      </w:r>
      <w:r>
        <w:rPr>
          <w:rFonts w:hint="eastAsia" w:ascii="仿宋" w:hAnsi="宋体" w:eastAsia="仿宋" w:cs="宋体"/>
          <w:color w:val="000000" w:themeColor="text1"/>
          <w:sz w:val="24"/>
          <w:szCs w:val="21"/>
          <w14:textFill>
            <w14:solidFill>
              <w14:schemeClr w14:val="tx1"/>
            </w14:solidFill>
          </w14:textFill>
        </w:rPr>
        <w:t>。</w:t>
      </w:r>
    </w:p>
    <w:p w14:paraId="468A42FB">
      <w:pPr>
        <w:spacing w:before="200" w:after="100"/>
        <w:outlineLvl w:val="1"/>
        <w:rPr>
          <w:rFonts w:ascii="楷体" w:eastAsia="楷体"/>
          <w:color w:val="000000" w:themeColor="text1"/>
          <w:sz w:val="32"/>
          <w:szCs w:val="20"/>
          <w14:textFill>
            <w14:solidFill>
              <w14:schemeClr w14:val="tx1"/>
            </w14:solidFill>
          </w14:textFill>
        </w:rPr>
      </w:pPr>
      <w:r>
        <w:rPr>
          <w:rFonts w:ascii="楷体" w:hAnsi="宋体" w:eastAsia="楷体" w:cs="宋体"/>
          <w:bCs/>
          <w:color w:val="000000" w:themeColor="text1"/>
          <w:sz w:val="32"/>
          <w:szCs w:val="21"/>
          <w14:textFill>
            <w14:solidFill>
              <w14:schemeClr w14:val="tx1"/>
            </w14:solidFill>
          </w14:textFill>
        </w:rPr>
        <w:t>四、提交投标文件截止时间、开标时间和地点</w:t>
      </w:r>
    </w:p>
    <w:p w14:paraId="5BE8E9F1">
      <w:pPr>
        <w:spacing w:line="560" w:lineRule="exact"/>
        <w:ind w:firstLine="482"/>
        <w:rPr>
          <w:rFonts w:ascii="仿宋" w:eastAsia="仿宋"/>
          <w:color w:val="000000" w:themeColor="text1"/>
          <w:sz w:val="24"/>
          <w:szCs w:val="20"/>
          <w:highlight w:val="yellow"/>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4.1 时间：</w:t>
      </w:r>
      <w:r>
        <w:rPr>
          <w:rFonts w:ascii="仿宋" w:hAnsi="宋体" w:eastAsia="仿宋" w:cs="宋体"/>
          <w:color w:val="000000" w:themeColor="text1"/>
          <w:sz w:val="24"/>
          <w:szCs w:val="19"/>
          <w:u w:val="single"/>
          <w14:textFill>
            <w14:solidFill>
              <w14:schemeClr w14:val="tx1"/>
            </w14:solidFill>
          </w14:textFill>
        </w:rPr>
        <w:t>202</w:t>
      </w:r>
      <w:r>
        <w:rPr>
          <w:rFonts w:hint="eastAsia" w:ascii="仿宋" w:hAnsi="宋体" w:eastAsia="仿宋" w:cs="宋体"/>
          <w:color w:val="000000" w:themeColor="text1"/>
          <w:sz w:val="24"/>
          <w:szCs w:val="19"/>
          <w:u w:val="single"/>
          <w:lang w:val="en-US" w:eastAsia="zh-CN"/>
          <w14:textFill>
            <w14:solidFill>
              <w14:schemeClr w14:val="tx1"/>
            </w14:solidFill>
          </w14:textFill>
        </w:rPr>
        <w:t>5</w:t>
      </w:r>
      <w:r>
        <w:rPr>
          <w:rFonts w:ascii="仿宋" w:hAnsi="宋体" w:eastAsia="仿宋" w:cs="宋体"/>
          <w:color w:val="000000" w:themeColor="text1"/>
          <w:sz w:val="24"/>
          <w:szCs w:val="19"/>
          <w:u w:val="single"/>
          <w14:textFill>
            <w14:solidFill>
              <w14:schemeClr w14:val="tx1"/>
            </w14:solidFill>
          </w14:textFill>
        </w:rPr>
        <w:t xml:space="preserve"> 年 </w:t>
      </w:r>
      <w:r>
        <w:rPr>
          <w:rFonts w:hint="eastAsia" w:ascii="仿宋" w:hAnsi="宋体" w:eastAsia="仿宋" w:cs="宋体"/>
          <w:color w:val="000000" w:themeColor="text1"/>
          <w:sz w:val="24"/>
          <w:szCs w:val="19"/>
          <w:u w:val="single"/>
          <w:lang w:val="en-US" w:eastAsia="zh-CN"/>
          <w14:textFill>
            <w14:solidFill>
              <w14:schemeClr w14:val="tx1"/>
            </w14:solidFill>
          </w14:textFill>
        </w:rPr>
        <w:t>07</w:t>
      </w:r>
      <w:r>
        <w:rPr>
          <w:rFonts w:ascii="仿宋" w:hAnsi="宋体" w:eastAsia="仿宋" w:cs="宋体"/>
          <w:color w:val="000000" w:themeColor="text1"/>
          <w:sz w:val="24"/>
          <w:szCs w:val="19"/>
          <w:u w:val="single"/>
          <w14:textFill>
            <w14:solidFill>
              <w14:schemeClr w14:val="tx1"/>
            </w14:solidFill>
          </w14:textFill>
        </w:rPr>
        <w:t>月</w:t>
      </w:r>
      <w:r>
        <w:rPr>
          <w:rFonts w:hint="eastAsia" w:ascii="仿宋" w:hAnsi="宋体" w:eastAsia="仿宋" w:cs="宋体"/>
          <w:color w:val="000000" w:themeColor="text1"/>
          <w:sz w:val="24"/>
          <w:szCs w:val="19"/>
          <w:u w:val="single"/>
          <w:lang w:val="en-US" w:eastAsia="zh-CN"/>
          <w14:textFill>
            <w14:solidFill>
              <w14:schemeClr w14:val="tx1"/>
            </w14:solidFill>
          </w14:textFill>
        </w:rPr>
        <w:t xml:space="preserve"> 03 </w:t>
      </w:r>
      <w:r>
        <w:rPr>
          <w:rFonts w:ascii="仿宋" w:hAnsi="宋体" w:eastAsia="仿宋" w:cs="宋体"/>
          <w:color w:val="000000" w:themeColor="text1"/>
          <w:sz w:val="24"/>
          <w:szCs w:val="19"/>
          <w:u w:val="single"/>
          <w14:textFill>
            <w14:solidFill>
              <w14:schemeClr w14:val="tx1"/>
            </w14:solidFill>
          </w14:textFill>
        </w:rPr>
        <w:t>日 9 点 30 分（北京时间）</w:t>
      </w:r>
      <w:r>
        <w:rPr>
          <w:rFonts w:ascii="仿宋" w:hAnsi="宋体" w:eastAsia="仿宋" w:cs="宋体"/>
          <w:color w:val="000000" w:themeColor="text1"/>
          <w:sz w:val="24"/>
          <w:szCs w:val="21"/>
          <w14:textFill>
            <w14:solidFill>
              <w14:schemeClr w14:val="tx1"/>
            </w14:solidFill>
          </w14:textFill>
        </w:rPr>
        <w:t>；</w:t>
      </w:r>
    </w:p>
    <w:p w14:paraId="24549479">
      <w:pPr>
        <w:spacing w:line="560" w:lineRule="exact"/>
        <w:ind w:firstLine="482"/>
        <w:rPr>
          <w:rFonts w:ascii="仿宋" w:eastAsia="仿宋"/>
          <w:color w:val="000000" w:themeColor="text1"/>
          <w:sz w:val="24"/>
          <w:szCs w:val="20"/>
          <w14:textFill>
            <w14:solidFill>
              <w14:schemeClr w14:val="tx1"/>
            </w14:solidFill>
          </w14:textFill>
        </w:rPr>
      </w:pPr>
      <w:r>
        <w:rPr>
          <w:rFonts w:ascii="仿宋" w:hAnsi="宋体" w:eastAsia="仿宋" w:cs="宋体"/>
          <w:color w:val="000000" w:themeColor="text1"/>
          <w:sz w:val="24"/>
          <w:szCs w:val="21"/>
          <w14:textFill>
            <w14:solidFill>
              <w14:schemeClr w14:val="tx1"/>
            </w14:solidFill>
          </w14:textFill>
        </w:rPr>
        <w:t>4.2 地点：</w:t>
      </w:r>
      <w:bookmarkStart w:id="4" w:name="page6"/>
      <w:bookmarkEnd w:id="4"/>
      <w:r>
        <w:rPr>
          <w:rFonts w:hint="eastAsia" w:ascii="仿宋" w:hAnsi="宋体" w:eastAsia="仿宋" w:cs="宋体"/>
          <w:color w:val="000000" w:themeColor="text1"/>
          <w:sz w:val="24"/>
          <w:szCs w:val="21"/>
          <w:lang w:eastAsia="zh-CN"/>
          <w14:textFill>
            <w14:solidFill>
              <w14:schemeClr w14:val="tx1"/>
            </w14:solidFill>
          </w14:textFill>
        </w:rPr>
        <w:t>江苏省苏辰建设投资顾问有限公司（南京市建邺区西城路300号C栋15F）</w:t>
      </w:r>
      <w:r>
        <w:rPr>
          <w:rFonts w:ascii="仿宋" w:hAnsi="宋体" w:eastAsia="仿宋" w:cs="宋体"/>
          <w:color w:val="000000" w:themeColor="text1"/>
          <w:sz w:val="24"/>
          <w:szCs w:val="21"/>
          <w14:textFill>
            <w14:solidFill>
              <w14:schemeClr w14:val="tx1"/>
            </w14:solidFill>
          </w14:textFill>
        </w:rPr>
        <w:t>开标室。</w:t>
      </w:r>
    </w:p>
    <w:p w14:paraId="39DC8A90">
      <w:pPr>
        <w:spacing w:before="200" w:after="100"/>
        <w:outlineLvl w:val="1"/>
        <w:rPr>
          <w:rFonts w:ascii="楷体" w:eastAsia="楷体"/>
          <w:color w:val="000000" w:themeColor="text1"/>
          <w:sz w:val="32"/>
          <w:szCs w:val="20"/>
          <w14:textFill>
            <w14:solidFill>
              <w14:schemeClr w14:val="tx1"/>
            </w14:solidFill>
          </w14:textFill>
        </w:rPr>
      </w:pPr>
      <w:r>
        <w:rPr>
          <w:rFonts w:ascii="楷体" w:hAnsi="宋体" w:eastAsia="楷体" w:cs="宋体"/>
          <w:bCs/>
          <w:color w:val="000000" w:themeColor="text1"/>
          <w:sz w:val="32"/>
          <w:szCs w:val="20"/>
          <w14:textFill>
            <w14:solidFill>
              <w14:schemeClr w14:val="tx1"/>
            </w14:solidFill>
          </w14:textFill>
        </w:rPr>
        <w:t>五、开启</w:t>
      </w:r>
    </w:p>
    <w:p w14:paraId="47D24202">
      <w:pPr>
        <w:spacing w:line="560" w:lineRule="exact"/>
        <w:ind w:firstLine="482"/>
        <w:rPr>
          <w:rFonts w:ascii="仿宋" w:hAnsi="宋体" w:eastAsia="仿宋" w:cs="宋体"/>
          <w:color w:val="000000" w:themeColor="text1"/>
          <w:sz w:val="24"/>
          <w:szCs w:val="19"/>
          <w14:textFill>
            <w14:solidFill>
              <w14:schemeClr w14:val="tx1"/>
            </w14:solidFill>
          </w14:textFill>
        </w:rPr>
      </w:pPr>
      <w:r>
        <w:rPr>
          <w:rFonts w:ascii="仿宋" w:hAnsi="宋体" w:eastAsia="仿宋" w:cs="宋体"/>
          <w:color w:val="000000" w:themeColor="text1"/>
          <w:sz w:val="24"/>
          <w:szCs w:val="19"/>
          <w14:textFill>
            <w14:solidFill>
              <w14:schemeClr w14:val="tx1"/>
            </w14:solidFill>
          </w14:textFill>
        </w:rPr>
        <w:t>时间：</w:t>
      </w:r>
      <w:r>
        <w:rPr>
          <w:rFonts w:ascii="仿宋" w:hAnsi="宋体" w:eastAsia="仿宋" w:cs="宋体"/>
          <w:color w:val="000000" w:themeColor="text1"/>
          <w:sz w:val="24"/>
          <w:szCs w:val="19"/>
          <w:u w:val="single"/>
          <w14:textFill>
            <w14:solidFill>
              <w14:schemeClr w14:val="tx1"/>
            </w14:solidFill>
          </w14:textFill>
        </w:rPr>
        <w:t>202</w:t>
      </w:r>
      <w:r>
        <w:rPr>
          <w:rFonts w:hint="eastAsia" w:ascii="仿宋" w:hAnsi="宋体" w:eastAsia="仿宋" w:cs="宋体"/>
          <w:color w:val="000000" w:themeColor="text1"/>
          <w:sz w:val="24"/>
          <w:szCs w:val="19"/>
          <w:u w:val="single"/>
          <w:lang w:val="en-US" w:eastAsia="zh-CN"/>
          <w14:textFill>
            <w14:solidFill>
              <w14:schemeClr w14:val="tx1"/>
            </w14:solidFill>
          </w14:textFill>
        </w:rPr>
        <w:t>5</w:t>
      </w:r>
      <w:r>
        <w:rPr>
          <w:rFonts w:ascii="仿宋" w:hAnsi="宋体" w:eastAsia="仿宋" w:cs="宋体"/>
          <w:color w:val="000000" w:themeColor="text1"/>
          <w:sz w:val="24"/>
          <w:szCs w:val="19"/>
          <w:u w:val="single"/>
          <w14:textFill>
            <w14:solidFill>
              <w14:schemeClr w14:val="tx1"/>
            </w14:solidFill>
          </w14:textFill>
        </w:rPr>
        <w:t xml:space="preserve"> 年 </w:t>
      </w:r>
      <w:r>
        <w:rPr>
          <w:rFonts w:hint="eastAsia" w:ascii="仿宋" w:hAnsi="宋体" w:eastAsia="仿宋" w:cs="宋体"/>
          <w:color w:val="000000" w:themeColor="text1"/>
          <w:sz w:val="24"/>
          <w:szCs w:val="19"/>
          <w:u w:val="single"/>
          <w:lang w:val="en-US" w:eastAsia="zh-CN"/>
          <w14:textFill>
            <w14:solidFill>
              <w14:schemeClr w14:val="tx1"/>
            </w14:solidFill>
          </w14:textFill>
        </w:rPr>
        <w:t xml:space="preserve">07 </w:t>
      </w:r>
      <w:r>
        <w:rPr>
          <w:rFonts w:ascii="仿宋" w:hAnsi="宋体" w:eastAsia="仿宋" w:cs="宋体"/>
          <w:color w:val="000000" w:themeColor="text1"/>
          <w:sz w:val="24"/>
          <w:szCs w:val="19"/>
          <w:u w:val="single"/>
          <w14:textFill>
            <w14:solidFill>
              <w14:schemeClr w14:val="tx1"/>
            </w14:solidFill>
          </w14:textFill>
        </w:rPr>
        <w:t>月</w:t>
      </w:r>
      <w:r>
        <w:rPr>
          <w:rFonts w:hint="eastAsia" w:ascii="仿宋" w:hAnsi="宋体" w:eastAsia="仿宋" w:cs="宋体"/>
          <w:color w:val="000000" w:themeColor="text1"/>
          <w:sz w:val="24"/>
          <w:szCs w:val="19"/>
          <w:u w:val="single"/>
          <w:lang w:val="en-US" w:eastAsia="zh-CN"/>
          <w14:textFill>
            <w14:solidFill>
              <w14:schemeClr w14:val="tx1"/>
            </w14:solidFill>
          </w14:textFill>
        </w:rPr>
        <w:t xml:space="preserve"> 03 </w:t>
      </w:r>
      <w:r>
        <w:rPr>
          <w:rFonts w:ascii="仿宋" w:hAnsi="宋体" w:eastAsia="仿宋" w:cs="宋体"/>
          <w:color w:val="000000" w:themeColor="text1"/>
          <w:sz w:val="24"/>
          <w:szCs w:val="19"/>
          <w:u w:val="single"/>
          <w14:textFill>
            <w14:solidFill>
              <w14:schemeClr w14:val="tx1"/>
            </w14:solidFill>
          </w14:textFill>
        </w:rPr>
        <w:t>日 9 点 30 分（北京时间）</w:t>
      </w:r>
      <w:r>
        <w:rPr>
          <w:rFonts w:ascii="仿宋" w:hAnsi="宋体" w:eastAsia="仿宋" w:cs="宋体"/>
          <w:color w:val="000000" w:themeColor="text1"/>
          <w:sz w:val="24"/>
          <w:szCs w:val="19"/>
          <w14:textFill>
            <w14:solidFill>
              <w14:schemeClr w14:val="tx1"/>
            </w14:solidFill>
          </w14:textFill>
        </w:rPr>
        <w:t>；</w:t>
      </w:r>
    </w:p>
    <w:p w14:paraId="558C5715">
      <w:pPr>
        <w:spacing w:line="560" w:lineRule="exact"/>
        <w:ind w:firstLine="482"/>
        <w:rPr>
          <w:rFonts w:ascii="仿宋" w:eastAsia="仿宋"/>
          <w:sz w:val="24"/>
          <w:szCs w:val="20"/>
        </w:rPr>
      </w:pPr>
      <w:r>
        <w:rPr>
          <w:rFonts w:ascii="仿宋" w:hAnsi="宋体" w:eastAsia="仿宋" w:cs="宋体"/>
          <w:sz w:val="24"/>
          <w:szCs w:val="19"/>
        </w:rPr>
        <w:t>地点：</w:t>
      </w:r>
      <w:r>
        <w:rPr>
          <w:rFonts w:hint="eastAsia" w:ascii="仿宋" w:hAnsi="宋体" w:eastAsia="仿宋" w:cs="宋体"/>
          <w:sz w:val="24"/>
          <w:szCs w:val="21"/>
          <w:lang w:eastAsia="zh-CN"/>
        </w:rPr>
        <w:t>江苏省苏辰建设投资顾问有限公司（南京市建邺区西城路300号C栋15F）</w:t>
      </w:r>
      <w:r>
        <w:rPr>
          <w:rFonts w:ascii="仿宋" w:hAnsi="宋体" w:eastAsia="仿宋" w:cs="宋体"/>
          <w:sz w:val="24"/>
          <w:szCs w:val="21"/>
        </w:rPr>
        <w:t>开标室。</w:t>
      </w:r>
    </w:p>
    <w:p w14:paraId="2972BBDF">
      <w:pPr>
        <w:spacing w:before="200" w:after="100"/>
        <w:outlineLvl w:val="1"/>
        <w:rPr>
          <w:rFonts w:ascii="楷体" w:eastAsia="楷体"/>
          <w:sz w:val="32"/>
          <w:szCs w:val="20"/>
        </w:rPr>
      </w:pPr>
      <w:r>
        <w:rPr>
          <w:rFonts w:ascii="楷体" w:hAnsi="宋体" w:eastAsia="楷体" w:cs="宋体"/>
          <w:bCs/>
          <w:sz w:val="32"/>
          <w:szCs w:val="21"/>
        </w:rPr>
        <w:t>六、公告期限</w:t>
      </w:r>
    </w:p>
    <w:p w14:paraId="2926D377">
      <w:pPr>
        <w:spacing w:line="560" w:lineRule="exact"/>
        <w:ind w:firstLine="482"/>
        <w:rPr>
          <w:rFonts w:ascii="仿宋" w:eastAsia="仿宋"/>
          <w:sz w:val="24"/>
          <w:szCs w:val="20"/>
        </w:rPr>
      </w:pPr>
      <w:r>
        <w:rPr>
          <w:rFonts w:ascii="仿宋" w:hAnsi="宋体" w:eastAsia="仿宋" w:cs="宋体"/>
          <w:sz w:val="24"/>
          <w:szCs w:val="21"/>
        </w:rPr>
        <w:t>自本公告发布之日起 5 个工作日。</w:t>
      </w:r>
    </w:p>
    <w:p w14:paraId="09329759">
      <w:pPr>
        <w:spacing w:before="200" w:after="100"/>
        <w:outlineLvl w:val="1"/>
        <w:rPr>
          <w:rFonts w:ascii="楷体" w:eastAsia="楷体"/>
          <w:sz w:val="32"/>
          <w:szCs w:val="20"/>
        </w:rPr>
      </w:pPr>
      <w:r>
        <w:rPr>
          <w:rFonts w:ascii="楷体" w:hAnsi="宋体" w:eastAsia="楷体" w:cs="宋体"/>
          <w:bCs/>
          <w:sz w:val="32"/>
          <w:szCs w:val="21"/>
        </w:rPr>
        <w:t>七、其他补充事宜</w:t>
      </w:r>
    </w:p>
    <w:p w14:paraId="40EC3397">
      <w:pPr>
        <w:spacing w:line="560" w:lineRule="exact"/>
        <w:ind w:firstLine="482"/>
        <w:rPr>
          <w:rFonts w:ascii="仿宋" w:eastAsia="仿宋"/>
          <w:sz w:val="24"/>
          <w:szCs w:val="20"/>
        </w:rPr>
      </w:pPr>
      <w:r>
        <w:rPr>
          <w:rFonts w:ascii="仿宋" w:hAnsi="宋体" w:eastAsia="仿宋" w:cs="宋体"/>
          <w:sz w:val="24"/>
          <w:szCs w:val="21"/>
        </w:rPr>
        <w:t>7.1 本项目在</w:t>
      </w:r>
      <w:r>
        <w:rPr>
          <w:rFonts w:hint="eastAsia" w:ascii="仿宋" w:hAnsi="宋体" w:eastAsia="仿宋" w:cs="宋体"/>
          <w:b/>
          <w:bCs/>
          <w:sz w:val="24"/>
          <w:szCs w:val="21"/>
        </w:rPr>
        <w:t>南京公共采购信息网、江苏政府采购网</w:t>
      </w:r>
      <w:r>
        <w:rPr>
          <w:rFonts w:hint="eastAsia" w:ascii="仿宋" w:hAnsi="宋体" w:eastAsia="仿宋" w:cs="宋体"/>
          <w:b w:val="0"/>
          <w:bCs w:val="0"/>
          <w:sz w:val="24"/>
          <w:szCs w:val="21"/>
        </w:rPr>
        <w:t>网站发布公告</w:t>
      </w:r>
      <w:r>
        <w:rPr>
          <w:rFonts w:ascii="仿宋" w:hAnsi="宋体" w:eastAsia="仿宋" w:cs="宋体"/>
          <w:sz w:val="24"/>
          <w:szCs w:val="21"/>
        </w:rPr>
        <w:t>。</w:t>
      </w:r>
    </w:p>
    <w:p w14:paraId="5F0E91C1">
      <w:pPr>
        <w:spacing w:line="560" w:lineRule="exact"/>
        <w:ind w:firstLine="482"/>
        <w:rPr>
          <w:rFonts w:ascii="仿宋" w:eastAsia="仿宋"/>
          <w:sz w:val="24"/>
          <w:szCs w:val="20"/>
        </w:rPr>
      </w:pPr>
      <w:r>
        <w:rPr>
          <w:rFonts w:ascii="仿宋" w:hAnsi="宋体" w:eastAsia="仿宋" w:cs="宋体"/>
          <w:sz w:val="24"/>
          <w:szCs w:val="21"/>
        </w:rPr>
        <w:t xml:space="preserve">7.2 </w:t>
      </w:r>
      <w:r>
        <w:rPr>
          <w:rFonts w:ascii="仿宋" w:hAnsi="宋体" w:eastAsia="仿宋" w:cs="宋体"/>
          <w:b/>
          <w:bCs/>
          <w:sz w:val="24"/>
          <w:szCs w:val="21"/>
        </w:rPr>
        <w:t>供应商诚信档案管理</w:t>
      </w:r>
    </w:p>
    <w:p w14:paraId="149EFB39">
      <w:pPr>
        <w:spacing w:line="560" w:lineRule="exact"/>
        <w:ind w:firstLine="482"/>
        <w:rPr>
          <w:rFonts w:ascii="仿宋" w:eastAsia="仿宋"/>
          <w:sz w:val="24"/>
          <w:szCs w:val="20"/>
        </w:rPr>
      </w:pPr>
      <w:r>
        <w:rPr>
          <w:rFonts w:ascii="仿宋" w:hAnsi="宋体" w:eastAsia="仿宋" w:cs="宋体"/>
          <w:sz w:val="24"/>
          <w:szCs w:val="21"/>
        </w:rPr>
        <w:t>根据《南京市政府采购供应商信用管理工作暂行办法》（宁财规[2018]10 号）有关规定，凡在南京地区参加政府采购活动的供应商，应当事先</w:t>
      </w:r>
      <w:r>
        <w:rPr>
          <w:rFonts w:hint="eastAsia" w:ascii="仿宋" w:hAnsi="宋体" w:eastAsia="仿宋" w:cs="宋体"/>
          <w:sz w:val="24"/>
          <w:szCs w:val="21"/>
        </w:rPr>
        <w:t>登录</w:t>
      </w:r>
      <w:r>
        <w:rPr>
          <w:rFonts w:ascii="仿宋" w:hAnsi="宋体" w:eastAsia="仿宋" w:cs="宋体"/>
          <w:sz w:val="24"/>
          <w:szCs w:val="21"/>
        </w:rPr>
        <w:t>“信用南京”（www.njcredit.gov.cn）或“南京市政府采购网”（www.njgp.gov.cn）主页“政府采购供应商诚信档案”栏目进行注册登记。由于特殊原因未及时注册的供应商可先行获取招标文件，但必须在提交投标（响应）文件截止日 2 天前办理登记注册手续。</w:t>
      </w:r>
    </w:p>
    <w:p w14:paraId="2EB6EAA8">
      <w:pPr>
        <w:spacing w:line="560" w:lineRule="exact"/>
        <w:ind w:firstLine="482"/>
        <w:rPr>
          <w:rFonts w:ascii="仿宋" w:eastAsia="仿宋"/>
          <w:sz w:val="24"/>
          <w:szCs w:val="20"/>
        </w:rPr>
      </w:pPr>
      <w:r>
        <w:rPr>
          <w:rFonts w:ascii="仿宋" w:hAnsi="宋体" w:eastAsia="仿宋" w:cs="宋体"/>
          <w:sz w:val="24"/>
          <w:szCs w:val="21"/>
        </w:rPr>
        <w:t>供应商申请网上注册的，应当按以下程序进行：</w:t>
      </w:r>
    </w:p>
    <w:p w14:paraId="2A122265">
      <w:pPr>
        <w:spacing w:line="560" w:lineRule="exact"/>
        <w:ind w:firstLine="482"/>
        <w:rPr>
          <w:rFonts w:ascii="仿宋" w:eastAsia="仿宋"/>
          <w:sz w:val="24"/>
          <w:szCs w:val="20"/>
        </w:rPr>
      </w:pPr>
      <w:r>
        <w:rPr>
          <w:rFonts w:ascii="仿宋" w:hAnsi="宋体" w:eastAsia="仿宋" w:cs="宋体"/>
          <w:sz w:val="24"/>
          <w:szCs w:val="21"/>
        </w:rPr>
        <w:t>（1）登陆“信用南京”或“南京市政府采购网”网站，点击“政府采购供应商诚信档案”图标，在弹出的用户登录界面，点击“新用户注册”；</w:t>
      </w:r>
    </w:p>
    <w:p w14:paraId="36E25B10">
      <w:pPr>
        <w:spacing w:line="560" w:lineRule="exact"/>
        <w:ind w:firstLine="482"/>
        <w:rPr>
          <w:rFonts w:ascii="仿宋" w:eastAsia="仿宋"/>
          <w:sz w:val="24"/>
          <w:szCs w:val="20"/>
        </w:rPr>
      </w:pPr>
      <w:r>
        <w:rPr>
          <w:rFonts w:ascii="仿宋" w:hAnsi="宋体" w:eastAsia="仿宋" w:cs="宋体"/>
          <w:sz w:val="24"/>
          <w:szCs w:val="21"/>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392A23A0">
      <w:pPr>
        <w:spacing w:line="560" w:lineRule="exact"/>
        <w:ind w:firstLine="482"/>
        <w:rPr>
          <w:rFonts w:ascii="仿宋" w:eastAsia="仿宋"/>
          <w:sz w:val="24"/>
          <w:szCs w:val="20"/>
        </w:rPr>
      </w:pPr>
      <w:r>
        <w:rPr>
          <w:rFonts w:ascii="仿宋" w:hAnsi="宋体" w:eastAsia="仿宋" w:cs="宋体"/>
          <w:sz w:val="24"/>
          <w:szCs w:val="21"/>
        </w:rPr>
        <w:t>注册成功后，供应商参加本次政府采购活动时，在招标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w:t>
      </w:r>
    </w:p>
    <w:p w14:paraId="3FFD05A5">
      <w:pPr>
        <w:spacing w:line="560" w:lineRule="exact"/>
        <w:ind w:firstLine="482"/>
        <w:rPr>
          <w:rFonts w:ascii="仿宋" w:eastAsia="仿宋"/>
          <w:sz w:val="24"/>
          <w:szCs w:val="20"/>
        </w:rPr>
      </w:pPr>
      <w:bookmarkStart w:id="5" w:name="page7"/>
      <w:bookmarkEnd w:id="5"/>
      <w:r>
        <w:rPr>
          <w:rFonts w:ascii="仿宋" w:hAnsi="宋体" w:eastAsia="仿宋" w:cs="宋体"/>
          <w:sz w:val="24"/>
          <w:szCs w:val="21"/>
        </w:rPr>
        <w:t>南京市政府采购供应商诚信档案管理系统客服电话：025-52718366；供应商可就用户注册与打印“南京市政府采购供应商信用记录表”等事宜进行咨询。</w:t>
      </w:r>
    </w:p>
    <w:p w14:paraId="059CFBB9">
      <w:pPr>
        <w:spacing w:before="200" w:after="100"/>
        <w:outlineLvl w:val="1"/>
        <w:rPr>
          <w:rFonts w:ascii="楷体" w:eastAsia="楷体"/>
          <w:sz w:val="32"/>
          <w:szCs w:val="20"/>
        </w:rPr>
      </w:pPr>
      <w:r>
        <w:rPr>
          <w:rFonts w:ascii="楷体" w:hAnsi="宋体" w:eastAsia="楷体" w:cs="宋体"/>
          <w:bCs/>
          <w:sz w:val="32"/>
          <w:szCs w:val="21"/>
        </w:rPr>
        <w:t>八、对本次采购提出询问，请按以下方式联系。</w:t>
      </w:r>
    </w:p>
    <w:p w14:paraId="4614B1B3">
      <w:pPr>
        <w:spacing w:line="560" w:lineRule="exact"/>
        <w:ind w:firstLine="482"/>
        <w:rPr>
          <w:rFonts w:ascii="仿宋" w:eastAsia="仿宋"/>
          <w:sz w:val="24"/>
          <w:szCs w:val="20"/>
        </w:rPr>
      </w:pPr>
      <w:r>
        <w:rPr>
          <w:rFonts w:ascii="仿宋" w:hAnsi="宋体" w:eastAsia="仿宋" w:cs="宋体"/>
          <w:b/>
          <w:bCs/>
          <w:sz w:val="24"/>
          <w:szCs w:val="21"/>
        </w:rPr>
        <w:t>8.1 采购人信息</w:t>
      </w:r>
    </w:p>
    <w:p w14:paraId="7178D70E">
      <w:pPr>
        <w:spacing w:line="560" w:lineRule="exact"/>
        <w:ind w:firstLine="482"/>
        <w:rPr>
          <w:rFonts w:hint="eastAsia" w:ascii="仿宋" w:eastAsia="仿宋"/>
          <w:sz w:val="24"/>
          <w:szCs w:val="20"/>
          <w:lang w:eastAsia="zh-CN"/>
        </w:rPr>
      </w:pPr>
      <w:r>
        <w:rPr>
          <w:rFonts w:ascii="仿宋" w:hAnsi="宋体" w:eastAsia="仿宋" w:cs="宋体"/>
          <w:sz w:val="24"/>
          <w:szCs w:val="21"/>
        </w:rPr>
        <w:t>名 称：</w:t>
      </w:r>
      <w:r>
        <w:rPr>
          <w:rFonts w:hint="eastAsia" w:ascii="仿宋" w:hAnsi="宋体" w:eastAsia="仿宋" w:cs="宋体"/>
          <w:sz w:val="24"/>
          <w:szCs w:val="21"/>
          <w:lang w:eastAsia="zh-CN"/>
        </w:rPr>
        <w:t>南京市玄武生态环境局</w:t>
      </w:r>
    </w:p>
    <w:p w14:paraId="2DC24D90">
      <w:pPr>
        <w:tabs>
          <w:tab w:val="left" w:pos="820"/>
        </w:tabs>
        <w:spacing w:line="560" w:lineRule="exact"/>
        <w:ind w:firstLine="482"/>
        <w:rPr>
          <w:rFonts w:hint="eastAsia" w:ascii="仿宋" w:eastAsia="仿宋"/>
          <w:sz w:val="24"/>
          <w:szCs w:val="20"/>
          <w:lang w:eastAsia="zh-CN"/>
        </w:rPr>
      </w:pPr>
      <w:r>
        <w:rPr>
          <w:rFonts w:ascii="仿宋" w:hAnsi="宋体" w:eastAsia="仿宋" w:cs="宋体"/>
          <w:sz w:val="24"/>
          <w:szCs w:val="21"/>
        </w:rPr>
        <w:t>地</w:t>
      </w:r>
      <w:r>
        <w:rPr>
          <w:rFonts w:ascii="仿宋" w:eastAsia="仿宋"/>
          <w:sz w:val="24"/>
          <w:szCs w:val="20"/>
        </w:rPr>
        <w:tab/>
      </w:r>
      <w:r>
        <w:rPr>
          <w:rFonts w:ascii="仿宋" w:hAnsi="宋体" w:eastAsia="仿宋" w:cs="宋体"/>
          <w:sz w:val="24"/>
          <w:szCs w:val="20"/>
        </w:rPr>
        <w:t>址：</w:t>
      </w:r>
      <w:r>
        <w:rPr>
          <w:rFonts w:hint="eastAsia" w:ascii="仿宋" w:hAnsi="宋体" w:eastAsia="仿宋" w:cs="宋体"/>
          <w:sz w:val="24"/>
          <w:szCs w:val="20"/>
          <w:lang w:eastAsia="zh-CN"/>
        </w:rPr>
        <w:t>南京市玄武区太平北路39-2号</w:t>
      </w:r>
    </w:p>
    <w:p w14:paraId="71607EEB">
      <w:pPr>
        <w:spacing w:line="560" w:lineRule="exact"/>
        <w:ind w:firstLine="482"/>
        <w:rPr>
          <w:rFonts w:ascii="仿宋" w:eastAsia="仿宋"/>
          <w:sz w:val="24"/>
          <w:szCs w:val="20"/>
        </w:rPr>
      </w:pPr>
      <w:r>
        <w:rPr>
          <w:rFonts w:ascii="仿宋" w:hAnsi="宋体" w:eastAsia="仿宋" w:cs="宋体"/>
          <w:sz w:val="24"/>
          <w:szCs w:val="21"/>
        </w:rPr>
        <w:t>联系人：</w:t>
      </w:r>
      <w:r>
        <w:rPr>
          <w:rFonts w:hint="eastAsia" w:ascii="仿宋" w:hAnsi="宋体" w:eastAsia="仿宋" w:cs="宋体"/>
          <w:sz w:val="24"/>
          <w:szCs w:val="21"/>
        </w:rPr>
        <w:t>李</w:t>
      </w:r>
      <w:r>
        <w:rPr>
          <w:rFonts w:hint="eastAsia" w:ascii="仿宋" w:hAnsi="宋体" w:eastAsia="仿宋" w:cs="宋体"/>
          <w:sz w:val="24"/>
          <w:szCs w:val="21"/>
          <w:lang w:val="en-US" w:eastAsia="zh-CN"/>
        </w:rPr>
        <w:t>文健</w:t>
      </w:r>
      <w:r>
        <w:rPr>
          <w:rFonts w:hint="eastAsia" w:ascii="仿宋" w:hAnsi="宋体" w:eastAsia="仿宋" w:cs="宋体"/>
          <w:sz w:val="24"/>
          <w:szCs w:val="21"/>
        </w:rPr>
        <w:t xml:space="preserve">  </w:t>
      </w:r>
    </w:p>
    <w:p w14:paraId="6C2389D1">
      <w:pPr>
        <w:spacing w:line="560" w:lineRule="exact"/>
        <w:ind w:firstLine="482"/>
        <w:rPr>
          <w:rFonts w:ascii="仿宋" w:eastAsia="仿宋"/>
          <w:sz w:val="24"/>
          <w:szCs w:val="20"/>
        </w:rPr>
      </w:pPr>
      <w:r>
        <w:rPr>
          <w:rFonts w:ascii="仿宋" w:hAnsi="宋体" w:eastAsia="仿宋" w:cs="宋体"/>
          <w:sz w:val="24"/>
          <w:szCs w:val="21"/>
        </w:rPr>
        <w:t>联系电话：</w:t>
      </w:r>
      <w:r>
        <w:rPr>
          <w:rFonts w:hint="eastAsia" w:ascii="仿宋" w:hAnsi="宋体" w:eastAsia="仿宋" w:cs="宋体"/>
          <w:sz w:val="24"/>
          <w:szCs w:val="21"/>
        </w:rPr>
        <w:t>18951658034</w:t>
      </w:r>
      <w:r>
        <w:rPr>
          <w:rFonts w:ascii="仿宋" w:eastAsia="仿宋"/>
          <w:sz w:val="24"/>
          <w:szCs w:val="20"/>
        </w:rPr>
        <w:tab/>
      </w:r>
    </w:p>
    <w:p w14:paraId="6E181A15">
      <w:pPr>
        <w:spacing w:line="560" w:lineRule="exact"/>
        <w:ind w:firstLine="482"/>
        <w:rPr>
          <w:rFonts w:ascii="仿宋" w:eastAsia="仿宋"/>
          <w:sz w:val="24"/>
          <w:szCs w:val="20"/>
        </w:rPr>
      </w:pPr>
      <w:r>
        <w:rPr>
          <w:rFonts w:ascii="仿宋" w:hAnsi="宋体" w:eastAsia="仿宋" w:cs="宋体"/>
          <w:b/>
          <w:bCs/>
          <w:sz w:val="24"/>
          <w:szCs w:val="21"/>
        </w:rPr>
        <w:t>8.2 采购代理机构信息</w:t>
      </w:r>
    </w:p>
    <w:p w14:paraId="5EBB37CC">
      <w:pPr>
        <w:spacing w:line="560" w:lineRule="exact"/>
        <w:ind w:firstLine="482"/>
        <w:rPr>
          <w:rFonts w:hint="eastAsia" w:ascii="仿宋" w:eastAsia="仿宋"/>
          <w:sz w:val="24"/>
          <w:szCs w:val="20"/>
          <w:lang w:eastAsia="zh-CN"/>
        </w:rPr>
      </w:pPr>
      <w:r>
        <w:rPr>
          <w:rFonts w:ascii="仿宋" w:hAnsi="宋体" w:eastAsia="仿宋" w:cs="宋体"/>
          <w:sz w:val="24"/>
          <w:szCs w:val="21"/>
        </w:rPr>
        <w:t>名 称：</w:t>
      </w:r>
      <w:r>
        <w:rPr>
          <w:rFonts w:hint="eastAsia" w:ascii="仿宋" w:hAnsi="宋体" w:eastAsia="仿宋" w:cs="宋体"/>
          <w:sz w:val="24"/>
          <w:szCs w:val="21"/>
          <w:lang w:eastAsia="zh-CN"/>
        </w:rPr>
        <w:t>江苏省苏辰建设投资顾问有限公司</w:t>
      </w:r>
    </w:p>
    <w:p w14:paraId="1EACDDEC">
      <w:pPr>
        <w:spacing w:line="560" w:lineRule="exact"/>
        <w:ind w:firstLine="482"/>
        <w:rPr>
          <w:rFonts w:hint="default" w:ascii="仿宋" w:hAnsi="宋体" w:eastAsia="仿宋" w:cs="宋体"/>
          <w:sz w:val="24"/>
          <w:szCs w:val="21"/>
          <w:u w:val="single"/>
          <w:lang w:val="en-US" w:eastAsia="zh-CN"/>
        </w:rPr>
      </w:pPr>
      <w:r>
        <w:rPr>
          <w:rFonts w:ascii="仿宋" w:hAnsi="宋体" w:eastAsia="仿宋" w:cs="宋体"/>
          <w:sz w:val="24"/>
          <w:szCs w:val="21"/>
        </w:rPr>
        <w:t>地 址：</w:t>
      </w:r>
      <w:r>
        <w:rPr>
          <w:rFonts w:hint="eastAsia" w:ascii="仿宋" w:hAnsi="宋体" w:eastAsia="仿宋" w:cs="宋体"/>
          <w:sz w:val="24"/>
          <w:szCs w:val="21"/>
          <w:lang w:eastAsia="zh-CN"/>
        </w:rPr>
        <w:t>南京市建邺区西城路300号C栋15</w:t>
      </w:r>
      <w:r>
        <w:rPr>
          <w:rFonts w:hint="eastAsia" w:ascii="仿宋" w:hAnsi="宋体" w:eastAsia="仿宋" w:cs="宋体"/>
          <w:sz w:val="24"/>
          <w:szCs w:val="21"/>
          <w:lang w:val="en-US" w:eastAsia="zh-CN"/>
        </w:rPr>
        <w:t>层</w:t>
      </w:r>
    </w:p>
    <w:p w14:paraId="1EEF1DEA">
      <w:pPr>
        <w:spacing w:line="560" w:lineRule="exact"/>
        <w:ind w:firstLine="482"/>
        <w:rPr>
          <w:rFonts w:hint="eastAsia" w:ascii="仿宋" w:eastAsia="仿宋"/>
          <w:sz w:val="24"/>
          <w:szCs w:val="20"/>
          <w:lang w:eastAsia="zh-CN"/>
        </w:rPr>
      </w:pPr>
      <w:r>
        <w:rPr>
          <w:rFonts w:ascii="仿宋" w:hAnsi="宋体" w:eastAsia="仿宋" w:cs="宋体"/>
          <w:sz w:val="24"/>
          <w:szCs w:val="21"/>
        </w:rPr>
        <w:t>联系人：</w:t>
      </w:r>
      <w:r>
        <w:rPr>
          <w:rFonts w:hint="eastAsia" w:ascii="仿宋" w:hAnsi="宋体" w:eastAsia="仿宋" w:cs="宋体"/>
          <w:sz w:val="24"/>
          <w:szCs w:val="21"/>
          <w:lang w:eastAsia="zh-CN"/>
        </w:rPr>
        <w:t>张志鹏</w:t>
      </w:r>
    </w:p>
    <w:p w14:paraId="554BE813">
      <w:pPr>
        <w:spacing w:line="560" w:lineRule="exact"/>
        <w:ind w:firstLine="482"/>
        <w:rPr>
          <w:rFonts w:hint="eastAsia" w:ascii="仿宋" w:eastAsia="仿宋"/>
          <w:sz w:val="24"/>
          <w:szCs w:val="20"/>
          <w:lang w:eastAsia="zh-CN"/>
        </w:rPr>
      </w:pPr>
      <w:r>
        <w:rPr>
          <w:rFonts w:ascii="仿宋" w:hAnsi="宋体" w:eastAsia="仿宋" w:cs="宋体"/>
          <w:sz w:val="24"/>
          <w:szCs w:val="21"/>
        </w:rPr>
        <w:t>联系电话</w:t>
      </w:r>
      <w:r>
        <w:rPr>
          <w:rFonts w:hint="eastAsia" w:ascii="仿宋" w:hAnsi="宋体" w:eastAsia="仿宋" w:cs="宋体"/>
          <w:sz w:val="24"/>
          <w:szCs w:val="21"/>
        </w:rPr>
        <w:t>：</w:t>
      </w:r>
      <w:r>
        <w:rPr>
          <w:rFonts w:hint="eastAsia" w:ascii="仿宋" w:eastAsia="仿宋"/>
          <w:sz w:val="24"/>
          <w:szCs w:val="20"/>
          <w:lang w:eastAsia="zh-CN"/>
        </w:rPr>
        <w:t>13621580980</w:t>
      </w:r>
    </w:p>
    <w:p w14:paraId="09D8A65B">
      <w:pPr>
        <w:spacing w:line="560" w:lineRule="exact"/>
        <w:ind w:firstLine="482"/>
        <w:rPr>
          <w:rFonts w:ascii="仿宋" w:eastAsia="仿宋"/>
          <w:sz w:val="24"/>
          <w:szCs w:val="20"/>
        </w:rPr>
      </w:pPr>
      <w:r>
        <w:rPr>
          <w:rFonts w:ascii="仿宋" w:hAnsi="宋体" w:eastAsia="仿宋" w:cs="宋体"/>
          <w:b/>
          <w:bCs/>
          <w:sz w:val="24"/>
          <w:szCs w:val="21"/>
        </w:rPr>
        <w:t>8.3 项目联系方式</w:t>
      </w:r>
    </w:p>
    <w:p w14:paraId="7AEB72AC">
      <w:pPr>
        <w:spacing w:line="560" w:lineRule="exact"/>
        <w:ind w:firstLine="482"/>
        <w:rPr>
          <w:rFonts w:hint="eastAsia" w:ascii="仿宋" w:eastAsia="仿宋"/>
          <w:sz w:val="24"/>
          <w:szCs w:val="20"/>
          <w:lang w:eastAsia="zh-CN"/>
        </w:rPr>
      </w:pPr>
      <w:r>
        <w:rPr>
          <w:rFonts w:ascii="仿宋" w:hAnsi="宋体" w:eastAsia="仿宋" w:cs="宋体"/>
          <w:sz w:val="24"/>
          <w:szCs w:val="21"/>
        </w:rPr>
        <w:t>项目联系人：</w:t>
      </w:r>
      <w:r>
        <w:rPr>
          <w:rFonts w:hint="eastAsia" w:ascii="仿宋" w:hAnsi="宋体" w:eastAsia="仿宋" w:cs="宋体"/>
          <w:sz w:val="24"/>
          <w:szCs w:val="21"/>
          <w:lang w:eastAsia="zh-CN"/>
        </w:rPr>
        <w:t>张志鹏</w:t>
      </w:r>
    </w:p>
    <w:p w14:paraId="27C9842F">
      <w:pPr>
        <w:tabs>
          <w:tab w:val="left" w:pos="2920"/>
        </w:tabs>
        <w:spacing w:line="560" w:lineRule="exact"/>
        <w:ind w:firstLine="482"/>
        <w:rPr>
          <w:rFonts w:hint="eastAsia" w:ascii="仿宋" w:eastAsia="仿宋"/>
          <w:sz w:val="24"/>
          <w:szCs w:val="20"/>
          <w:lang w:eastAsia="zh-CN"/>
        </w:rPr>
      </w:pPr>
      <w:r>
        <w:rPr>
          <w:rFonts w:ascii="仿宋" w:hAnsi="宋体" w:eastAsia="仿宋" w:cs="宋体"/>
          <w:sz w:val="24"/>
          <w:szCs w:val="21"/>
        </w:rPr>
        <w:t>联系电话：</w:t>
      </w:r>
      <w:r>
        <w:rPr>
          <w:rFonts w:hint="eastAsia" w:ascii="仿宋" w:eastAsia="仿宋"/>
          <w:sz w:val="24"/>
          <w:szCs w:val="20"/>
          <w:lang w:eastAsia="zh-CN"/>
        </w:rPr>
        <w:t>13621580980</w:t>
      </w:r>
    </w:p>
    <w:p w14:paraId="2A6B203B">
      <w:pPr>
        <w:spacing w:line="560" w:lineRule="exact"/>
        <w:ind w:firstLine="482"/>
        <w:rPr>
          <w:rFonts w:ascii="仿宋" w:hAnsi="宋体" w:eastAsia="仿宋" w:cs="宋体"/>
          <w:b/>
          <w:bCs/>
          <w:sz w:val="24"/>
          <w:szCs w:val="32"/>
        </w:rPr>
      </w:pPr>
      <w:bookmarkStart w:id="6" w:name="page8"/>
      <w:bookmarkEnd w:id="6"/>
    </w:p>
    <w:p w14:paraId="1102ADBA">
      <w:pPr>
        <w:pStyle w:val="7"/>
        <w:ind w:firstLine="241"/>
        <w:rPr>
          <w:rFonts w:ascii="仿宋" w:hAnsi="宋体" w:eastAsia="仿宋" w:cs="宋体"/>
          <w:b/>
          <w:bCs/>
          <w:sz w:val="24"/>
          <w:szCs w:val="32"/>
        </w:rPr>
      </w:pPr>
    </w:p>
    <w:p w14:paraId="296A58F1">
      <w:pPr>
        <w:pStyle w:val="7"/>
        <w:ind w:firstLine="241"/>
        <w:rPr>
          <w:rFonts w:ascii="仿宋" w:hAnsi="宋体" w:eastAsia="仿宋" w:cs="宋体"/>
          <w:b/>
          <w:bCs/>
          <w:sz w:val="24"/>
          <w:szCs w:val="32"/>
        </w:rPr>
      </w:pPr>
    </w:p>
    <w:p w14:paraId="614A021C">
      <w:pPr>
        <w:pStyle w:val="7"/>
        <w:ind w:firstLine="241"/>
        <w:rPr>
          <w:rFonts w:ascii="仿宋" w:hAnsi="宋体" w:eastAsia="仿宋" w:cs="宋体"/>
          <w:b/>
          <w:bCs/>
          <w:sz w:val="24"/>
          <w:szCs w:val="32"/>
        </w:rPr>
      </w:pPr>
    </w:p>
    <w:p w14:paraId="26C4E95E">
      <w:pPr>
        <w:pStyle w:val="7"/>
        <w:ind w:firstLine="241"/>
        <w:rPr>
          <w:rFonts w:ascii="仿宋" w:hAnsi="宋体" w:eastAsia="仿宋" w:cs="宋体"/>
          <w:b/>
          <w:bCs/>
          <w:sz w:val="24"/>
          <w:szCs w:val="32"/>
        </w:rPr>
      </w:pPr>
    </w:p>
    <w:p w14:paraId="5A73A1A9">
      <w:pPr>
        <w:pStyle w:val="7"/>
        <w:ind w:firstLine="241"/>
        <w:rPr>
          <w:rFonts w:ascii="仿宋" w:hAnsi="宋体" w:eastAsia="仿宋" w:cs="宋体"/>
          <w:b/>
          <w:bCs/>
          <w:sz w:val="24"/>
          <w:szCs w:val="32"/>
        </w:rPr>
      </w:pPr>
    </w:p>
    <w:p w14:paraId="1D242A76">
      <w:pPr>
        <w:pStyle w:val="7"/>
        <w:ind w:firstLine="241"/>
        <w:rPr>
          <w:rFonts w:ascii="仿宋" w:hAnsi="宋体" w:eastAsia="仿宋" w:cs="宋体"/>
          <w:b/>
          <w:bCs/>
          <w:sz w:val="24"/>
          <w:szCs w:val="32"/>
        </w:rPr>
      </w:pPr>
    </w:p>
    <w:p w14:paraId="123E3F1D">
      <w:pPr>
        <w:pStyle w:val="7"/>
        <w:ind w:firstLine="241"/>
        <w:rPr>
          <w:rFonts w:ascii="仿宋" w:hAnsi="宋体" w:eastAsia="仿宋" w:cs="宋体"/>
          <w:b/>
          <w:bCs/>
          <w:sz w:val="24"/>
          <w:szCs w:val="32"/>
        </w:rPr>
      </w:pPr>
    </w:p>
    <w:p w14:paraId="56741A93">
      <w:pPr>
        <w:pStyle w:val="7"/>
        <w:ind w:firstLine="241"/>
        <w:rPr>
          <w:rFonts w:ascii="仿宋" w:hAnsi="宋体" w:eastAsia="仿宋" w:cs="宋体"/>
          <w:b/>
          <w:bCs/>
          <w:sz w:val="24"/>
          <w:szCs w:val="32"/>
        </w:rPr>
      </w:pPr>
    </w:p>
    <w:p w14:paraId="1EF958F2">
      <w:pPr>
        <w:spacing w:line="560" w:lineRule="exact"/>
        <w:ind w:firstLine="482"/>
        <w:rPr>
          <w:rFonts w:ascii="仿宋" w:hAnsi="宋体" w:eastAsia="仿宋" w:cs="宋体"/>
          <w:b/>
          <w:bCs/>
          <w:sz w:val="24"/>
          <w:szCs w:val="32"/>
        </w:rPr>
      </w:pPr>
    </w:p>
    <w:p w14:paraId="00DBF7AD">
      <w:pPr>
        <w:spacing w:line="560" w:lineRule="exact"/>
        <w:ind w:firstLine="482"/>
        <w:rPr>
          <w:rFonts w:ascii="仿宋" w:hAnsi="宋体" w:eastAsia="仿宋" w:cs="宋体"/>
          <w:b/>
          <w:bCs/>
          <w:sz w:val="24"/>
          <w:szCs w:val="32"/>
        </w:rPr>
      </w:pPr>
    </w:p>
    <w:p w14:paraId="67359C93">
      <w:pPr>
        <w:spacing w:before="200" w:after="100"/>
        <w:jc w:val="center"/>
        <w:outlineLvl w:val="9"/>
        <w:rPr>
          <w:rFonts w:hint="eastAsia" w:ascii="黑体" w:hAnsi="宋体" w:eastAsia="黑体" w:cs="宋体"/>
          <w:bCs/>
          <w:sz w:val="32"/>
          <w:szCs w:val="32"/>
        </w:rPr>
      </w:pPr>
    </w:p>
    <w:p w14:paraId="733CC347">
      <w:pPr>
        <w:spacing w:before="200" w:after="100"/>
        <w:jc w:val="center"/>
        <w:outlineLvl w:val="9"/>
        <w:rPr>
          <w:rFonts w:hint="eastAsia" w:ascii="黑体" w:hAnsi="宋体" w:eastAsia="黑体" w:cs="宋体"/>
          <w:bCs/>
          <w:sz w:val="32"/>
          <w:szCs w:val="32"/>
        </w:rPr>
      </w:pPr>
    </w:p>
    <w:p w14:paraId="40E38CE8">
      <w:pPr>
        <w:spacing w:before="200" w:after="100"/>
        <w:jc w:val="center"/>
        <w:outlineLvl w:val="9"/>
        <w:rPr>
          <w:rFonts w:hint="eastAsia" w:ascii="黑体" w:hAnsi="宋体" w:eastAsia="黑体" w:cs="宋体"/>
          <w:bCs/>
          <w:sz w:val="32"/>
          <w:szCs w:val="32"/>
        </w:rPr>
      </w:pPr>
    </w:p>
    <w:p w14:paraId="76CF6DC0">
      <w:pPr>
        <w:spacing w:before="200" w:after="100"/>
        <w:jc w:val="both"/>
        <w:outlineLvl w:val="9"/>
        <w:rPr>
          <w:rFonts w:hint="eastAsia" w:ascii="黑体" w:hAnsi="宋体" w:eastAsia="黑体" w:cs="宋体"/>
          <w:bCs/>
          <w:sz w:val="32"/>
          <w:szCs w:val="32"/>
        </w:rPr>
      </w:pPr>
    </w:p>
    <w:p w14:paraId="347FF1B8">
      <w:pPr>
        <w:spacing w:before="200" w:after="100"/>
        <w:jc w:val="both"/>
        <w:outlineLvl w:val="9"/>
        <w:rPr>
          <w:rFonts w:hint="eastAsia" w:ascii="黑体" w:hAnsi="宋体" w:eastAsia="黑体" w:cs="宋体"/>
          <w:bCs/>
          <w:sz w:val="32"/>
          <w:szCs w:val="32"/>
        </w:rPr>
      </w:pPr>
    </w:p>
    <w:p w14:paraId="33061380">
      <w:pPr>
        <w:spacing w:before="200" w:after="100"/>
        <w:jc w:val="both"/>
        <w:outlineLvl w:val="9"/>
        <w:rPr>
          <w:rFonts w:hint="eastAsia" w:ascii="黑体" w:hAnsi="宋体" w:eastAsia="黑体" w:cs="宋体"/>
          <w:bCs/>
          <w:sz w:val="32"/>
          <w:szCs w:val="32"/>
        </w:rPr>
      </w:pPr>
    </w:p>
    <w:p w14:paraId="40B5E885">
      <w:pPr>
        <w:spacing w:before="200" w:after="100"/>
        <w:jc w:val="both"/>
        <w:outlineLvl w:val="9"/>
        <w:rPr>
          <w:rFonts w:hint="eastAsia" w:ascii="黑体" w:hAnsi="宋体" w:eastAsia="黑体" w:cs="宋体"/>
          <w:bCs/>
          <w:sz w:val="32"/>
          <w:szCs w:val="32"/>
        </w:rPr>
      </w:pPr>
    </w:p>
    <w:p w14:paraId="19E8CF9E">
      <w:pPr>
        <w:spacing w:before="200" w:after="100"/>
        <w:jc w:val="both"/>
        <w:outlineLvl w:val="9"/>
        <w:rPr>
          <w:rFonts w:hint="eastAsia" w:ascii="黑体" w:hAnsi="宋体" w:eastAsia="黑体" w:cs="宋体"/>
          <w:bCs/>
          <w:sz w:val="32"/>
          <w:szCs w:val="32"/>
        </w:rPr>
      </w:pPr>
    </w:p>
    <w:p w14:paraId="773841C1">
      <w:pPr>
        <w:spacing w:before="200" w:after="100"/>
        <w:jc w:val="both"/>
        <w:outlineLvl w:val="9"/>
        <w:rPr>
          <w:rFonts w:hint="eastAsia" w:ascii="黑体" w:hAnsi="宋体" w:eastAsia="黑体" w:cs="宋体"/>
          <w:bCs/>
          <w:sz w:val="32"/>
          <w:szCs w:val="32"/>
        </w:rPr>
      </w:pPr>
    </w:p>
    <w:p w14:paraId="1EA23806">
      <w:pPr>
        <w:spacing w:before="200" w:after="100"/>
        <w:jc w:val="both"/>
        <w:outlineLvl w:val="9"/>
        <w:rPr>
          <w:rFonts w:hint="eastAsia" w:ascii="黑体" w:hAnsi="宋体" w:eastAsia="黑体" w:cs="宋体"/>
          <w:bCs/>
          <w:sz w:val="32"/>
          <w:szCs w:val="32"/>
        </w:rPr>
      </w:pPr>
    </w:p>
    <w:p w14:paraId="106CDCAF">
      <w:pPr>
        <w:spacing w:before="200" w:after="100"/>
        <w:jc w:val="both"/>
        <w:outlineLvl w:val="9"/>
        <w:rPr>
          <w:rFonts w:hint="eastAsia" w:ascii="黑体" w:hAnsi="宋体" w:eastAsia="黑体" w:cs="宋体"/>
          <w:bCs/>
          <w:sz w:val="32"/>
          <w:szCs w:val="32"/>
        </w:rPr>
      </w:pPr>
    </w:p>
    <w:p w14:paraId="5E1B8057">
      <w:pPr>
        <w:spacing w:before="200" w:after="100"/>
        <w:jc w:val="both"/>
        <w:outlineLvl w:val="9"/>
        <w:rPr>
          <w:rFonts w:hint="eastAsia" w:ascii="黑体" w:hAnsi="宋体" w:eastAsia="黑体" w:cs="宋体"/>
          <w:bCs/>
          <w:sz w:val="32"/>
          <w:szCs w:val="32"/>
        </w:rPr>
      </w:pPr>
    </w:p>
    <w:p w14:paraId="575FE92E">
      <w:pPr>
        <w:spacing w:before="200" w:after="100"/>
        <w:jc w:val="both"/>
        <w:outlineLvl w:val="9"/>
        <w:rPr>
          <w:rFonts w:hint="eastAsia" w:ascii="黑体" w:hAnsi="宋体" w:eastAsia="黑体" w:cs="宋体"/>
          <w:bCs/>
          <w:sz w:val="32"/>
          <w:szCs w:val="32"/>
        </w:rPr>
      </w:pPr>
    </w:p>
    <w:p w14:paraId="3C6AAAFD">
      <w:pPr>
        <w:spacing w:before="200" w:after="100"/>
        <w:jc w:val="both"/>
        <w:outlineLvl w:val="9"/>
        <w:rPr>
          <w:rFonts w:hint="eastAsia" w:ascii="黑体" w:hAnsi="宋体" w:eastAsia="黑体" w:cs="宋体"/>
          <w:bCs/>
          <w:sz w:val="32"/>
          <w:szCs w:val="32"/>
        </w:rPr>
      </w:pPr>
    </w:p>
    <w:p w14:paraId="799FD7BE">
      <w:pPr>
        <w:spacing w:before="200" w:after="100"/>
        <w:jc w:val="center"/>
        <w:outlineLvl w:val="0"/>
        <w:rPr>
          <w:rFonts w:ascii="黑体" w:eastAsia="黑体"/>
          <w:sz w:val="32"/>
          <w:szCs w:val="20"/>
        </w:rPr>
      </w:pPr>
      <w:r>
        <w:rPr>
          <w:rFonts w:ascii="黑体" w:hAnsi="宋体" w:eastAsia="黑体" w:cs="宋体"/>
          <w:bCs/>
          <w:sz w:val="32"/>
          <w:szCs w:val="32"/>
        </w:rPr>
        <w:t>第二章 供应商须知</w:t>
      </w:r>
    </w:p>
    <w:p w14:paraId="4B500D14">
      <w:pPr>
        <w:spacing w:before="200" w:after="100"/>
        <w:outlineLvl w:val="1"/>
        <w:rPr>
          <w:rFonts w:ascii="楷体" w:eastAsia="楷体"/>
          <w:sz w:val="32"/>
          <w:szCs w:val="20"/>
        </w:rPr>
      </w:pPr>
      <w:r>
        <w:rPr>
          <w:rFonts w:ascii="楷体" w:hAnsi="宋体" w:eastAsia="楷体" w:cs="宋体"/>
          <w:bCs/>
          <w:sz w:val="32"/>
          <w:szCs w:val="21"/>
        </w:rPr>
        <w:t>一、总 则</w:t>
      </w:r>
    </w:p>
    <w:p w14:paraId="0A055677">
      <w:pPr>
        <w:spacing w:before="200" w:after="100"/>
        <w:outlineLvl w:val="2"/>
        <w:rPr>
          <w:rFonts w:ascii="仿宋" w:eastAsia="仿宋"/>
          <w:sz w:val="28"/>
          <w:szCs w:val="20"/>
        </w:rPr>
      </w:pPr>
      <w:r>
        <w:rPr>
          <w:rFonts w:ascii="仿宋" w:hAnsi="宋体" w:eastAsia="仿宋" w:cs="宋体"/>
          <w:bCs/>
          <w:sz w:val="28"/>
          <w:szCs w:val="21"/>
        </w:rPr>
        <w:t>1、适用法律</w:t>
      </w:r>
    </w:p>
    <w:p w14:paraId="2E09D736">
      <w:pPr>
        <w:spacing w:line="560" w:lineRule="exact"/>
        <w:ind w:firstLine="482"/>
        <w:rPr>
          <w:rFonts w:ascii="仿宋" w:eastAsia="仿宋"/>
          <w:sz w:val="24"/>
          <w:szCs w:val="20"/>
        </w:rPr>
      </w:pPr>
      <w:r>
        <w:rPr>
          <w:rFonts w:ascii="仿宋" w:hAnsi="宋体" w:eastAsia="仿宋" w:cs="宋体"/>
          <w:sz w:val="24"/>
          <w:szCs w:val="20"/>
        </w:rPr>
        <w:t>1.1 本次采购适用《中华人民共和国政府采购法》（以下简称政府采购法）、《中华人民共和国</w:t>
      </w:r>
      <w:r>
        <w:rPr>
          <w:rFonts w:ascii="仿宋" w:hAnsi="宋体" w:eastAsia="仿宋" w:cs="宋体"/>
          <w:sz w:val="24"/>
          <w:szCs w:val="21"/>
        </w:rPr>
        <w:t>政府采购法实施条例》（以下简称政府采购法实施条例）、《政府采购货物或服务招标投标管理</w:t>
      </w:r>
      <w:r>
        <w:rPr>
          <w:rFonts w:hint="eastAsia" w:ascii="仿宋" w:hAnsi="宋体" w:eastAsia="仿宋" w:cs="宋体"/>
          <w:sz w:val="24"/>
          <w:szCs w:val="21"/>
        </w:rPr>
        <w:t>办法</w:t>
      </w:r>
      <w:r>
        <w:rPr>
          <w:rFonts w:ascii="仿宋" w:hAnsi="宋体" w:eastAsia="仿宋" w:cs="宋体"/>
          <w:sz w:val="24"/>
          <w:szCs w:val="21"/>
        </w:rPr>
        <w:t>法》等法律、行政法规、部门规章和规范性文件。</w:t>
      </w:r>
    </w:p>
    <w:p w14:paraId="4AAD5194">
      <w:pPr>
        <w:spacing w:before="200" w:after="100"/>
        <w:outlineLvl w:val="2"/>
        <w:rPr>
          <w:rFonts w:ascii="仿宋" w:eastAsia="仿宋"/>
          <w:sz w:val="28"/>
          <w:szCs w:val="20"/>
        </w:rPr>
      </w:pPr>
      <w:r>
        <w:rPr>
          <w:rFonts w:ascii="仿宋" w:hAnsi="宋体" w:eastAsia="仿宋" w:cs="宋体"/>
          <w:bCs/>
          <w:sz w:val="28"/>
          <w:szCs w:val="21"/>
        </w:rPr>
        <w:t>2、定义</w:t>
      </w:r>
    </w:p>
    <w:p w14:paraId="7175B80D">
      <w:pPr>
        <w:spacing w:line="560" w:lineRule="exact"/>
        <w:ind w:firstLine="482"/>
        <w:rPr>
          <w:rFonts w:ascii="仿宋" w:eastAsia="仿宋"/>
          <w:b w:val="0"/>
          <w:bCs w:val="0"/>
          <w:sz w:val="24"/>
          <w:szCs w:val="20"/>
        </w:rPr>
      </w:pPr>
      <w:r>
        <w:rPr>
          <w:rFonts w:ascii="仿宋" w:hAnsi="宋体" w:eastAsia="仿宋" w:cs="宋体"/>
          <w:sz w:val="24"/>
          <w:szCs w:val="21"/>
        </w:rPr>
        <w:t>2.1“采购</w:t>
      </w:r>
      <w:r>
        <w:rPr>
          <w:rFonts w:ascii="仿宋" w:hAnsi="宋体" w:eastAsia="仿宋" w:cs="宋体"/>
          <w:b w:val="0"/>
          <w:bCs w:val="0"/>
          <w:sz w:val="24"/>
          <w:szCs w:val="21"/>
        </w:rPr>
        <w:t>人”是指</w:t>
      </w:r>
      <w:r>
        <w:rPr>
          <w:rFonts w:hint="eastAsia" w:ascii="仿宋" w:hAnsi="宋体" w:eastAsia="仿宋" w:cs="宋体"/>
          <w:b w:val="0"/>
          <w:bCs w:val="0"/>
          <w:sz w:val="24"/>
          <w:szCs w:val="21"/>
          <w:lang w:eastAsia="zh-CN"/>
        </w:rPr>
        <w:t>南京市玄武生态环境局</w:t>
      </w:r>
      <w:r>
        <w:rPr>
          <w:rFonts w:ascii="仿宋" w:hAnsi="宋体" w:eastAsia="仿宋" w:cs="宋体"/>
          <w:b w:val="0"/>
          <w:bCs w:val="0"/>
          <w:sz w:val="24"/>
          <w:szCs w:val="21"/>
        </w:rPr>
        <w:t>。</w:t>
      </w:r>
    </w:p>
    <w:p w14:paraId="778F0214">
      <w:pPr>
        <w:spacing w:line="560" w:lineRule="exact"/>
        <w:ind w:firstLine="482"/>
        <w:rPr>
          <w:rFonts w:ascii="仿宋" w:eastAsia="仿宋"/>
          <w:b w:val="0"/>
          <w:bCs w:val="0"/>
          <w:sz w:val="24"/>
          <w:szCs w:val="20"/>
        </w:rPr>
      </w:pPr>
      <w:r>
        <w:rPr>
          <w:rFonts w:ascii="仿宋" w:hAnsi="宋体" w:eastAsia="仿宋" w:cs="宋体"/>
          <w:b w:val="0"/>
          <w:bCs w:val="0"/>
          <w:sz w:val="24"/>
          <w:szCs w:val="20"/>
        </w:rPr>
        <w:t>2.2“供应商”是指参加投标竞争，并符合招标文件规定资格条件的法人、其他组织或者自然人。</w:t>
      </w:r>
    </w:p>
    <w:p w14:paraId="22A968FF">
      <w:pPr>
        <w:spacing w:line="560" w:lineRule="exact"/>
        <w:ind w:firstLine="482"/>
        <w:rPr>
          <w:rFonts w:ascii="仿宋" w:eastAsia="仿宋"/>
          <w:b w:val="0"/>
          <w:bCs w:val="0"/>
          <w:sz w:val="24"/>
          <w:szCs w:val="20"/>
        </w:rPr>
      </w:pPr>
      <w:r>
        <w:rPr>
          <w:rFonts w:ascii="仿宋" w:hAnsi="宋体" w:eastAsia="仿宋" w:cs="宋体"/>
          <w:b w:val="0"/>
          <w:bCs w:val="0"/>
          <w:sz w:val="24"/>
          <w:szCs w:val="21"/>
        </w:rPr>
        <w:t>2.3“采购代理机构”是指</w:t>
      </w:r>
      <w:r>
        <w:rPr>
          <w:rFonts w:hint="eastAsia" w:ascii="仿宋" w:hAnsi="宋体" w:eastAsia="仿宋" w:cs="宋体"/>
          <w:b w:val="0"/>
          <w:bCs w:val="0"/>
          <w:sz w:val="24"/>
          <w:szCs w:val="21"/>
          <w:lang w:eastAsia="zh-CN"/>
        </w:rPr>
        <w:t>江苏省苏辰建设投资顾问有限公司</w:t>
      </w:r>
      <w:r>
        <w:rPr>
          <w:rFonts w:ascii="仿宋" w:hAnsi="宋体" w:eastAsia="仿宋" w:cs="宋体"/>
          <w:b w:val="0"/>
          <w:bCs w:val="0"/>
          <w:sz w:val="24"/>
          <w:szCs w:val="21"/>
        </w:rPr>
        <w:t>。</w:t>
      </w:r>
    </w:p>
    <w:p w14:paraId="4F62A5F3">
      <w:pPr>
        <w:spacing w:line="560" w:lineRule="exact"/>
        <w:ind w:firstLine="482"/>
        <w:rPr>
          <w:rFonts w:ascii="仿宋" w:eastAsia="仿宋"/>
          <w:b w:val="0"/>
          <w:bCs w:val="0"/>
          <w:sz w:val="24"/>
          <w:szCs w:val="20"/>
        </w:rPr>
      </w:pPr>
      <w:r>
        <w:rPr>
          <w:rFonts w:ascii="仿宋" w:hAnsi="宋体" w:eastAsia="仿宋" w:cs="宋体"/>
          <w:b w:val="0"/>
          <w:bCs w:val="0"/>
          <w:sz w:val="24"/>
          <w:szCs w:val="21"/>
        </w:rPr>
        <w:t>2.4“货物或服务”指本招标文件中所述产品及相关服务。</w:t>
      </w:r>
    </w:p>
    <w:p w14:paraId="3BC4A8E9">
      <w:pPr>
        <w:spacing w:line="560" w:lineRule="exact"/>
        <w:ind w:firstLine="482"/>
        <w:rPr>
          <w:rFonts w:ascii="仿宋" w:eastAsia="仿宋"/>
          <w:b w:val="0"/>
          <w:bCs w:val="0"/>
          <w:sz w:val="24"/>
          <w:szCs w:val="20"/>
        </w:rPr>
      </w:pPr>
      <w:r>
        <w:rPr>
          <w:rFonts w:ascii="仿宋" w:hAnsi="宋体" w:eastAsia="仿宋" w:cs="宋体"/>
          <w:b w:val="0"/>
          <w:bCs w:val="0"/>
          <w:sz w:val="24"/>
          <w:szCs w:val="21"/>
        </w:rPr>
        <w:t>2.5“用户或使用单位”是指使用货物，接受服务的单位。</w:t>
      </w:r>
    </w:p>
    <w:p w14:paraId="76C979B3">
      <w:pPr>
        <w:spacing w:before="200" w:after="100"/>
        <w:outlineLvl w:val="2"/>
        <w:rPr>
          <w:rFonts w:ascii="仿宋" w:eastAsia="仿宋"/>
          <w:sz w:val="28"/>
          <w:szCs w:val="20"/>
        </w:rPr>
      </w:pPr>
      <w:r>
        <w:rPr>
          <w:rFonts w:ascii="仿宋" w:hAnsi="宋体" w:eastAsia="仿宋" w:cs="宋体"/>
          <w:bCs/>
          <w:sz w:val="28"/>
          <w:szCs w:val="21"/>
        </w:rPr>
        <w:t>3、政策功能</w:t>
      </w:r>
    </w:p>
    <w:p w14:paraId="2AFB038D">
      <w:pPr>
        <w:spacing w:line="560" w:lineRule="exact"/>
        <w:ind w:firstLine="482"/>
        <w:rPr>
          <w:rFonts w:ascii="仿宋" w:eastAsia="仿宋"/>
          <w:sz w:val="24"/>
          <w:szCs w:val="20"/>
        </w:rPr>
      </w:pPr>
      <w:r>
        <w:rPr>
          <w:rFonts w:ascii="仿宋" w:hAnsi="宋体" w:eastAsia="仿宋" w:cs="宋体"/>
          <w:b/>
          <w:bCs/>
          <w:sz w:val="24"/>
          <w:szCs w:val="21"/>
        </w:rPr>
        <w:t>3.1 中小企业政策</w:t>
      </w:r>
    </w:p>
    <w:p w14:paraId="0AC3E3C1">
      <w:pPr>
        <w:spacing w:line="560" w:lineRule="exact"/>
        <w:ind w:firstLine="482"/>
        <w:rPr>
          <w:rFonts w:ascii="仿宋" w:eastAsia="仿宋"/>
          <w:sz w:val="24"/>
          <w:szCs w:val="20"/>
        </w:rPr>
      </w:pPr>
      <w:r>
        <w:rPr>
          <w:rFonts w:ascii="仿宋" w:hAnsi="宋体" w:eastAsia="仿宋" w:cs="宋体"/>
          <w:sz w:val="24"/>
          <w:szCs w:val="21"/>
        </w:rPr>
        <w:t>（1）中小企业（含中型、小型、微型企业）应当符合《政府采购促进中小企业发展暂行办法》（财库〔2011〕181 号）</w:t>
      </w:r>
      <w:r>
        <w:rPr>
          <w:rFonts w:hint="eastAsia" w:ascii="仿宋" w:hAnsi="宋体" w:eastAsia="仿宋" w:cs="宋体"/>
          <w:sz w:val="24"/>
          <w:szCs w:val="21"/>
        </w:rPr>
        <w:t>第二条，</w:t>
      </w:r>
      <w:r>
        <w:rPr>
          <w:rFonts w:ascii="仿宋" w:hAnsi="宋体" w:eastAsia="仿宋" w:cs="宋体"/>
          <w:sz w:val="24"/>
          <w:szCs w:val="21"/>
        </w:rPr>
        <w:t>《关于政府采购支持监狱企业发展有关问题的通知》（财库〔2014〕 68 号）第一条或《关于促进残疾人就业政府采购政策的通知》（财库〔2017〕141 号）第一条的规定。</w:t>
      </w:r>
    </w:p>
    <w:p w14:paraId="6E7FC72F">
      <w:pPr>
        <w:spacing w:line="560" w:lineRule="exact"/>
        <w:ind w:firstLine="482"/>
        <w:rPr>
          <w:rFonts w:ascii="仿宋" w:eastAsia="仿宋"/>
          <w:sz w:val="24"/>
          <w:szCs w:val="20"/>
        </w:rPr>
      </w:pPr>
      <w:r>
        <w:rPr>
          <w:rFonts w:ascii="仿宋" w:hAnsi="宋体" w:eastAsia="仿宋" w:cs="宋体"/>
          <w:sz w:val="24"/>
          <w:szCs w:val="21"/>
        </w:rPr>
        <w:t>（2）对于专门面向中小企业或小型、微型企业的项目，只面向中小企业或小型、微型企业采购。对于非专门面向中小企业的项目，对小型和微型企业产品的价格给予 10%的扣除，用扣除后的价格参与评审。</w:t>
      </w:r>
    </w:p>
    <w:p w14:paraId="78E91D0B">
      <w:pPr>
        <w:spacing w:line="560" w:lineRule="exact"/>
        <w:ind w:firstLine="482"/>
        <w:rPr>
          <w:rFonts w:ascii="仿宋" w:eastAsia="仿宋"/>
          <w:sz w:val="24"/>
          <w:szCs w:val="20"/>
        </w:rPr>
      </w:pPr>
      <w:r>
        <w:rPr>
          <w:rFonts w:ascii="仿宋" w:hAnsi="宋体" w:eastAsia="仿宋" w:cs="宋体"/>
          <w:sz w:val="24"/>
          <w:szCs w:val="21"/>
        </w:rPr>
        <w:t>（3）参加政府采购活动的中小企业应当提供《中小企业声明函》、由省级以上监狱管理局戒毒管理局</w:t>
      </w:r>
      <w:r>
        <w:rPr>
          <w:rFonts w:hint="eastAsia" w:ascii="仿宋" w:hAnsi="宋体" w:eastAsia="仿宋" w:cs="宋体"/>
          <w:sz w:val="24"/>
          <w:szCs w:val="21"/>
        </w:rPr>
        <w:t>（</w:t>
      </w:r>
      <w:r>
        <w:rPr>
          <w:rFonts w:ascii="仿宋" w:hAnsi="宋体" w:eastAsia="仿宋" w:cs="宋体"/>
          <w:sz w:val="24"/>
          <w:szCs w:val="21"/>
        </w:rPr>
        <w:t>含新疆生产建设兵团</w:t>
      </w:r>
      <w:r>
        <w:rPr>
          <w:rFonts w:hint="eastAsia" w:ascii="仿宋" w:hAnsi="宋体" w:eastAsia="仿宋" w:cs="宋体"/>
          <w:sz w:val="24"/>
          <w:szCs w:val="21"/>
        </w:rPr>
        <w:t>）</w:t>
      </w:r>
      <w:r>
        <w:rPr>
          <w:rFonts w:ascii="仿宋" w:hAnsi="宋体" w:eastAsia="仿宋" w:cs="宋体"/>
          <w:sz w:val="24"/>
          <w:szCs w:val="21"/>
        </w:rPr>
        <w:t>出具的属于监狱企业的证明文件或《残疾人福利性单位声明函》。</w:t>
      </w:r>
    </w:p>
    <w:p w14:paraId="134E31E9">
      <w:pPr>
        <w:spacing w:line="560" w:lineRule="exact"/>
        <w:ind w:firstLine="482"/>
        <w:rPr>
          <w:rFonts w:ascii="仿宋" w:eastAsia="仿宋"/>
          <w:sz w:val="24"/>
          <w:szCs w:val="20"/>
        </w:rPr>
      </w:pPr>
      <w:r>
        <w:rPr>
          <w:rFonts w:ascii="仿宋" w:hAnsi="宋体" w:eastAsia="仿宋" w:cs="宋体"/>
          <w:sz w:val="24"/>
          <w:szCs w:val="21"/>
        </w:rPr>
        <w:t>（4）对于接受供应商以联合体形式参加采购活动的项目，小型、微型企业联合体应当符合《政府采购促进中小企业发展暂行办法》（财库〔2011〕181 号）第六条的规定。联合协议中约定，小型、微型企业的协议合同金额占到联合体协议合同总金额 30%以上的，给予联合体 2%的价格扣除。</w:t>
      </w:r>
    </w:p>
    <w:p w14:paraId="181387C1">
      <w:pPr>
        <w:spacing w:line="560" w:lineRule="exact"/>
        <w:ind w:firstLine="482"/>
        <w:rPr>
          <w:rFonts w:ascii="仿宋" w:eastAsia="仿宋"/>
          <w:sz w:val="24"/>
          <w:szCs w:val="20"/>
        </w:rPr>
      </w:pPr>
      <w:r>
        <w:rPr>
          <w:rFonts w:ascii="仿宋" w:hAnsi="宋体" w:eastAsia="仿宋" w:cs="宋体"/>
          <w:sz w:val="24"/>
          <w:szCs w:val="21"/>
        </w:rPr>
        <w:t>联合体各方均为小型、微型企业的，联合体视同为小型、微型企业给予10%价格扣除。组成联合体的大中型企业和其他自然人、法人或者其他组织，与小型、微型企业之间不得存在投资关系。</w:t>
      </w:r>
    </w:p>
    <w:p w14:paraId="30B5856F">
      <w:pPr>
        <w:spacing w:line="560" w:lineRule="exact"/>
        <w:ind w:firstLine="482"/>
        <w:rPr>
          <w:rFonts w:ascii="仿宋" w:eastAsia="仿宋"/>
          <w:sz w:val="24"/>
          <w:szCs w:val="20"/>
        </w:rPr>
      </w:pPr>
      <w:bookmarkStart w:id="7" w:name="page9"/>
      <w:bookmarkEnd w:id="7"/>
      <w:r>
        <w:rPr>
          <w:rFonts w:ascii="仿宋" w:hAnsi="宋体" w:eastAsia="仿宋" w:cs="宋体"/>
          <w:sz w:val="24"/>
          <w:szCs w:val="20"/>
        </w:rPr>
        <w:t>（5）中小企业依据《政府采购促进中小企业发展暂行办法》（财库〔2011〕181 号）规定的政</w:t>
      </w:r>
      <w:r>
        <w:rPr>
          <w:rFonts w:ascii="仿宋" w:hAnsi="宋体" w:eastAsia="仿宋" w:cs="宋体"/>
          <w:sz w:val="24"/>
          <w:szCs w:val="21"/>
        </w:rPr>
        <w:t>策获取政府采购合同后，小型、微型企业不得分包或转包给大型、中型企业，中型企业不得分包或转包给大型企业。</w:t>
      </w:r>
    </w:p>
    <w:p w14:paraId="4BED5EA1">
      <w:pPr>
        <w:spacing w:line="560" w:lineRule="exact"/>
        <w:ind w:firstLine="482"/>
        <w:rPr>
          <w:rFonts w:ascii="仿宋" w:eastAsia="仿宋"/>
          <w:sz w:val="24"/>
          <w:szCs w:val="20"/>
        </w:rPr>
      </w:pPr>
      <w:r>
        <w:rPr>
          <w:rFonts w:ascii="仿宋" w:hAnsi="宋体" w:eastAsia="仿宋" w:cs="宋体"/>
          <w:b/>
          <w:bCs/>
          <w:sz w:val="24"/>
          <w:szCs w:val="21"/>
        </w:rPr>
        <w:t>3.2 节能产品、环境标志产品政策</w:t>
      </w:r>
    </w:p>
    <w:p w14:paraId="079B29E9">
      <w:pPr>
        <w:spacing w:line="560" w:lineRule="exact"/>
        <w:ind w:firstLine="482"/>
        <w:rPr>
          <w:rFonts w:ascii="仿宋" w:eastAsia="仿宋"/>
          <w:sz w:val="24"/>
          <w:szCs w:val="20"/>
        </w:rPr>
      </w:pPr>
      <w:r>
        <w:rPr>
          <w:rFonts w:ascii="仿宋" w:hAnsi="宋体" w:eastAsia="仿宋" w:cs="宋体"/>
          <w:sz w:val="24"/>
          <w:szCs w:val="21"/>
        </w:rPr>
        <w:t>（1）政府采购节能产品、环境标志产品实施品目清单管理。</w:t>
      </w:r>
    </w:p>
    <w:p w14:paraId="2CF397A6">
      <w:pPr>
        <w:spacing w:line="560" w:lineRule="exact"/>
        <w:ind w:firstLine="482"/>
        <w:rPr>
          <w:rFonts w:ascii="仿宋" w:eastAsia="仿宋"/>
          <w:sz w:val="24"/>
          <w:szCs w:val="20"/>
        </w:rPr>
      </w:pPr>
      <w:r>
        <w:rPr>
          <w:rFonts w:ascii="仿宋" w:hAnsi="宋体" w:eastAsia="仿宋" w:cs="宋体"/>
          <w:sz w:val="24"/>
          <w:szCs w:val="21"/>
        </w:rPr>
        <w:t>（2）拟采购产品属于节能产品、环境标志产品品目清单规定必须强制采购的，实行强制采购。</w:t>
      </w:r>
    </w:p>
    <w:p w14:paraId="72268021">
      <w:pPr>
        <w:spacing w:line="560" w:lineRule="exact"/>
        <w:ind w:firstLine="482"/>
        <w:rPr>
          <w:rFonts w:ascii="仿宋" w:eastAsia="仿宋"/>
          <w:sz w:val="24"/>
          <w:szCs w:val="20"/>
        </w:rPr>
      </w:pPr>
      <w:r>
        <w:rPr>
          <w:rFonts w:ascii="仿宋" w:hAnsi="宋体" w:eastAsia="仿宋" w:cs="宋体"/>
          <w:sz w:val="24"/>
          <w:szCs w:val="21"/>
        </w:rPr>
        <w:t>（3）拟采购产品属于节能产品、环境标志产品品目清单规定优先采购的，在性能、技术、服务等指标同等条件下，实行优先采购，优先采购的评审标准详见本招标文件第三章。</w:t>
      </w:r>
    </w:p>
    <w:p w14:paraId="6F88B7A9">
      <w:pPr>
        <w:spacing w:line="560" w:lineRule="exact"/>
        <w:ind w:firstLine="482"/>
        <w:rPr>
          <w:rFonts w:ascii="仿宋" w:eastAsia="仿宋"/>
          <w:sz w:val="24"/>
          <w:szCs w:val="20"/>
        </w:rPr>
      </w:pPr>
      <w:r>
        <w:rPr>
          <w:rFonts w:ascii="仿宋" w:hAnsi="宋体" w:eastAsia="仿宋" w:cs="宋体"/>
          <w:sz w:val="24"/>
          <w:szCs w:val="20"/>
        </w:rPr>
        <w:t>（4）参加政府采购活动的节能产品、环境标志产品供应商应当提供国家确定的认证机构出具的、</w:t>
      </w:r>
      <w:r>
        <w:rPr>
          <w:rFonts w:ascii="仿宋" w:hAnsi="宋体" w:eastAsia="仿宋" w:cs="宋体"/>
          <w:sz w:val="24"/>
          <w:szCs w:val="21"/>
        </w:rPr>
        <w:t>处于有效期之内的节能产品、环境标志产品认证证书。</w:t>
      </w:r>
    </w:p>
    <w:p w14:paraId="0E169F93">
      <w:pPr>
        <w:spacing w:line="560" w:lineRule="exact"/>
        <w:ind w:firstLine="482"/>
        <w:rPr>
          <w:rFonts w:ascii="仿宋" w:eastAsia="仿宋"/>
          <w:sz w:val="24"/>
          <w:szCs w:val="20"/>
        </w:rPr>
      </w:pPr>
      <w:r>
        <w:rPr>
          <w:rFonts w:ascii="仿宋" w:hAnsi="宋体" w:eastAsia="仿宋" w:cs="宋体"/>
          <w:b/>
          <w:bCs/>
          <w:sz w:val="24"/>
          <w:szCs w:val="21"/>
        </w:rPr>
        <w:t>3.3 进口产品政策</w:t>
      </w:r>
    </w:p>
    <w:p w14:paraId="5F1EB5A9">
      <w:pPr>
        <w:spacing w:line="560" w:lineRule="exact"/>
        <w:ind w:firstLine="482"/>
        <w:rPr>
          <w:rFonts w:ascii="仿宋" w:eastAsia="仿宋"/>
          <w:sz w:val="24"/>
          <w:szCs w:val="20"/>
        </w:rPr>
      </w:pPr>
      <w:r>
        <w:rPr>
          <w:rFonts w:ascii="仿宋" w:hAnsi="宋体" w:eastAsia="仿宋" w:cs="宋体"/>
          <w:sz w:val="24"/>
          <w:szCs w:val="21"/>
        </w:rPr>
        <w:t>（1）除在招标文件另有规定外，不允许进口产品参加。进口产品认定依照《财政部关于</w:t>
      </w:r>
      <w:r>
        <w:rPr>
          <w:rFonts w:hint="eastAsia" w:ascii="仿宋" w:hAnsi="宋体" w:eastAsia="仿宋" w:cs="宋体"/>
          <w:sz w:val="24"/>
          <w:szCs w:val="21"/>
        </w:rPr>
        <w:t>政府采购</w:t>
      </w:r>
      <w:r>
        <w:rPr>
          <w:rFonts w:ascii="仿宋" w:hAnsi="宋体" w:eastAsia="仿宋" w:cs="宋体"/>
          <w:sz w:val="24"/>
          <w:szCs w:val="21"/>
        </w:rPr>
        <w:t>购进口产品管理有关问题的通知》（财办库〔2008〕248 号）的规定。</w:t>
      </w:r>
    </w:p>
    <w:p w14:paraId="59CF0761">
      <w:pPr>
        <w:spacing w:line="560" w:lineRule="exact"/>
        <w:ind w:firstLine="482"/>
        <w:rPr>
          <w:rFonts w:ascii="仿宋" w:eastAsia="仿宋"/>
          <w:sz w:val="24"/>
          <w:szCs w:val="20"/>
        </w:rPr>
      </w:pPr>
      <w:r>
        <w:rPr>
          <w:rFonts w:ascii="仿宋" w:hAnsi="宋体" w:eastAsia="仿宋" w:cs="宋体"/>
          <w:sz w:val="24"/>
          <w:szCs w:val="21"/>
        </w:rPr>
        <w:t>（2）允许进口产品参加的，满足需求的国内产品可以参加。</w:t>
      </w:r>
    </w:p>
    <w:p w14:paraId="68F6482E">
      <w:pPr>
        <w:spacing w:line="560" w:lineRule="exact"/>
        <w:ind w:firstLine="482"/>
        <w:rPr>
          <w:rFonts w:ascii="仿宋" w:eastAsia="仿宋"/>
          <w:sz w:val="24"/>
          <w:szCs w:val="20"/>
        </w:rPr>
      </w:pPr>
      <w:r>
        <w:rPr>
          <w:rFonts w:ascii="仿宋" w:hAnsi="宋体" w:eastAsia="仿宋" w:cs="宋体"/>
          <w:sz w:val="24"/>
          <w:szCs w:val="21"/>
        </w:rPr>
        <w:t>（3）允许进口产品参加的，优先采购向我国企业转让技术、与我国企业签订消化吸收再创新方案的供应商的进口产品。</w:t>
      </w:r>
    </w:p>
    <w:p w14:paraId="0A55EF1B">
      <w:pPr>
        <w:spacing w:line="560" w:lineRule="exact"/>
        <w:ind w:firstLine="482"/>
        <w:rPr>
          <w:rFonts w:ascii="仿宋" w:eastAsia="仿宋"/>
          <w:sz w:val="24"/>
          <w:szCs w:val="20"/>
        </w:rPr>
      </w:pPr>
      <w:r>
        <w:rPr>
          <w:rFonts w:ascii="仿宋" w:hAnsi="宋体" w:eastAsia="仿宋" w:cs="宋体"/>
          <w:sz w:val="24"/>
          <w:szCs w:val="21"/>
        </w:rPr>
        <w:t>3.4 未按要求提供相关材料的，不享受相关政策。</w:t>
      </w:r>
    </w:p>
    <w:p w14:paraId="4CAFAAD4">
      <w:pPr>
        <w:spacing w:line="560" w:lineRule="exact"/>
        <w:ind w:firstLine="482"/>
        <w:rPr>
          <w:rFonts w:ascii="仿宋" w:eastAsia="仿宋"/>
          <w:sz w:val="24"/>
          <w:szCs w:val="20"/>
        </w:rPr>
      </w:pPr>
      <w:r>
        <w:rPr>
          <w:rFonts w:ascii="仿宋" w:hAnsi="宋体" w:eastAsia="仿宋" w:cs="宋体"/>
          <w:sz w:val="24"/>
          <w:szCs w:val="20"/>
        </w:rPr>
        <w:t>3.5 招标文件中要求的产品品牌或型号，是采购人根据项目所要实现的功能推荐的品牌或型号，</w:t>
      </w:r>
      <w:r>
        <w:rPr>
          <w:rFonts w:ascii="仿宋" w:hAnsi="宋体" w:eastAsia="仿宋" w:cs="宋体"/>
          <w:sz w:val="24"/>
          <w:szCs w:val="21"/>
        </w:rPr>
        <w:t>仅供供应商参考，并不是限制条件。</w:t>
      </w:r>
    </w:p>
    <w:p w14:paraId="24E7CCA7">
      <w:pPr>
        <w:spacing w:before="200" w:after="100"/>
        <w:outlineLvl w:val="1"/>
        <w:rPr>
          <w:rFonts w:ascii="楷体" w:eastAsia="楷体"/>
          <w:sz w:val="32"/>
          <w:szCs w:val="20"/>
        </w:rPr>
      </w:pPr>
      <w:r>
        <w:rPr>
          <w:rFonts w:ascii="楷体" w:hAnsi="宋体" w:eastAsia="楷体" w:cs="宋体"/>
          <w:bCs/>
          <w:sz w:val="32"/>
          <w:szCs w:val="21"/>
        </w:rPr>
        <w:t>二、招标文件构成</w:t>
      </w:r>
    </w:p>
    <w:p w14:paraId="22B07A3F">
      <w:pPr>
        <w:spacing w:before="200" w:after="100"/>
        <w:outlineLvl w:val="2"/>
        <w:rPr>
          <w:rFonts w:ascii="仿宋" w:eastAsia="仿宋"/>
          <w:sz w:val="28"/>
          <w:szCs w:val="20"/>
        </w:rPr>
      </w:pPr>
      <w:r>
        <w:rPr>
          <w:rFonts w:ascii="仿宋" w:hAnsi="宋体" w:eastAsia="仿宋" w:cs="宋体"/>
          <w:bCs/>
          <w:sz w:val="28"/>
          <w:szCs w:val="21"/>
        </w:rPr>
        <w:t>4、招标文件组成</w:t>
      </w:r>
    </w:p>
    <w:p w14:paraId="268808B2">
      <w:pPr>
        <w:spacing w:line="560" w:lineRule="exact"/>
        <w:ind w:firstLine="482"/>
        <w:rPr>
          <w:rFonts w:ascii="仿宋" w:eastAsia="仿宋"/>
          <w:sz w:val="24"/>
          <w:szCs w:val="20"/>
        </w:rPr>
      </w:pPr>
      <w:r>
        <w:rPr>
          <w:rFonts w:ascii="仿宋" w:hAnsi="宋体" w:eastAsia="仿宋" w:cs="宋体"/>
          <w:sz w:val="24"/>
          <w:szCs w:val="21"/>
        </w:rPr>
        <w:t>4.1 招标文件包括以下主要内容：投标邀请；供应商须知（包括投标文件的密封、签署、盖章</w:t>
      </w:r>
      <w:r>
        <w:rPr>
          <w:rFonts w:ascii="仿宋" w:hAnsi="宋体" w:eastAsia="仿宋" w:cs="宋体"/>
          <w:sz w:val="24"/>
          <w:szCs w:val="20"/>
        </w:rPr>
        <w:t>要求等）；供应商应当提交的资格、资信证明文件；为落实政府采购政策，采购标的需满足的要求，</w:t>
      </w:r>
      <w:r>
        <w:rPr>
          <w:rFonts w:ascii="仿宋" w:hAnsi="宋体" w:eastAsia="仿宋" w:cs="宋体"/>
          <w:sz w:val="24"/>
          <w:szCs w:val="21"/>
        </w:rPr>
        <w:t>以及供应商须提供的证明材料；投标文件编制要求、投标报价要求；采购项目预算金额，设定最高限价的，还应当公开最高限价；采购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供应商信用信息查询渠道及截止时点、信用信息查询记录和证据留存的具体方式、信用信息的使用规则等；省级以上财政部门规定的其他事项。</w:t>
      </w:r>
    </w:p>
    <w:p w14:paraId="5F66578E">
      <w:pPr>
        <w:spacing w:line="560" w:lineRule="exact"/>
        <w:ind w:firstLine="482"/>
        <w:rPr>
          <w:rFonts w:ascii="仿宋" w:eastAsia="仿宋"/>
          <w:sz w:val="24"/>
          <w:szCs w:val="20"/>
        </w:rPr>
      </w:pPr>
      <w:bookmarkStart w:id="8" w:name="page10"/>
      <w:bookmarkEnd w:id="8"/>
      <w:r>
        <w:rPr>
          <w:rFonts w:ascii="仿宋" w:hAnsi="宋体" w:eastAsia="仿宋" w:cs="宋体"/>
          <w:sz w:val="24"/>
          <w:szCs w:val="21"/>
        </w:rPr>
        <w:t>4.2 采购的最小单位是包。采购货物数量及技术要求中未分包的，供应商对要求提供的货物或服务不得部分投标；采购货物数量及技术要求中已经分包的，可以以包为单位投标。</w:t>
      </w:r>
    </w:p>
    <w:p w14:paraId="6F0BB2DF">
      <w:pPr>
        <w:spacing w:line="560" w:lineRule="exact"/>
        <w:ind w:firstLine="482"/>
        <w:rPr>
          <w:rFonts w:ascii="仿宋" w:eastAsia="仿宋"/>
          <w:sz w:val="24"/>
          <w:szCs w:val="20"/>
        </w:rPr>
      </w:pPr>
      <w:r>
        <w:rPr>
          <w:rFonts w:ascii="仿宋" w:hAnsi="宋体" w:eastAsia="仿宋" w:cs="宋体"/>
          <w:sz w:val="24"/>
          <w:szCs w:val="21"/>
        </w:rPr>
        <w:t>4.3 采购代理机构如果要求供应商按照招标文件规定提交备选投标方案的，供应商可以提交</w:t>
      </w:r>
      <w:r>
        <w:rPr>
          <w:rFonts w:hint="eastAsia" w:ascii="仿宋" w:hAnsi="宋体" w:eastAsia="仿宋" w:cs="宋体"/>
          <w:sz w:val="24"/>
          <w:szCs w:val="21"/>
        </w:rPr>
        <w:t>备选</w:t>
      </w:r>
      <w:r>
        <w:rPr>
          <w:rFonts w:ascii="仿宋" w:hAnsi="宋体" w:eastAsia="仿宋" w:cs="宋体"/>
          <w:sz w:val="24"/>
          <w:szCs w:val="21"/>
        </w:rPr>
        <w:t>选方案；否则，备选方案将被拒绝。</w:t>
      </w:r>
    </w:p>
    <w:p w14:paraId="59B9D542">
      <w:pPr>
        <w:spacing w:before="200" w:after="100"/>
        <w:outlineLvl w:val="2"/>
        <w:rPr>
          <w:rFonts w:ascii="仿宋" w:eastAsia="仿宋"/>
          <w:sz w:val="28"/>
          <w:szCs w:val="20"/>
        </w:rPr>
      </w:pPr>
      <w:r>
        <w:rPr>
          <w:rFonts w:ascii="仿宋" w:hAnsi="宋体" w:eastAsia="仿宋" w:cs="宋体"/>
          <w:bCs/>
          <w:sz w:val="28"/>
          <w:szCs w:val="21"/>
        </w:rPr>
        <w:t>5、招标文件的澄清或者修改</w:t>
      </w:r>
    </w:p>
    <w:p w14:paraId="4E46C12B">
      <w:pPr>
        <w:spacing w:line="560" w:lineRule="exact"/>
        <w:ind w:firstLine="482"/>
        <w:rPr>
          <w:rFonts w:ascii="仿宋" w:eastAsia="仿宋"/>
          <w:sz w:val="24"/>
          <w:szCs w:val="20"/>
        </w:rPr>
      </w:pPr>
      <w:r>
        <w:rPr>
          <w:rFonts w:ascii="仿宋" w:hAnsi="宋体" w:eastAsia="仿宋" w:cs="宋体"/>
          <w:sz w:val="24"/>
          <w:szCs w:val="21"/>
        </w:rPr>
        <w:t>5.1 采购人或者采购代理机构可以对已发出的招标文件、资格预审文件、投标邀请进行必要的澄清或者修改，但不得改变采购标的和资格条件。澄清或者修改应当在原公告发布媒体上发布澄清公告。澄清或者修改的内容为招标文件、资格预审文件、投标邀请的组成部分。澄清或者修改的内容可能影响投标文件编制的，采购人或者采购代理机构应当在投标截止时间</w:t>
      </w:r>
      <w:r>
        <w:rPr>
          <w:rFonts w:ascii="仿宋" w:hAnsi="宋体" w:eastAsia="仿宋" w:cs="宋体"/>
          <w:sz w:val="24"/>
          <w:szCs w:val="20"/>
        </w:rPr>
        <w:t>至少 15 日前，以书面形式通知所有获取招标文件的潜在供应商；不足 15 日的，采购人或者采购代</w:t>
      </w:r>
      <w:r>
        <w:rPr>
          <w:rFonts w:ascii="仿宋" w:hAnsi="宋体" w:eastAsia="仿宋" w:cs="宋体"/>
          <w:sz w:val="24"/>
          <w:szCs w:val="21"/>
        </w:rPr>
        <w:t>理机构应当顺延提交投标文件的截止时间。</w:t>
      </w:r>
    </w:p>
    <w:p w14:paraId="5FDF9E4F">
      <w:pPr>
        <w:spacing w:line="560" w:lineRule="exact"/>
        <w:ind w:firstLine="482"/>
        <w:rPr>
          <w:rFonts w:ascii="仿宋" w:eastAsia="仿宋"/>
          <w:sz w:val="24"/>
          <w:szCs w:val="20"/>
        </w:rPr>
      </w:pPr>
      <w:r>
        <w:rPr>
          <w:rFonts w:ascii="仿宋" w:hAnsi="宋体" w:eastAsia="仿宋" w:cs="宋体"/>
          <w:sz w:val="24"/>
          <w:szCs w:val="21"/>
        </w:rPr>
        <w:t>5.2 采购人或者采购代理机构在招标文件要求提交投标文件截止时间三日前，有权决定延长投标截止时间和开标时间，并在原采购信息发布媒体上发布变更公告。</w:t>
      </w:r>
    </w:p>
    <w:p w14:paraId="37BCB8FF">
      <w:pPr>
        <w:spacing w:before="200" w:after="100"/>
        <w:outlineLvl w:val="1"/>
        <w:rPr>
          <w:rFonts w:ascii="楷体" w:eastAsia="楷体"/>
          <w:sz w:val="32"/>
          <w:szCs w:val="20"/>
        </w:rPr>
      </w:pPr>
      <w:r>
        <w:rPr>
          <w:rFonts w:ascii="楷体" w:hAnsi="宋体" w:eastAsia="楷体" w:cs="宋体"/>
          <w:bCs/>
          <w:sz w:val="32"/>
          <w:szCs w:val="21"/>
        </w:rPr>
        <w:t>三、投标文件的编制</w:t>
      </w:r>
    </w:p>
    <w:p w14:paraId="0709B4EC">
      <w:pPr>
        <w:spacing w:before="200" w:after="100"/>
        <w:outlineLvl w:val="2"/>
        <w:rPr>
          <w:rFonts w:ascii="仿宋" w:eastAsia="仿宋"/>
          <w:sz w:val="28"/>
          <w:szCs w:val="20"/>
        </w:rPr>
      </w:pPr>
      <w:r>
        <w:rPr>
          <w:rFonts w:ascii="仿宋" w:hAnsi="宋体" w:eastAsia="仿宋" w:cs="宋体"/>
          <w:bCs/>
          <w:sz w:val="28"/>
          <w:szCs w:val="21"/>
        </w:rPr>
        <w:t>6、投标文件的语言、计量单位、货币和编制</w:t>
      </w:r>
    </w:p>
    <w:p w14:paraId="56836C31">
      <w:pPr>
        <w:spacing w:line="560" w:lineRule="exact"/>
        <w:ind w:firstLine="482"/>
        <w:rPr>
          <w:rFonts w:ascii="仿宋" w:eastAsia="仿宋"/>
          <w:sz w:val="24"/>
          <w:szCs w:val="20"/>
        </w:rPr>
      </w:pPr>
      <w:r>
        <w:rPr>
          <w:rFonts w:ascii="仿宋" w:hAnsi="宋体" w:eastAsia="仿宋" w:cs="宋体"/>
          <w:sz w:val="24"/>
          <w:szCs w:val="21"/>
        </w:rPr>
        <w:t>6.1 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14:paraId="171CA1B8">
      <w:pPr>
        <w:spacing w:line="560" w:lineRule="exact"/>
        <w:ind w:firstLine="482"/>
        <w:rPr>
          <w:rFonts w:ascii="仿宋" w:eastAsia="仿宋"/>
          <w:sz w:val="24"/>
          <w:szCs w:val="20"/>
        </w:rPr>
      </w:pPr>
      <w:r>
        <w:rPr>
          <w:rFonts w:ascii="仿宋" w:hAnsi="宋体" w:eastAsia="仿宋" w:cs="宋体"/>
          <w:sz w:val="24"/>
          <w:szCs w:val="21"/>
        </w:rPr>
        <w:t>6.2 供应商所使用的计量单位应为国家法定计量单位。</w:t>
      </w:r>
    </w:p>
    <w:p w14:paraId="33A5C754">
      <w:pPr>
        <w:spacing w:line="560" w:lineRule="exact"/>
        <w:ind w:firstLine="482"/>
        <w:rPr>
          <w:rFonts w:ascii="仿宋" w:eastAsia="仿宋"/>
          <w:sz w:val="24"/>
          <w:szCs w:val="20"/>
        </w:rPr>
      </w:pPr>
      <w:r>
        <w:rPr>
          <w:rFonts w:ascii="仿宋" w:hAnsi="宋体" w:eastAsia="仿宋" w:cs="宋体"/>
          <w:sz w:val="24"/>
          <w:szCs w:val="21"/>
        </w:rPr>
        <w:t>6.3 供应商应用人民币报价。投标产品如果是进口产品的，应提供人民币与外币之间的汇率；报价单位为“元”。</w:t>
      </w:r>
    </w:p>
    <w:p w14:paraId="586625B7">
      <w:pPr>
        <w:spacing w:line="560" w:lineRule="exact"/>
        <w:ind w:firstLine="482"/>
        <w:rPr>
          <w:rFonts w:ascii="仿宋" w:eastAsia="仿宋"/>
          <w:sz w:val="24"/>
          <w:szCs w:val="20"/>
        </w:rPr>
      </w:pPr>
      <w:r>
        <w:rPr>
          <w:rFonts w:ascii="仿宋" w:hAnsi="宋体" w:eastAsia="仿宋" w:cs="宋体"/>
          <w:sz w:val="24"/>
          <w:szCs w:val="21"/>
        </w:rPr>
        <w:t>6.4 投标文件应字迹清楚、内容齐全、不得涂改。如有修改，修改处须有供应商公章或投标专用章和法定代表人或其授权的供应商代表签字。</w:t>
      </w:r>
    </w:p>
    <w:p w14:paraId="721DCEC6">
      <w:pPr>
        <w:spacing w:line="560" w:lineRule="exact"/>
        <w:ind w:firstLine="482"/>
        <w:rPr>
          <w:rFonts w:ascii="仿宋" w:eastAsia="仿宋"/>
          <w:sz w:val="24"/>
          <w:szCs w:val="20"/>
        </w:rPr>
      </w:pPr>
      <w:r>
        <w:rPr>
          <w:rFonts w:ascii="仿宋" w:hAnsi="宋体" w:eastAsia="仿宋" w:cs="宋体"/>
          <w:sz w:val="24"/>
          <w:szCs w:val="21"/>
        </w:rPr>
        <w:t>6.5 投标文件应按照招标文件规定的顺序，统一用 A4 规格幅面打印、装订成册并编制目录，由于编排混乱导致投标文件被误读或查找不到，责任由供应商承担。</w:t>
      </w:r>
    </w:p>
    <w:p w14:paraId="2705B486">
      <w:pPr>
        <w:spacing w:line="560" w:lineRule="exact"/>
        <w:ind w:firstLine="482"/>
        <w:rPr>
          <w:rFonts w:ascii="仿宋" w:eastAsia="仿宋"/>
          <w:sz w:val="24"/>
          <w:szCs w:val="20"/>
        </w:rPr>
      </w:pPr>
      <w:r>
        <w:rPr>
          <w:rFonts w:ascii="仿宋" w:hAnsi="宋体" w:eastAsia="仿宋" w:cs="宋体"/>
          <w:sz w:val="24"/>
          <w:szCs w:val="21"/>
        </w:rPr>
        <w:t>6.6 供应商应在投标文件中写清相应的项目编号、项目名称、供应商全称、地址、电话、传真等。</w:t>
      </w:r>
    </w:p>
    <w:p w14:paraId="02EE1858">
      <w:pPr>
        <w:spacing w:line="560" w:lineRule="exact"/>
        <w:ind w:firstLine="482"/>
        <w:rPr>
          <w:rFonts w:ascii="仿宋" w:eastAsia="仿宋"/>
          <w:sz w:val="24"/>
          <w:szCs w:val="20"/>
        </w:rPr>
      </w:pPr>
      <w:r>
        <w:rPr>
          <w:rFonts w:ascii="仿宋" w:hAnsi="宋体" w:eastAsia="仿宋" w:cs="宋体"/>
          <w:sz w:val="24"/>
          <w:szCs w:val="21"/>
        </w:rPr>
        <w:t>6.7 供应商根据招标文件载明的标的采购项目实际情况，拟在中标后将中标项目的非主体、非关键性工作交由他人完成的，应当在投标文件中载明。</w:t>
      </w:r>
    </w:p>
    <w:p w14:paraId="44B2F762">
      <w:pPr>
        <w:spacing w:before="200" w:after="100"/>
        <w:outlineLvl w:val="2"/>
        <w:rPr>
          <w:rFonts w:ascii="仿宋" w:eastAsia="仿宋"/>
          <w:sz w:val="28"/>
          <w:szCs w:val="20"/>
        </w:rPr>
      </w:pPr>
      <w:bookmarkStart w:id="9" w:name="page11"/>
      <w:bookmarkEnd w:id="9"/>
      <w:r>
        <w:rPr>
          <w:rFonts w:ascii="仿宋" w:hAnsi="宋体" w:eastAsia="仿宋" w:cs="宋体"/>
          <w:bCs/>
          <w:sz w:val="28"/>
          <w:szCs w:val="21"/>
        </w:rPr>
        <w:t>7、投标文件的组成</w:t>
      </w:r>
    </w:p>
    <w:p w14:paraId="001960E9">
      <w:pPr>
        <w:spacing w:line="560" w:lineRule="exact"/>
        <w:ind w:firstLine="482"/>
        <w:rPr>
          <w:rFonts w:ascii="仿宋" w:eastAsia="仿宋"/>
          <w:sz w:val="24"/>
          <w:szCs w:val="20"/>
        </w:rPr>
      </w:pPr>
      <w:r>
        <w:rPr>
          <w:rFonts w:ascii="仿宋" w:hAnsi="宋体" w:eastAsia="仿宋" w:cs="宋体"/>
          <w:sz w:val="24"/>
          <w:szCs w:val="21"/>
        </w:rPr>
        <w:t>7.1 供应商应当根据招标文件要求编制投标文件，投标文件应对招标文件提出的要求和条件作出实质性响应，并在《商务条款偏离表》和《技术规格偏离表》等处逐条标明满足与否。</w:t>
      </w:r>
    </w:p>
    <w:p w14:paraId="11103AD4">
      <w:pPr>
        <w:spacing w:line="560" w:lineRule="exact"/>
        <w:ind w:firstLine="482"/>
        <w:rPr>
          <w:rFonts w:ascii="仿宋" w:eastAsia="仿宋"/>
          <w:sz w:val="24"/>
          <w:szCs w:val="20"/>
        </w:rPr>
      </w:pPr>
      <w:r>
        <w:rPr>
          <w:rFonts w:ascii="仿宋" w:hAnsi="宋体" w:eastAsia="仿宋" w:cs="宋体"/>
          <w:sz w:val="24"/>
          <w:szCs w:val="21"/>
        </w:rPr>
        <w:t>7.2 投标文件由商务部分、技术部分、价格部分以及其他部分组成。</w:t>
      </w:r>
    </w:p>
    <w:p w14:paraId="4429F2EB">
      <w:pPr>
        <w:spacing w:before="200" w:after="100"/>
        <w:outlineLvl w:val="2"/>
        <w:rPr>
          <w:rFonts w:ascii="仿宋" w:eastAsia="仿宋"/>
          <w:sz w:val="28"/>
          <w:szCs w:val="20"/>
        </w:rPr>
      </w:pPr>
      <w:r>
        <w:rPr>
          <w:rFonts w:ascii="仿宋" w:hAnsi="宋体" w:eastAsia="仿宋" w:cs="宋体"/>
          <w:bCs/>
          <w:sz w:val="28"/>
          <w:szCs w:val="21"/>
        </w:rPr>
        <w:t>8、投标文件的商务部分</w:t>
      </w:r>
    </w:p>
    <w:p w14:paraId="2A43150B">
      <w:pPr>
        <w:spacing w:line="560" w:lineRule="exact"/>
        <w:ind w:firstLine="482"/>
        <w:rPr>
          <w:rFonts w:ascii="仿宋" w:eastAsia="仿宋"/>
          <w:sz w:val="24"/>
          <w:szCs w:val="20"/>
        </w:rPr>
      </w:pPr>
      <w:r>
        <w:rPr>
          <w:rFonts w:ascii="仿宋" w:hAnsi="宋体" w:eastAsia="仿宋" w:cs="宋体"/>
          <w:sz w:val="24"/>
          <w:szCs w:val="21"/>
        </w:rPr>
        <w:t>8.1 商务部分是证明供应商有资格参加投标和中标后有能力履行合同的文件，这些文件应能满</w:t>
      </w:r>
      <w:r>
        <w:rPr>
          <w:rFonts w:ascii="仿宋" w:hAnsi="宋体" w:eastAsia="仿宋" w:cs="宋体"/>
          <w:sz w:val="24"/>
          <w:szCs w:val="20"/>
        </w:rPr>
        <w:t>足采购的要求，包括但不限于下列文件（</w:t>
      </w:r>
      <w:r>
        <w:rPr>
          <w:rFonts w:ascii="仿宋" w:hAnsi="宋体" w:eastAsia="仿宋" w:cs="宋体"/>
          <w:b/>
          <w:bCs/>
          <w:sz w:val="24"/>
          <w:szCs w:val="20"/>
        </w:rPr>
        <w:t>（1）</w:t>
      </w:r>
      <w:r>
        <w:rPr>
          <w:rFonts w:hint="eastAsia" w:ascii="仿宋" w:hAnsi="宋体" w:eastAsia="仿宋" w:cs="宋体"/>
          <w:b/>
          <w:bCs/>
          <w:sz w:val="24"/>
          <w:szCs w:val="20"/>
        </w:rPr>
        <w:t>－</w:t>
      </w:r>
      <w:r>
        <w:rPr>
          <w:rFonts w:ascii="仿宋" w:hAnsi="宋体" w:eastAsia="仿宋" w:cs="宋体"/>
          <w:b/>
          <w:bCs/>
          <w:sz w:val="24"/>
          <w:szCs w:val="20"/>
        </w:rPr>
        <w:t>（5）所述材料如提供不全或不满足招标文件的实质</w:t>
      </w:r>
      <w:r>
        <w:rPr>
          <w:rFonts w:ascii="仿宋" w:hAnsi="宋体" w:eastAsia="仿宋" w:cs="宋体"/>
          <w:b/>
          <w:bCs/>
          <w:sz w:val="24"/>
          <w:szCs w:val="21"/>
        </w:rPr>
        <w:t>性要求，其投标文件按无效投标处理</w:t>
      </w:r>
      <w:r>
        <w:rPr>
          <w:rFonts w:ascii="仿宋" w:hAnsi="宋体" w:eastAsia="仿宋" w:cs="宋体"/>
          <w:sz w:val="24"/>
          <w:szCs w:val="21"/>
        </w:rPr>
        <w:t>）：</w:t>
      </w:r>
    </w:p>
    <w:p w14:paraId="4E62E2D8">
      <w:pPr>
        <w:spacing w:line="560" w:lineRule="exact"/>
        <w:ind w:firstLine="482"/>
        <w:rPr>
          <w:rFonts w:ascii="仿宋" w:eastAsia="仿宋"/>
          <w:sz w:val="24"/>
          <w:szCs w:val="20"/>
        </w:rPr>
      </w:pPr>
      <w:r>
        <w:rPr>
          <w:rFonts w:ascii="仿宋" w:hAnsi="宋体" w:eastAsia="仿宋" w:cs="宋体"/>
          <w:sz w:val="24"/>
          <w:szCs w:val="21"/>
        </w:rPr>
        <w:t>（1）投标函（投标申请及声明）（</w:t>
      </w:r>
      <w:r>
        <w:rPr>
          <w:rFonts w:ascii="仿宋" w:hAnsi="宋体" w:eastAsia="仿宋" w:cs="宋体"/>
          <w:b/>
          <w:bCs/>
          <w:sz w:val="24"/>
          <w:szCs w:val="21"/>
        </w:rPr>
        <w:t>格式见附件</w:t>
      </w:r>
      <w:r>
        <w:rPr>
          <w:rFonts w:ascii="仿宋" w:hAnsi="宋体" w:eastAsia="仿宋" w:cs="宋体"/>
          <w:sz w:val="24"/>
          <w:szCs w:val="21"/>
        </w:rPr>
        <w:t>）；</w:t>
      </w:r>
    </w:p>
    <w:p w14:paraId="42CAD436">
      <w:pPr>
        <w:spacing w:line="560" w:lineRule="exact"/>
        <w:ind w:firstLine="482"/>
        <w:rPr>
          <w:rFonts w:ascii="仿宋" w:hAnsi="宋体" w:eastAsia="仿宋" w:cs="宋体"/>
          <w:sz w:val="24"/>
          <w:szCs w:val="21"/>
        </w:rPr>
      </w:pPr>
      <w:r>
        <w:rPr>
          <w:rFonts w:ascii="仿宋" w:hAnsi="宋体" w:eastAsia="仿宋" w:cs="宋体"/>
          <w:sz w:val="24"/>
          <w:szCs w:val="21"/>
        </w:rPr>
        <w:t>（2）法定代表人授权委托书及委托代理人的身份证明文件的复印件（</w:t>
      </w:r>
      <w:r>
        <w:rPr>
          <w:rFonts w:ascii="仿宋" w:hAnsi="宋体" w:eastAsia="仿宋" w:cs="宋体"/>
          <w:b/>
          <w:bCs/>
          <w:sz w:val="24"/>
          <w:szCs w:val="21"/>
        </w:rPr>
        <w:t>格式见附件</w:t>
      </w:r>
      <w:r>
        <w:rPr>
          <w:rFonts w:ascii="仿宋" w:hAnsi="宋体" w:eastAsia="仿宋" w:cs="宋体"/>
          <w:sz w:val="24"/>
          <w:szCs w:val="21"/>
        </w:rPr>
        <w:t>）</w:t>
      </w:r>
    </w:p>
    <w:p w14:paraId="2F3DC564">
      <w:pPr>
        <w:spacing w:line="560" w:lineRule="exact"/>
        <w:ind w:firstLine="482"/>
        <w:rPr>
          <w:rFonts w:ascii="仿宋" w:eastAsia="仿宋"/>
          <w:sz w:val="24"/>
          <w:szCs w:val="20"/>
        </w:rPr>
      </w:pPr>
      <w:r>
        <w:rPr>
          <w:rFonts w:ascii="仿宋" w:hAnsi="宋体" w:eastAsia="仿宋" w:cs="宋体"/>
          <w:sz w:val="24"/>
          <w:szCs w:val="21"/>
        </w:rPr>
        <w:t>（3）供应商资格资信证明文件：</w:t>
      </w:r>
    </w:p>
    <w:p w14:paraId="7DB21C91">
      <w:pPr>
        <w:spacing w:line="560" w:lineRule="exact"/>
        <w:ind w:firstLine="482"/>
        <w:rPr>
          <w:rFonts w:ascii="仿宋" w:eastAsia="仿宋"/>
          <w:sz w:val="24"/>
          <w:szCs w:val="20"/>
        </w:rPr>
      </w:pPr>
      <w:r>
        <w:rPr>
          <w:rFonts w:ascii="仿宋" w:hAnsi="宋体" w:eastAsia="仿宋" w:cs="宋体"/>
          <w:sz w:val="24"/>
          <w:szCs w:val="21"/>
        </w:rPr>
        <w:t>1）第一章投标邀请中 2.1《中华人民共和国政府采购法》规定的资格条件证明文件；</w:t>
      </w:r>
    </w:p>
    <w:p w14:paraId="646A544D">
      <w:pPr>
        <w:spacing w:line="560" w:lineRule="exact"/>
        <w:ind w:firstLine="482"/>
        <w:rPr>
          <w:rFonts w:ascii="仿宋" w:hAnsi="宋体" w:eastAsia="仿宋" w:cs="宋体"/>
          <w:sz w:val="24"/>
          <w:szCs w:val="21"/>
        </w:rPr>
      </w:pPr>
      <w:r>
        <w:rPr>
          <w:rFonts w:ascii="仿宋" w:hAnsi="宋体" w:eastAsia="仿宋" w:cs="宋体"/>
          <w:sz w:val="24"/>
          <w:szCs w:val="21"/>
        </w:rPr>
        <w:t>2）第一章投标邀请中 2.3 采购人根据采购项目的特殊要求规定的特定条件证明文件；</w:t>
      </w:r>
    </w:p>
    <w:p w14:paraId="1A41B340">
      <w:pPr>
        <w:spacing w:line="560" w:lineRule="exact"/>
        <w:ind w:firstLine="482"/>
        <w:rPr>
          <w:rFonts w:ascii="仿宋" w:eastAsia="仿宋"/>
          <w:sz w:val="24"/>
          <w:szCs w:val="20"/>
        </w:rPr>
      </w:pPr>
      <w:r>
        <w:rPr>
          <w:rFonts w:ascii="仿宋" w:hAnsi="宋体" w:eastAsia="仿宋" w:cs="宋体"/>
          <w:sz w:val="24"/>
          <w:szCs w:val="21"/>
        </w:rPr>
        <w:t>（4）开标一览表（</w:t>
      </w:r>
      <w:r>
        <w:rPr>
          <w:rFonts w:ascii="仿宋" w:hAnsi="宋体" w:eastAsia="仿宋" w:cs="宋体"/>
          <w:b/>
          <w:bCs/>
          <w:sz w:val="24"/>
          <w:szCs w:val="21"/>
        </w:rPr>
        <w:t>格式见附件</w:t>
      </w:r>
      <w:r>
        <w:rPr>
          <w:rFonts w:ascii="仿宋" w:hAnsi="宋体" w:eastAsia="仿宋" w:cs="宋体"/>
          <w:sz w:val="24"/>
          <w:szCs w:val="21"/>
        </w:rPr>
        <w:t>）；</w:t>
      </w:r>
    </w:p>
    <w:p w14:paraId="310BBA9B">
      <w:pPr>
        <w:spacing w:line="560" w:lineRule="exact"/>
        <w:ind w:firstLine="482"/>
        <w:rPr>
          <w:rFonts w:ascii="仿宋" w:eastAsia="仿宋"/>
          <w:sz w:val="24"/>
          <w:szCs w:val="20"/>
        </w:rPr>
      </w:pPr>
      <w:r>
        <w:rPr>
          <w:rFonts w:ascii="仿宋" w:hAnsi="宋体" w:eastAsia="仿宋" w:cs="宋体"/>
          <w:sz w:val="24"/>
          <w:szCs w:val="21"/>
        </w:rPr>
        <w:t>（5）《南京市政府采购供应商信用记录表》；</w:t>
      </w:r>
    </w:p>
    <w:p w14:paraId="7BBFAB8C">
      <w:pPr>
        <w:spacing w:line="560" w:lineRule="exact"/>
        <w:ind w:firstLine="482"/>
        <w:rPr>
          <w:rFonts w:ascii="仿宋" w:eastAsia="仿宋"/>
          <w:sz w:val="24"/>
          <w:szCs w:val="20"/>
        </w:rPr>
      </w:pPr>
      <w:r>
        <w:rPr>
          <w:rFonts w:ascii="仿宋" w:hAnsi="宋体" w:eastAsia="仿宋" w:cs="宋体"/>
          <w:sz w:val="24"/>
          <w:szCs w:val="21"/>
        </w:rPr>
        <w:t>（6）《商务条款偏离表》；</w:t>
      </w:r>
    </w:p>
    <w:p w14:paraId="7154D460">
      <w:pPr>
        <w:spacing w:line="560" w:lineRule="exact"/>
        <w:ind w:firstLine="482"/>
        <w:rPr>
          <w:rFonts w:ascii="仿宋" w:eastAsia="仿宋"/>
          <w:sz w:val="24"/>
          <w:szCs w:val="20"/>
        </w:rPr>
      </w:pPr>
      <w:r>
        <w:rPr>
          <w:rFonts w:ascii="仿宋" w:hAnsi="宋体" w:eastAsia="仿宋" w:cs="宋体"/>
          <w:sz w:val="24"/>
          <w:szCs w:val="21"/>
        </w:rPr>
        <w:t>（7）分项报价表（</w:t>
      </w:r>
      <w:r>
        <w:rPr>
          <w:rFonts w:ascii="仿宋" w:hAnsi="宋体" w:eastAsia="仿宋" w:cs="宋体"/>
          <w:b/>
          <w:bCs/>
          <w:sz w:val="24"/>
          <w:szCs w:val="21"/>
        </w:rPr>
        <w:t>格式见附件</w:t>
      </w:r>
      <w:r>
        <w:rPr>
          <w:rFonts w:ascii="仿宋" w:hAnsi="宋体" w:eastAsia="仿宋" w:cs="宋体"/>
          <w:sz w:val="24"/>
          <w:szCs w:val="21"/>
        </w:rPr>
        <w:t>）；</w:t>
      </w:r>
    </w:p>
    <w:p w14:paraId="5561C2CB">
      <w:pPr>
        <w:spacing w:line="560" w:lineRule="exact"/>
        <w:ind w:firstLine="482"/>
        <w:rPr>
          <w:rFonts w:ascii="仿宋" w:eastAsia="仿宋"/>
          <w:sz w:val="24"/>
          <w:szCs w:val="20"/>
        </w:rPr>
      </w:pPr>
      <w:r>
        <w:rPr>
          <w:rFonts w:ascii="仿宋" w:hAnsi="宋体" w:eastAsia="仿宋" w:cs="宋体"/>
          <w:sz w:val="24"/>
          <w:szCs w:val="21"/>
        </w:rPr>
        <w:t>（8）第三章评标标准中对应</w:t>
      </w:r>
      <w:r>
        <w:rPr>
          <w:rFonts w:hint="eastAsia" w:ascii="仿宋" w:hAnsi="宋体" w:eastAsia="仿宋" w:cs="宋体"/>
          <w:sz w:val="24"/>
          <w:szCs w:val="21"/>
        </w:rPr>
        <w:t>的其他</w:t>
      </w:r>
      <w:r>
        <w:rPr>
          <w:rFonts w:ascii="仿宋" w:hAnsi="宋体" w:eastAsia="仿宋" w:cs="宋体"/>
          <w:sz w:val="24"/>
          <w:szCs w:val="21"/>
        </w:rPr>
        <w:t>所需证明材料（如有自拟并自行添加）；</w:t>
      </w:r>
    </w:p>
    <w:p w14:paraId="37206BD5">
      <w:pPr>
        <w:spacing w:line="560" w:lineRule="exact"/>
        <w:ind w:firstLine="482"/>
        <w:rPr>
          <w:rFonts w:ascii="仿宋" w:eastAsia="仿宋"/>
          <w:sz w:val="24"/>
          <w:szCs w:val="20"/>
        </w:rPr>
      </w:pPr>
      <w:r>
        <w:rPr>
          <w:rFonts w:ascii="仿宋" w:hAnsi="宋体" w:eastAsia="仿宋" w:cs="宋体"/>
          <w:sz w:val="24"/>
          <w:szCs w:val="21"/>
        </w:rPr>
        <w:t>（9）要求采购人提供的配合（如有自拟并自行添加）；</w:t>
      </w:r>
    </w:p>
    <w:p w14:paraId="2D608093">
      <w:pPr>
        <w:spacing w:line="560" w:lineRule="exact"/>
        <w:ind w:firstLine="482"/>
        <w:rPr>
          <w:rFonts w:ascii="仿宋" w:eastAsia="仿宋"/>
          <w:sz w:val="24"/>
          <w:szCs w:val="20"/>
        </w:rPr>
      </w:pPr>
      <w:r>
        <w:rPr>
          <w:rFonts w:ascii="仿宋" w:hAnsi="宋体" w:eastAsia="仿宋" w:cs="宋体"/>
          <w:sz w:val="24"/>
          <w:szCs w:val="21"/>
        </w:rPr>
        <w:t>（10）其它（供应商认为有必要提供的声明和文件，如有自拟并自行添加）。</w:t>
      </w:r>
    </w:p>
    <w:p w14:paraId="1188FA3C">
      <w:pPr>
        <w:spacing w:before="200" w:after="100"/>
        <w:outlineLvl w:val="2"/>
        <w:rPr>
          <w:rFonts w:ascii="仿宋" w:eastAsia="仿宋"/>
          <w:sz w:val="28"/>
          <w:szCs w:val="20"/>
        </w:rPr>
      </w:pPr>
      <w:r>
        <w:rPr>
          <w:rFonts w:ascii="仿宋" w:hAnsi="宋体" w:eastAsia="仿宋" w:cs="宋体"/>
          <w:bCs/>
          <w:sz w:val="28"/>
          <w:szCs w:val="21"/>
        </w:rPr>
        <w:t>9、投标文件的技术部分</w:t>
      </w:r>
    </w:p>
    <w:p w14:paraId="61BBF517">
      <w:pPr>
        <w:spacing w:line="560" w:lineRule="exact"/>
        <w:ind w:firstLine="482"/>
        <w:rPr>
          <w:rFonts w:ascii="仿宋" w:eastAsia="仿宋"/>
          <w:sz w:val="24"/>
          <w:szCs w:val="20"/>
        </w:rPr>
      </w:pPr>
      <w:r>
        <w:rPr>
          <w:rFonts w:ascii="仿宋" w:hAnsi="宋体" w:eastAsia="仿宋" w:cs="宋体"/>
          <w:sz w:val="24"/>
          <w:szCs w:val="21"/>
        </w:rPr>
        <w:t>技术部分是证明供应商提供的货物或服务是合格的、并符合招标文件要求的证明文件，以及对货物或服务的详细说明，这些文件可以是文字资料、图纸和数据等。提供的货物或服务如与招标文件要求有不符之处，应说明其差别之所在。包括但不限于下列文件：</w:t>
      </w:r>
    </w:p>
    <w:p w14:paraId="3C3FD210">
      <w:pPr>
        <w:spacing w:line="560" w:lineRule="exact"/>
        <w:ind w:firstLine="482"/>
        <w:rPr>
          <w:rFonts w:ascii="仿宋" w:eastAsia="仿宋"/>
          <w:sz w:val="24"/>
          <w:szCs w:val="20"/>
        </w:rPr>
      </w:pPr>
      <w:r>
        <w:rPr>
          <w:rFonts w:ascii="仿宋" w:hAnsi="宋体" w:eastAsia="仿宋" w:cs="宋体"/>
          <w:sz w:val="24"/>
          <w:szCs w:val="21"/>
        </w:rPr>
        <w:t>（1）技术说明或服务方案；</w:t>
      </w:r>
    </w:p>
    <w:p w14:paraId="6077FC1B">
      <w:pPr>
        <w:spacing w:line="560" w:lineRule="exact"/>
        <w:ind w:firstLine="482"/>
        <w:rPr>
          <w:rFonts w:ascii="仿宋" w:eastAsia="仿宋"/>
          <w:sz w:val="24"/>
          <w:szCs w:val="20"/>
        </w:rPr>
      </w:pPr>
      <w:r>
        <w:rPr>
          <w:rFonts w:ascii="仿宋" w:hAnsi="宋体" w:eastAsia="仿宋" w:cs="宋体"/>
          <w:sz w:val="24"/>
          <w:szCs w:val="21"/>
        </w:rPr>
        <w:t>（2）《技术条款偏离表》；</w:t>
      </w:r>
    </w:p>
    <w:p w14:paraId="053C6209">
      <w:pPr>
        <w:spacing w:line="560" w:lineRule="exact"/>
        <w:ind w:firstLine="482"/>
        <w:rPr>
          <w:rFonts w:ascii="仿宋" w:eastAsia="仿宋"/>
          <w:sz w:val="24"/>
          <w:szCs w:val="20"/>
        </w:rPr>
      </w:pPr>
      <w:r>
        <w:rPr>
          <w:rFonts w:ascii="仿宋" w:hAnsi="宋体" w:eastAsia="仿宋" w:cs="宋体"/>
          <w:sz w:val="24"/>
          <w:szCs w:val="21"/>
        </w:rPr>
        <w:t>（3）服务承诺；</w:t>
      </w:r>
    </w:p>
    <w:p w14:paraId="4CC8895E">
      <w:pPr>
        <w:spacing w:line="560" w:lineRule="exact"/>
        <w:ind w:firstLine="482"/>
        <w:rPr>
          <w:rFonts w:ascii="仿宋" w:eastAsia="仿宋"/>
          <w:sz w:val="24"/>
          <w:szCs w:val="20"/>
        </w:rPr>
      </w:pPr>
      <w:r>
        <w:rPr>
          <w:rFonts w:ascii="仿宋" w:hAnsi="宋体" w:eastAsia="仿宋" w:cs="宋体"/>
          <w:sz w:val="24"/>
          <w:szCs w:val="21"/>
        </w:rPr>
        <w:t>（4）供应商认为需要提供的其他技术资料。</w:t>
      </w:r>
    </w:p>
    <w:p w14:paraId="1CD9067B">
      <w:pPr>
        <w:spacing w:before="200" w:after="100"/>
        <w:outlineLvl w:val="2"/>
        <w:rPr>
          <w:rFonts w:ascii="仿宋" w:eastAsia="仿宋"/>
          <w:sz w:val="28"/>
          <w:szCs w:val="20"/>
        </w:rPr>
      </w:pPr>
      <w:r>
        <w:rPr>
          <w:rFonts w:ascii="仿宋" w:hAnsi="宋体" w:eastAsia="仿宋" w:cs="宋体"/>
          <w:bCs/>
          <w:sz w:val="28"/>
          <w:szCs w:val="21"/>
        </w:rPr>
        <w:t>10、投标文件的价格部分</w:t>
      </w:r>
    </w:p>
    <w:p w14:paraId="7D86F947">
      <w:pPr>
        <w:spacing w:line="560" w:lineRule="exact"/>
        <w:ind w:firstLine="720" w:firstLineChars="300"/>
        <w:rPr>
          <w:rFonts w:ascii="仿宋" w:eastAsia="仿宋"/>
          <w:sz w:val="24"/>
          <w:szCs w:val="20"/>
        </w:rPr>
      </w:pPr>
      <w:bookmarkStart w:id="10" w:name="page12"/>
      <w:bookmarkEnd w:id="10"/>
      <w:r>
        <w:rPr>
          <w:rFonts w:ascii="仿宋" w:hAnsi="宋体" w:eastAsia="仿宋" w:cs="宋体"/>
          <w:sz w:val="24"/>
          <w:szCs w:val="20"/>
        </w:rPr>
        <w:t>10.1 价格部分是对采购标的价格构成的说明，招标文件如无特别说明，每一项货物及服务仅</w:t>
      </w:r>
      <w:r>
        <w:rPr>
          <w:rFonts w:ascii="仿宋" w:hAnsi="宋体" w:eastAsia="仿宋" w:cs="宋体"/>
          <w:sz w:val="24"/>
          <w:szCs w:val="21"/>
        </w:rPr>
        <w:t>接受一个价格。</w:t>
      </w:r>
    </w:p>
    <w:p w14:paraId="102B4F4F">
      <w:pPr>
        <w:spacing w:line="560" w:lineRule="exact"/>
        <w:ind w:firstLine="482"/>
        <w:rPr>
          <w:rFonts w:ascii="仿宋" w:eastAsia="仿宋"/>
          <w:sz w:val="24"/>
          <w:szCs w:val="20"/>
        </w:rPr>
      </w:pPr>
      <w:r>
        <w:rPr>
          <w:rFonts w:ascii="仿宋" w:hAnsi="宋体" w:eastAsia="仿宋" w:cs="宋体"/>
          <w:sz w:val="24"/>
          <w:szCs w:val="20"/>
        </w:rPr>
        <w:t>10.2 报价应包含本次采购的有关的所有费用，以及技术资料、支付给员工的工资和国家强制缴</w:t>
      </w:r>
      <w:r>
        <w:rPr>
          <w:rFonts w:ascii="仿宋" w:hAnsi="宋体" w:eastAsia="仿宋" w:cs="宋体"/>
          <w:sz w:val="24"/>
          <w:szCs w:val="21"/>
        </w:rPr>
        <w:t>纳</w:t>
      </w:r>
      <w:r>
        <w:rPr>
          <w:rFonts w:hint="eastAsia" w:ascii="仿宋" w:hAnsi="宋体" w:eastAsia="仿宋" w:cs="宋体"/>
          <w:sz w:val="24"/>
          <w:szCs w:val="21"/>
        </w:rPr>
        <w:t>得</w:t>
      </w:r>
      <w:r>
        <w:rPr>
          <w:rFonts w:ascii="仿宋" w:hAnsi="宋体" w:eastAsia="仿宋" w:cs="宋体"/>
          <w:sz w:val="24"/>
          <w:szCs w:val="21"/>
        </w:rPr>
        <w:t>各种社会保障资金，以及供应商认为需要的其他费用等。</w:t>
      </w:r>
    </w:p>
    <w:p w14:paraId="64452D01">
      <w:pPr>
        <w:spacing w:line="560" w:lineRule="exact"/>
        <w:ind w:firstLine="482"/>
        <w:rPr>
          <w:rFonts w:ascii="仿宋" w:eastAsia="仿宋"/>
          <w:sz w:val="24"/>
          <w:szCs w:val="20"/>
        </w:rPr>
      </w:pPr>
      <w:r>
        <w:rPr>
          <w:rFonts w:ascii="仿宋" w:hAnsi="宋体" w:eastAsia="仿宋" w:cs="宋体"/>
          <w:sz w:val="24"/>
          <w:szCs w:val="21"/>
        </w:rPr>
        <w:t>10.3 供应商的任何错漏、优惠、竞争性报价不得作为减轻责任、减少服务、增加收费、降低质量的理由。</w:t>
      </w:r>
    </w:p>
    <w:p w14:paraId="1E43748A">
      <w:pPr>
        <w:spacing w:line="560" w:lineRule="exact"/>
        <w:ind w:firstLine="482"/>
        <w:rPr>
          <w:rFonts w:ascii="仿宋" w:eastAsia="仿宋"/>
          <w:sz w:val="24"/>
          <w:szCs w:val="20"/>
        </w:rPr>
      </w:pPr>
      <w:r>
        <w:rPr>
          <w:rFonts w:ascii="仿宋" w:hAnsi="宋体" w:eastAsia="仿宋" w:cs="宋体"/>
          <w:b/>
          <w:bCs/>
          <w:sz w:val="24"/>
          <w:szCs w:val="21"/>
        </w:rPr>
        <w:t>10.4 评标委员会认为供应商的报价明显低于其他通过符合性审查的供应商的报价，有可能</w:t>
      </w:r>
      <w:r>
        <w:rPr>
          <w:rFonts w:hint="eastAsia" w:ascii="仿宋" w:hAnsi="宋体" w:eastAsia="仿宋" w:cs="宋体"/>
          <w:b/>
          <w:bCs/>
          <w:sz w:val="24"/>
          <w:szCs w:val="21"/>
        </w:rPr>
        <w:t>影响</w:t>
      </w:r>
      <w:r>
        <w:rPr>
          <w:rFonts w:ascii="仿宋" w:hAnsi="宋体" w:eastAsia="仿宋" w:cs="宋体"/>
          <w:b/>
          <w:bCs/>
          <w:sz w:val="24"/>
          <w:szCs w:val="21"/>
        </w:rPr>
        <w:t>响产品质量或者不能诚信履约的，应当要求其在评标现场合理的时间内提供书面说明，必要时提交相关证明材料；供应商不能证明其报价合理性的，评标委员会应当将其作为无效投标处理。</w:t>
      </w:r>
    </w:p>
    <w:p w14:paraId="0A21E82B">
      <w:pPr>
        <w:spacing w:line="560" w:lineRule="exact"/>
        <w:ind w:firstLine="482"/>
        <w:rPr>
          <w:rFonts w:ascii="仿宋" w:eastAsia="仿宋"/>
          <w:sz w:val="24"/>
          <w:szCs w:val="20"/>
        </w:rPr>
      </w:pPr>
      <w:r>
        <w:rPr>
          <w:rFonts w:ascii="仿宋" w:hAnsi="宋体" w:eastAsia="仿宋" w:cs="宋体"/>
          <w:sz w:val="24"/>
          <w:szCs w:val="20"/>
        </w:rPr>
        <w:t>10.5 供应商应在《开标一览表</w:t>
      </w:r>
      <w:r>
        <w:rPr>
          <w:rFonts w:hint="eastAsia" w:ascii="仿宋" w:hAnsi="宋体" w:eastAsia="仿宋" w:cs="宋体"/>
          <w:sz w:val="24"/>
          <w:szCs w:val="20"/>
        </w:rPr>
        <w:t>》《</w:t>
      </w:r>
      <w:r>
        <w:rPr>
          <w:rFonts w:ascii="仿宋" w:hAnsi="宋体" w:eastAsia="仿宋" w:cs="宋体"/>
          <w:sz w:val="24"/>
          <w:szCs w:val="20"/>
        </w:rPr>
        <w:t>分项报价》等标明投标货物或服务的单价、总价以及分项</w:t>
      </w:r>
      <w:r>
        <w:rPr>
          <w:rFonts w:ascii="仿宋" w:hAnsi="宋体" w:eastAsia="仿宋" w:cs="宋体"/>
          <w:sz w:val="24"/>
          <w:szCs w:val="21"/>
        </w:rPr>
        <w:t>报价。供应商系</w:t>
      </w:r>
      <w:r>
        <w:rPr>
          <w:rFonts w:ascii="仿宋" w:hAnsi="宋体" w:eastAsia="仿宋" w:cs="宋体"/>
          <w:b/>
          <w:bCs/>
          <w:sz w:val="24"/>
          <w:szCs w:val="21"/>
        </w:rPr>
        <w:t>小型、微型企业，并提供本企业制造的货物、承担的工程或者服务，</w:t>
      </w:r>
      <w:r>
        <w:rPr>
          <w:rFonts w:ascii="仿宋" w:hAnsi="宋体" w:eastAsia="仿宋" w:cs="宋体"/>
          <w:sz w:val="24"/>
          <w:szCs w:val="21"/>
        </w:rPr>
        <w:t>或者提供其他小型、微型企业制造的货物，须在《开标一览表</w:t>
      </w:r>
      <w:r>
        <w:rPr>
          <w:rFonts w:hint="eastAsia" w:ascii="仿宋" w:hAnsi="宋体" w:eastAsia="仿宋" w:cs="宋体"/>
          <w:sz w:val="24"/>
          <w:szCs w:val="21"/>
        </w:rPr>
        <w:t>》《</w:t>
      </w:r>
      <w:r>
        <w:rPr>
          <w:rFonts w:ascii="仿宋" w:hAnsi="宋体" w:eastAsia="仿宋" w:cs="宋体"/>
          <w:sz w:val="24"/>
          <w:szCs w:val="21"/>
        </w:rPr>
        <w:t>分项报价》中注明。</w:t>
      </w:r>
    </w:p>
    <w:p w14:paraId="4CB59577">
      <w:pPr>
        <w:spacing w:line="560" w:lineRule="exact"/>
        <w:ind w:firstLine="482"/>
        <w:rPr>
          <w:rFonts w:ascii="仿宋" w:eastAsia="仿宋"/>
          <w:sz w:val="24"/>
          <w:szCs w:val="20"/>
        </w:rPr>
      </w:pPr>
      <w:r>
        <w:rPr>
          <w:rFonts w:ascii="仿宋" w:hAnsi="宋体" w:eastAsia="仿宋" w:cs="宋体"/>
          <w:sz w:val="24"/>
          <w:szCs w:val="20"/>
        </w:rPr>
        <w:t>10.6 《开标一览表》一式两份，一份装订在投标文件中，一份单独封装，并标明“开标一览表”</w:t>
      </w:r>
      <w:r>
        <w:rPr>
          <w:rFonts w:ascii="仿宋" w:hAnsi="宋体" w:eastAsia="仿宋" w:cs="宋体"/>
          <w:sz w:val="24"/>
          <w:szCs w:val="21"/>
        </w:rPr>
        <w:t>字样，随投标文件一并递交，以便唱标时使用。</w:t>
      </w:r>
    </w:p>
    <w:p w14:paraId="434614C8">
      <w:pPr>
        <w:spacing w:line="560" w:lineRule="exact"/>
        <w:ind w:firstLine="482"/>
        <w:rPr>
          <w:rFonts w:ascii="仿宋" w:eastAsia="仿宋"/>
          <w:sz w:val="24"/>
          <w:szCs w:val="20"/>
        </w:rPr>
      </w:pPr>
      <w:r>
        <w:rPr>
          <w:rFonts w:ascii="仿宋" w:hAnsi="宋体" w:eastAsia="仿宋" w:cs="宋体"/>
          <w:b/>
          <w:bCs/>
          <w:sz w:val="24"/>
          <w:szCs w:val="21"/>
        </w:rPr>
        <w:t>10.7 本项目预算为：详见第一章</w:t>
      </w:r>
      <w:r>
        <w:rPr>
          <w:rFonts w:ascii="仿宋" w:hAnsi="宋体" w:eastAsia="仿宋" w:cs="宋体"/>
          <w:sz w:val="24"/>
          <w:szCs w:val="21"/>
        </w:rPr>
        <w:t>。</w:t>
      </w:r>
    </w:p>
    <w:p w14:paraId="202A3B7C">
      <w:pPr>
        <w:spacing w:before="200" w:after="100"/>
        <w:outlineLvl w:val="2"/>
        <w:rPr>
          <w:rFonts w:ascii="仿宋" w:eastAsia="仿宋"/>
          <w:sz w:val="28"/>
          <w:szCs w:val="20"/>
        </w:rPr>
      </w:pPr>
      <w:r>
        <w:rPr>
          <w:rFonts w:ascii="仿宋" w:hAnsi="宋体" w:eastAsia="仿宋" w:cs="宋体"/>
          <w:bCs/>
          <w:sz w:val="28"/>
          <w:szCs w:val="21"/>
        </w:rPr>
        <w:t>11、投标文件的其他部分</w:t>
      </w:r>
    </w:p>
    <w:p w14:paraId="4AFC3942">
      <w:pPr>
        <w:spacing w:line="560" w:lineRule="exact"/>
        <w:ind w:firstLine="482"/>
        <w:rPr>
          <w:rFonts w:ascii="仿宋" w:eastAsia="仿宋"/>
          <w:sz w:val="24"/>
          <w:szCs w:val="20"/>
        </w:rPr>
      </w:pPr>
      <w:r>
        <w:rPr>
          <w:rFonts w:ascii="仿宋" w:hAnsi="宋体" w:eastAsia="仿宋" w:cs="宋体"/>
          <w:sz w:val="24"/>
          <w:szCs w:val="21"/>
        </w:rPr>
        <w:t>11.1 其他部分由供应商根据编制投标文件需要提供的其他相关文件组成。</w:t>
      </w:r>
    </w:p>
    <w:p w14:paraId="16DF11D4">
      <w:pPr>
        <w:spacing w:before="200" w:after="100"/>
        <w:outlineLvl w:val="2"/>
        <w:rPr>
          <w:rFonts w:ascii="仿宋" w:eastAsia="仿宋"/>
          <w:sz w:val="28"/>
          <w:szCs w:val="20"/>
        </w:rPr>
      </w:pPr>
      <w:r>
        <w:rPr>
          <w:rFonts w:ascii="仿宋" w:hAnsi="宋体" w:eastAsia="仿宋" w:cs="宋体"/>
          <w:bCs/>
          <w:sz w:val="28"/>
          <w:szCs w:val="21"/>
        </w:rPr>
        <w:t>12、投标</w:t>
      </w:r>
      <w:r>
        <w:rPr>
          <w:rFonts w:ascii="仿宋" w:hAnsi="宋体" w:eastAsia="仿宋" w:cs="宋体"/>
          <w:sz w:val="24"/>
          <w:szCs w:val="21"/>
        </w:rPr>
        <w:t>保证金：本项目不收取投标保证金。</w:t>
      </w:r>
    </w:p>
    <w:p w14:paraId="060C9B47">
      <w:pPr>
        <w:spacing w:before="200" w:after="100"/>
        <w:outlineLvl w:val="2"/>
        <w:rPr>
          <w:rFonts w:ascii="仿宋" w:eastAsia="仿宋"/>
          <w:sz w:val="28"/>
          <w:szCs w:val="20"/>
        </w:rPr>
      </w:pPr>
      <w:r>
        <w:rPr>
          <w:rFonts w:ascii="仿宋" w:hAnsi="宋体" w:eastAsia="仿宋" w:cs="宋体"/>
          <w:bCs/>
          <w:sz w:val="28"/>
          <w:szCs w:val="21"/>
        </w:rPr>
        <w:t>13、投标有效期</w:t>
      </w:r>
    </w:p>
    <w:p w14:paraId="2AF8D6BD">
      <w:pPr>
        <w:spacing w:line="560" w:lineRule="exact"/>
        <w:ind w:firstLine="482"/>
        <w:rPr>
          <w:rFonts w:ascii="仿宋" w:eastAsia="仿宋"/>
          <w:sz w:val="24"/>
          <w:szCs w:val="20"/>
        </w:rPr>
      </w:pPr>
      <w:r>
        <w:rPr>
          <w:rFonts w:ascii="仿宋" w:hAnsi="宋体" w:eastAsia="仿宋" w:cs="宋体"/>
          <w:sz w:val="24"/>
          <w:szCs w:val="20"/>
        </w:rPr>
        <w:t xml:space="preserve">13.1 自开标之日起 </w:t>
      </w:r>
      <w:r>
        <w:rPr>
          <w:rFonts w:ascii="仿宋" w:hAnsi="宋体" w:eastAsia="仿宋" w:cs="宋体"/>
          <w:b/>
          <w:bCs/>
          <w:sz w:val="24"/>
          <w:szCs w:val="20"/>
        </w:rPr>
        <w:t>90</w:t>
      </w:r>
      <w:r>
        <w:rPr>
          <w:rFonts w:ascii="仿宋" w:hAnsi="宋体" w:eastAsia="仿宋" w:cs="宋体"/>
          <w:sz w:val="24"/>
          <w:szCs w:val="20"/>
        </w:rPr>
        <w:t xml:space="preserve"> 天内投标有效</w:t>
      </w:r>
      <w:r>
        <w:rPr>
          <w:rFonts w:ascii="仿宋" w:hAnsi="宋体" w:eastAsia="仿宋" w:cs="宋体"/>
          <w:b/>
          <w:bCs/>
          <w:sz w:val="24"/>
          <w:szCs w:val="20"/>
        </w:rPr>
        <w:t>，投标有效期从提交投标文件的截止之日起算。投标文件</w:t>
      </w:r>
      <w:r>
        <w:rPr>
          <w:rFonts w:ascii="仿宋" w:hAnsi="宋体" w:eastAsia="仿宋" w:cs="宋体"/>
          <w:b/>
          <w:bCs/>
          <w:sz w:val="24"/>
          <w:szCs w:val="21"/>
        </w:rPr>
        <w:t>中承诺的投标有效期应当不少于招标文件中载明的投标有效期。</w:t>
      </w:r>
    </w:p>
    <w:p w14:paraId="7033D6D6">
      <w:pPr>
        <w:spacing w:line="560" w:lineRule="exact"/>
        <w:ind w:firstLine="482"/>
        <w:rPr>
          <w:rFonts w:ascii="仿宋" w:eastAsia="仿宋"/>
          <w:sz w:val="24"/>
          <w:szCs w:val="20"/>
        </w:rPr>
      </w:pPr>
      <w:r>
        <w:rPr>
          <w:rFonts w:ascii="仿宋" w:hAnsi="宋体" w:eastAsia="仿宋" w:cs="宋体"/>
          <w:sz w:val="24"/>
          <w:szCs w:val="21"/>
        </w:rPr>
        <w:t>13.2 特殊情况下，在原投标有效期截止之前，采购代理机构可要求供应商同意延长投标</w:t>
      </w:r>
      <w:r>
        <w:rPr>
          <w:rFonts w:hint="eastAsia" w:ascii="仿宋" w:hAnsi="宋体" w:eastAsia="仿宋" w:cs="宋体"/>
          <w:sz w:val="24"/>
          <w:szCs w:val="21"/>
        </w:rPr>
        <w:t>有效期</w:t>
      </w:r>
      <w:r>
        <w:rPr>
          <w:rFonts w:ascii="仿宋" w:hAnsi="宋体" w:eastAsia="仿宋" w:cs="宋体"/>
          <w:sz w:val="24"/>
          <w:szCs w:val="21"/>
        </w:rPr>
        <w:t>期，这种要求与答复均应以书面形式提交。供应商可拒绝这种要求，并且不影响投标保证金的退还（如有）。接受延长投标有效期的供应商将不会要求和允许修正其投标，而只会被要求相应地延长其投标保证金（如有）的有效期。在这种情况下，有关投标保证金（如有）的退还规定</w:t>
      </w:r>
      <w:r>
        <w:rPr>
          <w:rFonts w:hint="eastAsia" w:ascii="仿宋" w:hAnsi="宋体" w:eastAsia="仿宋" w:cs="宋体"/>
          <w:sz w:val="24"/>
          <w:szCs w:val="21"/>
        </w:rPr>
        <w:t>再</w:t>
      </w:r>
      <w:r>
        <w:rPr>
          <w:rFonts w:ascii="仿宋" w:hAnsi="宋体" w:eastAsia="仿宋" w:cs="宋体"/>
          <w:sz w:val="24"/>
          <w:szCs w:val="21"/>
        </w:rPr>
        <w:t>延长了的有效期内继续有效。</w:t>
      </w:r>
    </w:p>
    <w:p w14:paraId="44077C7C">
      <w:pPr>
        <w:spacing w:before="200" w:after="100"/>
        <w:outlineLvl w:val="2"/>
        <w:rPr>
          <w:rFonts w:ascii="仿宋" w:eastAsia="仿宋"/>
          <w:sz w:val="28"/>
          <w:szCs w:val="20"/>
        </w:rPr>
      </w:pPr>
      <w:r>
        <w:rPr>
          <w:rFonts w:ascii="仿宋" w:hAnsi="宋体" w:eastAsia="仿宋" w:cs="宋体"/>
          <w:bCs/>
          <w:sz w:val="28"/>
          <w:szCs w:val="21"/>
        </w:rPr>
        <w:t>14、投标文件签署</w:t>
      </w:r>
    </w:p>
    <w:p w14:paraId="091505C6">
      <w:pPr>
        <w:spacing w:line="560" w:lineRule="exact"/>
        <w:ind w:firstLine="482"/>
        <w:rPr>
          <w:rFonts w:ascii="仿宋" w:eastAsia="仿宋"/>
          <w:sz w:val="24"/>
          <w:szCs w:val="20"/>
        </w:rPr>
      </w:pPr>
      <w:r>
        <w:rPr>
          <w:rFonts w:ascii="仿宋" w:hAnsi="宋体" w:eastAsia="仿宋" w:cs="宋体"/>
          <w:sz w:val="24"/>
          <w:szCs w:val="21"/>
        </w:rPr>
        <w:t>14.1  投标文件的正本和副本均应由供应商法人代表或经正式授权并对供应商有约束力的委托代理人签字，如果它们之间内容有差异，则以正本为准。</w:t>
      </w:r>
    </w:p>
    <w:p w14:paraId="7782043C">
      <w:pPr>
        <w:spacing w:before="200" w:after="100"/>
        <w:outlineLvl w:val="2"/>
        <w:rPr>
          <w:rFonts w:ascii="仿宋" w:eastAsia="仿宋"/>
          <w:sz w:val="28"/>
          <w:szCs w:val="20"/>
        </w:rPr>
      </w:pPr>
      <w:r>
        <w:rPr>
          <w:rFonts w:ascii="仿宋" w:hAnsi="宋体" w:eastAsia="仿宋" w:cs="宋体"/>
          <w:bCs/>
          <w:sz w:val="28"/>
          <w:szCs w:val="21"/>
        </w:rPr>
        <w:t>15、投标费用</w:t>
      </w:r>
    </w:p>
    <w:p w14:paraId="0D00CE2D">
      <w:pPr>
        <w:spacing w:line="560" w:lineRule="exact"/>
        <w:ind w:firstLine="482"/>
        <w:rPr>
          <w:rFonts w:ascii="仿宋" w:eastAsia="仿宋"/>
          <w:sz w:val="24"/>
          <w:szCs w:val="20"/>
        </w:rPr>
      </w:pPr>
      <w:bookmarkStart w:id="11" w:name="page13"/>
      <w:bookmarkEnd w:id="11"/>
      <w:r>
        <w:rPr>
          <w:rFonts w:ascii="仿宋" w:hAnsi="宋体" w:eastAsia="仿宋" w:cs="宋体"/>
          <w:sz w:val="24"/>
          <w:szCs w:val="20"/>
        </w:rPr>
        <w:t>15.1 供应商应承担所有与准备和参加投标有关的费用，无论采购结果如何，采购代理机构和采</w:t>
      </w:r>
      <w:r>
        <w:rPr>
          <w:rFonts w:ascii="仿宋" w:hAnsi="宋体" w:eastAsia="仿宋" w:cs="宋体"/>
          <w:sz w:val="24"/>
          <w:szCs w:val="21"/>
        </w:rPr>
        <w:t>购人在任何情况下均无义务和责任承担这些费用。</w:t>
      </w:r>
    </w:p>
    <w:p w14:paraId="0268155C">
      <w:pPr>
        <w:spacing w:line="560" w:lineRule="exact"/>
        <w:ind w:firstLine="482"/>
        <w:rPr>
          <w:rFonts w:ascii="仿宋" w:hAnsi="宋体" w:eastAsia="仿宋" w:cs="宋体"/>
          <w:b/>
          <w:bCs/>
          <w:sz w:val="24"/>
          <w:szCs w:val="21"/>
        </w:rPr>
      </w:pPr>
      <w:r>
        <w:rPr>
          <w:rFonts w:ascii="仿宋" w:hAnsi="宋体" w:eastAsia="仿宋" w:cs="宋体"/>
          <w:b/>
          <w:bCs/>
          <w:sz w:val="24"/>
          <w:szCs w:val="21"/>
        </w:rPr>
        <w:t>15.2 采购代理服务费：</w:t>
      </w:r>
    </w:p>
    <w:p w14:paraId="6C57181E">
      <w:pPr>
        <w:spacing w:line="560" w:lineRule="exact"/>
        <w:ind w:firstLine="482"/>
        <w:rPr>
          <w:rFonts w:ascii="仿宋" w:eastAsia="仿宋"/>
          <w:b/>
          <w:bCs/>
          <w:color w:val="000000"/>
          <w:sz w:val="24"/>
          <w:szCs w:val="20"/>
        </w:rPr>
      </w:pPr>
      <w:r>
        <w:rPr>
          <w:rFonts w:ascii="仿宋" w:hAnsi="宋体" w:eastAsia="仿宋" w:cs="宋体"/>
          <w:sz w:val="24"/>
          <w:szCs w:val="21"/>
        </w:rPr>
        <w:t>本次采购，</w:t>
      </w:r>
      <w:r>
        <w:rPr>
          <w:rFonts w:hint="eastAsia" w:ascii="仿宋" w:hAnsi="宋体" w:eastAsia="仿宋" w:cs="宋体"/>
          <w:b/>
          <w:bCs/>
          <w:color w:val="000000"/>
          <w:sz w:val="24"/>
          <w:szCs w:val="21"/>
        </w:rPr>
        <w:t>参照《江苏省招标代理服务收费的指导意见》标准，代理服务收费按标准的</w:t>
      </w:r>
      <w:r>
        <w:rPr>
          <w:rFonts w:hint="eastAsia" w:ascii="仿宋" w:hAnsi="宋体" w:eastAsia="仿宋" w:cs="宋体"/>
          <w:b/>
          <w:bCs/>
          <w:color w:val="000000"/>
          <w:sz w:val="24"/>
          <w:szCs w:val="21"/>
          <w:lang w:val="en-US" w:eastAsia="zh-CN"/>
        </w:rPr>
        <w:t>100</w:t>
      </w:r>
      <w:r>
        <w:rPr>
          <w:rFonts w:hint="eastAsia" w:ascii="仿宋" w:hAnsi="宋体" w:eastAsia="仿宋" w:cs="宋体"/>
          <w:b/>
          <w:bCs/>
          <w:color w:val="000000"/>
          <w:sz w:val="24"/>
          <w:szCs w:val="21"/>
        </w:rPr>
        <w:t>%计取（按照中标价为计价基础）</w:t>
      </w:r>
      <w:r>
        <w:rPr>
          <w:rFonts w:hint="eastAsia" w:ascii="仿宋" w:hAnsi="宋体" w:eastAsia="仿宋" w:cs="宋体"/>
          <w:b/>
          <w:bCs/>
          <w:color w:val="000000"/>
          <w:sz w:val="24"/>
          <w:szCs w:val="21"/>
          <w:lang w:eastAsia="zh-CN"/>
        </w:rPr>
        <w:t>，</w:t>
      </w:r>
      <w:r>
        <w:rPr>
          <w:rFonts w:ascii="仿宋" w:hAnsi="宋体" w:eastAsia="仿宋" w:cs="宋体"/>
          <w:b/>
          <w:bCs/>
          <w:color w:val="000000"/>
          <w:sz w:val="24"/>
          <w:szCs w:val="21"/>
        </w:rPr>
        <w:t>在领取中标通知书前向采购代理机构支付采购代理服务费。</w:t>
      </w:r>
    </w:p>
    <w:p w14:paraId="7C710822">
      <w:pPr>
        <w:spacing w:before="200" w:after="100"/>
        <w:outlineLvl w:val="1"/>
        <w:rPr>
          <w:rFonts w:ascii="楷体" w:eastAsia="楷体"/>
          <w:sz w:val="32"/>
          <w:szCs w:val="20"/>
        </w:rPr>
      </w:pPr>
      <w:r>
        <w:rPr>
          <w:rFonts w:ascii="楷体" w:hAnsi="宋体" w:eastAsia="楷体" w:cs="宋体"/>
          <w:bCs/>
          <w:sz w:val="32"/>
          <w:szCs w:val="21"/>
        </w:rPr>
        <w:t>四、投标文件的递交</w:t>
      </w:r>
    </w:p>
    <w:p w14:paraId="2C0A28F6">
      <w:pPr>
        <w:spacing w:before="200" w:after="100"/>
        <w:outlineLvl w:val="2"/>
        <w:rPr>
          <w:rFonts w:ascii="仿宋" w:eastAsia="仿宋"/>
          <w:sz w:val="28"/>
          <w:szCs w:val="20"/>
        </w:rPr>
      </w:pPr>
      <w:r>
        <w:rPr>
          <w:rFonts w:ascii="仿宋" w:hAnsi="宋体" w:eastAsia="仿宋" w:cs="宋体"/>
          <w:bCs/>
          <w:sz w:val="28"/>
          <w:szCs w:val="21"/>
        </w:rPr>
        <w:t>16、投标文件的密封和递交</w:t>
      </w:r>
    </w:p>
    <w:p w14:paraId="0A91E644">
      <w:pPr>
        <w:spacing w:line="560" w:lineRule="exact"/>
        <w:ind w:firstLine="482"/>
        <w:rPr>
          <w:rFonts w:ascii="仿宋" w:eastAsia="仿宋"/>
          <w:sz w:val="24"/>
          <w:szCs w:val="20"/>
        </w:rPr>
      </w:pPr>
      <w:r>
        <w:rPr>
          <w:rFonts w:ascii="仿宋" w:hAnsi="宋体" w:eastAsia="仿宋" w:cs="宋体"/>
          <w:b/>
          <w:bCs/>
          <w:sz w:val="24"/>
          <w:szCs w:val="20"/>
        </w:rPr>
        <w:t>16.1 供应商的投标文件一式</w:t>
      </w:r>
      <w:r>
        <w:rPr>
          <w:rFonts w:hint="eastAsia" w:ascii="仿宋" w:hAnsi="宋体" w:eastAsia="仿宋" w:cs="宋体"/>
          <w:b/>
          <w:bCs/>
          <w:sz w:val="24"/>
          <w:szCs w:val="20"/>
        </w:rPr>
        <w:t>五</w:t>
      </w:r>
      <w:r>
        <w:rPr>
          <w:rFonts w:ascii="仿宋" w:hAnsi="宋体" w:eastAsia="仿宋" w:cs="宋体"/>
          <w:b/>
          <w:bCs/>
          <w:sz w:val="24"/>
          <w:szCs w:val="20"/>
        </w:rPr>
        <w:t>份（正本壹份、副本</w:t>
      </w:r>
      <w:r>
        <w:rPr>
          <w:rFonts w:hint="eastAsia" w:ascii="仿宋" w:hAnsi="宋体" w:eastAsia="仿宋" w:cs="宋体"/>
          <w:b/>
          <w:bCs/>
          <w:sz w:val="24"/>
          <w:szCs w:val="20"/>
        </w:rPr>
        <w:t>四</w:t>
      </w:r>
      <w:r>
        <w:rPr>
          <w:rFonts w:ascii="仿宋" w:hAnsi="宋体" w:eastAsia="仿宋" w:cs="宋体"/>
          <w:b/>
          <w:bCs/>
          <w:sz w:val="24"/>
          <w:szCs w:val="20"/>
        </w:rPr>
        <w:t>份），同时应提供电子版投标文件壹份（一</w:t>
      </w:r>
      <w:r>
        <w:rPr>
          <w:rFonts w:ascii="仿宋" w:hAnsi="宋体" w:eastAsia="仿宋" w:cs="宋体"/>
          <w:b/>
          <w:bCs/>
          <w:sz w:val="24"/>
          <w:szCs w:val="21"/>
        </w:rPr>
        <w:t>般应为 PDF 格式、U 盘形式（单独封装）、随纸质正本文件一并提交）。</w:t>
      </w:r>
      <w:r>
        <w:rPr>
          <w:rFonts w:ascii="仿宋" w:hAnsi="宋体" w:eastAsia="仿宋" w:cs="宋体"/>
          <w:sz w:val="24"/>
          <w:szCs w:val="21"/>
        </w:rPr>
        <w:t>当电子版文件和纸质正本文件不一致时，以纸质正本文件为准。每套投标文件须清楚标明“正本</w:t>
      </w:r>
      <w:r>
        <w:rPr>
          <w:rFonts w:hint="eastAsia" w:ascii="仿宋" w:hAnsi="宋体" w:eastAsia="仿宋" w:cs="宋体"/>
          <w:sz w:val="24"/>
          <w:szCs w:val="21"/>
        </w:rPr>
        <w:t>”“</w:t>
      </w:r>
      <w:r>
        <w:rPr>
          <w:rFonts w:ascii="仿宋" w:hAnsi="宋体" w:eastAsia="仿宋" w:cs="宋体"/>
          <w:sz w:val="24"/>
          <w:szCs w:val="21"/>
        </w:rPr>
        <w:t>副本”。如果它们之间内容有差异，以正本为准。</w:t>
      </w:r>
    </w:p>
    <w:p w14:paraId="39D5D7F1">
      <w:pPr>
        <w:spacing w:line="560" w:lineRule="exact"/>
        <w:ind w:firstLine="482"/>
        <w:rPr>
          <w:rFonts w:ascii="仿宋" w:eastAsia="仿宋"/>
          <w:sz w:val="24"/>
          <w:szCs w:val="20"/>
        </w:rPr>
      </w:pPr>
      <w:r>
        <w:rPr>
          <w:rFonts w:ascii="仿宋" w:hAnsi="宋体" w:eastAsia="仿宋" w:cs="宋体"/>
          <w:sz w:val="24"/>
          <w:szCs w:val="21"/>
        </w:rPr>
        <w:t>16.2 投标文件正本和所有副本均需打印或用不褪色墨水书写，并由供应商的法定代表人或授权代表签字并在招标文件中注明须加盖公章的地方加盖公章，如为授权代表签字的应附“法定代表人授权委托书”，正本必须为原件，但供应商的相关证明文件可采用复印件，采用复印件的，采购代理机构、评标委员会认为需要时，供应商应提供原件供核对。</w:t>
      </w:r>
    </w:p>
    <w:p w14:paraId="1BFB3ECA">
      <w:pPr>
        <w:spacing w:line="560" w:lineRule="exact"/>
        <w:ind w:firstLine="482"/>
        <w:rPr>
          <w:rFonts w:ascii="仿宋" w:eastAsia="仿宋"/>
          <w:sz w:val="24"/>
          <w:szCs w:val="20"/>
        </w:rPr>
      </w:pPr>
      <w:r>
        <w:rPr>
          <w:rFonts w:ascii="仿宋" w:hAnsi="宋体" w:eastAsia="仿宋" w:cs="宋体"/>
          <w:sz w:val="24"/>
          <w:szCs w:val="21"/>
        </w:rPr>
        <w:t>16.3 投标文件不应有涂改、增删之处，如必须修改时，修改处必须有供应商法定代表人或授权代表签字。</w:t>
      </w:r>
    </w:p>
    <w:p w14:paraId="44BCE9D7">
      <w:pPr>
        <w:spacing w:line="560" w:lineRule="exact"/>
        <w:ind w:firstLine="482"/>
        <w:rPr>
          <w:rFonts w:ascii="仿宋" w:eastAsia="仿宋"/>
          <w:sz w:val="24"/>
          <w:szCs w:val="20"/>
        </w:rPr>
      </w:pPr>
      <w:r>
        <w:rPr>
          <w:rFonts w:ascii="仿宋" w:hAnsi="宋体" w:eastAsia="仿宋" w:cs="宋体"/>
          <w:sz w:val="24"/>
          <w:szCs w:val="21"/>
        </w:rPr>
        <w:t>16.4 投标文件提倡按照 A4 幅面打印或复印并进行装订，如有资料超过 A4 幅面折叠成 A4 幅面；投标文件装订提倡采用胶装的形式。</w:t>
      </w:r>
    </w:p>
    <w:p w14:paraId="313EAB54">
      <w:pPr>
        <w:spacing w:line="560" w:lineRule="exact"/>
        <w:ind w:firstLine="482"/>
        <w:rPr>
          <w:rFonts w:ascii="仿宋" w:eastAsia="仿宋"/>
          <w:sz w:val="24"/>
          <w:szCs w:val="20"/>
        </w:rPr>
      </w:pPr>
      <w:r>
        <w:rPr>
          <w:rFonts w:ascii="仿宋" w:hAnsi="宋体" w:eastAsia="仿宋" w:cs="宋体"/>
          <w:w w:val="99"/>
          <w:sz w:val="24"/>
          <w:szCs w:val="21"/>
        </w:rPr>
        <w:t>16.5 供应商应当在招标文件要求提交投标文件的截止时间前，将投标文件密封送达投标地点。</w:t>
      </w:r>
    </w:p>
    <w:p w14:paraId="22C44986">
      <w:pPr>
        <w:spacing w:line="560" w:lineRule="exact"/>
        <w:ind w:firstLine="482"/>
        <w:rPr>
          <w:rFonts w:ascii="仿宋" w:eastAsia="仿宋"/>
          <w:sz w:val="24"/>
          <w:szCs w:val="20"/>
        </w:rPr>
      </w:pPr>
      <w:r>
        <w:rPr>
          <w:rFonts w:ascii="仿宋" w:hAnsi="宋体" w:eastAsia="仿宋" w:cs="宋体"/>
          <w:sz w:val="24"/>
          <w:szCs w:val="21"/>
        </w:rPr>
        <w:t>任何单位和个人不得在开标前开启投标文件。</w:t>
      </w:r>
    </w:p>
    <w:p w14:paraId="6EA223A5">
      <w:pPr>
        <w:spacing w:before="200" w:after="100"/>
        <w:outlineLvl w:val="2"/>
        <w:rPr>
          <w:rFonts w:ascii="仿宋" w:eastAsia="仿宋"/>
          <w:sz w:val="28"/>
          <w:szCs w:val="20"/>
        </w:rPr>
      </w:pPr>
      <w:r>
        <w:rPr>
          <w:rFonts w:ascii="仿宋" w:hAnsi="宋体" w:eastAsia="仿宋" w:cs="宋体"/>
          <w:bCs/>
          <w:sz w:val="28"/>
          <w:szCs w:val="21"/>
        </w:rPr>
        <w:t>17、有下列情形的投标文件将被拒收：</w:t>
      </w:r>
    </w:p>
    <w:p w14:paraId="22A83C10">
      <w:pPr>
        <w:spacing w:line="560" w:lineRule="exact"/>
        <w:ind w:firstLine="482"/>
        <w:rPr>
          <w:rFonts w:ascii="仿宋" w:eastAsia="仿宋"/>
          <w:sz w:val="24"/>
          <w:szCs w:val="20"/>
        </w:rPr>
      </w:pPr>
      <w:r>
        <w:rPr>
          <w:rFonts w:ascii="仿宋" w:hAnsi="宋体" w:eastAsia="仿宋" w:cs="宋体"/>
          <w:sz w:val="24"/>
          <w:szCs w:val="21"/>
        </w:rPr>
        <w:t>17.1 逾期送达的；</w:t>
      </w:r>
    </w:p>
    <w:p w14:paraId="6E153630">
      <w:pPr>
        <w:spacing w:line="560" w:lineRule="exact"/>
        <w:ind w:firstLine="482"/>
        <w:rPr>
          <w:rFonts w:ascii="仿宋" w:eastAsia="仿宋"/>
          <w:sz w:val="24"/>
          <w:szCs w:val="20"/>
        </w:rPr>
      </w:pPr>
      <w:r>
        <w:rPr>
          <w:rFonts w:ascii="仿宋" w:hAnsi="宋体" w:eastAsia="仿宋" w:cs="宋体"/>
          <w:sz w:val="24"/>
          <w:szCs w:val="21"/>
        </w:rPr>
        <w:t>17.2 未按照招标文件要求密封的。</w:t>
      </w:r>
    </w:p>
    <w:p w14:paraId="2401B0D6">
      <w:pPr>
        <w:spacing w:before="200" w:after="100"/>
        <w:outlineLvl w:val="2"/>
        <w:rPr>
          <w:rFonts w:ascii="仿宋" w:eastAsia="仿宋"/>
          <w:sz w:val="28"/>
          <w:szCs w:val="20"/>
        </w:rPr>
      </w:pPr>
      <w:r>
        <w:rPr>
          <w:rFonts w:ascii="仿宋" w:hAnsi="宋体" w:eastAsia="仿宋" w:cs="宋体"/>
          <w:bCs/>
          <w:sz w:val="28"/>
          <w:szCs w:val="21"/>
        </w:rPr>
        <w:t>18、投标文件的修改和撤回</w:t>
      </w:r>
    </w:p>
    <w:p w14:paraId="3B37E1EC">
      <w:pPr>
        <w:spacing w:line="560" w:lineRule="exact"/>
        <w:ind w:firstLine="482"/>
        <w:rPr>
          <w:rFonts w:ascii="仿宋" w:eastAsia="仿宋"/>
          <w:sz w:val="24"/>
          <w:szCs w:val="20"/>
        </w:rPr>
      </w:pPr>
      <w:r>
        <w:rPr>
          <w:rFonts w:ascii="仿宋" w:hAnsi="宋体" w:eastAsia="仿宋" w:cs="宋体"/>
          <w:sz w:val="24"/>
          <w:szCs w:val="21"/>
        </w:rPr>
        <w:t>18.1 供应商在投标截止时间前，可以对所递交的投标文件进行补充、修改或者撤回，并书面通知采购人或者采购代理机构。补充、修改的内容应当按照招标文件要求签署、盖章、密封后，作为投标文件的组成部分。</w:t>
      </w:r>
    </w:p>
    <w:p w14:paraId="5C006E7A">
      <w:pPr>
        <w:spacing w:line="560" w:lineRule="exact"/>
        <w:ind w:firstLine="482"/>
        <w:rPr>
          <w:rFonts w:ascii="仿宋" w:eastAsia="仿宋"/>
          <w:sz w:val="24"/>
          <w:szCs w:val="20"/>
        </w:rPr>
      </w:pPr>
      <w:r>
        <w:rPr>
          <w:rFonts w:ascii="仿宋" w:hAnsi="宋体" w:eastAsia="仿宋" w:cs="宋体"/>
          <w:sz w:val="24"/>
          <w:szCs w:val="21"/>
        </w:rPr>
        <w:t>18.2 投标截止时间之后，投标文件不得撤回；如撤回，投标保证金（如有）不予退还。</w:t>
      </w:r>
    </w:p>
    <w:p w14:paraId="68371AC0">
      <w:pPr>
        <w:spacing w:before="200" w:after="100"/>
        <w:outlineLvl w:val="2"/>
        <w:rPr>
          <w:rFonts w:ascii="仿宋" w:eastAsia="仿宋"/>
          <w:sz w:val="28"/>
          <w:szCs w:val="20"/>
        </w:rPr>
      </w:pPr>
      <w:bookmarkStart w:id="12" w:name="page14"/>
      <w:bookmarkEnd w:id="12"/>
      <w:r>
        <w:rPr>
          <w:rFonts w:ascii="仿宋" w:hAnsi="宋体" w:eastAsia="仿宋" w:cs="宋体"/>
          <w:bCs/>
          <w:sz w:val="28"/>
          <w:szCs w:val="20"/>
        </w:rPr>
        <w:t>19、诚实信用</w:t>
      </w:r>
    </w:p>
    <w:p w14:paraId="13A31CFA">
      <w:pPr>
        <w:spacing w:line="560" w:lineRule="exact"/>
        <w:ind w:firstLine="482"/>
        <w:rPr>
          <w:rFonts w:ascii="仿宋" w:eastAsia="仿宋"/>
          <w:sz w:val="24"/>
          <w:szCs w:val="20"/>
        </w:rPr>
      </w:pPr>
      <w:r>
        <w:rPr>
          <w:rFonts w:ascii="仿宋" w:hAnsi="宋体" w:eastAsia="仿宋" w:cs="宋体"/>
          <w:sz w:val="24"/>
          <w:szCs w:val="20"/>
        </w:rPr>
        <w:t>19.1 供应商应当遵循公平竞争的原则，不得恶意串通，不得妨碍其他供应商的竞争行为，不得</w:t>
      </w:r>
      <w:r>
        <w:rPr>
          <w:rFonts w:ascii="仿宋" w:hAnsi="宋体" w:eastAsia="仿宋" w:cs="宋体"/>
          <w:sz w:val="24"/>
          <w:szCs w:val="21"/>
        </w:rPr>
        <w:t>损害采购人或者其他供应商的合法权益。</w:t>
      </w:r>
    </w:p>
    <w:p w14:paraId="5D447D36">
      <w:pPr>
        <w:spacing w:line="560" w:lineRule="exact"/>
        <w:ind w:firstLine="482"/>
        <w:rPr>
          <w:rFonts w:ascii="仿宋" w:eastAsia="仿宋"/>
          <w:sz w:val="24"/>
          <w:szCs w:val="20"/>
        </w:rPr>
      </w:pPr>
      <w:r>
        <w:rPr>
          <w:rFonts w:ascii="仿宋" w:hAnsi="宋体" w:eastAsia="仿宋" w:cs="宋体"/>
          <w:sz w:val="24"/>
          <w:szCs w:val="20"/>
        </w:rPr>
        <w:t>19.2 在评标过程中发现供应商有上述情形的，评标委员会应当认定其投标无效，并书面报告本</w:t>
      </w:r>
      <w:r>
        <w:rPr>
          <w:rFonts w:ascii="仿宋" w:hAnsi="宋体" w:eastAsia="仿宋" w:cs="宋体"/>
          <w:sz w:val="24"/>
          <w:szCs w:val="21"/>
        </w:rPr>
        <w:t>级财政部门。</w:t>
      </w:r>
    </w:p>
    <w:p w14:paraId="697BD194">
      <w:pPr>
        <w:spacing w:before="200" w:after="100"/>
        <w:outlineLvl w:val="1"/>
        <w:rPr>
          <w:rFonts w:ascii="楷体" w:eastAsia="楷体"/>
          <w:sz w:val="32"/>
          <w:szCs w:val="20"/>
        </w:rPr>
      </w:pPr>
      <w:r>
        <w:rPr>
          <w:rFonts w:ascii="楷体" w:hAnsi="宋体" w:eastAsia="楷体" w:cs="宋体"/>
          <w:bCs/>
          <w:sz w:val="32"/>
          <w:szCs w:val="21"/>
        </w:rPr>
        <w:t>五、开标、评标与定标</w:t>
      </w:r>
    </w:p>
    <w:p w14:paraId="6E41E94A">
      <w:pPr>
        <w:spacing w:before="200" w:after="100"/>
        <w:outlineLvl w:val="2"/>
        <w:rPr>
          <w:rFonts w:ascii="仿宋" w:eastAsia="仿宋"/>
          <w:sz w:val="28"/>
          <w:szCs w:val="20"/>
        </w:rPr>
      </w:pPr>
      <w:r>
        <w:rPr>
          <w:rFonts w:ascii="仿宋" w:hAnsi="宋体" w:eastAsia="仿宋" w:cs="宋体"/>
          <w:bCs/>
          <w:sz w:val="28"/>
          <w:szCs w:val="21"/>
        </w:rPr>
        <w:t>20、开标</w:t>
      </w:r>
    </w:p>
    <w:p w14:paraId="721E2A59">
      <w:pPr>
        <w:spacing w:line="560" w:lineRule="exact"/>
        <w:ind w:firstLine="482"/>
        <w:rPr>
          <w:rFonts w:ascii="仿宋" w:eastAsia="仿宋"/>
          <w:sz w:val="24"/>
          <w:szCs w:val="20"/>
        </w:rPr>
      </w:pPr>
      <w:r>
        <w:rPr>
          <w:rFonts w:ascii="仿宋" w:hAnsi="宋体" w:eastAsia="仿宋" w:cs="宋体"/>
          <w:sz w:val="24"/>
          <w:szCs w:val="21"/>
        </w:rPr>
        <w:t>20.1 采购代理机构将在招标文件确定的时间和地点进行公开开标。供应商应委派代表准时参加，参加开标的代表须签名报到以证明其出席。</w:t>
      </w:r>
    </w:p>
    <w:p w14:paraId="3DE92BAF">
      <w:pPr>
        <w:spacing w:line="560" w:lineRule="exact"/>
        <w:ind w:firstLine="482"/>
        <w:rPr>
          <w:rFonts w:ascii="仿宋" w:eastAsia="仿宋"/>
          <w:sz w:val="24"/>
          <w:szCs w:val="20"/>
        </w:rPr>
      </w:pPr>
      <w:r>
        <w:rPr>
          <w:rFonts w:ascii="仿宋" w:hAnsi="宋体" w:eastAsia="仿宋" w:cs="宋体"/>
          <w:sz w:val="24"/>
          <w:szCs w:val="21"/>
        </w:rPr>
        <w:t>20.2 开标时，应当由供应商或者其推选的代表检查投标文件的密封情况；经确认无误后，由采购人或者采购代理机构工作人员当众拆封，宣布供应商名称、投标价格和招标文件规定的需要宣布的其他内容。</w:t>
      </w:r>
    </w:p>
    <w:p w14:paraId="3B712E9F">
      <w:pPr>
        <w:spacing w:line="560" w:lineRule="exact"/>
        <w:ind w:firstLine="482"/>
        <w:rPr>
          <w:rFonts w:ascii="仿宋" w:eastAsia="仿宋"/>
          <w:sz w:val="24"/>
          <w:szCs w:val="20"/>
        </w:rPr>
      </w:pPr>
      <w:r>
        <w:rPr>
          <w:rFonts w:ascii="仿宋" w:hAnsi="宋体" w:eastAsia="仿宋" w:cs="宋体"/>
          <w:sz w:val="24"/>
          <w:szCs w:val="21"/>
        </w:rPr>
        <w:t>20.3 供应商不足 3 家的，不得开标。</w:t>
      </w:r>
    </w:p>
    <w:p w14:paraId="018A6340">
      <w:pPr>
        <w:spacing w:line="560" w:lineRule="exact"/>
        <w:ind w:firstLine="482"/>
        <w:rPr>
          <w:rFonts w:ascii="仿宋" w:eastAsia="仿宋"/>
          <w:sz w:val="24"/>
          <w:szCs w:val="20"/>
        </w:rPr>
      </w:pPr>
      <w:r>
        <w:rPr>
          <w:rFonts w:ascii="仿宋" w:hAnsi="宋体" w:eastAsia="仿宋" w:cs="宋体"/>
          <w:sz w:val="24"/>
          <w:szCs w:val="21"/>
        </w:rPr>
        <w:t>20.4 开标过程由采购代理机构负责记录，由参加开标的各供应商代表和相关工作人员签字确认后随招标文件一并存档。</w:t>
      </w:r>
    </w:p>
    <w:p w14:paraId="109C60DA">
      <w:pPr>
        <w:spacing w:line="560" w:lineRule="exact"/>
        <w:ind w:firstLine="482"/>
        <w:rPr>
          <w:rFonts w:ascii="仿宋" w:eastAsia="仿宋"/>
          <w:sz w:val="24"/>
          <w:szCs w:val="20"/>
        </w:rPr>
      </w:pPr>
      <w:r>
        <w:rPr>
          <w:rFonts w:ascii="仿宋" w:hAnsi="宋体" w:eastAsia="仿宋" w:cs="宋体"/>
          <w:sz w:val="24"/>
          <w:szCs w:val="21"/>
        </w:rPr>
        <w:t>供应商代表对开标过程和开标记录有疑义，以及认为采购人、采购代理机构相关工作人员有需要回避的情形的，应当场提出询问或者回避申请。采购人、采购代理机构对供应商代表提出的询问或者回避申请及时处理。</w:t>
      </w:r>
    </w:p>
    <w:p w14:paraId="07C02DE6">
      <w:pPr>
        <w:spacing w:line="560" w:lineRule="exact"/>
        <w:ind w:firstLine="482"/>
        <w:rPr>
          <w:rFonts w:ascii="仿宋" w:eastAsia="仿宋"/>
          <w:sz w:val="24"/>
          <w:szCs w:val="20"/>
        </w:rPr>
      </w:pPr>
      <w:r>
        <w:rPr>
          <w:rFonts w:ascii="仿宋" w:hAnsi="宋体" w:eastAsia="仿宋" w:cs="宋体"/>
          <w:sz w:val="24"/>
          <w:szCs w:val="21"/>
        </w:rPr>
        <w:t>20.5 供应商未参加开标的，视同认可开标结果。</w:t>
      </w:r>
    </w:p>
    <w:p w14:paraId="41734D49">
      <w:pPr>
        <w:spacing w:line="560" w:lineRule="exact"/>
        <w:ind w:firstLine="482"/>
        <w:rPr>
          <w:rFonts w:ascii="仿宋" w:eastAsia="仿宋"/>
          <w:sz w:val="24"/>
          <w:szCs w:val="20"/>
        </w:rPr>
      </w:pPr>
      <w:r>
        <w:rPr>
          <w:rFonts w:ascii="仿宋" w:hAnsi="宋体" w:eastAsia="仿宋" w:cs="宋体"/>
          <w:sz w:val="24"/>
          <w:szCs w:val="21"/>
        </w:rPr>
        <w:t>20.6 公开招标数额标准以上的采购项目，投标截止后供应商不足 3 家或者通过资格审查或符合性审查的供应商不足 3 家的，除采购任务取消情形外，按照以下方式处理：</w:t>
      </w:r>
    </w:p>
    <w:p w14:paraId="585378A8">
      <w:pPr>
        <w:spacing w:line="560" w:lineRule="exact"/>
        <w:ind w:firstLine="482"/>
        <w:rPr>
          <w:rFonts w:ascii="仿宋" w:eastAsia="仿宋"/>
          <w:sz w:val="24"/>
          <w:szCs w:val="20"/>
        </w:rPr>
      </w:pPr>
      <w:r>
        <w:rPr>
          <w:rFonts w:ascii="仿宋" w:hAnsi="宋体" w:eastAsia="仿宋" w:cs="宋体"/>
          <w:sz w:val="24"/>
          <w:szCs w:val="21"/>
        </w:rPr>
        <w:t>（1）招标文件存在不合理条款或者采购程序不符合规定的，采购人、采购代理机构改正后依法重新采购；</w:t>
      </w:r>
    </w:p>
    <w:p w14:paraId="3ADB61CF">
      <w:pPr>
        <w:spacing w:line="560" w:lineRule="exact"/>
        <w:ind w:firstLine="482"/>
        <w:rPr>
          <w:rFonts w:ascii="仿宋" w:eastAsia="仿宋"/>
          <w:sz w:val="24"/>
          <w:szCs w:val="20"/>
        </w:rPr>
      </w:pPr>
      <w:r>
        <w:rPr>
          <w:rFonts w:ascii="仿宋" w:hAnsi="宋体" w:eastAsia="仿宋" w:cs="宋体"/>
          <w:sz w:val="24"/>
          <w:szCs w:val="21"/>
        </w:rPr>
        <w:t>（2）招标文件没有不合理条款、采购程序符合规定，需要采用其他采购方式采购的，采购人依法报财政部门批准，经批准后，可变更为其他采购方式采购。本次招标文件中对供应商资格条件要求、技术要求和商务等要求，将作为其他采购方式采购的基本要求和谈判依据。</w:t>
      </w:r>
    </w:p>
    <w:p w14:paraId="3B4302BE">
      <w:pPr>
        <w:spacing w:before="200" w:after="100"/>
        <w:outlineLvl w:val="2"/>
        <w:rPr>
          <w:rFonts w:ascii="仿宋" w:eastAsia="仿宋"/>
          <w:sz w:val="28"/>
          <w:szCs w:val="20"/>
        </w:rPr>
      </w:pPr>
      <w:r>
        <w:rPr>
          <w:rFonts w:ascii="仿宋" w:hAnsi="宋体" w:eastAsia="仿宋" w:cs="宋体"/>
          <w:bCs/>
          <w:sz w:val="28"/>
          <w:szCs w:val="21"/>
        </w:rPr>
        <w:t>21、评标</w:t>
      </w:r>
    </w:p>
    <w:p w14:paraId="75524493">
      <w:pPr>
        <w:spacing w:line="560" w:lineRule="exact"/>
        <w:ind w:firstLine="482"/>
        <w:rPr>
          <w:rFonts w:ascii="仿宋" w:eastAsia="仿宋"/>
          <w:sz w:val="24"/>
          <w:szCs w:val="20"/>
        </w:rPr>
      </w:pPr>
      <w:bookmarkStart w:id="13" w:name="page15"/>
      <w:bookmarkEnd w:id="13"/>
      <w:r>
        <w:rPr>
          <w:rFonts w:ascii="仿宋" w:hAnsi="宋体" w:eastAsia="仿宋" w:cs="宋体"/>
          <w:b/>
          <w:bCs/>
          <w:sz w:val="24"/>
          <w:szCs w:val="21"/>
        </w:rPr>
        <w:t>21.1 评标委员会</w:t>
      </w:r>
    </w:p>
    <w:p w14:paraId="0E8CC2E8">
      <w:pPr>
        <w:spacing w:line="560" w:lineRule="exact"/>
        <w:ind w:firstLine="482"/>
        <w:rPr>
          <w:rFonts w:ascii="仿宋" w:eastAsia="仿宋"/>
          <w:sz w:val="24"/>
          <w:szCs w:val="20"/>
        </w:rPr>
      </w:pPr>
      <w:r>
        <w:rPr>
          <w:rFonts w:ascii="仿宋" w:hAnsi="宋体" w:eastAsia="仿宋" w:cs="宋体"/>
          <w:b/>
          <w:bCs/>
          <w:sz w:val="24"/>
          <w:szCs w:val="21"/>
        </w:rPr>
        <w:t xml:space="preserve">21.1.1 </w:t>
      </w:r>
      <w:r>
        <w:rPr>
          <w:rFonts w:ascii="仿宋" w:hAnsi="宋体" w:eastAsia="仿宋" w:cs="宋体"/>
          <w:sz w:val="24"/>
          <w:szCs w:val="21"/>
        </w:rPr>
        <w:t>评标委员会负责具体评标事务，并独立履行下列职责：</w:t>
      </w:r>
    </w:p>
    <w:p w14:paraId="3762DBA2">
      <w:pPr>
        <w:spacing w:line="560" w:lineRule="exact"/>
        <w:ind w:firstLine="482"/>
        <w:rPr>
          <w:rFonts w:ascii="仿宋" w:eastAsia="仿宋"/>
          <w:sz w:val="24"/>
          <w:szCs w:val="20"/>
        </w:rPr>
      </w:pPr>
      <w:r>
        <w:rPr>
          <w:rFonts w:ascii="仿宋" w:hAnsi="宋体" w:eastAsia="仿宋" w:cs="宋体"/>
          <w:sz w:val="24"/>
          <w:szCs w:val="21"/>
        </w:rPr>
        <w:t>（1）审查、评价投标文件是否符合招标文件的商务、技术等实质性要求；</w:t>
      </w:r>
    </w:p>
    <w:p w14:paraId="7E88BEBD">
      <w:pPr>
        <w:spacing w:line="560" w:lineRule="exact"/>
        <w:ind w:firstLine="482"/>
        <w:rPr>
          <w:rFonts w:ascii="仿宋" w:eastAsia="仿宋"/>
          <w:sz w:val="24"/>
          <w:szCs w:val="20"/>
        </w:rPr>
      </w:pPr>
      <w:r>
        <w:rPr>
          <w:rFonts w:ascii="仿宋" w:hAnsi="宋体" w:eastAsia="仿宋" w:cs="宋体"/>
          <w:sz w:val="24"/>
          <w:szCs w:val="21"/>
        </w:rPr>
        <w:t>（2）要求供应商对投标文件有关事项作出澄清或者说明；</w:t>
      </w:r>
    </w:p>
    <w:p w14:paraId="367E81AC">
      <w:pPr>
        <w:spacing w:line="560" w:lineRule="exact"/>
        <w:ind w:firstLine="482"/>
        <w:rPr>
          <w:rFonts w:ascii="仿宋" w:eastAsia="仿宋"/>
          <w:sz w:val="24"/>
          <w:szCs w:val="20"/>
        </w:rPr>
      </w:pPr>
      <w:r>
        <w:rPr>
          <w:rFonts w:ascii="仿宋" w:hAnsi="宋体" w:eastAsia="仿宋" w:cs="宋体"/>
          <w:sz w:val="24"/>
          <w:szCs w:val="21"/>
        </w:rPr>
        <w:t>（3）对投标文件进行比较和评价；</w:t>
      </w:r>
    </w:p>
    <w:p w14:paraId="2EDBEC69">
      <w:pPr>
        <w:spacing w:line="560" w:lineRule="exact"/>
        <w:ind w:firstLine="482"/>
        <w:rPr>
          <w:rFonts w:ascii="仿宋" w:eastAsia="仿宋"/>
          <w:sz w:val="24"/>
          <w:szCs w:val="20"/>
        </w:rPr>
      </w:pPr>
      <w:r>
        <w:rPr>
          <w:rFonts w:ascii="仿宋" w:hAnsi="宋体" w:eastAsia="仿宋" w:cs="宋体"/>
          <w:sz w:val="24"/>
          <w:szCs w:val="21"/>
        </w:rPr>
        <w:t>（4）确定中标候选人名单，以及根据采购人委托直接确定中标人；</w:t>
      </w:r>
    </w:p>
    <w:p w14:paraId="7F852097">
      <w:pPr>
        <w:spacing w:line="560" w:lineRule="exact"/>
        <w:ind w:firstLine="482"/>
        <w:rPr>
          <w:rFonts w:ascii="仿宋" w:eastAsia="仿宋"/>
          <w:sz w:val="24"/>
          <w:szCs w:val="20"/>
        </w:rPr>
      </w:pPr>
      <w:r>
        <w:rPr>
          <w:rFonts w:ascii="仿宋" w:hAnsi="宋体" w:eastAsia="仿宋" w:cs="宋体"/>
          <w:sz w:val="24"/>
          <w:szCs w:val="21"/>
        </w:rPr>
        <w:t>（5）向采购人、采购代理机构或者有关部门报告评标中发现的违法行为。</w:t>
      </w:r>
    </w:p>
    <w:p w14:paraId="6CD34B7A">
      <w:pPr>
        <w:spacing w:line="560" w:lineRule="exact"/>
        <w:ind w:firstLine="482"/>
        <w:rPr>
          <w:rFonts w:ascii="仿宋" w:eastAsia="仿宋"/>
          <w:sz w:val="24"/>
          <w:szCs w:val="20"/>
        </w:rPr>
      </w:pPr>
      <w:r>
        <w:rPr>
          <w:rFonts w:ascii="仿宋" w:hAnsi="宋体" w:eastAsia="仿宋" w:cs="宋体"/>
          <w:b/>
          <w:bCs/>
          <w:w w:val="99"/>
          <w:sz w:val="24"/>
          <w:szCs w:val="21"/>
        </w:rPr>
        <w:t xml:space="preserve">21.1.2 </w:t>
      </w:r>
      <w:r>
        <w:rPr>
          <w:rFonts w:ascii="仿宋" w:hAnsi="宋体" w:eastAsia="仿宋" w:cs="宋体"/>
          <w:w w:val="99"/>
          <w:sz w:val="24"/>
          <w:szCs w:val="21"/>
        </w:rPr>
        <w:t>评标委员会由采购人代表和有关技术、经济等方面的专家组成，独立开展评审工作。</w:t>
      </w:r>
    </w:p>
    <w:p w14:paraId="318DD195">
      <w:pPr>
        <w:tabs>
          <w:tab w:val="left" w:pos="1040"/>
        </w:tabs>
        <w:spacing w:line="560" w:lineRule="exact"/>
        <w:ind w:firstLine="482"/>
        <w:rPr>
          <w:rFonts w:ascii="仿宋" w:eastAsia="仿宋"/>
          <w:sz w:val="24"/>
          <w:szCs w:val="20"/>
        </w:rPr>
      </w:pPr>
      <w:r>
        <w:rPr>
          <w:rFonts w:ascii="仿宋" w:hAnsi="宋体" w:eastAsia="仿宋" w:cs="宋体"/>
          <w:b/>
          <w:bCs/>
          <w:sz w:val="24"/>
          <w:szCs w:val="21"/>
        </w:rPr>
        <w:t>21.2</w:t>
      </w:r>
      <w:r>
        <w:rPr>
          <w:rFonts w:ascii="仿宋" w:eastAsia="仿宋"/>
          <w:sz w:val="24"/>
          <w:szCs w:val="20"/>
        </w:rPr>
        <w:tab/>
      </w:r>
      <w:r>
        <w:rPr>
          <w:rFonts w:ascii="仿宋" w:hAnsi="宋体" w:eastAsia="仿宋" w:cs="宋体"/>
          <w:b/>
          <w:bCs/>
          <w:sz w:val="24"/>
          <w:szCs w:val="20"/>
        </w:rPr>
        <w:t>评标程序</w:t>
      </w:r>
    </w:p>
    <w:p w14:paraId="3C147C75">
      <w:pPr>
        <w:spacing w:line="560" w:lineRule="exact"/>
        <w:ind w:firstLine="482"/>
        <w:rPr>
          <w:rFonts w:ascii="仿宋" w:eastAsia="仿宋"/>
          <w:sz w:val="24"/>
          <w:szCs w:val="20"/>
        </w:rPr>
      </w:pPr>
      <w:r>
        <w:rPr>
          <w:rFonts w:ascii="仿宋" w:hAnsi="宋体" w:eastAsia="仿宋" w:cs="宋体"/>
          <w:b/>
          <w:bCs/>
          <w:sz w:val="24"/>
          <w:szCs w:val="21"/>
        </w:rPr>
        <w:t>21.2.1 投标文件的资格审查</w:t>
      </w:r>
    </w:p>
    <w:p w14:paraId="71C52A4B">
      <w:pPr>
        <w:spacing w:line="560" w:lineRule="exact"/>
        <w:ind w:firstLine="482"/>
        <w:rPr>
          <w:rFonts w:ascii="仿宋" w:eastAsia="仿宋"/>
          <w:sz w:val="24"/>
          <w:szCs w:val="20"/>
        </w:rPr>
      </w:pPr>
      <w:r>
        <w:rPr>
          <w:rFonts w:ascii="仿宋" w:hAnsi="宋体" w:eastAsia="仿宋" w:cs="宋体"/>
          <w:sz w:val="24"/>
          <w:szCs w:val="21"/>
        </w:rPr>
        <w:t>21.2.1.1 采购人或代理机构将依法对供应商的资格进行审查。</w:t>
      </w:r>
    </w:p>
    <w:p w14:paraId="4B678C45">
      <w:pPr>
        <w:spacing w:line="560" w:lineRule="exact"/>
        <w:ind w:firstLine="482"/>
        <w:rPr>
          <w:rFonts w:ascii="仿宋" w:eastAsia="仿宋"/>
          <w:sz w:val="24"/>
          <w:szCs w:val="20"/>
        </w:rPr>
      </w:pPr>
      <w:r>
        <w:rPr>
          <w:rFonts w:ascii="仿宋" w:hAnsi="宋体" w:eastAsia="仿宋" w:cs="宋体"/>
          <w:sz w:val="24"/>
          <w:szCs w:val="21"/>
        </w:rPr>
        <w:t>21.2.1.2 资格性审查：依据法律法规和招标文件的规定，对投标文件中的资格证明文件、《南京市政度采购供应商信用记录表》等进行审查，以确定投标供应商是否具备投标资格。</w:t>
      </w:r>
    </w:p>
    <w:p w14:paraId="4F133385">
      <w:pPr>
        <w:spacing w:line="560" w:lineRule="exact"/>
        <w:ind w:firstLine="482"/>
        <w:rPr>
          <w:rFonts w:ascii="仿宋" w:eastAsia="仿宋"/>
          <w:sz w:val="24"/>
          <w:szCs w:val="20"/>
        </w:rPr>
      </w:pPr>
      <w:r>
        <w:rPr>
          <w:rFonts w:ascii="仿宋" w:hAnsi="宋体" w:eastAsia="仿宋" w:cs="宋体"/>
          <w:sz w:val="24"/>
          <w:szCs w:val="20"/>
        </w:rPr>
        <w:t>21.2.1.3 在进行资格审查的同时，将在“信用中国”网站（www.crditchina.gov.cn）、“中</w:t>
      </w:r>
      <w:r>
        <w:rPr>
          <w:rFonts w:ascii="仿宋" w:hAnsi="宋体" w:eastAsia="仿宋" w:cs="宋体"/>
          <w:sz w:val="24"/>
          <w:szCs w:val="21"/>
        </w:rPr>
        <w:t>国政府采购网”（www.ccgp.gov.cn）对供应商是否被列入失信被执行人、重大税收违法案件当事人名单、政府采购严重违法失信行为记录名单的情况进行查询，以确定投标供应商是否具备投标资格。</w:t>
      </w:r>
    </w:p>
    <w:p w14:paraId="4B3CA779">
      <w:pPr>
        <w:spacing w:line="560" w:lineRule="exact"/>
        <w:ind w:firstLine="482"/>
        <w:rPr>
          <w:rFonts w:ascii="仿宋" w:eastAsia="仿宋"/>
          <w:sz w:val="24"/>
          <w:szCs w:val="20"/>
        </w:rPr>
      </w:pPr>
      <w:r>
        <w:rPr>
          <w:rFonts w:ascii="仿宋" w:hAnsi="宋体" w:eastAsia="仿宋" w:cs="宋体"/>
          <w:b/>
          <w:bCs/>
          <w:sz w:val="24"/>
          <w:szCs w:val="21"/>
        </w:rPr>
        <w:t>21.2.1.4 投标文件有下列情况之一的，在资格性审查时按照无效投标处理：</w:t>
      </w:r>
    </w:p>
    <w:p w14:paraId="147997CA">
      <w:pPr>
        <w:spacing w:line="560" w:lineRule="exact"/>
        <w:ind w:firstLine="482"/>
        <w:rPr>
          <w:rFonts w:ascii="仿宋" w:eastAsia="仿宋"/>
          <w:sz w:val="24"/>
          <w:szCs w:val="20"/>
        </w:rPr>
      </w:pPr>
      <w:r>
        <w:rPr>
          <w:rFonts w:ascii="仿宋" w:hAnsi="宋体" w:eastAsia="仿宋" w:cs="宋体"/>
          <w:sz w:val="24"/>
          <w:szCs w:val="21"/>
        </w:rPr>
        <w:t>（1）不具备招标文件中规定资格条件的；</w:t>
      </w:r>
    </w:p>
    <w:p w14:paraId="24065BC5">
      <w:pPr>
        <w:spacing w:line="560" w:lineRule="exact"/>
        <w:ind w:firstLine="482"/>
        <w:rPr>
          <w:rFonts w:ascii="仿宋" w:eastAsia="仿宋"/>
          <w:sz w:val="24"/>
          <w:szCs w:val="20"/>
        </w:rPr>
      </w:pPr>
      <w:r>
        <w:rPr>
          <w:rFonts w:ascii="仿宋" w:hAnsi="宋体" w:eastAsia="仿宋" w:cs="宋体"/>
          <w:sz w:val="24"/>
          <w:szCs w:val="21"/>
        </w:rPr>
        <w:t>（2）供应商被“信用中国”网站（www.crditchina.gov.cn）、“中国政府采购网”（www.ccgp.gov.cn）列入失信被执行人、重大税收违法案件当事人名单、政府采购严重违法失信行为记录名单的。接收联合体的项目，两个以上的自然人、法人或者其他组织组成的一个联合体，以一个供应商的身份共同参加政府采购活动的，联合体成员存在不良信用记录的，视同联合体存在不良应用记录。</w:t>
      </w:r>
    </w:p>
    <w:p w14:paraId="3C64BBAE">
      <w:pPr>
        <w:spacing w:line="560" w:lineRule="exact"/>
        <w:ind w:firstLine="482"/>
        <w:rPr>
          <w:rFonts w:ascii="仿宋" w:eastAsia="仿宋"/>
          <w:sz w:val="24"/>
          <w:szCs w:val="20"/>
        </w:rPr>
      </w:pPr>
      <w:r>
        <w:rPr>
          <w:rFonts w:ascii="仿宋" w:hAnsi="宋体" w:eastAsia="仿宋" w:cs="宋体"/>
          <w:sz w:val="24"/>
          <w:szCs w:val="21"/>
        </w:rPr>
        <w:t>（3）未提供《南京市政府采购供应商信用记录表》。</w:t>
      </w:r>
    </w:p>
    <w:p w14:paraId="2BDA93E2">
      <w:pPr>
        <w:spacing w:line="560" w:lineRule="exact"/>
        <w:ind w:firstLine="482"/>
        <w:rPr>
          <w:rFonts w:ascii="仿宋" w:eastAsia="仿宋"/>
          <w:sz w:val="24"/>
          <w:szCs w:val="20"/>
        </w:rPr>
      </w:pPr>
      <w:r>
        <w:rPr>
          <w:rFonts w:ascii="仿宋" w:hAnsi="宋体" w:eastAsia="仿宋" w:cs="宋体"/>
          <w:sz w:val="24"/>
          <w:szCs w:val="21"/>
        </w:rPr>
        <w:t>21.2.2 投标文件的符合性检查</w:t>
      </w:r>
    </w:p>
    <w:p w14:paraId="56D78F39">
      <w:pPr>
        <w:spacing w:line="560" w:lineRule="exact"/>
        <w:ind w:firstLine="482"/>
        <w:rPr>
          <w:rFonts w:ascii="仿宋" w:eastAsia="仿宋"/>
          <w:sz w:val="24"/>
          <w:szCs w:val="20"/>
        </w:rPr>
      </w:pPr>
      <w:r>
        <w:rPr>
          <w:rFonts w:ascii="仿宋" w:hAnsi="宋体" w:eastAsia="仿宋" w:cs="宋体"/>
          <w:sz w:val="24"/>
          <w:szCs w:val="21"/>
        </w:rPr>
        <w:t>评标委员会将依据法律法规和招标文件的规定，对投标文件的有效性完整性和对招标文件的响应程度进行审查，以确定是否对招标文件的实质性要求作出响应。</w:t>
      </w:r>
    </w:p>
    <w:p w14:paraId="390FB7D2">
      <w:pPr>
        <w:spacing w:line="560" w:lineRule="exact"/>
        <w:ind w:firstLine="482"/>
        <w:rPr>
          <w:rFonts w:ascii="仿宋" w:eastAsia="仿宋"/>
          <w:sz w:val="24"/>
          <w:szCs w:val="20"/>
        </w:rPr>
      </w:pPr>
      <w:r>
        <w:rPr>
          <w:rFonts w:ascii="仿宋" w:hAnsi="宋体" w:eastAsia="仿宋" w:cs="宋体"/>
          <w:sz w:val="24"/>
          <w:szCs w:val="21"/>
        </w:rPr>
        <w:t>实质性要求是指本招标文件中用带星号（*）、“必须”或“应（应当）”等其他文字说明的</w:t>
      </w:r>
      <w:bookmarkStart w:id="14" w:name="page16"/>
      <w:bookmarkEnd w:id="14"/>
      <w:r>
        <w:rPr>
          <w:rFonts w:ascii="仿宋" w:hAnsi="宋体" w:eastAsia="仿宋" w:cs="宋体"/>
          <w:sz w:val="24"/>
          <w:szCs w:val="21"/>
        </w:rPr>
        <w:t>商务和技术要求。</w:t>
      </w:r>
    </w:p>
    <w:p w14:paraId="08BBCA80">
      <w:pPr>
        <w:spacing w:line="560" w:lineRule="exact"/>
        <w:ind w:firstLine="482"/>
        <w:rPr>
          <w:rFonts w:ascii="仿宋" w:eastAsia="仿宋"/>
          <w:sz w:val="24"/>
          <w:szCs w:val="20"/>
        </w:rPr>
      </w:pPr>
      <w:r>
        <w:rPr>
          <w:rFonts w:ascii="仿宋" w:hAnsi="宋体" w:eastAsia="仿宋" w:cs="宋体"/>
          <w:b/>
          <w:bCs/>
          <w:sz w:val="24"/>
          <w:szCs w:val="21"/>
        </w:rPr>
        <w:t>21.2.2.1 投标文件属于下列情形之一的，按照无效投标处理：</w:t>
      </w:r>
    </w:p>
    <w:p w14:paraId="27DB0D22">
      <w:pPr>
        <w:spacing w:line="560" w:lineRule="exact"/>
        <w:ind w:firstLine="482"/>
        <w:rPr>
          <w:rFonts w:ascii="仿宋" w:eastAsia="仿宋"/>
          <w:sz w:val="24"/>
          <w:szCs w:val="20"/>
        </w:rPr>
      </w:pPr>
      <w:r>
        <w:rPr>
          <w:rFonts w:ascii="仿宋" w:hAnsi="宋体" w:eastAsia="仿宋" w:cs="宋体"/>
          <w:sz w:val="24"/>
          <w:szCs w:val="21"/>
        </w:rPr>
        <w:t>如果投标文件实质上没有响应招标文件的要求，评标委员会将予以拒绝，供应商不得通过修改或撤销不合要求的偏离或保留而使其投标成为实质性响应的投标。</w:t>
      </w:r>
    </w:p>
    <w:p w14:paraId="7EC601F1">
      <w:pPr>
        <w:spacing w:line="560" w:lineRule="exact"/>
        <w:ind w:firstLine="482"/>
        <w:rPr>
          <w:rFonts w:ascii="仿宋" w:eastAsia="仿宋"/>
          <w:sz w:val="24"/>
          <w:szCs w:val="20"/>
        </w:rPr>
      </w:pPr>
      <w:r>
        <w:rPr>
          <w:rFonts w:ascii="仿宋" w:hAnsi="宋体" w:eastAsia="仿宋" w:cs="宋体"/>
          <w:sz w:val="24"/>
          <w:szCs w:val="21"/>
        </w:rPr>
        <w:t>（1）没有按照采购要求密封、签署、盖章的；</w:t>
      </w:r>
    </w:p>
    <w:p w14:paraId="4A4845DE">
      <w:pPr>
        <w:spacing w:line="560" w:lineRule="exact"/>
        <w:ind w:firstLine="482"/>
        <w:rPr>
          <w:rFonts w:ascii="仿宋" w:eastAsia="仿宋"/>
          <w:sz w:val="24"/>
          <w:szCs w:val="20"/>
        </w:rPr>
      </w:pPr>
      <w:r>
        <w:rPr>
          <w:rFonts w:ascii="仿宋" w:hAnsi="宋体" w:eastAsia="仿宋" w:cs="宋体"/>
          <w:sz w:val="24"/>
          <w:szCs w:val="21"/>
        </w:rPr>
        <w:t>（2）不具备招标文件中规定资格要求的；</w:t>
      </w:r>
    </w:p>
    <w:p w14:paraId="016AE52B">
      <w:pPr>
        <w:spacing w:line="560" w:lineRule="exact"/>
        <w:ind w:firstLine="482"/>
        <w:rPr>
          <w:rFonts w:ascii="仿宋" w:eastAsia="仿宋"/>
          <w:sz w:val="24"/>
          <w:szCs w:val="20"/>
        </w:rPr>
      </w:pPr>
      <w:r>
        <w:rPr>
          <w:rFonts w:ascii="仿宋" w:hAnsi="宋体" w:eastAsia="仿宋" w:cs="宋体"/>
          <w:sz w:val="24"/>
          <w:szCs w:val="21"/>
        </w:rPr>
        <w:t>（3）投标总价超出采购项目预算或者最高限价的；</w:t>
      </w:r>
    </w:p>
    <w:p w14:paraId="661B7B0C">
      <w:pPr>
        <w:spacing w:line="560" w:lineRule="exact"/>
        <w:ind w:firstLine="482"/>
        <w:rPr>
          <w:rFonts w:ascii="仿宋" w:eastAsia="仿宋"/>
          <w:sz w:val="24"/>
          <w:szCs w:val="20"/>
        </w:rPr>
      </w:pPr>
      <w:r>
        <w:rPr>
          <w:rFonts w:ascii="仿宋" w:hAnsi="宋体" w:eastAsia="仿宋" w:cs="宋体"/>
          <w:sz w:val="24"/>
          <w:szCs w:val="21"/>
        </w:rPr>
        <w:t>（4）不同供应商的投标文件由同一单位或者个人编制的；</w:t>
      </w:r>
    </w:p>
    <w:p w14:paraId="0D6DDA2F">
      <w:pPr>
        <w:spacing w:line="560" w:lineRule="exact"/>
        <w:ind w:firstLine="482"/>
        <w:rPr>
          <w:rFonts w:ascii="仿宋" w:eastAsia="仿宋"/>
          <w:sz w:val="24"/>
          <w:szCs w:val="20"/>
        </w:rPr>
      </w:pPr>
      <w:r>
        <w:rPr>
          <w:rFonts w:ascii="仿宋" w:hAnsi="宋体" w:eastAsia="仿宋" w:cs="宋体"/>
          <w:sz w:val="24"/>
          <w:szCs w:val="21"/>
        </w:rPr>
        <w:t>（5）不同供应商委托同一单位或者个人办理投标事宜；</w:t>
      </w:r>
    </w:p>
    <w:p w14:paraId="5085A249">
      <w:pPr>
        <w:spacing w:line="560" w:lineRule="exact"/>
        <w:ind w:firstLine="482"/>
        <w:rPr>
          <w:rFonts w:ascii="仿宋" w:eastAsia="仿宋"/>
          <w:sz w:val="24"/>
          <w:szCs w:val="20"/>
        </w:rPr>
      </w:pPr>
      <w:r>
        <w:rPr>
          <w:rFonts w:ascii="仿宋" w:hAnsi="宋体" w:eastAsia="仿宋" w:cs="宋体"/>
          <w:sz w:val="24"/>
          <w:szCs w:val="21"/>
        </w:rPr>
        <w:t>（6）不同供应商的投标文件载明的项目管理成员为同一人；</w:t>
      </w:r>
    </w:p>
    <w:p w14:paraId="25B6046B">
      <w:pPr>
        <w:spacing w:line="560" w:lineRule="exact"/>
        <w:ind w:firstLine="482"/>
        <w:rPr>
          <w:rFonts w:ascii="仿宋" w:eastAsia="仿宋"/>
          <w:sz w:val="24"/>
          <w:szCs w:val="20"/>
        </w:rPr>
      </w:pPr>
      <w:r>
        <w:rPr>
          <w:rFonts w:ascii="仿宋" w:hAnsi="宋体" w:eastAsia="仿宋" w:cs="宋体"/>
          <w:sz w:val="24"/>
          <w:szCs w:val="21"/>
        </w:rPr>
        <w:t>（7）不同供应商的投标文件异常一致或者投标报价呈规律性差异；</w:t>
      </w:r>
    </w:p>
    <w:p w14:paraId="2A0B8A52">
      <w:pPr>
        <w:spacing w:line="560" w:lineRule="exact"/>
        <w:ind w:firstLine="482"/>
        <w:rPr>
          <w:rFonts w:ascii="仿宋" w:eastAsia="仿宋"/>
          <w:sz w:val="24"/>
          <w:szCs w:val="20"/>
        </w:rPr>
      </w:pPr>
      <w:r>
        <w:rPr>
          <w:rFonts w:ascii="仿宋" w:hAnsi="宋体" w:eastAsia="仿宋" w:cs="宋体"/>
          <w:sz w:val="24"/>
          <w:szCs w:val="21"/>
        </w:rPr>
        <w:t>（8）不同供应商的投标文件相互混装；</w:t>
      </w:r>
    </w:p>
    <w:p w14:paraId="06C14E7C">
      <w:pPr>
        <w:spacing w:line="560" w:lineRule="exact"/>
        <w:ind w:firstLine="482"/>
        <w:rPr>
          <w:rFonts w:ascii="仿宋" w:eastAsia="仿宋"/>
          <w:sz w:val="24"/>
          <w:szCs w:val="20"/>
        </w:rPr>
      </w:pPr>
      <w:r>
        <w:rPr>
          <w:rFonts w:ascii="仿宋" w:hAnsi="宋体" w:eastAsia="仿宋" w:cs="宋体"/>
          <w:sz w:val="24"/>
          <w:szCs w:val="21"/>
        </w:rPr>
        <w:t>（9）不同供应商的法定代表人或委托代理人有夫妻、直系血亲关系的；</w:t>
      </w:r>
    </w:p>
    <w:p w14:paraId="7034D069">
      <w:pPr>
        <w:spacing w:line="560" w:lineRule="exact"/>
        <w:ind w:firstLine="482"/>
        <w:rPr>
          <w:rFonts w:ascii="仿宋" w:eastAsia="仿宋"/>
          <w:sz w:val="24"/>
          <w:szCs w:val="20"/>
        </w:rPr>
      </w:pPr>
      <w:r>
        <w:rPr>
          <w:rFonts w:ascii="仿宋" w:hAnsi="宋体" w:eastAsia="仿宋" w:cs="宋体"/>
          <w:sz w:val="24"/>
          <w:szCs w:val="21"/>
        </w:rPr>
        <w:t>（10）不同供应商的负责人为同一人或者存在控股、管理关系的；</w:t>
      </w:r>
    </w:p>
    <w:p w14:paraId="39D631C7">
      <w:pPr>
        <w:spacing w:line="560" w:lineRule="exact"/>
        <w:ind w:firstLine="482"/>
        <w:rPr>
          <w:rFonts w:ascii="仿宋" w:eastAsia="仿宋"/>
          <w:sz w:val="24"/>
          <w:szCs w:val="20"/>
        </w:rPr>
      </w:pPr>
      <w:r>
        <w:rPr>
          <w:rFonts w:ascii="仿宋" w:hAnsi="宋体" w:eastAsia="仿宋" w:cs="宋体"/>
          <w:sz w:val="24"/>
          <w:szCs w:val="21"/>
        </w:rPr>
        <w:t>（1</w:t>
      </w:r>
      <w:r>
        <w:rPr>
          <w:rFonts w:hint="eastAsia" w:ascii="仿宋" w:hAnsi="宋体" w:eastAsia="仿宋" w:cs="宋体"/>
          <w:sz w:val="24"/>
          <w:szCs w:val="21"/>
        </w:rPr>
        <w:t>1</w:t>
      </w:r>
      <w:r>
        <w:rPr>
          <w:rFonts w:ascii="仿宋" w:hAnsi="宋体" w:eastAsia="仿宋" w:cs="宋体"/>
          <w:sz w:val="24"/>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9F2B02">
      <w:pPr>
        <w:spacing w:line="560" w:lineRule="exact"/>
        <w:ind w:firstLine="482"/>
        <w:rPr>
          <w:rFonts w:ascii="仿宋" w:eastAsia="仿宋"/>
          <w:sz w:val="24"/>
          <w:szCs w:val="20"/>
        </w:rPr>
      </w:pPr>
      <w:r>
        <w:rPr>
          <w:rFonts w:ascii="仿宋" w:hAnsi="宋体" w:eastAsia="仿宋" w:cs="宋体"/>
          <w:sz w:val="24"/>
          <w:szCs w:val="21"/>
        </w:rPr>
        <w:t>（1</w:t>
      </w:r>
      <w:r>
        <w:rPr>
          <w:rFonts w:hint="eastAsia" w:ascii="仿宋" w:hAnsi="宋体" w:eastAsia="仿宋" w:cs="宋体"/>
          <w:sz w:val="24"/>
          <w:szCs w:val="21"/>
        </w:rPr>
        <w:t>2</w:t>
      </w:r>
      <w:r>
        <w:rPr>
          <w:rFonts w:ascii="仿宋" w:hAnsi="宋体" w:eastAsia="仿宋" w:cs="宋体"/>
          <w:sz w:val="24"/>
          <w:szCs w:val="21"/>
        </w:rPr>
        <w:t>）投标文件含有采购人不能接受的附加条件的；</w:t>
      </w:r>
    </w:p>
    <w:p w14:paraId="337EAD51">
      <w:pPr>
        <w:spacing w:line="560" w:lineRule="exact"/>
        <w:ind w:firstLine="482"/>
        <w:rPr>
          <w:rFonts w:ascii="仿宋" w:eastAsia="仿宋"/>
          <w:sz w:val="24"/>
          <w:szCs w:val="20"/>
        </w:rPr>
      </w:pPr>
      <w:r>
        <w:rPr>
          <w:rFonts w:ascii="仿宋" w:hAnsi="宋体" w:eastAsia="仿宋" w:cs="宋体"/>
          <w:sz w:val="24"/>
          <w:szCs w:val="21"/>
        </w:rPr>
        <w:t>（1</w:t>
      </w:r>
      <w:r>
        <w:rPr>
          <w:rFonts w:hint="eastAsia" w:ascii="仿宋" w:hAnsi="宋体" w:eastAsia="仿宋" w:cs="宋体"/>
          <w:sz w:val="24"/>
          <w:szCs w:val="21"/>
        </w:rPr>
        <w:t>3</w:t>
      </w:r>
      <w:r>
        <w:rPr>
          <w:rFonts w:ascii="仿宋" w:hAnsi="宋体" w:eastAsia="仿宋" w:cs="宋体"/>
          <w:sz w:val="24"/>
          <w:szCs w:val="21"/>
        </w:rPr>
        <w:t>）不符合</w:t>
      </w:r>
      <w:r>
        <w:rPr>
          <w:rFonts w:hint="eastAsia" w:ascii="仿宋" w:hAnsi="宋体" w:eastAsia="仿宋" w:cs="宋体"/>
          <w:sz w:val="24"/>
          <w:szCs w:val="21"/>
        </w:rPr>
        <w:t>法律法规</w:t>
      </w:r>
      <w:r>
        <w:rPr>
          <w:rFonts w:ascii="仿宋" w:hAnsi="宋体" w:eastAsia="仿宋" w:cs="宋体"/>
          <w:sz w:val="24"/>
          <w:szCs w:val="21"/>
        </w:rPr>
        <w:t>和招标文件规定的其他实质性要求的。</w:t>
      </w:r>
    </w:p>
    <w:p w14:paraId="6AA5B8DC">
      <w:pPr>
        <w:spacing w:line="560" w:lineRule="exact"/>
        <w:ind w:firstLine="482"/>
        <w:rPr>
          <w:rFonts w:ascii="仿宋" w:eastAsia="仿宋"/>
          <w:sz w:val="24"/>
          <w:szCs w:val="20"/>
        </w:rPr>
      </w:pPr>
      <w:r>
        <w:rPr>
          <w:rFonts w:ascii="仿宋" w:hAnsi="宋体" w:eastAsia="仿宋" w:cs="宋体"/>
          <w:b/>
          <w:bCs/>
          <w:sz w:val="24"/>
          <w:szCs w:val="21"/>
        </w:rPr>
        <w:t xml:space="preserve">21.2.2.2 </w:t>
      </w:r>
      <w:r>
        <w:rPr>
          <w:rFonts w:ascii="仿宋" w:hAnsi="宋体" w:eastAsia="仿宋" w:cs="宋体"/>
          <w:sz w:val="24"/>
          <w:szCs w:val="21"/>
        </w:rPr>
        <w:t>有下列情形之一的予以废标：</w:t>
      </w:r>
    </w:p>
    <w:p w14:paraId="2EBD89DC">
      <w:pPr>
        <w:spacing w:line="560" w:lineRule="exact"/>
        <w:ind w:firstLine="482"/>
        <w:rPr>
          <w:rFonts w:ascii="仿宋" w:eastAsia="仿宋"/>
          <w:sz w:val="24"/>
          <w:szCs w:val="20"/>
        </w:rPr>
      </w:pPr>
      <w:r>
        <w:rPr>
          <w:rFonts w:ascii="仿宋" w:hAnsi="宋体" w:eastAsia="仿宋" w:cs="宋体"/>
          <w:sz w:val="24"/>
          <w:szCs w:val="21"/>
        </w:rPr>
        <w:t>（1）符合专业条件的供应商或者对招标文件作实质性响应的供应商不足三家的；</w:t>
      </w:r>
    </w:p>
    <w:p w14:paraId="10E79F9E">
      <w:pPr>
        <w:spacing w:line="560" w:lineRule="exact"/>
        <w:ind w:firstLine="482"/>
        <w:rPr>
          <w:rFonts w:ascii="仿宋" w:eastAsia="仿宋"/>
          <w:sz w:val="24"/>
          <w:szCs w:val="20"/>
        </w:rPr>
      </w:pPr>
      <w:r>
        <w:rPr>
          <w:rFonts w:ascii="仿宋" w:hAnsi="宋体" w:eastAsia="仿宋" w:cs="宋体"/>
          <w:sz w:val="24"/>
          <w:szCs w:val="21"/>
        </w:rPr>
        <w:t>（2）出现影响采购公正的违法、违规行为的；</w:t>
      </w:r>
    </w:p>
    <w:p w14:paraId="4707D885">
      <w:pPr>
        <w:spacing w:line="560" w:lineRule="exact"/>
        <w:ind w:firstLine="482"/>
        <w:rPr>
          <w:rFonts w:ascii="仿宋" w:eastAsia="仿宋"/>
          <w:sz w:val="24"/>
          <w:szCs w:val="20"/>
        </w:rPr>
      </w:pPr>
      <w:r>
        <w:rPr>
          <w:rFonts w:ascii="仿宋" w:hAnsi="宋体" w:eastAsia="仿宋" w:cs="宋体"/>
          <w:sz w:val="24"/>
          <w:szCs w:val="21"/>
        </w:rPr>
        <w:t>（3）供应商的报价均超过了采购预算或最高限价，采购人不能支付的；</w:t>
      </w:r>
    </w:p>
    <w:p w14:paraId="1BF146AA">
      <w:pPr>
        <w:spacing w:line="560" w:lineRule="exact"/>
        <w:ind w:firstLine="482"/>
        <w:rPr>
          <w:rFonts w:ascii="仿宋" w:eastAsia="仿宋"/>
          <w:sz w:val="24"/>
          <w:szCs w:val="20"/>
        </w:rPr>
      </w:pPr>
      <w:r>
        <w:rPr>
          <w:rFonts w:ascii="仿宋" w:hAnsi="宋体" w:eastAsia="仿宋" w:cs="宋体"/>
          <w:sz w:val="24"/>
          <w:szCs w:val="21"/>
        </w:rPr>
        <w:t>（4）因重大变故，采购任务取消的。</w:t>
      </w:r>
    </w:p>
    <w:p w14:paraId="09B643F2">
      <w:pPr>
        <w:spacing w:line="560" w:lineRule="exact"/>
        <w:ind w:firstLine="482"/>
        <w:rPr>
          <w:rFonts w:ascii="仿宋" w:eastAsia="仿宋"/>
          <w:sz w:val="24"/>
          <w:szCs w:val="20"/>
        </w:rPr>
      </w:pPr>
      <w:r>
        <w:rPr>
          <w:rFonts w:ascii="仿宋" w:hAnsi="宋体" w:eastAsia="仿宋" w:cs="宋体"/>
          <w:sz w:val="24"/>
          <w:szCs w:val="21"/>
        </w:rPr>
        <w:t>除予以废标外，出现符合资格性审查的供应商或者对招标文件作出实质性响应的供应商不足三</w:t>
      </w:r>
      <w:r>
        <w:rPr>
          <w:rFonts w:hint="eastAsia" w:ascii="仿宋" w:hAnsi="宋体" w:eastAsia="仿宋" w:cs="宋体"/>
          <w:sz w:val="24"/>
          <w:szCs w:val="21"/>
        </w:rPr>
        <w:t>种</w:t>
      </w:r>
      <w:r>
        <w:rPr>
          <w:rFonts w:ascii="仿宋" w:hAnsi="宋体" w:eastAsia="仿宋" w:cs="宋体"/>
          <w:sz w:val="24"/>
          <w:szCs w:val="21"/>
        </w:rPr>
        <w:t xml:space="preserve">情形的，可比照 </w:t>
      </w:r>
      <w:r>
        <w:rPr>
          <w:rFonts w:ascii="仿宋" w:hAnsi="宋体" w:eastAsia="仿宋" w:cs="宋体"/>
          <w:b/>
          <w:bCs/>
          <w:sz w:val="24"/>
          <w:szCs w:val="21"/>
        </w:rPr>
        <w:t>20.6</w:t>
      </w:r>
      <w:r>
        <w:rPr>
          <w:rFonts w:ascii="仿宋" w:hAnsi="宋体" w:eastAsia="仿宋" w:cs="宋体"/>
          <w:sz w:val="24"/>
          <w:szCs w:val="21"/>
        </w:rPr>
        <w:t xml:space="preserve"> 款执行。</w:t>
      </w:r>
    </w:p>
    <w:p w14:paraId="486C7ACB">
      <w:pPr>
        <w:spacing w:line="560" w:lineRule="exact"/>
        <w:ind w:firstLine="482"/>
        <w:rPr>
          <w:rFonts w:ascii="仿宋" w:eastAsia="仿宋"/>
          <w:sz w:val="24"/>
          <w:szCs w:val="20"/>
        </w:rPr>
      </w:pPr>
      <w:r>
        <w:rPr>
          <w:rFonts w:ascii="仿宋" w:hAnsi="宋体" w:eastAsia="仿宋" w:cs="宋体"/>
          <w:sz w:val="24"/>
          <w:szCs w:val="21"/>
        </w:rPr>
        <w:t xml:space="preserve">21.2.3 </w:t>
      </w:r>
      <w:r>
        <w:rPr>
          <w:rFonts w:ascii="仿宋" w:hAnsi="宋体" w:eastAsia="仿宋" w:cs="宋体"/>
          <w:b/>
          <w:bCs/>
          <w:sz w:val="24"/>
          <w:szCs w:val="21"/>
        </w:rPr>
        <w:t>澄清有关问题</w:t>
      </w:r>
      <w:r>
        <w:rPr>
          <w:rFonts w:ascii="仿宋" w:hAnsi="宋体" w:eastAsia="仿宋" w:cs="宋体"/>
          <w:sz w:val="24"/>
          <w:szCs w:val="21"/>
        </w:rPr>
        <w:t>。</w:t>
      </w:r>
      <w:bookmarkStart w:id="15" w:name="page17"/>
      <w:bookmarkEnd w:id="15"/>
    </w:p>
    <w:p w14:paraId="074DE4AA">
      <w:pPr>
        <w:spacing w:line="560" w:lineRule="exact"/>
        <w:ind w:firstLine="482"/>
        <w:rPr>
          <w:rFonts w:ascii="仿宋" w:eastAsia="仿宋"/>
          <w:sz w:val="24"/>
          <w:szCs w:val="20"/>
        </w:rPr>
      </w:pPr>
      <w:r>
        <w:rPr>
          <w:rFonts w:ascii="仿宋" w:hAnsi="宋体" w:eastAsia="仿宋" w:cs="宋体"/>
          <w:sz w:val="24"/>
          <w:szCs w:val="21"/>
        </w:rPr>
        <w:t>21.2.3.1 对于投标文件中含义不明确、同类问题表述不一致或者有明显文字和计算错误的内容，评标委员会应当以书面形式要求供应商作出必要的澄清、说明或者补正。</w:t>
      </w:r>
    </w:p>
    <w:p w14:paraId="380FEFFC">
      <w:pPr>
        <w:spacing w:line="560" w:lineRule="exact"/>
        <w:ind w:firstLine="482"/>
        <w:rPr>
          <w:rFonts w:ascii="仿宋" w:eastAsia="仿宋"/>
          <w:sz w:val="24"/>
          <w:szCs w:val="20"/>
        </w:rPr>
      </w:pPr>
      <w:r>
        <w:rPr>
          <w:rFonts w:ascii="仿宋" w:hAnsi="宋体" w:eastAsia="仿宋" w:cs="宋体"/>
          <w:sz w:val="24"/>
          <w:szCs w:val="21"/>
        </w:rPr>
        <w:t>21.2.3.2 供应商的澄清、说明或者补正应当采用书面形式，并加盖公章，或者由法定代表人或其授权代表签字。供应商的澄清、说明或者补正不得超出投标文件的范围或者改变投标文件的实质性内容。</w:t>
      </w:r>
    </w:p>
    <w:p w14:paraId="44B43306">
      <w:pPr>
        <w:spacing w:line="560" w:lineRule="exact"/>
        <w:ind w:firstLine="482"/>
        <w:rPr>
          <w:rFonts w:ascii="仿宋" w:eastAsia="仿宋"/>
          <w:sz w:val="24"/>
          <w:szCs w:val="20"/>
        </w:rPr>
      </w:pPr>
      <w:r>
        <w:rPr>
          <w:rFonts w:ascii="仿宋" w:hAnsi="宋体" w:eastAsia="仿宋" w:cs="宋体"/>
          <w:sz w:val="24"/>
          <w:szCs w:val="21"/>
        </w:rPr>
        <w:t>21.2.3.3 投标文件报价出现前后不一致的，除招标文件另有规定外，按照下列规定修正：</w:t>
      </w:r>
    </w:p>
    <w:p w14:paraId="36A8EC71">
      <w:pPr>
        <w:numPr>
          <w:ilvl w:val="0"/>
          <w:numId w:val="1"/>
        </w:numPr>
        <w:tabs>
          <w:tab w:val="left" w:pos="842"/>
        </w:tabs>
        <w:spacing w:line="560" w:lineRule="exact"/>
        <w:ind w:firstLine="482"/>
        <w:rPr>
          <w:rFonts w:ascii="仿宋" w:eastAsia="仿宋"/>
          <w:sz w:val="24"/>
          <w:szCs w:val="20"/>
        </w:rPr>
      </w:pPr>
      <w:r>
        <w:rPr>
          <w:rFonts w:ascii="仿宋" w:hAnsi="宋体" w:eastAsia="仿宋" w:cs="宋体"/>
          <w:sz w:val="24"/>
          <w:szCs w:val="21"/>
        </w:rPr>
        <w:t>投标文件中开标一览表（报价表）内容与投标文件中相应内容不一致的，以开标一览表（报价表）为准；</w:t>
      </w:r>
    </w:p>
    <w:p w14:paraId="07F06CBD">
      <w:pPr>
        <w:spacing w:line="560" w:lineRule="exact"/>
        <w:ind w:firstLine="482"/>
        <w:rPr>
          <w:rFonts w:ascii="仿宋" w:eastAsia="仿宋"/>
          <w:sz w:val="24"/>
          <w:szCs w:val="20"/>
        </w:rPr>
      </w:pPr>
      <w:r>
        <w:rPr>
          <w:rFonts w:hint="eastAsia" w:ascii="仿宋" w:hAnsi="宋体" w:eastAsia="仿宋" w:cs="宋体"/>
          <w:sz w:val="24"/>
          <w:szCs w:val="21"/>
        </w:rPr>
        <w:t>（</w:t>
      </w:r>
      <w:r>
        <w:rPr>
          <w:rFonts w:ascii="仿宋" w:hAnsi="宋体" w:eastAsia="仿宋" w:cs="宋体"/>
          <w:sz w:val="24"/>
          <w:szCs w:val="21"/>
        </w:rPr>
        <w:t>2</w:t>
      </w:r>
      <w:r>
        <w:rPr>
          <w:rFonts w:hint="eastAsia" w:ascii="仿宋" w:hAnsi="宋体" w:eastAsia="仿宋" w:cs="宋体"/>
          <w:sz w:val="24"/>
          <w:szCs w:val="21"/>
        </w:rPr>
        <w:t>）</w:t>
      </w:r>
      <w:r>
        <w:rPr>
          <w:rFonts w:ascii="仿宋" w:hAnsi="宋体" w:eastAsia="仿宋" w:cs="宋体"/>
          <w:sz w:val="24"/>
          <w:szCs w:val="21"/>
        </w:rPr>
        <w:t>大写金额和小写金额不一致的，以大写金额为准；</w:t>
      </w:r>
    </w:p>
    <w:p w14:paraId="79C5E291">
      <w:pPr>
        <w:spacing w:line="560" w:lineRule="exact"/>
        <w:ind w:firstLine="482"/>
        <w:rPr>
          <w:rFonts w:ascii="仿宋" w:eastAsia="仿宋"/>
          <w:sz w:val="24"/>
          <w:szCs w:val="20"/>
        </w:rPr>
      </w:pPr>
      <w:r>
        <w:rPr>
          <w:rFonts w:hint="eastAsia" w:ascii="仿宋" w:hAnsi="宋体" w:eastAsia="仿宋" w:cs="宋体"/>
          <w:sz w:val="24"/>
          <w:szCs w:val="21"/>
        </w:rPr>
        <w:t>（</w:t>
      </w:r>
      <w:r>
        <w:rPr>
          <w:rFonts w:ascii="仿宋" w:hAnsi="宋体" w:eastAsia="仿宋" w:cs="宋体"/>
          <w:sz w:val="24"/>
          <w:szCs w:val="21"/>
        </w:rPr>
        <w:t>3</w:t>
      </w:r>
      <w:r>
        <w:rPr>
          <w:rFonts w:hint="eastAsia" w:ascii="仿宋" w:hAnsi="宋体" w:eastAsia="仿宋" w:cs="宋体"/>
          <w:sz w:val="24"/>
          <w:szCs w:val="21"/>
        </w:rPr>
        <w:t>）</w:t>
      </w:r>
      <w:r>
        <w:rPr>
          <w:rFonts w:ascii="仿宋" w:hAnsi="宋体" w:eastAsia="仿宋" w:cs="宋体"/>
          <w:sz w:val="24"/>
          <w:szCs w:val="21"/>
        </w:rPr>
        <w:t>单价金额小数点或者百分比有明显错位的，以开标一览表的总价为准，并修改单价；</w:t>
      </w:r>
    </w:p>
    <w:p w14:paraId="558478C9">
      <w:pPr>
        <w:spacing w:line="560" w:lineRule="exact"/>
        <w:ind w:firstLine="482"/>
        <w:rPr>
          <w:rFonts w:ascii="仿宋" w:eastAsia="仿宋"/>
          <w:sz w:val="24"/>
          <w:szCs w:val="20"/>
        </w:rPr>
      </w:pPr>
      <w:r>
        <w:rPr>
          <w:rFonts w:hint="eastAsia" w:ascii="仿宋" w:hAnsi="宋体" w:eastAsia="仿宋" w:cs="宋体"/>
          <w:sz w:val="24"/>
          <w:szCs w:val="21"/>
        </w:rPr>
        <w:t>（</w:t>
      </w:r>
      <w:r>
        <w:rPr>
          <w:rFonts w:ascii="仿宋" w:hAnsi="宋体" w:eastAsia="仿宋" w:cs="宋体"/>
          <w:sz w:val="24"/>
          <w:szCs w:val="21"/>
        </w:rPr>
        <w:t>4</w:t>
      </w:r>
      <w:r>
        <w:rPr>
          <w:rFonts w:hint="eastAsia" w:ascii="仿宋" w:hAnsi="宋体" w:eastAsia="仿宋" w:cs="宋体"/>
          <w:sz w:val="24"/>
          <w:szCs w:val="21"/>
        </w:rPr>
        <w:t>）</w:t>
      </w:r>
      <w:r>
        <w:rPr>
          <w:rFonts w:ascii="仿宋" w:hAnsi="宋体" w:eastAsia="仿宋" w:cs="宋体"/>
          <w:sz w:val="24"/>
          <w:szCs w:val="21"/>
        </w:rPr>
        <w:t>总价金额与按单价汇总金额不一致的，以单价金额计算结果为准。</w:t>
      </w:r>
    </w:p>
    <w:p w14:paraId="2BFFF313">
      <w:pPr>
        <w:spacing w:line="560" w:lineRule="exact"/>
        <w:ind w:firstLine="482"/>
        <w:rPr>
          <w:rFonts w:ascii="仿宋" w:eastAsia="仿宋"/>
          <w:sz w:val="24"/>
          <w:szCs w:val="20"/>
        </w:rPr>
      </w:pPr>
      <w:r>
        <w:rPr>
          <w:rFonts w:ascii="仿宋" w:hAnsi="宋体" w:eastAsia="仿宋" w:cs="宋体"/>
          <w:sz w:val="24"/>
          <w:szCs w:val="21"/>
        </w:rPr>
        <w:t>同时出现两种以上不一致的，按照前款规定的顺序修正。</w:t>
      </w:r>
      <w:r>
        <w:rPr>
          <w:rFonts w:ascii="仿宋" w:hAnsi="宋体" w:eastAsia="仿宋" w:cs="宋体"/>
          <w:b/>
          <w:bCs/>
          <w:sz w:val="24"/>
          <w:szCs w:val="21"/>
        </w:rPr>
        <w:t>修正后的报价按照前款规定经供应商确认后产生约束力，供应商不确认的，其投标无效。</w:t>
      </w:r>
    </w:p>
    <w:p w14:paraId="5B043DF4">
      <w:pPr>
        <w:spacing w:line="560" w:lineRule="exact"/>
        <w:ind w:firstLine="482"/>
        <w:rPr>
          <w:rFonts w:ascii="仿宋" w:eastAsia="仿宋"/>
          <w:sz w:val="24"/>
          <w:szCs w:val="20"/>
        </w:rPr>
      </w:pPr>
      <w:r>
        <w:rPr>
          <w:rFonts w:ascii="仿宋" w:hAnsi="宋体" w:eastAsia="仿宋" w:cs="宋体"/>
          <w:sz w:val="24"/>
          <w:szCs w:val="21"/>
        </w:rPr>
        <w:t>21.2.3.4 评标委员会认为供应商的报价明显低于其他通过符合性审查供应商的报价，有可能影响产品质量或者不能诚信履约的，将要求其在评标现场合理的时间内提供书面说明，必要时提交相关证明材料；</w:t>
      </w:r>
      <w:r>
        <w:rPr>
          <w:rFonts w:ascii="仿宋" w:hAnsi="宋体" w:eastAsia="仿宋" w:cs="宋体"/>
          <w:b/>
          <w:bCs/>
          <w:sz w:val="24"/>
          <w:szCs w:val="21"/>
        </w:rPr>
        <w:t>供应商不能证明其报价合理性的，评标委员会将其作为无效投标处理。</w:t>
      </w:r>
    </w:p>
    <w:p w14:paraId="31111265">
      <w:pPr>
        <w:spacing w:line="560" w:lineRule="exact"/>
        <w:ind w:firstLine="482"/>
        <w:rPr>
          <w:rFonts w:ascii="仿宋" w:eastAsia="仿宋"/>
          <w:sz w:val="24"/>
          <w:szCs w:val="20"/>
        </w:rPr>
      </w:pPr>
      <w:r>
        <w:rPr>
          <w:rFonts w:ascii="仿宋" w:hAnsi="宋体" w:eastAsia="仿宋" w:cs="宋体"/>
          <w:sz w:val="24"/>
          <w:szCs w:val="21"/>
        </w:rPr>
        <w:t xml:space="preserve">21.2.4 </w:t>
      </w:r>
      <w:r>
        <w:rPr>
          <w:rFonts w:ascii="仿宋" w:hAnsi="宋体" w:eastAsia="仿宋" w:cs="宋体"/>
          <w:b/>
          <w:bCs/>
          <w:sz w:val="24"/>
          <w:szCs w:val="21"/>
        </w:rPr>
        <w:t>比较与评价。</w:t>
      </w:r>
      <w:r>
        <w:rPr>
          <w:rFonts w:ascii="仿宋" w:hAnsi="宋体" w:eastAsia="仿宋" w:cs="宋体"/>
          <w:sz w:val="24"/>
          <w:szCs w:val="21"/>
        </w:rPr>
        <w:t>评标委员会应当按照招标文件中规定的评标方法和标准，对符合性审查合格的投标文件进行商务和技术评估，综合比较与评价。</w:t>
      </w:r>
    </w:p>
    <w:p w14:paraId="2DD0B5B2">
      <w:pPr>
        <w:spacing w:line="560" w:lineRule="exact"/>
        <w:ind w:firstLine="482"/>
        <w:rPr>
          <w:rFonts w:ascii="仿宋" w:eastAsia="仿宋"/>
          <w:sz w:val="24"/>
          <w:szCs w:val="20"/>
        </w:rPr>
      </w:pPr>
      <w:r>
        <w:rPr>
          <w:rFonts w:ascii="仿宋" w:hAnsi="宋体" w:eastAsia="仿宋" w:cs="宋体"/>
          <w:b/>
          <w:bCs/>
          <w:sz w:val="24"/>
          <w:szCs w:val="21"/>
        </w:rPr>
        <w:t>21.3 评标方法和标准</w:t>
      </w:r>
    </w:p>
    <w:p w14:paraId="3992DA4E">
      <w:pPr>
        <w:spacing w:line="560" w:lineRule="exact"/>
        <w:ind w:firstLine="482"/>
        <w:rPr>
          <w:rFonts w:ascii="仿宋" w:eastAsia="仿宋"/>
          <w:sz w:val="24"/>
          <w:szCs w:val="20"/>
        </w:rPr>
      </w:pPr>
      <w:r>
        <w:rPr>
          <w:rFonts w:ascii="仿宋" w:hAnsi="宋体" w:eastAsia="仿宋" w:cs="宋体"/>
          <w:sz w:val="24"/>
          <w:szCs w:val="21"/>
        </w:rPr>
        <w:t>21.3.1 本次采购采用综合评分法，评标方法和标准，详见本招标文件第三章。</w:t>
      </w:r>
    </w:p>
    <w:p w14:paraId="4A11B740">
      <w:pPr>
        <w:spacing w:line="560" w:lineRule="exact"/>
        <w:ind w:firstLine="482"/>
        <w:rPr>
          <w:rFonts w:ascii="仿宋" w:eastAsia="仿宋"/>
          <w:sz w:val="24"/>
          <w:szCs w:val="20"/>
        </w:rPr>
      </w:pPr>
      <w:bookmarkStart w:id="16" w:name="page18"/>
      <w:bookmarkEnd w:id="16"/>
      <w:r>
        <w:rPr>
          <w:rFonts w:ascii="仿宋" w:hAnsi="宋体" w:eastAsia="仿宋" w:cs="宋体"/>
          <w:sz w:val="24"/>
          <w:szCs w:val="20"/>
        </w:rPr>
        <w:t>21.3.2 综合评分法，是指投标文件满足招标文件全部实质性要求，且按照评审因素的量化指</w:t>
      </w:r>
      <w:r>
        <w:rPr>
          <w:rFonts w:ascii="仿宋" w:hAnsi="宋体" w:eastAsia="仿宋" w:cs="宋体"/>
          <w:sz w:val="24"/>
          <w:szCs w:val="21"/>
        </w:rPr>
        <w:t>标评审得分最高的供应商为中标候选人的评标方法。</w:t>
      </w:r>
    </w:p>
    <w:p w14:paraId="503C4521">
      <w:pPr>
        <w:spacing w:line="560" w:lineRule="exact"/>
        <w:ind w:firstLine="482"/>
        <w:rPr>
          <w:rFonts w:ascii="仿宋" w:eastAsia="仿宋"/>
          <w:sz w:val="24"/>
          <w:szCs w:val="20"/>
        </w:rPr>
      </w:pPr>
      <w:r>
        <w:rPr>
          <w:rFonts w:ascii="仿宋" w:hAnsi="宋体" w:eastAsia="仿宋" w:cs="宋体"/>
          <w:sz w:val="24"/>
          <w:szCs w:val="21"/>
        </w:rPr>
        <w:t>评标时，评标委员会各成员应当独立对每个供应商的投标文件进行评价，并汇总每个供应商</w:t>
      </w:r>
      <w:r>
        <w:rPr>
          <w:rFonts w:hint="eastAsia" w:ascii="仿宋" w:hAnsi="宋体" w:eastAsia="仿宋" w:cs="宋体"/>
          <w:sz w:val="24"/>
          <w:szCs w:val="21"/>
        </w:rPr>
        <w:t>的</w:t>
      </w:r>
      <w:r>
        <w:rPr>
          <w:rFonts w:ascii="仿宋" w:hAnsi="宋体" w:eastAsia="仿宋" w:cs="宋体"/>
          <w:sz w:val="24"/>
          <w:szCs w:val="21"/>
        </w:rPr>
        <w:t>得分。</w:t>
      </w:r>
    </w:p>
    <w:p w14:paraId="553945A6">
      <w:pPr>
        <w:spacing w:line="560" w:lineRule="exact"/>
        <w:ind w:firstLine="482"/>
        <w:rPr>
          <w:rFonts w:ascii="仿宋" w:eastAsia="仿宋"/>
          <w:sz w:val="24"/>
          <w:szCs w:val="20"/>
        </w:rPr>
      </w:pPr>
      <w:r>
        <w:rPr>
          <w:rFonts w:ascii="仿宋" w:hAnsi="宋体" w:eastAsia="仿宋" w:cs="宋体"/>
          <w:sz w:val="24"/>
          <w:szCs w:val="21"/>
        </w:rPr>
        <w:t>价格分采用低价优先法计算，即满足招标文件要求且投标价格最低的投标报价为评标基准价，其价格分为满分。</w:t>
      </w:r>
    </w:p>
    <w:p w14:paraId="5E869300">
      <w:pPr>
        <w:spacing w:line="560" w:lineRule="exact"/>
        <w:ind w:firstLine="482"/>
        <w:rPr>
          <w:rFonts w:ascii="仿宋" w:eastAsia="仿宋"/>
          <w:sz w:val="24"/>
          <w:szCs w:val="20"/>
        </w:rPr>
      </w:pPr>
      <w:r>
        <w:rPr>
          <w:rFonts w:ascii="仿宋" w:hAnsi="宋体" w:eastAsia="仿宋" w:cs="宋体"/>
          <w:sz w:val="24"/>
          <w:szCs w:val="21"/>
        </w:rPr>
        <w:t>评标总得分＝F1×A1＋F2×A2＋……＋Fn×An</w:t>
      </w:r>
    </w:p>
    <w:p w14:paraId="42CD6EC6">
      <w:pPr>
        <w:spacing w:line="560" w:lineRule="exact"/>
        <w:ind w:firstLine="482"/>
        <w:rPr>
          <w:rFonts w:ascii="仿宋" w:eastAsia="仿宋"/>
          <w:sz w:val="24"/>
          <w:szCs w:val="20"/>
        </w:rPr>
      </w:pPr>
      <w:r>
        <w:rPr>
          <w:rFonts w:ascii="仿宋" w:hAnsi="宋体" w:eastAsia="仿宋" w:cs="宋体"/>
          <w:sz w:val="24"/>
          <w:szCs w:val="21"/>
        </w:rPr>
        <w:t>F1、F2……Fn 分别为各项评审因素</w:t>
      </w:r>
      <w:r>
        <w:rPr>
          <w:rFonts w:hint="eastAsia" w:ascii="仿宋" w:hAnsi="宋体" w:eastAsia="仿宋" w:cs="宋体"/>
          <w:sz w:val="24"/>
          <w:szCs w:val="21"/>
        </w:rPr>
        <w:t>得</w:t>
      </w:r>
      <w:r>
        <w:rPr>
          <w:rFonts w:ascii="仿宋" w:hAnsi="宋体" w:eastAsia="仿宋" w:cs="宋体"/>
          <w:sz w:val="24"/>
          <w:szCs w:val="21"/>
        </w:rPr>
        <w:t>得分；</w:t>
      </w:r>
    </w:p>
    <w:p w14:paraId="5489992F">
      <w:pPr>
        <w:spacing w:line="560" w:lineRule="exact"/>
        <w:ind w:firstLine="482"/>
        <w:rPr>
          <w:rFonts w:ascii="仿宋" w:eastAsia="仿宋"/>
          <w:sz w:val="24"/>
          <w:szCs w:val="20"/>
        </w:rPr>
      </w:pPr>
      <w:r>
        <w:rPr>
          <w:rFonts w:ascii="仿宋" w:hAnsi="宋体" w:eastAsia="仿宋" w:cs="宋体"/>
          <w:sz w:val="24"/>
          <w:szCs w:val="21"/>
        </w:rPr>
        <w:t>A1、A2、……An 分别为各项评审因素所占的权重</w:t>
      </w:r>
      <w:r>
        <w:rPr>
          <w:rFonts w:hint="eastAsia" w:ascii="仿宋" w:hAnsi="宋体" w:eastAsia="仿宋" w:cs="宋体"/>
          <w:sz w:val="24"/>
          <w:szCs w:val="21"/>
        </w:rPr>
        <w:t>（</w:t>
      </w:r>
      <w:r>
        <w:rPr>
          <w:rFonts w:ascii="仿宋" w:hAnsi="宋体" w:eastAsia="仿宋" w:cs="宋体"/>
          <w:sz w:val="24"/>
          <w:szCs w:val="21"/>
        </w:rPr>
        <w:t>A1＋A2＋……＋An＝1)。</w:t>
      </w:r>
    </w:p>
    <w:p w14:paraId="7AD6C27A">
      <w:pPr>
        <w:spacing w:line="560" w:lineRule="exact"/>
        <w:ind w:firstLine="482"/>
        <w:rPr>
          <w:rFonts w:ascii="仿宋" w:eastAsia="仿宋"/>
          <w:sz w:val="24"/>
          <w:szCs w:val="20"/>
        </w:rPr>
      </w:pPr>
      <w:r>
        <w:rPr>
          <w:rFonts w:ascii="仿宋" w:hAnsi="宋体" w:eastAsia="仿宋" w:cs="宋体"/>
          <w:sz w:val="24"/>
          <w:szCs w:val="21"/>
        </w:rPr>
        <w:t>因落实政府采购政策进行价格调整的，以调整后的价格计算评标基准价和投标报价。</w:t>
      </w:r>
    </w:p>
    <w:p w14:paraId="74C1E1D1">
      <w:pPr>
        <w:spacing w:line="560" w:lineRule="exact"/>
        <w:ind w:firstLine="482"/>
        <w:rPr>
          <w:rFonts w:ascii="仿宋" w:eastAsia="仿宋"/>
          <w:sz w:val="24"/>
          <w:szCs w:val="20"/>
        </w:rPr>
      </w:pPr>
      <w:r>
        <w:rPr>
          <w:rFonts w:ascii="仿宋" w:hAnsi="宋体" w:eastAsia="仿宋" w:cs="宋体"/>
          <w:b/>
          <w:bCs/>
          <w:sz w:val="24"/>
          <w:szCs w:val="21"/>
        </w:rPr>
        <w:t>21.3.3 根据《南京市政府采购供应商信用管理工作暂行办法》有关规定，将供应商诚信档案</w:t>
      </w:r>
    </w:p>
    <w:p w14:paraId="24B95E10">
      <w:pPr>
        <w:spacing w:line="560" w:lineRule="exact"/>
        <w:ind w:firstLine="482"/>
        <w:rPr>
          <w:rFonts w:ascii="仿宋" w:eastAsia="仿宋"/>
          <w:sz w:val="24"/>
          <w:szCs w:val="20"/>
        </w:rPr>
      </w:pPr>
      <w:r>
        <w:rPr>
          <w:rFonts w:ascii="仿宋" w:hAnsi="宋体" w:eastAsia="仿宋" w:cs="宋体"/>
          <w:b/>
          <w:bCs/>
          <w:sz w:val="24"/>
          <w:szCs w:val="21"/>
        </w:rPr>
        <w:t>记录在政府采购活动中进行运用，具体详见第三章评标标准。</w:t>
      </w:r>
    </w:p>
    <w:p w14:paraId="1D7D2883">
      <w:pPr>
        <w:spacing w:before="200" w:after="100"/>
        <w:outlineLvl w:val="2"/>
        <w:rPr>
          <w:rFonts w:ascii="仿宋" w:eastAsia="仿宋"/>
          <w:sz w:val="28"/>
          <w:szCs w:val="20"/>
        </w:rPr>
      </w:pPr>
      <w:r>
        <w:rPr>
          <w:rFonts w:ascii="仿宋" w:hAnsi="宋体" w:eastAsia="仿宋" w:cs="宋体"/>
          <w:bCs/>
          <w:sz w:val="28"/>
          <w:szCs w:val="21"/>
        </w:rPr>
        <w:t>22、确定中标供应商</w:t>
      </w:r>
    </w:p>
    <w:p w14:paraId="201266ED">
      <w:pPr>
        <w:spacing w:line="560" w:lineRule="exact"/>
        <w:ind w:firstLine="482"/>
        <w:rPr>
          <w:rFonts w:ascii="仿宋" w:eastAsia="仿宋"/>
          <w:color w:val="auto"/>
          <w:sz w:val="24"/>
          <w:szCs w:val="20"/>
        </w:rPr>
      </w:pPr>
      <w:r>
        <w:rPr>
          <w:rFonts w:ascii="仿宋" w:hAnsi="宋体" w:eastAsia="仿宋" w:cs="宋体"/>
          <w:sz w:val="24"/>
          <w:szCs w:val="20"/>
        </w:rPr>
        <w:t>22.1 采用综合评分法的，评标结果按评审后得分由高到低顺序排列。得分相同的，按投</w:t>
      </w:r>
      <w:r>
        <w:rPr>
          <w:rFonts w:ascii="仿宋" w:hAnsi="宋体" w:eastAsia="仿宋" w:cs="宋体"/>
          <w:color w:val="auto"/>
          <w:sz w:val="24"/>
          <w:szCs w:val="20"/>
        </w:rPr>
        <w:t>标报价</w:t>
      </w:r>
      <w:r>
        <w:rPr>
          <w:rFonts w:ascii="仿宋" w:hAnsi="宋体" w:eastAsia="仿宋" w:cs="宋体"/>
          <w:color w:val="auto"/>
          <w:sz w:val="24"/>
          <w:szCs w:val="21"/>
        </w:rPr>
        <w:t>由低到高顺序排列。得分且投标报价相同的并列，按技术指标优劣顺序排列。投标文件满足招标</w:t>
      </w:r>
      <w:r>
        <w:rPr>
          <w:rFonts w:hint="eastAsia" w:ascii="仿宋" w:hAnsi="宋体" w:eastAsia="仿宋" w:cs="宋体"/>
          <w:color w:val="auto"/>
          <w:sz w:val="24"/>
          <w:szCs w:val="21"/>
        </w:rPr>
        <w:t>文件</w:t>
      </w:r>
      <w:r>
        <w:rPr>
          <w:rFonts w:ascii="仿宋" w:hAnsi="宋体" w:eastAsia="仿宋" w:cs="宋体"/>
          <w:color w:val="auto"/>
          <w:sz w:val="24"/>
          <w:szCs w:val="21"/>
        </w:rPr>
        <w:t>件全部实质性要求，且按照评审因素的量化指标，经采购人授权，评标委员将综合排名</w:t>
      </w:r>
      <w:r>
        <w:rPr>
          <w:rFonts w:hint="eastAsia" w:ascii="仿宋" w:hAnsi="宋体" w:eastAsia="仿宋" w:cs="宋体"/>
          <w:color w:val="auto"/>
          <w:sz w:val="24"/>
          <w:szCs w:val="21"/>
          <w:lang w:val="en-US" w:eastAsia="zh-CN"/>
        </w:rPr>
        <w:t>前三</w:t>
      </w:r>
      <w:r>
        <w:rPr>
          <w:rFonts w:ascii="仿宋" w:hAnsi="宋体" w:eastAsia="仿宋" w:cs="宋体"/>
          <w:color w:val="auto"/>
          <w:sz w:val="24"/>
          <w:szCs w:val="21"/>
        </w:rPr>
        <w:t>的</w:t>
      </w:r>
      <w:r>
        <w:rPr>
          <w:rFonts w:hint="eastAsia" w:ascii="仿宋" w:hAnsi="宋体" w:eastAsia="仿宋" w:cs="宋体"/>
          <w:color w:val="auto"/>
          <w:sz w:val="24"/>
          <w:szCs w:val="21"/>
        </w:rPr>
        <w:t>供应商</w:t>
      </w:r>
      <w:r>
        <w:rPr>
          <w:rFonts w:ascii="仿宋" w:hAnsi="宋体" w:eastAsia="仿宋" w:cs="宋体"/>
          <w:color w:val="auto"/>
          <w:sz w:val="24"/>
          <w:szCs w:val="21"/>
        </w:rPr>
        <w:t>确定为</w:t>
      </w:r>
      <w:r>
        <w:rPr>
          <w:rFonts w:hint="eastAsia" w:ascii="仿宋" w:hAnsi="宋体" w:eastAsia="仿宋" w:cs="宋体"/>
          <w:color w:val="auto"/>
          <w:sz w:val="24"/>
          <w:szCs w:val="21"/>
          <w:lang w:val="en-US" w:eastAsia="zh-CN"/>
        </w:rPr>
        <w:t>待</w:t>
      </w:r>
      <w:r>
        <w:rPr>
          <w:rFonts w:ascii="仿宋" w:hAnsi="宋体" w:eastAsia="仿宋" w:cs="宋体"/>
          <w:color w:val="auto"/>
          <w:sz w:val="24"/>
          <w:szCs w:val="21"/>
        </w:rPr>
        <w:t>中标供应商</w:t>
      </w:r>
      <w:r>
        <w:rPr>
          <w:rFonts w:hint="eastAsia" w:ascii="仿宋" w:hAnsi="宋体" w:eastAsia="仿宋" w:cs="宋体"/>
          <w:color w:val="auto"/>
          <w:sz w:val="24"/>
          <w:szCs w:val="21"/>
          <w:lang w:eastAsia="zh-CN"/>
        </w:rPr>
        <w:t>，</w:t>
      </w:r>
      <w:r>
        <w:rPr>
          <w:rFonts w:hint="eastAsia" w:ascii="仿宋" w:hAnsi="宋体" w:eastAsia="仿宋" w:cs="宋体"/>
          <w:color w:val="auto"/>
          <w:sz w:val="24"/>
          <w:szCs w:val="21"/>
          <w:lang w:val="en-US" w:eastAsia="zh-CN"/>
        </w:rPr>
        <w:t>最终中标人由招标人确定</w:t>
      </w:r>
      <w:r>
        <w:rPr>
          <w:rFonts w:ascii="仿宋" w:hAnsi="宋体" w:eastAsia="仿宋" w:cs="宋体"/>
          <w:color w:val="auto"/>
          <w:sz w:val="24"/>
          <w:szCs w:val="21"/>
        </w:rPr>
        <w:t>。</w:t>
      </w:r>
    </w:p>
    <w:p w14:paraId="192ED260">
      <w:pPr>
        <w:spacing w:line="560" w:lineRule="exact"/>
        <w:ind w:firstLine="482"/>
        <w:rPr>
          <w:rFonts w:ascii="仿宋" w:eastAsia="仿宋"/>
          <w:color w:val="auto"/>
          <w:sz w:val="24"/>
          <w:szCs w:val="20"/>
        </w:rPr>
      </w:pPr>
      <w:r>
        <w:rPr>
          <w:rFonts w:ascii="仿宋" w:hAnsi="宋体" w:eastAsia="仿宋" w:cs="宋体"/>
          <w:color w:val="auto"/>
          <w:sz w:val="24"/>
          <w:szCs w:val="20"/>
        </w:rPr>
        <w:t xml:space="preserve">22.2 中标人确定后，在省级以上财政部门指定的媒体上公告中标结果，中标公告期为 </w:t>
      </w:r>
      <w:r>
        <w:rPr>
          <w:rFonts w:hint="eastAsia" w:ascii="仿宋" w:hAnsi="宋体" w:eastAsia="仿宋" w:cs="宋体"/>
          <w:color w:val="auto"/>
          <w:sz w:val="24"/>
          <w:szCs w:val="20"/>
          <w:lang w:val="en-US" w:eastAsia="zh-CN"/>
        </w:rPr>
        <w:t>3</w:t>
      </w:r>
      <w:r>
        <w:rPr>
          <w:rFonts w:ascii="仿宋" w:hAnsi="宋体" w:eastAsia="仿宋" w:cs="宋体"/>
          <w:color w:val="auto"/>
          <w:sz w:val="24"/>
          <w:szCs w:val="20"/>
        </w:rPr>
        <w:t xml:space="preserve"> 个工作</w:t>
      </w:r>
      <w:r>
        <w:rPr>
          <w:rFonts w:ascii="仿宋" w:hAnsi="宋体" w:eastAsia="仿宋" w:cs="宋体"/>
          <w:color w:val="auto"/>
          <w:sz w:val="24"/>
          <w:szCs w:val="21"/>
        </w:rPr>
        <w:t>日，公告的同时向中标供应商发出中标通知书。</w:t>
      </w:r>
    </w:p>
    <w:p w14:paraId="55B8A268">
      <w:pPr>
        <w:spacing w:line="560" w:lineRule="exact"/>
        <w:ind w:firstLine="482"/>
        <w:rPr>
          <w:rFonts w:ascii="仿宋" w:eastAsia="仿宋"/>
          <w:sz w:val="24"/>
          <w:szCs w:val="20"/>
        </w:rPr>
      </w:pPr>
      <w:r>
        <w:rPr>
          <w:rFonts w:ascii="仿宋" w:hAnsi="宋体" w:eastAsia="仿宋" w:cs="宋体"/>
          <w:sz w:val="24"/>
          <w:szCs w:val="21"/>
        </w:rPr>
        <w:t>22.3 中标通知书对采购人和中标供应商具有同等法律效力。</w:t>
      </w:r>
    </w:p>
    <w:p w14:paraId="24341689">
      <w:pPr>
        <w:spacing w:line="560" w:lineRule="exact"/>
        <w:ind w:firstLine="482"/>
        <w:rPr>
          <w:rFonts w:ascii="仿宋" w:eastAsia="仿宋"/>
          <w:sz w:val="24"/>
          <w:szCs w:val="20"/>
        </w:rPr>
      </w:pPr>
      <w:r>
        <w:rPr>
          <w:rFonts w:ascii="仿宋" w:hAnsi="宋体" w:eastAsia="仿宋" w:cs="宋体"/>
          <w:sz w:val="24"/>
          <w:szCs w:val="20"/>
        </w:rPr>
        <w:t>22.4 中标通知书发出后，采购人或中标供应商拒绝签订合同的，拒绝签订合同的一方应至少向</w:t>
      </w:r>
      <w:r>
        <w:rPr>
          <w:rFonts w:ascii="仿宋" w:hAnsi="宋体" w:eastAsia="仿宋" w:cs="宋体"/>
          <w:sz w:val="24"/>
          <w:szCs w:val="21"/>
        </w:rPr>
        <w:t>另一方支付补偿金，以及为采购、投标所发生的有关费用和双方商定的其他补偿。</w:t>
      </w:r>
    </w:p>
    <w:p w14:paraId="34B0B6A8">
      <w:pPr>
        <w:tabs>
          <w:tab w:val="left" w:pos="980"/>
        </w:tabs>
        <w:spacing w:line="560" w:lineRule="exact"/>
        <w:ind w:firstLine="482"/>
        <w:rPr>
          <w:rFonts w:ascii="仿宋" w:eastAsia="仿宋"/>
          <w:sz w:val="24"/>
          <w:szCs w:val="20"/>
        </w:rPr>
      </w:pPr>
      <w:r>
        <w:rPr>
          <w:rFonts w:ascii="仿宋" w:hAnsi="宋体" w:eastAsia="仿宋" w:cs="宋体"/>
          <w:b/>
          <w:bCs/>
          <w:sz w:val="24"/>
          <w:szCs w:val="21"/>
        </w:rPr>
        <w:t>22.5</w:t>
      </w:r>
      <w:r>
        <w:rPr>
          <w:rFonts w:ascii="仿宋" w:eastAsia="仿宋"/>
          <w:sz w:val="24"/>
          <w:szCs w:val="20"/>
        </w:rPr>
        <w:tab/>
      </w:r>
      <w:r>
        <w:rPr>
          <w:rFonts w:ascii="仿宋" w:hAnsi="宋体" w:eastAsia="仿宋" w:cs="宋体"/>
          <w:b/>
          <w:bCs/>
          <w:sz w:val="24"/>
          <w:szCs w:val="21"/>
        </w:rPr>
        <w:t>中标通知书发出后，中标供应商无正当理由不与采购人签订合同的，情节严重，由财政部门将其列入不良行为记录名单，在一至三年内禁止参加政府采购活动，并予以通报。</w:t>
      </w:r>
    </w:p>
    <w:p w14:paraId="31BC7AC6">
      <w:pPr>
        <w:spacing w:line="560" w:lineRule="exact"/>
        <w:ind w:firstLine="482"/>
        <w:rPr>
          <w:rFonts w:ascii="仿宋" w:eastAsia="仿宋"/>
          <w:sz w:val="24"/>
          <w:szCs w:val="20"/>
        </w:rPr>
      </w:pPr>
      <w:r>
        <w:rPr>
          <w:rFonts w:ascii="仿宋" w:hAnsi="宋体" w:eastAsia="仿宋" w:cs="宋体"/>
          <w:sz w:val="24"/>
          <w:szCs w:val="21"/>
        </w:rPr>
        <w:t>22.6 所有投标文件不论中标与否，均不退回。</w:t>
      </w:r>
    </w:p>
    <w:p w14:paraId="1CF904D0">
      <w:pPr>
        <w:spacing w:before="200" w:after="100"/>
        <w:outlineLvl w:val="2"/>
        <w:rPr>
          <w:rFonts w:ascii="仿宋" w:eastAsia="仿宋"/>
          <w:sz w:val="28"/>
          <w:szCs w:val="20"/>
        </w:rPr>
      </w:pPr>
      <w:r>
        <w:rPr>
          <w:rFonts w:ascii="仿宋" w:hAnsi="宋体" w:eastAsia="仿宋" w:cs="宋体"/>
          <w:bCs/>
          <w:sz w:val="28"/>
          <w:szCs w:val="21"/>
        </w:rPr>
        <w:t>23、编写评标报告</w:t>
      </w:r>
    </w:p>
    <w:p w14:paraId="077BC51A">
      <w:pPr>
        <w:spacing w:line="560" w:lineRule="exact"/>
        <w:ind w:firstLine="482"/>
        <w:rPr>
          <w:rFonts w:ascii="仿宋" w:eastAsia="仿宋"/>
          <w:sz w:val="24"/>
          <w:szCs w:val="20"/>
        </w:rPr>
      </w:pPr>
      <w:r>
        <w:rPr>
          <w:rFonts w:ascii="仿宋" w:hAnsi="宋体" w:eastAsia="仿宋" w:cs="宋体"/>
          <w:sz w:val="24"/>
          <w:szCs w:val="21"/>
        </w:rPr>
        <w:t>23.1 评标委员会根据全体评标成员签字的原始评标记录和评标结果编写评标报告。</w:t>
      </w:r>
    </w:p>
    <w:p w14:paraId="52FCD47A">
      <w:pPr>
        <w:spacing w:before="200" w:after="100"/>
        <w:outlineLvl w:val="2"/>
        <w:rPr>
          <w:rFonts w:ascii="仿宋" w:eastAsia="仿宋"/>
          <w:sz w:val="28"/>
          <w:szCs w:val="20"/>
        </w:rPr>
      </w:pPr>
      <w:r>
        <w:rPr>
          <w:rFonts w:ascii="仿宋" w:hAnsi="宋体" w:eastAsia="仿宋" w:cs="宋体"/>
          <w:bCs/>
          <w:sz w:val="28"/>
          <w:szCs w:val="21"/>
        </w:rPr>
        <w:t>24、评标过程的保密性</w:t>
      </w:r>
    </w:p>
    <w:p w14:paraId="4F5D4849">
      <w:pPr>
        <w:spacing w:line="560" w:lineRule="exact"/>
        <w:ind w:firstLine="482"/>
        <w:rPr>
          <w:rFonts w:ascii="仿宋" w:eastAsia="仿宋"/>
          <w:sz w:val="24"/>
          <w:szCs w:val="20"/>
        </w:rPr>
      </w:pPr>
      <w:r>
        <w:rPr>
          <w:rFonts w:ascii="仿宋" w:hAnsi="宋体" w:eastAsia="仿宋" w:cs="宋体"/>
          <w:sz w:val="24"/>
          <w:szCs w:val="21"/>
        </w:rPr>
        <w:t>24.1 采购人和采购代理机构将采取必要措施，保证评标在严格保密的情况下进行。</w:t>
      </w:r>
    </w:p>
    <w:p w14:paraId="600402F5">
      <w:pPr>
        <w:spacing w:line="560" w:lineRule="exact"/>
        <w:ind w:firstLine="482"/>
        <w:rPr>
          <w:rFonts w:ascii="仿宋" w:eastAsia="仿宋"/>
          <w:sz w:val="24"/>
          <w:szCs w:val="20"/>
        </w:rPr>
      </w:pPr>
      <w:bookmarkStart w:id="17" w:name="page19"/>
      <w:bookmarkEnd w:id="17"/>
      <w:r>
        <w:rPr>
          <w:rFonts w:ascii="仿宋" w:hAnsi="宋体" w:eastAsia="仿宋" w:cs="宋体"/>
          <w:sz w:val="24"/>
          <w:szCs w:val="21"/>
        </w:rPr>
        <w:t>24.2 任何单位和个人不得非法干预、影响评标办法的确定，以及评标过程和结果。</w:t>
      </w:r>
    </w:p>
    <w:p w14:paraId="5E850E73">
      <w:pPr>
        <w:spacing w:line="560" w:lineRule="exact"/>
        <w:ind w:firstLine="482"/>
        <w:rPr>
          <w:rFonts w:ascii="仿宋" w:eastAsia="仿宋"/>
          <w:sz w:val="24"/>
          <w:szCs w:val="20"/>
        </w:rPr>
      </w:pPr>
      <w:r>
        <w:rPr>
          <w:rFonts w:ascii="仿宋" w:hAnsi="宋体" w:eastAsia="仿宋" w:cs="宋体"/>
          <w:sz w:val="24"/>
          <w:szCs w:val="21"/>
        </w:rPr>
        <w:t>24.3 凡是与审查、澄清、评价和比较投标的有关资料等，均不向供应商及与评标无关的其他人员透露。</w:t>
      </w:r>
    </w:p>
    <w:p w14:paraId="0DD4795F">
      <w:pPr>
        <w:spacing w:before="200" w:after="100"/>
        <w:outlineLvl w:val="1"/>
        <w:rPr>
          <w:rFonts w:ascii="楷体" w:eastAsia="楷体"/>
          <w:sz w:val="32"/>
          <w:szCs w:val="20"/>
        </w:rPr>
      </w:pPr>
      <w:r>
        <w:rPr>
          <w:rFonts w:ascii="楷体" w:hAnsi="宋体" w:eastAsia="楷体" w:cs="宋体"/>
          <w:bCs/>
          <w:sz w:val="32"/>
          <w:szCs w:val="21"/>
        </w:rPr>
        <w:t>六、签订合同</w:t>
      </w:r>
    </w:p>
    <w:p w14:paraId="0F3E0D55">
      <w:pPr>
        <w:spacing w:before="200" w:after="100"/>
        <w:outlineLvl w:val="2"/>
        <w:rPr>
          <w:rFonts w:ascii="仿宋" w:eastAsia="仿宋"/>
          <w:sz w:val="28"/>
          <w:szCs w:val="20"/>
        </w:rPr>
      </w:pPr>
      <w:r>
        <w:rPr>
          <w:rFonts w:ascii="仿宋" w:hAnsi="宋体" w:eastAsia="仿宋" w:cs="宋体"/>
          <w:bCs/>
          <w:sz w:val="28"/>
          <w:szCs w:val="21"/>
        </w:rPr>
        <w:t>25、签订合同</w:t>
      </w:r>
    </w:p>
    <w:p w14:paraId="4B00158B">
      <w:pPr>
        <w:spacing w:line="560" w:lineRule="exact"/>
        <w:ind w:firstLine="482"/>
        <w:rPr>
          <w:rFonts w:ascii="仿宋" w:eastAsia="仿宋"/>
          <w:sz w:val="24"/>
          <w:szCs w:val="20"/>
        </w:rPr>
      </w:pPr>
      <w:r>
        <w:rPr>
          <w:rFonts w:ascii="仿宋" w:hAnsi="宋体" w:eastAsia="仿宋" w:cs="宋体"/>
          <w:sz w:val="24"/>
          <w:szCs w:val="21"/>
        </w:rPr>
        <w:t>25.1 采购人与中标人应当自中标通知书发出之日起 30 日内，按照招标文件和中标人投标文件</w:t>
      </w:r>
      <w:r>
        <w:rPr>
          <w:rFonts w:ascii="仿宋" w:hAnsi="宋体" w:eastAsia="仿宋" w:cs="宋体"/>
          <w:sz w:val="24"/>
          <w:szCs w:val="20"/>
        </w:rPr>
        <w:t>的规定，签订书面合同。所签订的合同不得对招标文件确定的事项和中标人投标文件作实质性修改。</w:t>
      </w:r>
    </w:p>
    <w:p w14:paraId="0D09CF29">
      <w:pPr>
        <w:spacing w:line="560" w:lineRule="exact"/>
        <w:ind w:firstLine="482"/>
        <w:rPr>
          <w:rFonts w:ascii="仿宋" w:eastAsia="仿宋"/>
          <w:sz w:val="24"/>
          <w:szCs w:val="20"/>
        </w:rPr>
      </w:pPr>
      <w:r>
        <w:rPr>
          <w:rFonts w:ascii="仿宋" w:hAnsi="宋体" w:eastAsia="仿宋" w:cs="宋体"/>
          <w:sz w:val="24"/>
          <w:szCs w:val="21"/>
        </w:rPr>
        <w:t>25.2 采购人不得向中标人提出任何不合理的要求作为签订合同的条件。</w:t>
      </w:r>
    </w:p>
    <w:p w14:paraId="350E08BD">
      <w:pPr>
        <w:spacing w:line="560" w:lineRule="exact"/>
        <w:ind w:firstLine="482"/>
        <w:rPr>
          <w:rFonts w:ascii="仿宋" w:eastAsia="仿宋"/>
          <w:sz w:val="24"/>
          <w:szCs w:val="20"/>
        </w:rPr>
      </w:pPr>
      <w:r>
        <w:rPr>
          <w:rFonts w:ascii="仿宋" w:hAnsi="宋体" w:eastAsia="仿宋" w:cs="宋体"/>
          <w:sz w:val="24"/>
          <w:szCs w:val="21"/>
        </w:rPr>
        <w:t>25.3 中标人拒绝与采购人签订合同的，采购人可以按照评审报告推荐的中标或者成交候选人名单排序，确定下一候选人为中标供应商，也可以重新开展政府采购活动。</w:t>
      </w:r>
    </w:p>
    <w:p w14:paraId="1575D422">
      <w:pPr>
        <w:spacing w:line="560" w:lineRule="exact"/>
        <w:ind w:firstLine="482"/>
        <w:rPr>
          <w:rFonts w:ascii="仿宋" w:eastAsia="仿宋"/>
          <w:sz w:val="24"/>
          <w:szCs w:val="20"/>
        </w:rPr>
      </w:pPr>
      <w:r>
        <w:rPr>
          <w:rFonts w:ascii="仿宋" w:hAnsi="宋体" w:eastAsia="仿宋" w:cs="宋体"/>
          <w:sz w:val="24"/>
          <w:szCs w:val="21"/>
        </w:rPr>
        <w:t>25.4 政府采购合同履行中，采购人需追加与合同标的相同的货物或者服务的，在不改变</w:t>
      </w:r>
      <w:r>
        <w:rPr>
          <w:rFonts w:hint="eastAsia" w:ascii="仿宋" w:hAnsi="宋体" w:eastAsia="仿宋" w:cs="宋体"/>
          <w:sz w:val="24"/>
          <w:szCs w:val="21"/>
        </w:rPr>
        <w:t>合同期</w:t>
      </w:r>
      <w:r>
        <w:rPr>
          <w:rFonts w:ascii="仿宋" w:hAnsi="宋体" w:eastAsia="仿宋" w:cs="宋体"/>
          <w:sz w:val="24"/>
          <w:szCs w:val="21"/>
        </w:rPr>
        <w:t>他条款的前提下，可以与供应商协商签订补充合同，但所有补充合同的采购金额不得超过原合同</w:t>
      </w:r>
      <w:r>
        <w:rPr>
          <w:rFonts w:hint="eastAsia" w:ascii="仿宋" w:hAnsi="宋体" w:eastAsia="仿宋" w:cs="宋体"/>
          <w:sz w:val="24"/>
          <w:szCs w:val="21"/>
        </w:rPr>
        <w:t>采购</w:t>
      </w:r>
      <w:r>
        <w:rPr>
          <w:rFonts w:ascii="仿宋" w:hAnsi="宋体" w:eastAsia="仿宋" w:cs="宋体"/>
          <w:sz w:val="24"/>
          <w:szCs w:val="21"/>
        </w:rPr>
        <w:t>购金额的百分之十。</w:t>
      </w:r>
    </w:p>
    <w:p w14:paraId="069D6C65">
      <w:pPr>
        <w:spacing w:line="560" w:lineRule="exact"/>
        <w:ind w:firstLine="482"/>
        <w:rPr>
          <w:rFonts w:ascii="仿宋" w:eastAsia="仿宋"/>
          <w:sz w:val="24"/>
          <w:szCs w:val="20"/>
        </w:rPr>
      </w:pPr>
      <w:r>
        <w:rPr>
          <w:rFonts w:ascii="仿宋" w:hAnsi="宋体" w:eastAsia="仿宋" w:cs="宋体"/>
          <w:sz w:val="24"/>
          <w:szCs w:val="21"/>
        </w:rPr>
        <w:t>25.5 采购人与中标人应当根据合同的约定依法履行合同义务。</w:t>
      </w:r>
    </w:p>
    <w:p w14:paraId="354AC06C">
      <w:pPr>
        <w:spacing w:before="200" w:after="100"/>
        <w:outlineLvl w:val="1"/>
        <w:rPr>
          <w:rFonts w:ascii="楷体" w:eastAsia="楷体"/>
          <w:sz w:val="32"/>
          <w:szCs w:val="20"/>
        </w:rPr>
      </w:pPr>
      <w:r>
        <w:rPr>
          <w:rFonts w:ascii="楷体" w:hAnsi="宋体" w:eastAsia="楷体" w:cs="宋体"/>
          <w:bCs/>
          <w:sz w:val="32"/>
          <w:szCs w:val="21"/>
        </w:rPr>
        <w:t>七、质疑和投诉</w:t>
      </w:r>
    </w:p>
    <w:p w14:paraId="0F45D73C">
      <w:pPr>
        <w:spacing w:before="200" w:after="100"/>
        <w:outlineLvl w:val="2"/>
        <w:rPr>
          <w:rFonts w:ascii="仿宋" w:eastAsia="仿宋"/>
          <w:sz w:val="28"/>
          <w:szCs w:val="20"/>
        </w:rPr>
      </w:pPr>
      <w:r>
        <w:rPr>
          <w:rFonts w:ascii="仿宋" w:hAnsi="宋体" w:eastAsia="仿宋" w:cs="宋体"/>
          <w:bCs/>
          <w:sz w:val="28"/>
          <w:szCs w:val="21"/>
        </w:rPr>
        <w:t>26、质疑</w:t>
      </w:r>
    </w:p>
    <w:p w14:paraId="54302B32">
      <w:pPr>
        <w:spacing w:line="560" w:lineRule="exact"/>
        <w:ind w:firstLine="482"/>
        <w:rPr>
          <w:rFonts w:ascii="仿宋" w:eastAsia="仿宋"/>
          <w:sz w:val="24"/>
          <w:szCs w:val="20"/>
        </w:rPr>
      </w:pPr>
      <w:r>
        <w:rPr>
          <w:rFonts w:ascii="仿宋" w:hAnsi="宋体" w:eastAsia="仿宋" w:cs="宋体"/>
          <w:sz w:val="24"/>
          <w:szCs w:val="21"/>
        </w:rPr>
        <w:t>26.1 供应商对采购活动事项有疑问的，可以向采购代理机构提出询问，采购代理机构将依法作出答复，但答复的内容不涉及商业秘密</w:t>
      </w:r>
      <w:r>
        <w:rPr>
          <w:rFonts w:ascii="仿宋" w:hAnsi="宋体" w:eastAsia="仿宋" w:cs="宋体"/>
          <w:b/>
          <w:bCs/>
          <w:sz w:val="24"/>
          <w:szCs w:val="21"/>
        </w:rPr>
        <w:t>。</w:t>
      </w:r>
    </w:p>
    <w:p w14:paraId="433A08DD">
      <w:pPr>
        <w:spacing w:line="560" w:lineRule="exact"/>
        <w:ind w:firstLine="482"/>
        <w:rPr>
          <w:rFonts w:ascii="仿宋" w:eastAsia="仿宋"/>
          <w:sz w:val="24"/>
          <w:szCs w:val="20"/>
        </w:rPr>
      </w:pPr>
      <w:r>
        <w:rPr>
          <w:rFonts w:ascii="仿宋" w:hAnsi="宋体" w:eastAsia="仿宋" w:cs="宋体"/>
          <w:sz w:val="24"/>
          <w:szCs w:val="21"/>
        </w:rPr>
        <w:t>26.2 提出质疑的供应商应当是参与所质疑项目采购活动的供应商。潜在供应商已依法获取其可质疑的招标文件的，可以对该文件提出质疑。</w:t>
      </w:r>
    </w:p>
    <w:p w14:paraId="23FB1266">
      <w:pPr>
        <w:spacing w:line="560" w:lineRule="exact"/>
        <w:ind w:firstLine="482"/>
        <w:rPr>
          <w:rFonts w:ascii="仿宋" w:eastAsia="仿宋"/>
          <w:sz w:val="24"/>
          <w:szCs w:val="20"/>
        </w:rPr>
      </w:pPr>
      <w:r>
        <w:rPr>
          <w:rFonts w:ascii="仿宋" w:hAnsi="宋体" w:eastAsia="仿宋" w:cs="宋体"/>
          <w:sz w:val="24"/>
          <w:szCs w:val="21"/>
        </w:rPr>
        <w:t>以联合体形式参加政府采购活动的，其质疑应当由组成联合体的所有供应商共同提出。</w:t>
      </w:r>
    </w:p>
    <w:p w14:paraId="4C3A8F89">
      <w:pPr>
        <w:spacing w:line="560" w:lineRule="exact"/>
        <w:ind w:firstLine="482"/>
        <w:rPr>
          <w:rFonts w:ascii="仿宋" w:eastAsia="仿宋"/>
          <w:sz w:val="24"/>
          <w:szCs w:val="20"/>
        </w:rPr>
      </w:pPr>
      <w:r>
        <w:rPr>
          <w:rFonts w:ascii="仿宋" w:hAnsi="宋体" w:eastAsia="仿宋" w:cs="宋体"/>
          <w:sz w:val="24"/>
          <w:szCs w:val="21"/>
        </w:rPr>
        <w:t>26.3 供应商认为招标文件、采购过程和中标结果使自己的合法权益受到损害的，可以在知道或者应知其权益受到损害之日起七个工作日内，将质疑文件原件送达采购人或采购代理机构。</w:t>
      </w:r>
    </w:p>
    <w:p w14:paraId="6B6C63C6">
      <w:pPr>
        <w:spacing w:line="560" w:lineRule="exact"/>
        <w:ind w:firstLine="482"/>
        <w:rPr>
          <w:rFonts w:ascii="仿宋" w:eastAsia="仿宋"/>
          <w:sz w:val="24"/>
          <w:szCs w:val="20"/>
        </w:rPr>
      </w:pPr>
      <w:r>
        <w:rPr>
          <w:rFonts w:ascii="仿宋" w:hAnsi="宋体" w:eastAsia="仿宋" w:cs="宋体"/>
          <w:sz w:val="24"/>
          <w:szCs w:val="21"/>
        </w:rPr>
        <w:t>供应商应知其权益受到损害之日，是指：对招标文件提出质疑的，应当在获取招标文件或者招标文件公告期限届满之日起 7 个工作日内提出；对采购过程提出质疑的，为各采购程序环节结束之日；对中标或者成交结果提出质疑的，为中标或者成交结果公告期限届满之日。供应商必须在法定质疑期内一次性提出针对同一采购程序环节的质疑。</w:t>
      </w:r>
    </w:p>
    <w:p w14:paraId="0CFBA4BD">
      <w:pPr>
        <w:spacing w:line="560" w:lineRule="exact"/>
        <w:ind w:firstLine="482"/>
        <w:rPr>
          <w:rFonts w:ascii="仿宋" w:eastAsia="仿宋"/>
          <w:sz w:val="24"/>
          <w:szCs w:val="20"/>
        </w:rPr>
      </w:pPr>
      <w:r>
        <w:rPr>
          <w:rFonts w:ascii="仿宋" w:hAnsi="宋体" w:eastAsia="仿宋" w:cs="宋体"/>
          <w:sz w:val="24"/>
          <w:szCs w:val="21"/>
        </w:rPr>
        <w:t>26.4 供应商提出质疑应当提交质疑函和必要的证明材料。质疑函应当包括下列内容：</w:t>
      </w:r>
    </w:p>
    <w:p w14:paraId="024AA9A2">
      <w:pPr>
        <w:spacing w:line="560" w:lineRule="exact"/>
        <w:ind w:firstLine="482"/>
        <w:rPr>
          <w:rFonts w:ascii="仿宋" w:eastAsia="仿宋"/>
          <w:sz w:val="24"/>
          <w:szCs w:val="20"/>
        </w:rPr>
      </w:pPr>
      <w:r>
        <w:rPr>
          <w:rFonts w:ascii="仿宋" w:hAnsi="宋体" w:eastAsia="仿宋" w:cs="宋体"/>
          <w:sz w:val="24"/>
          <w:szCs w:val="21"/>
        </w:rPr>
        <w:t>（1）供应商的姓名或者名称、地址、邮编、联系人及联系电话；</w:t>
      </w:r>
    </w:p>
    <w:p w14:paraId="6A217E3B">
      <w:pPr>
        <w:spacing w:line="560" w:lineRule="exact"/>
        <w:ind w:firstLine="482"/>
        <w:rPr>
          <w:rFonts w:ascii="仿宋" w:eastAsia="仿宋"/>
          <w:sz w:val="24"/>
          <w:szCs w:val="20"/>
        </w:rPr>
      </w:pPr>
      <w:bookmarkStart w:id="18" w:name="page20"/>
      <w:bookmarkEnd w:id="18"/>
      <w:r>
        <w:rPr>
          <w:rFonts w:ascii="仿宋" w:hAnsi="宋体" w:eastAsia="仿宋" w:cs="宋体"/>
          <w:sz w:val="24"/>
          <w:szCs w:val="21"/>
        </w:rPr>
        <w:t>（2）质疑项目的名称、编号；</w:t>
      </w:r>
    </w:p>
    <w:p w14:paraId="5DF2C8C3">
      <w:pPr>
        <w:spacing w:line="560" w:lineRule="exact"/>
        <w:ind w:firstLine="482"/>
        <w:rPr>
          <w:rFonts w:ascii="仿宋" w:eastAsia="仿宋"/>
          <w:sz w:val="24"/>
          <w:szCs w:val="20"/>
        </w:rPr>
      </w:pPr>
      <w:r>
        <w:rPr>
          <w:rFonts w:ascii="仿宋" w:hAnsi="宋体" w:eastAsia="仿宋" w:cs="宋体"/>
          <w:sz w:val="24"/>
          <w:szCs w:val="21"/>
        </w:rPr>
        <w:t>（3）具体、明确的质疑事项和与质疑事项相关的请求（具体条款）；</w:t>
      </w:r>
    </w:p>
    <w:p w14:paraId="2F31499D">
      <w:pPr>
        <w:spacing w:line="560" w:lineRule="exact"/>
        <w:ind w:firstLine="482"/>
        <w:rPr>
          <w:rFonts w:ascii="仿宋" w:eastAsia="仿宋"/>
          <w:sz w:val="24"/>
          <w:szCs w:val="20"/>
        </w:rPr>
      </w:pPr>
      <w:r>
        <w:rPr>
          <w:rFonts w:ascii="仿宋" w:hAnsi="宋体" w:eastAsia="仿宋" w:cs="宋体"/>
          <w:sz w:val="24"/>
          <w:szCs w:val="21"/>
        </w:rPr>
        <w:t>（4）事实依据（具体条款）；</w:t>
      </w:r>
    </w:p>
    <w:p w14:paraId="62D58B81">
      <w:pPr>
        <w:spacing w:line="560" w:lineRule="exact"/>
        <w:ind w:firstLine="482"/>
        <w:rPr>
          <w:rFonts w:ascii="仿宋" w:eastAsia="仿宋"/>
          <w:sz w:val="24"/>
          <w:szCs w:val="20"/>
        </w:rPr>
      </w:pPr>
      <w:r>
        <w:rPr>
          <w:rFonts w:ascii="仿宋" w:hAnsi="宋体" w:eastAsia="仿宋" w:cs="宋体"/>
          <w:sz w:val="24"/>
          <w:szCs w:val="21"/>
        </w:rPr>
        <w:t>（5）必要的法律依据（具体条款）；</w:t>
      </w:r>
    </w:p>
    <w:p w14:paraId="7062C178">
      <w:pPr>
        <w:spacing w:line="560" w:lineRule="exact"/>
        <w:ind w:firstLine="482"/>
        <w:rPr>
          <w:rFonts w:ascii="仿宋" w:eastAsia="仿宋"/>
          <w:sz w:val="24"/>
          <w:szCs w:val="20"/>
        </w:rPr>
      </w:pPr>
      <w:r>
        <w:rPr>
          <w:rFonts w:ascii="仿宋" w:hAnsi="宋体" w:eastAsia="仿宋" w:cs="宋体"/>
          <w:sz w:val="24"/>
          <w:szCs w:val="21"/>
        </w:rPr>
        <w:t>（6）提出质疑的日期。</w:t>
      </w:r>
    </w:p>
    <w:p w14:paraId="23AC3DB9">
      <w:pPr>
        <w:spacing w:line="560" w:lineRule="exact"/>
        <w:ind w:firstLine="482"/>
        <w:rPr>
          <w:rFonts w:ascii="仿宋" w:eastAsia="仿宋"/>
          <w:sz w:val="24"/>
          <w:szCs w:val="20"/>
        </w:rPr>
      </w:pPr>
      <w:r>
        <w:rPr>
          <w:rFonts w:ascii="仿宋" w:hAnsi="宋体" w:eastAsia="仿宋" w:cs="宋体"/>
          <w:sz w:val="24"/>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5FE07318">
      <w:pPr>
        <w:spacing w:line="560" w:lineRule="exact"/>
        <w:ind w:firstLine="482"/>
        <w:rPr>
          <w:rFonts w:ascii="仿宋" w:eastAsia="仿宋"/>
          <w:sz w:val="24"/>
          <w:szCs w:val="20"/>
        </w:rPr>
      </w:pPr>
      <w:r>
        <w:rPr>
          <w:rFonts w:ascii="仿宋" w:hAnsi="宋体" w:eastAsia="仿宋" w:cs="宋体"/>
          <w:sz w:val="24"/>
          <w:szCs w:val="21"/>
        </w:rPr>
        <w:t>质疑函应当使用中文。相关当事人提供外文书证或者外国语视听资料的，应当附有中文译本，由翻译机构盖章或者翻译人员签名。</w:t>
      </w:r>
    </w:p>
    <w:p w14:paraId="45FE49C3">
      <w:pPr>
        <w:spacing w:line="560" w:lineRule="exact"/>
        <w:ind w:firstLine="482"/>
        <w:rPr>
          <w:rFonts w:ascii="仿宋" w:eastAsia="仿宋"/>
          <w:sz w:val="24"/>
          <w:szCs w:val="20"/>
        </w:rPr>
      </w:pPr>
      <w:r>
        <w:rPr>
          <w:rFonts w:ascii="仿宋" w:hAnsi="宋体" w:eastAsia="仿宋" w:cs="宋体"/>
          <w:sz w:val="24"/>
          <w:szCs w:val="21"/>
        </w:rPr>
        <w:t>26.5 质疑函应当现场提交至采购代理机构联系人处，提交时应出示有效身份证明。未按上述要求提交质疑函的，质疑不予受理。</w:t>
      </w:r>
    </w:p>
    <w:p w14:paraId="596123C1">
      <w:pPr>
        <w:spacing w:line="560" w:lineRule="exact"/>
        <w:ind w:firstLine="482"/>
        <w:rPr>
          <w:rFonts w:ascii="仿宋" w:eastAsia="仿宋"/>
          <w:sz w:val="24"/>
          <w:szCs w:val="20"/>
        </w:rPr>
      </w:pPr>
      <w:r>
        <w:rPr>
          <w:rFonts w:ascii="仿宋" w:hAnsi="宋体" w:eastAsia="仿宋" w:cs="宋体"/>
          <w:sz w:val="24"/>
          <w:szCs w:val="21"/>
        </w:rPr>
        <w:t>26.6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634C1422">
      <w:pPr>
        <w:spacing w:line="560" w:lineRule="exact"/>
        <w:ind w:firstLine="482"/>
        <w:rPr>
          <w:rFonts w:ascii="仿宋" w:eastAsia="仿宋"/>
          <w:sz w:val="24"/>
          <w:szCs w:val="20"/>
        </w:rPr>
      </w:pPr>
      <w:r>
        <w:rPr>
          <w:rFonts w:ascii="仿宋" w:hAnsi="宋体" w:eastAsia="仿宋" w:cs="宋体"/>
          <w:sz w:val="24"/>
          <w:szCs w:val="21"/>
        </w:rPr>
        <w:t>26.7 采购代理机构在收到供应商的书面质疑后将及时组织调查核实，在</w:t>
      </w:r>
      <w:r>
        <w:rPr>
          <w:rFonts w:ascii="仿宋" w:hAnsi="宋体" w:eastAsia="仿宋" w:cs="宋体"/>
          <w:b/>
          <w:bCs/>
          <w:sz w:val="24"/>
          <w:szCs w:val="21"/>
        </w:rPr>
        <w:t>七个工作日内</w:t>
      </w:r>
      <w:r>
        <w:rPr>
          <w:rFonts w:ascii="仿宋" w:hAnsi="宋体" w:eastAsia="仿宋" w:cs="宋体"/>
          <w:sz w:val="24"/>
          <w:szCs w:val="21"/>
        </w:rPr>
        <w:t>作出答复，并以书面或在网站公告形式通知质疑供应商和其他有关供应商，答复的内容不涉及商业秘密。</w:t>
      </w:r>
    </w:p>
    <w:p w14:paraId="4B6F5EDC">
      <w:pPr>
        <w:spacing w:before="200" w:after="100"/>
        <w:outlineLvl w:val="2"/>
        <w:rPr>
          <w:rFonts w:ascii="仿宋" w:eastAsia="仿宋"/>
          <w:sz w:val="28"/>
          <w:szCs w:val="20"/>
        </w:rPr>
      </w:pPr>
      <w:r>
        <w:rPr>
          <w:rFonts w:ascii="仿宋" w:hAnsi="宋体" w:eastAsia="仿宋" w:cs="宋体"/>
          <w:bCs/>
          <w:sz w:val="28"/>
          <w:szCs w:val="21"/>
        </w:rPr>
        <w:t>27、投诉</w:t>
      </w:r>
    </w:p>
    <w:p w14:paraId="05D045F9">
      <w:pPr>
        <w:spacing w:line="560" w:lineRule="exact"/>
        <w:ind w:firstLine="482"/>
        <w:rPr>
          <w:rFonts w:ascii="仿宋" w:eastAsia="仿宋"/>
          <w:sz w:val="24"/>
          <w:szCs w:val="20"/>
        </w:rPr>
      </w:pPr>
      <w:r>
        <w:rPr>
          <w:rFonts w:ascii="仿宋" w:hAnsi="宋体" w:eastAsia="仿宋" w:cs="宋体"/>
          <w:sz w:val="24"/>
          <w:szCs w:val="21"/>
        </w:rPr>
        <w:t>27.1 质疑供应商对采购代理机构的答复不满意或者采购代理机构未在规定的时间内作出答复的，可以在答复期满后十五个工作日内向同级政府采购监督管理部门投诉。</w:t>
      </w:r>
    </w:p>
    <w:p w14:paraId="5A565D64">
      <w:pPr>
        <w:spacing w:line="560" w:lineRule="exact"/>
        <w:ind w:firstLine="482"/>
        <w:rPr>
          <w:rFonts w:ascii="仿宋" w:eastAsia="仿宋"/>
          <w:sz w:val="24"/>
          <w:szCs w:val="20"/>
        </w:rPr>
      </w:pPr>
      <w:r>
        <w:rPr>
          <w:rFonts w:ascii="仿宋" w:hAnsi="宋体" w:eastAsia="仿宋" w:cs="宋体"/>
          <w:sz w:val="24"/>
          <w:szCs w:val="21"/>
        </w:rPr>
        <w:t>27.2 供应商投诉应当有明确的请求和必要的证明材料。供应商投诉的事项不得超出已质疑事项的范围。</w:t>
      </w:r>
    </w:p>
    <w:p w14:paraId="41F21DD4">
      <w:pPr>
        <w:spacing w:line="560" w:lineRule="exact"/>
        <w:ind w:firstLine="482"/>
        <w:rPr>
          <w:rFonts w:ascii="仿宋" w:eastAsia="仿宋"/>
          <w:sz w:val="24"/>
          <w:szCs w:val="20"/>
        </w:rPr>
      </w:pPr>
      <w:r>
        <w:rPr>
          <w:rFonts w:ascii="仿宋" w:hAnsi="宋体" w:eastAsia="仿宋" w:cs="宋体"/>
          <w:sz w:val="24"/>
          <w:szCs w:val="21"/>
        </w:rPr>
        <w:t>27.3 投诉人对政府采购监督管理部门的投诉处理决定不服或者政府采购监督管理部门逾期未作处理的，可以依法申请行政复议或者向人民法院提起行政诉讼。</w:t>
      </w:r>
    </w:p>
    <w:p w14:paraId="267D5FDE">
      <w:pPr>
        <w:spacing w:line="560" w:lineRule="exact"/>
        <w:ind w:firstLine="482"/>
        <w:rPr>
          <w:rFonts w:ascii="仿宋" w:eastAsia="仿宋"/>
          <w:sz w:val="24"/>
          <w:szCs w:val="20"/>
        </w:rPr>
      </w:pPr>
      <w:r>
        <w:rPr>
          <w:rFonts w:ascii="仿宋" w:hAnsi="宋体" w:eastAsia="仿宋" w:cs="宋体"/>
          <w:sz w:val="24"/>
          <w:szCs w:val="21"/>
        </w:rPr>
        <w:t>27.4 投诉人有下列行为之一的，属于严重失信行为，由财政部门列入不良行为记录名单，禁止其一至三年内参加政府采购活动。</w:t>
      </w:r>
    </w:p>
    <w:p w14:paraId="1ACC966D">
      <w:pPr>
        <w:spacing w:line="560" w:lineRule="exact"/>
        <w:ind w:firstLine="482"/>
        <w:rPr>
          <w:rFonts w:ascii="仿宋" w:eastAsia="仿宋"/>
          <w:sz w:val="24"/>
          <w:szCs w:val="20"/>
        </w:rPr>
      </w:pPr>
      <w:r>
        <w:rPr>
          <w:rFonts w:ascii="仿宋" w:hAnsi="宋体" w:eastAsia="仿宋" w:cs="宋体"/>
          <w:sz w:val="24"/>
          <w:szCs w:val="21"/>
        </w:rPr>
        <w:t>（1）投诉人在全国范围 12 个月内三次以上投诉查无实据的；</w:t>
      </w:r>
    </w:p>
    <w:p w14:paraId="389B12EF">
      <w:pPr>
        <w:spacing w:line="560" w:lineRule="exact"/>
        <w:ind w:firstLine="482"/>
        <w:rPr>
          <w:rFonts w:ascii="仿宋" w:eastAsia="仿宋"/>
          <w:sz w:val="24"/>
          <w:szCs w:val="20"/>
        </w:rPr>
      </w:pPr>
      <w:r>
        <w:rPr>
          <w:rFonts w:ascii="仿宋" w:hAnsi="宋体" w:eastAsia="仿宋" w:cs="宋体"/>
          <w:sz w:val="24"/>
          <w:szCs w:val="21"/>
        </w:rPr>
        <w:t>（2）采用捏造事实、提供虚假材料或者以非法手段取得证明材料等方式进行虚假、恶意投诉。</w:t>
      </w:r>
      <w:bookmarkStart w:id="19" w:name="page21"/>
      <w:bookmarkEnd w:id="19"/>
      <w:r>
        <w:rPr>
          <w:rFonts w:ascii="仿宋" w:hAnsi="宋体" w:eastAsia="仿宋" w:cs="宋体"/>
          <w:sz w:val="24"/>
          <w:szCs w:val="21"/>
        </w:rPr>
        <w:t>证据来源的合法性存在明显疑问，投诉人无法证明其取得方式合法的，视为以非法手段取得</w:t>
      </w:r>
      <w:r>
        <w:rPr>
          <w:rFonts w:hint="eastAsia" w:ascii="仿宋" w:hAnsi="宋体" w:eastAsia="仿宋" w:cs="宋体"/>
          <w:sz w:val="24"/>
          <w:szCs w:val="21"/>
        </w:rPr>
        <w:t>证据</w:t>
      </w:r>
      <w:r>
        <w:rPr>
          <w:rFonts w:ascii="仿宋" w:hAnsi="宋体" w:eastAsia="仿宋" w:cs="宋体"/>
          <w:sz w:val="24"/>
          <w:szCs w:val="21"/>
        </w:rPr>
        <w:t>明材料。</w:t>
      </w:r>
    </w:p>
    <w:p w14:paraId="6F6F3120">
      <w:pPr>
        <w:spacing w:before="200" w:after="100"/>
        <w:jc w:val="center"/>
        <w:outlineLvl w:val="9"/>
        <w:rPr>
          <w:rFonts w:hint="eastAsia" w:ascii="黑体" w:hAnsi="宋体" w:eastAsia="黑体" w:cs="宋体"/>
          <w:bCs/>
          <w:sz w:val="32"/>
          <w:szCs w:val="32"/>
        </w:rPr>
      </w:pPr>
      <w:bookmarkStart w:id="20" w:name="page22"/>
      <w:bookmarkEnd w:id="20"/>
    </w:p>
    <w:p w14:paraId="3CF074C9">
      <w:pPr>
        <w:spacing w:before="200" w:after="100"/>
        <w:jc w:val="both"/>
        <w:outlineLvl w:val="9"/>
        <w:rPr>
          <w:rFonts w:hint="eastAsia" w:ascii="黑体" w:hAnsi="宋体" w:eastAsia="黑体" w:cs="宋体"/>
          <w:bCs/>
          <w:sz w:val="32"/>
          <w:szCs w:val="32"/>
        </w:rPr>
      </w:pPr>
    </w:p>
    <w:p w14:paraId="6B630D1D">
      <w:pPr>
        <w:jc w:val="center"/>
        <w:rPr>
          <w:rFonts w:ascii="黑体" w:eastAsia="黑体"/>
          <w:sz w:val="32"/>
          <w:szCs w:val="20"/>
        </w:rPr>
      </w:pPr>
      <w:r>
        <w:rPr>
          <w:rFonts w:ascii="黑体" w:hAnsi="宋体" w:eastAsia="黑体" w:cs="宋体"/>
          <w:bCs/>
          <w:sz w:val="32"/>
          <w:szCs w:val="32"/>
        </w:rPr>
        <w:t>第三章 评标标准</w:t>
      </w:r>
    </w:p>
    <w:p w14:paraId="61B81511">
      <w:pPr>
        <w:spacing w:line="560" w:lineRule="exact"/>
        <w:ind w:firstLine="482"/>
        <w:rPr>
          <w:rFonts w:ascii="仿宋" w:eastAsia="仿宋"/>
          <w:sz w:val="24"/>
          <w:szCs w:val="20"/>
        </w:rPr>
      </w:pPr>
      <w:r>
        <w:rPr>
          <w:rFonts w:ascii="仿宋" w:hAnsi="宋体" w:eastAsia="仿宋" w:cs="宋体"/>
          <w:sz w:val="24"/>
          <w:szCs w:val="21"/>
        </w:rPr>
        <w:t>本项目采用综合评分法，评分统计方法将全部评委评分直接进行算术平均，小数点后保留 2位。按评审后得分由高到低顺序排列，得分相同的，按投标报价由低到高顺序排列，得分且投标报价相同的，按技术指标优劣顺序排列，由评标委员会确定中标供应商。</w:t>
      </w:r>
    </w:p>
    <w:p w14:paraId="47BD208D">
      <w:pPr>
        <w:spacing w:line="20" w:lineRule="exact"/>
        <w:ind w:firstLine="480" w:firstLineChars="200"/>
        <w:rPr>
          <w:rFonts w:ascii="仿宋" w:eastAsia="仿宋"/>
          <w:sz w:val="24"/>
          <w:szCs w:val="20"/>
        </w:rPr>
      </w:pPr>
    </w:p>
    <w:p w14:paraId="7116025C">
      <w:pPr>
        <w:spacing w:line="20" w:lineRule="exact"/>
        <w:ind w:firstLine="480" w:firstLineChars="200"/>
        <w:rPr>
          <w:rFonts w:ascii="仿宋" w:eastAsia="仿宋"/>
          <w:sz w:val="24"/>
          <w:szCs w:val="20"/>
        </w:rPr>
      </w:pPr>
    </w:p>
    <w:p w14:paraId="46559228">
      <w:pPr>
        <w:spacing w:line="20" w:lineRule="exact"/>
        <w:ind w:firstLine="480" w:firstLineChars="200"/>
        <w:rPr>
          <w:rFonts w:ascii="仿宋" w:eastAsia="仿宋"/>
          <w:sz w:val="24"/>
          <w:szCs w:val="20"/>
        </w:rPr>
      </w:pPr>
    </w:p>
    <w:p w14:paraId="3FBF4D9F">
      <w:pPr>
        <w:spacing w:line="20" w:lineRule="exact"/>
        <w:ind w:firstLine="480" w:firstLineChars="200"/>
        <w:rPr>
          <w:rFonts w:ascii="仿宋" w:eastAsia="仿宋"/>
          <w:sz w:val="24"/>
          <w:szCs w:val="20"/>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50"/>
        <w:gridCol w:w="1304"/>
        <w:gridCol w:w="6206"/>
      </w:tblGrid>
      <w:tr w14:paraId="5A34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4" w:space="0"/>
              <w:left w:val="single" w:color="auto" w:sz="4" w:space="0"/>
              <w:bottom w:val="single" w:color="auto" w:sz="4" w:space="0"/>
              <w:right w:val="single" w:color="auto" w:sz="4" w:space="0"/>
            </w:tcBorders>
            <w:vAlign w:val="center"/>
          </w:tcPr>
          <w:p w14:paraId="49635423">
            <w:pPr>
              <w:jc w:val="center"/>
              <w:rPr>
                <w:rFonts w:hint="eastAsia" w:ascii="仿宋" w:hAnsi="仿宋" w:eastAsia="仿宋" w:cs="仿宋"/>
              </w:rPr>
            </w:pPr>
            <w:r>
              <w:rPr>
                <w:rFonts w:hint="eastAsia" w:ascii="仿宋" w:hAnsi="仿宋" w:eastAsia="仿宋" w:cs="仿宋"/>
              </w:rPr>
              <w:t>序号</w:t>
            </w:r>
          </w:p>
        </w:tc>
        <w:tc>
          <w:tcPr>
            <w:tcW w:w="2154" w:type="dxa"/>
            <w:gridSpan w:val="2"/>
            <w:tcBorders>
              <w:top w:val="single" w:color="auto" w:sz="4" w:space="0"/>
              <w:left w:val="single" w:color="auto" w:sz="4" w:space="0"/>
              <w:bottom w:val="single" w:color="auto" w:sz="4" w:space="0"/>
              <w:right w:val="single" w:color="auto" w:sz="4" w:space="0"/>
            </w:tcBorders>
            <w:vAlign w:val="center"/>
          </w:tcPr>
          <w:p w14:paraId="2D696DC3">
            <w:pPr>
              <w:jc w:val="center"/>
              <w:rPr>
                <w:rFonts w:hint="eastAsia" w:ascii="仿宋" w:hAnsi="仿宋" w:eastAsia="仿宋" w:cs="仿宋"/>
              </w:rPr>
            </w:pPr>
            <w:r>
              <w:rPr>
                <w:rFonts w:hint="eastAsia" w:ascii="仿宋" w:hAnsi="仿宋" w:eastAsia="仿宋" w:cs="仿宋"/>
              </w:rPr>
              <w:t>评分</w:t>
            </w:r>
          </w:p>
          <w:p w14:paraId="180EF5E0">
            <w:pPr>
              <w:jc w:val="center"/>
              <w:rPr>
                <w:rFonts w:hint="eastAsia" w:ascii="仿宋" w:hAnsi="仿宋" w:eastAsia="仿宋" w:cs="仿宋"/>
              </w:rPr>
            </w:pPr>
            <w:r>
              <w:rPr>
                <w:rFonts w:hint="eastAsia" w:ascii="仿宋" w:hAnsi="仿宋" w:eastAsia="仿宋" w:cs="仿宋"/>
              </w:rPr>
              <w:t>因素</w:t>
            </w:r>
          </w:p>
        </w:tc>
        <w:tc>
          <w:tcPr>
            <w:tcW w:w="6206" w:type="dxa"/>
            <w:tcBorders>
              <w:top w:val="single" w:color="auto" w:sz="4" w:space="0"/>
              <w:left w:val="nil"/>
              <w:bottom w:val="single" w:color="auto" w:sz="4" w:space="0"/>
              <w:right w:val="single" w:color="auto" w:sz="4" w:space="0"/>
            </w:tcBorders>
            <w:vAlign w:val="center"/>
          </w:tcPr>
          <w:p w14:paraId="56249B68">
            <w:pPr>
              <w:jc w:val="center"/>
              <w:rPr>
                <w:rFonts w:hint="eastAsia" w:ascii="仿宋" w:hAnsi="仿宋" w:eastAsia="仿宋" w:cs="仿宋"/>
              </w:rPr>
            </w:pPr>
            <w:r>
              <w:rPr>
                <w:rFonts w:hint="eastAsia" w:ascii="仿宋" w:hAnsi="仿宋" w:eastAsia="仿宋" w:cs="仿宋"/>
              </w:rPr>
              <w:t>评审标准</w:t>
            </w:r>
          </w:p>
        </w:tc>
      </w:tr>
      <w:tr w14:paraId="6DE8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A7ADA66">
            <w:pPr>
              <w:jc w:val="center"/>
              <w:rPr>
                <w:rFonts w:hint="eastAsia" w:ascii="仿宋" w:hAnsi="仿宋" w:eastAsia="仿宋" w:cs="仿宋"/>
              </w:rPr>
            </w:pPr>
            <w:r>
              <w:rPr>
                <w:rFonts w:hint="eastAsia" w:ascii="仿宋" w:hAnsi="仿宋" w:eastAsia="仿宋" w:cs="仿宋"/>
              </w:rPr>
              <w:t>1</w:t>
            </w:r>
          </w:p>
        </w:tc>
        <w:tc>
          <w:tcPr>
            <w:tcW w:w="850" w:type="dxa"/>
            <w:tcBorders>
              <w:top w:val="single" w:color="auto" w:sz="4" w:space="0"/>
              <w:left w:val="single" w:color="auto" w:sz="4" w:space="0"/>
              <w:bottom w:val="single" w:color="auto" w:sz="4" w:space="0"/>
              <w:right w:val="single" w:color="auto" w:sz="4" w:space="0"/>
            </w:tcBorders>
            <w:vAlign w:val="center"/>
          </w:tcPr>
          <w:p w14:paraId="3F13A774">
            <w:pPr>
              <w:jc w:val="center"/>
              <w:rPr>
                <w:rFonts w:hint="eastAsia" w:ascii="仿宋" w:hAnsi="仿宋" w:eastAsia="仿宋" w:cs="仿宋"/>
              </w:rPr>
            </w:pPr>
            <w:r>
              <w:rPr>
                <w:rFonts w:hint="eastAsia" w:ascii="仿宋" w:hAnsi="仿宋" w:eastAsia="仿宋" w:cs="仿宋"/>
              </w:rPr>
              <w:t>投标报价</w:t>
            </w:r>
          </w:p>
        </w:tc>
        <w:tc>
          <w:tcPr>
            <w:tcW w:w="1304" w:type="dxa"/>
            <w:tcBorders>
              <w:top w:val="single" w:color="auto" w:sz="4" w:space="0"/>
              <w:left w:val="single" w:color="auto" w:sz="4" w:space="0"/>
              <w:bottom w:val="single" w:color="auto" w:sz="4" w:space="0"/>
              <w:right w:val="single" w:color="auto" w:sz="4" w:space="0"/>
            </w:tcBorders>
            <w:vAlign w:val="center"/>
          </w:tcPr>
          <w:p w14:paraId="6F8B3AF4">
            <w:pPr>
              <w:jc w:val="center"/>
              <w:rPr>
                <w:rFonts w:hint="eastAsia" w:ascii="仿宋" w:hAnsi="仿宋" w:eastAsia="仿宋" w:cs="仿宋"/>
              </w:rPr>
            </w:pPr>
            <w:r>
              <w:rPr>
                <w:rFonts w:hint="eastAsia" w:ascii="仿宋" w:hAnsi="仿宋" w:eastAsia="仿宋" w:cs="仿宋"/>
              </w:rPr>
              <w:t>价格</w:t>
            </w:r>
          </w:p>
          <w:p w14:paraId="4D7E5B6F">
            <w:pPr>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15</w:t>
            </w:r>
            <w:r>
              <w:rPr>
                <w:rFonts w:hint="eastAsia" w:ascii="仿宋" w:hAnsi="仿宋" w:eastAsia="仿宋" w:cs="仿宋"/>
              </w:rPr>
              <w:t>分）</w:t>
            </w:r>
          </w:p>
        </w:tc>
        <w:tc>
          <w:tcPr>
            <w:tcW w:w="6206" w:type="dxa"/>
            <w:tcBorders>
              <w:top w:val="single" w:color="auto" w:sz="4" w:space="0"/>
              <w:left w:val="nil"/>
              <w:bottom w:val="single" w:color="auto" w:sz="4" w:space="0"/>
              <w:right w:val="single" w:color="auto" w:sz="4" w:space="0"/>
            </w:tcBorders>
            <w:vAlign w:val="center"/>
          </w:tcPr>
          <w:p w14:paraId="3A91C634">
            <w:pPr>
              <w:jc w:val="both"/>
              <w:rPr>
                <w:rFonts w:hint="eastAsia" w:ascii="仿宋" w:hAnsi="仿宋" w:eastAsia="仿宋" w:cs="仿宋"/>
              </w:rPr>
            </w:pPr>
            <w:r>
              <w:rPr>
                <w:rFonts w:hint="eastAsia" w:ascii="仿宋" w:hAnsi="仿宋" w:eastAsia="仿宋" w:cs="仿宋"/>
                <w:color w:val="auto"/>
              </w:rPr>
              <w:t>价格分采用低价优先法计算，即满足招标文件要求且投标价格最低的投标报价为评标基准价A值，A值为价格分的满分，即</w:t>
            </w:r>
            <w:r>
              <w:rPr>
                <w:rFonts w:hint="eastAsia" w:ascii="仿宋" w:hAnsi="仿宋" w:eastAsia="仿宋" w:cs="仿宋"/>
                <w:color w:val="auto"/>
                <w:lang w:val="en-US" w:eastAsia="zh-CN"/>
              </w:rPr>
              <w:t>15</w:t>
            </w:r>
            <w:r>
              <w:rPr>
                <w:rFonts w:hint="eastAsia" w:ascii="仿宋" w:hAnsi="仿宋" w:eastAsia="仿宋" w:cs="仿宋"/>
                <w:color w:val="auto"/>
              </w:rPr>
              <w:t>分。其他投标人的价格分统一按照以下公式计算：投标人评标价得分=（A／该投标人评标价）×</w:t>
            </w:r>
            <w:r>
              <w:rPr>
                <w:rFonts w:hint="eastAsia" w:ascii="仿宋" w:hAnsi="仿宋" w:eastAsia="仿宋" w:cs="仿宋"/>
                <w:color w:val="auto"/>
                <w:lang w:val="en-US" w:eastAsia="zh-CN"/>
              </w:rPr>
              <w:t>15</w:t>
            </w:r>
            <w:r>
              <w:rPr>
                <w:rFonts w:hint="eastAsia" w:ascii="仿宋" w:hAnsi="仿宋" w:eastAsia="仿宋" w:cs="仿宋"/>
                <w:color w:val="auto"/>
              </w:rPr>
              <w:t>。</w:t>
            </w:r>
          </w:p>
        </w:tc>
      </w:tr>
      <w:tr w14:paraId="5F6E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07" w:type="dxa"/>
            <w:tcBorders>
              <w:left w:val="single" w:color="auto" w:sz="4" w:space="0"/>
              <w:right w:val="single" w:color="auto" w:sz="4" w:space="0"/>
            </w:tcBorders>
            <w:shd w:val="clear" w:color="auto" w:fill="auto"/>
            <w:vAlign w:val="center"/>
          </w:tcPr>
          <w:p w14:paraId="7DEB773C">
            <w:pPr>
              <w:jc w:val="center"/>
              <w:rPr>
                <w:rFonts w:hint="eastAsia" w:ascii="仿宋" w:hAnsi="仿宋" w:eastAsia="仿宋" w:cs="仿宋"/>
              </w:rPr>
            </w:pPr>
            <w:r>
              <w:rPr>
                <w:rFonts w:hint="eastAsia" w:ascii="仿宋" w:hAnsi="仿宋" w:eastAsia="仿宋" w:cs="仿宋"/>
              </w:rPr>
              <w:t>2.1</w:t>
            </w:r>
          </w:p>
        </w:tc>
        <w:tc>
          <w:tcPr>
            <w:tcW w:w="850" w:type="dxa"/>
            <w:vMerge w:val="restart"/>
            <w:tcBorders>
              <w:left w:val="nil"/>
              <w:right w:val="single" w:color="auto" w:sz="4" w:space="0"/>
            </w:tcBorders>
            <w:shd w:val="clear" w:color="auto" w:fill="auto"/>
            <w:vAlign w:val="center"/>
          </w:tcPr>
          <w:p w14:paraId="22E2EACE">
            <w:pPr>
              <w:jc w:val="center"/>
              <w:rPr>
                <w:rFonts w:hint="eastAsia" w:ascii="仿宋" w:hAnsi="仿宋" w:eastAsia="仿宋" w:cs="仿宋"/>
              </w:rPr>
            </w:pPr>
            <w:r>
              <w:rPr>
                <w:rFonts w:hint="eastAsia" w:ascii="仿宋" w:hAnsi="仿宋" w:eastAsia="仿宋" w:cs="仿宋"/>
              </w:rPr>
              <w:t>商务评分</w:t>
            </w:r>
          </w:p>
        </w:tc>
        <w:tc>
          <w:tcPr>
            <w:tcW w:w="1304" w:type="dxa"/>
            <w:shd w:val="clear" w:color="auto" w:fill="FFFFFF"/>
            <w:vAlign w:val="center"/>
          </w:tcPr>
          <w:p w14:paraId="72D55616">
            <w:pPr>
              <w:jc w:val="center"/>
              <w:rPr>
                <w:rFonts w:hint="eastAsia" w:ascii="仿宋" w:hAnsi="仿宋" w:eastAsia="仿宋" w:cs="仿宋"/>
              </w:rPr>
            </w:pPr>
            <w:r>
              <w:rPr>
                <w:rFonts w:hint="eastAsia" w:ascii="仿宋" w:hAnsi="仿宋" w:eastAsia="仿宋" w:cs="仿宋"/>
              </w:rPr>
              <w:t>业绩</w:t>
            </w:r>
          </w:p>
          <w:p w14:paraId="57D0F867">
            <w:pPr>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分）</w:t>
            </w:r>
          </w:p>
        </w:tc>
        <w:tc>
          <w:tcPr>
            <w:tcW w:w="6206" w:type="dxa"/>
            <w:shd w:val="clear" w:color="auto" w:fill="FFFFFF"/>
            <w:vAlign w:val="center"/>
          </w:tcPr>
          <w:p w14:paraId="585D93EB">
            <w:pPr>
              <w:jc w:val="both"/>
              <w:rPr>
                <w:rFonts w:hint="eastAsia" w:ascii="仿宋" w:hAnsi="仿宋" w:eastAsia="仿宋" w:cs="仿宋"/>
                <w:color w:val="auto"/>
              </w:rPr>
            </w:pPr>
            <w:r>
              <w:rPr>
                <w:rFonts w:hint="eastAsia" w:ascii="仿宋" w:hAnsi="仿宋" w:eastAsia="仿宋" w:cs="仿宋"/>
                <w:color w:val="auto"/>
              </w:rPr>
              <w:t>投标人提供自20</w:t>
            </w:r>
            <w:r>
              <w:rPr>
                <w:rFonts w:hint="eastAsia" w:ascii="仿宋" w:hAnsi="仿宋" w:eastAsia="仿宋" w:cs="仿宋"/>
                <w:color w:val="auto"/>
                <w:lang w:val="en-US" w:eastAsia="zh-CN"/>
              </w:rPr>
              <w:t>20</w:t>
            </w:r>
            <w:r>
              <w:rPr>
                <w:rFonts w:hint="eastAsia" w:ascii="仿宋" w:hAnsi="仿宋" w:eastAsia="仿宋" w:cs="仿宋"/>
                <w:color w:val="auto"/>
              </w:rPr>
              <w:t>年1月1日以来（含）（以合同签订日期为准）与本次招标相同或类似的业绩证明每个业绩得</w:t>
            </w:r>
            <w:r>
              <w:rPr>
                <w:rFonts w:hint="eastAsia" w:ascii="仿宋" w:hAnsi="仿宋" w:eastAsia="仿宋" w:cs="仿宋"/>
                <w:color w:val="auto"/>
                <w:lang w:val="en-US" w:eastAsia="zh-CN"/>
              </w:rPr>
              <w:t xml:space="preserve">1                                                                                                                                         </w:t>
            </w:r>
            <w:r>
              <w:rPr>
                <w:rFonts w:hint="eastAsia" w:ascii="仿宋" w:hAnsi="仿宋" w:eastAsia="仿宋" w:cs="仿宋"/>
                <w:color w:val="auto"/>
              </w:rPr>
              <w:t>分，最高</w:t>
            </w:r>
            <w:r>
              <w:rPr>
                <w:rFonts w:hint="eastAsia" w:ascii="仿宋" w:hAnsi="仿宋" w:eastAsia="仿宋" w:cs="仿宋"/>
                <w:color w:val="auto"/>
                <w:lang w:val="en-US" w:eastAsia="zh-CN"/>
              </w:rPr>
              <w:t>10</w:t>
            </w:r>
            <w:r>
              <w:rPr>
                <w:rFonts w:hint="eastAsia" w:ascii="仿宋" w:hAnsi="仿宋" w:eastAsia="仿宋" w:cs="仿宋"/>
                <w:color w:val="auto"/>
              </w:rPr>
              <w:t>分。（提供合同复印件，至少提供合同首页、关键页和签字页，提供复印件加盖公章。）</w:t>
            </w:r>
          </w:p>
        </w:tc>
      </w:tr>
      <w:tr w14:paraId="2302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7" w:type="dxa"/>
            <w:vMerge w:val="restart"/>
            <w:tcBorders>
              <w:left w:val="single" w:color="auto" w:sz="4" w:space="0"/>
              <w:right w:val="single" w:color="auto" w:sz="4" w:space="0"/>
            </w:tcBorders>
            <w:shd w:val="clear" w:color="auto" w:fill="auto"/>
            <w:vAlign w:val="center"/>
          </w:tcPr>
          <w:p w14:paraId="7F5448BA">
            <w:pPr>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850" w:type="dxa"/>
            <w:vMerge w:val="continue"/>
            <w:tcBorders>
              <w:left w:val="nil"/>
              <w:right w:val="single" w:color="auto" w:sz="4" w:space="0"/>
            </w:tcBorders>
            <w:shd w:val="clear" w:color="auto" w:fill="auto"/>
            <w:vAlign w:val="center"/>
          </w:tcPr>
          <w:p w14:paraId="615E5984">
            <w:pPr>
              <w:jc w:val="center"/>
              <w:rPr>
                <w:rFonts w:hint="eastAsia" w:ascii="仿宋" w:hAnsi="仿宋" w:eastAsia="仿宋" w:cs="仿宋"/>
              </w:rPr>
            </w:pPr>
          </w:p>
        </w:tc>
        <w:tc>
          <w:tcPr>
            <w:tcW w:w="1304" w:type="dxa"/>
            <w:vMerge w:val="restart"/>
            <w:shd w:val="clear" w:color="auto" w:fill="FFFFFF"/>
            <w:vAlign w:val="center"/>
          </w:tcPr>
          <w:p w14:paraId="69BC7763">
            <w:pPr>
              <w:jc w:val="center"/>
              <w:rPr>
                <w:rFonts w:hint="eastAsia" w:ascii="仿宋" w:hAnsi="仿宋" w:eastAsia="仿宋" w:cs="仿宋"/>
                <w:lang w:val="en-US" w:eastAsia="zh-CN"/>
              </w:rPr>
            </w:pPr>
            <w:r>
              <w:rPr>
                <w:rFonts w:hint="eastAsia" w:ascii="仿宋" w:hAnsi="仿宋" w:eastAsia="仿宋" w:cs="仿宋"/>
                <w:lang w:val="en-US" w:eastAsia="zh-CN"/>
              </w:rPr>
              <w:t>认证证书</w:t>
            </w:r>
          </w:p>
          <w:p w14:paraId="3725B170">
            <w:pPr>
              <w:jc w:val="center"/>
              <w:rPr>
                <w:rFonts w:hint="eastAsia" w:ascii="仿宋" w:hAnsi="仿宋" w:eastAsia="仿宋" w:cs="仿宋"/>
                <w:lang w:val="en-US" w:eastAsia="zh-CN"/>
              </w:rPr>
            </w:pPr>
            <w:r>
              <w:rPr>
                <w:rFonts w:hint="eastAsia" w:ascii="仿宋" w:hAnsi="仿宋" w:eastAsia="仿宋" w:cs="仿宋"/>
                <w:lang w:val="en-US" w:eastAsia="zh-CN"/>
              </w:rPr>
              <w:t>（10分）</w:t>
            </w:r>
          </w:p>
        </w:tc>
        <w:tc>
          <w:tcPr>
            <w:tcW w:w="6206" w:type="dxa"/>
            <w:shd w:val="clear" w:color="auto" w:fill="FFFFFF"/>
            <w:vAlign w:val="center"/>
          </w:tcPr>
          <w:p w14:paraId="55FC6077">
            <w:pPr>
              <w:jc w:val="both"/>
              <w:rPr>
                <w:rFonts w:hint="eastAsia" w:ascii="仿宋" w:hAnsi="仿宋" w:eastAsia="仿宋" w:cs="仿宋"/>
                <w:color w:val="auto"/>
              </w:rPr>
            </w:pPr>
            <w:r>
              <w:rPr>
                <w:rFonts w:hint="eastAsia" w:ascii="仿宋" w:hAnsi="仿宋" w:eastAsia="仿宋" w:cs="仿宋"/>
                <w:color w:val="auto"/>
                <w:lang w:val="en-US" w:eastAsia="zh-CN"/>
              </w:rPr>
              <w:t>投标人具有高新技术企业证书得4</w:t>
            </w:r>
            <w:r>
              <w:rPr>
                <w:rFonts w:hint="eastAsia" w:ascii="仿宋" w:hAnsi="仿宋" w:eastAsia="仿宋" w:cs="仿宋"/>
                <w:color w:val="auto"/>
              </w:rPr>
              <w:t>分，</w:t>
            </w:r>
            <w:r>
              <w:rPr>
                <w:rFonts w:hint="eastAsia" w:ascii="仿宋" w:hAnsi="仿宋" w:eastAsia="仿宋" w:cs="仿宋"/>
                <w:color w:val="auto"/>
                <w:lang w:val="en-US" w:eastAsia="zh-CN"/>
              </w:rPr>
              <w:t>没有不得分。</w:t>
            </w:r>
            <w:r>
              <w:rPr>
                <w:rFonts w:hint="eastAsia" w:ascii="仿宋" w:hAnsi="仿宋" w:eastAsia="仿宋" w:cs="仿宋"/>
                <w:color w:val="auto"/>
                <w:lang w:eastAsia="zh-CN"/>
              </w:rPr>
              <w:t>（</w:t>
            </w:r>
            <w:r>
              <w:rPr>
                <w:rFonts w:hint="eastAsia" w:ascii="仿宋" w:hAnsi="仿宋" w:eastAsia="仿宋" w:cs="仿宋"/>
                <w:color w:val="auto"/>
              </w:rPr>
              <w:t>提供证书复印件加盖公章</w:t>
            </w:r>
            <w:r>
              <w:rPr>
                <w:rFonts w:hint="eastAsia" w:ascii="仿宋" w:hAnsi="仿宋" w:eastAsia="仿宋" w:cs="仿宋"/>
                <w:color w:val="auto"/>
                <w:lang w:eastAsia="zh-CN"/>
              </w:rPr>
              <w:t>。）</w:t>
            </w:r>
          </w:p>
        </w:tc>
      </w:tr>
      <w:tr w14:paraId="5C98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7" w:type="dxa"/>
            <w:vMerge w:val="continue"/>
            <w:tcBorders>
              <w:left w:val="single" w:color="auto" w:sz="4" w:space="0"/>
              <w:right w:val="single" w:color="auto" w:sz="4" w:space="0"/>
            </w:tcBorders>
            <w:shd w:val="clear" w:color="auto" w:fill="auto"/>
            <w:vAlign w:val="center"/>
          </w:tcPr>
          <w:p w14:paraId="06BA3648">
            <w:pPr>
              <w:jc w:val="center"/>
              <w:rPr>
                <w:rFonts w:hint="eastAsia" w:ascii="仿宋" w:hAnsi="仿宋" w:eastAsia="仿宋" w:cs="仿宋"/>
                <w:lang w:val="en-US" w:eastAsia="zh-CN"/>
              </w:rPr>
            </w:pPr>
          </w:p>
        </w:tc>
        <w:tc>
          <w:tcPr>
            <w:tcW w:w="850" w:type="dxa"/>
            <w:vMerge w:val="continue"/>
            <w:tcBorders>
              <w:left w:val="nil"/>
              <w:right w:val="single" w:color="auto" w:sz="4" w:space="0"/>
            </w:tcBorders>
            <w:shd w:val="clear" w:color="auto" w:fill="auto"/>
            <w:vAlign w:val="center"/>
          </w:tcPr>
          <w:p w14:paraId="60F882D8">
            <w:pPr>
              <w:jc w:val="center"/>
              <w:rPr>
                <w:rFonts w:hint="eastAsia" w:ascii="仿宋" w:hAnsi="仿宋" w:eastAsia="仿宋" w:cs="仿宋"/>
              </w:rPr>
            </w:pPr>
          </w:p>
        </w:tc>
        <w:tc>
          <w:tcPr>
            <w:tcW w:w="1304" w:type="dxa"/>
            <w:vMerge w:val="continue"/>
            <w:shd w:val="clear" w:color="auto" w:fill="FFFFFF"/>
            <w:vAlign w:val="center"/>
          </w:tcPr>
          <w:p w14:paraId="13B7A83E">
            <w:pPr>
              <w:jc w:val="center"/>
              <w:rPr>
                <w:rFonts w:hint="eastAsia" w:ascii="仿宋" w:hAnsi="仿宋" w:eastAsia="仿宋" w:cs="仿宋"/>
                <w:lang w:val="en-US" w:eastAsia="zh-CN"/>
              </w:rPr>
            </w:pPr>
          </w:p>
        </w:tc>
        <w:tc>
          <w:tcPr>
            <w:tcW w:w="6206" w:type="dxa"/>
            <w:shd w:val="clear" w:color="auto" w:fill="FFFFFF"/>
            <w:vAlign w:val="center"/>
          </w:tcPr>
          <w:p w14:paraId="001CFF17">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投标人</w:t>
            </w:r>
            <w:r>
              <w:rPr>
                <w:rFonts w:hint="eastAsia" w:ascii="仿宋" w:hAnsi="仿宋" w:eastAsia="仿宋" w:cs="仿宋"/>
                <w:color w:val="auto"/>
              </w:rPr>
              <w:t>具有有效期内的ISO14001体系认证证书</w:t>
            </w:r>
            <w:r>
              <w:rPr>
                <w:rFonts w:hint="eastAsia" w:ascii="仿宋" w:hAnsi="仿宋" w:eastAsia="仿宋" w:cs="仿宋"/>
                <w:color w:val="auto"/>
                <w:lang w:eastAsia="zh-CN"/>
              </w:rPr>
              <w:t>、</w:t>
            </w:r>
            <w:r>
              <w:rPr>
                <w:rFonts w:hint="eastAsia" w:ascii="仿宋" w:hAnsi="仿宋" w:eastAsia="仿宋" w:cs="仿宋"/>
                <w:color w:val="auto"/>
              </w:rPr>
              <w:t>ISO45001体系认证证书</w:t>
            </w:r>
            <w:r>
              <w:rPr>
                <w:rFonts w:hint="eastAsia" w:ascii="仿宋" w:hAnsi="仿宋" w:eastAsia="仿宋" w:cs="仿宋"/>
                <w:color w:val="auto"/>
                <w:lang w:val="en-US" w:eastAsia="zh-CN"/>
              </w:rPr>
              <w:t>和</w:t>
            </w:r>
            <w:r>
              <w:rPr>
                <w:rFonts w:hint="eastAsia" w:ascii="仿宋" w:hAnsi="仿宋" w:eastAsia="仿宋" w:cs="仿宋"/>
                <w:color w:val="auto"/>
              </w:rPr>
              <w:t>IS09001体系认证证书</w:t>
            </w:r>
            <w:r>
              <w:rPr>
                <w:rFonts w:hint="eastAsia" w:ascii="仿宋" w:hAnsi="仿宋" w:eastAsia="仿宋" w:cs="仿宋"/>
                <w:color w:val="auto"/>
                <w:lang w:eastAsia="zh-CN"/>
              </w:rPr>
              <w:t>，</w:t>
            </w:r>
            <w:r>
              <w:rPr>
                <w:rFonts w:hint="eastAsia" w:ascii="仿宋" w:hAnsi="仿宋" w:eastAsia="仿宋" w:cs="仿宋"/>
                <w:color w:val="auto"/>
                <w:lang w:val="en-US" w:eastAsia="zh-CN"/>
              </w:rPr>
              <w:t>每有一个</w:t>
            </w:r>
            <w:r>
              <w:rPr>
                <w:rFonts w:hint="eastAsia" w:ascii="仿宋" w:hAnsi="仿宋" w:eastAsia="仿宋" w:cs="仿宋"/>
                <w:color w:val="auto"/>
              </w:rPr>
              <w:t>得</w:t>
            </w:r>
            <w:r>
              <w:rPr>
                <w:rFonts w:hint="eastAsia" w:ascii="仿宋" w:hAnsi="仿宋" w:eastAsia="仿宋" w:cs="仿宋"/>
                <w:color w:val="auto"/>
                <w:lang w:val="en-US" w:eastAsia="zh-CN"/>
              </w:rPr>
              <w:t>2</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lang w:val="en-US" w:eastAsia="zh-CN"/>
              </w:rPr>
              <w:t>最高得6分</w:t>
            </w:r>
            <w:r>
              <w:rPr>
                <w:rFonts w:hint="eastAsia" w:ascii="仿宋" w:hAnsi="仿宋" w:eastAsia="仿宋" w:cs="仿宋"/>
                <w:color w:val="auto"/>
              </w:rPr>
              <w:t>。</w:t>
            </w:r>
            <w:r>
              <w:rPr>
                <w:rFonts w:hint="eastAsia" w:ascii="仿宋" w:hAnsi="仿宋" w:eastAsia="仿宋" w:cs="仿宋"/>
                <w:color w:val="auto"/>
                <w:lang w:eastAsia="zh-CN"/>
              </w:rPr>
              <w:t>（</w:t>
            </w:r>
            <w:r>
              <w:rPr>
                <w:rFonts w:hint="eastAsia" w:ascii="仿宋" w:hAnsi="仿宋" w:eastAsia="仿宋" w:cs="仿宋"/>
                <w:color w:val="auto"/>
              </w:rPr>
              <w:t>提供证书复印件加盖公章</w:t>
            </w:r>
            <w:r>
              <w:rPr>
                <w:rFonts w:hint="eastAsia" w:ascii="仿宋" w:hAnsi="仿宋" w:eastAsia="仿宋" w:cs="仿宋"/>
                <w:color w:val="auto"/>
                <w:lang w:eastAsia="zh-CN"/>
              </w:rPr>
              <w:t>。）</w:t>
            </w:r>
          </w:p>
        </w:tc>
      </w:tr>
      <w:tr w14:paraId="49A4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07" w:type="dxa"/>
            <w:tcBorders>
              <w:top w:val="nil"/>
              <w:left w:val="single" w:color="auto" w:sz="4" w:space="0"/>
              <w:right w:val="single" w:color="auto" w:sz="4" w:space="0"/>
            </w:tcBorders>
            <w:shd w:val="clear" w:color="auto" w:fill="auto"/>
            <w:vAlign w:val="center"/>
          </w:tcPr>
          <w:p w14:paraId="1A62EF25">
            <w:pPr>
              <w:jc w:val="center"/>
              <w:rPr>
                <w:rFonts w:hint="eastAsia" w:ascii="仿宋" w:hAnsi="仿宋" w:eastAsia="仿宋" w:cs="仿宋"/>
                <w:lang w:val="en-US" w:eastAsia="zh-CN"/>
              </w:rPr>
            </w:pPr>
            <w:r>
              <w:rPr>
                <w:rFonts w:hint="eastAsia" w:ascii="仿宋" w:hAnsi="仿宋" w:eastAsia="仿宋" w:cs="仿宋"/>
                <w:lang w:val="en-US" w:eastAsia="zh-CN"/>
              </w:rPr>
              <w:t>3.1</w:t>
            </w:r>
          </w:p>
        </w:tc>
        <w:tc>
          <w:tcPr>
            <w:tcW w:w="850" w:type="dxa"/>
            <w:vMerge w:val="restart"/>
            <w:tcBorders>
              <w:top w:val="nil"/>
              <w:left w:val="nil"/>
              <w:right w:val="single" w:color="auto" w:sz="4" w:space="0"/>
            </w:tcBorders>
            <w:shd w:val="clear" w:color="auto" w:fill="auto"/>
            <w:vAlign w:val="center"/>
          </w:tcPr>
          <w:p w14:paraId="5FFB68C0">
            <w:pPr>
              <w:jc w:val="center"/>
              <w:rPr>
                <w:rFonts w:hint="eastAsia" w:ascii="仿宋" w:hAnsi="仿宋" w:eastAsia="仿宋" w:cs="仿宋"/>
              </w:rPr>
            </w:pPr>
            <w:r>
              <w:rPr>
                <w:rFonts w:hint="eastAsia" w:ascii="仿宋" w:hAnsi="仿宋" w:eastAsia="仿宋" w:cs="仿宋"/>
              </w:rPr>
              <w:t>技术评分</w:t>
            </w:r>
          </w:p>
        </w:tc>
        <w:tc>
          <w:tcPr>
            <w:tcW w:w="1304" w:type="dxa"/>
            <w:shd w:val="clear" w:color="auto" w:fill="FFFFFF"/>
            <w:vAlign w:val="center"/>
          </w:tcPr>
          <w:p w14:paraId="093E3C4B">
            <w:pPr>
              <w:jc w:val="center"/>
              <w:rPr>
                <w:rFonts w:hint="eastAsia" w:ascii="仿宋" w:hAnsi="仿宋" w:eastAsia="仿宋" w:cs="仿宋"/>
                <w:lang w:val="en-US" w:eastAsia="zh-CN"/>
              </w:rPr>
            </w:pPr>
            <w:r>
              <w:rPr>
                <w:rFonts w:hint="eastAsia" w:ascii="仿宋" w:hAnsi="仿宋" w:eastAsia="仿宋" w:cs="仿宋"/>
                <w:lang w:val="en-US" w:eastAsia="zh-CN"/>
              </w:rPr>
              <w:t>项目重难点分析</w:t>
            </w:r>
          </w:p>
          <w:p w14:paraId="0D5B7766">
            <w:pPr>
              <w:jc w:val="center"/>
              <w:rPr>
                <w:rFonts w:hint="eastAsia" w:ascii="仿宋" w:hAnsi="仿宋" w:eastAsia="仿宋" w:cs="仿宋"/>
                <w:sz w:val="22"/>
                <w:szCs w:val="22"/>
                <w:lang w:val="en-US" w:eastAsia="zh-CN" w:bidi="ar-SA"/>
              </w:rPr>
            </w:pPr>
            <w:r>
              <w:rPr>
                <w:rFonts w:hint="eastAsia" w:ascii="仿宋" w:hAnsi="仿宋" w:eastAsia="仿宋" w:cs="仿宋"/>
                <w:lang w:val="en-US" w:eastAsia="zh-CN"/>
              </w:rPr>
              <w:t>（18分）</w:t>
            </w:r>
          </w:p>
        </w:tc>
        <w:tc>
          <w:tcPr>
            <w:tcW w:w="6206" w:type="dxa"/>
            <w:shd w:val="clear" w:color="auto" w:fill="FFFFFF"/>
            <w:vAlign w:val="center"/>
          </w:tcPr>
          <w:p w14:paraId="7ECDD490">
            <w:pPr>
              <w:jc w:val="both"/>
              <w:rPr>
                <w:rFonts w:hint="eastAsia" w:ascii="仿宋" w:hAnsi="仿宋" w:eastAsia="仿宋" w:cs="仿宋"/>
              </w:rPr>
            </w:pPr>
            <w:r>
              <w:rPr>
                <w:rFonts w:hint="eastAsia" w:ascii="仿宋" w:hAnsi="仿宋" w:eastAsia="仿宋" w:cs="仿宋"/>
              </w:rPr>
              <w:t>对本项目中的重点、难点问题认识清晰，并能够提出科学合理、贴近实际的解决方案，保障项目顺利实施的，得</w:t>
            </w:r>
            <w:r>
              <w:rPr>
                <w:rFonts w:hint="eastAsia" w:ascii="仿宋" w:hAnsi="仿宋" w:eastAsia="仿宋" w:cs="仿宋"/>
                <w:lang w:val="en-US" w:eastAsia="zh-CN"/>
              </w:rPr>
              <w:t>18</w:t>
            </w:r>
            <w:r>
              <w:rPr>
                <w:rFonts w:hint="eastAsia" w:ascii="仿宋" w:hAnsi="仿宋" w:eastAsia="仿宋" w:cs="仿宋"/>
              </w:rPr>
              <w:t>分；</w:t>
            </w:r>
          </w:p>
          <w:p w14:paraId="6AF6AB58">
            <w:pPr>
              <w:jc w:val="both"/>
              <w:rPr>
                <w:rFonts w:hint="eastAsia" w:ascii="仿宋" w:hAnsi="仿宋" w:eastAsia="仿宋" w:cs="仿宋"/>
              </w:rPr>
            </w:pPr>
            <w:r>
              <w:rPr>
                <w:rFonts w:hint="eastAsia" w:ascii="仿宋" w:hAnsi="仿宋" w:eastAsia="仿宋" w:cs="仿宋"/>
              </w:rPr>
              <w:t>能够认识到本项目中的重点、难点问题，提出的解决方案基本合理，能够保证项目可以实施的，得</w:t>
            </w:r>
            <w:r>
              <w:rPr>
                <w:rFonts w:hint="eastAsia" w:ascii="仿宋" w:hAnsi="仿宋" w:eastAsia="仿宋" w:cs="仿宋"/>
                <w:lang w:val="en-US" w:eastAsia="zh-CN"/>
              </w:rPr>
              <w:t>12</w:t>
            </w:r>
            <w:r>
              <w:rPr>
                <w:rFonts w:hint="eastAsia" w:ascii="仿宋" w:hAnsi="仿宋" w:eastAsia="仿宋" w:cs="仿宋"/>
              </w:rPr>
              <w:t>分；</w:t>
            </w:r>
          </w:p>
          <w:p w14:paraId="4C2D59AC">
            <w:pPr>
              <w:jc w:val="both"/>
              <w:rPr>
                <w:rFonts w:hint="eastAsia" w:ascii="仿宋" w:hAnsi="仿宋" w:eastAsia="仿宋" w:cs="仿宋"/>
              </w:rPr>
            </w:pPr>
            <w:r>
              <w:rPr>
                <w:rFonts w:hint="eastAsia" w:ascii="仿宋" w:hAnsi="仿宋" w:eastAsia="仿宋" w:cs="仿宋"/>
              </w:rPr>
              <w:t>对本项目中得重点、难点问题认识不足，不能提出有效得解决方案，实施难以保障，得</w:t>
            </w:r>
            <w:r>
              <w:rPr>
                <w:rFonts w:hint="eastAsia" w:ascii="仿宋" w:hAnsi="仿宋" w:eastAsia="仿宋" w:cs="仿宋"/>
                <w:lang w:val="en-US" w:eastAsia="zh-CN"/>
              </w:rPr>
              <w:t>6</w:t>
            </w:r>
            <w:r>
              <w:rPr>
                <w:rFonts w:hint="eastAsia" w:ascii="仿宋" w:hAnsi="仿宋" w:eastAsia="仿宋" w:cs="仿宋"/>
              </w:rPr>
              <w:t>分；</w:t>
            </w:r>
          </w:p>
          <w:p w14:paraId="63DFABF1">
            <w:pPr>
              <w:jc w:val="both"/>
              <w:rPr>
                <w:rFonts w:hint="eastAsia" w:ascii="仿宋" w:hAnsi="仿宋" w:eastAsia="仿宋" w:cs="仿宋"/>
                <w:lang w:val="en-US" w:eastAsia="zh-CN"/>
              </w:rPr>
            </w:pPr>
            <w:r>
              <w:rPr>
                <w:rFonts w:hint="eastAsia" w:ascii="仿宋" w:hAnsi="仿宋" w:eastAsia="仿宋" w:cs="仿宋"/>
              </w:rPr>
              <w:t>未提供方案得，本项得0分。</w:t>
            </w:r>
          </w:p>
        </w:tc>
      </w:tr>
      <w:tr w14:paraId="68A9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07" w:type="dxa"/>
            <w:tcBorders>
              <w:top w:val="nil"/>
              <w:left w:val="single" w:color="auto" w:sz="4" w:space="0"/>
              <w:bottom w:val="single" w:color="auto" w:sz="4" w:space="0"/>
              <w:right w:val="single" w:color="auto" w:sz="4" w:space="0"/>
            </w:tcBorders>
            <w:shd w:val="clear" w:color="auto" w:fill="auto"/>
            <w:vAlign w:val="center"/>
          </w:tcPr>
          <w:p w14:paraId="34643478">
            <w:pPr>
              <w:jc w:val="center"/>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2</w:t>
            </w:r>
          </w:p>
        </w:tc>
        <w:tc>
          <w:tcPr>
            <w:tcW w:w="850" w:type="dxa"/>
            <w:vMerge w:val="continue"/>
            <w:tcBorders>
              <w:left w:val="nil"/>
              <w:bottom w:val="single" w:color="auto" w:sz="4" w:space="0"/>
              <w:right w:val="single" w:color="auto" w:sz="4" w:space="0"/>
            </w:tcBorders>
            <w:shd w:val="clear" w:color="auto" w:fill="auto"/>
            <w:vAlign w:val="center"/>
          </w:tcPr>
          <w:p w14:paraId="61CFF565">
            <w:pPr>
              <w:jc w:val="center"/>
              <w:rPr>
                <w:rFonts w:hint="eastAsia" w:ascii="仿宋" w:hAnsi="仿宋" w:eastAsia="仿宋" w:cs="仿宋"/>
              </w:rPr>
            </w:pPr>
          </w:p>
        </w:tc>
        <w:tc>
          <w:tcPr>
            <w:tcW w:w="1304" w:type="dxa"/>
            <w:tcBorders>
              <w:bottom w:val="single" w:color="auto" w:sz="4" w:space="0"/>
            </w:tcBorders>
            <w:shd w:val="clear" w:color="auto" w:fill="FFFFFF"/>
            <w:vAlign w:val="center"/>
          </w:tcPr>
          <w:p w14:paraId="53F58764">
            <w:pPr>
              <w:jc w:val="center"/>
              <w:rPr>
                <w:rFonts w:hint="eastAsia" w:ascii="仿宋" w:hAnsi="仿宋" w:eastAsia="仿宋" w:cs="仿宋"/>
                <w:lang w:val="en-US" w:eastAsia="zh-CN"/>
              </w:rPr>
            </w:pPr>
            <w:r>
              <w:rPr>
                <w:rFonts w:hint="eastAsia" w:ascii="仿宋" w:hAnsi="仿宋" w:eastAsia="仿宋" w:cs="仿宋"/>
                <w:lang w:val="en-US" w:eastAsia="zh-CN"/>
              </w:rPr>
              <w:t>施工方案（17分）</w:t>
            </w:r>
          </w:p>
        </w:tc>
        <w:tc>
          <w:tcPr>
            <w:tcW w:w="6206" w:type="dxa"/>
            <w:tcBorders>
              <w:bottom w:val="single" w:color="auto" w:sz="4" w:space="0"/>
            </w:tcBorders>
            <w:shd w:val="clear" w:color="auto" w:fill="FFFFFF"/>
            <w:vAlign w:val="center"/>
          </w:tcPr>
          <w:p w14:paraId="5A5527B0">
            <w:pPr>
              <w:jc w:val="both"/>
              <w:rPr>
                <w:rFonts w:hint="eastAsia" w:ascii="仿宋" w:hAnsi="仿宋" w:eastAsia="仿宋" w:cs="仿宋"/>
              </w:rPr>
            </w:pPr>
            <w:r>
              <w:rPr>
                <w:rFonts w:hint="eastAsia" w:ascii="仿宋" w:hAnsi="仿宋" w:eastAsia="仿宋" w:cs="仿宋"/>
              </w:rPr>
              <w:t>实施方案全面，具有合理的进度安排、组织架构，具有良好的进度控制、风险控制管理、质量保障措施，工作流程科学合理，得</w:t>
            </w:r>
            <w:r>
              <w:rPr>
                <w:rFonts w:hint="eastAsia" w:ascii="仿宋" w:hAnsi="仿宋" w:eastAsia="仿宋" w:cs="仿宋"/>
                <w:lang w:val="en-US" w:eastAsia="zh-CN"/>
              </w:rPr>
              <w:t>17</w:t>
            </w:r>
            <w:r>
              <w:rPr>
                <w:rFonts w:hint="eastAsia" w:ascii="仿宋" w:hAnsi="仿宋" w:eastAsia="仿宋" w:cs="仿宋"/>
              </w:rPr>
              <w:t>分；</w:t>
            </w:r>
          </w:p>
          <w:p w14:paraId="7B171656">
            <w:pPr>
              <w:jc w:val="both"/>
              <w:rPr>
                <w:rFonts w:hint="eastAsia" w:ascii="仿宋" w:hAnsi="仿宋" w:eastAsia="仿宋" w:cs="仿宋"/>
              </w:rPr>
            </w:pPr>
            <w:r>
              <w:rPr>
                <w:rFonts w:hint="eastAsia" w:ascii="仿宋" w:hAnsi="仿宋" w:eastAsia="仿宋" w:cs="仿宋"/>
              </w:rPr>
              <w:t>实施方案不够全面，进度安排、组织架构不够合理，进度控制、风险控制管理、质量保障措施，工作流程基本科学，得</w:t>
            </w:r>
            <w:r>
              <w:rPr>
                <w:rFonts w:hint="eastAsia" w:ascii="仿宋" w:hAnsi="仿宋" w:eastAsia="仿宋" w:cs="仿宋"/>
                <w:lang w:val="en-US" w:eastAsia="zh-CN"/>
              </w:rPr>
              <w:t>12</w:t>
            </w:r>
            <w:r>
              <w:rPr>
                <w:rFonts w:hint="eastAsia" w:ascii="仿宋" w:hAnsi="仿宋" w:eastAsia="仿宋" w:cs="仿宋"/>
              </w:rPr>
              <w:t>分；</w:t>
            </w:r>
          </w:p>
          <w:p w14:paraId="0899B7B5">
            <w:pPr>
              <w:jc w:val="both"/>
              <w:rPr>
                <w:rFonts w:hint="eastAsia" w:ascii="仿宋" w:hAnsi="仿宋" w:eastAsia="仿宋" w:cs="仿宋"/>
              </w:rPr>
            </w:pPr>
            <w:r>
              <w:rPr>
                <w:rFonts w:hint="eastAsia" w:ascii="仿宋" w:hAnsi="仿宋" w:eastAsia="仿宋" w:cs="仿宋"/>
              </w:rPr>
              <w:t>实施方案不全面，进度安排、组织架构不合理，没有进度控制、风险控制管理、质量保障措施，得</w:t>
            </w:r>
            <w:r>
              <w:rPr>
                <w:rFonts w:hint="eastAsia" w:ascii="仿宋" w:hAnsi="仿宋" w:eastAsia="仿宋" w:cs="仿宋"/>
                <w:lang w:val="en-US" w:eastAsia="zh-CN"/>
              </w:rPr>
              <w:t>7</w:t>
            </w:r>
            <w:r>
              <w:rPr>
                <w:rFonts w:hint="eastAsia" w:ascii="仿宋" w:hAnsi="仿宋" w:eastAsia="仿宋" w:cs="仿宋"/>
              </w:rPr>
              <w:t>分；</w:t>
            </w:r>
          </w:p>
          <w:p w14:paraId="2413C65A">
            <w:pPr>
              <w:jc w:val="both"/>
              <w:rPr>
                <w:rFonts w:hint="eastAsia" w:ascii="仿宋" w:hAnsi="仿宋" w:eastAsia="仿宋" w:cs="仿宋"/>
              </w:rPr>
            </w:pPr>
            <w:r>
              <w:rPr>
                <w:rFonts w:hint="eastAsia" w:ascii="仿宋" w:hAnsi="仿宋" w:eastAsia="仿宋" w:cs="仿宋"/>
              </w:rPr>
              <w:t>未提供方案，本项得0分。</w:t>
            </w:r>
          </w:p>
        </w:tc>
      </w:tr>
      <w:tr w14:paraId="1419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07" w:type="dxa"/>
            <w:tcBorders>
              <w:top w:val="single" w:color="auto" w:sz="4" w:space="0"/>
              <w:left w:val="single" w:color="auto" w:sz="4" w:space="0"/>
              <w:right w:val="single" w:color="auto" w:sz="4" w:space="0"/>
            </w:tcBorders>
            <w:shd w:val="clear" w:color="auto" w:fill="auto"/>
            <w:vAlign w:val="center"/>
          </w:tcPr>
          <w:p w14:paraId="0059AD1B">
            <w:pPr>
              <w:jc w:val="center"/>
              <w:rPr>
                <w:rFonts w:hint="eastAsia" w:ascii="仿宋" w:hAnsi="仿宋" w:eastAsia="仿宋" w:cs="仿宋"/>
                <w:lang w:val="en-US" w:eastAsia="zh-CN"/>
              </w:rPr>
            </w:pPr>
            <w:r>
              <w:rPr>
                <w:rFonts w:hint="eastAsia" w:ascii="仿宋" w:hAnsi="仿宋" w:eastAsia="仿宋" w:cs="仿宋"/>
                <w:lang w:val="en-US" w:eastAsia="zh-CN"/>
              </w:rPr>
              <w:t>3.3</w:t>
            </w:r>
          </w:p>
        </w:tc>
        <w:tc>
          <w:tcPr>
            <w:tcW w:w="850" w:type="dxa"/>
            <w:vMerge w:val="continue"/>
            <w:tcBorders>
              <w:top w:val="single" w:color="auto" w:sz="4" w:space="0"/>
              <w:left w:val="nil"/>
              <w:right w:val="single" w:color="auto" w:sz="4" w:space="0"/>
            </w:tcBorders>
            <w:shd w:val="clear" w:color="auto" w:fill="auto"/>
            <w:vAlign w:val="center"/>
          </w:tcPr>
          <w:p w14:paraId="4AB5F2F0">
            <w:pPr>
              <w:jc w:val="center"/>
              <w:rPr>
                <w:rFonts w:hint="eastAsia" w:ascii="仿宋" w:hAnsi="仿宋" w:eastAsia="仿宋" w:cs="仿宋"/>
              </w:rPr>
            </w:pPr>
          </w:p>
        </w:tc>
        <w:tc>
          <w:tcPr>
            <w:tcW w:w="1304" w:type="dxa"/>
            <w:tcBorders>
              <w:top w:val="single" w:color="auto" w:sz="4" w:space="0"/>
            </w:tcBorders>
            <w:shd w:val="clear" w:color="auto" w:fill="FFFFFF"/>
            <w:vAlign w:val="center"/>
          </w:tcPr>
          <w:p w14:paraId="6221FE5F">
            <w:pPr>
              <w:jc w:val="center"/>
              <w:rPr>
                <w:rFonts w:hint="eastAsia" w:ascii="仿宋" w:hAnsi="仿宋" w:eastAsia="仿宋" w:cs="仿宋"/>
                <w:sz w:val="22"/>
                <w:szCs w:val="22"/>
                <w:lang w:val="en-US" w:eastAsia="zh-CN" w:bidi="ar-SA"/>
              </w:rPr>
            </w:pPr>
            <w:r>
              <w:rPr>
                <w:rFonts w:hint="eastAsia" w:ascii="仿宋" w:hAnsi="仿宋" w:eastAsia="仿宋" w:cs="仿宋"/>
              </w:rPr>
              <w:t>质量保障措施方案（</w:t>
            </w:r>
            <w:r>
              <w:rPr>
                <w:rFonts w:hint="eastAsia" w:ascii="仿宋" w:hAnsi="仿宋" w:eastAsia="仿宋" w:cs="仿宋"/>
                <w:lang w:val="en-US" w:eastAsia="zh-CN"/>
              </w:rPr>
              <w:t>10</w:t>
            </w:r>
            <w:r>
              <w:rPr>
                <w:rFonts w:hint="eastAsia" w:ascii="仿宋" w:hAnsi="仿宋" w:eastAsia="仿宋" w:cs="仿宋"/>
              </w:rPr>
              <w:t>分）</w:t>
            </w:r>
          </w:p>
        </w:tc>
        <w:tc>
          <w:tcPr>
            <w:tcW w:w="6206" w:type="dxa"/>
            <w:tcBorders>
              <w:top w:val="single" w:color="auto" w:sz="4" w:space="0"/>
            </w:tcBorders>
            <w:shd w:val="clear" w:color="auto" w:fill="FFFFFF"/>
            <w:vAlign w:val="center"/>
          </w:tcPr>
          <w:p w14:paraId="1C5D5A24">
            <w:pPr>
              <w:jc w:val="both"/>
              <w:rPr>
                <w:rFonts w:hint="eastAsia" w:ascii="仿宋" w:hAnsi="仿宋" w:eastAsia="仿宋" w:cs="仿宋"/>
              </w:rPr>
            </w:pPr>
            <w:r>
              <w:rPr>
                <w:rFonts w:hint="eastAsia" w:ascii="仿宋" w:hAnsi="仿宋" w:eastAsia="仿宋" w:cs="仿宋"/>
              </w:rPr>
              <w:t>根据投标人对本项目质量保障措施、进度计划及服务承诺等内容的合理性和有效性（提供的各项服务内容明确到位，承诺内容具体）等进行评分：</w:t>
            </w:r>
          </w:p>
          <w:p w14:paraId="4ECE1D44">
            <w:pPr>
              <w:jc w:val="both"/>
              <w:rPr>
                <w:rFonts w:hint="eastAsia" w:ascii="仿宋" w:hAnsi="仿宋" w:eastAsia="仿宋" w:cs="仿宋"/>
              </w:rPr>
            </w:pPr>
            <w:r>
              <w:rPr>
                <w:rFonts w:hint="eastAsia" w:ascii="仿宋" w:hAnsi="仿宋" w:eastAsia="仿宋" w:cs="仿宋"/>
              </w:rPr>
              <w:t>质量保障措施、进度计划及服务承诺内容合理性强、科学有效，得</w:t>
            </w:r>
            <w:r>
              <w:rPr>
                <w:rFonts w:hint="eastAsia" w:ascii="仿宋" w:hAnsi="仿宋" w:eastAsia="仿宋" w:cs="仿宋"/>
                <w:lang w:val="en-US" w:eastAsia="zh-CN"/>
              </w:rPr>
              <w:t>10</w:t>
            </w:r>
            <w:r>
              <w:rPr>
                <w:rFonts w:hint="eastAsia" w:ascii="仿宋" w:hAnsi="仿宋" w:eastAsia="仿宋" w:cs="仿宋"/>
              </w:rPr>
              <w:t>分；</w:t>
            </w:r>
          </w:p>
          <w:p w14:paraId="048C16B0">
            <w:pPr>
              <w:jc w:val="both"/>
              <w:rPr>
                <w:rFonts w:hint="eastAsia" w:ascii="仿宋" w:hAnsi="仿宋" w:eastAsia="仿宋" w:cs="仿宋"/>
              </w:rPr>
            </w:pPr>
            <w:r>
              <w:rPr>
                <w:rFonts w:hint="eastAsia" w:ascii="仿宋" w:hAnsi="仿宋" w:eastAsia="仿宋" w:cs="仿宋"/>
              </w:rPr>
              <w:t>质量保障措施、进度计划及服务承诺内容有一定的合理性、有效性，得</w:t>
            </w:r>
            <w:r>
              <w:rPr>
                <w:rFonts w:hint="eastAsia" w:ascii="仿宋" w:hAnsi="仿宋" w:eastAsia="仿宋" w:cs="仿宋"/>
                <w:lang w:val="en-US" w:eastAsia="zh-CN"/>
              </w:rPr>
              <w:t>7</w:t>
            </w:r>
            <w:r>
              <w:rPr>
                <w:rFonts w:hint="eastAsia" w:ascii="仿宋" w:hAnsi="仿宋" w:eastAsia="仿宋" w:cs="仿宋"/>
              </w:rPr>
              <w:t>分；</w:t>
            </w:r>
          </w:p>
          <w:p w14:paraId="3C0BFAC3">
            <w:pPr>
              <w:jc w:val="both"/>
              <w:rPr>
                <w:rFonts w:hint="eastAsia" w:ascii="仿宋" w:hAnsi="仿宋" w:eastAsia="仿宋" w:cs="仿宋"/>
              </w:rPr>
            </w:pPr>
            <w:r>
              <w:rPr>
                <w:rFonts w:hint="eastAsia" w:ascii="仿宋" w:hAnsi="仿宋" w:eastAsia="仿宋" w:cs="仿宋"/>
              </w:rPr>
              <w:t>质量保障措施、进度计划及服务承诺等内容不太合理、有效性不强，得</w:t>
            </w:r>
            <w:r>
              <w:rPr>
                <w:rFonts w:hint="eastAsia" w:ascii="仿宋" w:hAnsi="仿宋" w:eastAsia="仿宋" w:cs="仿宋"/>
                <w:lang w:val="en-US" w:eastAsia="zh-CN"/>
              </w:rPr>
              <w:t>4</w:t>
            </w:r>
            <w:r>
              <w:rPr>
                <w:rFonts w:hint="eastAsia" w:ascii="仿宋" w:hAnsi="仿宋" w:eastAsia="仿宋" w:cs="仿宋"/>
              </w:rPr>
              <w:t>分；</w:t>
            </w:r>
          </w:p>
          <w:p w14:paraId="44E172CB">
            <w:pPr>
              <w:jc w:val="both"/>
              <w:rPr>
                <w:rFonts w:hint="eastAsia" w:ascii="仿宋" w:hAnsi="仿宋" w:eastAsia="仿宋" w:cs="仿宋"/>
                <w:sz w:val="22"/>
                <w:szCs w:val="22"/>
                <w:lang w:val="en-US" w:eastAsia="zh-CN" w:bidi="ar-SA"/>
              </w:rPr>
            </w:pPr>
            <w:r>
              <w:rPr>
                <w:rFonts w:hint="eastAsia" w:ascii="仿宋" w:hAnsi="仿宋" w:eastAsia="仿宋" w:cs="仿宋"/>
              </w:rPr>
              <w:t>未提供方案，本项得0分。</w:t>
            </w:r>
          </w:p>
        </w:tc>
      </w:tr>
      <w:tr w14:paraId="5DB0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07" w:type="dxa"/>
            <w:tcBorders>
              <w:left w:val="single" w:color="auto" w:sz="4" w:space="0"/>
              <w:right w:val="single" w:color="auto" w:sz="4" w:space="0"/>
            </w:tcBorders>
            <w:shd w:val="clear" w:color="auto" w:fill="auto"/>
            <w:vAlign w:val="center"/>
          </w:tcPr>
          <w:p w14:paraId="731C93C4">
            <w:pPr>
              <w:jc w:val="center"/>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4</w:t>
            </w:r>
          </w:p>
        </w:tc>
        <w:tc>
          <w:tcPr>
            <w:tcW w:w="850" w:type="dxa"/>
            <w:vMerge w:val="continue"/>
            <w:tcBorders>
              <w:left w:val="nil"/>
              <w:right w:val="single" w:color="auto" w:sz="4" w:space="0"/>
            </w:tcBorders>
            <w:shd w:val="clear" w:color="auto" w:fill="auto"/>
            <w:vAlign w:val="center"/>
          </w:tcPr>
          <w:p w14:paraId="4C52EEA6">
            <w:pPr>
              <w:jc w:val="center"/>
              <w:rPr>
                <w:rFonts w:hint="eastAsia" w:ascii="仿宋" w:hAnsi="仿宋" w:eastAsia="仿宋" w:cs="仿宋"/>
              </w:rPr>
            </w:pPr>
          </w:p>
        </w:tc>
        <w:tc>
          <w:tcPr>
            <w:tcW w:w="1304" w:type="dxa"/>
            <w:shd w:val="clear" w:color="auto" w:fill="FFFFFF"/>
            <w:vAlign w:val="center"/>
          </w:tcPr>
          <w:p w14:paraId="7DC956FF">
            <w:pPr>
              <w:jc w:val="center"/>
              <w:rPr>
                <w:rFonts w:hint="eastAsia" w:ascii="仿宋" w:hAnsi="仿宋" w:eastAsia="仿宋" w:cs="仿宋"/>
              </w:rPr>
            </w:pPr>
            <w:r>
              <w:rPr>
                <w:rFonts w:hint="eastAsia" w:ascii="仿宋" w:hAnsi="仿宋" w:eastAsia="仿宋" w:cs="仿宋"/>
              </w:rPr>
              <w:t>项目应急方案、安全文明作业制度</w:t>
            </w:r>
          </w:p>
          <w:p w14:paraId="7E25ED5F">
            <w:pPr>
              <w:jc w:val="center"/>
              <w:rPr>
                <w:rFonts w:hint="eastAsia" w:ascii="仿宋" w:hAnsi="仿宋" w:eastAsia="仿宋" w:cs="仿宋"/>
                <w:sz w:val="22"/>
                <w:szCs w:val="22"/>
                <w:lang w:val="en-US" w:eastAsia="zh-CN" w:bidi="ar-SA"/>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分）</w:t>
            </w:r>
          </w:p>
        </w:tc>
        <w:tc>
          <w:tcPr>
            <w:tcW w:w="6206" w:type="dxa"/>
            <w:shd w:val="clear" w:color="auto" w:fill="FFFFFF"/>
            <w:vAlign w:val="center"/>
          </w:tcPr>
          <w:p w14:paraId="782D9ED1">
            <w:pPr>
              <w:jc w:val="both"/>
              <w:rPr>
                <w:rFonts w:hint="eastAsia" w:ascii="仿宋" w:hAnsi="仿宋" w:eastAsia="仿宋" w:cs="仿宋"/>
              </w:rPr>
            </w:pPr>
            <w:r>
              <w:rPr>
                <w:rFonts w:hint="eastAsia" w:ascii="仿宋" w:hAnsi="仿宋" w:eastAsia="仿宋" w:cs="仿宋"/>
              </w:rPr>
              <w:t>评委根据投标人提供的项目应急方案、安全文明作业制度等进行打分：</w:t>
            </w:r>
          </w:p>
          <w:p w14:paraId="02E08FA2">
            <w:pPr>
              <w:jc w:val="both"/>
              <w:rPr>
                <w:rFonts w:hint="eastAsia" w:ascii="仿宋" w:hAnsi="仿宋" w:eastAsia="仿宋" w:cs="仿宋"/>
              </w:rPr>
            </w:pPr>
            <w:r>
              <w:rPr>
                <w:rFonts w:hint="eastAsia" w:ascii="仿宋" w:hAnsi="仿宋" w:eastAsia="仿宋" w:cs="仿宋"/>
              </w:rPr>
              <w:t>项目应急方案非常贴合本项目，安全文明作业制度完整、合理，得</w:t>
            </w:r>
            <w:r>
              <w:rPr>
                <w:rFonts w:hint="eastAsia" w:ascii="仿宋" w:hAnsi="仿宋" w:eastAsia="仿宋" w:cs="仿宋"/>
                <w:lang w:val="en-US" w:eastAsia="zh-CN"/>
              </w:rPr>
              <w:t>10</w:t>
            </w:r>
            <w:r>
              <w:rPr>
                <w:rFonts w:hint="eastAsia" w:ascii="仿宋" w:hAnsi="仿宋" w:eastAsia="仿宋" w:cs="仿宋"/>
              </w:rPr>
              <w:t>分；</w:t>
            </w:r>
          </w:p>
          <w:p w14:paraId="37767CFB">
            <w:pPr>
              <w:jc w:val="both"/>
              <w:rPr>
                <w:rFonts w:hint="eastAsia" w:ascii="仿宋" w:hAnsi="仿宋" w:eastAsia="仿宋" w:cs="仿宋"/>
              </w:rPr>
            </w:pPr>
            <w:r>
              <w:rPr>
                <w:rFonts w:hint="eastAsia" w:ascii="仿宋" w:hAnsi="仿宋" w:eastAsia="仿宋" w:cs="仿宋"/>
              </w:rPr>
              <w:t>项目应急方案适合本项目，安全文明作业制度基本完整、合理，得</w:t>
            </w:r>
            <w:r>
              <w:rPr>
                <w:rFonts w:hint="eastAsia" w:ascii="仿宋" w:hAnsi="仿宋" w:eastAsia="仿宋" w:cs="仿宋"/>
                <w:lang w:val="en-US" w:eastAsia="zh-CN"/>
              </w:rPr>
              <w:t>7</w:t>
            </w:r>
            <w:r>
              <w:rPr>
                <w:rFonts w:hint="eastAsia" w:ascii="仿宋" w:hAnsi="仿宋" w:eastAsia="仿宋" w:cs="仿宋"/>
              </w:rPr>
              <w:t>分；</w:t>
            </w:r>
          </w:p>
          <w:p w14:paraId="658EA029">
            <w:pPr>
              <w:jc w:val="both"/>
              <w:rPr>
                <w:rFonts w:hint="eastAsia" w:ascii="仿宋" w:hAnsi="仿宋" w:eastAsia="仿宋" w:cs="仿宋"/>
              </w:rPr>
            </w:pPr>
            <w:r>
              <w:rPr>
                <w:rFonts w:hint="eastAsia" w:ascii="仿宋" w:hAnsi="仿宋" w:eastAsia="仿宋" w:cs="仿宋"/>
              </w:rPr>
              <w:t>项目应急方案一般，安全文明作业制度不够完整、合理，得4分；</w:t>
            </w:r>
          </w:p>
          <w:p w14:paraId="227406B7">
            <w:pPr>
              <w:jc w:val="both"/>
              <w:rPr>
                <w:rFonts w:hint="eastAsia" w:ascii="仿宋" w:hAnsi="仿宋" w:eastAsia="仿宋" w:cs="仿宋"/>
                <w:sz w:val="22"/>
                <w:szCs w:val="22"/>
                <w:lang w:val="en-US" w:eastAsia="zh-CN" w:bidi="ar-SA"/>
              </w:rPr>
            </w:pPr>
            <w:r>
              <w:rPr>
                <w:rFonts w:hint="eastAsia" w:ascii="仿宋" w:hAnsi="仿宋" w:eastAsia="仿宋" w:cs="仿宋"/>
              </w:rPr>
              <w:t>未提供，得0分。</w:t>
            </w:r>
          </w:p>
        </w:tc>
      </w:tr>
      <w:tr w14:paraId="5168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left w:val="single" w:color="auto" w:sz="4" w:space="0"/>
              <w:bottom w:val="single" w:color="auto" w:sz="4" w:space="0"/>
              <w:right w:val="single" w:color="auto" w:sz="4" w:space="0"/>
            </w:tcBorders>
            <w:shd w:val="clear" w:color="auto" w:fill="auto"/>
            <w:vAlign w:val="center"/>
          </w:tcPr>
          <w:p w14:paraId="1F97424E">
            <w:pPr>
              <w:jc w:val="center"/>
              <w:rPr>
                <w:rFonts w:hint="eastAsia" w:ascii="仿宋" w:hAnsi="仿宋" w:eastAsia="仿宋" w:cs="仿宋"/>
              </w:rPr>
            </w:pPr>
            <w:r>
              <w:rPr>
                <w:rFonts w:hint="eastAsia" w:ascii="仿宋" w:hAnsi="仿宋" w:eastAsia="仿宋" w:cs="仿宋"/>
              </w:rPr>
              <w:t>4</w:t>
            </w:r>
          </w:p>
        </w:tc>
        <w:tc>
          <w:tcPr>
            <w:tcW w:w="850" w:type="dxa"/>
            <w:tcBorders>
              <w:left w:val="nil"/>
              <w:bottom w:val="single" w:color="auto" w:sz="4" w:space="0"/>
              <w:right w:val="single" w:color="auto" w:sz="4" w:space="0"/>
            </w:tcBorders>
            <w:shd w:val="clear" w:color="auto" w:fill="auto"/>
            <w:vAlign w:val="center"/>
          </w:tcPr>
          <w:p w14:paraId="1789795B">
            <w:pPr>
              <w:jc w:val="center"/>
              <w:rPr>
                <w:rFonts w:hint="eastAsia" w:ascii="仿宋" w:hAnsi="仿宋" w:eastAsia="仿宋" w:cs="仿宋"/>
              </w:rPr>
            </w:pPr>
            <w:r>
              <w:rPr>
                <w:rFonts w:hint="eastAsia" w:ascii="仿宋" w:hAnsi="仿宋" w:eastAsia="仿宋" w:cs="仿宋"/>
                <w:lang w:val="en-US" w:eastAsia="zh-CN"/>
              </w:rPr>
              <w:t>维护</w:t>
            </w:r>
            <w:r>
              <w:rPr>
                <w:rFonts w:hint="eastAsia" w:ascii="仿宋" w:hAnsi="仿宋" w:eastAsia="仿宋" w:cs="仿宋"/>
              </w:rPr>
              <w:t>方案</w:t>
            </w:r>
          </w:p>
        </w:tc>
        <w:tc>
          <w:tcPr>
            <w:tcW w:w="1304" w:type="dxa"/>
            <w:tcBorders>
              <w:bottom w:val="single" w:color="auto" w:sz="4" w:space="0"/>
            </w:tcBorders>
            <w:shd w:val="clear" w:color="auto" w:fill="FFFFFF"/>
            <w:vAlign w:val="center"/>
          </w:tcPr>
          <w:p w14:paraId="742ACB02">
            <w:pPr>
              <w:jc w:val="center"/>
              <w:rPr>
                <w:rFonts w:hint="eastAsia" w:ascii="仿宋" w:hAnsi="仿宋" w:eastAsia="仿宋" w:cs="仿宋"/>
              </w:rPr>
            </w:pPr>
            <w:r>
              <w:rPr>
                <w:rFonts w:hint="eastAsia" w:ascii="仿宋" w:hAnsi="仿宋" w:eastAsia="仿宋" w:cs="仿宋"/>
                <w:lang w:val="en-US" w:eastAsia="zh-CN"/>
              </w:rPr>
              <w:t>维护</w:t>
            </w:r>
            <w:r>
              <w:rPr>
                <w:rFonts w:hint="eastAsia" w:ascii="仿宋" w:hAnsi="仿宋" w:eastAsia="仿宋" w:cs="仿宋"/>
              </w:rPr>
              <w:t>方案</w:t>
            </w:r>
          </w:p>
          <w:p w14:paraId="2E813F9B">
            <w:pPr>
              <w:jc w:val="center"/>
              <w:rPr>
                <w:rFonts w:hint="eastAsia" w:ascii="仿宋" w:hAnsi="仿宋" w:eastAsia="仿宋" w:cs="仿宋"/>
              </w:rPr>
            </w:pPr>
            <w:r>
              <w:rPr>
                <w:rFonts w:hint="eastAsia" w:ascii="仿宋" w:hAnsi="仿宋" w:eastAsia="仿宋" w:cs="仿宋"/>
                <w:color w:val="auto"/>
              </w:rPr>
              <w:t>（</w:t>
            </w:r>
            <w:r>
              <w:rPr>
                <w:rFonts w:hint="eastAsia" w:ascii="仿宋" w:hAnsi="仿宋" w:eastAsia="仿宋" w:cs="仿宋"/>
                <w:color w:val="auto"/>
                <w:lang w:val="en-US" w:eastAsia="zh-CN"/>
              </w:rPr>
              <w:t>10</w:t>
            </w:r>
            <w:r>
              <w:rPr>
                <w:rFonts w:hint="eastAsia" w:ascii="仿宋" w:hAnsi="仿宋" w:eastAsia="仿宋" w:cs="仿宋"/>
                <w:color w:val="auto"/>
              </w:rPr>
              <w:t>分）</w:t>
            </w:r>
          </w:p>
        </w:tc>
        <w:tc>
          <w:tcPr>
            <w:tcW w:w="6206" w:type="dxa"/>
            <w:tcBorders>
              <w:bottom w:val="single" w:color="auto" w:sz="4" w:space="0"/>
            </w:tcBorders>
            <w:shd w:val="clear" w:color="auto" w:fill="FFFFFF"/>
            <w:vAlign w:val="center"/>
          </w:tcPr>
          <w:p w14:paraId="529187CD">
            <w:pPr>
              <w:jc w:val="both"/>
              <w:rPr>
                <w:rFonts w:hint="eastAsia" w:ascii="仿宋" w:hAnsi="仿宋" w:eastAsia="仿宋" w:cs="仿宋"/>
              </w:rPr>
            </w:pPr>
            <w:r>
              <w:rPr>
                <w:rFonts w:hint="eastAsia" w:ascii="仿宋" w:hAnsi="仿宋" w:eastAsia="仿宋" w:cs="仿宋"/>
              </w:rPr>
              <w:t>评委根据投标人提供的维护方案进行综合评分：</w:t>
            </w:r>
          </w:p>
          <w:p w14:paraId="754C6A67">
            <w:pPr>
              <w:jc w:val="both"/>
              <w:rPr>
                <w:rFonts w:hint="eastAsia" w:ascii="仿宋" w:hAnsi="仿宋" w:eastAsia="仿宋" w:cs="仿宋"/>
              </w:rPr>
            </w:pPr>
            <w:r>
              <w:rPr>
                <w:rFonts w:hint="eastAsia" w:ascii="仿宋" w:hAnsi="仿宋" w:eastAsia="仿宋" w:cs="仿宋"/>
              </w:rPr>
              <w:t>维护方案内容全面、科学合理，得10分；</w:t>
            </w:r>
          </w:p>
          <w:p w14:paraId="4E600F19">
            <w:pPr>
              <w:jc w:val="both"/>
              <w:rPr>
                <w:rFonts w:hint="eastAsia" w:ascii="仿宋" w:hAnsi="仿宋" w:eastAsia="仿宋" w:cs="仿宋"/>
              </w:rPr>
            </w:pPr>
            <w:r>
              <w:rPr>
                <w:rFonts w:hint="eastAsia" w:ascii="仿宋" w:hAnsi="仿宋" w:eastAsia="仿宋" w:cs="仿宋"/>
              </w:rPr>
              <w:t>维护方案比较全面、较科学合理，得7分；</w:t>
            </w:r>
          </w:p>
          <w:p w14:paraId="1A5767D7">
            <w:pPr>
              <w:jc w:val="both"/>
              <w:rPr>
                <w:rFonts w:hint="eastAsia" w:ascii="仿宋" w:hAnsi="仿宋" w:eastAsia="仿宋" w:cs="仿宋"/>
              </w:rPr>
            </w:pPr>
            <w:r>
              <w:rPr>
                <w:rFonts w:hint="eastAsia" w:ascii="仿宋" w:hAnsi="仿宋" w:eastAsia="仿宋" w:cs="仿宋"/>
              </w:rPr>
              <w:t>维护方案不够全面、科学性一般，得4分；</w:t>
            </w:r>
          </w:p>
          <w:p w14:paraId="13CC056B">
            <w:pPr>
              <w:jc w:val="both"/>
              <w:rPr>
                <w:rFonts w:hint="eastAsia" w:ascii="仿宋" w:hAnsi="仿宋" w:eastAsia="仿宋" w:cs="仿宋"/>
              </w:rPr>
            </w:pPr>
            <w:r>
              <w:rPr>
                <w:rFonts w:hint="eastAsia" w:ascii="仿宋" w:hAnsi="仿宋" w:eastAsia="仿宋" w:cs="仿宋"/>
              </w:rPr>
              <w:t>未提供，得0分。</w:t>
            </w:r>
          </w:p>
        </w:tc>
      </w:tr>
      <w:tr w14:paraId="44CB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B85DF18">
            <w:pPr>
              <w:jc w:val="center"/>
              <w:rPr>
                <w:rFonts w:hint="eastAsia" w:ascii="仿宋" w:hAnsi="仿宋" w:eastAsia="仿宋" w:cs="仿宋"/>
              </w:rPr>
            </w:pPr>
            <w:r>
              <w:rPr>
                <w:rFonts w:hint="eastAsia" w:ascii="仿宋" w:hAnsi="仿宋" w:eastAsia="仿宋" w:cs="仿宋"/>
              </w:rPr>
              <w:t>5</w:t>
            </w:r>
          </w:p>
        </w:tc>
        <w:tc>
          <w:tcPr>
            <w:tcW w:w="850" w:type="dxa"/>
            <w:tcBorders>
              <w:top w:val="single" w:color="auto" w:sz="4" w:space="0"/>
              <w:left w:val="nil"/>
              <w:bottom w:val="single" w:color="auto" w:sz="4" w:space="0"/>
              <w:right w:val="single" w:color="auto" w:sz="4" w:space="0"/>
            </w:tcBorders>
            <w:vAlign w:val="center"/>
          </w:tcPr>
          <w:p w14:paraId="671A58BA">
            <w:pPr>
              <w:jc w:val="center"/>
              <w:rPr>
                <w:rFonts w:hint="eastAsia" w:ascii="仿宋" w:hAnsi="仿宋" w:eastAsia="仿宋" w:cs="仿宋"/>
              </w:rPr>
            </w:pPr>
            <w:r>
              <w:rPr>
                <w:rFonts w:hint="eastAsia" w:ascii="仿宋" w:hAnsi="仿宋" w:eastAsia="仿宋" w:cs="仿宋"/>
              </w:rPr>
              <w:t>合计</w:t>
            </w:r>
          </w:p>
        </w:tc>
        <w:tc>
          <w:tcPr>
            <w:tcW w:w="1304" w:type="dxa"/>
            <w:tcBorders>
              <w:top w:val="single" w:color="auto" w:sz="4" w:space="0"/>
              <w:left w:val="nil"/>
              <w:bottom w:val="single" w:color="auto" w:sz="4" w:space="0"/>
              <w:right w:val="single" w:color="auto" w:sz="4" w:space="0"/>
            </w:tcBorders>
            <w:vAlign w:val="center"/>
          </w:tcPr>
          <w:p w14:paraId="49ED31D5">
            <w:pPr>
              <w:jc w:val="center"/>
              <w:rPr>
                <w:rFonts w:hint="eastAsia" w:ascii="仿宋" w:hAnsi="仿宋" w:eastAsia="仿宋" w:cs="仿宋"/>
              </w:rPr>
            </w:pPr>
            <w:r>
              <w:rPr>
                <w:rFonts w:hint="eastAsia" w:ascii="仿宋" w:hAnsi="仿宋" w:eastAsia="仿宋" w:cs="仿宋"/>
              </w:rPr>
              <w:t>100</w:t>
            </w:r>
          </w:p>
        </w:tc>
        <w:tc>
          <w:tcPr>
            <w:tcW w:w="6206" w:type="dxa"/>
            <w:tcBorders>
              <w:top w:val="single" w:color="auto" w:sz="4" w:space="0"/>
              <w:left w:val="nil"/>
              <w:bottom w:val="single" w:color="auto" w:sz="4" w:space="0"/>
              <w:right w:val="single" w:color="auto" w:sz="4" w:space="0"/>
            </w:tcBorders>
            <w:vAlign w:val="center"/>
          </w:tcPr>
          <w:p w14:paraId="430F7C02">
            <w:pPr>
              <w:jc w:val="center"/>
              <w:rPr>
                <w:rFonts w:hint="eastAsia" w:ascii="仿宋" w:hAnsi="仿宋" w:eastAsia="仿宋" w:cs="仿宋"/>
              </w:rPr>
            </w:pPr>
          </w:p>
        </w:tc>
      </w:tr>
    </w:tbl>
    <w:p w14:paraId="08B8C84C">
      <w:pPr>
        <w:spacing w:line="20" w:lineRule="exact"/>
        <w:ind w:firstLine="480" w:firstLineChars="200"/>
        <w:rPr>
          <w:rFonts w:ascii="仿宋" w:eastAsia="仿宋"/>
          <w:sz w:val="24"/>
          <w:szCs w:val="20"/>
        </w:rPr>
      </w:pPr>
    </w:p>
    <w:p w14:paraId="2F00379B">
      <w:pPr>
        <w:spacing w:line="20" w:lineRule="exact"/>
        <w:ind w:firstLine="480" w:firstLineChars="200"/>
        <w:rPr>
          <w:rFonts w:ascii="仿宋" w:eastAsia="仿宋"/>
          <w:sz w:val="24"/>
          <w:szCs w:val="20"/>
        </w:rPr>
      </w:pPr>
      <w:r>
        <w:rPr>
          <w:rFonts w:ascii="仿宋" w:eastAsia="仿宋"/>
          <w:sz w:val="24"/>
          <w:szCs w:val="20"/>
        </w:rPr>
        <mc:AlternateContent>
          <mc:Choice Requires="wps">
            <w:drawing>
              <wp:anchor distT="0" distB="0" distL="114300" distR="114300" simplePos="0" relativeHeight="251660288" behindDoc="1" locked="0" layoutInCell="0" allowOverlap="1">
                <wp:simplePos x="0" y="0"/>
                <wp:positionH relativeFrom="column">
                  <wp:posOffset>-414020</wp:posOffset>
                </wp:positionH>
                <wp:positionV relativeFrom="paragraph">
                  <wp:posOffset>-5203825</wp:posOffset>
                </wp:positionV>
                <wp:extent cx="0" cy="201295"/>
                <wp:effectExtent l="4445" t="0" r="14605" b="8255"/>
                <wp:wrapNone/>
                <wp:docPr id="23" name="Shape 23"/>
                <wp:cNvGraphicFramePr/>
                <a:graphic xmlns:a="http://schemas.openxmlformats.org/drawingml/2006/main">
                  <a:graphicData uri="http://schemas.microsoft.com/office/word/2010/wordprocessingShape">
                    <wps:wsp>
                      <wps:cNvCnPr/>
                      <wps:spPr>
                        <a:xfrm>
                          <a:off x="0" y="0"/>
                          <a:ext cx="4763" cy="201295"/>
                        </a:xfrm>
                        <a:prstGeom prst="line">
                          <a:avLst/>
                        </a:prstGeom>
                        <a:solidFill>
                          <a:srgbClr val="FFFFFF"/>
                        </a:solidFill>
                        <a:ln w="9144">
                          <a:solidFill>
                            <a:srgbClr val="000000"/>
                          </a:solidFill>
                          <a:miter lim="800000"/>
                        </a:ln>
                        <a:effectLst/>
                      </wps:spPr>
                      <wps:bodyPr/>
                    </wps:wsp>
                  </a:graphicData>
                </a:graphic>
              </wp:anchor>
            </w:drawing>
          </mc:Choice>
          <mc:Fallback>
            <w:pict>
              <v:line id="Shape 23" o:spid="_x0000_s1026" o:spt="20" style="position:absolute;left:0pt;margin-left:-32.6pt;margin-top:-409.75pt;height:15.85pt;width:0pt;z-index:-251656192;mso-width-relative:page;mso-height-relative:page;" fillcolor="#FFFFFF" filled="t" stroked="t" coordsize="21600,21600" o:allowincell="f" o:gfxdata="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PV0/NkAAAANAQAADwAAAAAAAAABACAAAAAiAAAAZHJzL2Rvd25yZXYueG1sUEsBAhQAFAAA&#10;AAgAh07iQFUQfUW1AQAAqAMAAA4AAAAAAAAAAQAgAAAAKAEAAGRycy9lMm9Eb2MueG1sUEsFBgAA&#10;AAAGAAYAWQEAAE8FAAAAAA==&#10;">
                <v:fill on="t" focussize="0,0"/>
                <v:stroke weight="0.72pt" color="#000000" miterlimit="8" joinstyle="miter"/>
                <v:imagedata o:title=""/>
                <o:lock v:ext="edit" aspectratio="f"/>
              </v:line>
            </w:pict>
          </mc:Fallback>
        </mc:AlternateContent>
      </w:r>
      <w:r>
        <w:rPr>
          <w:rFonts w:ascii="仿宋" w:eastAsia="仿宋"/>
          <w:sz w:val="24"/>
          <w:szCs w:val="20"/>
        </w:rPr>
        <mc:AlternateContent>
          <mc:Choice Requires="wps">
            <w:drawing>
              <wp:anchor distT="0" distB="0" distL="114300" distR="114300" simplePos="0" relativeHeight="251661312" behindDoc="1" locked="0" layoutInCell="0" allowOverlap="1">
                <wp:simplePos x="0" y="0"/>
                <wp:positionH relativeFrom="column">
                  <wp:posOffset>-414020</wp:posOffset>
                </wp:positionH>
                <wp:positionV relativeFrom="paragraph">
                  <wp:posOffset>-4194175</wp:posOffset>
                </wp:positionV>
                <wp:extent cx="0" cy="201295"/>
                <wp:effectExtent l="4445" t="0" r="14605" b="8255"/>
                <wp:wrapNone/>
                <wp:docPr id="24" name="Shape 24"/>
                <wp:cNvGraphicFramePr/>
                <a:graphic xmlns:a="http://schemas.openxmlformats.org/drawingml/2006/main">
                  <a:graphicData uri="http://schemas.microsoft.com/office/word/2010/wordprocessingShape">
                    <wps:wsp>
                      <wps:cNvCnPr/>
                      <wps:spPr>
                        <a:xfrm>
                          <a:off x="0" y="0"/>
                          <a:ext cx="4763" cy="201295"/>
                        </a:xfrm>
                        <a:prstGeom prst="line">
                          <a:avLst/>
                        </a:prstGeom>
                        <a:solidFill>
                          <a:srgbClr val="FFFFFF"/>
                        </a:solidFill>
                        <a:ln w="9144">
                          <a:solidFill>
                            <a:srgbClr val="000000"/>
                          </a:solidFill>
                          <a:miter lim="800000"/>
                        </a:ln>
                        <a:effectLst/>
                      </wps:spPr>
                      <wps:bodyPr/>
                    </wps:wsp>
                  </a:graphicData>
                </a:graphic>
              </wp:anchor>
            </w:drawing>
          </mc:Choice>
          <mc:Fallback>
            <w:pict>
              <v:line id="Shape 24" o:spid="_x0000_s1026" o:spt="20" style="position:absolute;left:0pt;margin-left:-32.6pt;margin-top:-330.25pt;height:15.85pt;width:0pt;z-index:-251655168;mso-width-relative:page;mso-height-relative:page;" fillcolor="#FFFFFF" filled="t" stroked="t" coordsize="21600,21600" o:allowincell="f" o:gfxdata="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rMAy9gAAAANAQAADwAAAAAAAAABACAAAAAiAAAAZHJzL2Rvd25yZXYueG1sUEsBAhQAFAAA&#10;AAgAh07iQCw0nRe2AQAAqAMAAA4AAAAAAAAAAQAgAAAAJwEAAGRycy9lMm9Eb2MueG1sUEsFBgAA&#10;AAAGAAYAWQEAAE8FAAAAAA==&#10;">
                <v:fill on="t" focussize="0,0"/>
                <v:stroke weight="0.72pt" color="#000000" miterlimit="8" joinstyle="miter"/>
                <v:imagedata o:title=""/>
                <o:lock v:ext="edit" aspectratio="f"/>
              </v:line>
            </w:pict>
          </mc:Fallback>
        </mc:AlternateContent>
      </w:r>
    </w:p>
    <w:p w14:paraId="49E2A0EC">
      <w:pPr>
        <w:spacing w:line="560" w:lineRule="exact"/>
        <w:ind w:firstLine="482"/>
        <w:rPr>
          <w:rFonts w:ascii="仿宋" w:eastAsia="仿宋"/>
          <w:sz w:val="24"/>
          <w:szCs w:val="20"/>
        </w:rPr>
      </w:pPr>
      <w:bookmarkStart w:id="21" w:name="page23"/>
      <w:bookmarkEnd w:id="21"/>
      <w:r>
        <w:rPr>
          <w:rFonts w:ascii="仿宋" w:hAnsi="宋体" w:eastAsia="仿宋" w:cs="宋体"/>
          <w:b/>
          <w:bCs/>
          <w:sz w:val="24"/>
          <w:szCs w:val="21"/>
        </w:rPr>
        <w:t>说明：</w:t>
      </w:r>
    </w:p>
    <w:p w14:paraId="3117C524">
      <w:pPr>
        <w:spacing w:line="560" w:lineRule="exact"/>
        <w:ind w:firstLine="482"/>
        <w:rPr>
          <w:rFonts w:ascii="仿宋" w:eastAsia="仿宋"/>
          <w:sz w:val="24"/>
          <w:szCs w:val="20"/>
        </w:rPr>
      </w:pPr>
      <w:r>
        <w:rPr>
          <w:rFonts w:ascii="仿宋" w:hAnsi="宋体" w:eastAsia="仿宋" w:cs="宋体"/>
          <w:b/>
          <w:bCs/>
          <w:sz w:val="24"/>
          <w:szCs w:val="21"/>
          <w:u w:val="single"/>
        </w:rPr>
        <w:t>1、所有认证、证明和业绩均需提供有效的复印件（扫描件）。</w:t>
      </w:r>
    </w:p>
    <w:p w14:paraId="6AE4453A">
      <w:pPr>
        <w:spacing w:line="560" w:lineRule="exact"/>
        <w:ind w:firstLine="482"/>
        <w:rPr>
          <w:rFonts w:ascii="仿宋" w:eastAsia="仿宋"/>
          <w:sz w:val="24"/>
          <w:szCs w:val="20"/>
        </w:rPr>
      </w:pPr>
      <w:r>
        <w:rPr>
          <w:rFonts w:ascii="仿宋" w:hAnsi="宋体" w:eastAsia="仿宋" w:cs="宋体"/>
          <w:b/>
          <w:bCs/>
          <w:sz w:val="24"/>
          <w:szCs w:val="21"/>
          <w:u w:val="single"/>
        </w:rPr>
        <w:t>2、提供以上评标标准每项内容在投标文件中响应部分的页码。</w:t>
      </w:r>
    </w:p>
    <w:p w14:paraId="03A09E40">
      <w:pPr>
        <w:spacing w:before="200" w:after="100"/>
        <w:outlineLvl w:val="9"/>
        <w:rPr>
          <w:rFonts w:ascii="黑体" w:hAnsi="宋体" w:eastAsia="黑体" w:cs="宋体"/>
          <w:bCs/>
          <w:sz w:val="32"/>
          <w:szCs w:val="32"/>
        </w:rPr>
      </w:pPr>
      <w:bookmarkStart w:id="22" w:name="page24"/>
      <w:bookmarkEnd w:id="22"/>
    </w:p>
    <w:p w14:paraId="0B183E3F">
      <w:pPr>
        <w:spacing w:before="200" w:after="100"/>
        <w:outlineLvl w:val="9"/>
        <w:rPr>
          <w:rFonts w:ascii="黑体" w:hAnsi="宋体" w:eastAsia="黑体" w:cs="宋体"/>
          <w:bCs/>
          <w:sz w:val="32"/>
          <w:szCs w:val="32"/>
        </w:rPr>
      </w:pPr>
    </w:p>
    <w:p w14:paraId="6A9B7EDD">
      <w:pPr>
        <w:spacing w:before="200" w:after="100"/>
        <w:jc w:val="center"/>
        <w:outlineLvl w:val="9"/>
        <w:rPr>
          <w:rFonts w:hint="eastAsia" w:ascii="黑体" w:hAnsi="宋体" w:eastAsia="黑体" w:cs="宋体"/>
          <w:bCs/>
          <w:sz w:val="32"/>
          <w:szCs w:val="32"/>
        </w:rPr>
      </w:pPr>
    </w:p>
    <w:p w14:paraId="4944A76D">
      <w:pPr>
        <w:spacing w:before="200" w:after="100"/>
        <w:jc w:val="center"/>
        <w:outlineLvl w:val="9"/>
        <w:rPr>
          <w:rFonts w:hint="eastAsia" w:ascii="黑体" w:hAnsi="宋体" w:eastAsia="黑体" w:cs="宋体"/>
          <w:bCs/>
          <w:sz w:val="32"/>
          <w:szCs w:val="32"/>
        </w:rPr>
      </w:pPr>
    </w:p>
    <w:p w14:paraId="3B5AD707">
      <w:pPr>
        <w:spacing w:before="200" w:after="100"/>
        <w:jc w:val="center"/>
        <w:outlineLvl w:val="9"/>
        <w:rPr>
          <w:rFonts w:hint="eastAsia" w:ascii="黑体" w:hAnsi="宋体" w:eastAsia="黑体" w:cs="宋体"/>
          <w:bCs/>
          <w:sz w:val="32"/>
          <w:szCs w:val="32"/>
        </w:rPr>
      </w:pPr>
    </w:p>
    <w:p w14:paraId="7FAF4210">
      <w:pPr>
        <w:spacing w:before="200" w:after="100"/>
        <w:jc w:val="center"/>
        <w:outlineLvl w:val="9"/>
        <w:rPr>
          <w:rFonts w:hint="eastAsia" w:ascii="黑体" w:hAnsi="宋体" w:eastAsia="黑体" w:cs="宋体"/>
          <w:bCs/>
          <w:sz w:val="32"/>
          <w:szCs w:val="32"/>
        </w:rPr>
      </w:pPr>
    </w:p>
    <w:p w14:paraId="0FDF4FB4">
      <w:pPr>
        <w:spacing w:before="200" w:after="100"/>
        <w:jc w:val="center"/>
        <w:outlineLvl w:val="9"/>
        <w:rPr>
          <w:rFonts w:hint="eastAsia" w:ascii="黑体" w:hAnsi="宋体" w:eastAsia="黑体" w:cs="宋体"/>
          <w:bCs/>
          <w:sz w:val="32"/>
          <w:szCs w:val="32"/>
        </w:rPr>
      </w:pPr>
    </w:p>
    <w:p w14:paraId="1620B0F9">
      <w:pPr>
        <w:spacing w:before="200" w:after="100"/>
        <w:jc w:val="center"/>
        <w:outlineLvl w:val="9"/>
        <w:rPr>
          <w:rFonts w:hint="eastAsia" w:ascii="黑体" w:hAnsi="宋体" w:eastAsia="黑体" w:cs="宋体"/>
          <w:bCs/>
          <w:sz w:val="32"/>
          <w:szCs w:val="32"/>
        </w:rPr>
      </w:pPr>
    </w:p>
    <w:p w14:paraId="47015C50">
      <w:pPr>
        <w:spacing w:before="200" w:after="100"/>
        <w:jc w:val="both"/>
        <w:outlineLvl w:val="9"/>
        <w:rPr>
          <w:rFonts w:hint="eastAsia" w:ascii="黑体" w:hAnsi="宋体" w:eastAsia="黑体" w:cs="宋体"/>
          <w:bCs/>
          <w:sz w:val="32"/>
          <w:szCs w:val="32"/>
        </w:rPr>
      </w:pPr>
    </w:p>
    <w:p w14:paraId="4536F0AC">
      <w:pPr>
        <w:spacing w:before="200" w:after="100"/>
        <w:jc w:val="both"/>
        <w:outlineLvl w:val="9"/>
        <w:rPr>
          <w:rFonts w:hint="eastAsia" w:ascii="黑体" w:hAnsi="宋体" w:eastAsia="黑体" w:cs="宋体"/>
          <w:bCs/>
          <w:sz w:val="32"/>
          <w:szCs w:val="32"/>
        </w:rPr>
      </w:pPr>
    </w:p>
    <w:p w14:paraId="18E162AE">
      <w:pPr>
        <w:spacing w:before="200" w:after="100"/>
        <w:jc w:val="both"/>
        <w:outlineLvl w:val="9"/>
        <w:rPr>
          <w:rFonts w:hint="eastAsia" w:ascii="黑体" w:hAnsi="宋体" w:eastAsia="黑体" w:cs="宋体"/>
          <w:bCs/>
          <w:sz w:val="32"/>
          <w:szCs w:val="32"/>
        </w:rPr>
      </w:pPr>
    </w:p>
    <w:p w14:paraId="700AA5F5">
      <w:pPr>
        <w:spacing w:before="200" w:after="100"/>
        <w:jc w:val="both"/>
        <w:outlineLvl w:val="9"/>
        <w:rPr>
          <w:rFonts w:hint="eastAsia" w:ascii="黑体" w:hAnsi="宋体" w:eastAsia="黑体" w:cs="宋体"/>
          <w:bCs/>
          <w:sz w:val="32"/>
          <w:szCs w:val="32"/>
        </w:rPr>
      </w:pPr>
    </w:p>
    <w:p w14:paraId="154A3628">
      <w:pPr>
        <w:spacing w:before="200" w:after="100"/>
        <w:jc w:val="both"/>
        <w:outlineLvl w:val="9"/>
        <w:rPr>
          <w:rFonts w:hint="eastAsia" w:ascii="黑体" w:hAnsi="宋体" w:eastAsia="黑体" w:cs="宋体"/>
          <w:bCs/>
          <w:sz w:val="32"/>
          <w:szCs w:val="32"/>
        </w:rPr>
      </w:pPr>
    </w:p>
    <w:p w14:paraId="2DB74BE0">
      <w:pPr>
        <w:spacing w:before="200" w:after="100"/>
        <w:jc w:val="both"/>
        <w:outlineLvl w:val="9"/>
        <w:rPr>
          <w:rFonts w:hint="eastAsia" w:ascii="黑体" w:hAnsi="宋体" w:eastAsia="黑体" w:cs="宋体"/>
          <w:bCs/>
          <w:sz w:val="32"/>
          <w:szCs w:val="32"/>
        </w:rPr>
      </w:pPr>
    </w:p>
    <w:p w14:paraId="4D2BED3D">
      <w:pPr>
        <w:spacing w:before="200" w:after="100"/>
        <w:jc w:val="center"/>
        <w:outlineLvl w:val="0"/>
        <w:rPr>
          <w:rFonts w:ascii="黑体" w:eastAsia="黑体"/>
          <w:sz w:val="32"/>
          <w:szCs w:val="20"/>
        </w:rPr>
      </w:pPr>
      <w:r>
        <w:rPr>
          <w:rFonts w:ascii="黑体" w:hAnsi="宋体" w:eastAsia="黑体" w:cs="宋体"/>
          <w:bCs/>
          <w:sz w:val="32"/>
          <w:szCs w:val="32"/>
        </w:rPr>
        <w:t>第四章 采购项目的内容和相关技术要求等</w:t>
      </w:r>
    </w:p>
    <w:p w14:paraId="4859B851">
      <w:pPr>
        <w:spacing w:before="200" w:after="100"/>
        <w:outlineLvl w:val="1"/>
        <w:rPr>
          <w:rFonts w:hint="eastAsia" w:ascii="楷体" w:hAnsi="宋体" w:eastAsia="楷体" w:cs="宋体"/>
          <w:bCs/>
          <w:sz w:val="32"/>
          <w:szCs w:val="21"/>
        </w:rPr>
      </w:pPr>
      <w:r>
        <w:rPr>
          <w:rFonts w:hint="eastAsia" w:ascii="楷体" w:hAnsi="宋体" w:eastAsia="楷体" w:cs="宋体"/>
          <w:bCs/>
          <w:sz w:val="32"/>
          <w:szCs w:val="21"/>
        </w:rPr>
        <w:t>一、项目背景</w:t>
      </w:r>
    </w:p>
    <w:p w14:paraId="5A8F3421">
      <w:pPr>
        <w:spacing w:line="360" w:lineRule="auto"/>
        <w:ind w:firstLine="480" w:firstLineChars="200"/>
        <w:rPr>
          <w:rFonts w:hint="eastAsia" w:ascii="仿宋_GB2312" w:eastAsia="仿宋_GB2312"/>
          <w:sz w:val="32"/>
          <w:szCs w:val="32"/>
        </w:rPr>
      </w:pPr>
      <w:r>
        <w:rPr>
          <w:rFonts w:hint="eastAsia" w:ascii="仿宋" w:hAnsi="仿宋" w:eastAsia="仿宋" w:cs="仿宋"/>
          <w:sz w:val="24"/>
          <w:szCs w:val="24"/>
        </w:rPr>
        <w:t>南京市九华山和玄武湖隧道位于玄武区，其中九华山隧道南起龙蟠中路小营，北至新庄立交，全程长度2.78公里；玄武湖隧道西起模范马路，东至新庄立交，全长约2.66公里。是城市重要的交通要道。随着燕子矶过江隧道的开通，玄武湖隧道</w:t>
      </w:r>
      <w:r>
        <w:rPr>
          <w:rFonts w:hint="eastAsia" w:ascii="仿宋" w:hAnsi="仿宋" w:eastAsia="仿宋" w:cs="仿宋"/>
          <w:sz w:val="24"/>
          <w:szCs w:val="24"/>
          <w:lang w:eastAsia="zh-CN"/>
        </w:rPr>
        <w:t>、</w:t>
      </w:r>
      <w:r>
        <w:rPr>
          <w:rFonts w:hint="eastAsia" w:ascii="仿宋" w:hAnsi="仿宋" w:eastAsia="仿宋" w:cs="仿宋"/>
          <w:sz w:val="24"/>
          <w:szCs w:val="24"/>
        </w:rPr>
        <w:t>九华山隧道日车流量大幅增加，尾气排放对周边环境尤其是玄武湖国控点的空气质量产生了显著影响。根据监测，玄武湖隧道</w:t>
      </w:r>
      <w:r>
        <w:rPr>
          <w:rFonts w:hint="eastAsia" w:ascii="仿宋" w:hAnsi="仿宋" w:eastAsia="仿宋" w:cs="仿宋"/>
          <w:sz w:val="24"/>
          <w:szCs w:val="24"/>
          <w:lang w:eastAsia="zh-CN"/>
        </w:rPr>
        <w:t>、</w:t>
      </w:r>
      <w:r>
        <w:rPr>
          <w:rFonts w:hint="eastAsia" w:ascii="仿宋" w:hAnsi="仿宋" w:eastAsia="仿宋" w:cs="仿宋"/>
          <w:sz w:val="24"/>
          <w:szCs w:val="24"/>
        </w:rPr>
        <w:t>九华山隧道尾气对国控点的污染物浓度贡献不容忽视，且在特定风向下瞬时浓度贡献更高。为保障玄武湖国控点空气环境质量，</w:t>
      </w:r>
      <w:r>
        <w:rPr>
          <w:rFonts w:hint="eastAsia" w:ascii="仿宋" w:hAnsi="仿宋" w:eastAsia="仿宋" w:cs="仿宋"/>
          <w:sz w:val="24"/>
          <w:szCs w:val="24"/>
          <w:lang w:eastAsia="zh-CN"/>
        </w:rPr>
        <w:t>玄武</w:t>
      </w:r>
      <w:r>
        <w:rPr>
          <w:rFonts w:hint="eastAsia" w:ascii="仿宋" w:hAnsi="仿宋" w:eastAsia="仿宋" w:cs="仿宋"/>
          <w:sz w:val="24"/>
          <w:szCs w:val="24"/>
        </w:rPr>
        <w:t>局于2018年联合省环科院开展尾气治理工作，采用微生物降解净化方式对隧道尾气进行处理，治理设施自2019年运行至今已五年，部分设备老化损坏，急需维修更换。</w:t>
      </w:r>
    </w:p>
    <w:p w14:paraId="6DBF66C5">
      <w:pPr>
        <w:spacing w:before="200" w:after="100"/>
        <w:outlineLvl w:val="1"/>
        <w:rPr>
          <w:rFonts w:hint="eastAsia" w:ascii="楷体" w:hAnsi="宋体" w:eastAsia="楷体" w:cs="宋体"/>
          <w:bCs/>
          <w:sz w:val="32"/>
          <w:szCs w:val="21"/>
        </w:rPr>
      </w:pPr>
      <w:r>
        <w:rPr>
          <w:rFonts w:hint="eastAsia" w:ascii="楷体" w:hAnsi="宋体" w:eastAsia="楷体" w:cs="宋体"/>
          <w:bCs/>
          <w:sz w:val="32"/>
          <w:szCs w:val="21"/>
        </w:rPr>
        <w:t>二、维修目标</w:t>
      </w:r>
    </w:p>
    <w:p w14:paraId="6184BBA5">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恢复设备功能：通过维修和更换老化损坏的设备，恢复尾气治理设施的正常运行，确保其对隧道尾气的净化处理能力。</w:t>
      </w:r>
    </w:p>
    <w:p w14:paraId="44BC2084">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提升空气质量：保障玄武湖国控点空气环境质量，降低隧道尾气对周边环境的污染贡献，维持其在全市的领先状态。</w:t>
      </w:r>
    </w:p>
    <w:p w14:paraId="37178D57">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eastAsia="zh-CN"/>
        </w:rPr>
        <w:t>、</w:t>
      </w:r>
      <w:r>
        <w:rPr>
          <w:rFonts w:hint="eastAsia" w:ascii="仿宋_GB2312" w:eastAsia="仿宋_GB2312"/>
          <w:sz w:val="24"/>
          <w:szCs w:val="24"/>
        </w:rPr>
        <w:t>优化设施运行：提高设备运行的稳定性和可靠性，降低故障率，延长设备使用寿命，同时优化运行参数，降低能耗。</w:t>
      </w:r>
    </w:p>
    <w:p w14:paraId="7AED6A6F">
      <w:pPr>
        <w:spacing w:before="200" w:after="100"/>
        <w:outlineLvl w:val="1"/>
        <w:rPr>
          <w:rFonts w:hint="eastAsia" w:ascii="楷体" w:hAnsi="宋体" w:eastAsia="楷体" w:cs="宋体"/>
          <w:bCs/>
          <w:sz w:val="32"/>
          <w:szCs w:val="21"/>
        </w:rPr>
      </w:pPr>
      <w:r>
        <w:rPr>
          <w:rFonts w:hint="eastAsia" w:ascii="楷体" w:hAnsi="宋体" w:eastAsia="楷体" w:cs="宋体"/>
          <w:bCs/>
          <w:sz w:val="32"/>
          <w:szCs w:val="21"/>
        </w:rPr>
        <w:t>三、维修内容及措施</w:t>
      </w:r>
    </w:p>
    <w:p w14:paraId="3B41F2F8">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（一）电气控制系统维修</w:t>
      </w:r>
    </w:p>
    <w:p w14:paraId="380944D1">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检查与修复：对电气控制柜、线路、传感器等进行全面检查，修复损坏的线路和元件，更换老化的绝缘材料，确保电气系统的安全性和可靠性。</w:t>
      </w:r>
    </w:p>
    <w:p w14:paraId="29632256">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功能测试：对控制系统进行功能测试，包括设备的启动、停止、运行状态监测、故障报警等功能，确保控制系统能够正常控制设备运行。</w:t>
      </w:r>
    </w:p>
    <w:p w14:paraId="209FB56C">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eastAsia="zh-CN"/>
        </w:rPr>
        <w:t>、</w:t>
      </w:r>
      <w:r>
        <w:rPr>
          <w:rFonts w:hint="eastAsia" w:ascii="仿宋_GB2312" w:eastAsia="仿宋_GB2312"/>
          <w:sz w:val="24"/>
          <w:szCs w:val="24"/>
        </w:rPr>
        <w:t>软件升级：对监控软件进行升级，优化数据采集、传输和分析功能，提高监控系统的实时性和准确性。</w:t>
      </w:r>
    </w:p>
    <w:p w14:paraId="01435F60">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（二）机电设备维修</w:t>
      </w:r>
    </w:p>
    <w:p w14:paraId="7D55AA62">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风机维修与更换：</w:t>
      </w:r>
    </w:p>
    <w:p w14:paraId="74ACFC11">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 对玄武湖隧道</w:t>
      </w:r>
      <w:r>
        <w:rPr>
          <w:rFonts w:hint="eastAsia" w:ascii="仿宋_GB2312" w:eastAsia="仿宋_GB2312"/>
          <w:sz w:val="24"/>
          <w:szCs w:val="24"/>
          <w:lang w:eastAsia="zh-CN"/>
        </w:rPr>
        <w:t>、</w:t>
      </w:r>
      <w:r>
        <w:rPr>
          <w:rFonts w:ascii="仿宋_GB2312" w:eastAsia="仿宋_GB2312"/>
          <w:sz w:val="24"/>
          <w:szCs w:val="24"/>
        </w:rPr>
        <w:t>九华山隧道</w:t>
      </w:r>
      <w:r>
        <w:rPr>
          <w:rFonts w:hint="eastAsia" w:ascii="仿宋_GB2312" w:eastAsia="仿宋_GB2312"/>
          <w:sz w:val="24"/>
          <w:szCs w:val="24"/>
        </w:rPr>
        <w:t>停机的风机进行拆解检查，更换损坏的电机、叶片、轴承等部件。</w:t>
      </w:r>
    </w:p>
    <w:p w14:paraId="5F8ED311">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 对其他风机进行保养，包括清洗叶片、检查电机绝缘性能、润滑轴承等，确保风机运行平稳，风量达到设计要求。</w:t>
      </w:r>
    </w:p>
    <w:p w14:paraId="6DC823C7">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水喷淋设施维修与更换：</w:t>
      </w:r>
    </w:p>
    <w:p w14:paraId="2AAEB6F4">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 检查喷头、管道、水泵等部件，更换损坏的喷头和管道，修复漏水点。</w:t>
      </w:r>
    </w:p>
    <w:p w14:paraId="41653628">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 对水泵进行保养，包括清理叶轮、检查密封件、润滑轴承等，确保水泵正常运行，喷淋效果良好。</w:t>
      </w:r>
    </w:p>
    <w:p w14:paraId="2C389AB4">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eastAsia="zh-CN"/>
        </w:rPr>
        <w:t>、</w:t>
      </w:r>
      <w:r>
        <w:rPr>
          <w:rFonts w:hint="eastAsia" w:ascii="仿宋_GB2312" w:eastAsia="仿宋_GB2312"/>
          <w:sz w:val="24"/>
          <w:szCs w:val="24"/>
        </w:rPr>
        <w:t>监控软件串口和PLC传输连接检查与更换：</w:t>
      </w:r>
    </w:p>
    <w:p w14:paraId="0FB2D70B">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 检查串口和PLC连接线路，修复损坏的线路，更换老化的连接器。</w:t>
      </w:r>
    </w:p>
    <w:p w14:paraId="689A06B7">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 对PLC控制系统进行调试，确保数据传输稳定，监控系统能够实时获取设备运行数据。</w:t>
      </w:r>
    </w:p>
    <w:p w14:paraId="604BC4D8">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（三）管道维修</w:t>
      </w:r>
    </w:p>
    <w:p w14:paraId="67016D83">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检查与修复：对尾气收集管道进行全面检查，修复损坏的管道，更换老化的密封件，确保管道的密封性和气流畅通。</w:t>
      </w:r>
    </w:p>
    <w:p w14:paraId="6B797B07">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防腐处理：对管道进行防腐处理，防止管道因长期接触尾气而腐蚀损坏，延长管道使用寿命。</w:t>
      </w:r>
    </w:p>
    <w:p w14:paraId="725E2E56">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（四）生物滤池清理与更换</w:t>
      </w:r>
    </w:p>
    <w:p w14:paraId="2155F4FF">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清理滤池：对生物滤池内的填料进行清理，去除积累的灰尘、杂质和老化微生物，恢复滤池的通气性和净化能力。</w:t>
      </w:r>
    </w:p>
    <w:p w14:paraId="2BE4D2CB">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更换填料：根据滤池的运行情况，更换部分或全部填料，选择适合微生物生长的新型填料，提高生物滤池的净化效率。</w:t>
      </w:r>
    </w:p>
    <w:p w14:paraId="7DCD01D1">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（五）其他设备维修</w:t>
      </w:r>
    </w:p>
    <w:p w14:paraId="0DE73444">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土壤滤池维护：对土壤滤池进行维护，包括清理杂草、检查土壤湿度、补充微生物菌剂等，确保土壤滤池的生态净化功能。</w:t>
      </w:r>
    </w:p>
    <w:p w14:paraId="16828E53">
      <w:pPr>
        <w:spacing w:line="360" w:lineRule="auto"/>
        <w:ind w:firstLine="480" w:firstLineChars="200"/>
        <w:rPr>
          <w:rFonts w:hint="eastAsia" w:ascii="仿宋_GB2312" w:eastAsia="仿宋_GB2312"/>
          <w:sz w:val="32"/>
          <w:szCs w:val="32"/>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设备表面防腐：对所有设备的外表面进行防腐处理，防止设备因长期暴露在空气中而生锈损坏，延长设备使用寿命。</w:t>
      </w:r>
    </w:p>
    <w:p w14:paraId="203516E6">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六</w:t>
      </w:r>
      <w:r>
        <w:rPr>
          <w:rFonts w:hint="eastAsia" w:ascii="仿宋_GB2312" w:eastAsia="仿宋_GB2312"/>
          <w:sz w:val="24"/>
          <w:szCs w:val="24"/>
        </w:rPr>
        <w:t>）调试与验收</w:t>
      </w:r>
    </w:p>
    <w:p w14:paraId="19094B5A">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对维修后的尾气治理设施进行全面调试，检查设备运行是否正常，各项参数是否达到设计要求。</w:t>
      </w:r>
    </w:p>
    <w:p w14:paraId="1245D28A">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hint="eastAsia" w:ascii="仿宋_GB2312" w:eastAsia="仿宋_GB2312"/>
          <w:sz w:val="24"/>
          <w:szCs w:val="24"/>
        </w:rPr>
        <w:t>组织专家和相关部门对维修项目进行验收，确保维修质量和效果。</w:t>
      </w:r>
    </w:p>
    <w:p w14:paraId="2828E3F8">
      <w:pPr>
        <w:spacing w:before="200" w:after="100"/>
        <w:outlineLvl w:val="1"/>
        <w:rPr>
          <w:rFonts w:hint="eastAsia" w:ascii="楷体" w:hAnsi="宋体" w:eastAsia="楷体" w:cs="宋体"/>
          <w:bCs/>
          <w:sz w:val="32"/>
          <w:szCs w:val="21"/>
        </w:rPr>
      </w:pPr>
      <w:r>
        <w:rPr>
          <w:rFonts w:hint="eastAsia" w:ascii="楷体" w:hAnsi="宋体" w:eastAsia="楷体" w:cs="宋体"/>
          <w:bCs/>
          <w:sz w:val="32"/>
          <w:szCs w:val="21"/>
          <w:lang w:val="en-US" w:eastAsia="zh-CN"/>
        </w:rPr>
        <w:t>四</w:t>
      </w:r>
      <w:r>
        <w:rPr>
          <w:rFonts w:hint="eastAsia" w:ascii="楷体" w:hAnsi="宋体" w:eastAsia="楷体" w:cs="宋体"/>
          <w:bCs/>
          <w:sz w:val="32"/>
          <w:szCs w:val="21"/>
        </w:rPr>
        <w:t>、质量保障措施</w:t>
      </w:r>
    </w:p>
    <w:p w14:paraId="04349A85">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严格选材：选用高质量的维修材料和备件，确保其符合设备运行要求。</w:t>
      </w:r>
    </w:p>
    <w:p w14:paraId="51A5F2D6">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规范操作：维修人员必须经过专业培训，严格按照技术规范和操作规程进行维修作业。</w:t>
      </w:r>
    </w:p>
    <w:p w14:paraId="24D63AD8">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eastAsia="zh-CN"/>
        </w:rPr>
        <w:t>、</w:t>
      </w:r>
      <w:r>
        <w:rPr>
          <w:rFonts w:hint="eastAsia" w:ascii="仿宋_GB2312" w:eastAsia="仿宋_GB2312"/>
          <w:sz w:val="24"/>
          <w:szCs w:val="24"/>
        </w:rPr>
        <w:t>过程监督：安排专人对维修过程进行全程监督，及时发现和解决维修过程中出现的问题，确保维修质量。</w:t>
      </w:r>
    </w:p>
    <w:p w14:paraId="7E41D685">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sz w:val="24"/>
          <w:szCs w:val="24"/>
          <w:lang w:eastAsia="zh-CN"/>
        </w:rPr>
        <w:t>、</w:t>
      </w:r>
      <w:r>
        <w:rPr>
          <w:rFonts w:hint="eastAsia" w:ascii="仿宋_GB2312" w:eastAsia="仿宋_GB2312"/>
          <w:sz w:val="24"/>
          <w:szCs w:val="24"/>
        </w:rPr>
        <w:t>质量检验：对维修后的设备进行全面检查和功能测试，确保设备运行正常，各项参数符合设计要求。</w:t>
      </w:r>
    </w:p>
    <w:p w14:paraId="710AB88C">
      <w:pPr>
        <w:spacing w:before="200" w:after="100"/>
        <w:outlineLvl w:val="1"/>
        <w:rPr>
          <w:rFonts w:hint="eastAsia" w:ascii="楷体" w:hAnsi="宋体" w:eastAsia="楷体" w:cs="宋体"/>
          <w:bCs/>
          <w:sz w:val="32"/>
          <w:szCs w:val="21"/>
        </w:rPr>
      </w:pPr>
      <w:r>
        <w:rPr>
          <w:rFonts w:hint="eastAsia" w:ascii="楷体" w:hAnsi="宋体" w:eastAsia="楷体" w:cs="宋体"/>
          <w:bCs/>
          <w:sz w:val="32"/>
          <w:szCs w:val="21"/>
          <w:lang w:val="en-US" w:eastAsia="zh-CN"/>
        </w:rPr>
        <w:t>五</w:t>
      </w:r>
      <w:r>
        <w:rPr>
          <w:rFonts w:hint="eastAsia" w:ascii="楷体" w:hAnsi="宋体" w:eastAsia="楷体" w:cs="宋体"/>
          <w:bCs/>
          <w:sz w:val="32"/>
          <w:szCs w:val="21"/>
        </w:rPr>
        <w:t>、安全</w:t>
      </w:r>
      <w:r>
        <w:rPr>
          <w:rFonts w:hint="eastAsia" w:ascii="楷体" w:hAnsi="宋体" w:eastAsia="楷体" w:cs="宋体"/>
          <w:bCs/>
          <w:sz w:val="32"/>
          <w:szCs w:val="21"/>
          <w:lang w:val="en-US" w:eastAsia="zh-CN"/>
        </w:rPr>
        <w:t>保障</w:t>
      </w:r>
      <w:r>
        <w:rPr>
          <w:rFonts w:hint="eastAsia" w:ascii="楷体" w:hAnsi="宋体" w:eastAsia="楷体" w:cs="宋体"/>
          <w:bCs/>
          <w:sz w:val="32"/>
          <w:szCs w:val="21"/>
        </w:rPr>
        <w:t>措施</w:t>
      </w:r>
    </w:p>
    <w:p w14:paraId="06E59671">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安全培训：对维修人员进行安全培训，确保其熟悉安全操作规程和应急处理措施。</w:t>
      </w:r>
    </w:p>
    <w:p w14:paraId="49377712">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安全标识：在维修区域设置明显的安全警示标识，提醒过往人员注意安全。</w:t>
      </w:r>
    </w:p>
    <w:p w14:paraId="32CFA953">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eastAsia="zh-CN"/>
        </w:rPr>
        <w:t>、</w:t>
      </w:r>
      <w:r>
        <w:rPr>
          <w:rFonts w:hint="eastAsia" w:ascii="仿宋_GB2312" w:eastAsia="仿宋_GB2312"/>
          <w:sz w:val="24"/>
          <w:szCs w:val="24"/>
        </w:rPr>
        <w:t>防护措施：维修人员在作业过程中必须佩戴安全帽、安全带等防护用品，确保人身安全。</w:t>
      </w:r>
    </w:p>
    <w:p w14:paraId="706C63D0">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sz w:val="24"/>
          <w:szCs w:val="24"/>
          <w:lang w:eastAsia="zh-CN"/>
        </w:rPr>
        <w:t>、</w:t>
      </w:r>
      <w:r>
        <w:rPr>
          <w:rFonts w:hint="eastAsia" w:ascii="仿宋_GB2312" w:eastAsia="仿宋_GB2312"/>
          <w:sz w:val="24"/>
          <w:szCs w:val="24"/>
        </w:rPr>
        <w:t>应急预案：制定安全应急预案，对可能出现的安全事故进行预防和应对，确保维修过程的安全。</w:t>
      </w:r>
    </w:p>
    <w:p w14:paraId="37E08C23">
      <w:pPr>
        <w:spacing w:before="200" w:after="100"/>
        <w:outlineLvl w:val="1"/>
        <w:rPr>
          <w:rFonts w:hint="eastAsia" w:ascii="楷体" w:hAnsi="宋体" w:eastAsia="楷体" w:cs="宋体"/>
          <w:bCs/>
          <w:sz w:val="32"/>
          <w:szCs w:val="21"/>
        </w:rPr>
      </w:pPr>
      <w:r>
        <w:rPr>
          <w:rFonts w:hint="eastAsia" w:ascii="楷体" w:hAnsi="宋体" w:eastAsia="楷体" w:cs="宋体"/>
          <w:bCs/>
          <w:sz w:val="32"/>
          <w:szCs w:val="21"/>
          <w:lang w:val="en-US" w:eastAsia="zh-CN"/>
        </w:rPr>
        <w:t>六</w:t>
      </w:r>
      <w:r>
        <w:rPr>
          <w:rFonts w:hint="eastAsia" w:ascii="楷体" w:hAnsi="宋体" w:eastAsia="楷体" w:cs="宋体"/>
          <w:bCs/>
          <w:sz w:val="32"/>
          <w:szCs w:val="21"/>
        </w:rPr>
        <w:t>、预算</w:t>
      </w:r>
      <w:r>
        <w:rPr>
          <w:rFonts w:hint="eastAsia" w:ascii="楷体" w:hAnsi="宋体" w:eastAsia="楷体" w:cs="宋体"/>
          <w:bCs/>
          <w:sz w:val="32"/>
          <w:szCs w:val="21"/>
          <w:lang w:val="en-US" w:eastAsia="zh-CN"/>
        </w:rPr>
        <w:t>金额：34</w:t>
      </w:r>
      <w:r>
        <w:rPr>
          <w:rFonts w:hint="eastAsia" w:ascii="楷体" w:hAnsi="宋体" w:eastAsia="楷体" w:cs="宋体"/>
          <w:bCs/>
          <w:sz w:val="32"/>
          <w:szCs w:val="21"/>
        </w:rPr>
        <w:t>万元。</w:t>
      </w:r>
    </w:p>
    <w:p w14:paraId="48A50712">
      <w:pPr>
        <w:spacing w:before="200" w:after="100"/>
        <w:outlineLvl w:val="1"/>
        <w:rPr>
          <w:rFonts w:hint="eastAsia" w:ascii="楷体" w:hAnsi="宋体" w:eastAsia="楷体" w:cs="宋体"/>
          <w:bCs/>
          <w:sz w:val="32"/>
          <w:szCs w:val="21"/>
          <w:lang w:val="en-US" w:eastAsia="zh-CN"/>
        </w:rPr>
      </w:pPr>
      <w:r>
        <w:rPr>
          <w:rFonts w:hint="eastAsia" w:ascii="楷体" w:hAnsi="宋体" w:eastAsia="楷体" w:cs="宋体"/>
          <w:bCs/>
          <w:sz w:val="32"/>
          <w:szCs w:val="21"/>
          <w:lang w:val="en-US" w:eastAsia="zh-CN"/>
        </w:rPr>
        <w:t>七、后续维护</w:t>
      </w:r>
    </w:p>
    <w:p w14:paraId="03AD34CD">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lang w:eastAsia="zh-CN"/>
        </w:rPr>
        <w:t>、</w:t>
      </w:r>
      <w:r>
        <w:rPr>
          <w:rFonts w:hint="eastAsia" w:ascii="仿宋_GB2312" w:eastAsia="仿宋_GB2312"/>
          <w:sz w:val="24"/>
          <w:szCs w:val="24"/>
        </w:rPr>
        <w:t>加强监控管理：利用监控系统实时监测设备运行状态，根据运行数据及时调整设备运行参数，优化设备运行效果。</w:t>
      </w:r>
    </w:p>
    <w:p w14:paraId="12869F5B">
      <w:pPr>
        <w:spacing w:line="360" w:lineRule="auto"/>
        <w:ind w:firstLine="480" w:firstLineChars="200"/>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hint="eastAsia" w:ascii="仿宋_GB2312" w:eastAsia="仿宋_GB2312"/>
          <w:sz w:val="24"/>
          <w:szCs w:val="24"/>
        </w:rPr>
        <w:t>建立维修档案：详细记录设备的运行、维修和保养情况，为设备的更新改造提供参考依据。</w:t>
      </w:r>
    </w:p>
    <w:p w14:paraId="368BD9BB">
      <w:pPr>
        <w:spacing w:line="360" w:lineRule="auto"/>
        <w:ind w:firstLine="480" w:firstLineChars="200"/>
        <w:rPr>
          <w:rFonts w:ascii="仿宋" w:hAnsi="宋体" w:eastAsia="仿宋" w:cs="宋体"/>
          <w:sz w:val="24"/>
          <w:szCs w:val="21"/>
        </w:rPr>
      </w:pPr>
      <w:r>
        <w:rPr>
          <w:rFonts w:hint="eastAsia" w:ascii="仿宋_GB2312" w:eastAsia="仿宋_GB2312"/>
          <w:sz w:val="24"/>
          <w:szCs w:val="24"/>
        </w:rPr>
        <w:t>通过本次维修，将有效恢复</w:t>
      </w:r>
      <w:r>
        <w:rPr>
          <w:rFonts w:ascii="仿宋_GB2312" w:eastAsia="仿宋_GB2312"/>
          <w:sz w:val="24"/>
          <w:szCs w:val="24"/>
        </w:rPr>
        <w:t>九华山和玄武湖隧道</w:t>
      </w:r>
      <w:r>
        <w:rPr>
          <w:rFonts w:hint="eastAsia" w:ascii="仿宋_GB2312" w:eastAsia="仿宋_GB2312"/>
          <w:sz w:val="24"/>
          <w:szCs w:val="24"/>
          <w:lang w:val="en-US" w:eastAsia="zh-CN"/>
        </w:rPr>
        <w:t>机动车</w:t>
      </w:r>
      <w:r>
        <w:rPr>
          <w:rFonts w:hint="eastAsia" w:ascii="仿宋_GB2312" w:eastAsia="仿宋_GB2312"/>
          <w:sz w:val="24"/>
          <w:szCs w:val="24"/>
        </w:rPr>
        <w:t>尾气治理设施的运行功能，保障玄武湖国控点的空气环境质量，为改善周边环境空气质量提供有力支持。同时，通过建立完善的维护制度，确保设备长期稳定运行，进一步提升环境治理水平。</w:t>
      </w:r>
    </w:p>
    <w:p w14:paraId="66A8848E">
      <w:pPr>
        <w:spacing w:line="560" w:lineRule="exact"/>
        <w:ind w:firstLine="482"/>
        <w:rPr>
          <w:rFonts w:ascii="仿宋" w:hAnsi="宋体" w:eastAsia="仿宋" w:cs="宋体"/>
          <w:sz w:val="24"/>
          <w:szCs w:val="21"/>
        </w:rPr>
      </w:pPr>
    </w:p>
    <w:p w14:paraId="01EC1B07">
      <w:pPr>
        <w:spacing w:line="560" w:lineRule="exact"/>
        <w:ind w:firstLine="482"/>
        <w:rPr>
          <w:rFonts w:ascii="仿宋" w:hAnsi="宋体" w:eastAsia="仿宋" w:cs="宋体"/>
          <w:sz w:val="24"/>
          <w:szCs w:val="21"/>
        </w:rPr>
      </w:pPr>
    </w:p>
    <w:p w14:paraId="19AD96C4">
      <w:pPr>
        <w:spacing w:line="560" w:lineRule="exact"/>
        <w:ind w:firstLine="482"/>
        <w:rPr>
          <w:rFonts w:ascii="仿宋" w:hAnsi="宋体" w:eastAsia="仿宋" w:cs="宋体"/>
          <w:sz w:val="24"/>
          <w:szCs w:val="21"/>
        </w:rPr>
      </w:pPr>
    </w:p>
    <w:p w14:paraId="787B91BC">
      <w:pPr>
        <w:spacing w:line="560" w:lineRule="exact"/>
        <w:ind w:firstLine="482"/>
        <w:rPr>
          <w:rFonts w:ascii="仿宋" w:hAnsi="宋体" w:eastAsia="仿宋" w:cs="宋体"/>
          <w:sz w:val="24"/>
          <w:szCs w:val="21"/>
        </w:rPr>
      </w:pPr>
    </w:p>
    <w:p w14:paraId="29714B2F">
      <w:pPr>
        <w:spacing w:line="560" w:lineRule="exact"/>
        <w:ind w:firstLine="482"/>
        <w:rPr>
          <w:rFonts w:ascii="仿宋" w:hAnsi="宋体" w:eastAsia="仿宋" w:cs="宋体"/>
          <w:sz w:val="24"/>
          <w:szCs w:val="21"/>
        </w:rPr>
      </w:pPr>
    </w:p>
    <w:p w14:paraId="0A864DCC">
      <w:pPr>
        <w:spacing w:line="560" w:lineRule="exact"/>
        <w:ind w:firstLine="482"/>
        <w:rPr>
          <w:rFonts w:ascii="仿宋" w:hAnsi="宋体" w:eastAsia="仿宋" w:cs="宋体"/>
          <w:sz w:val="24"/>
          <w:szCs w:val="21"/>
        </w:rPr>
      </w:pPr>
    </w:p>
    <w:p w14:paraId="6D92DB9C">
      <w:pPr>
        <w:spacing w:line="560" w:lineRule="exact"/>
        <w:jc w:val="both"/>
        <w:rPr>
          <w:rFonts w:hint="eastAsia" w:ascii="黑体" w:hAnsi="宋体" w:eastAsia="黑体" w:cs="宋体"/>
          <w:bCs/>
          <w:sz w:val="32"/>
          <w:szCs w:val="32"/>
        </w:rPr>
      </w:pPr>
    </w:p>
    <w:p w14:paraId="09B2CE8E">
      <w:pPr>
        <w:spacing w:line="560" w:lineRule="exact"/>
        <w:jc w:val="both"/>
        <w:rPr>
          <w:rFonts w:hint="eastAsia" w:ascii="黑体" w:hAnsi="宋体" w:eastAsia="黑体" w:cs="宋体"/>
          <w:bCs/>
          <w:sz w:val="32"/>
          <w:szCs w:val="32"/>
        </w:rPr>
      </w:pPr>
    </w:p>
    <w:p w14:paraId="641C80D2">
      <w:pPr>
        <w:spacing w:line="560" w:lineRule="exact"/>
        <w:ind w:firstLine="482"/>
        <w:jc w:val="center"/>
        <w:rPr>
          <w:rFonts w:ascii="黑体" w:eastAsia="黑体"/>
          <w:sz w:val="32"/>
          <w:szCs w:val="20"/>
        </w:rPr>
      </w:pPr>
      <w:r>
        <w:rPr>
          <w:rFonts w:ascii="黑体" w:hAnsi="宋体" w:eastAsia="黑体" w:cs="宋体"/>
          <w:bCs/>
          <w:sz w:val="32"/>
          <w:szCs w:val="32"/>
        </w:rPr>
        <w:t>第五章 合同主要条款及格式</w:t>
      </w:r>
    </w:p>
    <w:p w14:paraId="5EBF0CCD">
      <w:pPr>
        <w:spacing w:line="560" w:lineRule="exact"/>
        <w:ind w:firstLine="482"/>
        <w:jc w:val="center"/>
        <w:rPr>
          <w:rFonts w:ascii="仿宋" w:hAnsi="宋体" w:eastAsia="仿宋" w:cs="宋体"/>
          <w:b/>
          <w:bCs/>
          <w:sz w:val="24"/>
          <w:szCs w:val="32"/>
        </w:rPr>
      </w:pPr>
    </w:p>
    <w:p w14:paraId="5738CF3F">
      <w:pPr>
        <w:spacing w:line="560" w:lineRule="exact"/>
        <w:ind w:firstLine="482"/>
        <w:jc w:val="center"/>
        <w:rPr>
          <w:rFonts w:ascii="仿宋" w:hAnsi="宋体" w:eastAsia="仿宋" w:cs="宋体"/>
          <w:b/>
          <w:bCs/>
          <w:sz w:val="24"/>
          <w:szCs w:val="32"/>
        </w:rPr>
      </w:pPr>
    </w:p>
    <w:p w14:paraId="24157243">
      <w:pPr>
        <w:spacing w:line="560" w:lineRule="exact"/>
        <w:ind w:firstLine="482"/>
        <w:jc w:val="center"/>
        <w:rPr>
          <w:rFonts w:ascii="仿宋" w:hAnsi="宋体" w:eastAsia="仿宋" w:cs="宋体"/>
          <w:b/>
          <w:bCs/>
          <w:sz w:val="24"/>
          <w:szCs w:val="32"/>
        </w:rPr>
      </w:pPr>
    </w:p>
    <w:p w14:paraId="69112DB6">
      <w:pPr>
        <w:spacing w:line="560" w:lineRule="exact"/>
        <w:ind w:firstLine="482"/>
        <w:jc w:val="center"/>
        <w:rPr>
          <w:rFonts w:ascii="仿宋" w:hAnsi="宋体" w:eastAsia="仿宋" w:cs="宋体"/>
          <w:b/>
          <w:bCs/>
          <w:sz w:val="24"/>
          <w:szCs w:val="32"/>
        </w:rPr>
      </w:pPr>
    </w:p>
    <w:p w14:paraId="0681D997">
      <w:pPr>
        <w:spacing w:line="560" w:lineRule="exact"/>
        <w:ind w:firstLine="482"/>
        <w:jc w:val="center"/>
        <w:rPr>
          <w:rFonts w:ascii="仿宋" w:hAnsi="宋体" w:eastAsia="仿宋" w:cs="宋体"/>
          <w:b/>
          <w:bCs/>
          <w:sz w:val="24"/>
          <w:szCs w:val="32"/>
        </w:rPr>
      </w:pPr>
    </w:p>
    <w:p w14:paraId="63EE4AD8">
      <w:pPr>
        <w:spacing w:line="560" w:lineRule="exact"/>
        <w:ind w:firstLine="482"/>
        <w:jc w:val="center"/>
        <w:rPr>
          <w:rFonts w:ascii="仿宋" w:hAnsi="宋体" w:eastAsia="仿宋" w:cs="宋体"/>
          <w:b/>
          <w:bCs/>
          <w:sz w:val="24"/>
          <w:szCs w:val="32"/>
        </w:rPr>
      </w:pPr>
    </w:p>
    <w:p w14:paraId="1C123093">
      <w:pPr>
        <w:spacing w:line="560" w:lineRule="exact"/>
        <w:ind w:firstLine="482"/>
        <w:jc w:val="center"/>
        <w:rPr>
          <w:rFonts w:ascii="仿宋" w:hAnsi="宋体" w:eastAsia="仿宋" w:cs="宋体"/>
          <w:b/>
          <w:bCs/>
          <w:sz w:val="24"/>
          <w:szCs w:val="32"/>
        </w:rPr>
      </w:pPr>
    </w:p>
    <w:p w14:paraId="3BD90C33">
      <w:pPr>
        <w:spacing w:line="560" w:lineRule="exact"/>
        <w:ind w:firstLine="482"/>
        <w:jc w:val="center"/>
        <w:rPr>
          <w:rFonts w:ascii="仿宋" w:hAnsi="宋体" w:eastAsia="仿宋" w:cs="宋体"/>
          <w:b/>
          <w:bCs/>
          <w:sz w:val="24"/>
          <w:szCs w:val="32"/>
        </w:rPr>
      </w:pPr>
      <w:r>
        <w:rPr>
          <w:rFonts w:ascii="仿宋" w:hAnsi="宋体" w:eastAsia="仿宋" w:cs="宋体"/>
          <w:b/>
          <w:bCs/>
          <w:sz w:val="36"/>
          <w:szCs w:val="36"/>
        </w:rPr>
        <w:t>南京市政府采购合同</w:t>
      </w:r>
    </w:p>
    <w:p w14:paraId="4D21E71E">
      <w:pPr>
        <w:spacing w:line="560" w:lineRule="exact"/>
        <w:ind w:firstLine="482"/>
        <w:jc w:val="center"/>
        <w:rPr>
          <w:rFonts w:ascii="仿宋" w:eastAsia="仿宋"/>
          <w:sz w:val="24"/>
          <w:szCs w:val="20"/>
        </w:rPr>
      </w:pPr>
      <w:r>
        <w:rPr>
          <w:rFonts w:ascii="仿宋" w:hAnsi="宋体" w:eastAsia="仿宋" w:cs="宋体"/>
          <w:b/>
          <w:bCs/>
          <w:w w:val="99"/>
          <w:sz w:val="24"/>
          <w:szCs w:val="32"/>
        </w:rPr>
        <w:t>（本项目最终签订的合同由合同双方协商后确定）</w:t>
      </w:r>
    </w:p>
    <w:p w14:paraId="1AFB99DB">
      <w:pPr>
        <w:spacing w:line="560" w:lineRule="exact"/>
        <w:ind w:firstLine="482"/>
        <w:rPr>
          <w:rFonts w:ascii="仿宋" w:hAnsi="宋体" w:eastAsia="仿宋" w:cs="宋体"/>
          <w:b/>
          <w:bCs/>
          <w:sz w:val="24"/>
          <w:szCs w:val="32"/>
        </w:rPr>
      </w:pPr>
    </w:p>
    <w:p w14:paraId="36AC2545">
      <w:pPr>
        <w:spacing w:line="560" w:lineRule="exact"/>
        <w:ind w:firstLine="482"/>
        <w:rPr>
          <w:rFonts w:ascii="仿宋" w:hAnsi="宋体" w:eastAsia="仿宋" w:cs="宋体"/>
          <w:b/>
          <w:bCs/>
          <w:sz w:val="24"/>
          <w:szCs w:val="32"/>
        </w:rPr>
      </w:pPr>
    </w:p>
    <w:p w14:paraId="11C59A0C">
      <w:pPr>
        <w:spacing w:line="560" w:lineRule="exact"/>
        <w:ind w:firstLine="482"/>
        <w:rPr>
          <w:rFonts w:ascii="仿宋" w:hAnsi="宋体" w:eastAsia="仿宋" w:cs="宋体"/>
          <w:b/>
          <w:bCs/>
          <w:sz w:val="24"/>
          <w:szCs w:val="32"/>
        </w:rPr>
      </w:pPr>
    </w:p>
    <w:p w14:paraId="64DFA8F4">
      <w:pPr>
        <w:spacing w:line="560" w:lineRule="exact"/>
        <w:ind w:firstLine="482"/>
        <w:rPr>
          <w:rFonts w:ascii="仿宋" w:hAnsi="宋体" w:eastAsia="仿宋" w:cs="宋体"/>
          <w:b/>
          <w:bCs/>
          <w:sz w:val="24"/>
          <w:szCs w:val="32"/>
        </w:rPr>
      </w:pPr>
    </w:p>
    <w:p w14:paraId="302ACA49">
      <w:pPr>
        <w:spacing w:line="560" w:lineRule="exact"/>
        <w:ind w:firstLine="482"/>
        <w:rPr>
          <w:rFonts w:ascii="仿宋" w:hAnsi="宋体" w:eastAsia="仿宋" w:cs="宋体"/>
          <w:b/>
          <w:bCs/>
          <w:sz w:val="24"/>
          <w:szCs w:val="32"/>
        </w:rPr>
      </w:pPr>
    </w:p>
    <w:p w14:paraId="20698569">
      <w:pPr>
        <w:spacing w:line="560" w:lineRule="exact"/>
        <w:ind w:firstLine="482"/>
        <w:rPr>
          <w:rFonts w:ascii="仿宋" w:hAnsi="宋体" w:eastAsia="仿宋" w:cs="宋体"/>
          <w:b/>
          <w:bCs/>
          <w:sz w:val="24"/>
          <w:szCs w:val="32"/>
        </w:rPr>
      </w:pPr>
    </w:p>
    <w:p w14:paraId="64648B7E">
      <w:pPr>
        <w:spacing w:line="560" w:lineRule="exact"/>
        <w:ind w:firstLine="482"/>
        <w:rPr>
          <w:rFonts w:ascii="仿宋" w:hAnsi="宋体" w:eastAsia="仿宋" w:cs="宋体"/>
          <w:b/>
          <w:bCs/>
          <w:sz w:val="24"/>
          <w:szCs w:val="32"/>
        </w:rPr>
      </w:pPr>
    </w:p>
    <w:p w14:paraId="5245D184">
      <w:pPr>
        <w:spacing w:line="560" w:lineRule="exact"/>
        <w:ind w:firstLine="482"/>
        <w:rPr>
          <w:rFonts w:ascii="仿宋" w:eastAsia="仿宋"/>
          <w:sz w:val="24"/>
          <w:szCs w:val="20"/>
        </w:rPr>
      </w:pPr>
      <w:r>
        <w:rPr>
          <w:rFonts w:ascii="仿宋" w:hAnsi="宋体" w:eastAsia="仿宋" w:cs="宋体"/>
          <w:b/>
          <w:bCs/>
          <w:sz w:val="24"/>
          <w:szCs w:val="32"/>
        </w:rPr>
        <w:t>合同编号 ：</w:t>
      </w:r>
    </w:p>
    <w:p w14:paraId="68497626">
      <w:pPr>
        <w:spacing w:line="20" w:lineRule="exact"/>
        <w:ind w:firstLine="480" w:firstLineChars="200"/>
        <w:rPr>
          <w:rFonts w:ascii="仿宋" w:eastAsia="仿宋"/>
          <w:sz w:val="24"/>
          <w:szCs w:val="20"/>
        </w:rPr>
      </w:pPr>
      <w:r>
        <w:rPr>
          <w:rFonts w:ascii="仿宋" w:eastAsia="仿宋"/>
          <w:sz w:val="24"/>
          <w:szCs w:val="20"/>
        </w:rPr>
        <mc:AlternateContent>
          <mc:Choice Requires="wps">
            <w:drawing>
              <wp:anchor distT="0" distB="0" distL="114300" distR="114300" simplePos="0" relativeHeight="251662336" behindDoc="1" locked="0" layoutInCell="0" allowOverlap="1">
                <wp:simplePos x="0" y="0"/>
                <wp:positionH relativeFrom="column">
                  <wp:posOffset>2341245</wp:posOffset>
                </wp:positionH>
                <wp:positionV relativeFrom="paragraph">
                  <wp:posOffset>3175</wp:posOffset>
                </wp:positionV>
                <wp:extent cx="2039620" cy="0"/>
                <wp:effectExtent l="0" t="0" r="0" b="0"/>
                <wp:wrapNone/>
                <wp:docPr id="32" name="Shape 32"/>
                <wp:cNvGraphicFramePr/>
                <a:graphic xmlns:a="http://schemas.openxmlformats.org/drawingml/2006/main">
                  <a:graphicData uri="http://schemas.microsoft.com/office/word/2010/wordprocessingShape">
                    <wps:wsp>
                      <wps:cNvCnPr/>
                      <wps:spPr>
                        <a:xfrm>
                          <a:off x="0" y="0"/>
                          <a:ext cx="2039620" cy="4763"/>
                        </a:xfrm>
                        <a:prstGeom prst="line">
                          <a:avLst/>
                        </a:prstGeom>
                        <a:solidFill>
                          <a:srgbClr val="FFFFFF"/>
                        </a:solidFill>
                        <a:ln w="10667">
                          <a:solidFill>
                            <a:srgbClr val="000000"/>
                          </a:solidFill>
                          <a:miter lim="800000"/>
                        </a:ln>
                        <a:effectLst/>
                      </wps:spPr>
                      <wps:bodyPr/>
                    </wps:wsp>
                  </a:graphicData>
                </a:graphic>
              </wp:anchor>
            </w:drawing>
          </mc:Choice>
          <mc:Fallback>
            <w:pict>
              <v:line id="Shape 32" o:spid="_x0000_s1026" o:spt="20" style="position:absolute;left:0pt;margin-left:184.35pt;margin-top:0.25pt;height:0pt;width:160.6pt;z-index:-251654144;mso-width-relative:page;mso-height-relative:page;" fillcolor="#FFFFFF" filled="t" stroked="t" coordsize="21600,21600" o:allowincell="f" o:gfxdata="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XPvd0wAAAAUBAAAPAAAAAAAAAAEAIAAAACIAAABkcnMvZG93bnJldi54bWxQSwECFAAUAAAACACH&#10;TuJAaUSO3bcBAACqAwAADgAAAAAAAAABACAAAAAiAQAAZHJzL2Uyb0RvYy54bWxQSwUGAAAAAAYA&#10;BgBZAQAASwUAAAAA&#10;">
                <v:fill on="t" focussize="0,0"/>
                <v:stroke weight="0.83992125984252pt" color="#000000" miterlimit="8" joinstyle="miter"/>
                <v:imagedata o:title=""/>
                <o:lock v:ext="edit" aspectratio="f"/>
              </v:line>
            </w:pict>
          </mc:Fallback>
        </mc:AlternateContent>
      </w:r>
    </w:p>
    <w:p w14:paraId="561C8B53">
      <w:pPr>
        <w:spacing w:line="560" w:lineRule="exact"/>
        <w:ind w:firstLine="482"/>
        <w:rPr>
          <w:rFonts w:ascii="仿宋" w:eastAsia="仿宋"/>
          <w:sz w:val="24"/>
          <w:szCs w:val="20"/>
        </w:rPr>
      </w:pPr>
      <w:r>
        <w:rPr>
          <w:rFonts w:ascii="仿宋" w:hAnsi="宋体" w:eastAsia="仿宋" w:cs="宋体"/>
          <w:b/>
          <w:bCs/>
          <w:sz w:val="24"/>
          <w:szCs w:val="32"/>
        </w:rPr>
        <w:t>项目名称 ：</w:t>
      </w:r>
    </w:p>
    <w:p w14:paraId="0E3B2B91">
      <w:pPr>
        <w:spacing w:line="20" w:lineRule="exact"/>
        <w:ind w:firstLine="480" w:firstLineChars="200"/>
        <w:rPr>
          <w:rFonts w:ascii="仿宋" w:eastAsia="仿宋"/>
          <w:sz w:val="24"/>
          <w:szCs w:val="20"/>
        </w:rPr>
      </w:pPr>
      <w:r>
        <w:rPr>
          <w:rFonts w:ascii="仿宋" w:eastAsia="仿宋"/>
          <w:sz w:val="24"/>
          <w:szCs w:val="20"/>
        </w:rPr>
        <mc:AlternateContent>
          <mc:Choice Requires="wps">
            <w:drawing>
              <wp:anchor distT="0" distB="0" distL="114300" distR="114300" simplePos="0" relativeHeight="251663360" behindDoc="1" locked="0" layoutInCell="0" allowOverlap="1">
                <wp:simplePos x="0" y="0"/>
                <wp:positionH relativeFrom="column">
                  <wp:posOffset>2341245</wp:posOffset>
                </wp:positionH>
                <wp:positionV relativeFrom="paragraph">
                  <wp:posOffset>3175</wp:posOffset>
                </wp:positionV>
                <wp:extent cx="2039620" cy="0"/>
                <wp:effectExtent l="0" t="0" r="0" b="0"/>
                <wp:wrapNone/>
                <wp:docPr id="33" name="Shape 33"/>
                <wp:cNvGraphicFramePr/>
                <a:graphic xmlns:a="http://schemas.openxmlformats.org/drawingml/2006/main">
                  <a:graphicData uri="http://schemas.microsoft.com/office/word/2010/wordprocessingShape">
                    <wps:wsp>
                      <wps:cNvCnPr/>
                      <wps:spPr>
                        <a:xfrm>
                          <a:off x="0" y="0"/>
                          <a:ext cx="2039620" cy="4763"/>
                        </a:xfrm>
                        <a:prstGeom prst="line">
                          <a:avLst/>
                        </a:prstGeom>
                        <a:solidFill>
                          <a:srgbClr val="FFFFFF"/>
                        </a:solidFill>
                        <a:ln w="10668">
                          <a:solidFill>
                            <a:srgbClr val="000000"/>
                          </a:solidFill>
                          <a:miter lim="800000"/>
                        </a:ln>
                        <a:effectLst/>
                      </wps:spPr>
                      <wps:bodyPr/>
                    </wps:wsp>
                  </a:graphicData>
                </a:graphic>
              </wp:anchor>
            </w:drawing>
          </mc:Choice>
          <mc:Fallback>
            <w:pict>
              <v:line id="Shape 33" o:spid="_x0000_s1026" o:spt="20" style="position:absolute;left:0pt;margin-left:184.35pt;margin-top:0.25pt;height:0pt;width:160.6pt;z-index:-251653120;mso-width-relative:page;mso-height-relative:page;" fillcolor="#FFFFFF" filled="t" stroked="t" coordsize="21600,21600" o:allowincell="f" o:gfxdata="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C0dBNUAAAAFAQAADwAAAAAAAAABACAAAAAiAAAAZHJzL2Rvd25yZXYueG1sUEsBAhQAFAAA&#10;AAgAh07iQCR+mpq5AQAAqgMAAA4AAAAAAAAAAQAgAAAAJAEAAGRycy9lMm9Eb2MueG1sUEsFBgAA&#10;AAAGAAYAWQEAAE8FAAAAAA==&#10;">
                <v:fill on="t" focussize="0,0"/>
                <v:stroke weight="0.84pt" color="#000000" miterlimit="8" joinstyle="miter"/>
                <v:imagedata o:title=""/>
                <o:lock v:ext="edit" aspectratio="f"/>
              </v:line>
            </w:pict>
          </mc:Fallback>
        </mc:AlternateContent>
      </w:r>
    </w:p>
    <w:p w14:paraId="293E47E3">
      <w:pPr>
        <w:spacing w:line="560" w:lineRule="exact"/>
        <w:ind w:firstLine="482"/>
        <w:rPr>
          <w:rFonts w:ascii="仿宋" w:eastAsia="仿宋"/>
          <w:sz w:val="24"/>
          <w:szCs w:val="20"/>
        </w:rPr>
      </w:pPr>
      <w:r>
        <w:rPr>
          <w:rFonts w:ascii="仿宋" w:hAnsi="宋体" w:eastAsia="仿宋" w:cs="宋体"/>
          <w:b/>
          <w:bCs/>
          <w:sz w:val="24"/>
          <w:szCs w:val="32"/>
        </w:rPr>
        <w:t>采购人 ：</w:t>
      </w:r>
    </w:p>
    <w:p w14:paraId="7AAAEF38">
      <w:pPr>
        <w:spacing w:line="20" w:lineRule="exact"/>
        <w:ind w:firstLine="480" w:firstLineChars="200"/>
        <w:rPr>
          <w:rFonts w:ascii="仿宋" w:eastAsia="仿宋"/>
          <w:sz w:val="24"/>
          <w:szCs w:val="20"/>
        </w:rPr>
      </w:pPr>
      <w:r>
        <w:rPr>
          <w:rFonts w:ascii="仿宋" w:eastAsia="仿宋"/>
          <w:sz w:val="24"/>
          <w:szCs w:val="20"/>
        </w:rPr>
        <mc:AlternateContent>
          <mc:Choice Requires="wps">
            <w:drawing>
              <wp:anchor distT="0" distB="0" distL="114300" distR="114300" simplePos="0" relativeHeight="251664384" behindDoc="1" locked="0" layoutInCell="0" allowOverlap="1">
                <wp:simplePos x="0" y="0"/>
                <wp:positionH relativeFrom="column">
                  <wp:posOffset>2136775</wp:posOffset>
                </wp:positionH>
                <wp:positionV relativeFrom="paragraph">
                  <wp:posOffset>3175</wp:posOffset>
                </wp:positionV>
                <wp:extent cx="2244090" cy="0"/>
                <wp:effectExtent l="0" t="0" r="0" b="0"/>
                <wp:wrapNone/>
                <wp:docPr id="34" name="Shape 34"/>
                <wp:cNvGraphicFramePr/>
                <a:graphic xmlns:a="http://schemas.openxmlformats.org/drawingml/2006/main">
                  <a:graphicData uri="http://schemas.microsoft.com/office/word/2010/wordprocessingShape">
                    <wps:wsp>
                      <wps:cNvCnPr/>
                      <wps:spPr>
                        <a:xfrm>
                          <a:off x="0" y="0"/>
                          <a:ext cx="2244090" cy="4763"/>
                        </a:xfrm>
                        <a:prstGeom prst="line">
                          <a:avLst/>
                        </a:prstGeom>
                        <a:solidFill>
                          <a:srgbClr val="FFFFFF"/>
                        </a:solidFill>
                        <a:ln w="10668">
                          <a:solidFill>
                            <a:srgbClr val="000000"/>
                          </a:solidFill>
                          <a:miter lim="800000"/>
                        </a:ln>
                        <a:effectLst/>
                      </wps:spPr>
                      <wps:bodyPr/>
                    </wps:wsp>
                  </a:graphicData>
                </a:graphic>
              </wp:anchor>
            </w:drawing>
          </mc:Choice>
          <mc:Fallback>
            <w:pict>
              <v:line id="Shape 34" o:spid="_x0000_s1026" o:spt="20" style="position:absolute;left:0pt;margin-left:168.25pt;margin-top:0.25pt;height:0pt;width:176.7pt;z-index:-251652096;mso-width-relative:page;mso-height-relative:page;" fillcolor="#FFFFFF" filled="t" stroked="t" coordsize="21600,21600" o:allowincell="f" o:gfxdata="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2cz+dQAAAAFAQAADwAAAAAAAAABACAAAAAiAAAAZHJzL2Rvd25yZXYueG1sUEsBAhQAFAAAAAgA&#10;h07iQCN0XBu3AQAAqgMAAA4AAAAAAAAAAQAgAAAAIwEAAGRycy9lMm9Eb2MueG1sUEsFBgAAAAAG&#10;AAYAWQEAAEwFAAAAAA==&#10;">
                <v:fill on="t" focussize="0,0"/>
                <v:stroke weight="0.84pt" color="#000000" miterlimit="8" joinstyle="miter"/>
                <v:imagedata o:title=""/>
                <o:lock v:ext="edit" aspectratio="f"/>
              </v:line>
            </w:pict>
          </mc:Fallback>
        </mc:AlternateContent>
      </w:r>
    </w:p>
    <w:p w14:paraId="60637627">
      <w:pPr>
        <w:spacing w:line="560" w:lineRule="exact"/>
        <w:ind w:firstLine="482"/>
        <w:rPr>
          <w:rFonts w:ascii="仿宋" w:eastAsia="仿宋"/>
          <w:sz w:val="24"/>
          <w:szCs w:val="20"/>
        </w:rPr>
      </w:pPr>
      <w:r>
        <w:rPr>
          <w:rFonts w:ascii="仿宋" w:hAnsi="宋体" w:eastAsia="仿宋" w:cs="宋体"/>
          <w:b/>
          <w:bCs/>
          <w:sz w:val="24"/>
          <w:szCs w:val="32"/>
        </w:rPr>
        <w:t>供应商 ：</w:t>
      </w:r>
    </w:p>
    <w:p w14:paraId="56937945">
      <w:pPr>
        <w:spacing w:line="20" w:lineRule="exact"/>
        <w:ind w:firstLine="480" w:firstLineChars="200"/>
        <w:rPr>
          <w:rFonts w:ascii="仿宋" w:eastAsia="仿宋"/>
          <w:sz w:val="24"/>
          <w:szCs w:val="20"/>
        </w:rPr>
      </w:pPr>
      <w:r>
        <w:rPr>
          <w:rFonts w:ascii="仿宋" w:eastAsia="仿宋"/>
          <w:sz w:val="24"/>
          <w:szCs w:val="20"/>
        </w:rPr>
        <mc:AlternateContent>
          <mc:Choice Requires="wps">
            <w:drawing>
              <wp:anchor distT="0" distB="0" distL="114300" distR="114300" simplePos="0" relativeHeight="251665408" behindDoc="1" locked="0" layoutInCell="0" allowOverlap="1">
                <wp:simplePos x="0" y="0"/>
                <wp:positionH relativeFrom="column">
                  <wp:posOffset>2135505</wp:posOffset>
                </wp:positionH>
                <wp:positionV relativeFrom="paragraph">
                  <wp:posOffset>3175</wp:posOffset>
                </wp:positionV>
                <wp:extent cx="2244090" cy="0"/>
                <wp:effectExtent l="0" t="0" r="0" b="0"/>
                <wp:wrapNone/>
                <wp:docPr id="35" name="Shape 35"/>
                <wp:cNvGraphicFramePr/>
                <a:graphic xmlns:a="http://schemas.openxmlformats.org/drawingml/2006/main">
                  <a:graphicData uri="http://schemas.microsoft.com/office/word/2010/wordprocessingShape">
                    <wps:wsp>
                      <wps:cNvCnPr/>
                      <wps:spPr>
                        <a:xfrm>
                          <a:off x="0" y="0"/>
                          <a:ext cx="2244090" cy="4763"/>
                        </a:xfrm>
                        <a:prstGeom prst="line">
                          <a:avLst/>
                        </a:prstGeom>
                        <a:solidFill>
                          <a:srgbClr val="FFFFFF"/>
                        </a:solidFill>
                        <a:ln w="10667">
                          <a:solidFill>
                            <a:srgbClr val="000000"/>
                          </a:solidFill>
                          <a:miter lim="800000"/>
                        </a:ln>
                        <a:effectLst/>
                      </wps:spPr>
                      <wps:bodyPr/>
                    </wps:wsp>
                  </a:graphicData>
                </a:graphic>
              </wp:anchor>
            </w:drawing>
          </mc:Choice>
          <mc:Fallback>
            <w:pict>
              <v:line id="Shape 35" o:spid="_x0000_s1026" o:spt="20" style="position:absolute;left:0pt;margin-left:168.15pt;margin-top:0.25pt;height:0pt;width:176.7pt;z-index:-251651072;mso-width-relative:page;mso-height-relative:page;" fillcolor="#FFFFFF" filled="t" stroked="t" coordsize="21600,21600" o:allowincell="f" o:gfxdata="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h8MtMAAAAFAQAADwAAAAAAAAABACAAAAAiAAAAZHJzL2Rvd25yZXYueG1sUEsBAhQAFAAAAAgA&#10;h07iQG5OSFy4AQAAqgMAAA4AAAAAAAAAAQAgAAAAIgEAAGRycy9lMm9Eb2MueG1sUEsFBgAAAAAG&#10;AAYAWQEAAEwFAAAAAA==&#10;">
                <v:fill on="t" focussize="0,0"/>
                <v:stroke weight="0.83992125984252pt" color="#000000" miterlimit="8" joinstyle="miter"/>
                <v:imagedata o:title=""/>
                <o:lock v:ext="edit" aspectratio="f"/>
              </v:line>
            </w:pict>
          </mc:Fallback>
        </mc:AlternateContent>
      </w:r>
    </w:p>
    <w:p w14:paraId="27731BF6">
      <w:pPr>
        <w:spacing w:line="560" w:lineRule="exact"/>
        <w:ind w:firstLine="482"/>
        <w:rPr>
          <w:rFonts w:ascii="仿宋" w:hAnsi="宋体" w:eastAsia="仿宋" w:cs="宋体"/>
          <w:b/>
          <w:bCs/>
          <w:sz w:val="24"/>
          <w:szCs w:val="32"/>
        </w:rPr>
      </w:pPr>
      <w:r>
        <w:rPr>
          <w:rFonts w:ascii="仿宋" w:hAnsi="宋体" w:eastAsia="仿宋" w:cs="宋体"/>
          <w:b/>
          <w:bCs/>
          <w:sz w:val="24"/>
          <w:szCs w:val="32"/>
        </w:rPr>
        <w:t>签订日期 ：</w:t>
      </w:r>
    </w:p>
    <w:p w14:paraId="4586FB40">
      <w:pPr>
        <w:spacing w:line="360" w:lineRule="auto"/>
        <w:jc w:val="center"/>
        <w:rPr>
          <w:rFonts w:hint="eastAsia"/>
          <w:b/>
          <w:bCs/>
          <w:sz w:val="24"/>
        </w:rPr>
      </w:pPr>
    </w:p>
    <w:p w14:paraId="74AC0213">
      <w:pPr>
        <w:spacing w:line="360" w:lineRule="auto"/>
        <w:jc w:val="center"/>
        <w:rPr>
          <w:rFonts w:hint="eastAsia"/>
          <w:b/>
          <w:bCs/>
          <w:sz w:val="24"/>
        </w:rPr>
      </w:pPr>
    </w:p>
    <w:p w14:paraId="786AEB1A">
      <w:pPr>
        <w:spacing w:line="360" w:lineRule="auto"/>
        <w:jc w:val="both"/>
        <w:rPr>
          <w:rFonts w:hint="eastAsia"/>
          <w:b/>
          <w:bCs/>
          <w:sz w:val="24"/>
        </w:rPr>
      </w:pPr>
    </w:p>
    <w:p w14:paraId="18052C3E">
      <w:pPr>
        <w:spacing w:line="360" w:lineRule="auto"/>
        <w:jc w:val="center"/>
        <w:rPr>
          <w:b/>
          <w:bCs/>
          <w:sz w:val="24"/>
        </w:rPr>
      </w:pPr>
      <w:r>
        <w:rPr>
          <w:rFonts w:hint="eastAsia"/>
          <w:b/>
          <w:bCs/>
          <w:sz w:val="24"/>
        </w:rPr>
        <w:t>南京市玄武区九华山、玄武湖隧道机动车尾气治理设施维修合同</w:t>
      </w:r>
    </w:p>
    <w:p w14:paraId="708878C0">
      <w:pPr>
        <w:spacing w:line="360" w:lineRule="auto"/>
      </w:pPr>
      <w:r>
        <w:rPr>
          <w:rFonts w:hint="eastAsia"/>
        </w:rPr>
        <w:t>甲方：</w:t>
      </w:r>
    </w:p>
    <w:p w14:paraId="505C8A8D">
      <w:pPr>
        <w:spacing w:line="360" w:lineRule="auto"/>
      </w:pPr>
      <w:r>
        <w:rPr>
          <w:rFonts w:hint="eastAsia"/>
        </w:rPr>
        <w:t>地址：</w:t>
      </w:r>
    </w:p>
    <w:p w14:paraId="51090324">
      <w:pPr>
        <w:spacing w:line="360" w:lineRule="auto"/>
      </w:pPr>
      <w:r>
        <w:rPr>
          <w:rFonts w:hint="eastAsia"/>
        </w:rPr>
        <w:t>联系方式：</w:t>
      </w:r>
    </w:p>
    <w:p w14:paraId="74F4EEFC">
      <w:pPr>
        <w:spacing w:line="360" w:lineRule="auto"/>
      </w:pPr>
    </w:p>
    <w:p w14:paraId="7F5083E4">
      <w:pPr>
        <w:spacing w:line="360" w:lineRule="auto"/>
      </w:pPr>
      <w:r>
        <w:rPr>
          <w:rFonts w:hint="eastAsia"/>
        </w:rPr>
        <w:t>乙方：</w:t>
      </w:r>
    </w:p>
    <w:p w14:paraId="1B506179">
      <w:pPr>
        <w:spacing w:line="360" w:lineRule="auto"/>
      </w:pPr>
      <w:r>
        <w:rPr>
          <w:rFonts w:hint="eastAsia"/>
        </w:rPr>
        <w:t>地址：</w:t>
      </w:r>
    </w:p>
    <w:p w14:paraId="22EF2D7C">
      <w:pPr>
        <w:spacing w:line="360" w:lineRule="auto"/>
      </w:pPr>
      <w:r>
        <w:rPr>
          <w:rFonts w:hint="eastAsia"/>
        </w:rPr>
        <w:t>联系方式：</w:t>
      </w:r>
    </w:p>
    <w:p w14:paraId="7424471D">
      <w:pPr>
        <w:spacing w:line="360" w:lineRule="auto"/>
      </w:pPr>
    </w:p>
    <w:p w14:paraId="09EC73CE">
      <w:pPr>
        <w:spacing w:line="360" w:lineRule="auto"/>
        <w:ind w:firstLine="440" w:firstLineChars="200"/>
      </w:pPr>
      <w:r>
        <w:rPr>
          <w:rFonts w:hint="eastAsia"/>
        </w:rPr>
        <w:t>本合同经甲、乙双方平等协商，在真实、充分地表达各自意愿的基础上，根据《中华人民共和国民法典》及相关法律法规的规定，就甲方所售设备维修保养事宜达成如下条款：</w:t>
      </w:r>
    </w:p>
    <w:p w14:paraId="4EA60902">
      <w:pPr>
        <w:numPr>
          <w:ilvl w:val="0"/>
          <w:numId w:val="2"/>
        </w:numPr>
        <w:spacing w:line="360" w:lineRule="auto"/>
        <w:ind w:firstLine="440" w:firstLineChars="200"/>
      </w:pPr>
      <w:r>
        <w:rPr>
          <w:rFonts w:hint="eastAsia"/>
        </w:rPr>
        <w:t>甲方委托乙方就甲方所售设备采取包工包料方式进行日常维保工作，包括但不限于清洗、烘干、运输、维护、维修、保养等服务。</w:t>
      </w:r>
    </w:p>
    <w:p w14:paraId="0A737B11">
      <w:pPr>
        <w:numPr>
          <w:ilvl w:val="0"/>
          <w:numId w:val="2"/>
        </w:numPr>
        <w:spacing w:line="360" w:lineRule="auto"/>
        <w:ind w:firstLine="440" w:firstLineChars="200"/>
      </w:pPr>
      <w:r>
        <w:rPr>
          <w:rFonts w:hint="eastAsia"/>
        </w:rPr>
        <w:t>服务内容和服务要求</w:t>
      </w:r>
    </w:p>
    <w:p w14:paraId="455C1940">
      <w:pPr>
        <w:numPr>
          <w:ilvl w:val="0"/>
          <w:numId w:val="3"/>
        </w:numPr>
        <w:spacing w:line="360" w:lineRule="auto"/>
        <w:ind w:firstLine="440" w:firstLineChars="200"/>
      </w:pPr>
      <w:r>
        <w:rPr>
          <w:rFonts w:hint="eastAsia"/>
        </w:rPr>
        <w:t>服务内容</w:t>
      </w:r>
    </w:p>
    <w:p w14:paraId="31D45BEC">
      <w:pPr>
        <w:spacing w:line="360" w:lineRule="auto"/>
        <w:ind w:firstLine="440" w:firstLineChars="200"/>
      </w:pPr>
      <w:r>
        <w:rPr>
          <w:rFonts w:hint="eastAsia"/>
        </w:rPr>
        <w:t>乙方应严格按照本合同、《维保手册》、《设备安装与维护操作规范》、甲方要求和原则、目标及标准的提供合格服务：</w:t>
      </w:r>
    </w:p>
    <w:p w14:paraId="5E02585A">
      <w:pPr>
        <w:numPr>
          <w:ilvl w:val="0"/>
          <w:numId w:val="4"/>
        </w:numPr>
        <w:spacing w:line="360" w:lineRule="auto"/>
        <w:ind w:firstLine="440" w:firstLineChars="200"/>
      </w:pPr>
      <w:r>
        <w:rPr>
          <w:rFonts w:hint="eastAsia"/>
        </w:rPr>
        <w:t>具体服务要求如下</w:t>
      </w:r>
    </w:p>
    <w:p w14:paraId="7CCE68E2">
      <w:pPr>
        <w:tabs>
          <w:tab w:val="left" w:pos="312"/>
        </w:tabs>
        <w:spacing w:line="360" w:lineRule="auto"/>
        <w:ind w:firstLine="440" w:firstLineChars="200"/>
      </w:pPr>
      <w:r>
        <w:rPr>
          <w:rFonts w:hint="eastAsia"/>
        </w:rPr>
        <w:t>乙方应根据甲方提供给乙方所需维保的设备数量，配备足够的维保、维修人员，以及足够的维保工作场地和维保所需的各种维保设备，包括但不限于车辆等。</w:t>
      </w:r>
    </w:p>
    <w:p w14:paraId="1F0BE65A">
      <w:pPr>
        <w:tabs>
          <w:tab w:val="left" w:pos="312"/>
        </w:tabs>
        <w:spacing w:line="360" w:lineRule="auto"/>
        <w:ind w:firstLine="440" w:firstLineChars="200"/>
      </w:pPr>
      <w:r>
        <w:rPr>
          <w:rFonts w:hint="eastAsia"/>
        </w:rPr>
        <w:t>乙方应根据甲方设备的安装位置，协助甲方因地制定维保周期和维保要求并按照甲方要求对目前所售设备提供维保服务，具体如下。如遇极端天气或问题</w:t>
      </w:r>
      <w:r>
        <w:t>（</w:t>
      </w:r>
      <w:r>
        <w:rPr>
          <w:rFonts w:hint="eastAsia"/>
        </w:rPr>
        <w:t>例如</w:t>
      </w:r>
      <w:r>
        <w:t>：</w:t>
      </w:r>
      <w:r>
        <w:rPr>
          <w:rFonts w:hint="eastAsia"/>
        </w:rPr>
        <w:t>沙尘暴</w:t>
      </w:r>
      <w:r>
        <w:t>）</w:t>
      </w:r>
      <w:r>
        <w:rPr>
          <w:rFonts w:hint="eastAsia"/>
        </w:rPr>
        <w:t>时，乙方应立即维保。</w:t>
      </w:r>
    </w:p>
    <w:tbl>
      <w:tblPr>
        <w:tblStyle w:val="9"/>
        <w:tblpPr w:leftFromText="180" w:rightFromText="180" w:vertAnchor="text" w:horzAnchor="margin" w:tblpX="-108" w:tblpY="29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47"/>
        <w:gridCol w:w="1161"/>
        <w:gridCol w:w="4344"/>
        <w:gridCol w:w="1194"/>
        <w:gridCol w:w="800"/>
      </w:tblGrid>
      <w:tr w14:paraId="6534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7" w:type="dxa"/>
          </w:tcPr>
          <w:p w14:paraId="7B3AD9A0">
            <w:pPr>
              <w:jc w:val="center"/>
              <w:rPr>
                <w:b/>
                <w:bCs/>
                <w:kern w:val="2"/>
              </w:rPr>
            </w:pPr>
            <w:r>
              <w:rPr>
                <w:rFonts w:hint="eastAsia"/>
                <w:b/>
                <w:bCs/>
                <w:kern w:val="2"/>
              </w:rPr>
              <w:t>序号</w:t>
            </w:r>
          </w:p>
        </w:tc>
        <w:tc>
          <w:tcPr>
            <w:tcW w:w="1347" w:type="dxa"/>
          </w:tcPr>
          <w:p w14:paraId="0A4B462C">
            <w:pPr>
              <w:jc w:val="center"/>
              <w:rPr>
                <w:b/>
                <w:bCs/>
                <w:kern w:val="2"/>
              </w:rPr>
            </w:pPr>
            <w:r>
              <w:rPr>
                <w:rFonts w:hint="eastAsia"/>
                <w:b/>
                <w:bCs/>
                <w:kern w:val="2"/>
                <w:lang w:val="en-US" w:eastAsia="zh-CN"/>
              </w:rPr>
              <w:t>项目</w:t>
            </w:r>
            <w:r>
              <w:rPr>
                <w:rFonts w:hint="eastAsia"/>
                <w:b/>
                <w:bCs/>
                <w:kern w:val="2"/>
              </w:rPr>
              <w:t>名称</w:t>
            </w:r>
          </w:p>
        </w:tc>
        <w:tc>
          <w:tcPr>
            <w:tcW w:w="1161" w:type="dxa"/>
          </w:tcPr>
          <w:p w14:paraId="46678BD5">
            <w:pPr>
              <w:jc w:val="center"/>
              <w:rPr>
                <w:b/>
                <w:bCs/>
                <w:kern w:val="2"/>
              </w:rPr>
            </w:pPr>
            <w:r>
              <w:rPr>
                <w:rFonts w:hint="eastAsia"/>
                <w:b/>
                <w:bCs/>
                <w:kern w:val="2"/>
                <w:lang w:val="en-US" w:eastAsia="zh-CN"/>
              </w:rPr>
              <w:t>项目</w:t>
            </w:r>
            <w:r>
              <w:rPr>
                <w:rFonts w:hint="eastAsia"/>
                <w:b/>
                <w:bCs/>
                <w:kern w:val="2"/>
              </w:rPr>
              <w:t>地点</w:t>
            </w:r>
          </w:p>
        </w:tc>
        <w:tc>
          <w:tcPr>
            <w:tcW w:w="4344" w:type="dxa"/>
          </w:tcPr>
          <w:p w14:paraId="3E238282">
            <w:pPr>
              <w:jc w:val="center"/>
              <w:rPr>
                <w:b/>
                <w:bCs/>
                <w:kern w:val="2"/>
              </w:rPr>
            </w:pPr>
            <w:r>
              <w:rPr>
                <w:rFonts w:hint="eastAsia"/>
                <w:b/>
                <w:bCs/>
                <w:kern w:val="2"/>
                <w:lang w:val="en-US" w:eastAsia="zh-CN"/>
              </w:rPr>
              <w:t>项目</w:t>
            </w:r>
            <w:r>
              <w:rPr>
                <w:rFonts w:hint="eastAsia"/>
                <w:b/>
                <w:bCs/>
                <w:kern w:val="2"/>
              </w:rPr>
              <w:t>内容</w:t>
            </w:r>
          </w:p>
        </w:tc>
        <w:tc>
          <w:tcPr>
            <w:tcW w:w="1194" w:type="dxa"/>
          </w:tcPr>
          <w:p w14:paraId="59CE9691">
            <w:pPr>
              <w:jc w:val="center"/>
              <w:rPr>
                <w:b/>
                <w:bCs/>
                <w:kern w:val="2"/>
              </w:rPr>
            </w:pPr>
            <w:r>
              <w:rPr>
                <w:b/>
                <w:bCs/>
                <w:kern w:val="2"/>
              </w:rPr>
              <w:t>频次</w:t>
            </w:r>
          </w:p>
        </w:tc>
        <w:tc>
          <w:tcPr>
            <w:tcW w:w="800" w:type="dxa"/>
          </w:tcPr>
          <w:p w14:paraId="4D965974">
            <w:pPr>
              <w:jc w:val="center"/>
              <w:rPr>
                <w:b/>
                <w:bCs/>
                <w:kern w:val="2"/>
              </w:rPr>
            </w:pPr>
            <w:r>
              <w:rPr>
                <w:rFonts w:hint="eastAsia"/>
                <w:b/>
                <w:bCs/>
                <w:kern w:val="2"/>
              </w:rPr>
              <w:t>备注</w:t>
            </w:r>
          </w:p>
        </w:tc>
      </w:tr>
      <w:tr w14:paraId="3614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667" w:type="dxa"/>
          </w:tcPr>
          <w:p w14:paraId="00A50D6A">
            <w:pPr>
              <w:jc w:val="center"/>
              <w:rPr>
                <w:kern w:val="2"/>
              </w:rPr>
            </w:pPr>
          </w:p>
          <w:p w14:paraId="0B4687B5">
            <w:pPr>
              <w:jc w:val="center"/>
              <w:rPr>
                <w:kern w:val="2"/>
              </w:rPr>
            </w:pPr>
          </w:p>
          <w:p w14:paraId="0C804393">
            <w:pPr>
              <w:jc w:val="center"/>
              <w:rPr>
                <w:kern w:val="2"/>
              </w:rPr>
            </w:pPr>
          </w:p>
          <w:p w14:paraId="65CEBC1C">
            <w:pPr>
              <w:jc w:val="center"/>
              <w:rPr>
                <w:kern w:val="2"/>
              </w:rPr>
            </w:pPr>
            <w:r>
              <w:rPr>
                <w:rFonts w:hint="eastAsia"/>
                <w:kern w:val="2"/>
              </w:rPr>
              <w:t>1</w:t>
            </w:r>
          </w:p>
        </w:tc>
        <w:tc>
          <w:tcPr>
            <w:tcW w:w="1347" w:type="dxa"/>
            <w:vAlign w:val="center"/>
          </w:tcPr>
          <w:p w14:paraId="256459EC">
            <w:pPr>
              <w:jc w:val="center"/>
              <w:rPr>
                <w:kern w:val="2"/>
              </w:rPr>
            </w:pPr>
            <w:r>
              <w:rPr>
                <w:rFonts w:hint="eastAsia"/>
                <w:kern w:val="2"/>
              </w:rPr>
              <w:t>南京市玄武区九华山、玄武湖隧道机动车尾气治理设施维修服务</w:t>
            </w:r>
          </w:p>
        </w:tc>
        <w:tc>
          <w:tcPr>
            <w:tcW w:w="1161" w:type="dxa"/>
            <w:vAlign w:val="center"/>
          </w:tcPr>
          <w:p w14:paraId="464B5F45">
            <w:pPr>
              <w:jc w:val="center"/>
              <w:rPr>
                <w:kern w:val="2"/>
              </w:rPr>
            </w:pPr>
            <w:r>
              <w:rPr>
                <w:rFonts w:hint="eastAsia"/>
                <w:kern w:val="2"/>
              </w:rPr>
              <w:t>南京市玄武区九华山、玄武湖隧道</w:t>
            </w:r>
          </w:p>
        </w:tc>
        <w:tc>
          <w:tcPr>
            <w:tcW w:w="4344" w:type="dxa"/>
            <w:vAlign w:val="center"/>
          </w:tcPr>
          <w:p w14:paraId="45FB25EF">
            <w:pPr>
              <w:jc w:val="center"/>
              <w:rPr>
                <w:rFonts w:hint="default" w:eastAsia="宋体"/>
                <w:kern w:val="2"/>
                <w:lang w:val="en-US" w:eastAsia="zh-CN"/>
              </w:rPr>
            </w:pPr>
            <w:r>
              <w:rPr>
                <w:rFonts w:hint="eastAsia"/>
                <w:kern w:val="2"/>
              </w:rPr>
              <w:t>南京市玄武区九华山、玄武湖隧道机动车尾气治理设施部分设备老化损坏，需要对设施电气控制、机电设备、管道等进行系统维修，恢复治理设施正常使用功能，以及质保期内维护等内容，</w:t>
            </w:r>
            <w:r>
              <w:rPr>
                <w:rFonts w:hint="eastAsia"/>
                <w:kern w:val="2"/>
                <w:lang w:val="en-US" w:eastAsia="zh-CN"/>
              </w:rPr>
              <w:t>具体详见文件采购需求。</w:t>
            </w:r>
          </w:p>
        </w:tc>
        <w:tc>
          <w:tcPr>
            <w:tcW w:w="1194" w:type="dxa"/>
          </w:tcPr>
          <w:p w14:paraId="3C9127B9">
            <w:pPr>
              <w:jc w:val="center"/>
              <w:rPr>
                <w:kern w:val="2"/>
              </w:rPr>
            </w:pPr>
          </w:p>
          <w:p w14:paraId="064F5182">
            <w:pPr>
              <w:jc w:val="center"/>
              <w:rPr>
                <w:kern w:val="2"/>
              </w:rPr>
            </w:pPr>
          </w:p>
          <w:p w14:paraId="666517B6">
            <w:pPr>
              <w:jc w:val="center"/>
              <w:rPr>
                <w:kern w:val="2"/>
              </w:rPr>
            </w:pPr>
          </w:p>
          <w:p w14:paraId="0CFDEDF9">
            <w:pPr>
              <w:jc w:val="center"/>
              <w:rPr>
                <w:kern w:val="2"/>
              </w:rPr>
            </w:pPr>
          </w:p>
        </w:tc>
        <w:tc>
          <w:tcPr>
            <w:tcW w:w="800" w:type="dxa"/>
          </w:tcPr>
          <w:p w14:paraId="4F03FAAD">
            <w:pPr>
              <w:rPr>
                <w:kern w:val="2"/>
              </w:rPr>
            </w:pPr>
          </w:p>
        </w:tc>
      </w:tr>
      <w:tr w14:paraId="065B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7" w:type="dxa"/>
          </w:tcPr>
          <w:p w14:paraId="7A3E765C">
            <w:pPr>
              <w:jc w:val="center"/>
              <w:rPr>
                <w:kern w:val="2"/>
              </w:rPr>
            </w:pPr>
          </w:p>
        </w:tc>
        <w:tc>
          <w:tcPr>
            <w:tcW w:w="8846" w:type="dxa"/>
            <w:gridSpan w:val="5"/>
          </w:tcPr>
          <w:p w14:paraId="64233760">
            <w:pPr>
              <w:rPr>
                <w:kern w:val="2"/>
              </w:rPr>
            </w:pPr>
            <w:r>
              <w:rPr>
                <w:rFonts w:hint="eastAsia"/>
                <w:kern w:val="2"/>
              </w:rPr>
              <w:t>备注：</w:t>
            </w:r>
          </w:p>
          <w:p w14:paraId="6B39331F">
            <w:pPr>
              <w:rPr>
                <w:kern w:val="2"/>
              </w:rPr>
            </w:pPr>
            <w:r>
              <w:rPr>
                <w:rFonts w:hint="eastAsia"/>
                <w:kern w:val="2"/>
              </w:rPr>
              <w:t>甲方可根据业务实际情况，单方面以书面方式对该表格进行实时调整，乙方自接到甲方通知后，以最新通知要求提供</w:t>
            </w:r>
            <w:r>
              <w:rPr>
                <w:rFonts w:hint="eastAsia"/>
                <w:kern w:val="2"/>
                <w:lang w:val="en-US" w:eastAsia="zh-CN"/>
              </w:rPr>
              <w:t>维修</w:t>
            </w:r>
            <w:r>
              <w:rPr>
                <w:rFonts w:hint="eastAsia"/>
                <w:kern w:val="2"/>
              </w:rPr>
              <w:t>服务。</w:t>
            </w:r>
          </w:p>
        </w:tc>
      </w:tr>
    </w:tbl>
    <w:p w14:paraId="0465D4B6">
      <w:pPr>
        <w:tabs>
          <w:tab w:val="left" w:pos="312"/>
        </w:tabs>
        <w:spacing w:line="360" w:lineRule="auto"/>
      </w:pPr>
    </w:p>
    <w:p w14:paraId="0764502A">
      <w:pPr>
        <w:numPr>
          <w:ilvl w:val="0"/>
          <w:numId w:val="4"/>
        </w:numPr>
        <w:spacing w:line="360" w:lineRule="auto"/>
        <w:ind w:firstLine="440" w:firstLineChars="200"/>
      </w:pPr>
      <w:r>
        <w:rPr>
          <w:rFonts w:hint="eastAsia"/>
        </w:rPr>
        <w:t>质量保证</w:t>
      </w:r>
    </w:p>
    <w:p w14:paraId="4DD1D46B">
      <w:pPr>
        <w:spacing w:line="360" w:lineRule="auto"/>
        <w:ind w:firstLine="440" w:firstLineChars="200"/>
      </w:pPr>
      <w:r>
        <w:rPr>
          <w:rFonts w:hint="eastAsia"/>
        </w:rPr>
        <w:t>在本合同有效期内乙方为甲方的设备提供所有维保范围内维修保养服务，包括但不限于提供更换所需的备件等，如需维修更换零部件费用另算。</w:t>
      </w:r>
    </w:p>
    <w:p w14:paraId="40E5B72A">
      <w:pPr>
        <w:spacing w:line="360" w:lineRule="auto"/>
        <w:ind w:firstLine="440" w:firstLineChars="200"/>
      </w:pPr>
      <w:r>
        <w:rPr>
          <w:rFonts w:hint="eastAsia"/>
        </w:rPr>
        <w:t>乙方提供的维保服务需达到国家、行业法规及甲方企业标准等要求，保证维保后的设备具备维保设备、配件及软件的正常使用性能，能够正常安全稳定运行，满足甲方的要求和订立本合同的目的。</w:t>
      </w:r>
    </w:p>
    <w:p w14:paraId="392B8AA4">
      <w:pPr>
        <w:numPr>
          <w:ilvl w:val="0"/>
          <w:numId w:val="3"/>
        </w:numPr>
        <w:spacing w:line="360" w:lineRule="auto"/>
        <w:ind w:firstLine="440" w:firstLineChars="200"/>
      </w:pPr>
      <w:r>
        <w:rPr>
          <w:rFonts w:hint="eastAsia"/>
        </w:rPr>
        <w:t>服务要求</w:t>
      </w:r>
    </w:p>
    <w:p w14:paraId="18F229DC">
      <w:pPr>
        <w:numPr>
          <w:ilvl w:val="0"/>
          <w:numId w:val="5"/>
        </w:numPr>
        <w:spacing w:line="440" w:lineRule="exact"/>
        <w:ind w:firstLine="440" w:firstLineChars="200"/>
      </w:pPr>
      <w:r>
        <w:t>工作要求</w:t>
      </w:r>
    </w:p>
    <w:p w14:paraId="2EE73CD5">
      <w:pPr>
        <w:pStyle w:val="12"/>
        <w:numPr>
          <w:ilvl w:val="0"/>
          <w:numId w:val="6"/>
        </w:numPr>
        <w:spacing w:line="440" w:lineRule="exact"/>
        <w:ind w:firstLineChars="0"/>
      </w:pPr>
      <w:r>
        <w:rPr>
          <w:rFonts w:hint="eastAsia"/>
        </w:rPr>
        <w:t>乙方每次必须严格按照甲方提供的维保手册进行维保工作，维保、巡检过程必须要拍每台的维保、巡检工作照片，照片需要有时间、地点的显示，第一时间发送给甲方备档。</w:t>
      </w:r>
    </w:p>
    <w:p w14:paraId="598E15E5">
      <w:pPr>
        <w:pStyle w:val="12"/>
        <w:numPr>
          <w:ilvl w:val="0"/>
          <w:numId w:val="6"/>
        </w:numPr>
        <w:spacing w:line="440" w:lineRule="exact"/>
        <w:ind w:firstLineChars="0"/>
      </w:pPr>
      <w:r>
        <w:rPr>
          <w:rFonts w:hint="eastAsia"/>
        </w:rPr>
        <w:t>设备更换功能模组完毕后，需检查相应的电器电路，以确保设备正常运行后，此台设备才算当次维保完成。</w:t>
      </w:r>
    </w:p>
    <w:p w14:paraId="3CB7251C">
      <w:pPr>
        <w:pStyle w:val="12"/>
        <w:numPr>
          <w:ilvl w:val="0"/>
          <w:numId w:val="6"/>
        </w:numPr>
        <w:spacing w:line="440" w:lineRule="exact"/>
        <w:ind w:firstLineChars="0"/>
      </w:pPr>
      <w:r>
        <w:rPr>
          <w:rFonts w:hint="eastAsia"/>
        </w:rPr>
        <w:t>当设备运行遇到故障时，乙方在接到甲方通知后，必须24小时内到达现场响应，乙方应立即组织技术人员到达现场进行故障检查及故障排除，如遇现场无法判断与解决的问题，应立即通知甲方技术人员给与技术指导，或甲方派技术人员到现场共同排除故障。</w:t>
      </w:r>
    </w:p>
    <w:p w14:paraId="2BDAB393">
      <w:pPr>
        <w:pStyle w:val="12"/>
        <w:numPr>
          <w:ilvl w:val="0"/>
          <w:numId w:val="6"/>
        </w:numPr>
        <w:spacing w:line="440" w:lineRule="exact"/>
        <w:ind w:firstLineChars="0"/>
      </w:pPr>
      <w:r>
        <w:rPr>
          <w:rFonts w:hint="eastAsia"/>
        </w:rPr>
        <w:t>乙方在接到甲方维保手册工作内容以外的工作时（如:设备的维修、部件的更换、甲方要求的其他工作等），也应积极响应，乙方应以签字单为结算凭证，签字单必须要求描述清楚工作内容、时间、地点、使用的机械、人工等，签字单同时附现场工作照片，以双方签字为有效凭证。</w:t>
      </w:r>
    </w:p>
    <w:p w14:paraId="5C39905F">
      <w:pPr>
        <w:pStyle w:val="12"/>
        <w:numPr>
          <w:ilvl w:val="0"/>
          <w:numId w:val="6"/>
        </w:numPr>
        <w:spacing w:line="440" w:lineRule="exact"/>
        <w:ind w:firstLineChars="0"/>
      </w:pPr>
      <w:r>
        <w:rPr>
          <w:rFonts w:hint="eastAsia"/>
        </w:rPr>
        <w:t>乙方接受甲方维保、维修指令后，应按时、按质、按量完成。</w:t>
      </w:r>
    </w:p>
    <w:p w14:paraId="3969F994">
      <w:pPr>
        <w:pStyle w:val="12"/>
        <w:numPr>
          <w:ilvl w:val="0"/>
          <w:numId w:val="6"/>
        </w:numPr>
        <w:spacing w:line="440" w:lineRule="exact"/>
        <w:ind w:firstLineChars="0"/>
      </w:pPr>
      <w:r>
        <w:rPr>
          <w:rFonts w:hint="eastAsia"/>
        </w:rPr>
        <w:t>乙方在户外维保和维修设备时，应穿统一的工作服，佩戴安全帽，需要登高作业时，必须要佩戴安全带作业。安全第一，严禁违规进行维保、维修作业，因违规作业所造成的一切损失，由乙方承担赔偿责任，如造成设备损坏，乙方应照价赔偿。</w:t>
      </w:r>
    </w:p>
    <w:p w14:paraId="1D508329">
      <w:pPr>
        <w:pStyle w:val="12"/>
        <w:numPr>
          <w:ilvl w:val="0"/>
          <w:numId w:val="6"/>
        </w:numPr>
        <w:spacing w:line="440" w:lineRule="exact"/>
        <w:ind w:firstLineChars="0"/>
      </w:pPr>
      <w:r>
        <w:rPr>
          <w:rFonts w:hint="eastAsia"/>
        </w:rPr>
        <w:t>甲方定期与不定期对乙方进行设备维保的技术培训与现场的技术指导。甲方</w:t>
      </w:r>
      <w:r>
        <w:t>向乙方及时提供新产品和技改产品的维保、维修手册。</w:t>
      </w:r>
    </w:p>
    <w:p w14:paraId="7F0241BE">
      <w:pPr>
        <w:pStyle w:val="12"/>
        <w:numPr>
          <w:ilvl w:val="0"/>
          <w:numId w:val="6"/>
        </w:numPr>
        <w:spacing w:line="440" w:lineRule="exact"/>
        <w:ind w:firstLineChars="0"/>
      </w:pPr>
      <w:r>
        <w:rPr>
          <w:rFonts w:hint="eastAsia"/>
        </w:rPr>
        <w:t>甲方定期与不定期的对乙方进行检查工作，如检查发现乙方没有严格按照甲方的维保手册进行维保工作，甲方在第一次发现问题后，会向乙方提出警告，并责令整改，如甲方再次检查发现乙方没有按照甲方提供的维保手册进行维保时视为乙方违约，甲方有权解除合同。</w:t>
      </w:r>
    </w:p>
    <w:p w14:paraId="5E5CF54D">
      <w:pPr>
        <w:pStyle w:val="12"/>
        <w:numPr>
          <w:ilvl w:val="0"/>
          <w:numId w:val="6"/>
        </w:numPr>
        <w:spacing w:line="440" w:lineRule="exact"/>
        <w:ind w:firstLineChars="0"/>
      </w:pPr>
      <w:r>
        <w:rPr>
          <w:rFonts w:hint="eastAsia"/>
        </w:rPr>
        <w:t>设备的维保费用的计算时间以签合同之日起计算。</w:t>
      </w:r>
    </w:p>
    <w:p w14:paraId="04EA3B48">
      <w:pPr>
        <w:pStyle w:val="12"/>
        <w:numPr>
          <w:ilvl w:val="0"/>
          <w:numId w:val="6"/>
        </w:numPr>
        <w:spacing w:line="440" w:lineRule="exact"/>
        <w:ind w:firstLineChars="0"/>
      </w:pPr>
      <w:r>
        <w:rPr>
          <w:rFonts w:hint="eastAsia"/>
        </w:rPr>
        <w:t>提供数据后台并连接至甲方数据平台，可实时查看设备相关运行状态等。</w:t>
      </w:r>
    </w:p>
    <w:p w14:paraId="5C784B12">
      <w:pPr>
        <w:numPr>
          <w:ilvl w:val="0"/>
          <w:numId w:val="5"/>
        </w:numPr>
        <w:spacing w:line="360" w:lineRule="auto"/>
        <w:ind w:firstLine="440" w:firstLineChars="200"/>
      </w:pPr>
      <w:r>
        <w:rPr>
          <w:rFonts w:hint="eastAsia"/>
        </w:rPr>
        <w:t>响应要求</w:t>
      </w:r>
    </w:p>
    <w:p w14:paraId="5C6F5938">
      <w:pPr>
        <w:numPr>
          <w:ilvl w:val="0"/>
          <w:numId w:val="7"/>
        </w:numPr>
        <w:spacing w:line="360" w:lineRule="auto"/>
        <w:ind w:firstLine="440" w:firstLineChars="200"/>
      </w:pPr>
      <w:r>
        <w:rPr>
          <w:rFonts w:hint="eastAsia"/>
        </w:rPr>
        <w:t>乙方应通过电话技术支持、现场技术支持、托运服务等方式开展维保服务工作，保证甲方工作时间内7</w:t>
      </w:r>
      <w:r>
        <w:rPr>
          <w:rFonts w:ascii="Arial" w:hAnsi="Arial" w:cs="Arial"/>
        </w:rPr>
        <w:t>×</w:t>
      </w:r>
      <w:r>
        <w:rPr>
          <w:rFonts w:hint="eastAsia"/>
        </w:rPr>
        <w:t>24小时的客户服务热线支持，并在维保工作开展过程中，对设备功能情况、技术支持及日常维保工作内容及结构进行记录，存档备查。</w:t>
      </w:r>
    </w:p>
    <w:p w14:paraId="3F63C25C">
      <w:pPr>
        <w:numPr>
          <w:ilvl w:val="0"/>
          <w:numId w:val="7"/>
        </w:numPr>
        <w:spacing w:line="360" w:lineRule="auto"/>
        <w:ind w:firstLine="440" w:firstLineChars="200"/>
      </w:pPr>
      <w:r>
        <w:rPr>
          <w:rFonts w:hint="eastAsia"/>
        </w:rPr>
        <w:t xml:space="preserve">当乙方受理甲方技术支持需求后，应进行问题记录，根据问题情况判断采用现场还是电话技术支持方式。电话技术支持在30分钟内未解决问题或设备出现严重故障的（颗粒物去除效率几乎为0），乙方应提供现场支持。乙方应派技术人员于2小时内到达现场解决问题。问题解决后，填写技术支持记录单。通过电话解决的填写《电话技术支持记录》，现场解决的填写《现场技术支持记录》。                       </w:t>
      </w:r>
      <w:r>
        <w:rPr>
          <w:rFonts w:hint="eastAsia"/>
          <w:color w:val="FF0000"/>
          <w:sz w:val="21"/>
          <w:szCs w:val="21"/>
        </w:rPr>
        <w:t xml:space="preserve"> </w:t>
      </w:r>
    </w:p>
    <w:p w14:paraId="5EDAD923">
      <w:pPr>
        <w:numPr>
          <w:ilvl w:val="0"/>
          <w:numId w:val="7"/>
        </w:numPr>
        <w:spacing w:line="360" w:lineRule="auto"/>
        <w:ind w:firstLine="440" w:firstLineChars="200"/>
      </w:pPr>
      <w:r>
        <w:rPr>
          <w:rFonts w:hint="eastAsia"/>
        </w:rPr>
        <w:t>乙方应接受甲方对本合同内容具体落实情况及乙方在甲方运行维护中的服务质量和进展情况的监督、检查。</w:t>
      </w:r>
    </w:p>
    <w:p w14:paraId="398D0E25">
      <w:pPr>
        <w:numPr>
          <w:ilvl w:val="0"/>
          <w:numId w:val="7"/>
        </w:numPr>
        <w:spacing w:line="360" w:lineRule="auto"/>
        <w:ind w:firstLine="440" w:firstLineChars="200"/>
      </w:pPr>
      <w:r>
        <w:rPr>
          <w:rFonts w:hint="eastAsia"/>
        </w:rPr>
        <w:t xml:space="preserve">突发应急处理：对于甲方设备因天气环境或其他原因造成无法运行的情况，需要及时上门维护，分析具体故障原因，制定临时应急方案，尽快恢复设备运行。             </w:t>
      </w:r>
    </w:p>
    <w:p w14:paraId="2D49C591">
      <w:pPr>
        <w:numPr>
          <w:ilvl w:val="0"/>
          <w:numId w:val="5"/>
        </w:numPr>
        <w:spacing w:line="360" w:lineRule="auto"/>
        <w:ind w:firstLine="440" w:firstLineChars="200"/>
      </w:pPr>
      <w:r>
        <w:rPr>
          <w:rFonts w:hint="eastAsia"/>
        </w:rPr>
        <w:t>文档资料要求</w:t>
      </w:r>
    </w:p>
    <w:p w14:paraId="7AD68C1F">
      <w:pPr>
        <w:numPr>
          <w:ilvl w:val="0"/>
          <w:numId w:val="8"/>
        </w:numPr>
        <w:spacing w:line="360" w:lineRule="auto"/>
        <w:ind w:firstLine="440" w:firstLineChars="200"/>
      </w:pPr>
      <w:r>
        <w:rPr>
          <w:rFonts w:hint="eastAsia"/>
        </w:rPr>
        <w:t>乙方应在甲方要求期限内向甲方提供与合同有关的所有文档资料并符合合同及甲方要求，其中应至少包括合同第五条所列内容。</w:t>
      </w:r>
    </w:p>
    <w:p w14:paraId="5ABABD4C">
      <w:pPr>
        <w:numPr>
          <w:ilvl w:val="0"/>
          <w:numId w:val="8"/>
        </w:numPr>
        <w:spacing w:line="360" w:lineRule="auto"/>
        <w:ind w:firstLine="440" w:firstLineChars="200"/>
      </w:pPr>
      <w:r>
        <w:rPr>
          <w:rFonts w:hint="eastAsia"/>
        </w:rPr>
        <w:t>所有文档资料应符合上述要求，否则甲方有权拒收。</w:t>
      </w:r>
    </w:p>
    <w:p w14:paraId="3C688A67">
      <w:pPr>
        <w:numPr>
          <w:ilvl w:val="0"/>
          <w:numId w:val="8"/>
        </w:numPr>
        <w:spacing w:line="360" w:lineRule="auto"/>
        <w:ind w:firstLine="440" w:firstLineChars="200"/>
      </w:pPr>
      <w:r>
        <w:rPr>
          <w:rFonts w:hint="eastAsia"/>
        </w:rPr>
        <w:t>除已规定的文档资料外，乙方应根据具体情况提供其他与甲方或合同有关及甲方要求的资料。</w:t>
      </w:r>
    </w:p>
    <w:p w14:paraId="2A1A107B">
      <w:pPr>
        <w:numPr>
          <w:ilvl w:val="0"/>
          <w:numId w:val="2"/>
        </w:numPr>
        <w:spacing w:line="360" w:lineRule="auto"/>
        <w:ind w:firstLine="440" w:firstLineChars="200"/>
      </w:pPr>
      <w:r>
        <w:rPr>
          <w:rFonts w:hint="eastAsia"/>
        </w:rPr>
        <w:t>财务条款</w:t>
      </w:r>
    </w:p>
    <w:p w14:paraId="640550A0">
      <w:pPr>
        <w:numPr>
          <w:ilvl w:val="0"/>
          <w:numId w:val="9"/>
        </w:numPr>
        <w:spacing w:line="360" w:lineRule="auto"/>
        <w:ind w:firstLine="440" w:firstLineChars="200"/>
      </w:pPr>
      <w:r>
        <w:rPr>
          <w:rFonts w:hint="eastAsia"/>
        </w:rPr>
        <w:t>本合同共计</w:t>
      </w:r>
      <w:r>
        <w:rPr>
          <w:rFonts w:hint="eastAsia"/>
          <w:u w:val="single"/>
        </w:rPr>
        <w:t xml:space="preserve"> </w:t>
      </w:r>
      <w:r>
        <w:rPr>
          <w:u w:val="single"/>
        </w:rPr>
        <w:t xml:space="preserve">           </w:t>
      </w:r>
      <w:r>
        <w:rPr>
          <w:rFonts w:hint="eastAsia"/>
        </w:rPr>
        <w:t>费用</w:t>
      </w:r>
    </w:p>
    <w:p w14:paraId="3119B9AA">
      <w:pPr>
        <w:numPr>
          <w:ilvl w:val="0"/>
          <w:numId w:val="9"/>
        </w:numPr>
        <w:spacing w:line="360" w:lineRule="auto"/>
        <w:ind w:firstLine="440" w:firstLineChars="200"/>
      </w:pPr>
      <w:r>
        <w:rPr>
          <w:rFonts w:hint="eastAsia"/>
        </w:rPr>
        <w:t>甲方按如下方式向乙方结算费用：</w:t>
      </w:r>
      <w:r>
        <w:rPr>
          <w:rFonts w:hint="eastAsia"/>
          <w:lang w:val="en-US" w:eastAsia="zh-CN"/>
        </w:rPr>
        <w:t>合同签订后支付合同价50%，项目验收合格后支付至合同价90%，余款待免费质保期满后一次性结清。</w:t>
      </w:r>
    </w:p>
    <w:p w14:paraId="57AD68F8">
      <w:pPr>
        <w:numPr>
          <w:ilvl w:val="0"/>
          <w:numId w:val="2"/>
        </w:numPr>
        <w:spacing w:line="360" w:lineRule="auto"/>
        <w:ind w:firstLine="440" w:firstLineChars="200"/>
      </w:pPr>
      <w:r>
        <w:rPr>
          <w:rFonts w:hint="eastAsia"/>
        </w:rPr>
        <w:t>项目人员管理</w:t>
      </w:r>
    </w:p>
    <w:p w14:paraId="58967C2E">
      <w:pPr>
        <w:numPr>
          <w:ilvl w:val="0"/>
          <w:numId w:val="10"/>
        </w:numPr>
        <w:spacing w:line="360" w:lineRule="auto"/>
        <w:ind w:firstLine="440" w:firstLineChars="200"/>
      </w:pPr>
      <w:r>
        <w:rPr>
          <w:rFonts w:hint="eastAsia"/>
        </w:rPr>
        <w:t>项目管理</w:t>
      </w:r>
    </w:p>
    <w:p w14:paraId="559DA825">
      <w:pPr>
        <w:numPr>
          <w:ilvl w:val="0"/>
          <w:numId w:val="11"/>
        </w:numPr>
        <w:spacing w:line="360" w:lineRule="auto"/>
        <w:ind w:firstLine="440" w:firstLineChars="200"/>
      </w:pPr>
      <w:r>
        <w:rPr>
          <w:rFonts w:hint="eastAsia"/>
        </w:rPr>
        <w:t>乙方必须提供实施本项目完整的维保管理方案，并在实施过程中严格执行。</w:t>
      </w:r>
    </w:p>
    <w:p w14:paraId="0500C8C7">
      <w:pPr>
        <w:numPr>
          <w:ilvl w:val="0"/>
          <w:numId w:val="11"/>
        </w:numPr>
        <w:spacing w:line="360" w:lineRule="auto"/>
        <w:ind w:firstLine="440" w:firstLineChars="200"/>
      </w:pPr>
      <w:r>
        <w:rPr>
          <w:rFonts w:hint="eastAsia"/>
        </w:rPr>
        <w:t>乙方必须重视对过程的管理控制，重视对各类文档的管理，必须建立中间环节和文档的管理制度。</w:t>
      </w:r>
    </w:p>
    <w:p w14:paraId="4655ACB3">
      <w:pPr>
        <w:numPr>
          <w:ilvl w:val="0"/>
          <w:numId w:val="10"/>
        </w:numPr>
        <w:spacing w:line="360" w:lineRule="auto"/>
        <w:ind w:firstLine="440" w:firstLineChars="200"/>
      </w:pPr>
      <w:r>
        <w:rPr>
          <w:rFonts w:hint="eastAsia"/>
        </w:rPr>
        <w:t>项目管理人员</w:t>
      </w:r>
    </w:p>
    <w:p w14:paraId="63C22CEF">
      <w:pPr>
        <w:numPr>
          <w:ilvl w:val="0"/>
          <w:numId w:val="12"/>
        </w:numPr>
        <w:spacing w:line="360" w:lineRule="auto"/>
        <w:ind w:firstLine="440" w:firstLineChars="200"/>
      </w:pPr>
      <w:r>
        <w:rPr>
          <w:rFonts w:hint="eastAsia"/>
        </w:rPr>
        <w:t>乙方保证按时派遣合格、有熟练经验且能够胜任本合同工作的技术人员提供专业、优质、正确和高效的技术服务，并应就项目主要管理人员向甲方进行备案。</w:t>
      </w:r>
    </w:p>
    <w:p w14:paraId="51C98708">
      <w:pPr>
        <w:numPr>
          <w:ilvl w:val="0"/>
          <w:numId w:val="12"/>
        </w:numPr>
        <w:spacing w:line="360" w:lineRule="auto"/>
        <w:ind w:firstLine="440" w:firstLineChars="200"/>
      </w:pPr>
      <w:r>
        <w:rPr>
          <w:rFonts w:hint="eastAsia"/>
        </w:rPr>
        <w:t>乙方在维保服务过程中应做好安全生产工作，乙方人员在维保过程中发生相关人身财产损失及意外伤害的，由乙方自行负责。</w:t>
      </w:r>
    </w:p>
    <w:p w14:paraId="7101827B">
      <w:pPr>
        <w:numPr>
          <w:ilvl w:val="0"/>
          <w:numId w:val="2"/>
        </w:numPr>
        <w:spacing w:line="360" w:lineRule="auto"/>
        <w:ind w:firstLine="440" w:firstLineChars="200"/>
      </w:pPr>
      <w:r>
        <w:rPr>
          <w:rFonts w:hint="eastAsia"/>
        </w:rPr>
        <w:t>验收</w:t>
      </w:r>
    </w:p>
    <w:p w14:paraId="57FC5311">
      <w:pPr>
        <w:numPr>
          <w:ilvl w:val="0"/>
          <w:numId w:val="13"/>
        </w:numPr>
        <w:spacing w:line="360" w:lineRule="auto"/>
        <w:ind w:firstLine="440" w:firstLineChars="200"/>
      </w:pPr>
      <w:r>
        <w:rPr>
          <w:rFonts w:hint="eastAsia"/>
        </w:rPr>
        <w:t>验收标准</w:t>
      </w:r>
    </w:p>
    <w:p w14:paraId="598941F5">
      <w:pPr>
        <w:pStyle w:val="12"/>
        <w:spacing w:line="360" w:lineRule="auto"/>
        <w:ind w:left="780" w:firstLine="0" w:firstLineChars="0"/>
      </w:pPr>
      <w:r>
        <w:rPr>
          <w:rFonts w:hint="eastAsia"/>
        </w:rPr>
        <w:t>甲方随机抽查，一旦发现乙方未按甲方的要求进行工作，要进行相应的处罚；</w:t>
      </w:r>
    </w:p>
    <w:p w14:paraId="56410C4E">
      <w:pPr>
        <w:numPr>
          <w:ilvl w:val="0"/>
          <w:numId w:val="13"/>
        </w:numPr>
        <w:spacing w:line="360" w:lineRule="auto"/>
        <w:ind w:firstLine="440" w:firstLineChars="200"/>
      </w:pPr>
      <w:r>
        <w:rPr>
          <w:rFonts w:hint="eastAsia"/>
        </w:rPr>
        <w:t>验收文档资料</w:t>
      </w:r>
    </w:p>
    <w:p w14:paraId="4878A2EA">
      <w:pPr>
        <w:spacing w:line="360" w:lineRule="auto"/>
        <w:ind w:firstLine="440" w:firstLineChars="200"/>
      </w:pPr>
      <w:r>
        <w:rPr>
          <w:rFonts w:hint="eastAsia"/>
        </w:rPr>
        <w:t>乙方完成维保工作后，向甲方提出验收申请，并由甲方对项目工作进行审核确认。乙方提交的维保文档至少应包括下列文件（含文件电子版）：</w:t>
      </w:r>
    </w:p>
    <w:p w14:paraId="01BCB413">
      <w:pPr>
        <w:pStyle w:val="12"/>
        <w:numPr>
          <w:ilvl w:val="0"/>
          <w:numId w:val="14"/>
        </w:numPr>
        <w:spacing w:line="360" w:lineRule="auto"/>
        <w:ind w:firstLineChars="0"/>
      </w:pPr>
      <w:r>
        <w:rPr>
          <w:rFonts w:hint="eastAsia"/>
        </w:rPr>
        <w:t>维保、巡检工作照片（含时间、地点显示）；</w:t>
      </w:r>
    </w:p>
    <w:p w14:paraId="68C561E9">
      <w:pPr>
        <w:pStyle w:val="12"/>
        <w:numPr>
          <w:ilvl w:val="0"/>
          <w:numId w:val="14"/>
        </w:numPr>
        <w:spacing w:line="360" w:lineRule="auto"/>
        <w:ind w:firstLineChars="0"/>
      </w:pPr>
      <w:r>
        <w:t>签</w:t>
      </w:r>
      <w:r>
        <w:rPr>
          <w:rFonts w:hint="eastAsia"/>
        </w:rPr>
        <w:t>字</w:t>
      </w:r>
      <w:r>
        <w:t>单及现场工作照片（含工作内容、时间、地点、使用机械、人工等）</w:t>
      </w:r>
    </w:p>
    <w:p w14:paraId="5CBDF4FE">
      <w:pPr>
        <w:numPr>
          <w:ilvl w:val="0"/>
          <w:numId w:val="2"/>
        </w:numPr>
        <w:spacing w:line="360" w:lineRule="auto"/>
        <w:ind w:firstLine="440" w:firstLineChars="200"/>
      </w:pPr>
      <w:r>
        <w:rPr>
          <w:rFonts w:hint="eastAsia"/>
        </w:rPr>
        <w:t>保密</w:t>
      </w:r>
    </w:p>
    <w:p w14:paraId="6B54E348">
      <w:pPr>
        <w:numPr>
          <w:ilvl w:val="0"/>
          <w:numId w:val="15"/>
        </w:numPr>
        <w:spacing w:line="360" w:lineRule="auto"/>
        <w:ind w:firstLine="440" w:firstLineChars="200"/>
      </w:pPr>
      <w:r>
        <w:t>甲乙双方有义务对本</w:t>
      </w:r>
      <w:r>
        <w:rPr>
          <w:rFonts w:hint="eastAsia"/>
        </w:rPr>
        <w:t>合同</w:t>
      </w:r>
      <w:r>
        <w:t>的内容以及本</w:t>
      </w:r>
      <w:r>
        <w:rPr>
          <w:rFonts w:hint="eastAsia"/>
        </w:rPr>
        <w:t>合同</w:t>
      </w:r>
      <w:r>
        <w:t>签订、履行过程中，从对方处获得的信息保密。保密信息包括图纸等，未经对方书面许可，任何一方不得向第三方披露，本条第2条款所规定之情形除外。</w:t>
      </w:r>
    </w:p>
    <w:p w14:paraId="1C8B2A62">
      <w:pPr>
        <w:numPr>
          <w:ilvl w:val="0"/>
          <w:numId w:val="15"/>
        </w:numPr>
        <w:spacing w:line="360" w:lineRule="auto"/>
        <w:ind w:firstLine="440" w:firstLineChars="200"/>
      </w:pPr>
      <w:r>
        <w:t>商业秘密之披露</w:t>
      </w:r>
    </w:p>
    <w:p w14:paraId="420FDA91">
      <w:pPr>
        <w:spacing w:line="360" w:lineRule="auto"/>
        <w:ind w:firstLine="440" w:firstLineChars="200"/>
      </w:pPr>
      <w:r>
        <w:t>接受信息的一方在下列任一情形下披露商业秘密不视为违反本</w:t>
      </w:r>
      <w:r>
        <w:rPr>
          <w:rFonts w:hint="eastAsia"/>
        </w:rPr>
        <w:t>合同</w:t>
      </w:r>
      <w:r>
        <w:t>：</w:t>
      </w:r>
    </w:p>
    <w:p w14:paraId="7E1584B2">
      <w:pPr>
        <w:spacing w:line="360" w:lineRule="auto"/>
        <w:ind w:firstLine="440" w:firstLineChars="200"/>
      </w:pPr>
      <w:r>
        <w:t>（1）该信息在披露时已为公众所知悉；</w:t>
      </w:r>
    </w:p>
    <w:p w14:paraId="21FA5D18">
      <w:pPr>
        <w:spacing w:line="360" w:lineRule="auto"/>
        <w:ind w:firstLine="440" w:firstLineChars="200"/>
      </w:pPr>
      <w:r>
        <w:t>（2）该信息根据披露信息的一方事先书面同意而披露；</w:t>
      </w:r>
    </w:p>
    <w:p w14:paraId="5F20A11C">
      <w:pPr>
        <w:numPr>
          <w:ilvl w:val="0"/>
          <w:numId w:val="15"/>
        </w:numPr>
        <w:spacing w:line="360" w:lineRule="auto"/>
        <w:ind w:firstLine="440" w:firstLineChars="200"/>
      </w:pPr>
      <w:r>
        <w:t>以上条款并不因本</w:t>
      </w:r>
      <w:r>
        <w:rPr>
          <w:rFonts w:hint="eastAsia"/>
        </w:rPr>
        <w:t>合同</w:t>
      </w:r>
      <w:r>
        <w:t>的解除、终止、撤销而失效。</w:t>
      </w:r>
    </w:p>
    <w:p w14:paraId="5F92E0D4">
      <w:pPr>
        <w:numPr>
          <w:ilvl w:val="0"/>
          <w:numId w:val="2"/>
        </w:numPr>
        <w:spacing w:line="360" w:lineRule="auto"/>
        <w:ind w:firstLine="440" w:firstLineChars="200"/>
      </w:pPr>
      <w:r>
        <w:rPr>
          <w:rFonts w:hint="eastAsia"/>
        </w:rPr>
        <w:t>不可抗力</w:t>
      </w:r>
    </w:p>
    <w:p w14:paraId="1F60ECDC">
      <w:pPr>
        <w:spacing w:line="360" w:lineRule="auto"/>
        <w:ind w:firstLine="440" w:firstLineChars="200"/>
      </w:pPr>
      <w:r>
        <w:t>本</w:t>
      </w:r>
      <w:r>
        <w:rPr>
          <w:rFonts w:hint="eastAsia"/>
        </w:rPr>
        <w:t>合同</w:t>
      </w:r>
      <w:r>
        <w:t>所称不可抗力是指不能预见、不能克服、不能避免并对一方当事人造成重大影响的客观事件，包括但不限于自然灾害如疫情、洪水、地震、火灾和风暴等以及社会事件如战争、动乱、政府行为等。如因不可抗力事件的发生导致</w:t>
      </w:r>
      <w:r>
        <w:rPr>
          <w:rFonts w:hint="eastAsia"/>
        </w:rPr>
        <w:t>合同</w:t>
      </w:r>
      <w:r>
        <w:t>无法履行时，遇不可抗力的一方应立即将事件情况书面告知另一方，并应在七天内，提供事件详情及</w:t>
      </w:r>
      <w:r>
        <w:rPr>
          <w:rFonts w:hint="eastAsia"/>
        </w:rPr>
        <w:t>合同</w:t>
      </w:r>
      <w:r>
        <w:t>不能履行或者需要延期履行的书面资料，双方认可后协商终止</w:t>
      </w:r>
      <w:r>
        <w:rPr>
          <w:rFonts w:hint="eastAsia"/>
        </w:rPr>
        <w:t>合同</w:t>
      </w:r>
      <w:r>
        <w:t>或延迟</w:t>
      </w:r>
      <w:r>
        <w:rPr>
          <w:rFonts w:hint="eastAsia"/>
        </w:rPr>
        <w:t>合同</w:t>
      </w:r>
      <w:r>
        <w:t>的履行。</w:t>
      </w:r>
    </w:p>
    <w:p w14:paraId="22DF9F26">
      <w:pPr>
        <w:numPr>
          <w:ilvl w:val="0"/>
          <w:numId w:val="2"/>
        </w:numPr>
        <w:spacing w:line="360" w:lineRule="auto"/>
        <w:ind w:firstLine="440" w:firstLineChars="200"/>
      </w:pPr>
      <w:r>
        <w:rPr>
          <w:rFonts w:hint="eastAsia"/>
        </w:rPr>
        <w:t>违约条款</w:t>
      </w:r>
    </w:p>
    <w:p w14:paraId="55B5E2B2">
      <w:pPr>
        <w:numPr>
          <w:ilvl w:val="0"/>
          <w:numId w:val="16"/>
        </w:numPr>
        <w:spacing w:line="360" w:lineRule="auto"/>
        <w:ind w:firstLine="420"/>
        <w:rPr>
          <w:color w:val="000000"/>
        </w:rPr>
      </w:pPr>
      <w:r>
        <w:rPr>
          <w:rFonts w:hint="eastAsia" w:ascii="宋体" w:hAnsi="宋体" w:cs="宋体"/>
          <w:color w:val="000000"/>
          <w:szCs w:val="21"/>
          <w:lang w:bidi="zh-TW"/>
        </w:rPr>
        <w:t>甲乙双方应本着诚实信用的原则履行本合同，任何一方不履行或不及时</w:t>
      </w:r>
      <w:r>
        <w:rPr>
          <w:rFonts w:ascii="宋体" w:hAnsi="宋体" w:cs="宋体"/>
          <w:color w:val="000000"/>
          <w:szCs w:val="21"/>
          <w:lang w:bidi="zh-TW"/>
        </w:rPr>
        <w:t>、</w:t>
      </w:r>
      <w:r>
        <w:rPr>
          <w:rFonts w:hint="eastAsia" w:ascii="宋体" w:hAnsi="宋体" w:cs="宋体"/>
          <w:color w:val="000000"/>
          <w:szCs w:val="21"/>
          <w:lang w:bidi="zh-TW"/>
        </w:rPr>
        <w:t>全面履行本合同项下的任何条款的</w:t>
      </w:r>
      <w:r>
        <w:rPr>
          <w:rFonts w:ascii="宋体" w:hAnsi="宋体" w:cs="宋体"/>
          <w:color w:val="000000"/>
          <w:szCs w:val="21"/>
          <w:lang w:bidi="zh-TW"/>
        </w:rPr>
        <w:t>，</w:t>
      </w:r>
      <w:r>
        <w:rPr>
          <w:rFonts w:hint="eastAsia" w:ascii="宋体" w:hAnsi="宋体" w:cs="宋体"/>
          <w:color w:val="000000"/>
          <w:szCs w:val="21"/>
          <w:lang w:bidi="zh-TW"/>
        </w:rPr>
        <w:t>均被视为违约。除本合同另有规定外，违约方应按合同总价5%的金额向对方支付违约金。</w:t>
      </w:r>
    </w:p>
    <w:p w14:paraId="6B42767D">
      <w:pPr>
        <w:numPr>
          <w:ilvl w:val="0"/>
          <w:numId w:val="16"/>
        </w:numPr>
        <w:spacing w:line="360" w:lineRule="auto"/>
        <w:ind w:firstLine="420"/>
        <w:rPr>
          <w:color w:val="000000"/>
        </w:rPr>
      </w:pPr>
      <w:r>
        <w:rPr>
          <w:rFonts w:hint="eastAsia"/>
          <w:color w:val="000000"/>
        </w:rPr>
        <w:t>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销、无效而消失。</w:t>
      </w:r>
    </w:p>
    <w:p w14:paraId="1358F088">
      <w:pPr>
        <w:numPr>
          <w:ilvl w:val="0"/>
          <w:numId w:val="2"/>
        </w:numPr>
        <w:spacing w:line="360" w:lineRule="auto"/>
        <w:ind w:firstLine="440" w:firstLineChars="200"/>
      </w:pPr>
      <w:r>
        <w:rPr>
          <w:rFonts w:hint="eastAsia"/>
        </w:rPr>
        <w:t>合同中止与解除</w:t>
      </w:r>
    </w:p>
    <w:p w14:paraId="3A59B75E">
      <w:pPr>
        <w:spacing w:line="360" w:lineRule="auto"/>
        <w:ind w:firstLine="880" w:firstLineChars="400"/>
      </w:pPr>
      <w:r>
        <w:rPr>
          <w:rFonts w:hint="eastAsia"/>
        </w:rPr>
        <w:t>乙方有违反或拒绝执行合同约定的行为时，甲方有权要求乙方承担违约责任并有权书面通知乙方，乙方应在接到通知后5个工作日内对违反或拒绝执行和他的行为进行</w:t>
      </w:r>
      <w:r>
        <w:rPr>
          <w:rFonts w:hint="eastAsia"/>
          <w:color w:val="000000"/>
        </w:rPr>
        <w:t>就整</w:t>
      </w:r>
      <w:r>
        <w:rPr>
          <w:rFonts w:hint="eastAsia"/>
        </w:rPr>
        <w:t>，如果乙方未在上述期限内对违反或拒绝执行合同的行为进行改正，甲方有权要求继续承担违约责任并有权中止履行本合同。对于此种中止，甲方无需另行通知乙方，由此而发生的一切费用、损失和索赔将由乙方承担。</w:t>
      </w:r>
    </w:p>
    <w:p w14:paraId="4AF8FB7B">
      <w:pPr>
        <w:spacing w:line="360" w:lineRule="auto"/>
        <w:ind w:left="440" w:leftChars="200"/>
      </w:pPr>
    </w:p>
    <w:p w14:paraId="185BEA93">
      <w:pPr>
        <w:numPr>
          <w:ilvl w:val="0"/>
          <w:numId w:val="2"/>
        </w:numPr>
        <w:spacing w:line="360" w:lineRule="auto"/>
        <w:ind w:firstLine="440" w:firstLineChars="200"/>
      </w:pPr>
      <w:r>
        <w:rPr>
          <w:rFonts w:hint="eastAsia"/>
        </w:rPr>
        <w:t>争议的解决</w:t>
      </w:r>
    </w:p>
    <w:p w14:paraId="4582A4CF">
      <w:pPr>
        <w:numPr>
          <w:ilvl w:val="0"/>
          <w:numId w:val="17"/>
        </w:numPr>
        <w:tabs>
          <w:tab w:val="left" w:pos="360"/>
        </w:tabs>
        <w:spacing w:line="360" w:lineRule="auto"/>
        <w:ind w:left="0" w:firstLine="440" w:firstLineChars="200"/>
        <w:rPr>
          <w:rFonts w:ascii="宋体" w:hAnsi="宋体" w:cs="宋体"/>
          <w:szCs w:val="21"/>
        </w:rPr>
      </w:pPr>
      <w:r>
        <w:rPr>
          <w:rFonts w:hint="eastAsia" w:ascii="宋体" w:hAnsi="宋体" w:cs="宋体"/>
          <w:szCs w:val="21"/>
        </w:rPr>
        <w:t>本合同签订</w:t>
      </w:r>
      <w:r>
        <w:rPr>
          <w:rFonts w:ascii="宋体" w:hAnsi="宋体" w:cs="宋体"/>
          <w:szCs w:val="21"/>
        </w:rPr>
        <w:t>、</w:t>
      </w:r>
      <w:r>
        <w:rPr>
          <w:rFonts w:hint="eastAsia" w:ascii="宋体" w:hAnsi="宋体" w:cs="宋体"/>
          <w:szCs w:val="21"/>
        </w:rPr>
        <w:t>履行过程中产生的纠纷双方应当首先通过友好协商方式解决。</w:t>
      </w:r>
    </w:p>
    <w:p w14:paraId="04E516DA">
      <w:pPr>
        <w:numPr>
          <w:ilvl w:val="0"/>
          <w:numId w:val="17"/>
        </w:numPr>
        <w:tabs>
          <w:tab w:val="left" w:pos="360"/>
        </w:tabs>
        <w:spacing w:line="360" w:lineRule="auto"/>
        <w:ind w:left="0" w:firstLine="440" w:firstLineChars="200"/>
      </w:pPr>
      <w:r>
        <w:rPr>
          <w:rFonts w:hint="eastAsia"/>
        </w:rPr>
        <w:t>协商不成的，任何一方均有权依法向甲方所在地的人民法院提起诉讼。</w:t>
      </w:r>
    </w:p>
    <w:p w14:paraId="7EDFEE83">
      <w:pPr>
        <w:numPr>
          <w:ilvl w:val="0"/>
          <w:numId w:val="2"/>
        </w:numPr>
        <w:spacing w:line="360" w:lineRule="auto"/>
        <w:ind w:firstLine="440" w:firstLineChars="200"/>
      </w:pPr>
      <w:r>
        <w:rPr>
          <w:rFonts w:hint="eastAsia"/>
        </w:rPr>
        <w:t>其他</w:t>
      </w:r>
    </w:p>
    <w:p w14:paraId="7D59EF26">
      <w:pPr>
        <w:numPr>
          <w:ilvl w:val="0"/>
          <w:numId w:val="18"/>
        </w:numPr>
        <w:spacing w:line="360" w:lineRule="auto"/>
        <w:ind w:left="0" w:firstLine="440" w:firstLineChars="200"/>
      </w:pPr>
      <w:r>
        <w:rPr>
          <w:rFonts w:hint="eastAsia"/>
        </w:rPr>
        <w:t>本合同自双方加盖公章或合同章后生效后。</w:t>
      </w:r>
    </w:p>
    <w:p w14:paraId="2FD6CA8E">
      <w:pPr>
        <w:numPr>
          <w:ilvl w:val="0"/>
          <w:numId w:val="18"/>
        </w:numPr>
        <w:spacing w:line="360" w:lineRule="auto"/>
        <w:ind w:left="0" w:firstLine="440" w:firstLineChars="200"/>
      </w:pPr>
      <w:r>
        <w:rPr>
          <w:rFonts w:hint="eastAsia"/>
        </w:rPr>
        <w:t>本合同的附件为本合同的组成部分，与本合同具有同等法律效力。</w:t>
      </w:r>
    </w:p>
    <w:p w14:paraId="06D8ECBE">
      <w:pPr>
        <w:numPr>
          <w:ilvl w:val="0"/>
          <w:numId w:val="18"/>
        </w:numPr>
        <w:spacing w:line="360" w:lineRule="auto"/>
        <w:ind w:left="0" w:firstLine="440" w:firstLineChars="200"/>
      </w:pPr>
      <w:r>
        <w:rPr>
          <w:rFonts w:hint="eastAsia"/>
        </w:rPr>
        <w:t>本合同之未尽事宜，双方另行协商后签订补充合同解决。</w:t>
      </w:r>
    </w:p>
    <w:p w14:paraId="323FB6D4">
      <w:pPr>
        <w:numPr>
          <w:ilvl w:val="0"/>
          <w:numId w:val="18"/>
        </w:numPr>
        <w:spacing w:line="360" w:lineRule="auto"/>
        <w:ind w:left="0" w:firstLine="440" w:firstLineChars="200"/>
      </w:pPr>
      <w:r>
        <w:rPr>
          <w:rFonts w:hint="eastAsia"/>
        </w:rPr>
        <w:t>本合同一式肆份，双方各持贰份，具有同等的法律效力。</w:t>
      </w:r>
    </w:p>
    <w:p w14:paraId="637A0609">
      <w:pPr>
        <w:widowControl w:val="0"/>
        <w:spacing w:line="360" w:lineRule="auto"/>
        <w:jc w:val="both"/>
      </w:pPr>
    </w:p>
    <w:p w14:paraId="54EC5175">
      <w:pPr>
        <w:widowControl w:val="0"/>
        <w:spacing w:line="360" w:lineRule="auto"/>
        <w:jc w:val="both"/>
      </w:pPr>
    </w:p>
    <w:p w14:paraId="40DBA0CA">
      <w:pPr>
        <w:widowControl w:val="0"/>
        <w:spacing w:line="360" w:lineRule="auto"/>
        <w:jc w:val="both"/>
      </w:pPr>
    </w:p>
    <w:p w14:paraId="26CEC601">
      <w:pPr>
        <w:widowControl w:val="0"/>
        <w:spacing w:line="360" w:lineRule="auto"/>
        <w:jc w:val="both"/>
      </w:pPr>
    </w:p>
    <w:p w14:paraId="5344D10C">
      <w:pPr>
        <w:spacing w:line="360" w:lineRule="auto"/>
        <w:ind w:left="440" w:leftChars="200"/>
        <w:jc w:val="center"/>
      </w:pPr>
      <w:r>
        <w:rPr>
          <w:rFonts w:hint="eastAsia"/>
        </w:rPr>
        <w:t>（以下无正文）</w:t>
      </w:r>
    </w:p>
    <w:p w14:paraId="41A26A7D">
      <w:pPr>
        <w:spacing w:line="360" w:lineRule="auto"/>
        <w:rPr>
          <w:rFonts w:hint="eastAsia"/>
        </w:rPr>
      </w:pPr>
    </w:p>
    <w:p w14:paraId="337559C1">
      <w:pPr>
        <w:spacing w:line="360" w:lineRule="auto"/>
      </w:pPr>
      <w:r>
        <w:rPr>
          <w:rFonts w:hint="eastAsia"/>
        </w:rPr>
        <w:t>甲方：</w:t>
      </w:r>
    </w:p>
    <w:p w14:paraId="71419515">
      <w:pPr>
        <w:spacing w:line="360" w:lineRule="auto"/>
      </w:pPr>
      <w:r>
        <w:rPr>
          <w:rFonts w:hint="eastAsia"/>
        </w:rPr>
        <w:t>日期</w:t>
      </w:r>
    </w:p>
    <w:p w14:paraId="0DBA3C37">
      <w:pPr>
        <w:spacing w:line="360" w:lineRule="auto"/>
      </w:pPr>
    </w:p>
    <w:p w14:paraId="4D6F8EB1">
      <w:pPr>
        <w:spacing w:line="360" w:lineRule="auto"/>
        <w:rPr>
          <w:rFonts w:hint="eastAsia"/>
        </w:rPr>
      </w:pPr>
    </w:p>
    <w:p w14:paraId="4EF177F6">
      <w:pPr>
        <w:spacing w:line="360" w:lineRule="auto"/>
        <w:rPr>
          <w:rFonts w:hint="eastAsia"/>
        </w:rPr>
      </w:pPr>
    </w:p>
    <w:p w14:paraId="0E32FCA0">
      <w:pPr>
        <w:spacing w:line="360" w:lineRule="auto"/>
        <w:rPr>
          <w:rFonts w:hint="eastAsia"/>
        </w:rPr>
      </w:pPr>
    </w:p>
    <w:p w14:paraId="21E4A49E">
      <w:pPr>
        <w:spacing w:line="360" w:lineRule="auto"/>
      </w:pPr>
      <w:r>
        <w:rPr>
          <w:rFonts w:hint="eastAsia"/>
        </w:rPr>
        <w:t>乙方：</w:t>
      </w:r>
    </w:p>
    <w:p w14:paraId="009D7E70">
      <w:pPr>
        <w:spacing w:line="360" w:lineRule="auto"/>
      </w:pPr>
      <w:r>
        <w:rPr>
          <w:rFonts w:hint="eastAsia"/>
        </w:rPr>
        <w:t>日期：</w:t>
      </w:r>
    </w:p>
    <w:p w14:paraId="55A300F4">
      <w:pPr>
        <w:pStyle w:val="7"/>
        <w:ind w:firstLine="241"/>
        <w:rPr>
          <w:rFonts w:ascii="仿宋" w:hAnsi="宋体" w:eastAsia="仿宋" w:cs="宋体"/>
          <w:b/>
          <w:bCs/>
          <w:sz w:val="24"/>
          <w:szCs w:val="32"/>
        </w:rPr>
      </w:pPr>
    </w:p>
    <w:p w14:paraId="7CE62649">
      <w:pPr>
        <w:pStyle w:val="7"/>
        <w:ind w:firstLine="241"/>
        <w:rPr>
          <w:rFonts w:ascii="仿宋" w:hAnsi="宋体" w:eastAsia="仿宋" w:cs="宋体"/>
          <w:b/>
          <w:bCs/>
          <w:sz w:val="24"/>
          <w:szCs w:val="32"/>
        </w:rPr>
      </w:pPr>
    </w:p>
    <w:p w14:paraId="3FD8CE93">
      <w:pPr>
        <w:pStyle w:val="7"/>
        <w:ind w:firstLine="241"/>
        <w:rPr>
          <w:rFonts w:ascii="仿宋" w:hAnsi="宋体" w:eastAsia="仿宋" w:cs="宋体"/>
          <w:b/>
          <w:bCs/>
          <w:sz w:val="24"/>
          <w:szCs w:val="32"/>
        </w:rPr>
      </w:pPr>
    </w:p>
    <w:p w14:paraId="7E049E61">
      <w:pPr>
        <w:pStyle w:val="7"/>
        <w:ind w:firstLine="241"/>
        <w:rPr>
          <w:rFonts w:ascii="仿宋" w:hAnsi="宋体" w:eastAsia="仿宋" w:cs="宋体"/>
          <w:b/>
          <w:bCs/>
          <w:sz w:val="24"/>
          <w:szCs w:val="32"/>
        </w:rPr>
      </w:pPr>
    </w:p>
    <w:p w14:paraId="0022A9D6">
      <w:pPr>
        <w:pStyle w:val="7"/>
        <w:ind w:firstLine="241"/>
        <w:rPr>
          <w:rFonts w:ascii="仿宋" w:hAnsi="宋体" w:eastAsia="仿宋" w:cs="宋体"/>
          <w:b/>
          <w:bCs/>
          <w:sz w:val="24"/>
          <w:szCs w:val="32"/>
        </w:rPr>
      </w:pPr>
    </w:p>
    <w:p w14:paraId="39C97742">
      <w:pPr>
        <w:pStyle w:val="7"/>
        <w:ind w:firstLine="241"/>
        <w:rPr>
          <w:rFonts w:ascii="仿宋" w:hAnsi="宋体" w:eastAsia="仿宋" w:cs="宋体"/>
          <w:b/>
          <w:bCs/>
          <w:sz w:val="24"/>
          <w:szCs w:val="32"/>
        </w:rPr>
      </w:pPr>
    </w:p>
    <w:p w14:paraId="4B7AF6DE">
      <w:pPr>
        <w:pStyle w:val="7"/>
        <w:ind w:firstLine="241"/>
        <w:rPr>
          <w:rFonts w:ascii="仿宋" w:hAnsi="宋体" w:eastAsia="仿宋" w:cs="宋体"/>
          <w:b/>
          <w:bCs/>
          <w:sz w:val="24"/>
          <w:szCs w:val="32"/>
        </w:rPr>
      </w:pPr>
    </w:p>
    <w:p w14:paraId="5F0F91E8">
      <w:pPr>
        <w:pStyle w:val="7"/>
        <w:ind w:firstLine="241"/>
        <w:rPr>
          <w:rFonts w:ascii="仿宋" w:hAnsi="宋体" w:eastAsia="仿宋" w:cs="宋体"/>
          <w:b/>
          <w:bCs/>
          <w:sz w:val="24"/>
          <w:szCs w:val="32"/>
        </w:rPr>
      </w:pPr>
    </w:p>
    <w:p w14:paraId="3009FF40">
      <w:pPr>
        <w:pStyle w:val="7"/>
        <w:ind w:firstLine="241"/>
        <w:rPr>
          <w:rFonts w:ascii="仿宋" w:hAnsi="宋体" w:eastAsia="仿宋" w:cs="宋体"/>
          <w:b/>
          <w:bCs/>
          <w:sz w:val="24"/>
          <w:szCs w:val="32"/>
        </w:rPr>
      </w:pPr>
    </w:p>
    <w:p w14:paraId="6F893CE7">
      <w:pPr>
        <w:pStyle w:val="7"/>
        <w:ind w:firstLine="241"/>
        <w:rPr>
          <w:rFonts w:ascii="仿宋" w:hAnsi="宋体" w:eastAsia="仿宋" w:cs="宋体"/>
          <w:b/>
          <w:bCs/>
          <w:sz w:val="24"/>
          <w:szCs w:val="32"/>
        </w:rPr>
      </w:pPr>
    </w:p>
    <w:p w14:paraId="7F5A3BD8">
      <w:pPr>
        <w:pStyle w:val="7"/>
        <w:ind w:left="0" w:leftChars="0" w:firstLine="0" w:firstLineChars="0"/>
        <w:rPr>
          <w:rFonts w:ascii="仿宋" w:hAnsi="宋体" w:eastAsia="仿宋" w:cs="宋体"/>
          <w:b/>
          <w:bCs/>
          <w:sz w:val="24"/>
          <w:szCs w:val="32"/>
        </w:rPr>
      </w:pPr>
    </w:p>
    <w:p w14:paraId="0B165BFA">
      <w:pPr>
        <w:spacing w:line="560" w:lineRule="exact"/>
        <w:jc w:val="both"/>
        <w:rPr>
          <w:rFonts w:hint="eastAsia" w:ascii="仿宋" w:hAnsi="宋体" w:eastAsia="仿宋" w:cs="宋体"/>
          <w:b/>
          <w:bCs/>
          <w:sz w:val="24"/>
          <w:szCs w:val="36"/>
          <w:lang w:eastAsia="zh-CN"/>
        </w:rPr>
      </w:pPr>
    </w:p>
    <w:p w14:paraId="00494FF9">
      <w:pPr>
        <w:spacing w:line="560" w:lineRule="exact"/>
        <w:jc w:val="both"/>
        <w:rPr>
          <w:rFonts w:hint="eastAsia" w:ascii="仿宋" w:hAnsi="宋体" w:eastAsia="仿宋" w:cs="宋体"/>
          <w:b/>
          <w:bCs/>
          <w:sz w:val="24"/>
          <w:szCs w:val="36"/>
          <w:lang w:eastAsia="zh-CN"/>
        </w:rPr>
      </w:pPr>
    </w:p>
    <w:p w14:paraId="0D0A7B08">
      <w:pPr>
        <w:spacing w:line="560" w:lineRule="exact"/>
        <w:jc w:val="both"/>
        <w:rPr>
          <w:rFonts w:hint="eastAsia" w:ascii="仿宋" w:hAnsi="宋体" w:eastAsia="仿宋" w:cs="宋体"/>
          <w:b/>
          <w:bCs/>
          <w:sz w:val="24"/>
          <w:szCs w:val="36"/>
          <w:lang w:eastAsia="zh-CN"/>
        </w:rPr>
      </w:pPr>
    </w:p>
    <w:p w14:paraId="398BE9E9">
      <w:pPr>
        <w:spacing w:line="560" w:lineRule="exact"/>
        <w:jc w:val="both"/>
        <w:rPr>
          <w:rFonts w:hint="eastAsia" w:ascii="仿宋" w:hAnsi="宋体" w:eastAsia="仿宋" w:cs="宋体"/>
          <w:b/>
          <w:bCs/>
          <w:sz w:val="24"/>
          <w:szCs w:val="36"/>
          <w:lang w:eastAsia="zh-CN"/>
        </w:rPr>
      </w:pPr>
    </w:p>
    <w:p w14:paraId="3B8EB46C">
      <w:pPr>
        <w:spacing w:line="560" w:lineRule="exact"/>
        <w:jc w:val="both"/>
        <w:rPr>
          <w:rFonts w:hint="default" w:ascii="仿宋" w:hAnsi="宋体" w:eastAsia="仿宋" w:cs="宋体"/>
          <w:b/>
          <w:bCs/>
          <w:sz w:val="24"/>
          <w:szCs w:val="36"/>
          <w:lang w:val="en-US" w:eastAsia="zh-CN"/>
        </w:rPr>
      </w:pPr>
      <w:r>
        <w:rPr>
          <w:rFonts w:hint="eastAsia" w:ascii="仿宋" w:hAnsi="宋体" w:eastAsia="仿宋" w:cs="宋体"/>
          <w:b/>
          <w:bCs/>
          <w:sz w:val="24"/>
          <w:szCs w:val="36"/>
          <w:lang w:val="en-US" w:eastAsia="zh-CN"/>
        </w:rPr>
        <w:t>附件：</w:t>
      </w:r>
    </w:p>
    <w:p w14:paraId="7AB6830C">
      <w:pPr>
        <w:spacing w:line="560" w:lineRule="exact"/>
        <w:ind w:firstLine="482"/>
        <w:jc w:val="center"/>
        <w:rPr>
          <w:rFonts w:ascii="仿宋" w:eastAsia="仿宋"/>
          <w:sz w:val="24"/>
          <w:szCs w:val="20"/>
        </w:rPr>
      </w:pPr>
      <w:r>
        <w:rPr>
          <w:rFonts w:ascii="仿宋" w:hAnsi="宋体" w:eastAsia="仿宋" w:cs="宋体"/>
          <w:b/>
          <w:bCs/>
          <w:sz w:val="24"/>
          <w:szCs w:val="36"/>
        </w:rPr>
        <w:t>安全生产责任书</w:t>
      </w:r>
    </w:p>
    <w:p w14:paraId="75004F63">
      <w:pPr>
        <w:spacing w:line="560" w:lineRule="exact"/>
        <w:ind w:firstLine="482"/>
        <w:rPr>
          <w:rFonts w:ascii="仿宋" w:eastAsia="仿宋"/>
          <w:sz w:val="24"/>
          <w:szCs w:val="20"/>
        </w:rPr>
      </w:pPr>
      <w:r>
        <w:rPr>
          <w:rFonts w:ascii="仿宋" w:hAnsi="宋体" w:eastAsia="仿宋" w:cs="宋体"/>
          <w:sz w:val="24"/>
          <w:szCs w:val="21"/>
        </w:rPr>
        <w:t>为认真贯彻“安全</w:t>
      </w:r>
      <w:r>
        <w:rPr>
          <w:rFonts w:hint="eastAsia" w:ascii="仿宋" w:hAnsi="宋体" w:eastAsia="仿宋" w:cs="宋体"/>
          <w:sz w:val="24"/>
          <w:szCs w:val="21"/>
        </w:rPr>
        <w:t>第一，</w:t>
      </w:r>
      <w:r>
        <w:rPr>
          <w:rFonts w:ascii="仿宋" w:hAnsi="宋体" w:eastAsia="仿宋" w:cs="宋体"/>
          <w:sz w:val="24"/>
          <w:szCs w:val="21"/>
        </w:rPr>
        <w:t>预防为主”的方针，做到施工安全管理工作的标准化与规范化，确保建设项目安全、优质、按期完成，同时为进一步明确安全职责，提高建设工程安全管理的整体水平，杜绝重大伤亡事故的发生，保证国家与人民的财产与人身安全。根据《中华人民共和国建筑法</w:t>
      </w:r>
      <w:r>
        <w:rPr>
          <w:rFonts w:hint="eastAsia" w:ascii="仿宋" w:hAnsi="宋体" w:eastAsia="仿宋" w:cs="宋体"/>
          <w:sz w:val="24"/>
          <w:szCs w:val="21"/>
        </w:rPr>
        <w:t>》《</w:t>
      </w:r>
      <w:r>
        <w:rPr>
          <w:rFonts w:ascii="仿宋" w:hAnsi="宋体" w:eastAsia="仿宋" w:cs="宋体"/>
          <w:sz w:val="24"/>
          <w:szCs w:val="21"/>
        </w:rPr>
        <w:t>江苏省建筑工程管理条例</w:t>
      </w:r>
      <w:r>
        <w:rPr>
          <w:rFonts w:hint="eastAsia" w:ascii="仿宋" w:hAnsi="宋体" w:eastAsia="仿宋" w:cs="宋体"/>
          <w:sz w:val="24"/>
          <w:szCs w:val="21"/>
        </w:rPr>
        <w:t>》《</w:t>
      </w:r>
      <w:r>
        <w:rPr>
          <w:rFonts w:ascii="仿宋" w:hAnsi="宋体" w:eastAsia="仿宋" w:cs="宋体"/>
          <w:sz w:val="24"/>
          <w:szCs w:val="21"/>
        </w:rPr>
        <w:t>南京市施工现场管理规定》等有关国家法令法规，订立如下安全生产责任书：</w:t>
      </w:r>
    </w:p>
    <w:p w14:paraId="05435756">
      <w:pPr>
        <w:spacing w:line="560" w:lineRule="exact"/>
        <w:ind w:firstLine="482"/>
        <w:rPr>
          <w:rFonts w:ascii="仿宋" w:eastAsia="仿宋"/>
          <w:sz w:val="24"/>
          <w:szCs w:val="20"/>
        </w:rPr>
      </w:pPr>
      <w:r>
        <w:rPr>
          <w:rFonts w:ascii="仿宋" w:hAnsi="宋体" w:eastAsia="仿宋" w:cs="宋体"/>
          <w:sz w:val="24"/>
          <w:szCs w:val="21"/>
        </w:rPr>
        <w:t>1、承包人（即合同乙方）对施工现场安全生产负有主要责任。承包人应当建立健全各级安全生产责任制和群防群治制度，实行各级安全生产目标管理，推行施工现场标准化管理。承包人法人为安全生产第一责任人，对本企业的安全生产负责。</w:t>
      </w:r>
    </w:p>
    <w:p w14:paraId="17EDB37C">
      <w:pPr>
        <w:spacing w:line="560" w:lineRule="exact"/>
        <w:ind w:firstLine="482"/>
        <w:rPr>
          <w:rFonts w:ascii="仿宋" w:eastAsia="仿宋"/>
          <w:sz w:val="24"/>
          <w:szCs w:val="20"/>
        </w:rPr>
      </w:pPr>
      <w:r>
        <w:rPr>
          <w:rFonts w:ascii="仿宋" w:hAnsi="宋体" w:eastAsia="仿宋" w:cs="宋体"/>
          <w:sz w:val="24"/>
          <w:szCs w:val="21"/>
        </w:rPr>
        <w:t>2、施工现场必须建立健全安全生产责任制，项目经理为施工现场安全管理第一责任人，负责本项目安全生产的组织与实施。</w:t>
      </w:r>
    </w:p>
    <w:p w14:paraId="496A9382">
      <w:pPr>
        <w:spacing w:line="560" w:lineRule="exact"/>
        <w:ind w:firstLine="482"/>
        <w:rPr>
          <w:rFonts w:ascii="仿宋" w:eastAsia="仿宋"/>
          <w:sz w:val="24"/>
          <w:szCs w:val="20"/>
        </w:rPr>
      </w:pPr>
      <w:r>
        <w:rPr>
          <w:rFonts w:ascii="仿宋" w:hAnsi="宋体" w:eastAsia="仿宋" w:cs="宋体"/>
          <w:sz w:val="24"/>
          <w:szCs w:val="21"/>
        </w:rPr>
        <w:t>3、承包人必须依法加强对安全生产的监督管理，执行国家、省、市有关规范标准，积极采取措施，落实各项安全技术措施要求，防止伤亡</w:t>
      </w:r>
      <w:r>
        <w:rPr>
          <w:rFonts w:hint="eastAsia" w:ascii="仿宋" w:hAnsi="宋体" w:eastAsia="仿宋" w:cs="宋体"/>
          <w:sz w:val="24"/>
          <w:szCs w:val="21"/>
        </w:rPr>
        <w:t>和其他</w:t>
      </w:r>
      <w:r>
        <w:rPr>
          <w:rFonts w:ascii="仿宋" w:hAnsi="宋体" w:eastAsia="仿宋" w:cs="宋体"/>
          <w:sz w:val="24"/>
          <w:szCs w:val="21"/>
        </w:rPr>
        <w:t>安全生产事故的发生。</w:t>
      </w:r>
    </w:p>
    <w:p w14:paraId="0EA2221D">
      <w:pPr>
        <w:spacing w:line="560" w:lineRule="exact"/>
        <w:ind w:firstLine="482"/>
        <w:rPr>
          <w:rFonts w:ascii="仿宋" w:eastAsia="仿宋"/>
          <w:sz w:val="24"/>
          <w:szCs w:val="20"/>
        </w:rPr>
      </w:pPr>
      <w:r>
        <w:rPr>
          <w:rFonts w:ascii="仿宋" w:hAnsi="宋体" w:eastAsia="仿宋" w:cs="宋体"/>
          <w:sz w:val="24"/>
          <w:szCs w:val="21"/>
        </w:rPr>
        <w:t>4、承包人应当落实安全生产教育培训制度，加强对职工安全生产的培训教育，</w:t>
      </w:r>
      <w:r>
        <w:rPr>
          <w:rFonts w:hint="eastAsia" w:ascii="仿宋" w:hAnsi="宋体" w:eastAsia="仿宋" w:cs="宋体"/>
          <w:sz w:val="24"/>
          <w:szCs w:val="21"/>
        </w:rPr>
        <w:t>增强</w:t>
      </w:r>
      <w:r>
        <w:rPr>
          <w:rFonts w:ascii="仿宋" w:hAnsi="宋体" w:eastAsia="仿宋" w:cs="宋体"/>
          <w:sz w:val="24"/>
          <w:szCs w:val="21"/>
        </w:rPr>
        <w:t>职工的安全防范意识。未经安全生产教育培训的人员，不得上岗作业。</w:t>
      </w:r>
    </w:p>
    <w:p w14:paraId="3E1AD82F">
      <w:pPr>
        <w:spacing w:line="560" w:lineRule="exact"/>
        <w:ind w:firstLine="482"/>
        <w:rPr>
          <w:rFonts w:ascii="仿宋" w:eastAsia="仿宋"/>
          <w:sz w:val="24"/>
          <w:szCs w:val="20"/>
        </w:rPr>
      </w:pPr>
      <w:r>
        <w:rPr>
          <w:rFonts w:ascii="仿宋" w:hAnsi="宋体" w:eastAsia="仿宋" w:cs="宋体"/>
          <w:sz w:val="24"/>
          <w:szCs w:val="21"/>
        </w:rPr>
        <w:t>特种作业人员应当经国家规定的有关部门组织培训，经考核合格，取得上岗证书后，方可上岗作业。</w:t>
      </w:r>
    </w:p>
    <w:p w14:paraId="4B30156C">
      <w:pPr>
        <w:spacing w:line="560" w:lineRule="exact"/>
        <w:ind w:firstLine="482"/>
        <w:rPr>
          <w:rFonts w:ascii="仿宋" w:eastAsia="仿宋"/>
          <w:sz w:val="24"/>
          <w:szCs w:val="20"/>
        </w:rPr>
      </w:pPr>
      <w:r>
        <w:rPr>
          <w:rFonts w:ascii="仿宋" w:hAnsi="宋体" w:eastAsia="仿宋" w:cs="宋体"/>
          <w:sz w:val="24"/>
          <w:szCs w:val="21"/>
        </w:rPr>
        <w:t>5、承包人及其项目部必须按规定设置专职安全员从事安全管理。专职安全员应持证上岗，并按规定独立行使职权。</w:t>
      </w:r>
    </w:p>
    <w:p w14:paraId="3EECA074">
      <w:pPr>
        <w:spacing w:line="560" w:lineRule="exact"/>
        <w:ind w:firstLine="482"/>
        <w:rPr>
          <w:rFonts w:ascii="仿宋" w:eastAsia="仿宋"/>
          <w:sz w:val="24"/>
          <w:szCs w:val="20"/>
        </w:rPr>
      </w:pPr>
      <w:r>
        <w:rPr>
          <w:rFonts w:ascii="仿宋" w:hAnsi="宋体" w:eastAsia="仿宋" w:cs="宋体"/>
          <w:sz w:val="24"/>
          <w:szCs w:val="21"/>
        </w:rPr>
        <w:t>6、承包人在编制施工组织设计时，应当根据工程特点制定相应的安全技术措施；对专业性较强的分部分项工程，应编制专项安全施工组织设计，并采取措施严格执行。承包人编制的安全施工组织设计应向作业人员进行书面措施交底，被交底人应当在交底书面材料上签字。</w:t>
      </w:r>
    </w:p>
    <w:p w14:paraId="13E29A5D">
      <w:pPr>
        <w:spacing w:line="560" w:lineRule="exact"/>
        <w:ind w:firstLine="482"/>
        <w:rPr>
          <w:rFonts w:ascii="仿宋" w:eastAsia="仿宋"/>
          <w:sz w:val="24"/>
          <w:szCs w:val="20"/>
        </w:rPr>
      </w:pPr>
      <w:r>
        <w:rPr>
          <w:rFonts w:ascii="仿宋" w:hAnsi="宋体" w:eastAsia="仿宋" w:cs="宋体"/>
          <w:sz w:val="24"/>
          <w:szCs w:val="21"/>
        </w:rPr>
        <w:t>7、下列工程项目，承包人的工程项目经理部应当编制专项施工安全方案，并按规定报批后实施：①脚手架的搭设、使用和拆除；②垂直运输机械设备、起重吊装、塔吊等机具的拆除与安装；③模板工程；④施工现场临时用电；⑤</w:t>
      </w:r>
      <w:r>
        <w:rPr>
          <w:rFonts w:hint="eastAsia" w:ascii="仿宋" w:hAnsi="宋体" w:eastAsia="仿宋" w:cs="宋体"/>
          <w:sz w:val="24"/>
          <w:szCs w:val="21"/>
        </w:rPr>
        <w:t>其他</w:t>
      </w:r>
      <w:r>
        <w:rPr>
          <w:rFonts w:ascii="仿宋" w:hAnsi="宋体" w:eastAsia="仿宋" w:cs="宋体"/>
          <w:sz w:val="24"/>
          <w:szCs w:val="21"/>
        </w:rPr>
        <w:t>特殊作业。</w:t>
      </w:r>
    </w:p>
    <w:p w14:paraId="01A41938">
      <w:pPr>
        <w:spacing w:line="560" w:lineRule="exact"/>
        <w:ind w:firstLine="482"/>
        <w:rPr>
          <w:rFonts w:ascii="仿宋" w:eastAsia="仿宋"/>
          <w:sz w:val="24"/>
          <w:szCs w:val="20"/>
        </w:rPr>
      </w:pPr>
      <w:r>
        <w:rPr>
          <w:rFonts w:ascii="仿宋" w:hAnsi="宋体" w:eastAsia="仿宋" w:cs="宋体"/>
          <w:sz w:val="24"/>
          <w:szCs w:val="21"/>
        </w:rPr>
        <w:t>8、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械与垂直运输设备的安装检查、验收制度，对无验收手续或验收不合格的坚决不予使用。</w:t>
      </w:r>
    </w:p>
    <w:p w14:paraId="5810785F">
      <w:pPr>
        <w:spacing w:line="560" w:lineRule="exact"/>
        <w:ind w:firstLine="482"/>
        <w:rPr>
          <w:rFonts w:ascii="仿宋" w:eastAsia="仿宋"/>
          <w:sz w:val="24"/>
          <w:szCs w:val="20"/>
        </w:rPr>
      </w:pPr>
      <w:bookmarkStart w:id="23" w:name="page35"/>
      <w:bookmarkEnd w:id="23"/>
      <w:r>
        <w:rPr>
          <w:rFonts w:ascii="仿宋" w:hAnsi="宋体" w:eastAsia="仿宋" w:cs="宋体"/>
          <w:sz w:val="24"/>
          <w:szCs w:val="21"/>
        </w:rPr>
        <w:t>9、承包人及施工现场应严格执行国家及建设行政主管部门有关建筑安全的各项法律、法令、法规及行业规章、规程等管理规定，严格执行现行的安全标准规范和规程，严禁各类违章指挥与违章作业。作业人员有权对影响人身健康的作业程序和作业条件提出改进意见，有权获得安全生产所需的防护用品，有权对危及生命安全和身体健康的行为提出批评、检举和控告。</w:t>
      </w:r>
    </w:p>
    <w:p w14:paraId="04FAE001">
      <w:pPr>
        <w:spacing w:line="560" w:lineRule="exact"/>
        <w:ind w:firstLine="482"/>
        <w:rPr>
          <w:rFonts w:ascii="仿宋" w:eastAsia="仿宋"/>
          <w:sz w:val="24"/>
          <w:szCs w:val="20"/>
        </w:rPr>
      </w:pPr>
      <w:r>
        <w:rPr>
          <w:rFonts w:ascii="仿宋" w:hAnsi="宋体" w:eastAsia="仿宋" w:cs="宋体"/>
          <w:w w:val="99"/>
          <w:sz w:val="24"/>
          <w:szCs w:val="21"/>
        </w:rPr>
        <w:t>10、承包人应根据季节和生产情况的变化，定期或不定期组织安全生产全面检查或专项检查，</w:t>
      </w:r>
      <w:r>
        <w:rPr>
          <w:rFonts w:ascii="仿宋" w:hAnsi="宋体" w:eastAsia="仿宋" w:cs="宋体"/>
          <w:sz w:val="24"/>
          <w:szCs w:val="21"/>
        </w:rPr>
        <w:t>对存在的事故隐患应当及时整改。</w:t>
      </w:r>
    </w:p>
    <w:p w14:paraId="0225398E">
      <w:pPr>
        <w:spacing w:line="560" w:lineRule="exact"/>
        <w:ind w:firstLine="482"/>
        <w:rPr>
          <w:rFonts w:ascii="仿宋" w:eastAsia="仿宋"/>
          <w:sz w:val="24"/>
          <w:szCs w:val="20"/>
        </w:rPr>
      </w:pPr>
      <w:r>
        <w:rPr>
          <w:rFonts w:ascii="仿宋" w:hAnsi="宋体" w:eastAsia="仿宋" w:cs="宋体"/>
          <w:sz w:val="24"/>
          <w:szCs w:val="21"/>
        </w:rPr>
        <w:t>11、承包人应当依据不同施工阶段的施工防护要求，采取相应的施工安全防护措施。现场施工安全防护措施应当符合国家劳动安全、卫生及消防标准。</w:t>
      </w:r>
    </w:p>
    <w:p w14:paraId="139575D6">
      <w:pPr>
        <w:spacing w:line="560" w:lineRule="exact"/>
        <w:ind w:firstLine="482"/>
        <w:rPr>
          <w:rFonts w:ascii="仿宋" w:eastAsia="仿宋"/>
          <w:sz w:val="24"/>
          <w:szCs w:val="20"/>
        </w:rPr>
      </w:pPr>
      <w:r>
        <w:rPr>
          <w:rFonts w:ascii="仿宋" w:hAnsi="宋体" w:eastAsia="仿宋" w:cs="宋体"/>
          <w:sz w:val="24"/>
          <w:szCs w:val="21"/>
        </w:rPr>
        <w:t>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14:paraId="050EB1AC">
      <w:pPr>
        <w:spacing w:line="560" w:lineRule="exact"/>
        <w:ind w:firstLine="482"/>
        <w:rPr>
          <w:rFonts w:ascii="仿宋" w:eastAsia="仿宋"/>
          <w:sz w:val="24"/>
          <w:szCs w:val="20"/>
        </w:rPr>
      </w:pPr>
      <w:r>
        <w:rPr>
          <w:rFonts w:ascii="仿宋" w:hAnsi="宋体" w:eastAsia="仿宋" w:cs="宋体"/>
          <w:sz w:val="24"/>
          <w:szCs w:val="21"/>
        </w:rPr>
        <w:t>12、发生重大事故时，承包人必须立即将事故的简要情况向上级主管部门、建设行政部门、建筑安监机构、公安机关、总工会、安全生产监督行政部门报告，并在 24 小时内写出书面报告。重大事故书面报告应当包括以下内容：</w:t>
      </w:r>
    </w:p>
    <w:p w14:paraId="1456CC79">
      <w:pPr>
        <w:spacing w:line="560" w:lineRule="exact"/>
        <w:ind w:firstLine="482"/>
        <w:rPr>
          <w:rFonts w:ascii="仿宋" w:eastAsia="仿宋"/>
          <w:sz w:val="24"/>
          <w:szCs w:val="20"/>
        </w:rPr>
      </w:pPr>
      <w:r>
        <w:rPr>
          <w:rFonts w:ascii="仿宋" w:hAnsi="宋体" w:eastAsia="仿宋" w:cs="宋体"/>
          <w:sz w:val="24"/>
          <w:szCs w:val="21"/>
        </w:rPr>
        <w:t>①事故发生</w:t>
      </w:r>
      <w:r>
        <w:rPr>
          <w:rFonts w:hint="eastAsia" w:ascii="仿宋" w:hAnsi="宋体" w:eastAsia="仿宋" w:cs="宋体"/>
          <w:sz w:val="24"/>
          <w:szCs w:val="21"/>
        </w:rPr>
        <w:t>地</w:t>
      </w:r>
      <w:r>
        <w:rPr>
          <w:rFonts w:ascii="仿宋" w:hAnsi="宋体" w:eastAsia="仿宋" w:cs="宋体"/>
          <w:sz w:val="24"/>
          <w:szCs w:val="21"/>
        </w:rPr>
        <w:t>时间、地点、工程项目、企业名称；</w:t>
      </w:r>
    </w:p>
    <w:p w14:paraId="19DFDF8F">
      <w:pPr>
        <w:spacing w:line="560" w:lineRule="exact"/>
        <w:ind w:firstLine="482"/>
        <w:rPr>
          <w:rFonts w:ascii="仿宋" w:eastAsia="仿宋"/>
          <w:sz w:val="24"/>
          <w:szCs w:val="20"/>
        </w:rPr>
      </w:pPr>
      <w:r>
        <w:rPr>
          <w:rFonts w:ascii="仿宋" w:hAnsi="宋体" w:eastAsia="仿宋" w:cs="宋体"/>
          <w:sz w:val="24"/>
          <w:szCs w:val="21"/>
        </w:rPr>
        <w:t>②事故发生的简要经过、伤亡人数和直接经济损失的初步估计；</w:t>
      </w:r>
    </w:p>
    <w:p w14:paraId="1B6433CA">
      <w:pPr>
        <w:spacing w:line="560" w:lineRule="exact"/>
        <w:ind w:firstLine="482"/>
        <w:rPr>
          <w:rFonts w:ascii="仿宋" w:eastAsia="仿宋"/>
          <w:sz w:val="24"/>
          <w:szCs w:val="20"/>
        </w:rPr>
      </w:pPr>
      <w:r>
        <w:rPr>
          <w:rFonts w:ascii="仿宋" w:hAnsi="宋体" w:eastAsia="仿宋" w:cs="宋体"/>
          <w:sz w:val="24"/>
          <w:szCs w:val="21"/>
        </w:rPr>
        <w:t>③事故发生原因的初步判断；</w:t>
      </w:r>
    </w:p>
    <w:p w14:paraId="27144444">
      <w:pPr>
        <w:spacing w:line="560" w:lineRule="exact"/>
        <w:ind w:firstLine="482"/>
        <w:rPr>
          <w:rFonts w:ascii="仿宋" w:eastAsia="仿宋"/>
          <w:sz w:val="24"/>
          <w:szCs w:val="20"/>
        </w:rPr>
      </w:pPr>
      <w:r>
        <w:rPr>
          <w:rFonts w:ascii="仿宋" w:hAnsi="宋体" w:eastAsia="仿宋" w:cs="宋体"/>
          <w:sz w:val="24"/>
          <w:szCs w:val="21"/>
        </w:rPr>
        <w:t>④事故发生后采取的措施及事故控制情况；</w:t>
      </w:r>
    </w:p>
    <w:p w14:paraId="57CC51B9">
      <w:pPr>
        <w:spacing w:line="560" w:lineRule="exact"/>
        <w:ind w:firstLine="482"/>
        <w:rPr>
          <w:rFonts w:ascii="仿宋" w:eastAsia="仿宋"/>
          <w:sz w:val="24"/>
          <w:szCs w:val="20"/>
        </w:rPr>
      </w:pPr>
      <w:r>
        <w:rPr>
          <w:rFonts w:ascii="仿宋" w:hAnsi="宋体" w:eastAsia="仿宋" w:cs="宋体"/>
          <w:sz w:val="24"/>
          <w:szCs w:val="21"/>
        </w:rPr>
        <w:t>⑤事故报告单位。</w:t>
      </w:r>
    </w:p>
    <w:p w14:paraId="00735119">
      <w:pPr>
        <w:spacing w:line="560" w:lineRule="exact"/>
        <w:ind w:firstLine="482"/>
        <w:rPr>
          <w:rFonts w:ascii="仿宋" w:eastAsia="仿宋"/>
          <w:sz w:val="24"/>
          <w:szCs w:val="20"/>
        </w:rPr>
      </w:pPr>
      <w:r>
        <w:rPr>
          <w:rFonts w:ascii="仿宋" w:hAnsi="宋体" w:eastAsia="仿宋" w:cs="宋体"/>
          <w:sz w:val="24"/>
          <w:szCs w:val="21"/>
        </w:rPr>
        <w:t>13、事故发生后，事故发生单位和建设行政主管部门应当严格保护事故现场，采取有效措施抢救人员和财产，防止事态扩大，重大事故的调查处理按照国家有关规定执行。</w:t>
      </w:r>
    </w:p>
    <w:p w14:paraId="73B8EEF7">
      <w:pPr>
        <w:spacing w:line="560" w:lineRule="exact"/>
        <w:ind w:firstLine="482"/>
        <w:rPr>
          <w:rFonts w:ascii="仿宋" w:eastAsia="仿宋"/>
          <w:sz w:val="24"/>
          <w:szCs w:val="20"/>
        </w:rPr>
      </w:pPr>
      <w:r>
        <w:rPr>
          <w:rFonts w:ascii="仿宋" w:hAnsi="宋体" w:eastAsia="仿宋" w:cs="宋体"/>
          <w:sz w:val="24"/>
          <w:szCs w:val="21"/>
        </w:rPr>
        <w:t>14、事故发生后，承包人要积极配合事故联合调查组的调查，不得隐瞒不报、谎报、故意拖延报告期限，不得破坏事故现场。</w:t>
      </w:r>
    </w:p>
    <w:p w14:paraId="6EA29F0E">
      <w:pPr>
        <w:spacing w:line="560" w:lineRule="exact"/>
        <w:ind w:firstLine="482"/>
        <w:rPr>
          <w:rFonts w:ascii="仿宋" w:eastAsia="仿宋"/>
          <w:sz w:val="24"/>
          <w:szCs w:val="20"/>
        </w:rPr>
      </w:pPr>
      <w:r>
        <w:rPr>
          <w:rFonts w:ascii="仿宋" w:hAnsi="宋体" w:eastAsia="仿宋" w:cs="宋体"/>
          <w:w w:val="99"/>
          <w:sz w:val="24"/>
          <w:szCs w:val="21"/>
        </w:rPr>
        <w:t>15、承包人应根据中华人民共和国建筑法第五章四十八条的规定，对施工人员进行意外伤害、</w:t>
      </w:r>
      <w:r>
        <w:rPr>
          <w:rFonts w:ascii="仿宋" w:hAnsi="宋体" w:eastAsia="仿宋" w:cs="宋体"/>
          <w:sz w:val="24"/>
          <w:szCs w:val="21"/>
        </w:rPr>
        <w:t>伤亡保险，支付保险费。</w:t>
      </w:r>
    </w:p>
    <w:p w14:paraId="2FE9DF0F">
      <w:pPr>
        <w:spacing w:line="560" w:lineRule="exact"/>
        <w:ind w:firstLine="482"/>
        <w:rPr>
          <w:rFonts w:ascii="仿宋" w:eastAsia="仿宋"/>
          <w:sz w:val="24"/>
          <w:szCs w:val="20"/>
        </w:rPr>
      </w:pPr>
      <w:r>
        <w:rPr>
          <w:rFonts w:ascii="仿宋" w:hAnsi="宋体" w:eastAsia="仿宋" w:cs="宋体"/>
          <w:sz w:val="24"/>
          <w:szCs w:val="21"/>
        </w:rPr>
        <w:t>本责任书一式二份，发包人（合同甲方）、承包人（合同乙方）各执一份。</w:t>
      </w:r>
    </w:p>
    <w:p w14:paraId="1B275E1F">
      <w:pPr>
        <w:spacing w:line="560" w:lineRule="exact"/>
        <w:ind w:firstLine="482"/>
        <w:rPr>
          <w:rFonts w:ascii="仿宋" w:hAnsi="宋体" w:eastAsia="仿宋" w:cs="宋体"/>
          <w:w w:val="99"/>
          <w:sz w:val="24"/>
          <w:szCs w:val="21"/>
        </w:rPr>
      </w:pPr>
    </w:p>
    <w:p w14:paraId="3BF35ED8">
      <w:pPr>
        <w:spacing w:line="560" w:lineRule="exact"/>
        <w:ind w:firstLine="482"/>
        <w:rPr>
          <w:rFonts w:ascii="仿宋" w:hAnsi="宋体" w:eastAsia="仿宋" w:cs="宋体"/>
          <w:w w:val="99"/>
          <w:sz w:val="24"/>
          <w:szCs w:val="21"/>
        </w:rPr>
      </w:pPr>
    </w:p>
    <w:p w14:paraId="51BADAF0">
      <w:pPr>
        <w:spacing w:line="560" w:lineRule="exact"/>
        <w:ind w:firstLine="482"/>
        <w:rPr>
          <w:rFonts w:ascii="仿宋" w:hAnsi="宋体" w:eastAsia="仿宋" w:cs="宋体"/>
          <w:w w:val="99"/>
          <w:sz w:val="24"/>
          <w:szCs w:val="21"/>
        </w:rPr>
      </w:pPr>
    </w:p>
    <w:p w14:paraId="2743ADB8">
      <w:pPr>
        <w:spacing w:line="560" w:lineRule="exact"/>
        <w:ind w:firstLine="482"/>
        <w:rPr>
          <w:rFonts w:ascii="仿宋" w:hAnsi="宋体" w:eastAsia="仿宋" w:cs="宋体"/>
          <w:w w:val="99"/>
          <w:sz w:val="24"/>
          <w:szCs w:val="21"/>
        </w:rPr>
      </w:pPr>
    </w:p>
    <w:p w14:paraId="746F801E">
      <w:pPr>
        <w:spacing w:line="560" w:lineRule="exact"/>
        <w:ind w:firstLine="482"/>
        <w:rPr>
          <w:rFonts w:ascii="仿宋" w:hAnsi="宋体" w:eastAsia="仿宋" w:cs="宋体"/>
          <w:w w:val="99"/>
          <w:sz w:val="24"/>
          <w:szCs w:val="21"/>
        </w:rPr>
      </w:pPr>
      <w:r>
        <w:rPr>
          <w:rFonts w:ascii="仿宋" w:hAnsi="宋体" w:eastAsia="仿宋" w:cs="宋体"/>
          <w:w w:val="99"/>
          <w:sz w:val="24"/>
          <w:szCs w:val="21"/>
        </w:rPr>
        <w:t xml:space="preserve">发包人（盖章）： </w:t>
      </w:r>
      <w:r>
        <w:rPr>
          <w:rFonts w:hint="eastAsia" w:ascii="仿宋" w:hAnsi="宋体" w:eastAsia="仿宋" w:cs="宋体"/>
          <w:w w:val="99"/>
          <w:sz w:val="24"/>
          <w:szCs w:val="21"/>
          <w:lang w:val="en-US" w:eastAsia="zh-CN"/>
        </w:rPr>
        <w:t xml:space="preserve">                  </w:t>
      </w:r>
      <w:r>
        <w:rPr>
          <w:rFonts w:ascii="仿宋" w:hAnsi="宋体" w:eastAsia="仿宋" w:cs="宋体"/>
          <w:w w:val="99"/>
          <w:sz w:val="24"/>
          <w:szCs w:val="21"/>
        </w:rPr>
        <w:t>承包人（盖章）：</w:t>
      </w:r>
    </w:p>
    <w:p w14:paraId="114D9581">
      <w:pPr>
        <w:spacing w:line="560" w:lineRule="exact"/>
        <w:ind w:firstLine="482"/>
        <w:rPr>
          <w:rFonts w:ascii="仿宋" w:hAnsi="宋体" w:eastAsia="仿宋" w:cs="宋体"/>
          <w:w w:val="99"/>
          <w:sz w:val="24"/>
          <w:szCs w:val="21"/>
        </w:rPr>
      </w:pPr>
    </w:p>
    <w:p w14:paraId="3E9CF710">
      <w:pPr>
        <w:spacing w:line="560" w:lineRule="exact"/>
        <w:ind w:firstLine="482"/>
        <w:rPr>
          <w:rFonts w:ascii="仿宋" w:hAnsi="宋体" w:eastAsia="仿宋" w:cs="宋体"/>
          <w:w w:val="99"/>
          <w:sz w:val="24"/>
          <w:szCs w:val="21"/>
        </w:rPr>
      </w:pPr>
    </w:p>
    <w:p w14:paraId="1E1F994D">
      <w:pPr>
        <w:spacing w:line="560" w:lineRule="exact"/>
        <w:ind w:firstLine="482"/>
        <w:rPr>
          <w:rFonts w:ascii="仿宋" w:hAnsi="宋体" w:eastAsia="仿宋" w:cs="宋体"/>
          <w:w w:val="99"/>
          <w:sz w:val="24"/>
          <w:szCs w:val="21"/>
        </w:rPr>
      </w:pPr>
    </w:p>
    <w:p w14:paraId="1AAF111D">
      <w:pPr>
        <w:spacing w:line="560" w:lineRule="exact"/>
        <w:ind w:firstLine="482"/>
        <w:rPr>
          <w:rFonts w:ascii="仿宋" w:eastAsia="仿宋"/>
          <w:sz w:val="24"/>
          <w:szCs w:val="20"/>
        </w:rPr>
      </w:pPr>
      <w:r>
        <w:rPr>
          <w:rFonts w:ascii="仿宋" w:hAnsi="宋体" w:eastAsia="仿宋" w:cs="宋体"/>
          <w:w w:val="99"/>
          <w:sz w:val="24"/>
          <w:szCs w:val="21"/>
        </w:rPr>
        <w:t xml:space="preserve">法定代表人：（或委托代理人） </w:t>
      </w:r>
      <w:r>
        <w:rPr>
          <w:rFonts w:hint="eastAsia" w:ascii="仿宋" w:hAnsi="宋体" w:eastAsia="仿宋" w:cs="宋体"/>
          <w:w w:val="99"/>
          <w:sz w:val="24"/>
          <w:szCs w:val="21"/>
          <w:lang w:val="en-US" w:eastAsia="zh-CN"/>
        </w:rPr>
        <w:t xml:space="preserve">      </w:t>
      </w:r>
      <w:r>
        <w:rPr>
          <w:rFonts w:ascii="仿宋" w:hAnsi="宋体" w:eastAsia="仿宋" w:cs="宋体"/>
          <w:w w:val="99"/>
          <w:sz w:val="24"/>
          <w:szCs w:val="21"/>
        </w:rPr>
        <w:t>法定代表人： （或委托代理人）</w:t>
      </w:r>
    </w:p>
    <w:p w14:paraId="331351C1">
      <w:pPr>
        <w:spacing w:before="200" w:after="100"/>
        <w:outlineLvl w:val="9"/>
        <w:rPr>
          <w:rFonts w:ascii="黑体" w:hAnsi="宋体" w:eastAsia="黑体" w:cs="宋体"/>
          <w:bCs/>
          <w:sz w:val="32"/>
          <w:szCs w:val="32"/>
        </w:rPr>
      </w:pPr>
      <w:bookmarkStart w:id="24" w:name="page36"/>
      <w:bookmarkEnd w:id="24"/>
    </w:p>
    <w:p w14:paraId="2F047214">
      <w:pPr>
        <w:spacing w:before="200" w:after="100"/>
        <w:outlineLvl w:val="9"/>
        <w:rPr>
          <w:rFonts w:ascii="黑体" w:hAnsi="宋体" w:eastAsia="黑体" w:cs="宋体"/>
          <w:bCs/>
          <w:sz w:val="32"/>
          <w:szCs w:val="32"/>
        </w:rPr>
      </w:pPr>
    </w:p>
    <w:p w14:paraId="0DC91AD3">
      <w:pPr>
        <w:spacing w:before="200" w:after="100"/>
        <w:outlineLvl w:val="9"/>
        <w:rPr>
          <w:rFonts w:ascii="黑体" w:hAnsi="宋体" w:eastAsia="黑体" w:cs="宋体"/>
          <w:bCs/>
          <w:sz w:val="32"/>
          <w:szCs w:val="32"/>
        </w:rPr>
      </w:pPr>
    </w:p>
    <w:p w14:paraId="59163218">
      <w:pPr>
        <w:spacing w:before="200" w:after="100"/>
        <w:outlineLvl w:val="9"/>
        <w:rPr>
          <w:rFonts w:ascii="黑体" w:hAnsi="宋体" w:eastAsia="黑体" w:cs="宋体"/>
          <w:bCs/>
          <w:sz w:val="32"/>
          <w:szCs w:val="32"/>
        </w:rPr>
      </w:pPr>
    </w:p>
    <w:p w14:paraId="520AA772">
      <w:pPr>
        <w:spacing w:before="200" w:after="100"/>
        <w:outlineLvl w:val="9"/>
        <w:rPr>
          <w:rFonts w:ascii="黑体" w:hAnsi="宋体" w:eastAsia="黑体" w:cs="宋体"/>
          <w:bCs/>
          <w:sz w:val="32"/>
          <w:szCs w:val="32"/>
        </w:rPr>
      </w:pPr>
    </w:p>
    <w:p w14:paraId="0503F73E">
      <w:pPr>
        <w:spacing w:before="200" w:after="100"/>
        <w:outlineLvl w:val="9"/>
        <w:rPr>
          <w:rFonts w:ascii="黑体" w:hAnsi="宋体" w:eastAsia="黑体" w:cs="宋体"/>
          <w:bCs/>
          <w:sz w:val="32"/>
          <w:szCs w:val="32"/>
        </w:rPr>
      </w:pPr>
    </w:p>
    <w:p w14:paraId="1016199A">
      <w:pPr>
        <w:spacing w:before="200" w:after="100"/>
        <w:outlineLvl w:val="9"/>
        <w:rPr>
          <w:rFonts w:ascii="黑体" w:hAnsi="宋体" w:eastAsia="黑体" w:cs="宋体"/>
          <w:bCs/>
          <w:sz w:val="32"/>
          <w:szCs w:val="32"/>
        </w:rPr>
      </w:pPr>
    </w:p>
    <w:p w14:paraId="01EF6D68">
      <w:pPr>
        <w:spacing w:before="200" w:after="100"/>
        <w:jc w:val="both"/>
        <w:outlineLvl w:val="9"/>
        <w:rPr>
          <w:rFonts w:hint="eastAsia" w:ascii="黑体" w:hAnsi="宋体" w:eastAsia="黑体" w:cs="宋体"/>
          <w:bCs/>
          <w:sz w:val="32"/>
          <w:szCs w:val="32"/>
        </w:rPr>
      </w:pPr>
    </w:p>
    <w:p w14:paraId="3A6395AA">
      <w:pPr>
        <w:spacing w:before="200" w:after="100"/>
        <w:jc w:val="center"/>
        <w:outlineLvl w:val="0"/>
        <w:rPr>
          <w:rFonts w:ascii="黑体" w:eastAsia="黑体"/>
          <w:sz w:val="32"/>
          <w:szCs w:val="20"/>
        </w:rPr>
      </w:pPr>
      <w:r>
        <w:rPr>
          <w:rFonts w:ascii="黑体" w:hAnsi="宋体" w:eastAsia="黑体" w:cs="宋体"/>
          <w:bCs/>
          <w:sz w:val="32"/>
          <w:szCs w:val="32"/>
        </w:rPr>
        <w:t>第六章 附件</w:t>
      </w:r>
    </w:p>
    <w:p w14:paraId="624A4D5F">
      <w:pPr>
        <w:spacing w:line="560" w:lineRule="exact"/>
        <w:ind w:firstLine="482"/>
        <w:rPr>
          <w:rFonts w:ascii="仿宋" w:hAnsi="黑体" w:eastAsia="仿宋" w:cs="黑体"/>
          <w:sz w:val="24"/>
          <w:szCs w:val="28"/>
        </w:rPr>
      </w:pPr>
    </w:p>
    <w:p w14:paraId="18575A74">
      <w:pPr>
        <w:spacing w:line="560" w:lineRule="exact"/>
        <w:ind w:firstLine="482"/>
        <w:rPr>
          <w:rFonts w:ascii="仿宋" w:hAnsi="黑体" w:eastAsia="仿宋" w:cs="黑体"/>
          <w:sz w:val="24"/>
          <w:szCs w:val="28"/>
        </w:rPr>
      </w:pPr>
    </w:p>
    <w:p w14:paraId="11A516DE">
      <w:pPr>
        <w:spacing w:line="560" w:lineRule="exact"/>
        <w:ind w:firstLine="482"/>
        <w:jc w:val="center"/>
        <w:rPr>
          <w:rFonts w:ascii="仿宋" w:eastAsia="仿宋"/>
          <w:sz w:val="24"/>
          <w:szCs w:val="20"/>
        </w:rPr>
      </w:pPr>
      <w:r>
        <w:rPr>
          <w:rFonts w:ascii="仿宋" w:hAnsi="黑体" w:eastAsia="仿宋" w:cs="黑体"/>
          <w:sz w:val="24"/>
          <w:szCs w:val="28"/>
        </w:rPr>
        <w:t>（项目名称）</w:t>
      </w:r>
    </w:p>
    <w:p w14:paraId="2F3393C8">
      <w:pPr>
        <w:spacing w:line="560" w:lineRule="exact"/>
        <w:ind w:firstLine="482"/>
        <w:jc w:val="center"/>
        <w:rPr>
          <w:rFonts w:ascii="仿宋" w:hAnsi="黑体" w:eastAsia="仿宋" w:cs="黑体"/>
          <w:sz w:val="24"/>
          <w:szCs w:val="44"/>
        </w:rPr>
      </w:pPr>
    </w:p>
    <w:p w14:paraId="439B5CBF">
      <w:pPr>
        <w:spacing w:line="560" w:lineRule="exact"/>
        <w:ind w:firstLine="482"/>
        <w:jc w:val="center"/>
        <w:rPr>
          <w:rFonts w:ascii="仿宋" w:hAnsi="黑体" w:eastAsia="仿宋" w:cs="黑体"/>
          <w:sz w:val="24"/>
          <w:szCs w:val="44"/>
        </w:rPr>
      </w:pPr>
    </w:p>
    <w:p w14:paraId="66741DE7">
      <w:pPr>
        <w:spacing w:line="560" w:lineRule="exact"/>
        <w:ind w:firstLine="482"/>
        <w:jc w:val="center"/>
        <w:rPr>
          <w:rFonts w:ascii="仿宋" w:hAnsi="黑体" w:eastAsia="仿宋" w:cs="黑体"/>
          <w:sz w:val="24"/>
          <w:szCs w:val="44"/>
        </w:rPr>
      </w:pPr>
    </w:p>
    <w:p w14:paraId="18CB4A6C">
      <w:pPr>
        <w:spacing w:line="560" w:lineRule="exact"/>
        <w:ind w:firstLine="482"/>
        <w:jc w:val="center"/>
        <w:rPr>
          <w:rFonts w:ascii="仿宋" w:hAnsi="黑体" w:eastAsia="仿宋" w:cs="黑体"/>
          <w:sz w:val="24"/>
          <w:szCs w:val="44"/>
        </w:rPr>
      </w:pPr>
    </w:p>
    <w:p w14:paraId="3131656B">
      <w:pPr>
        <w:spacing w:line="560" w:lineRule="exact"/>
        <w:ind w:firstLine="482"/>
        <w:jc w:val="center"/>
        <w:rPr>
          <w:rFonts w:ascii="仿宋" w:hAnsi="黑体" w:eastAsia="仿宋" w:cs="黑体"/>
          <w:sz w:val="24"/>
          <w:szCs w:val="44"/>
        </w:rPr>
      </w:pPr>
    </w:p>
    <w:p w14:paraId="4E7CB8C4">
      <w:pPr>
        <w:spacing w:line="560" w:lineRule="exact"/>
        <w:ind w:firstLine="482"/>
        <w:jc w:val="center"/>
        <w:rPr>
          <w:rFonts w:ascii="仿宋" w:hAnsi="黑体" w:eastAsia="仿宋" w:cs="黑体"/>
          <w:sz w:val="24"/>
          <w:szCs w:val="44"/>
        </w:rPr>
      </w:pPr>
    </w:p>
    <w:p w14:paraId="4B2CC759">
      <w:pPr>
        <w:spacing w:line="560" w:lineRule="exact"/>
        <w:ind w:firstLine="482"/>
        <w:jc w:val="center"/>
        <w:rPr>
          <w:rFonts w:ascii="仿宋" w:eastAsia="仿宋"/>
          <w:sz w:val="24"/>
          <w:szCs w:val="20"/>
        </w:rPr>
      </w:pPr>
      <w:r>
        <w:rPr>
          <w:rFonts w:ascii="仿宋" w:hAnsi="黑体" w:eastAsia="仿宋" w:cs="黑体"/>
          <w:sz w:val="24"/>
          <w:szCs w:val="44"/>
        </w:rPr>
        <w:t>投标文件</w:t>
      </w:r>
    </w:p>
    <w:p w14:paraId="0ACE0540">
      <w:pPr>
        <w:spacing w:line="560" w:lineRule="exact"/>
        <w:ind w:firstLine="482"/>
        <w:rPr>
          <w:rFonts w:ascii="仿宋" w:hAnsi="宋体" w:eastAsia="仿宋" w:cs="宋体"/>
          <w:b/>
          <w:bCs/>
          <w:sz w:val="24"/>
          <w:szCs w:val="28"/>
        </w:rPr>
      </w:pPr>
    </w:p>
    <w:p w14:paraId="2AA4E62D">
      <w:pPr>
        <w:spacing w:line="560" w:lineRule="exact"/>
        <w:ind w:firstLine="482"/>
        <w:rPr>
          <w:rFonts w:ascii="仿宋" w:hAnsi="宋体" w:eastAsia="仿宋" w:cs="宋体"/>
          <w:b/>
          <w:bCs/>
          <w:sz w:val="24"/>
          <w:szCs w:val="28"/>
        </w:rPr>
      </w:pPr>
    </w:p>
    <w:p w14:paraId="358176A8">
      <w:pPr>
        <w:spacing w:line="560" w:lineRule="exact"/>
        <w:ind w:firstLine="482"/>
        <w:rPr>
          <w:rFonts w:ascii="仿宋" w:hAnsi="宋体" w:eastAsia="仿宋" w:cs="宋体"/>
          <w:b/>
          <w:bCs/>
          <w:sz w:val="24"/>
          <w:szCs w:val="28"/>
        </w:rPr>
      </w:pPr>
    </w:p>
    <w:p w14:paraId="75303EEB">
      <w:pPr>
        <w:spacing w:line="560" w:lineRule="exact"/>
        <w:ind w:firstLine="482"/>
        <w:rPr>
          <w:rFonts w:ascii="仿宋" w:hAnsi="宋体" w:eastAsia="仿宋" w:cs="宋体"/>
          <w:b/>
          <w:bCs/>
          <w:sz w:val="24"/>
          <w:szCs w:val="28"/>
        </w:rPr>
      </w:pPr>
    </w:p>
    <w:p w14:paraId="2A4BA1F2">
      <w:pPr>
        <w:spacing w:line="560" w:lineRule="exact"/>
        <w:ind w:firstLine="482"/>
        <w:rPr>
          <w:rFonts w:ascii="仿宋" w:eastAsia="仿宋"/>
          <w:sz w:val="24"/>
          <w:szCs w:val="20"/>
        </w:rPr>
      </w:pPr>
      <w:r>
        <w:rPr>
          <w:rFonts w:ascii="仿宋" w:hAnsi="宋体" w:eastAsia="仿宋" w:cs="宋体"/>
          <w:b/>
          <w:bCs/>
          <w:sz w:val="24"/>
          <w:szCs w:val="28"/>
        </w:rPr>
        <w:t>供应商：（盖单位章）</w:t>
      </w:r>
    </w:p>
    <w:p w14:paraId="0E809B59">
      <w:pPr>
        <w:spacing w:line="560" w:lineRule="exact"/>
        <w:ind w:firstLine="482"/>
        <w:rPr>
          <w:rFonts w:ascii="仿宋" w:hAnsi="宋体" w:eastAsia="仿宋" w:cs="宋体"/>
          <w:b/>
          <w:bCs/>
          <w:w w:val="99"/>
          <w:sz w:val="24"/>
          <w:szCs w:val="28"/>
        </w:rPr>
      </w:pPr>
    </w:p>
    <w:p w14:paraId="45371A5C">
      <w:pPr>
        <w:spacing w:line="560" w:lineRule="exact"/>
        <w:ind w:firstLine="482"/>
        <w:rPr>
          <w:rFonts w:ascii="仿宋" w:eastAsia="仿宋"/>
          <w:sz w:val="24"/>
          <w:szCs w:val="20"/>
        </w:rPr>
      </w:pPr>
      <w:r>
        <w:rPr>
          <w:rFonts w:ascii="仿宋" w:hAnsi="宋体" w:eastAsia="仿宋" w:cs="宋体"/>
          <w:b/>
          <w:bCs/>
          <w:w w:val="99"/>
          <w:sz w:val="24"/>
          <w:szCs w:val="28"/>
        </w:rPr>
        <w:t>法定代表人或其委托代理人：（签字或签章）</w:t>
      </w:r>
    </w:p>
    <w:p w14:paraId="109BDB79">
      <w:pPr>
        <w:spacing w:line="560" w:lineRule="exact"/>
        <w:ind w:firstLine="482"/>
        <w:rPr>
          <w:rFonts w:ascii="仿宋" w:hAnsi="宋体" w:eastAsia="仿宋" w:cs="宋体"/>
          <w:b/>
          <w:bCs/>
          <w:sz w:val="24"/>
          <w:szCs w:val="28"/>
        </w:rPr>
      </w:pPr>
    </w:p>
    <w:p w14:paraId="29760370">
      <w:pPr>
        <w:spacing w:line="560" w:lineRule="exact"/>
        <w:ind w:firstLine="482"/>
        <w:rPr>
          <w:rFonts w:ascii="仿宋" w:eastAsia="仿宋"/>
          <w:sz w:val="24"/>
          <w:szCs w:val="20"/>
        </w:rPr>
      </w:pPr>
      <w:r>
        <w:rPr>
          <w:rFonts w:ascii="仿宋" w:hAnsi="宋体" w:eastAsia="仿宋" w:cs="宋体"/>
          <w:b/>
          <w:bCs/>
          <w:sz w:val="24"/>
          <w:szCs w:val="28"/>
        </w:rPr>
        <w:t>年 月 日</w:t>
      </w:r>
    </w:p>
    <w:p w14:paraId="475F85D8">
      <w:pPr>
        <w:spacing w:line="560" w:lineRule="exact"/>
        <w:ind w:firstLine="482"/>
        <w:rPr>
          <w:rFonts w:ascii="仿宋" w:hAnsi="宋体" w:eastAsia="仿宋" w:cs="宋体"/>
          <w:sz w:val="24"/>
          <w:szCs w:val="32"/>
        </w:rPr>
      </w:pPr>
      <w:bookmarkStart w:id="25" w:name="page37"/>
      <w:bookmarkEnd w:id="25"/>
    </w:p>
    <w:p w14:paraId="6DC9965B">
      <w:pPr>
        <w:spacing w:line="560" w:lineRule="exact"/>
        <w:ind w:firstLine="482"/>
        <w:rPr>
          <w:rFonts w:ascii="仿宋" w:hAnsi="宋体" w:eastAsia="仿宋" w:cs="宋体"/>
          <w:sz w:val="24"/>
          <w:szCs w:val="32"/>
        </w:rPr>
      </w:pPr>
    </w:p>
    <w:p w14:paraId="58FCEF8C">
      <w:pPr>
        <w:spacing w:line="560" w:lineRule="exact"/>
        <w:ind w:firstLine="482"/>
        <w:rPr>
          <w:rFonts w:ascii="仿宋" w:hAnsi="宋体" w:eastAsia="仿宋" w:cs="宋体"/>
          <w:sz w:val="24"/>
          <w:szCs w:val="32"/>
        </w:rPr>
      </w:pPr>
    </w:p>
    <w:p w14:paraId="3299161A">
      <w:pPr>
        <w:spacing w:line="560" w:lineRule="exact"/>
        <w:rPr>
          <w:rFonts w:ascii="仿宋" w:hAnsi="宋体" w:eastAsia="仿宋" w:cs="宋体"/>
          <w:sz w:val="24"/>
          <w:szCs w:val="32"/>
        </w:rPr>
      </w:pPr>
    </w:p>
    <w:p w14:paraId="291B22DD">
      <w:pPr>
        <w:spacing w:line="560" w:lineRule="exact"/>
        <w:rPr>
          <w:rFonts w:ascii="仿宋" w:hAnsi="宋体" w:eastAsia="仿宋" w:cs="宋体"/>
          <w:sz w:val="24"/>
          <w:szCs w:val="32"/>
        </w:rPr>
      </w:pPr>
    </w:p>
    <w:p w14:paraId="4A606F46">
      <w:pPr>
        <w:spacing w:line="560" w:lineRule="exact"/>
        <w:ind w:firstLine="482"/>
        <w:jc w:val="center"/>
        <w:rPr>
          <w:rFonts w:ascii="仿宋" w:eastAsia="仿宋"/>
          <w:sz w:val="24"/>
          <w:szCs w:val="20"/>
        </w:rPr>
      </w:pPr>
      <w:r>
        <w:rPr>
          <w:rFonts w:ascii="仿宋" w:hAnsi="宋体" w:eastAsia="仿宋" w:cs="宋体"/>
          <w:sz w:val="24"/>
          <w:szCs w:val="32"/>
        </w:rPr>
        <w:t>目录</w:t>
      </w:r>
    </w:p>
    <w:p w14:paraId="46C34F4E">
      <w:pPr>
        <w:spacing w:line="560" w:lineRule="exact"/>
        <w:ind w:firstLine="482"/>
        <w:rPr>
          <w:rFonts w:ascii="仿宋" w:hAnsi="宋体" w:eastAsia="仿宋" w:cs="宋体"/>
          <w:b/>
          <w:bCs/>
          <w:sz w:val="24"/>
          <w:szCs w:val="32"/>
        </w:rPr>
      </w:pPr>
      <w:r>
        <w:rPr>
          <w:rFonts w:ascii="仿宋" w:hAnsi="宋体" w:eastAsia="仿宋" w:cs="宋体"/>
          <w:sz w:val="24"/>
          <w:szCs w:val="23"/>
        </w:rPr>
        <w:t>（注：供应商根据附件顺序编制投标文件并制作目录（须生成页码））</w:t>
      </w:r>
      <w:bookmarkStart w:id="26" w:name="page38"/>
      <w:bookmarkEnd w:id="26"/>
    </w:p>
    <w:p w14:paraId="02DBE3CC">
      <w:pPr>
        <w:spacing w:line="560" w:lineRule="exact"/>
        <w:ind w:firstLine="482"/>
        <w:rPr>
          <w:rFonts w:ascii="仿宋" w:eastAsia="仿宋"/>
          <w:sz w:val="24"/>
          <w:szCs w:val="20"/>
        </w:rPr>
      </w:pPr>
      <w:r>
        <w:rPr>
          <w:rFonts w:ascii="仿宋" w:hAnsi="宋体" w:eastAsia="仿宋" w:cs="宋体"/>
          <w:b/>
          <w:bCs/>
          <w:sz w:val="24"/>
          <w:szCs w:val="32"/>
        </w:rPr>
        <w:t>评分索引表（可按需调整）</w:t>
      </w:r>
    </w:p>
    <w:tbl>
      <w:tblPr>
        <w:tblStyle w:val="8"/>
        <w:tblW w:w="0" w:type="auto"/>
        <w:tblInd w:w="110" w:type="dxa"/>
        <w:tblLayout w:type="fixed"/>
        <w:tblCellMar>
          <w:top w:w="0" w:type="dxa"/>
          <w:left w:w="0" w:type="dxa"/>
          <w:bottom w:w="0" w:type="dxa"/>
          <w:right w:w="0" w:type="dxa"/>
        </w:tblCellMar>
      </w:tblPr>
      <w:tblGrid>
        <w:gridCol w:w="4560"/>
        <w:gridCol w:w="4300"/>
      </w:tblGrid>
      <w:tr w14:paraId="315F0C68">
        <w:tblPrEx>
          <w:tblCellMar>
            <w:top w:w="0" w:type="dxa"/>
            <w:left w:w="0" w:type="dxa"/>
            <w:bottom w:w="0" w:type="dxa"/>
            <w:right w:w="0" w:type="dxa"/>
          </w:tblCellMar>
        </w:tblPrEx>
        <w:trPr>
          <w:trHeight w:val="395" w:hRule="atLeast"/>
        </w:trPr>
        <w:tc>
          <w:tcPr>
            <w:tcW w:w="4560" w:type="dxa"/>
            <w:tcBorders>
              <w:top w:val="single" w:color="auto" w:sz="8" w:space="0"/>
              <w:left w:val="single" w:color="auto" w:sz="8" w:space="0"/>
              <w:right w:val="single" w:color="auto" w:sz="8" w:space="0"/>
            </w:tcBorders>
            <w:vAlign w:val="bottom"/>
          </w:tcPr>
          <w:p w14:paraId="3D3ECDEF">
            <w:pPr>
              <w:spacing w:line="240" w:lineRule="exact"/>
              <w:ind w:left="2080"/>
              <w:rPr>
                <w:sz w:val="20"/>
                <w:szCs w:val="20"/>
              </w:rPr>
            </w:pPr>
            <w:r>
              <w:rPr>
                <w:rFonts w:ascii="宋体" w:hAnsi="宋体" w:cs="宋体"/>
                <w:b/>
                <w:bCs/>
                <w:sz w:val="21"/>
                <w:szCs w:val="21"/>
              </w:rPr>
              <w:t>评审因素</w:t>
            </w:r>
          </w:p>
        </w:tc>
        <w:tc>
          <w:tcPr>
            <w:tcW w:w="4300" w:type="dxa"/>
            <w:tcBorders>
              <w:top w:val="single" w:color="auto" w:sz="8" w:space="0"/>
              <w:right w:val="single" w:color="auto" w:sz="8" w:space="0"/>
            </w:tcBorders>
            <w:vAlign w:val="bottom"/>
          </w:tcPr>
          <w:p w14:paraId="3BBEE84E">
            <w:pPr>
              <w:spacing w:line="240" w:lineRule="exact"/>
              <w:ind w:left="980"/>
              <w:rPr>
                <w:sz w:val="20"/>
                <w:szCs w:val="20"/>
              </w:rPr>
            </w:pPr>
            <w:r>
              <w:rPr>
                <w:rFonts w:ascii="宋体" w:hAnsi="宋体" w:cs="宋体"/>
                <w:b/>
                <w:bCs/>
                <w:sz w:val="21"/>
                <w:szCs w:val="21"/>
              </w:rPr>
              <w:t>在投标文件中的页码位置</w:t>
            </w:r>
          </w:p>
        </w:tc>
      </w:tr>
      <w:tr w14:paraId="3E36227E">
        <w:tblPrEx>
          <w:tblCellMar>
            <w:top w:w="0" w:type="dxa"/>
            <w:left w:w="0" w:type="dxa"/>
            <w:bottom w:w="0" w:type="dxa"/>
            <w:right w:w="0" w:type="dxa"/>
          </w:tblCellMar>
        </w:tblPrEx>
        <w:trPr>
          <w:trHeight w:val="174" w:hRule="atLeast"/>
        </w:trPr>
        <w:tc>
          <w:tcPr>
            <w:tcW w:w="4560" w:type="dxa"/>
            <w:tcBorders>
              <w:left w:val="single" w:color="auto" w:sz="8" w:space="0"/>
              <w:bottom w:val="single" w:color="auto" w:sz="8" w:space="0"/>
              <w:right w:val="single" w:color="auto" w:sz="8" w:space="0"/>
            </w:tcBorders>
            <w:vAlign w:val="bottom"/>
          </w:tcPr>
          <w:p w14:paraId="306E68EF">
            <w:pPr>
              <w:rPr>
                <w:sz w:val="15"/>
                <w:szCs w:val="15"/>
              </w:rPr>
            </w:pPr>
          </w:p>
        </w:tc>
        <w:tc>
          <w:tcPr>
            <w:tcW w:w="4300" w:type="dxa"/>
            <w:tcBorders>
              <w:bottom w:val="single" w:color="auto" w:sz="8" w:space="0"/>
              <w:right w:val="single" w:color="auto" w:sz="8" w:space="0"/>
            </w:tcBorders>
            <w:vAlign w:val="bottom"/>
          </w:tcPr>
          <w:p w14:paraId="38413B99">
            <w:pPr>
              <w:rPr>
                <w:sz w:val="15"/>
                <w:szCs w:val="15"/>
              </w:rPr>
            </w:pPr>
          </w:p>
        </w:tc>
      </w:tr>
      <w:tr w14:paraId="7D94B550">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2490A162">
            <w:pPr>
              <w:rPr>
                <w:sz w:val="24"/>
                <w:szCs w:val="24"/>
              </w:rPr>
            </w:pPr>
          </w:p>
        </w:tc>
        <w:tc>
          <w:tcPr>
            <w:tcW w:w="4300" w:type="dxa"/>
            <w:tcBorders>
              <w:bottom w:val="single" w:color="auto" w:sz="8" w:space="0"/>
              <w:right w:val="single" w:color="auto" w:sz="8" w:space="0"/>
            </w:tcBorders>
            <w:vAlign w:val="bottom"/>
          </w:tcPr>
          <w:p w14:paraId="0E88DA06">
            <w:pPr>
              <w:rPr>
                <w:sz w:val="24"/>
                <w:szCs w:val="24"/>
              </w:rPr>
            </w:pPr>
          </w:p>
        </w:tc>
      </w:tr>
      <w:tr w14:paraId="12671BD0">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5FE2D5EE">
            <w:pPr>
              <w:rPr>
                <w:sz w:val="24"/>
                <w:szCs w:val="24"/>
              </w:rPr>
            </w:pPr>
          </w:p>
        </w:tc>
        <w:tc>
          <w:tcPr>
            <w:tcW w:w="4300" w:type="dxa"/>
            <w:tcBorders>
              <w:bottom w:val="single" w:color="auto" w:sz="8" w:space="0"/>
              <w:right w:val="single" w:color="auto" w:sz="8" w:space="0"/>
            </w:tcBorders>
            <w:vAlign w:val="bottom"/>
          </w:tcPr>
          <w:p w14:paraId="2E418BB8">
            <w:pPr>
              <w:rPr>
                <w:sz w:val="24"/>
                <w:szCs w:val="24"/>
              </w:rPr>
            </w:pPr>
          </w:p>
        </w:tc>
      </w:tr>
      <w:tr w14:paraId="024FA32A">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7C49B0C8">
            <w:pPr>
              <w:rPr>
                <w:sz w:val="24"/>
                <w:szCs w:val="24"/>
              </w:rPr>
            </w:pPr>
          </w:p>
        </w:tc>
        <w:tc>
          <w:tcPr>
            <w:tcW w:w="4300" w:type="dxa"/>
            <w:tcBorders>
              <w:bottom w:val="single" w:color="auto" w:sz="8" w:space="0"/>
              <w:right w:val="single" w:color="auto" w:sz="8" w:space="0"/>
            </w:tcBorders>
            <w:vAlign w:val="bottom"/>
          </w:tcPr>
          <w:p w14:paraId="5DFE544D">
            <w:pPr>
              <w:rPr>
                <w:sz w:val="24"/>
                <w:szCs w:val="24"/>
              </w:rPr>
            </w:pPr>
          </w:p>
        </w:tc>
      </w:tr>
      <w:tr w14:paraId="3F98B6AD">
        <w:tblPrEx>
          <w:tblCellMar>
            <w:top w:w="0" w:type="dxa"/>
            <w:left w:w="0" w:type="dxa"/>
            <w:bottom w:w="0" w:type="dxa"/>
            <w:right w:w="0" w:type="dxa"/>
          </w:tblCellMar>
        </w:tblPrEx>
        <w:trPr>
          <w:trHeight w:val="549" w:hRule="atLeast"/>
        </w:trPr>
        <w:tc>
          <w:tcPr>
            <w:tcW w:w="4560" w:type="dxa"/>
            <w:tcBorders>
              <w:left w:val="single" w:color="auto" w:sz="8" w:space="0"/>
              <w:bottom w:val="single" w:color="auto" w:sz="8" w:space="0"/>
              <w:right w:val="single" w:color="auto" w:sz="8" w:space="0"/>
            </w:tcBorders>
            <w:vAlign w:val="bottom"/>
          </w:tcPr>
          <w:p w14:paraId="132AA346">
            <w:pPr>
              <w:rPr>
                <w:sz w:val="24"/>
                <w:szCs w:val="24"/>
              </w:rPr>
            </w:pPr>
          </w:p>
        </w:tc>
        <w:tc>
          <w:tcPr>
            <w:tcW w:w="4300" w:type="dxa"/>
            <w:tcBorders>
              <w:bottom w:val="single" w:color="auto" w:sz="8" w:space="0"/>
              <w:right w:val="single" w:color="auto" w:sz="8" w:space="0"/>
            </w:tcBorders>
            <w:vAlign w:val="bottom"/>
          </w:tcPr>
          <w:p w14:paraId="0D315DF8">
            <w:pPr>
              <w:rPr>
                <w:sz w:val="24"/>
                <w:szCs w:val="24"/>
              </w:rPr>
            </w:pPr>
          </w:p>
        </w:tc>
      </w:tr>
      <w:tr w14:paraId="3B7FBD6D">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550B934E">
            <w:pPr>
              <w:rPr>
                <w:sz w:val="24"/>
                <w:szCs w:val="24"/>
              </w:rPr>
            </w:pPr>
          </w:p>
        </w:tc>
        <w:tc>
          <w:tcPr>
            <w:tcW w:w="4300" w:type="dxa"/>
            <w:tcBorders>
              <w:bottom w:val="single" w:color="auto" w:sz="8" w:space="0"/>
              <w:right w:val="single" w:color="auto" w:sz="8" w:space="0"/>
            </w:tcBorders>
            <w:vAlign w:val="bottom"/>
          </w:tcPr>
          <w:p w14:paraId="4FD2C047">
            <w:pPr>
              <w:rPr>
                <w:sz w:val="24"/>
                <w:szCs w:val="24"/>
              </w:rPr>
            </w:pPr>
          </w:p>
        </w:tc>
      </w:tr>
      <w:tr w14:paraId="1542602C">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664A6720">
            <w:pPr>
              <w:rPr>
                <w:sz w:val="24"/>
                <w:szCs w:val="24"/>
              </w:rPr>
            </w:pPr>
          </w:p>
        </w:tc>
        <w:tc>
          <w:tcPr>
            <w:tcW w:w="4300" w:type="dxa"/>
            <w:tcBorders>
              <w:bottom w:val="single" w:color="auto" w:sz="8" w:space="0"/>
              <w:right w:val="single" w:color="auto" w:sz="8" w:space="0"/>
            </w:tcBorders>
            <w:vAlign w:val="bottom"/>
          </w:tcPr>
          <w:p w14:paraId="3D4933C4">
            <w:pPr>
              <w:rPr>
                <w:sz w:val="24"/>
                <w:szCs w:val="24"/>
              </w:rPr>
            </w:pPr>
          </w:p>
        </w:tc>
      </w:tr>
      <w:tr w14:paraId="55AF5053">
        <w:tblPrEx>
          <w:tblCellMar>
            <w:top w:w="0" w:type="dxa"/>
            <w:left w:w="0" w:type="dxa"/>
            <w:bottom w:w="0" w:type="dxa"/>
            <w:right w:w="0" w:type="dxa"/>
          </w:tblCellMar>
        </w:tblPrEx>
        <w:trPr>
          <w:trHeight w:val="590" w:hRule="atLeast"/>
        </w:trPr>
        <w:tc>
          <w:tcPr>
            <w:tcW w:w="4560" w:type="dxa"/>
            <w:tcBorders>
              <w:left w:val="single" w:color="auto" w:sz="8" w:space="0"/>
              <w:bottom w:val="single" w:color="auto" w:sz="8" w:space="0"/>
              <w:right w:val="single" w:color="auto" w:sz="8" w:space="0"/>
            </w:tcBorders>
            <w:vAlign w:val="bottom"/>
          </w:tcPr>
          <w:p w14:paraId="509723F0">
            <w:pPr>
              <w:rPr>
                <w:sz w:val="24"/>
                <w:szCs w:val="24"/>
              </w:rPr>
            </w:pPr>
          </w:p>
        </w:tc>
        <w:tc>
          <w:tcPr>
            <w:tcW w:w="4300" w:type="dxa"/>
            <w:tcBorders>
              <w:bottom w:val="single" w:color="auto" w:sz="8" w:space="0"/>
              <w:right w:val="single" w:color="auto" w:sz="8" w:space="0"/>
            </w:tcBorders>
            <w:vAlign w:val="bottom"/>
          </w:tcPr>
          <w:p w14:paraId="5FEF3153">
            <w:pPr>
              <w:rPr>
                <w:sz w:val="24"/>
                <w:szCs w:val="24"/>
              </w:rPr>
            </w:pPr>
          </w:p>
        </w:tc>
      </w:tr>
      <w:tr w14:paraId="2AD5F642">
        <w:tblPrEx>
          <w:tblCellMar>
            <w:top w:w="0" w:type="dxa"/>
            <w:left w:w="0" w:type="dxa"/>
            <w:bottom w:w="0" w:type="dxa"/>
            <w:right w:w="0" w:type="dxa"/>
          </w:tblCellMar>
        </w:tblPrEx>
        <w:trPr>
          <w:trHeight w:val="549" w:hRule="atLeast"/>
        </w:trPr>
        <w:tc>
          <w:tcPr>
            <w:tcW w:w="4560" w:type="dxa"/>
            <w:tcBorders>
              <w:left w:val="single" w:color="auto" w:sz="8" w:space="0"/>
              <w:bottom w:val="single" w:color="auto" w:sz="8" w:space="0"/>
              <w:right w:val="single" w:color="auto" w:sz="8" w:space="0"/>
            </w:tcBorders>
            <w:vAlign w:val="bottom"/>
          </w:tcPr>
          <w:p w14:paraId="1D60D43D">
            <w:pPr>
              <w:rPr>
                <w:sz w:val="24"/>
                <w:szCs w:val="24"/>
              </w:rPr>
            </w:pPr>
          </w:p>
        </w:tc>
        <w:tc>
          <w:tcPr>
            <w:tcW w:w="4300" w:type="dxa"/>
            <w:tcBorders>
              <w:bottom w:val="single" w:color="auto" w:sz="8" w:space="0"/>
              <w:right w:val="single" w:color="auto" w:sz="8" w:space="0"/>
            </w:tcBorders>
            <w:vAlign w:val="bottom"/>
          </w:tcPr>
          <w:p w14:paraId="7FDDC0CC">
            <w:pPr>
              <w:rPr>
                <w:sz w:val="24"/>
                <w:szCs w:val="24"/>
              </w:rPr>
            </w:pPr>
          </w:p>
        </w:tc>
      </w:tr>
      <w:tr w14:paraId="71066871">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7117591F">
            <w:pPr>
              <w:rPr>
                <w:sz w:val="24"/>
                <w:szCs w:val="24"/>
              </w:rPr>
            </w:pPr>
          </w:p>
        </w:tc>
        <w:tc>
          <w:tcPr>
            <w:tcW w:w="4300" w:type="dxa"/>
            <w:tcBorders>
              <w:bottom w:val="single" w:color="auto" w:sz="8" w:space="0"/>
              <w:right w:val="single" w:color="auto" w:sz="8" w:space="0"/>
            </w:tcBorders>
            <w:vAlign w:val="bottom"/>
          </w:tcPr>
          <w:p w14:paraId="66AA9821">
            <w:pPr>
              <w:rPr>
                <w:sz w:val="24"/>
                <w:szCs w:val="24"/>
              </w:rPr>
            </w:pPr>
          </w:p>
        </w:tc>
      </w:tr>
      <w:tr w14:paraId="587D36E5">
        <w:tblPrEx>
          <w:tblCellMar>
            <w:top w:w="0" w:type="dxa"/>
            <w:left w:w="0" w:type="dxa"/>
            <w:bottom w:w="0" w:type="dxa"/>
            <w:right w:w="0" w:type="dxa"/>
          </w:tblCellMar>
        </w:tblPrEx>
        <w:trPr>
          <w:trHeight w:val="547" w:hRule="atLeast"/>
        </w:trPr>
        <w:tc>
          <w:tcPr>
            <w:tcW w:w="4560" w:type="dxa"/>
            <w:tcBorders>
              <w:left w:val="single" w:color="auto" w:sz="8" w:space="0"/>
              <w:bottom w:val="single" w:color="auto" w:sz="8" w:space="0"/>
              <w:right w:val="single" w:color="auto" w:sz="8" w:space="0"/>
            </w:tcBorders>
            <w:vAlign w:val="bottom"/>
          </w:tcPr>
          <w:p w14:paraId="50E28485">
            <w:pPr>
              <w:rPr>
                <w:sz w:val="24"/>
                <w:szCs w:val="24"/>
              </w:rPr>
            </w:pPr>
          </w:p>
        </w:tc>
        <w:tc>
          <w:tcPr>
            <w:tcW w:w="4300" w:type="dxa"/>
            <w:tcBorders>
              <w:bottom w:val="single" w:color="auto" w:sz="8" w:space="0"/>
              <w:right w:val="single" w:color="auto" w:sz="8" w:space="0"/>
            </w:tcBorders>
            <w:vAlign w:val="bottom"/>
          </w:tcPr>
          <w:p w14:paraId="594DD3BE">
            <w:pPr>
              <w:rPr>
                <w:sz w:val="24"/>
                <w:szCs w:val="24"/>
              </w:rPr>
            </w:pPr>
          </w:p>
        </w:tc>
      </w:tr>
      <w:tr w14:paraId="0D931686">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58B5DF09">
            <w:pPr>
              <w:rPr>
                <w:sz w:val="24"/>
                <w:szCs w:val="24"/>
              </w:rPr>
            </w:pPr>
          </w:p>
        </w:tc>
        <w:tc>
          <w:tcPr>
            <w:tcW w:w="4300" w:type="dxa"/>
            <w:tcBorders>
              <w:bottom w:val="single" w:color="auto" w:sz="8" w:space="0"/>
              <w:right w:val="single" w:color="auto" w:sz="8" w:space="0"/>
            </w:tcBorders>
            <w:vAlign w:val="bottom"/>
          </w:tcPr>
          <w:p w14:paraId="68AFC9BC">
            <w:pPr>
              <w:rPr>
                <w:sz w:val="24"/>
                <w:szCs w:val="24"/>
              </w:rPr>
            </w:pPr>
          </w:p>
        </w:tc>
      </w:tr>
      <w:tr w14:paraId="0EF45E7C">
        <w:tblPrEx>
          <w:tblCellMar>
            <w:top w:w="0" w:type="dxa"/>
            <w:left w:w="0" w:type="dxa"/>
            <w:bottom w:w="0" w:type="dxa"/>
            <w:right w:w="0" w:type="dxa"/>
          </w:tblCellMar>
        </w:tblPrEx>
        <w:trPr>
          <w:trHeight w:val="549" w:hRule="atLeast"/>
        </w:trPr>
        <w:tc>
          <w:tcPr>
            <w:tcW w:w="4560" w:type="dxa"/>
            <w:tcBorders>
              <w:left w:val="single" w:color="auto" w:sz="8" w:space="0"/>
              <w:bottom w:val="single" w:color="auto" w:sz="8" w:space="0"/>
              <w:right w:val="single" w:color="auto" w:sz="8" w:space="0"/>
            </w:tcBorders>
            <w:vAlign w:val="bottom"/>
          </w:tcPr>
          <w:p w14:paraId="726744E6">
            <w:pPr>
              <w:rPr>
                <w:sz w:val="24"/>
                <w:szCs w:val="24"/>
              </w:rPr>
            </w:pPr>
          </w:p>
        </w:tc>
        <w:tc>
          <w:tcPr>
            <w:tcW w:w="4300" w:type="dxa"/>
            <w:tcBorders>
              <w:bottom w:val="single" w:color="auto" w:sz="8" w:space="0"/>
              <w:right w:val="single" w:color="auto" w:sz="8" w:space="0"/>
            </w:tcBorders>
            <w:vAlign w:val="bottom"/>
          </w:tcPr>
          <w:p w14:paraId="39D75BC8">
            <w:pPr>
              <w:rPr>
                <w:sz w:val="24"/>
                <w:szCs w:val="24"/>
              </w:rPr>
            </w:pPr>
          </w:p>
        </w:tc>
      </w:tr>
      <w:tr w14:paraId="4E7C0B37">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690381B9">
            <w:pPr>
              <w:rPr>
                <w:sz w:val="24"/>
                <w:szCs w:val="24"/>
              </w:rPr>
            </w:pPr>
          </w:p>
        </w:tc>
        <w:tc>
          <w:tcPr>
            <w:tcW w:w="4300" w:type="dxa"/>
            <w:tcBorders>
              <w:bottom w:val="single" w:color="auto" w:sz="8" w:space="0"/>
              <w:right w:val="single" w:color="auto" w:sz="8" w:space="0"/>
            </w:tcBorders>
            <w:vAlign w:val="bottom"/>
          </w:tcPr>
          <w:p w14:paraId="02161A4F">
            <w:pPr>
              <w:rPr>
                <w:sz w:val="24"/>
                <w:szCs w:val="24"/>
              </w:rPr>
            </w:pPr>
          </w:p>
        </w:tc>
      </w:tr>
      <w:tr w14:paraId="38D57C25">
        <w:tblPrEx>
          <w:tblCellMar>
            <w:top w:w="0" w:type="dxa"/>
            <w:left w:w="0" w:type="dxa"/>
            <w:bottom w:w="0" w:type="dxa"/>
            <w:right w:w="0" w:type="dxa"/>
          </w:tblCellMar>
        </w:tblPrEx>
        <w:trPr>
          <w:trHeight w:val="546" w:hRule="atLeast"/>
        </w:trPr>
        <w:tc>
          <w:tcPr>
            <w:tcW w:w="4560" w:type="dxa"/>
            <w:tcBorders>
              <w:left w:val="single" w:color="auto" w:sz="8" w:space="0"/>
              <w:bottom w:val="single" w:color="auto" w:sz="8" w:space="0"/>
              <w:right w:val="single" w:color="auto" w:sz="8" w:space="0"/>
            </w:tcBorders>
            <w:vAlign w:val="bottom"/>
          </w:tcPr>
          <w:p w14:paraId="53166980">
            <w:pPr>
              <w:rPr>
                <w:sz w:val="24"/>
                <w:szCs w:val="24"/>
              </w:rPr>
            </w:pPr>
          </w:p>
        </w:tc>
        <w:tc>
          <w:tcPr>
            <w:tcW w:w="4300" w:type="dxa"/>
            <w:tcBorders>
              <w:bottom w:val="single" w:color="auto" w:sz="8" w:space="0"/>
              <w:right w:val="single" w:color="auto" w:sz="8" w:space="0"/>
            </w:tcBorders>
            <w:vAlign w:val="bottom"/>
          </w:tcPr>
          <w:p w14:paraId="2A57CB38">
            <w:pPr>
              <w:rPr>
                <w:sz w:val="24"/>
                <w:szCs w:val="24"/>
              </w:rPr>
            </w:pPr>
          </w:p>
        </w:tc>
      </w:tr>
    </w:tbl>
    <w:p w14:paraId="6F7E826C">
      <w:pPr>
        <w:spacing w:line="560" w:lineRule="exact"/>
        <w:ind w:firstLine="482"/>
        <w:rPr>
          <w:rFonts w:ascii="仿宋" w:eastAsia="仿宋"/>
          <w:sz w:val="24"/>
        </w:rPr>
        <w:sectPr>
          <w:footerReference r:id="rId3" w:type="default"/>
          <w:pgSz w:w="11900" w:h="16838"/>
          <w:pgMar w:top="1440" w:right="1440" w:bottom="381" w:left="1440" w:header="113" w:footer="170" w:gutter="0"/>
          <w:pgNumType w:fmt="decimal" w:start="1"/>
          <w:cols w:space="720" w:num="1"/>
        </w:sectPr>
      </w:pPr>
    </w:p>
    <w:p w14:paraId="3C6CDB90">
      <w:pPr>
        <w:spacing w:line="560" w:lineRule="exact"/>
        <w:ind w:firstLine="482"/>
        <w:rPr>
          <w:rFonts w:ascii="仿宋" w:eastAsia="仿宋"/>
          <w:sz w:val="24"/>
          <w:szCs w:val="20"/>
        </w:rPr>
      </w:pPr>
      <w:bookmarkStart w:id="27" w:name="page39"/>
      <w:bookmarkEnd w:id="27"/>
      <w:r>
        <w:rPr>
          <w:rFonts w:ascii="仿宋" w:hAnsi="宋体" w:eastAsia="仿宋" w:cs="宋体"/>
          <w:b/>
          <w:bCs/>
          <w:sz w:val="24"/>
          <w:szCs w:val="32"/>
        </w:rPr>
        <w:t>附件一、投标申请及声明格式</w:t>
      </w:r>
    </w:p>
    <w:p w14:paraId="4B81B196">
      <w:pPr>
        <w:spacing w:line="560" w:lineRule="exact"/>
        <w:ind w:firstLine="482"/>
        <w:rPr>
          <w:rFonts w:ascii="仿宋" w:eastAsia="仿宋"/>
          <w:sz w:val="24"/>
          <w:szCs w:val="20"/>
        </w:rPr>
      </w:pPr>
      <w:r>
        <w:rPr>
          <w:rFonts w:ascii="仿宋" w:hAnsi="宋体" w:eastAsia="仿宋" w:cs="宋体"/>
          <w:b/>
          <w:bCs/>
          <w:sz w:val="24"/>
          <w:szCs w:val="32"/>
        </w:rPr>
        <w:t>投标申请及声明</w:t>
      </w:r>
    </w:p>
    <w:p w14:paraId="2C66221C">
      <w:pPr>
        <w:spacing w:line="560" w:lineRule="exact"/>
        <w:ind w:firstLine="482"/>
        <w:rPr>
          <w:rFonts w:hint="eastAsia" w:ascii="仿宋" w:hAnsi="宋体" w:eastAsia="仿宋" w:cs="宋体"/>
          <w:sz w:val="24"/>
          <w:szCs w:val="21"/>
          <w:lang w:eastAsia="zh-CN"/>
        </w:rPr>
      </w:pPr>
      <w:r>
        <w:rPr>
          <w:rFonts w:ascii="仿宋" w:hAnsi="宋体" w:eastAsia="仿宋" w:cs="宋体"/>
          <w:sz w:val="24"/>
          <w:szCs w:val="21"/>
        </w:rPr>
        <w:t>致：</w:t>
      </w:r>
      <w:r>
        <w:rPr>
          <w:rFonts w:hint="eastAsia" w:ascii="仿宋" w:hAnsi="宋体" w:eastAsia="仿宋" w:cs="宋体"/>
          <w:sz w:val="24"/>
          <w:szCs w:val="21"/>
          <w:lang w:eastAsia="zh-CN"/>
        </w:rPr>
        <w:t>南京市玄武生态环境局</w:t>
      </w:r>
      <w:r>
        <w:rPr>
          <w:rFonts w:hint="eastAsia" w:ascii="仿宋" w:hAnsi="宋体" w:eastAsia="仿宋" w:cs="宋体"/>
          <w:sz w:val="24"/>
          <w:szCs w:val="21"/>
        </w:rPr>
        <w:t>、</w:t>
      </w:r>
      <w:r>
        <w:rPr>
          <w:rFonts w:hint="eastAsia" w:ascii="仿宋" w:hAnsi="宋体" w:eastAsia="仿宋" w:cs="宋体"/>
          <w:sz w:val="24"/>
          <w:szCs w:val="21"/>
          <w:lang w:eastAsia="zh-CN"/>
        </w:rPr>
        <w:t>江苏省苏辰建设投资顾问有限公司</w:t>
      </w:r>
    </w:p>
    <w:p w14:paraId="44E2AC8E">
      <w:pPr>
        <w:spacing w:line="560" w:lineRule="exact"/>
        <w:ind w:firstLine="482"/>
        <w:rPr>
          <w:rFonts w:ascii="仿宋" w:hAnsi="宋体" w:eastAsia="仿宋" w:cs="宋体"/>
          <w:sz w:val="24"/>
          <w:szCs w:val="21"/>
        </w:rPr>
      </w:pPr>
      <w:r>
        <w:rPr>
          <w:rFonts w:hint="eastAsia" w:ascii="仿宋" w:hAnsi="宋体" w:eastAsia="仿宋" w:cs="宋体"/>
          <w:sz w:val="24"/>
          <w:szCs w:val="21"/>
        </w:rPr>
        <w:t>根据贵方</w:t>
      </w:r>
      <w:r>
        <w:rPr>
          <w:rFonts w:hint="eastAsia" w:ascii="仿宋" w:hAnsi="宋体" w:eastAsia="仿宋" w:cs="宋体"/>
          <w:sz w:val="24"/>
          <w:szCs w:val="21"/>
          <w:u w:val="single"/>
        </w:rPr>
        <w:tab/>
      </w:r>
      <w:r>
        <w:rPr>
          <w:rFonts w:hint="eastAsia" w:ascii="仿宋" w:hAnsi="宋体" w:eastAsia="仿宋" w:cs="宋体"/>
          <w:sz w:val="24"/>
          <w:szCs w:val="21"/>
          <w:u w:val="single"/>
        </w:rPr>
        <w:t xml:space="preserve">     （项目名称）</w:t>
      </w:r>
      <w:r>
        <w:rPr>
          <w:rFonts w:hint="eastAsia" w:ascii="仿宋" w:hAnsi="宋体" w:eastAsia="仿宋" w:cs="宋体"/>
          <w:sz w:val="24"/>
          <w:szCs w:val="21"/>
          <w:u w:val="single"/>
        </w:rPr>
        <w:tab/>
      </w:r>
      <w:r>
        <w:rPr>
          <w:rFonts w:hint="eastAsia" w:ascii="仿宋" w:hAnsi="宋体" w:eastAsia="仿宋" w:cs="宋体"/>
          <w:sz w:val="24"/>
          <w:szCs w:val="21"/>
          <w:u w:val="single"/>
        </w:rPr>
        <w:t xml:space="preserve">          （项目编号）</w:t>
      </w:r>
      <w:r>
        <w:rPr>
          <w:rFonts w:hint="eastAsia" w:ascii="仿宋" w:hAnsi="宋体" w:eastAsia="仿宋" w:cs="宋体"/>
          <w:sz w:val="24"/>
          <w:szCs w:val="21"/>
        </w:rPr>
        <w:t>投标邀请，正式授权下述签字人</w:t>
      </w:r>
      <w:r>
        <w:rPr>
          <w:rFonts w:hint="eastAsia" w:ascii="仿宋" w:hAnsi="宋体" w:eastAsia="仿宋" w:cs="宋体"/>
          <w:sz w:val="24"/>
          <w:szCs w:val="21"/>
          <w:u w:val="single"/>
        </w:rPr>
        <w:tab/>
      </w:r>
      <w:r>
        <w:rPr>
          <w:rFonts w:hint="eastAsia" w:ascii="仿宋" w:hAnsi="宋体" w:eastAsia="仿宋" w:cs="宋体"/>
          <w:sz w:val="24"/>
          <w:szCs w:val="21"/>
          <w:u w:val="single"/>
        </w:rPr>
        <w:t xml:space="preserve">             （姓名和职务）</w:t>
      </w:r>
      <w:r>
        <w:rPr>
          <w:rFonts w:hint="eastAsia" w:ascii="仿宋" w:hAnsi="宋体" w:eastAsia="仿宋" w:cs="宋体"/>
          <w:sz w:val="24"/>
          <w:szCs w:val="21"/>
        </w:rPr>
        <w:t>代表供应商</w:t>
      </w:r>
      <w:r>
        <w:rPr>
          <w:rFonts w:hint="eastAsia" w:ascii="仿宋" w:hAnsi="宋体" w:eastAsia="仿宋" w:cs="宋体"/>
          <w:sz w:val="24"/>
          <w:szCs w:val="21"/>
          <w:u w:val="single"/>
        </w:rPr>
        <w:t xml:space="preserve">          （供应商名称）</w:t>
      </w:r>
      <w:r>
        <w:rPr>
          <w:rFonts w:hint="eastAsia" w:ascii="仿宋" w:hAnsi="宋体" w:eastAsia="仿宋" w:cs="宋体"/>
          <w:sz w:val="24"/>
          <w:szCs w:val="21"/>
        </w:rPr>
        <w:t>，</w:t>
      </w:r>
      <w:r>
        <w:rPr>
          <w:rFonts w:ascii="仿宋" w:hAnsi="宋体" w:eastAsia="仿宋" w:cs="宋体"/>
          <w:sz w:val="24"/>
          <w:szCs w:val="21"/>
        </w:rPr>
        <w:t>提交投标文件。</w:t>
      </w:r>
    </w:p>
    <w:p w14:paraId="7140F462">
      <w:pPr>
        <w:spacing w:line="560" w:lineRule="exact"/>
        <w:ind w:firstLine="482"/>
        <w:rPr>
          <w:rFonts w:ascii="仿宋" w:eastAsia="仿宋"/>
          <w:sz w:val="24"/>
          <w:szCs w:val="20"/>
        </w:rPr>
      </w:pPr>
      <w:r>
        <w:rPr>
          <w:rFonts w:ascii="仿宋" w:hAnsi="宋体" w:eastAsia="仿宋" w:cs="宋体"/>
          <w:sz w:val="24"/>
          <w:szCs w:val="21"/>
        </w:rPr>
        <w:t>据此函，签字人兹宣布声明和承诺如下：</w:t>
      </w:r>
    </w:p>
    <w:p w14:paraId="7055F027">
      <w:pPr>
        <w:spacing w:line="560" w:lineRule="exact"/>
        <w:ind w:firstLine="482"/>
        <w:rPr>
          <w:rFonts w:ascii="仿宋" w:eastAsia="仿宋"/>
          <w:sz w:val="24"/>
          <w:szCs w:val="20"/>
        </w:rPr>
      </w:pPr>
      <w:r>
        <w:rPr>
          <w:rFonts w:ascii="仿宋" w:hAnsi="宋体" w:eastAsia="仿宋" w:cs="宋体"/>
          <w:sz w:val="24"/>
          <w:szCs w:val="21"/>
        </w:rPr>
        <w:t>1、</w:t>
      </w:r>
      <w:r>
        <w:rPr>
          <w:rFonts w:ascii="仿宋" w:hAnsi="宋体" w:eastAsia="仿宋" w:cs="宋体"/>
          <w:b/>
          <w:bCs/>
          <w:sz w:val="24"/>
          <w:szCs w:val="21"/>
        </w:rPr>
        <w:t>我们的资格条件完全符合政府采购法和本次采购要求</w:t>
      </w:r>
      <w:r>
        <w:rPr>
          <w:rFonts w:ascii="仿宋" w:hAnsi="宋体" w:eastAsia="仿宋" w:cs="宋体"/>
          <w:sz w:val="24"/>
          <w:szCs w:val="21"/>
        </w:rPr>
        <w:t>，我们同意并向贵方提供了与投标有关的所有证据和资料。</w:t>
      </w:r>
    </w:p>
    <w:p w14:paraId="5981B0D4">
      <w:pPr>
        <w:tabs>
          <w:tab w:val="left" w:pos="4500"/>
        </w:tabs>
        <w:spacing w:line="560" w:lineRule="exact"/>
        <w:ind w:firstLine="482"/>
        <w:rPr>
          <w:rFonts w:ascii="仿宋" w:hAnsi="宋体" w:eastAsia="仿宋" w:cs="宋体"/>
          <w:w w:val="99"/>
          <w:sz w:val="24"/>
          <w:szCs w:val="21"/>
        </w:rPr>
      </w:pPr>
      <w:r>
        <w:rPr>
          <w:rFonts w:ascii="仿宋" w:hAnsi="宋体" w:eastAsia="仿宋" w:cs="宋体"/>
          <w:sz w:val="24"/>
          <w:szCs w:val="21"/>
        </w:rPr>
        <w:t>2、按采购要求，我们的投标报价为</w:t>
      </w:r>
      <w:r>
        <w:rPr>
          <w:rFonts w:ascii="仿宋" w:eastAsia="仿宋"/>
          <w:sz w:val="24"/>
          <w:szCs w:val="20"/>
          <w:u w:val="single"/>
        </w:rPr>
        <w:tab/>
      </w:r>
      <w:r>
        <w:rPr>
          <w:rFonts w:hint="eastAsia" w:ascii="仿宋" w:eastAsia="仿宋"/>
          <w:sz w:val="24"/>
          <w:szCs w:val="20"/>
          <w:u w:val="single"/>
          <w:lang w:val="en-US" w:eastAsia="zh-CN"/>
        </w:rPr>
        <w:t xml:space="preserve">   </w:t>
      </w:r>
      <w:r>
        <w:rPr>
          <w:rFonts w:hint="eastAsia" w:ascii="仿宋" w:eastAsia="仿宋"/>
          <w:sz w:val="24"/>
          <w:szCs w:val="20"/>
          <w:u w:val="single"/>
        </w:rPr>
        <w:t xml:space="preserve">  </w:t>
      </w:r>
      <w:r>
        <w:rPr>
          <w:rFonts w:ascii="仿宋" w:hAnsi="宋体" w:eastAsia="仿宋" w:cs="宋体"/>
          <w:w w:val="99"/>
          <w:sz w:val="24"/>
          <w:szCs w:val="21"/>
          <w:u w:val="single"/>
        </w:rPr>
        <w:t>万元</w:t>
      </w:r>
      <w:r>
        <w:rPr>
          <w:rFonts w:ascii="仿宋" w:hAnsi="宋体" w:eastAsia="仿宋" w:cs="宋体"/>
          <w:w w:val="99"/>
          <w:sz w:val="24"/>
          <w:szCs w:val="21"/>
        </w:rPr>
        <w:t>。</w:t>
      </w:r>
    </w:p>
    <w:p w14:paraId="6AA62881">
      <w:pPr>
        <w:spacing w:line="20" w:lineRule="exact"/>
        <w:rPr>
          <w:rFonts w:ascii="仿宋" w:eastAsia="仿宋"/>
          <w:sz w:val="24"/>
          <w:szCs w:val="20"/>
        </w:rPr>
      </w:pPr>
    </w:p>
    <w:p w14:paraId="012235BF">
      <w:pPr>
        <w:numPr>
          <w:ilvl w:val="0"/>
          <w:numId w:val="19"/>
        </w:numPr>
        <w:tabs>
          <w:tab w:val="left" w:pos="2820"/>
          <w:tab w:val="left" w:pos="5120"/>
        </w:tabs>
        <w:spacing w:line="560" w:lineRule="exact"/>
        <w:ind w:firstLine="482"/>
        <w:rPr>
          <w:rFonts w:ascii="仿宋" w:hAnsi="宋体" w:eastAsia="仿宋" w:cs="宋体"/>
          <w:w w:val="99"/>
          <w:sz w:val="24"/>
          <w:szCs w:val="21"/>
        </w:rPr>
      </w:pPr>
      <w:r>
        <w:rPr>
          <w:rFonts w:ascii="仿宋" w:hAnsi="宋体" w:eastAsia="仿宋" w:cs="宋体"/>
          <w:sz w:val="24"/>
          <w:szCs w:val="21"/>
        </w:rPr>
        <w:t>本项目</w:t>
      </w:r>
      <w:r>
        <w:rPr>
          <w:rFonts w:hint="eastAsia" w:ascii="仿宋" w:hAnsi="宋体" w:eastAsia="仿宋" w:cs="宋体"/>
          <w:sz w:val="24"/>
          <w:szCs w:val="21"/>
          <w:lang w:val="en-US" w:eastAsia="zh-CN"/>
        </w:rPr>
        <w:t>服务</w:t>
      </w:r>
      <w:r>
        <w:rPr>
          <w:rFonts w:ascii="仿宋" w:hAnsi="宋体" w:eastAsia="仿宋" w:cs="宋体"/>
          <w:sz w:val="24"/>
          <w:szCs w:val="21"/>
        </w:rPr>
        <w:t>时间为：</w:t>
      </w:r>
      <w:r>
        <w:rPr>
          <w:rFonts w:ascii="仿宋" w:hAnsi="宋体" w:eastAsia="仿宋" w:cs="宋体"/>
          <w:sz w:val="24"/>
          <w:szCs w:val="21"/>
          <w:u w:val="single"/>
        </w:rPr>
        <w:t>满足招标文件要求</w:t>
      </w:r>
      <w:r>
        <w:rPr>
          <w:rFonts w:ascii="仿宋" w:eastAsia="仿宋"/>
          <w:sz w:val="24"/>
          <w:szCs w:val="20"/>
        </w:rPr>
        <w:tab/>
      </w:r>
      <w:r>
        <w:rPr>
          <w:rFonts w:ascii="仿宋" w:hAnsi="宋体" w:eastAsia="仿宋" w:cs="宋体"/>
          <w:w w:val="99"/>
          <w:sz w:val="24"/>
          <w:szCs w:val="21"/>
        </w:rPr>
        <w:t>。</w:t>
      </w:r>
    </w:p>
    <w:p w14:paraId="23268614">
      <w:pPr>
        <w:spacing w:line="20" w:lineRule="exact"/>
        <w:rPr>
          <w:rFonts w:ascii="仿宋" w:eastAsia="仿宋"/>
          <w:sz w:val="24"/>
          <w:szCs w:val="20"/>
        </w:rPr>
      </w:pPr>
    </w:p>
    <w:p w14:paraId="44E8D9DE">
      <w:pPr>
        <w:spacing w:line="560" w:lineRule="exact"/>
        <w:ind w:firstLine="482"/>
        <w:rPr>
          <w:rFonts w:ascii="仿宋" w:eastAsia="仿宋"/>
          <w:sz w:val="24"/>
          <w:szCs w:val="20"/>
        </w:rPr>
      </w:pPr>
      <w:r>
        <w:rPr>
          <w:rFonts w:ascii="仿宋" w:hAnsi="宋体" w:eastAsia="仿宋" w:cs="宋体"/>
          <w:sz w:val="24"/>
          <w:szCs w:val="21"/>
        </w:rPr>
        <w:t>4、我们已详细阅读全部招标文件及其有效补充文件，我们放弃对招标文件任何误解的权利，提交投标文件后，</w:t>
      </w:r>
      <w:r>
        <w:rPr>
          <w:rFonts w:ascii="仿宋" w:hAnsi="宋体" w:eastAsia="仿宋" w:cs="宋体"/>
          <w:b/>
          <w:bCs/>
          <w:sz w:val="24"/>
          <w:szCs w:val="21"/>
        </w:rPr>
        <w:t>不对招标文件本身提出质疑</w:t>
      </w:r>
      <w:r>
        <w:rPr>
          <w:rFonts w:ascii="仿宋" w:hAnsi="宋体" w:eastAsia="仿宋" w:cs="宋体"/>
          <w:sz w:val="24"/>
          <w:szCs w:val="21"/>
        </w:rPr>
        <w:t>。</w:t>
      </w:r>
    </w:p>
    <w:p w14:paraId="4666AA6B">
      <w:pPr>
        <w:spacing w:line="560" w:lineRule="exact"/>
        <w:ind w:firstLine="482"/>
        <w:rPr>
          <w:rFonts w:ascii="仿宋" w:eastAsia="仿宋"/>
          <w:sz w:val="24"/>
          <w:szCs w:val="20"/>
        </w:rPr>
      </w:pPr>
      <w:r>
        <w:rPr>
          <w:rFonts w:ascii="仿宋" w:hAnsi="宋体" w:eastAsia="仿宋" w:cs="宋体"/>
          <w:sz w:val="24"/>
          <w:szCs w:val="21"/>
        </w:rPr>
        <w:t>5、我们同意从规定的开标日期起遵循本投标文件，并在规定的投标有效期期满之前均具有约束力。</w:t>
      </w:r>
    </w:p>
    <w:p w14:paraId="170EAF76">
      <w:pPr>
        <w:spacing w:line="560" w:lineRule="exact"/>
        <w:ind w:firstLine="482"/>
        <w:rPr>
          <w:rFonts w:ascii="仿宋" w:eastAsia="仿宋"/>
          <w:sz w:val="24"/>
          <w:szCs w:val="20"/>
        </w:rPr>
      </w:pPr>
      <w:r>
        <w:rPr>
          <w:rFonts w:ascii="仿宋" w:hAnsi="宋体" w:eastAsia="仿宋" w:cs="宋体"/>
          <w:sz w:val="24"/>
          <w:szCs w:val="21"/>
        </w:rPr>
        <w:t>6、投标截止时间结束后参加投标的供应商不足三家的，或在评标期间出现符合专业条件的供应商或者对招标文件作出实质响应的供应商不足三家情形的，我们酌情决定是否参加当场变更的竞争性谈判或单一来源方式采购。</w:t>
      </w:r>
    </w:p>
    <w:p w14:paraId="463D0DA5">
      <w:pPr>
        <w:spacing w:line="560" w:lineRule="exact"/>
        <w:ind w:firstLine="482"/>
        <w:rPr>
          <w:rFonts w:ascii="仿宋" w:eastAsia="仿宋"/>
          <w:sz w:val="24"/>
          <w:szCs w:val="20"/>
        </w:rPr>
      </w:pPr>
      <w:r>
        <w:rPr>
          <w:rFonts w:ascii="仿宋" w:hAnsi="宋体" w:eastAsia="仿宋" w:cs="宋体"/>
          <w:sz w:val="24"/>
          <w:szCs w:val="21"/>
        </w:rPr>
        <w:t>7、一旦我方中标，我方将根据招标文件的规定严格履行合同，并保证于承诺的时间完成相关服务，交付采购人验收、使用。</w:t>
      </w:r>
    </w:p>
    <w:p w14:paraId="63943465">
      <w:pPr>
        <w:spacing w:line="560" w:lineRule="exact"/>
        <w:ind w:firstLine="482"/>
        <w:rPr>
          <w:rFonts w:ascii="仿宋" w:eastAsia="仿宋"/>
          <w:sz w:val="24"/>
          <w:szCs w:val="20"/>
        </w:rPr>
      </w:pPr>
      <w:r>
        <w:rPr>
          <w:rFonts w:ascii="仿宋" w:hAnsi="宋体" w:eastAsia="仿宋" w:cs="宋体"/>
          <w:sz w:val="24"/>
          <w:szCs w:val="21"/>
        </w:rPr>
        <w:t>8、我方决不提供虚假材料谋取中标、决不采取不正当手段诋毁、排挤其他供应商、决不与采购人、</w:t>
      </w:r>
      <w:r>
        <w:rPr>
          <w:rFonts w:hint="eastAsia" w:ascii="仿宋" w:hAnsi="宋体" w:eastAsia="仿宋" w:cs="宋体"/>
          <w:sz w:val="24"/>
          <w:szCs w:val="21"/>
        </w:rPr>
        <w:t>其他</w:t>
      </w:r>
      <w:r>
        <w:rPr>
          <w:rFonts w:ascii="仿宋" w:hAnsi="宋体" w:eastAsia="仿宋" w:cs="宋体"/>
          <w:sz w:val="24"/>
          <w:szCs w:val="21"/>
        </w:rPr>
        <w:t>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F860A86">
      <w:pPr>
        <w:spacing w:line="560" w:lineRule="exact"/>
        <w:ind w:firstLine="482"/>
        <w:rPr>
          <w:rFonts w:ascii="仿宋" w:eastAsia="仿宋"/>
          <w:sz w:val="24"/>
          <w:szCs w:val="20"/>
        </w:rPr>
      </w:pPr>
      <w:r>
        <w:rPr>
          <w:rFonts w:ascii="仿宋" w:hAnsi="宋体" w:eastAsia="仿宋" w:cs="宋体"/>
          <w:sz w:val="24"/>
          <w:szCs w:val="21"/>
        </w:rPr>
        <w:t>9、与本投标有关的正式联系方式为：</w:t>
      </w:r>
    </w:p>
    <w:p w14:paraId="39CCE18B">
      <w:pPr>
        <w:spacing w:line="20" w:lineRule="exact"/>
        <w:ind w:firstLine="480" w:firstLineChars="200"/>
        <w:rPr>
          <w:rFonts w:ascii="仿宋" w:hAnsi="宋体" w:eastAsia="仿宋" w:cs="宋体"/>
          <w:sz w:val="24"/>
          <w:szCs w:val="20"/>
        </w:rPr>
      </w:pPr>
      <w:bookmarkStart w:id="28" w:name="page40"/>
      <w:bookmarkEnd w:id="28"/>
    </w:p>
    <w:p w14:paraId="77846433">
      <w:pPr>
        <w:tabs>
          <w:tab w:val="left" w:pos="1240"/>
        </w:tabs>
        <w:spacing w:line="560" w:lineRule="exact"/>
        <w:rPr>
          <w:rFonts w:ascii="仿宋" w:eastAsia="仿宋"/>
          <w:sz w:val="24"/>
          <w:szCs w:val="20"/>
        </w:rPr>
      </w:pPr>
      <w:r>
        <w:rPr>
          <w:rFonts w:ascii="仿宋" w:hAnsi="宋体" w:eastAsia="仿宋" w:cs="宋体"/>
          <w:sz w:val="24"/>
          <w:szCs w:val="21"/>
        </w:rPr>
        <w:t>地</w:t>
      </w:r>
      <w:r>
        <w:rPr>
          <w:rFonts w:ascii="仿宋" w:eastAsia="仿宋"/>
          <w:sz w:val="24"/>
          <w:szCs w:val="20"/>
        </w:rPr>
        <w:tab/>
      </w:r>
      <w:r>
        <w:rPr>
          <w:rFonts w:ascii="仿宋" w:hAnsi="宋体" w:eastAsia="仿宋" w:cs="宋体"/>
          <w:sz w:val="24"/>
          <w:szCs w:val="21"/>
        </w:rPr>
        <w:t>址：</w:t>
      </w:r>
    </w:p>
    <w:p w14:paraId="58205C09">
      <w:pPr>
        <w:tabs>
          <w:tab w:val="left" w:pos="1240"/>
        </w:tabs>
        <w:spacing w:line="560" w:lineRule="exact"/>
        <w:rPr>
          <w:rFonts w:ascii="仿宋" w:hAnsi="宋体" w:eastAsia="仿宋" w:cs="宋体"/>
          <w:sz w:val="24"/>
          <w:szCs w:val="21"/>
          <w:u w:val="single"/>
        </w:rPr>
      </w:pPr>
      <w:r>
        <w:rPr>
          <w:rFonts w:hint="eastAsia" w:ascii="仿宋" w:hAnsi="宋体" w:eastAsia="仿宋" w:cs="宋体"/>
          <w:sz w:val="24"/>
          <w:szCs w:val="20"/>
        </w:rPr>
        <w:t xml:space="preserve">电        </w:t>
      </w:r>
      <w:r>
        <w:rPr>
          <w:rFonts w:ascii="仿宋" w:hAnsi="宋体" w:eastAsia="仿宋" w:cs="宋体"/>
          <w:sz w:val="24"/>
          <w:szCs w:val="20"/>
        </w:rPr>
        <w:t>话</w:t>
      </w:r>
      <w:r>
        <w:rPr>
          <w:rFonts w:hint="eastAsia" w:ascii="仿宋" w:hAnsi="宋体" w:eastAsia="仿宋" w:cs="宋体"/>
          <w:sz w:val="24"/>
          <w:szCs w:val="20"/>
        </w:rPr>
        <w:t>：</w:t>
      </w:r>
      <w:r>
        <w:rPr>
          <w:rFonts w:hint="eastAsia" w:ascii="仿宋" w:hAnsi="宋体" w:eastAsia="仿宋" w:cs="宋体"/>
          <w:sz w:val="24"/>
          <w:szCs w:val="20"/>
          <w:u w:val="single"/>
        </w:rPr>
        <w:t xml:space="preserve">                       </w:t>
      </w:r>
    </w:p>
    <w:p w14:paraId="1AC255DD">
      <w:pPr>
        <w:tabs>
          <w:tab w:val="left" w:pos="1240"/>
        </w:tabs>
        <w:spacing w:line="560" w:lineRule="exact"/>
        <w:rPr>
          <w:rFonts w:ascii="仿宋" w:eastAsia="仿宋"/>
          <w:sz w:val="24"/>
          <w:szCs w:val="20"/>
        </w:rPr>
      </w:pPr>
      <w:r>
        <w:rPr>
          <w:rFonts w:ascii="仿宋" w:hAnsi="宋体" w:eastAsia="仿宋" w:cs="宋体"/>
          <w:sz w:val="24"/>
          <w:szCs w:val="21"/>
        </w:rPr>
        <w:t>传</w:t>
      </w:r>
      <w:r>
        <w:rPr>
          <w:rFonts w:ascii="仿宋" w:eastAsia="仿宋"/>
          <w:sz w:val="24"/>
          <w:szCs w:val="20"/>
        </w:rPr>
        <w:tab/>
      </w:r>
      <w:r>
        <w:rPr>
          <w:rFonts w:ascii="仿宋" w:hAnsi="宋体" w:eastAsia="仿宋" w:cs="宋体"/>
          <w:sz w:val="24"/>
          <w:szCs w:val="21"/>
        </w:rPr>
        <w:t>真：</w:t>
      </w:r>
    </w:p>
    <w:p w14:paraId="0FD2C657">
      <w:pPr>
        <w:spacing w:line="20" w:lineRule="exact"/>
        <w:ind w:firstLine="480" w:firstLineChars="200"/>
        <w:rPr>
          <w:rFonts w:ascii="仿宋" w:eastAsia="仿宋"/>
          <w:sz w:val="24"/>
          <w:szCs w:val="20"/>
        </w:rPr>
      </w:pPr>
    </w:p>
    <w:p w14:paraId="263257BD">
      <w:pPr>
        <w:spacing w:line="560" w:lineRule="exact"/>
        <w:rPr>
          <w:rFonts w:ascii="仿宋" w:eastAsia="仿宋"/>
          <w:sz w:val="24"/>
          <w:szCs w:val="20"/>
        </w:rPr>
      </w:pPr>
      <w:r>
        <w:rPr>
          <w:rFonts w:ascii="仿宋" w:hAnsi="宋体" w:eastAsia="仿宋" w:cs="宋体"/>
          <w:sz w:val="24"/>
          <w:szCs w:val="21"/>
        </w:rPr>
        <w:t>开户银行：</w:t>
      </w:r>
    </w:p>
    <w:p w14:paraId="6B2FF6AB">
      <w:pPr>
        <w:spacing w:line="20" w:lineRule="exact"/>
        <w:ind w:firstLine="480" w:firstLineChars="200"/>
        <w:rPr>
          <w:rFonts w:ascii="仿宋" w:eastAsia="仿宋"/>
          <w:sz w:val="24"/>
          <w:szCs w:val="20"/>
        </w:rPr>
      </w:pPr>
    </w:p>
    <w:p w14:paraId="7038BC6A">
      <w:pPr>
        <w:spacing w:line="560" w:lineRule="exact"/>
        <w:rPr>
          <w:rFonts w:ascii="仿宋" w:eastAsia="仿宋"/>
          <w:sz w:val="24"/>
          <w:szCs w:val="20"/>
        </w:rPr>
      </w:pPr>
      <w:r>
        <w:rPr>
          <w:rFonts w:ascii="仿宋" w:hAnsi="宋体" w:eastAsia="仿宋" w:cs="宋体"/>
          <w:sz w:val="24"/>
          <w:szCs w:val="21"/>
        </w:rPr>
        <w:t>银行账号：</w:t>
      </w:r>
    </w:p>
    <w:p w14:paraId="401196EB">
      <w:pPr>
        <w:spacing w:line="20" w:lineRule="exact"/>
        <w:ind w:firstLine="480" w:firstLineChars="200"/>
        <w:rPr>
          <w:rFonts w:ascii="仿宋" w:eastAsia="仿宋"/>
          <w:sz w:val="24"/>
          <w:szCs w:val="20"/>
        </w:rPr>
      </w:pPr>
    </w:p>
    <w:p w14:paraId="6923D2EE">
      <w:pPr>
        <w:spacing w:line="560" w:lineRule="exact"/>
        <w:rPr>
          <w:rFonts w:ascii="仿宋" w:eastAsia="仿宋"/>
          <w:sz w:val="24"/>
          <w:szCs w:val="20"/>
        </w:rPr>
      </w:pPr>
      <w:r>
        <w:rPr>
          <w:rFonts w:ascii="仿宋" w:hAnsi="宋体" w:eastAsia="仿宋" w:cs="宋体"/>
          <w:sz w:val="24"/>
          <w:szCs w:val="21"/>
        </w:rPr>
        <w:t>供应商授权代表姓名（签字或签章）：</w:t>
      </w:r>
    </w:p>
    <w:p w14:paraId="01A135D6">
      <w:pPr>
        <w:spacing w:line="20" w:lineRule="exact"/>
        <w:ind w:firstLine="480" w:firstLineChars="200"/>
        <w:rPr>
          <w:rFonts w:ascii="仿宋" w:eastAsia="仿宋"/>
          <w:sz w:val="24"/>
          <w:szCs w:val="20"/>
        </w:rPr>
      </w:pPr>
    </w:p>
    <w:p w14:paraId="6EA06504">
      <w:pPr>
        <w:spacing w:line="560" w:lineRule="exact"/>
        <w:rPr>
          <w:rFonts w:ascii="仿宋" w:hAnsi="宋体" w:eastAsia="仿宋" w:cs="宋体"/>
          <w:b/>
          <w:bCs/>
          <w:sz w:val="24"/>
          <w:szCs w:val="32"/>
        </w:rPr>
      </w:pPr>
      <w:bookmarkStart w:id="29" w:name="page41"/>
      <w:bookmarkEnd w:id="29"/>
      <w:r>
        <w:rPr>
          <w:rFonts w:hint="eastAsia" w:ascii="仿宋" w:hAnsi="宋体" w:eastAsia="仿宋" w:cs="宋体"/>
          <w:sz w:val="24"/>
          <w:szCs w:val="21"/>
        </w:rPr>
        <w:t>日</w:t>
      </w:r>
      <w:r>
        <w:rPr>
          <w:rFonts w:hint="eastAsia" w:ascii="仿宋" w:hAnsi="宋体" w:eastAsia="仿宋" w:cs="宋体"/>
          <w:sz w:val="24"/>
          <w:szCs w:val="21"/>
        </w:rPr>
        <w:tab/>
      </w:r>
      <w:r>
        <w:rPr>
          <w:rFonts w:hint="eastAsia" w:ascii="仿宋" w:hAnsi="宋体" w:eastAsia="仿宋" w:cs="宋体"/>
          <w:sz w:val="24"/>
          <w:szCs w:val="21"/>
        </w:rPr>
        <w:t>期：</w:t>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年</w:t>
      </w:r>
      <w:r>
        <w:rPr>
          <w:rFonts w:hint="eastAsia" w:ascii="仿宋" w:hAnsi="宋体" w:eastAsia="仿宋" w:cs="宋体"/>
          <w:sz w:val="24"/>
          <w:szCs w:val="21"/>
        </w:rPr>
        <w:tab/>
      </w:r>
      <w:r>
        <w:rPr>
          <w:rFonts w:hint="eastAsia" w:ascii="仿宋" w:hAnsi="宋体" w:eastAsia="仿宋" w:cs="宋体"/>
          <w:sz w:val="24"/>
          <w:szCs w:val="21"/>
        </w:rPr>
        <w:t>月</w:t>
      </w:r>
      <w:r>
        <w:rPr>
          <w:rFonts w:hint="eastAsia" w:ascii="仿宋" w:hAnsi="宋体" w:eastAsia="仿宋" w:cs="宋体"/>
          <w:sz w:val="24"/>
          <w:szCs w:val="21"/>
        </w:rPr>
        <w:tab/>
      </w:r>
      <w:r>
        <w:rPr>
          <w:rFonts w:hint="eastAsia" w:ascii="仿宋" w:hAnsi="宋体" w:eastAsia="仿宋" w:cs="宋体"/>
          <w:sz w:val="24"/>
          <w:szCs w:val="21"/>
        </w:rPr>
        <w:t>日</w:t>
      </w:r>
      <w:r>
        <w:rPr>
          <w:rFonts w:hint="eastAsia" w:ascii="宋体" w:hAnsi="宋体" w:cs="宋体"/>
          <w:sz w:val="21"/>
          <w:szCs w:val="21"/>
        </w:rPr>
        <w:tab/>
      </w:r>
    </w:p>
    <w:p w14:paraId="7C90DF7A">
      <w:pPr>
        <w:spacing w:line="560" w:lineRule="exact"/>
        <w:ind w:firstLine="482"/>
        <w:rPr>
          <w:rFonts w:ascii="仿宋" w:hAnsi="宋体" w:eastAsia="仿宋" w:cs="宋体"/>
          <w:b/>
          <w:bCs/>
          <w:sz w:val="24"/>
          <w:szCs w:val="32"/>
        </w:rPr>
      </w:pPr>
    </w:p>
    <w:p w14:paraId="21BCA0A2">
      <w:pPr>
        <w:spacing w:line="560" w:lineRule="exact"/>
        <w:ind w:firstLine="482"/>
        <w:rPr>
          <w:rFonts w:ascii="仿宋" w:hAnsi="宋体" w:eastAsia="仿宋" w:cs="宋体"/>
          <w:b/>
          <w:bCs/>
          <w:sz w:val="24"/>
          <w:szCs w:val="32"/>
        </w:rPr>
      </w:pPr>
    </w:p>
    <w:p w14:paraId="382BCAC9">
      <w:pPr>
        <w:spacing w:line="560" w:lineRule="exact"/>
        <w:ind w:firstLine="482"/>
        <w:rPr>
          <w:rFonts w:ascii="仿宋" w:hAnsi="宋体" w:eastAsia="仿宋" w:cs="宋体"/>
          <w:b/>
          <w:bCs/>
          <w:sz w:val="24"/>
          <w:szCs w:val="32"/>
        </w:rPr>
      </w:pPr>
    </w:p>
    <w:p w14:paraId="05FB2A91">
      <w:pPr>
        <w:spacing w:line="560" w:lineRule="exact"/>
        <w:ind w:firstLine="482"/>
        <w:rPr>
          <w:rFonts w:ascii="仿宋" w:hAnsi="宋体" w:eastAsia="仿宋" w:cs="宋体"/>
          <w:b/>
          <w:bCs/>
          <w:sz w:val="24"/>
          <w:szCs w:val="32"/>
        </w:rPr>
      </w:pPr>
    </w:p>
    <w:p w14:paraId="5E04555D">
      <w:pPr>
        <w:spacing w:line="560" w:lineRule="exact"/>
        <w:ind w:firstLine="482"/>
        <w:rPr>
          <w:rFonts w:ascii="仿宋" w:hAnsi="宋体" w:eastAsia="仿宋" w:cs="宋体"/>
          <w:b/>
          <w:bCs/>
          <w:sz w:val="24"/>
          <w:szCs w:val="32"/>
        </w:rPr>
      </w:pPr>
    </w:p>
    <w:p w14:paraId="29DB900E">
      <w:pPr>
        <w:spacing w:line="560" w:lineRule="exact"/>
        <w:ind w:firstLine="482"/>
        <w:rPr>
          <w:rFonts w:ascii="仿宋" w:hAnsi="宋体" w:eastAsia="仿宋" w:cs="宋体"/>
          <w:b/>
          <w:bCs/>
          <w:sz w:val="24"/>
          <w:szCs w:val="32"/>
        </w:rPr>
      </w:pPr>
    </w:p>
    <w:p w14:paraId="7C1628CB">
      <w:pPr>
        <w:spacing w:line="560" w:lineRule="exact"/>
        <w:ind w:firstLine="482"/>
        <w:rPr>
          <w:rFonts w:ascii="仿宋" w:hAnsi="宋体" w:eastAsia="仿宋" w:cs="宋体"/>
          <w:b/>
          <w:bCs/>
          <w:sz w:val="24"/>
          <w:szCs w:val="32"/>
        </w:rPr>
      </w:pPr>
    </w:p>
    <w:p w14:paraId="17EA321C">
      <w:pPr>
        <w:spacing w:line="560" w:lineRule="exact"/>
        <w:ind w:firstLine="482"/>
        <w:rPr>
          <w:rFonts w:ascii="仿宋" w:hAnsi="宋体" w:eastAsia="仿宋" w:cs="宋体"/>
          <w:b/>
          <w:bCs/>
          <w:sz w:val="24"/>
          <w:szCs w:val="32"/>
        </w:rPr>
      </w:pPr>
    </w:p>
    <w:p w14:paraId="2F6AFB42">
      <w:pPr>
        <w:spacing w:line="560" w:lineRule="exact"/>
        <w:ind w:firstLine="482"/>
        <w:rPr>
          <w:rFonts w:ascii="仿宋" w:hAnsi="宋体" w:eastAsia="仿宋" w:cs="宋体"/>
          <w:b/>
          <w:bCs/>
          <w:sz w:val="24"/>
          <w:szCs w:val="32"/>
        </w:rPr>
      </w:pPr>
    </w:p>
    <w:p w14:paraId="05238073">
      <w:pPr>
        <w:spacing w:line="560" w:lineRule="exact"/>
        <w:ind w:firstLine="482"/>
        <w:rPr>
          <w:rFonts w:ascii="仿宋" w:hAnsi="宋体" w:eastAsia="仿宋" w:cs="宋体"/>
          <w:b/>
          <w:bCs/>
          <w:sz w:val="24"/>
          <w:szCs w:val="32"/>
        </w:rPr>
      </w:pPr>
    </w:p>
    <w:p w14:paraId="4CFB6913">
      <w:pPr>
        <w:spacing w:line="560" w:lineRule="exact"/>
        <w:ind w:firstLine="482"/>
        <w:rPr>
          <w:rFonts w:ascii="仿宋" w:hAnsi="宋体" w:eastAsia="仿宋" w:cs="宋体"/>
          <w:b/>
          <w:bCs/>
          <w:sz w:val="24"/>
          <w:szCs w:val="32"/>
        </w:rPr>
      </w:pPr>
    </w:p>
    <w:p w14:paraId="65E5AF39">
      <w:pPr>
        <w:spacing w:line="560" w:lineRule="exact"/>
        <w:ind w:firstLine="482"/>
        <w:rPr>
          <w:rFonts w:ascii="仿宋" w:hAnsi="宋体" w:eastAsia="仿宋" w:cs="宋体"/>
          <w:b/>
          <w:bCs/>
          <w:sz w:val="24"/>
          <w:szCs w:val="32"/>
        </w:rPr>
      </w:pPr>
    </w:p>
    <w:p w14:paraId="6568A641">
      <w:pPr>
        <w:spacing w:line="560" w:lineRule="exact"/>
        <w:ind w:firstLine="482"/>
        <w:rPr>
          <w:rFonts w:ascii="仿宋" w:hAnsi="宋体" w:eastAsia="仿宋" w:cs="宋体"/>
          <w:b/>
          <w:bCs/>
          <w:sz w:val="24"/>
          <w:szCs w:val="32"/>
        </w:rPr>
      </w:pPr>
    </w:p>
    <w:p w14:paraId="657D926B">
      <w:pPr>
        <w:spacing w:line="560" w:lineRule="exact"/>
        <w:ind w:firstLine="482"/>
        <w:rPr>
          <w:rFonts w:ascii="仿宋" w:hAnsi="宋体" w:eastAsia="仿宋" w:cs="宋体"/>
          <w:b/>
          <w:bCs/>
          <w:sz w:val="24"/>
          <w:szCs w:val="32"/>
        </w:rPr>
      </w:pPr>
    </w:p>
    <w:p w14:paraId="219970A2">
      <w:pPr>
        <w:spacing w:line="560" w:lineRule="exact"/>
        <w:ind w:firstLine="482"/>
        <w:rPr>
          <w:rFonts w:ascii="仿宋" w:hAnsi="宋体" w:eastAsia="仿宋" w:cs="宋体"/>
          <w:b/>
          <w:bCs/>
          <w:sz w:val="24"/>
          <w:szCs w:val="32"/>
        </w:rPr>
      </w:pPr>
    </w:p>
    <w:p w14:paraId="60EA61F1">
      <w:pPr>
        <w:spacing w:line="560" w:lineRule="exact"/>
        <w:ind w:firstLine="482"/>
        <w:rPr>
          <w:rFonts w:ascii="仿宋" w:hAnsi="宋体" w:eastAsia="仿宋" w:cs="宋体"/>
          <w:b/>
          <w:bCs/>
          <w:sz w:val="24"/>
          <w:szCs w:val="32"/>
        </w:rPr>
      </w:pPr>
    </w:p>
    <w:p w14:paraId="7BA4BF11">
      <w:pPr>
        <w:spacing w:line="560" w:lineRule="exact"/>
        <w:ind w:firstLine="482"/>
        <w:rPr>
          <w:rFonts w:ascii="仿宋" w:hAnsi="宋体" w:eastAsia="仿宋" w:cs="宋体"/>
          <w:b/>
          <w:bCs/>
          <w:sz w:val="24"/>
          <w:szCs w:val="32"/>
        </w:rPr>
      </w:pPr>
    </w:p>
    <w:p w14:paraId="6EEDFB90">
      <w:pPr>
        <w:spacing w:line="560" w:lineRule="exact"/>
        <w:ind w:firstLine="482"/>
        <w:rPr>
          <w:rFonts w:ascii="仿宋" w:hAnsi="宋体" w:eastAsia="仿宋" w:cs="宋体"/>
          <w:b/>
          <w:bCs/>
          <w:sz w:val="24"/>
          <w:szCs w:val="32"/>
        </w:rPr>
      </w:pPr>
    </w:p>
    <w:p w14:paraId="6307E2AC">
      <w:pPr>
        <w:spacing w:line="560" w:lineRule="exact"/>
        <w:ind w:firstLine="482"/>
        <w:rPr>
          <w:rFonts w:ascii="仿宋" w:hAnsi="宋体" w:eastAsia="仿宋" w:cs="宋体"/>
          <w:b/>
          <w:bCs/>
          <w:sz w:val="24"/>
          <w:szCs w:val="32"/>
        </w:rPr>
      </w:pPr>
    </w:p>
    <w:p w14:paraId="7F71EEEF">
      <w:pPr>
        <w:spacing w:line="560" w:lineRule="exact"/>
        <w:ind w:firstLine="482"/>
        <w:rPr>
          <w:rFonts w:hint="eastAsia" w:ascii="仿宋" w:hAnsi="宋体" w:eastAsia="仿宋" w:cs="宋体"/>
          <w:b/>
          <w:bCs/>
          <w:sz w:val="24"/>
          <w:szCs w:val="32"/>
        </w:rPr>
      </w:pPr>
    </w:p>
    <w:p w14:paraId="0BACC761">
      <w:pPr>
        <w:spacing w:line="560" w:lineRule="exact"/>
        <w:ind w:firstLine="482"/>
        <w:rPr>
          <w:rFonts w:ascii="仿宋" w:eastAsia="仿宋"/>
          <w:sz w:val="24"/>
          <w:szCs w:val="20"/>
        </w:rPr>
      </w:pPr>
      <w:r>
        <w:rPr>
          <w:rFonts w:ascii="仿宋" w:hAnsi="宋体" w:eastAsia="仿宋" w:cs="宋体"/>
          <w:b/>
          <w:bCs/>
          <w:sz w:val="24"/>
          <w:szCs w:val="32"/>
        </w:rPr>
        <w:t>附件二、法定代表人授权委托书格式</w:t>
      </w:r>
    </w:p>
    <w:p w14:paraId="4000DF7D">
      <w:pPr>
        <w:spacing w:line="560" w:lineRule="exact"/>
        <w:ind w:firstLine="482"/>
        <w:rPr>
          <w:rFonts w:ascii="仿宋" w:eastAsia="仿宋"/>
          <w:sz w:val="24"/>
          <w:szCs w:val="20"/>
        </w:rPr>
      </w:pPr>
      <w:r>
        <w:rPr>
          <w:rFonts w:ascii="仿宋" w:hAnsi="宋体" w:eastAsia="仿宋" w:cs="宋体"/>
          <w:b/>
          <w:bCs/>
          <w:sz w:val="24"/>
          <w:szCs w:val="32"/>
        </w:rPr>
        <w:t>法定代表人授权委托书</w:t>
      </w:r>
    </w:p>
    <w:p w14:paraId="60803B69">
      <w:pPr>
        <w:spacing w:line="560" w:lineRule="exact"/>
        <w:ind w:firstLine="482"/>
        <w:rPr>
          <w:rFonts w:hint="eastAsia" w:ascii="仿宋" w:hAnsi="宋体" w:eastAsia="仿宋" w:cs="宋体"/>
          <w:sz w:val="24"/>
          <w:szCs w:val="21"/>
          <w:lang w:eastAsia="zh-CN"/>
        </w:rPr>
      </w:pPr>
      <w:r>
        <w:rPr>
          <w:rFonts w:ascii="仿宋" w:hAnsi="宋体" w:eastAsia="仿宋" w:cs="宋体"/>
          <w:sz w:val="24"/>
          <w:szCs w:val="21"/>
        </w:rPr>
        <w:t>致：</w:t>
      </w:r>
      <w:r>
        <w:rPr>
          <w:rFonts w:hint="eastAsia" w:ascii="仿宋" w:hAnsi="宋体" w:eastAsia="仿宋" w:cs="宋体"/>
          <w:sz w:val="24"/>
          <w:szCs w:val="21"/>
          <w:lang w:eastAsia="zh-CN"/>
        </w:rPr>
        <w:t>南京市玄武生态环境局</w:t>
      </w:r>
      <w:r>
        <w:rPr>
          <w:rFonts w:hint="eastAsia" w:ascii="仿宋" w:hAnsi="宋体" w:eastAsia="仿宋" w:cs="宋体"/>
          <w:sz w:val="24"/>
          <w:szCs w:val="21"/>
        </w:rPr>
        <w:t>、</w:t>
      </w:r>
      <w:r>
        <w:rPr>
          <w:rFonts w:hint="eastAsia" w:ascii="仿宋" w:hAnsi="宋体" w:eastAsia="仿宋" w:cs="宋体"/>
          <w:sz w:val="24"/>
          <w:szCs w:val="21"/>
          <w:lang w:eastAsia="zh-CN"/>
        </w:rPr>
        <w:t>江苏省苏辰建设投资顾问有限公司</w:t>
      </w:r>
    </w:p>
    <w:p w14:paraId="4EB7F7BA">
      <w:pPr>
        <w:spacing w:line="560" w:lineRule="exact"/>
        <w:ind w:firstLine="482"/>
        <w:rPr>
          <w:rFonts w:ascii="仿宋" w:hAnsi="宋体" w:eastAsia="仿宋" w:cs="宋体"/>
          <w:sz w:val="24"/>
          <w:szCs w:val="21"/>
        </w:rPr>
      </w:pPr>
      <w:r>
        <w:rPr>
          <w:rFonts w:ascii="仿宋" w:hAnsi="宋体" w:eastAsia="仿宋" w:cs="宋体"/>
          <w:sz w:val="24"/>
          <w:szCs w:val="21"/>
        </w:rPr>
        <w:t>本授权书声明：</w:t>
      </w:r>
      <w:r>
        <w:rPr>
          <w:rFonts w:hint="eastAsia" w:ascii="仿宋" w:hAnsi="宋体" w:eastAsia="仿宋" w:cs="宋体"/>
          <w:sz w:val="24"/>
          <w:szCs w:val="21"/>
        </w:rPr>
        <w:t>注册于</w:t>
      </w:r>
      <w:r>
        <w:rPr>
          <w:rFonts w:hint="eastAsia" w:ascii="仿宋" w:hAnsi="宋体" w:eastAsia="仿宋" w:cs="宋体"/>
          <w:sz w:val="24"/>
          <w:szCs w:val="21"/>
          <w:u w:val="single"/>
        </w:rPr>
        <w:tab/>
      </w:r>
      <w:r>
        <w:rPr>
          <w:rFonts w:hint="eastAsia" w:ascii="仿宋" w:hAnsi="宋体" w:eastAsia="仿宋" w:cs="宋体"/>
          <w:sz w:val="24"/>
          <w:szCs w:val="21"/>
          <w:u w:val="single"/>
        </w:rPr>
        <w:tab/>
      </w:r>
      <w:r>
        <w:rPr>
          <w:rFonts w:hint="eastAsia" w:ascii="仿宋" w:hAnsi="宋体" w:eastAsia="仿宋" w:cs="宋体"/>
          <w:sz w:val="24"/>
          <w:szCs w:val="21"/>
          <w:u w:val="single"/>
        </w:rPr>
        <w:t>（供应商住址）</w:t>
      </w:r>
      <w:r>
        <w:rPr>
          <w:rFonts w:hint="eastAsia" w:ascii="仿宋" w:hAnsi="宋体" w:eastAsia="仿宋" w:cs="宋体"/>
          <w:sz w:val="24"/>
          <w:szCs w:val="21"/>
        </w:rPr>
        <w:t>地</w:t>
      </w:r>
      <w:r>
        <w:rPr>
          <w:rFonts w:hint="eastAsia" w:ascii="仿宋" w:hAnsi="宋体" w:eastAsia="仿宋" w:cs="宋体"/>
          <w:sz w:val="24"/>
          <w:szCs w:val="21"/>
          <w:u w:val="single"/>
        </w:rPr>
        <w:t xml:space="preserve">          （供应商名称）</w:t>
      </w:r>
      <w:r>
        <w:rPr>
          <w:rFonts w:hint="eastAsia" w:ascii="仿宋" w:hAnsi="宋体" w:eastAsia="仿宋" w:cs="宋体"/>
          <w:sz w:val="24"/>
          <w:szCs w:val="21"/>
        </w:rPr>
        <w:t xml:space="preserve">法定代表人 </w:t>
      </w:r>
      <w:r>
        <w:rPr>
          <w:rFonts w:hint="eastAsia" w:ascii="仿宋" w:hAnsi="宋体" w:eastAsia="仿宋" w:cs="宋体"/>
          <w:sz w:val="24"/>
          <w:szCs w:val="21"/>
          <w:u w:val="single"/>
        </w:rPr>
        <w:t xml:space="preserve">                          （法定代表人姓名、职务）</w:t>
      </w:r>
      <w:r>
        <w:rPr>
          <w:rFonts w:hint="eastAsia" w:ascii="仿宋" w:hAnsi="宋体" w:eastAsia="仿宋" w:cs="宋体"/>
          <w:sz w:val="24"/>
          <w:szCs w:val="21"/>
        </w:rPr>
        <w:t xml:space="preserve">代表本公司授权在下面签字的 </w:t>
      </w:r>
      <w:r>
        <w:rPr>
          <w:rFonts w:hint="eastAsia" w:ascii="仿宋" w:hAnsi="宋体" w:eastAsia="仿宋" w:cs="宋体"/>
          <w:sz w:val="24"/>
          <w:szCs w:val="21"/>
          <w:u w:val="single"/>
        </w:rPr>
        <w:t xml:space="preserve">                   （供应商代表姓名、职务）</w:t>
      </w:r>
      <w:r>
        <w:rPr>
          <w:rFonts w:hint="eastAsia" w:ascii="仿宋" w:hAnsi="宋体" w:eastAsia="仿宋" w:cs="宋体"/>
          <w:sz w:val="24"/>
          <w:szCs w:val="21"/>
        </w:rPr>
        <w:t>为本公司的合法代理人，就贵方组织</w:t>
      </w:r>
      <w:r>
        <w:rPr>
          <w:rFonts w:hint="eastAsia" w:ascii="仿宋" w:hAnsi="宋体" w:eastAsia="仿宋" w:cs="宋体"/>
          <w:sz w:val="24"/>
          <w:szCs w:val="21"/>
          <w:u w:val="single"/>
        </w:rPr>
        <w:tab/>
      </w:r>
      <w:r>
        <w:rPr>
          <w:rFonts w:hint="eastAsia" w:ascii="仿宋" w:hAnsi="宋体" w:eastAsia="仿宋" w:cs="宋体"/>
          <w:sz w:val="24"/>
          <w:szCs w:val="21"/>
          <w:u w:val="single"/>
        </w:rPr>
        <w:tab/>
      </w:r>
      <w:r>
        <w:rPr>
          <w:rFonts w:hint="eastAsia" w:ascii="仿宋" w:hAnsi="宋体" w:eastAsia="仿宋" w:cs="宋体"/>
          <w:sz w:val="24"/>
          <w:szCs w:val="21"/>
          <w:u w:val="single"/>
        </w:rPr>
        <w:tab/>
      </w:r>
      <w:r>
        <w:rPr>
          <w:rFonts w:hint="eastAsia" w:ascii="仿宋" w:hAnsi="宋体" w:eastAsia="仿宋" w:cs="宋体"/>
          <w:sz w:val="24"/>
          <w:szCs w:val="21"/>
          <w:u w:val="single"/>
        </w:rPr>
        <w:t>（项目名称）</w:t>
      </w:r>
      <w:r>
        <w:rPr>
          <w:rFonts w:hint="eastAsia" w:ascii="仿宋" w:hAnsi="宋体" w:eastAsia="仿宋" w:cs="宋体"/>
          <w:sz w:val="24"/>
          <w:szCs w:val="21"/>
        </w:rPr>
        <w:t>，</w:t>
      </w:r>
      <w:r>
        <w:rPr>
          <w:rFonts w:hint="eastAsia" w:ascii="仿宋" w:hAnsi="宋体" w:eastAsia="仿宋" w:cs="宋体"/>
          <w:sz w:val="24"/>
          <w:szCs w:val="21"/>
          <w:u w:val="single"/>
        </w:rPr>
        <w:tab/>
      </w:r>
      <w:r>
        <w:rPr>
          <w:rFonts w:hint="eastAsia" w:ascii="仿宋" w:hAnsi="宋体" w:eastAsia="仿宋" w:cs="宋体"/>
          <w:sz w:val="24"/>
          <w:szCs w:val="21"/>
          <w:u w:val="single"/>
        </w:rPr>
        <w:tab/>
      </w:r>
      <w:r>
        <w:rPr>
          <w:rFonts w:hint="eastAsia" w:ascii="仿宋" w:hAnsi="宋体" w:eastAsia="仿宋" w:cs="宋体"/>
          <w:sz w:val="24"/>
          <w:szCs w:val="21"/>
          <w:u w:val="single"/>
        </w:rPr>
        <w:t>（项目编号）</w:t>
      </w:r>
      <w:r>
        <w:rPr>
          <w:rFonts w:hint="eastAsia" w:ascii="仿宋" w:hAnsi="宋体" w:eastAsia="仿宋" w:cs="宋体"/>
          <w:sz w:val="24"/>
          <w:szCs w:val="21"/>
        </w:rPr>
        <w:t>投标，以本公司名义处理一切与之有关的事务。</w:t>
      </w:r>
      <w:r>
        <w:rPr>
          <w:rFonts w:hint="eastAsia" w:ascii="仿宋" w:hAnsi="宋体" w:eastAsia="仿宋" w:cs="宋体"/>
          <w:sz w:val="24"/>
          <w:szCs w:val="21"/>
        </w:rPr>
        <w:tab/>
      </w:r>
    </w:p>
    <w:p w14:paraId="43CAEF65">
      <w:pPr>
        <w:spacing w:line="560" w:lineRule="exact"/>
        <w:ind w:firstLine="482"/>
        <w:rPr>
          <w:rFonts w:ascii="仿宋" w:hAnsi="宋体" w:eastAsia="仿宋" w:cs="宋体"/>
          <w:sz w:val="24"/>
          <w:szCs w:val="21"/>
        </w:rPr>
      </w:pPr>
      <w:r>
        <w:rPr>
          <w:rFonts w:hint="eastAsia" w:ascii="仿宋" w:hAnsi="宋体" w:eastAsia="仿宋" w:cs="宋体"/>
          <w:sz w:val="24"/>
          <w:szCs w:val="21"/>
        </w:rPr>
        <w:t>本授权书于</w:t>
      </w:r>
      <w:r>
        <w:rPr>
          <w:rFonts w:hint="eastAsia" w:ascii="仿宋" w:hAnsi="宋体" w:eastAsia="仿宋" w:cs="宋体"/>
          <w:sz w:val="24"/>
          <w:szCs w:val="21"/>
          <w:u w:val="single"/>
        </w:rPr>
        <w:tab/>
      </w:r>
      <w:r>
        <w:rPr>
          <w:rFonts w:hint="eastAsia" w:ascii="仿宋" w:hAnsi="宋体" w:eastAsia="仿宋" w:cs="宋体"/>
          <w:sz w:val="24"/>
          <w:szCs w:val="21"/>
          <w:u w:val="single"/>
        </w:rPr>
        <w:tab/>
      </w:r>
      <w:r>
        <w:rPr>
          <w:rFonts w:hint="eastAsia" w:ascii="仿宋" w:hAnsi="宋体" w:eastAsia="仿宋" w:cs="宋体"/>
          <w:sz w:val="24"/>
          <w:szCs w:val="21"/>
          <w:u w:val="single"/>
        </w:rPr>
        <w:tab/>
      </w:r>
      <w:r>
        <w:rPr>
          <w:rFonts w:hint="eastAsia" w:ascii="仿宋" w:hAnsi="宋体" w:eastAsia="仿宋" w:cs="宋体"/>
          <w:sz w:val="24"/>
          <w:szCs w:val="21"/>
          <w:u w:val="single"/>
        </w:rPr>
        <w:t>年</w:t>
      </w:r>
      <w:r>
        <w:rPr>
          <w:rFonts w:hint="eastAsia" w:ascii="仿宋" w:hAnsi="宋体" w:eastAsia="仿宋" w:cs="宋体"/>
          <w:sz w:val="24"/>
          <w:szCs w:val="21"/>
          <w:u w:val="single"/>
        </w:rPr>
        <w:tab/>
      </w:r>
      <w:r>
        <w:rPr>
          <w:rFonts w:hint="eastAsia" w:ascii="仿宋" w:hAnsi="宋体" w:eastAsia="仿宋" w:cs="宋体"/>
          <w:sz w:val="24"/>
          <w:szCs w:val="21"/>
          <w:u w:val="single"/>
        </w:rPr>
        <w:t>月</w:t>
      </w:r>
      <w:r>
        <w:rPr>
          <w:rFonts w:hint="eastAsia" w:ascii="仿宋" w:hAnsi="宋体" w:eastAsia="仿宋" w:cs="宋体"/>
          <w:sz w:val="24"/>
          <w:szCs w:val="21"/>
          <w:u w:val="single"/>
        </w:rPr>
        <w:tab/>
      </w:r>
      <w:r>
        <w:rPr>
          <w:rFonts w:hint="eastAsia" w:ascii="仿宋" w:hAnsi="宋体" w:eastAsia="仿宋" w:cs="宋体"/>
          <w:sz w:val="24"/>
          <w:szCs w:val="21"/>
          <w:u w:val="single"/>
        </w:rPr>
        <w:t>日</w:t>
      </w:r>
      <w:r>
        <w:rPr>
          <w:rFonts w:hint="eastAsia" w:ascii="仿宋" w:hAnsi="宋体" w:eastAsia="仿宋" w:cs="宋体"/>
          <w:sz w:val="24"/>
          <w:szCs w:val="21"/>
        </w:rPr>
        <w:t>签字或签章生效，特此声明。</w:t>
      </w:r>
    </w:p>
    <w:p w14:paraId="47B73A2F">
      <w:pPr>
        <w:spacing w:line="560" w:lineRule="exact"/>
        <w:ind w:firstLine="482"/>
        <w:rPr>
          <w:rFonts w:ascii="仿宋" w:hAnsi="宋体" w:eastAsia="仿宋" w:cs="宋体"/>
          <w:sz w:val="24"/>
          <w:szCs w:val="21"/>
        </w:rPr>
      </w:pPr>
    </w:p>
    <w:p w14:paraId="41E7F7FE">
      <w:pPr>
        <w:spacing w:line="560" w:lineRule="exact"/>
        <w:ind w:firstLine="482"/>
        <w:rPr>
          <w:rFonts w:ascii="仿宋" w:hAnsi="宋体" w:eastAsia="仿宋" w:cs="宋体"/>
          <w:sz w:val="24"/>
          <w:szCs w:val="21"/>
        </w:rPr>
      </w:pPr>
      <w:r>
        <w:rPr>
          <w:rFonts w:hint="eastAsia" w:ascii="仿宋" w:hAnsi="宋体" w:eastAsia="仿宋" w:cs="宋体"/>
          <w:sz w:val="24"/>
          <w:szCs w:val="21"/>
        </w:rPr>
        <w:t>法定代表人签字或签章：</w:t>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p>
    <w:p w14:paraId="17FD77F3">
      <w:pPr>
        <w:spacing w:line="560" w:lineRule="exact"/>
        <w:ind w:firstLine="482"/>
        <w:rPr>
          <w:rFonts w:ascii="仿宋" w:hAnsi="宋体" w:eastAsia="仿宋" w:cs="宋体"/>
          <w:sz w:val="24"/>
          <w:szCs w:val="21"/>
        </w:rPr>
      </w:pPr>
      <w:r>
        <w:rPr>
          <w:rFonts w:hint="eastAsia" w:ascii="仿宋" w:hAnsi="宋体" w:eastAsia="仿宋" w:cs="宋体"/>
          <w:sz w:val="24"/>
          <w:szCs w:val="21"/>
        </w:rPr>
        <w:t>授权委托人签字或签章：</w:t>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p>
    <w:p w14:paraId="737B421F">
      <w:pPr>
        <w:spacing w:line="560" w:lineRule="exact"/>
        <w:ind w:firstLine="482"/>
        <w:rPr>
          <w:rFonts w:ascii="仿宋" w:hAnsi="宋体" w:eastAsia="仿宋" w:cs="宋体"/>
          <w:sz w:val="24"/>
          <w:szCs w:val="21"/>
        </w:rPr>
      </w:pPr>
      <w:r>
        <w:rPr>
          <w:rFonts w:hint="eastAsia" w:ascii="仿宋" w:hAnsi="宋体" w:eastAsia="仿宋" w:cs="宋体"/>
          <w:sz w:val="24"/>
          <w:szCs w:val="21"/>
        </w:rPr>
        <w:t>日</w:t>
      </w:r>
      <w:r>
        <w:rPr>
          <w:rFonts w:hint="eastAsia" w:ascii="仿宋" w:hAnsi="宋体" w:eastAsia="仿宋" w:cs="宋体"/>
          <w:sz w:val="24"/>
          <w:szCs w:val="21"/>
        </w:rPr>
        <w:tab/>
      </w:r>
      <w:r>
        <w:rPr>
          <w:rFonts w:hint="eastAsia" w:ascii="仿宋" w:hAnsi="宋体" w:eastAsia="仿宋" w:cs="宋体"/>
          <w:sz w:val="24"/>
          <w:szCs w:val="21"/>
        </w:rPr>
        <w:t>期：</w:t>
      </w:r>
      <w:r>
        <w:rPr>
          <w:rFonts w:hint="eastAsia" w:ascii="仿宋" w:hAnsi="宋体" w:eastAsia="仿宋" w:cs="宋体"/>
          <w:sz w:val="24"/>
          <w:szCs w:val="21"/>
        </w:rPr>
        <w:tab/>
      </w:r>
      <w:r>
        <w:rPr>
          <w:rFonts w:hint="eastAsia" w:ascii="仿宋" w:hAnsi="宋体" w:eastAsia="仿宋" w:cs="宋体"/>
          <w:sz w:val="24"/>
          <w:szCs w:val="21"/>
        </w:rPr>
        <w:t>年</w:t>
      </w:r>
      <w:r>
        <w:rPr>
          <w:rFonts w:hint="eastAsia" w:ascii="仿宋" w:hAnsi="宋体" w:eastAsia="仿宋" w:cs="宋体"/>
          <w:sz w:val="24"/>
          <w:szCs w:val="21"/>
        </w:rPr>
        <w:tab/>
      </w:r>
      <w:r>
        <w:rPr>
          <w:rFonts w:hint="eastAsia" w:ascii="仿宋" w:hAnsi="宋体" w:eastAsia="仿宋" w:cs="宋体"/>
          <w:sz w:val="24"/>
          <w:szCs w:val="21"/>
        </w:rPr>
        <w:t>月</w:t>
      </w:r>
      <w:r>
        <w:rPr>
          <w:rFonts w:hint="eastAsia" w:ascii="仿宋" w:hAnsi="宋体" w:eastAsia="仿宋" w:cs="宋体"/>
          <w:sz w:val="24"/>
          <w:szCs w:val="21"/>
        </w:rPr>
        <w:tab/>
      </w:r>
      <w:r>
        <w:rPr>
          <w:rFonts w:hint="eastAsia" w:ascii="仿宋" w:hAnsi="宋体" w:eastAsia="仿宋" w:cs="宋体"/>
          <w:sz w:val="24"/>
          <w:szCs w:val="21"/>
        </w:rPr>
        <w:t>日</w:t>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p>
    <w:p w14:paraId="0461B67D">
      <w:pPr>
        <w:spacing w:line="560" w:lineRule="exact"/>
        <w:ind w:firstLine="482"/>
        <w:rPr>
          <w:rFonts w:ascii="仿宋" w:hAnsi="宋体" w:eastAsia="仿宋" w:cs="宋体"/>
          <w:sz w:val="24"/>
          <w:szCs w:val="21"/>
        </w:rPr>
      </w:pP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r>
        <w:rPr>
          <w:rFonts w:hint="eastAsia" w:ascii="仿宋" w:hAnsi="宋体" w:eastAsia="仿宋" w:cs="宋体"/>
          <w:sz w:val="24"/>
          <w:szCs w:val="21"/>
        </w:rPr>
        <w:tab/>
      </w:r>
    </w:p>
    <w:p w14:paraId="5DEEAF6D">
      <w:pPr>
        <w:spacing w:line="560" w:lineRule="exact"/>
        <w:ind w:firstLine="482"/>
        <w:rPr>
          <w:rFonts w:ascii="仿宋" w:hAnsi="宋体" w:eastAsia="仿宋" w:cs="宋体"/>
          <w:sz w:val="24"/>
          <w:szCs w:val="21"/>
        </w:rPr>
      </w:pPr>
      <w:r>
        <w:rPr>
          <w:rFonts w:ascii="仿宋" w:hAnsi="宋体" w:eastAsia="仿宋" w:cs="宋体"/>
          <w:sz w:val="24"/>
          <w:szCs w:val="21"/>
        </w:rPr>
        <w:t>法定代表人身份证的复印件</w:t>
      </w:r>
      <w:r>
        <w:rPr>
          <w:rFonts w:hint="eastAsia" w:ascii="仿宋" w:hAnsi="宋体" w:eastAsia="仿宋" w:cs="宋体"/>
          <w:sz w:val="24"/>
          <w:szCs w:val="21"/>
        </w:rPr>
        <w:t>：</w:t>
      </w:r>
    </w:p>
    <w:p w14:paraId="755D4831">
      <w:pPr>
        <w:spacing w:line="560" w:lineRule="exact"/>
        <w:ind w:firstLine="482"/>
        <w:rPr>
          <w:rFonts w:ascii="仿宋" w:hAnsi="宋体" w:eastAsia="仿宋" w:cs="宋体"/>
          <w:sz w:val="24"/>
          <w:szCs w:val="21"/>
        </w:rPr>
      </w:pPr>
      <w:r>
        <w:rPr>
          <w:rFonts w:ascii="仿宋" w:hAnsi="宋体" w:eastAsia="仿宋" w:cs="宋体"/>
          <w:sz w:val="24"/>
          <w:szCs w:val="21"/>
        </w:rPr>
        <w:t>委托代理人的身份证的复印件</w:t>
      </w:r>
      <w:r>
        <w:rPr>
          <w:rFonts w:hint="eastAsia" w:ascii="仿宋" w:hAnsi="宋体" w:eastAsia="仿宋" w:cs="宋体"/>
          <w:sz w:val="24"/>
          <w:szCs w:val="21"/>
        </w:rPr>
        <w:t>：</w:t>
      </w:r>
    </w:p>
    <w:p w14:paraId="70E80521">
      <w:pPr>
        <w:spacing w:line="560" w:lineRule="exact"/>
        <w:ind w:firstLine="482"/>
        <w:rPr>
          <w:rFonts w:ascii="仿宋" w:hAnsi="宋体" w:eastAsia="仿宋" w:cs="宋体"/>
          <w:sz w:val="24"/>
          <w:szCs w:val="21"/>
        </w:rPr>
        <w:sectPr>
          <w:pgSz w:w="11900" w:h="16838"/>
          <w:pgMar w:top="1440" w:right="1440" w:bottom="381" w:left="1440" w:header="454" w:footer="170" w:gutter="0"/>
          <w:pgNumType w:fmt="decimal"/>
          <w:cols w:space="720" w:num="1"/>
        </w:sectPr>
      </w:pPr>
    </w:p>
    <w:p w14:paraId="6C0EDAD0">
      <w:pPr>
        <w:spacing w:line="560" w:lineRule="exact"/>
        <w:ind w:firstLine="482"/>
        <w:rPr>
          <w:rFonts w:ascii="仿宋" w:eastAsia="仿宋"/>
          <w:sz w:val="24"/>
          <w:szCs w:val="20"/>
        </w:rPr>
      </w:pPr>
      <w:bookmarkStart w:id="30" w:name="page42"/>
      <w:bookmarkEnd w:id="30"/>
      <w:r>
        <w:rPr>
          <w:rFonts w:ascii="仿宋" w:hAnsi="宋体" w:eastAsia="仿宋" w:cs="宋体"/>
          <w:b/>
          <w:bCs/>
          <w:sz w:val="24"/>
          <w:szCs w:val="32"/>
        </w:rPr>
        <w:t>附件三、报价表</w:t>
      </w:r>
    </w:p>
    <w:p w14:paraId="78C4F365">
      <w:pPr>
        <w:spacing w:line="560" w:lineRule="exact"/>
        <w:ind w:firstLine="482"/>
        <w:rPr>
          <w:rFonts w:ascii="仿宋" w:eastAsia="仿宋"/>
          <w:sz w:val="24"/>
          <w:szCs w:val="20"/>
        </w:rPr>
      </w:pPr>
      <w:r>
        <w:rPr>
          <w:rFonts w:ascii="仿宋" w:hAnsi="宋体" w:eastAsia="仿宋" w:cs="宋体"/>
          <w:b/>
          <w:bCs/>
          <w:sz w:val="24"/>
          <w:szCs w:val="32"/>
        </w:rPr>
        <w:t>开标一览表</w:t>
      </w:r>
    </w:p>
    <w:tbl>
      <w:tblPr>
        <w:tblStyle w:val="8"/>
        <w:tblW w:w="0" w:type="auto"/>
        <w:tblInd w:w="10" w:type="dxa"/>
        <w:tblLayout w:type="fixed"/>
        <w:tblCellMar>
          <w:top w:w="0" w:type="dxa"/>
          <w:left w:w="0" w:type="dxa"/>
          <w:bottom w:w="0" w:type="dxa"/>
          <w:right w:w="0" w:type="dxa"/>
        </w:tblCellMar>
      </w:tblPr>
      <w:tblGrid>
        <w:gridCol w:w="2238"/>
        <w:gridCol w:w="4782"/>
        <w:gridCol w:w="1640"/>
      </w:tblGrid>
      <w:tr w14:paraId="1F2C986D">
        <w:tblPrEx>
          <w:tblCellMar>
            <w:top w:w="0" w:type="dxa"/>
            <w:left w:w="0" w:type="dxa"/>
            <w:bottom w:w="0" w:type="dxa"/>
            <w:right w:w="0" w:type="dxa"/>
          </w:tblCellMar>
        </w:tblPrEx>
        <w:trPr>
          <w:trHeight w:val="358" w:hRule="atLeast"/>
        </w:trPr>
        <w:tc>
          <w:tcPr>
            <w:tcW w:w="8660" w:type="dxa"/>
            <w:gridSpan w:val="3"/>
            <w:tcBorders>
              <w:bottom w:val="single" w:color="auto" w:sz="8" w:space="0"/>
            </w:tcBorders>
            <w:vAlign w:val="bottom"/>
          </w:tcPr>
          <w:p w14:paraId="6203BB57">
            <w:pPr>
              <w:spacing w:line="240" w:lineRule="exact"/>
              <w:ind w:left="480"/>
              <w:rPr>
                <w:sz w:val="20"/>
                <w:szCs w:val="20"/>
              </w:rPr>
            </w:pPr>
            <w:r>
              <w:rPr>
                <w:rFonts w:ascii="宋体" w:hAnsi="宋体" w:cs="宋体"/>
                <w:sz w:val="21"/>
                <w:szCs w:val="21"/>
              </w:rPr>
              <w:t>项目名称：</w:t>
            </w:r>
            <w:r>
              <w:rPr>
                <w:rFonts w:hint="eastAsia" w:ascii="宋体" w:hAnsi="宋体" w:cs="宋体"/>
                <w:sz w:val="21"/>
                <w:szCs w:val="21"/>
              </w:rPr>
              <w:t xml:space="preserve">                                                </w:t>
            </w:r>
            <w:r>
              <w:rPr>
                <w:rFonts w:ascii="宋体" w:hAnsi="宋体" w:cs="宋体"/>
                <w:sz w:val="21"/>
                <w:szCs w:val="21"/>
              </w:rPr>
              <w:t>项目编号：</w:t>
            </w:r>
          </w:p>
        </w:tc>
      </w:tr>
      <w:tr w14:paraId="4EF10D69">
        <w:tblPrEx>
          <w:tblCellMar>
            <w:top w:w="0" w:type="dxa"/>
            <w:left w:w="0" w:type="dxa"/>
            <w:bottom w:w="0" w:type="dxa"/>
            <w:right w:w="0" w:type="dxa"/>
          </w:tblCellMar>
        </w:tblPrEx>
        <w:trPr>
          <w:trHeight w:val="457" w:hRule="atLeast"/>
        </w:trPr>
        <w:tc>
          <w:tcPr>
            <w:tcW w:w="2238" w:type="dxa"/>
            <w:vMerge w:val="restart"/>
            <w:tcBorders>
              <w:left w:val="single" w:color="auto" w:sz="8" w:space="0"/>
              <w:right w:val="single" w:color="auto" w:sz="8" w:space="0"/>
            </w:tcBorders>
            <w:vAlign w:val="center"/>
          </w:tcPr>
          <w:p w14:paraId="086C80F9">
            <w:pPr>
              <w:spacing w:line="240" w:lineRule="exact"/>
              <w:jc w:val="center"/>
              <w:rPr>
                <w:sz w:val="20"/>
                <w:szCs w:val="20"/>
              </w:rPr>
            </w:pPr>
            <w:r>
              <w:rPr>
                <w:rFonts w:ascii="宋体" w:hAnsi="宋体" w:cs="宋体"/>
                <w:sz w:val="21"/>
                <w:szCs w:val="21"/>
              </w:rPr>
              <w:t>投标报价（人民</w:t>
            </w:r>
            <w:r>
              <w:rPr>
                <w:rFonts w:ascii="宋体" w:hAnsi="宋体" w:cs="宋体"/>
                <w:w w:val="99"/>
                <w:sz w:val="21"/>
                <w:szCs w:val="21"/>
              </w:rPr>
              <w:t>币）</w:t>
            </w:r>
          </w:p>
        </w:tc>
        <w:tc>
          <w:tcPr>
            <w:tcW w:w="4782" w:type="dxa"/>
            <w:vMerge w:val="restart"/>
            <w:tcBorders>
              <w:right w:val="single" w:color="auto" w:sz="8" w:space="0"/>
            </w:tcBorders>
            <w:vAlign w:val="center"/>
          </w:tcPr>
          <w:p w14:paraId="7665950E">
            <w:pPr>
              <w:spacing w:line="238" w:lineRule="exact"/>
              <w:ind w:left="80"/>
              <w:jc w:val="left"/>
              <w:rPr>
                <w:rFonts w:hint="eastAsia" w:ascii="宋体" w:hAnsi="宋体" w:cs="宋体"/>
                <w:sz w:val="21"/>
                <w:szCs w:val="21"/>
                <w:lang w:val="en-US" w:eastAsia="zh-CN"/>
              </w:rPr>
            </w:pPr>
          </w:p>
          <w:p w14:paraId="464AD317">
            <w:pPr>
              <w:spacing w:line="238" w:lineRule="exact"/>
              <w:ind w:left="80"/>
              <w:jc w:val="left"/>
              <w:rPr>
                <w:rFonts w:hint="eastAsia" w:ascii="宋体" w:hAnsi="宋体" w:cs="宋体"/>
                <w:sz w:val="21"/>
                <w:szCs w:val="21"/>
                <w:lang w:val="en-US" w:eastAsia="zh-CN"/>
              </w:rPr>
            </w:pPr>
          </w:p>
          <w:p w14:paraId="1C6CB8EC">
            <w:pPr>
              <w:spacing w:line="238" w:lineRule="exact"/>
              <w:ind w:left="80"/>
              <w:jc w:val="left"/>
              <w:rPr>
                <w:sz w:val="20"/>
                <w:szCs w:val="20"/>
              </w:rPr>
            </w:pPr>
            <w:r>
              <w:rPr>
                <w:rFonts w:hint="eastAsia" w:ascii="宋体" w:hAnsi="宋体" w:cs="宋体"/>
                <w:sz w:val="21"/>
                <w:szCs w:val="21"/>
                <w:lang w:val="en-US" w:eastAsia="zh-CN"/>
              </w:rPr>
              <w:t>费用</w:t>
            </w:r>
            <w:r>
              <w:rPr>
                <w:rFonts w:ascii="宋体" w:hAnsi="宋体" w:cs="宋体"/>
                <w:sz w:val="21"/>
                <w:szCs w:val="21"/>
              </w:rPr>
              <w:t>：</w:t>
            </w:r>
            <w:r>
              <w:rPr>
                <w:rFonts w:hint="eastAsia" w:ascii="宋体" w:hAnsi="宋体" w:cs="宋体"/>
                <w:sz w:val="21"/>
                <w:szCs w:val="21"/>
                <w:lang w:val="en-US" w:eastAsia="zh-CN"/>
              </w:rPr>
              <w:t xml:space="preserve">         </w:t>
            </w:r>
            <w:r>
              <w:rPr>
                <w:rFonts w:ascii="宋体" w:hAnsi="宋体" w:cs="宋体"/>
                <w:w w:val="95"/>
                <w:sz w:val="21"/>
                <w:szCs w:val="21"/>
              </w:rPr>
              <w:t>万元</w:t>
            </w:r>
          </w:p>
          <w:p w14:paraId="043848B9">
            <w:pPr>
              <w:jc w:val="left"/>
              <w:rPr>
                <w:sz w:val="20"/>
                <w:szCs w:val="20"/>
              </w:rPr>
            </w:pPr>
          </w:p>
          <w:p w14:paraId="19322792">
            <w:pPr>
              <w:spacing w:line="238" w:lineRule="exact"/>
              <w:jc w:val="left"/>
              <w:rPr>
                <w:sz w:val="20"/>
                <w:szCs w:val="20"/>
              </w:rPr>
            </w:pPr>
          </w:p>
        </w:tc>
        <w:tc>
          <w:tcPr>
            <w:tcW w:w="1640" w:type="dxa"/>
            <w:tcBorders>
              <w:right w:val="single" w:color="auto" w:sz="8" w:space="0"/>
            </w:tcBorders>
            <w:vAlign w:val="center"/>
          </w:tcPr>
          <w:p w14:paraId="265C3D46">
            <w:pPr>
              <w:spacing w:line="240" w:lineRule="exact"/>
              <w:jc w:val="center"/>
              <w:rPr>
                <w:sz w:val="20"/>
                <w:szCs w:val="20"/>
              </w:rPr>
            </w:pPr>
            <w:r>
              <w:rPr>
                <w:rFonts w:ascii="宋体" w:hAnsi="宋体" w:cs="宋体"/>
                <w:sz w:val="21"/>
                <w:szCs w:val="21"/>
              </w:rPr>
              <w:t>备注</w:t>
            </w:r>
          </w:p>
        </w:tc>
      </w:tr>
      <w:tr w14:paraId="787151D2">
        <w:tblPrEx>
          <w:tblCellMar>
            <w:top w:w="0" w:type="dxa"/>
            <w:left w:w="0" w:type="dxa"/>
            <w:bottom w:w="0" w:type="dxa"/>
            <w:right w:w="0" w:type="dxa"/>
          </w:tblCellMar>
        </w:tblPrEx>
        <w:trPr>
          <w:trHeight w:val="238" w:hRule="atLeast"/>
        </w:trPr>
        <w:tc>
          <w:tcPr>
            <w:tcW w:w="2238" w:type="dxa"/>
            <w:vMerge w:val="continue"/>
            <w:tcBorders>
              <w:left w:val="single" w:color="auto" w:sz="8" w:space="0"/>
              <w:right w:val="single" w:color="auto" w:sz="8" w:space="0"/>
            </w:tcBorders>
            <w:vAlign w:val="center"/>
          </w:tcPr>
          <w:p w14:paraId="1A68DA1C">
            <w:pPr>
              <w:jc w:val="center"/>
              <w:rPr>
                <w:sz w:val="20"/>
                <w:szCs w:val="20"/>
              </w:rPr>
            </w:pPr>
          </w:p>
        </w:tc>
        <w:tc>
          <w:tcPr>
            <w:tcW w:w="4782" w:type="dxa"/>
            <w:vMerge w:val="continue"/>
            <w:tcBorders>
              <w:right w:val="single" w:color="auto" w:sz="8" w:space="0"/>
            </w:tcBorders>
            <w:vAlign w:val="center"/>
          </w:tcPr>
          <w:p w14:paraId="7343A399">
            <w:pPr>
              <w:spacing w:line="238" w:lineRule="exact"/>
              <w:ind w:left="100"/>
              <w:jc w:val="left"/>
              <w:rPr>
                <w:sz w:val="20"/>
                <w:szCs w:val="20"/>
              </w:rPr>
            </w:pPr>
          </w:p>
        </w:tc>
        <w:tc>
          <w:tcPr>
            <w:tcW w:w="1640" w:type="dxa"/>
            <w:tcBorders>
              <w:right w:val="single" w:color="auto" w:sz="8" w:space="0"/>
            </w:tcBorders>
            <w:vAlign w:val="center"/>
          </w:tcPr>
          <w:p w14:paraId="29766154">
            <w:pPr>
              <w:jc w:val="center"/>
              <w:rPr>
                <w:sz w:val="20"/>
                <w:szCs w:val="20"/>
              </w:rPr>
            </w:pPr>
          </w:p>
        </w:tc>
      </w:tr>
      <w:tr w14:paraId="623AA0B5">
        <w:tblPrEx>
          <w:tblCellMar>
            <w:top w:w="0" w:type="dxa"/>
            <w:left w:w="0" w:type="dxa"/>
            <w:bottom w:w="0" w:type="dxa"/>
            <w:right w:w="0" w:type="dxa"/>
          </w:tblCellMar>
        </w:tblPrEx>
        <w:trPr>
          <w:trHeight w:val="238" w:hRule="atLeast"/>
        </w:trPr>
        <w:tc>
          <w:tcPr>
            <w:tcW w:w="2238" w:type="dxa"/>
            <w:vMerge w:val="continue"/>
            <w:tcBorders>
              <w:left w:val="single" w:color="auto" w:sz="8" w:space="0"/>
              <w:right w:val="single" w:color="auto" w:sz="8" w:space="0"/>
            </w:tcBorders>
            <w:vAlign w:val="center"/>
          </w:tcPr>
          <w:p w14:paraId="52206514">
            <w:pPr>
              <w:spacing w:line="238" w:lineRule="exact"/>
              <w:jc w:val="center"/>
              <w:rPr>
                <w:sz w:val="20"/>
                <w:szCs w:val="20"/>
              </w:rPr>
            </w:pPr>
          </w:p>
        </w:tc>
        <w:tc>
          <w:tcPr>
            <w:tcW w:w="4782" w:type="dxa"/>
            <w:vMerge w:val="continue"/>
            <w:tcBorders>
              <w:right w:val="single" w:color="auto" w:sz="8" w:space="0"/>
            </w:tcBorders>
            <w:vAlign w:val="center"/>
          </w:tcPr>
          <w:p w14:paraId="501EDE1E">
            <w:pPr>
              <w:jc w:val="left"/>
              <w:rPr>
                <w:sz w:val="20"/>
                <w:szCs w:val="20"/>
              </w:rPr>
            </w:pPr>
          </w:p>
        </w:tc>
        <w:tc>
          <w:tcPr>
            <w:tcW w:w="1640" w:type="dxa"/>
            <w:tcBorders>
              <w:right w:val="single" w:color="auto" w:sz="8" w:space="0"/>
            </w:tcBorders>
            <w:vAlign w:val="center"/>
          </w:tcPr>
          <w:p w14:paraId="74DF502E">
            <w:pPr>
              <w:jc w:val="center"/>
              <w:rPr>
                <w:sz w:val="20"/>
                <w:szCs w:val="20"/>
              </w:rPr>
            </w:pPr>
          </w:p>
        </w:tc>
      </w:tr>
      <w:tr w14:paraId="631D9145">
        <w:tblPrEx>
          <w:tblCellMar>
            <w:top w:w="0" w:type="dxa"/>
            <w:left w:w="0" w:type="dxa"/>
            <w:bottom w:w="0" w:type="dxa"/>
            <w:right w:w="0" w:type="dxa"/>
          </w:tblCellMar>
        </w:tblPrEx>
        <w:trPr>
          <w:trHeight w:val="255" w:hRule="atLeast"/>
        </w:trPr>
        <w:tc>
          <w:tcPr>
            <w:tcW w:w="2238" w:type="dxa"/>
            <w:vMerge w:val="continue"/>
            <w:tcBorders>
              <w:left w:val="single" w:color="auto" w:sz="8" w:space="0"/>
              <w:bottom w:val="single" w:color="auto" w:sz="8" w:space="0"/>
              <w:right w:val="single" w:color="auto" w:sz="8" w:space="0"/>
            </w:tcBorders>
            <w:vAlign w:val="center"/>
          </w:tcPr>
          <w:p w14:paraId="17782B91">
            <w:pPr>
              <w:jc w:val="center"/>
            </w:pPr>
          </w:p>
        </w:tc>
        <w:tc>
          <w:tcPr>
            <w:tcW w:w="4782" w:type="dxa"/>
            <w:vMerge w:val="continue"/>
            <w:tcBorders>
              <w:bottom w:val="single" w:color="auto" w:sz="8" w:space="0"/>
              <w:right w:val="single" w:color="auto" w:sz="8" w:space="0"/>
            </w:tcBorders>
            <w:vAlign w:val="center"/>
          </w:tcPr>
          <w:p w14:paraId="6A627889">
            <w:pPr>
              <w:jc w:val="left"/>
            </w:pPr>
          </w:p>
        </w:tc>
        <w:tc>
          <w:tcPr>
            <w:tcW w:w="1640" w:type="dxa"/>
            <w:tcBorders>
              <w:bottom w:val="single" w:color="auto" w:sz="8" w:space="0"/>
              <w:right w:val="single" w:color="auto" w:sz="8" w:space="0"/>
            </w:tcBorders>
            <w:vAlign w:val="center"/>
          </w:tcPr>
          <w:p w14:paraId="1E25FE76">
            <w:pPr>
              <w:jc w:val="center"/>
            </w:pPr>
          </w:p>
        </w:tc>
      </w:tr>
      <w:tr w14:paraId="48B10554">
        <w:tblPrEx>
          <w:tblCellMar>
            <w:top w:w="0" w:type="dxa"/>
            <w:left w:w="0" w:type="dxa"/>
            <w:bottom w:w="0" w:type="dxa"/>
            <w:right w:w="0" w:type="dxa"/>
          </w:tblCellMar>
        </w:tblPrEx>
        <w:trPr>
          <w:trHeight w:val="332" w:hRule="atLeast"/>
        </w:trPr>
        <w:tc>
          <w:tcPr>
            <w:tcW w:w="2238" w:type="dxa"/>
            <w:vMerge w:val="restart"/>
            <w:tcBorders>
              <w:left w:val="single" w:color="auto" w:sz="8" w:space="0"/>
              <w:right w:val="single" w:color="auto" w:sz="8" w:space="0"/>
            </w:tcBorders>
            <w:vAlign w:val="center"/>
          </w:tcPr>
          <w:p w14:paraId="77671D57">
            <w:pPr>
              <w:spacing w:line="220" w:lineRule="exact"/>
              <w:jc w:val="center"/>
              <w:rPr>
                <w:sz w:val="20"/>
                <w:szCs w:val="20"/>
              </w:rPr>
            </w:pPr>
            <w:r>
              <w:rPr>
                <w:rFonts w:ascii="宋体" w:hAnsi="宋体" w:cs="宋体"/>
                <w:sz w:val="21"/>
                <w:szCs w:val="21"/>
              </w:rPr>
              <w:t>服务时间</w:t>
            </w:r>
          </w:p>
        </w:tc>
        <w:tc>
          <w:tcPr>
            <w:tcW w:w="4782" w:type="dxa"/>
            <w:vMerge w:val="restart"/>
            <w:tcBorders>
              <w:right w:val="single" w:color="auto" w:sz="8" w:space="0"/>
            </w:tcBorders>
            <w:vAlign w:val="center"/>
          </w:tcPr>
          <w:p w14:paraId="614EC2E3">
            <w:pPr>
              <w:spacing w:line="238" w:lineRule="exact"/>
              <w:jc w:val="left"/>
              <w:rPr>
                <w:sz w:val="20"/>
                <w:szCs w:val="20"/>
              </w:rPr>
            </w:pPr>
            <w:r>
              <w:rPr>
                <w:rFonts w:ascii="宋体" w:hAnsi="宋体" w:cs="宋体"/>
                <w:sz w:val="21"/>
                <w:szCs w:val="21"/>
              </w:rPr>
              <w:t>满足招标文件要求</w:t>
            </w:r>
          </w:p>
        </w:tc>
        <w:tc>
          <w:tcPr>
            <w:tcW w:w="1640" w:type="dxa"/>
            <w:tcBorders>
              <w:right w:val="single" w:color="auto" w:sz="8" w:space="0"/>
            </w:tcBorders>
            <w:vAlign w:val="center"/>
          </w:tcPr>
          <w:p w14:paraId="53195988">
            <w:pPr>
              <w:jc w:val="center"/>
              <w:rPr>
                <w:sz w:val="24"/>
                <w:szCs w:val="24"/>
              </w:rPr>
            </w:pPr>
          </w:p>
        </w:tc>
      </w:tr>
      <w:tr w14:paraId="387C3A2E">
        <w:tblPrEx>
          <w:tblCellMar>
            <w:top w:w="0" w:type="dxa"/>
            <w:left w:w="0" w:type="dxa"/>
            <w:bottom w:w="0" w:type="dxa"/>
            <w:right w:w="0" w:type="dxa"/>
          </w:tblCellMar>
        </w:tblPrEx>
        <w:trPr>
          <w:trHeight w:val="238" w:hRule="atLeast"/>
        </w:trPr>
        <w:tc>
          <w:tcPr>
            <w:tcW w:w="2238" w:type="dxa"/>
            <w:vMerge w:val="continue"/>
            <w:tcBorders>
              <w:left w:val="single" w:color="auto" w:sz="8" w:space="0"/>
              <w:right w:val="single" w:color="auto" w:sz="8" w:space="0"/>
            </w:tcBorders>
            <w:vAlign w:val="center"/>
          </w:tcPr>
          <w:p w14:paraId="1C7C3113">
            <w:pPr>
              <w:jc w:val="center"/>
              <w:rPr>
                <w:sz w:val="20"/>
                <w:szCs w:val="20"/>
              </w:rPr>
            </w:pPr>
          </w:p>
        </w:tc>
        <w:tc>
          <w:tcPr>
            <w:tcW w:w="4782" w:type="dxa"/>
            <w:vMerge w:val="continue"/>
            <w:tcBorders>
              <w:right w:val="single" w:color="auto" w:sz="8" w:space="0"/>
            </w:tcBorders>
            <w:vAlign w:val="center"/>
          </w:tcPr>
          <w:p w14:paraId="549900C3">
            <w:pPr>
              <w:spacing w:line="238" w:lineRule="exact"/>
              <w:jc w:val="left"/>
              <w:rPr>
                <w:sz w:val="20"/>
                <w:szCs w:val="20"/>
              </w:rPr>
            </w:pPr>
          </w:p>
        </w:tc>
        <w:tc>
          <w:tcPr>
            <w:tcW w:w="1640" w:type="dxa"/>
            <w:tcBorders>
              <w:right w:val="single" w:color="auto" w:sz="8" w:space="0"/>
            </w:tcBorders>
            <w:vAlign w:val="center"/>
          </w:tcPr>
          <w:p w14:paraId="1433989E">
            <w:pPr>
              <w:jc w:val="center"/>
              <w:rPr>
                <w:sz w:val="20"/>
                <w:szCs w:val="20"/>
              </w:rPr>
            </w:pPr>
          </w:p>
        </w:tc>
      </w:tr>
      <w:tr w14:paraId="0B3FC304">
        <w:tblPrEx>
          <w:tblCellMar>
            <w:top w:w="0" w:type="dxa"/>
            <w:left w:w="0" w:type="dxa"/>
            <w:bottom w:w="0" w:type="dxa"/>
            <w:right w:w="0" w:type="dxa"/>
          </w:tblCellMar>
        </w:tblPrEx>
        <w:trPr>
          <w:trHeight w:val="220" w:hRule="atLeast"/>
        </w:trPr>
        <w:tc>
          <w:tcPr>
            <w:tcW w:w="2238" w:type="dxa"/>
            <w:vMerge w:val="continue"/>
            <w:tcBorders>
              <w:left w:val="single" w:color="auto" w:sz="8" w:space="0"/>
              <w:right w:val="single" w:color="auto" w:sz="8" w:space="0"/>
            </w:tcBorders>
            <w:vAlign w:val="center"/>
          </w:tcPr>
          <w:p w14:paraId="5C9677BC">
            <w:pPr>
              <w:spacing w:line="220" w:lineRule="exact"/>
              <w:jc w:val="center"/>
              <w:rPr>
                <w:sz w:val="20"/>
                <w:szCs w:val="20"/>
              </w:rPr>
            </w:pPr>
          </w:p>
        </w:tc>
        <w:tc>
          <w:tcPr>
            <w:tcW w:w="4782" w:type="dxa"/>
            <w:vMerge w:val="continue"/>
            <w:tcBorders>
              <w:right w:val="single" w:color="auto" w:sz="8" w:space="0"/>
            </w:tcBorders>
            <w:vAlign w:val="center"/>
          </w:tcPr>
          <w:p w14:paraId="0A8BA632">
            <w:pPr>
              <w:jc w:val="left"/>
              <w:rPr>
                <w:sz w:val="19"/>
                <w:szCs w:val="19"/>
              </w:rPr>
            </w:pPr>
          </w:p>
        </w:tc>
        <w:tc>
          <w:tcPr>
            <w:tcW w:w="1640" w:type="dxa"/>
            <w:tcBorders>
              <w:right w:val="single" w:color="auto" w:sz="8" w:space="0"/>
            </w:tcBorders>
            <w:vAlign w:val="center"/>
          </w:tcPr>
          <w:p w14:paraId="6DF6B0DF">
            <w:pPr>
              <w:jc w:val="center"/>
              <w:rPr>
                <w:sz w:val="19"/>
                <w:szCs w:val="19"/>
              </w:rPr>
            </w:pPr>
          </w:p>
        </w:tc>
      </w:tr>
      <w:tr w14:paraId="4804E317">
        <w:tblPrEx>
          <w:tblCellMar>
            <w:top w:w="0" w:type="dxa"/>
            <w:left w:w="0" w:type="dxa"/>
            <w:bottom w:w="0" w:type="dxa"/>
            <w:right w:w="0" w:type="dxa"/>
          </w:tblCellMar>
        </w:tblPrEx>
        <w:trPr>
          <w:trHeight w:val="133" w:hRule="atLeast"/>
        </w:trPr>
        <w:tc>
          <w:tcPr>
            <w:tcW w:w="2238" w:type="dxa"/>
            <w:vMerge w:val="continue"/>
            <w:tcBorders>
              <w:left w:val="single" w:color="auto" w:sz="8" w:space="0"/>
              <w:bottom w:val="single" w:color="auto" w:sz="8" w:space="0"/>
              <w:right w:val="single" w:color="auto" w:sz="8" w:space="0"/>
            </w:tcBorders>
            <w:vAlign w:val="center"/>
          </w:tcPr>
          <w:p w14:paraId="6E509E3D">
            <w:pPr>
              <w:jc w:val="center"/>
              <w:rPr>
                <w:sz w:val="11"/>
                <w:szCs w:val="11"/>
              </w:rPr>
            </w:pPr>
          </w:p>
        </w:tc>
        <w:tc>
          <w:tcPr>
            <w:tcW w:w="4782" w:type="dxa"/>
            <w:vMerge w:val="continue"/>
            <w:tcBorders>
              <w:bottom w:val="single" w:color="auto" w:sz="8" w:space="0"/>
              <w:right w:val="single" w:color="auto" w:sz="8" w:space="0"/>
            </w:tcBorders>
            <w:vAlign w:val="center"/>
          </w:tcPr>
          <w:p w14:paraId="312B8822">
            <w:pPr>
              <w:jc w:val="left"/>
              <w:rPr>
                <w:sz w:val="11"/>
                <w:szCs w:val="11"/>
              </w:rPr>
            </w:pPr>
          </w:p>
        </w:tc>
        <w:tc>
          <w:tcPr>
            <w:tcW w:w="1640" w:type="dxa"/>
            <w:tcBorders>
              <w:bottom w:val="single" w:color="auto" w:sz="8" w:space="0"/>
              <w:right w:val="single" w:color="auto" w:sz="8" w:space="0"/>
            </w:tcBorders>
            <w:vAlign w:val="center"/>
          </w:tcPr>
          <w:p w14:paraId="1C80D8DE">
            <w:pPr>
              <w:jc w:val="center"/>
              <w:rPr>
                <w:sz w:val="11"/>
                <w:szCs w:val="11"/>
              </w:rPr>
            </w:pPr>
          </w:p>
        </w:tc>
      </w:tr>
      <w:tr w14:paraId="4DAE77AA">
        <w:tblPrEx>
          <w:tblCellMar>
            <w:top w:w="0" w:type="dxa"/>
            <w:left w:w="0" w:type="dxa"/>
            <w:bottom w:w="0" w:type="dxa"/>
            <w:right w:w="0" w:type="dxa"/>
          </w:tblCellMar>
        </w:tblPrEx>
        <w:trPr>
          <w:trHeight w:val="459" w:hRule="atLeast"/>
        </w:trPr>
        <w:tc>
          <w:tcPr>
            <w:tcW w:w="2238" w:type="dxa"/>
            <w:vMerge w:val="restart"/>
            <w:tcBorders>
              <w:left w:val="single" w:color="auto" w:sz="8" w:space="0"/>
              <w:right w:val="single" w:color="auto" w:sz="8" w:space="0"/>
            </w:tcBorders>
            <w:vAlign w:val="center"/>
          </w:tcPr>
          <w:p w14:paraId="1E4389D0">
            <w:pPr>
              <w:spacing w:line="240" w:lineRule="exact"/>
              <w:jc w:val="center"/>
              <w:rPr>
                <w:rFonts w:ascii="宋体" w:hAnsi="宋体" w:cs="宋体"/>
                <w:sz w:val="21"/>
                <w:szCs w:val="21"/>
              </w:rPr>
            </w:pPr>
            <w:r>
              <w:rPr>
                <w:rFonts w:ascii="宋体" w:hAnsi="宋体" w:cs="宋体"/>
                <w:sz w:val="21"/>
                <w:szCs w:val="21"/>
              </w:rPr>
              <w:t>供应商是否属于</w:t>
            </w:r>
          </w:p>
          <w:p w14:paraId="74478744">
            <w:pPr>
              <w:spacing w:line="218" w:lineRule="exact"/>
              <w:jc w:val="center"/>
              <w:rPr>
                <w:sz w:val="20"/>
                <w:szCs w:val="20"/>
              </w:rPr>
            </w:pPr>
            <w:r>
              <w:rPr>
                <w:rFonts w:ascii="宋体" w:hAnsi="宋体" w:cs="宋体"/>
                <w:w w:val="98"/>
                <w:sz w:val="21"/>
                <w:szCs w:val="21"/>
              </w:rPr>
              <w:t>小微型企业</w:t>
            </w:r>
          </w:p>
        </w:tc>
        <w:tc>
          <w:tcPr>
            <w:tcW w:w="4782" w:type="dxa"/>
            <w:vMerge w:val="restart"/>
            <w:tcBorders>
              <w:right w:val="single" w:color="auto" w:sz="8" w:space="0"/>
            </w:tcBorders>
            <w:vAlign w:val="center"/>
          </w:tcPr>
          <w:p w14:paraId="00887A39">
            <w:pPr>
              <w:spacing w:line="238" w:lineRule="exact"/>
              <w:jc w:val="left"/>
              <w:rPr>
                <w:sz w:val="20"/>
                <w:szCs w:val="20"/>
              </w:rPr>
            </w:pPr>
            <w:r>
              <w:rPr>
                <w:rFonts w:ascii="宋体" w:hAnsi="宋体" w:cs="宋体"/>
                <w:sz w:val="21"/>
                <w:szCs w:val="21"/>
              </w:rPr>
              <w:t>（填写“是”或否）</w:t>
            </w:r>
          </w:p>
        </w:tc>
        <w:tc>
          <w:tcPr>
            <w:tcW w:w="1640" w:type="dxa"/>
            <w:tcBorders>
              <w:right w:val="single" w:color="auto" w:sz="8" w:space="0"/>
            </w:tcBorders>
            <w:vAlign w:val="center"/>
          </w:tcPr>
          <w:p w14:paraId="1C6ED115">
            <w:pPr>
              <w:jc w:val="center"/>
              <w:rPr>
                <w:sz w:val="24"/>
                <w:szCs w:val="24"/>
              </w:rPr>
            </w:pPr>
          </w:p>
        </w:tc>
      </w:tr>
      <w:tr w14:paraId="4EF408E3">
        <w:tblPrEx>
          <w:tblCellMar>
            <w:top w:w="0" w:type="dxa"/>
            <w:left w:w="0" w:type="dxa"/>
            <w:bottom w:w="0" w:type="dxa"/>
            <w:right w:w="0" w:type="dxa"/>
          </w:tblCellMar>
        </w:tblPrEx>
        <w:trPr>
          <w:trHeight w:val="238" w:hRule="atLeast"/>
        </w:trPr>
        <w:tc>
          <w:tcPr>
            <w:tcW w:w="2238" w:type="dxa"/>
            <w:vMerge w:val="continue"/>
            <w:tcBorders>
              <w:left w:val="single" w:color="auto" w:sz="8" w:space="0"/>
              <w:right w:val="single" w:color="auto" w:sz="8" w:space="0"/>
            </w:tcBorders>
            <w:vAlign w:val="center"/>
          </w:tcPr>
          <w:p w14:paraId="067834A2">
            <w:pPr>
              <w:jc w:val="center"/>
              <w:rPr>
                <w:sz w:val="20"/>
                <w:szCs w:val="20"/>
              </w:rPr>
            </w:pPr>
          </w:p>
        </w:tc>
        <w:tc>
          <w:tcPr>
            <w:tcW w:w="4782" w:type="dxa"/>
            <w:vMerge w:val="continue"/>
            <w:tcBorders>
              <w:right w:val="single" w:color="auto" w:sz="8" w:space="0"/>
            </w:tcBorders>
            <w:vAlign w:val="center"/>
          </w:tcPr>
          <w:p w14:paraId="0ABEABC5">
            <w:pPr>
              <w:spacing w:line="238" w:lineRule="exact"/>
              <w:jc w:val="left"/>
              <w:rPr>
                <w:sz w:val="20"/>
                <w:szCs w:val="20"/>
              </w:rPr>
            </w:pPr>
          </w:p>
        </w:tc>
        <w:tc>
          <w:tcPr>
            <w:tcW w:w="1640" w:type="dxa"/>
            <w:tcBorders>
              <w:right w:val="single" w:color="auto" w:sz="8" w:space="0"/>
            </w:tcBorders>
            <w:vAlign w:val="center"/>
          </w:tcPr>
          <w:p w14:paraId="3CF605FB">
            <w:pPr>
              <w:jc w:val="center"/>
              <w:rPr>
                <w:sz w:val="20"/>
                <w:szCs w:val="20"/>
              </w:rPr>
            </w:pPr>
          </w:p>
        </w:tc>
      </w:tr>
      <w:tr w14:paraId="78C39817">
        <w:tblPrEx>
          <w:tblCellMar>
            <w:top w:w="0" w:type="dxa"/>
            <w:left w:w="0" w:type="dxa"/>
            <w:bottom w:w="0" w:type="dxa"/>
            <w:right w:w="0" w:type="dxa"/>
          </w:tblCellMar>
        </w:tblPrEx>
        <w:trPr>
          <w:trHeight w:val="218" w:hRule="atLeast"/>
        </w:trPr>
        <w:tc>
          <w:tcPr>
            <w:tcW w:w="2238" w:type="dxa"/>
            <w:vMerge w:val="continue"/>
            <w:tcBorders>
              <w:left w:val="single" w:color="auto" w:sz="8" w:space="0"/>
              <w:right w:val="single" w:color="auto" w:sz="8" w:space="0"/>
            </w:tcBorders>
            <w:vAlign w:val="center"/>
          </w:tcPr>
          <w:p w14:paraId="74D27DF0">
            <w:pPr>
              <w:spacing w:line="218" w:lineRule="exact"/>
              <w:jc w:val="center"/>
              <w:rPr>
                <w:sz w:val="20"/>
                <w:szCs w:val="20"/>
              </w:rPr>
            </w:pPr>
          </w:p>
        </w:tc>
        <w:tc>
          <w:tcPr>
            <w:tcW w:w="4782" w:type="dxa"/>
            <w:vMerge w:val="continue"/>
            <w:tcBorders>
              <w:right w:val="single" w:color="auto" w:sz="8" w:space="0"/>
            </w:tcBorders>
            <w:vAlign w:val="center"/>
          </w:tcPr>
          <w:p w14:paraId="7734D922">
            <w:pPr>
              <w:jc w:val="left"/>
              <w:rPr>
                <w:sz w:val="18"/>
                <w:szCs w:val="18"/>
              </w:rPr>
            </w:pPr>
          </w:p>
        </w:tc>
        <w:tc>
          <w:tcPr>
            <w:tcW w:w="1640" w:type="dxa"/>
            <w:tcBorders>
              <w:right w:val="single" w:color="auto" w:sz="8" w:space="0"/>
            </w:tcBorders>
            <w:vAlign w:val="center"/>
          </w:tcPr>
          <w:p w14:paraId="54FD7AFF">
            <w:pPr>
              <w:jc w:val="center"/>
              <w:rPr>
                <w:sz w:val="18"/>
                <w:szCs w:val="18"/>
              </w:rPr>
            </w:pPr>
          </w:p>
        </w:tc>
      </w:tr>
      <w:tr w14:paraId="477ECC4C">
        <w:tblPrEx>
          <w:tblCellMar>
            <w:top w:w="0" w:type="dxa"/>
            <w:left w:w="0" w:type="dxa"/>
            <w:bottom w:w="0" w:type="dxa"/>
            <w:right w:w="0" w:type="dxa"/>
          </w:tblCellMar>
        </w:tblPrEx>
        <w:trPr>
          <w:trHeight w:val="260" w:hRule="atLeast"/>
        </w:trPr>
        <w:tc>
          <w:tcPr>
            <w:tcW w:w="2238" w:type="dxa"/>
            <w:vMerge w:val="continue"/>
            <w:tcBorders>
              <w:left w:val="single" w:color="auto" w:sz="8" w:space="0"/>
              <w:bottom w:val="single" w:color="auto" w:sz="8" w:space="0"/>
              <w:right w:val="single" w:color="auto" w:sz="8" w:space="0"/>
            </w:tcBorders>
            <w:vAlign w:val="center"/>
          </w:tcPr>
          <w:p w14:paraId="29E231EA">
            <w:pPr>
              <w:jc w:val="center"/>
            </w:pPr>
          </w:p>
        </w:tc>
        <w:tc>
          <w:tcPr>
            <w:tcW w:w="4782" w:type="dxa"/>
            <w:vMerge w:val="continue"/>
            <w:tcBorders>
              <w:bottom w:val="single" w:color="auto" w:sz="8" w:space="0"/>
              <w:right w:val="single" w:color="auto" w:sz="8" w:space="0"/>
            </w:tcBorders>
            <w:vAlign w:val="center"/>
          </w:tcPr>
          <w:p w14:paraId="29B51F6F">
            <w:pPr>
              <w:jc w:val="left"/>
            </w:pPr>
          </w:p>
        </w:tc>
        <w:tc>
          <w:tcPr>
            <w:tcW w:w="1640" w:type="dxa"/>
            <w:tcBorders>
              <w:bottom w:val="single" w:color="auto" w:sz="8" w:space="0"/>
              <w:right w:val="single" w:color="auto" w:sz="8" w:space="0"/>
            </w:tcBorders>
            <w:vAlign w:val="center"/>
          </w:tcPr>
          <w:p w14:paraId="7E71F043">
            <w:pPr>
              <w:jc w:val="center"/>
            </w:pPr>
          </w:p>
        </w:tc>
      </w:tr>
    </w:tbl>
    <w:p w14:paraId="6F85434B">
      <w:pPr>
        <w:spacing w:line="560" w:lineRule="exact"/>
        <w:ind w:firstLine="482"/>
        <w:rPr>
          <w:rFonts w:ascii="仿宋" w:hAnsi="宋体" w:eastAsia="仿宋" w:cs="宋体"/>
          <w:sz w:val="24"/>
          <w:szCs w:val="21"/>
          <w:u w:val="single"/>
        </w:rPr>
      </w:pPr>
      <w:r>
        <w:rPr>
          <w:rFonts w:ascii="仿宋" w:hAnsi="宋体" w:eastAsia="仿宋" w:cs="宋体"/>
          <w:sz w:val="24"/>
          <w:szCs w:val="21"/>
        </w:rPr>
        <w:t>供应商：</w:t>
      </w:r>
      <w:r>
        <w:rPr>
          <w:rFonts w:hint="eastAsia" w:ascii="仿宋" w:hAnsi="宋体" w:eastAsia="仿宋" w:cs="宋体"/>
          <w:sz w:val="24"/>
          <w:szCs w:val="21"/>
          <w:u w:val="single"/>
        </w:rPr>
        <w:t xml:space="preserve">        </w:t>
      </w:r>
      <w:r>
        <w:rPr>
          <w:rFonts w:ascii="仿宋" w:hAnsi="宋体" w:eastAsia="仿宋" w:cs="宋体"/>
          <w:sz w:val="24"/>
          <w:szCs w:val="21"/>
          <w:u w:val="single"/>
        </w:rPr>
        <w:t>（盖单位章）</w:t>
      </w:r>
    </w:p>
    <w:p w14:paraId="2FF7A3F5">
      <w:pPr>
        <w:spacing w:line="560" w:lineRule="exact"/>
        <w:ind w:firstLine="482"/>
        <w:rPr>
          <w:rFonts w:ascii="仿宋" w:hAnsi="宋体" w:eastAsia="仿宋" w:cs="宋体"/>
          <w:sz w:val="24"/>
          <w:szCs w:val="21"/>
          <w:u w:val="single"/>
        </w:rPr>
      </w:pPr>
      <w:r>
        <w:rPr>
          <w:rFonts w:ascii="仿宋" w:hAnsi="宋体" w:eastAsia="仿宋" w:cs="宋体"/>
          <w:sz w:val="24"/>
          <w:szCs w:val="21"/>
        </w:rPr>
        <w:t>法定代表人或其委托代理人：</w:t>
      </w:r>
      <w:r>
        <w:rPr>
          <w:rFonts w:hint="eastAsia" w:ascii="仿宋" w:hAnsi="宋体" w:eastAsia="仿宋" w:cs="宋体"/>
          <w:sz w:val="24"/>
          <w:szCs w:val="21"/>
          <w:u w:val="single"/>
        </w:rPr>
        <w:t xml:space="preserve">    </w:t>
      </w:r>
      <w:r>
        <w:rPr>
          <w:rFonts w:ascii="仿宋" w:hAnsi="宋体" w:eastAsia="仿宋" w:cs="宋体"/>
          <w:sz w:val="24"/>
          <w:szCs w:val="21"/>
          <w:u w:val="single"/>
        </w:rPr>
        <w:t>（签字或签章）</w:t>
      </w:r>
    </w:p>
    <w:p w14:paraId="62A7DE97">
      <w:pPr>
        <w:spacing w:line="20" w:lineRule="exact"/>
        <w:ind w:firstLine="480" w:firstLineChars="200"/>
        <w:rPr>
          <w:rFonts w:ascii="仿宋" w:eastAsia="仿宋"/>
          <w:sz w:val="24"/>
          <w:szCs w:val="20"/>
        </w:rPr>
      </w:pPr>
    </w:p>
    <w:p w14:paraId="1DEF6BA6">
      <w:pPr>
        <w:spacing w:line="560" w:lineRule="exact"/>
        <w:ind w:firstLine="482"/>
        <w:rPr>
          <w:rFonts w:ascii="仿宋" w:eastAsia="仿宋"/>
          <w:sz w:val="24"/>
          <w:szCs w:val="20"/>
        </w:rPr>
      </w:pPr>
      <w:r>
        <w:rPr>
          <w:rFonts w:ascii="仿宋" w:hAnsi="宋体" w:eastAsia="仿宋" w:cs="宋体"/>
          <w:sz w:val="24"/>
          <w:szCs w:val="21"/>
        </w:rPr>
        <w:t>说明：</w:t>
      </w:r>
    </w:p>
    <w:p w14:paraId="481E2574">
      <w:pPr>
        <w:spacing w:line="560" w:lineRule="exact"/>
        <w:ind w:firstLine="482"/>
        <w:rPr>
          <w:rFonts w:ascii="仿宋" w:eastAsia="仿宋"/>
          <w:sz w:val="24"/>
          <w:szCs w:val="20"/>
        </w:rPr>
      </w:pPr>
      <w:r>
        <w:rPr>
          <w:rFonts w:ascii="仿宋" w:hAnsi="宋体" w:eastAsia="仿宋" w:cs="宋体"/>
          <w:b/>
          <w:bCs/>
          <w:sz w:val="24"/>
          <w:szCs w:val="21"/>
        </w:rPr>
        <w:t>1、本项目仅接受一个价格，不得填报有选择性报价方案。若有优惠条款须注明，但不得影响报价，影响产品整体功能。</w:t>
      </w:r>
    </w:p>
    <w:p w14:paraId="5B11C6DA">
      <w:pPr>
        <w:spacing w:line="560" w:lineRule="exact"/>
        <w:ind w:firstLine="482"/>
        <w:rPr>
          <w:rFonts w:ascii="仿宋" w:eastAsia="仿宋"/>
          <w:sz w:val="24"/>
          <w:szCs w:val="20"/>
        </w:rPr>
      </w:pPr>
      <w:r>
        <w:rPr>
          <w:rFonts w:ascii="仿宋" w:hAnsi="宋体" w:eastAsia="仿宋" w:cs="宋体"/>
          <w:b/>
          <w:bCs/>
          <w:sz w:val="24"/>
          <w:szCs w:val="21"/>
        </w:rPr>
        <w:t>2、“供应商是否属于小微型企业”栏内填写“是”或“否”。如填写“是”，供应商需提供《中小企业声明函</w:t>
      </w:r>
      <w:r>
        <w:rPr>
          <w:rFonts w:hint="eastAsia" w:ascii="仿宋" w:hAnsi="宋体" w:eastAsia="仿宋" w:cs="宋体"/>
          <w:b/>
          <w:bCs/>
          <w:sz w:val="24"/>
          <w:szCs w:val="21"/>
        </w:rPr>
        <w:t>》《</w:t>
      </w:r>
      <w:r>
        <w:rPr>
          <w:rFonts w:ascii="仿宋" w:hAnsi="宋体" w:eastAsia="仿宋" w:cs="宋体"/>
          <w:b/>
          <w:bCs/>
          <w:sz w:val="24"/>
          <w:szCs w:val="21"/>
        </w:rPr>
        <w:t>残疾人福利性单位声明函</w:t>
      </w:r>
      <w:r>
        <w:rPr>
          <w:rFonts w:hint="eastAsia" w:ascii="仿宋" w:hAnsi="宋体" w:eastAsia="仿宋" w:cs="宋体"/>
          <w:b/>
          <w:bCs/>
          <w:sz w:val="24"/>
          <w:szCs w:val="21"/>
        </w:rPr>
        <w:t>》《</w:t>
      </w:r>
      <w:r>
        <w:rPr>
          <w:rFonts w:ascii="仿宋" w:hAnsi="宋体" w:eastAsia="仿宋" w:cs="宋体"/>
          <w:b/>
          <w:bCs/>
          <w:sz w:val="24"/>
          <w:szCs w:val="21"/>
        </w:rPr>
        <w:t>属于监狱企业的证明文件》；如为代理商投标，还需提供投标产品制造商出具的上述文件。非小微企业产品不享受价格扣除。如未按要求提供、填写，或相关内容表述不清前后矛盾的，不享受价格扣除。</w:t>
      </w:r>
    </w:p>
    <w:p w14:paraId="264EF9DC">
      <w:pPr>
        <w:spacing w:line="560" w:lineRule="exact"/>
        <w:ind w:firstLine="482"/>
        <w:rPr>
          <w:rFonts w:ascii="仿宋" w:eastAsia="仿宋"/>
          <w:sz w:val="24"/>
          <w:szCs w:val="20"/>
        </w:rPr>
      </w:pPr>
      <w:r>
        <w:rPr>
          <w:rFonts w:ascii="仿宋" w:hAnsi="宋体" w:eastAsia="仿宋" w:cs="宋体"/>
          <w:b/>
          <w:bCs/>
          <w:sz w:val="24"/>
          <w:szCs w:val="21"/>
        </w:rPr>
        <w:t>3、《开标一览表》一式两份，一份装订在投标文件中，一份用封套单独加以密封，并在封套上注明“开标一览表”字样，随投标文件一并递交，以便唱标时使用。</w:t>
      </w:r>
    </w:p>
    <w:p w14:paraId="516E8750">
      <w:pPr>
        <w:spacing w:line="560" w:lineRule="exact"/>
        <w:rPr>
          <w:rFonts w:ascii="仿宋" w:hAnsi="宋体" w:eastAsia="仿宋" w:cs="宋体"/>
          <w:b/>
          <w:bCs/>
          <w:sz w:val="24"/>
          <w:szCs w:val="30"/>
        </w:rPr>
      </w:pPr>
      <w:bookmarkStart w:id="31" w:name="page43"/>
      <w:bookmarkEnd w:id="31"/>
    </w:p>
    <w:p w14:paraId="479269FC">
      <w:pPr>
        <w:spacing w:line="560" w:lineRule="exact"/>
        <w:ind w:firstLine="482"/>
        <w:rPr>
          <w:rFonts w:ascii="仿宋" w:hAnsi="宋体" w:eastAsia="仿宋" w:cs="宋体"/>
          <w:b/>
          <w:bCs/>
          <w:sz w:val="24"/>
          <w:szCs w:val="30"/>
        </w:rPr>
      </w:pPr>
    </w:p>
    <w:p w14:paraId="2BF8B9ED">
      <w:pPr>
        <w:spacing w:line="560" w:lineRule="exact"/>
        <w:ind w:firstLine="482"/>
        <w:rPr>
          <w:rFonts w:ascii="仿宋" w:hAnsi="宋体" w:eastAsia="仿宋" w:cs="宋体"/>
          <w:b/>
          <w:bCs/>
          <w:sz w:val="24"/>
          <w:szCs w:val="30"/>
        </w:rPr>
      </w:pPr>
    </w:p>
    <w:p w14:paraId="4F31DDFE">
      <w:pPr>
        <w:spacing w:line="560" w:lineRule="exact"/>
        <w:ind w:firstLine="482"/>
        <w:rPr>
          <w:rFonts w:ascii="仿宋" w:hAnsi="宋体" w:eastAsia="仿宋" w:cs="宋体"/>
          <w:b/>
          <w:bCs/>
          <w:sz w:val="24"/>
          <w:szCs w:val="30"/>
        </w:rPr>
      </w:pPr>
    </w:p>
    <w:p w14:paraId="78263F0F">
      <w:pPr>
        <w:spacing w:line="560" w:lineRule="exact"/>
        <w:rPr>
          <w:rFonts w:ascii="仿宋" w:hAnsi="宋体" w:eastAsia="仿宋" w:cs="宋体"/>
          <w:b/>
          <w:bCs/>
          <w:sz w:val="24"/>
          <w:szCs w:val="30"/>
        </w:rPr>
      </w:pPr>
    </w:p>
    <w:p w14:paraId="29E45B52">
      <w:pPr>
        <w:spacing w:line="560" w:lineRule="exact"/>
        <w:ind w:firstLine="482"/>
        <w:rPr>
          <w:rFonts w:ascii="仿宋" w:eastAsia="仿宋"/>
          <w:sz w:val="24"/>
          <w:szCs w:val="20"/>
        </w:rPr>
      </w:pPr>
      <w:r>
        <w:rPr>
          <w:rFonts w:ascii="仿宋" w:hAnsi="宋体" w:eastAsia="仿宋" w:cs="宋体"/>
          <w:b/>
          <w:bCs/>
          <w:sz w:val="24"/>
          <w:szCs w:val="30"/>
        </w:rPr>
        <w:t>附件四、分项报价表格式（格式内容可根据投标内容自行调整）</w:t>
      </w:r>
    </w:p>
    <w:p w14:paraId="7E2ABD3E">
      <w:pPr>
        <w:spacing w:line="560" w:lineRule="exact"/>
        <w:ind w:firstLine="482"/>
        <w:rPr>
          <w:rFonts w:ascii="仿宋" w:eastAsia="仿宋"/>
          <w:sz w:val="24"/>
          <w:szCs w:val="20"/>
        </w:rPr>
      </w:pPr>
      <w:r>
        <w:rPr>
          <w:rFonts w:ascii="仿宋" w:hAnsi="宋体" w:eastAsia="仿宋" w:cs="宋体"/>
          <w:b/>
          <w:bCs/>
          <w:sz w:val="24"/>
          <w:szCs w:val="32"/>
        </w:rPr>
        <w:t>分项报价表</w:t>
      </w:r>
      <w:r>
        <w:rPr>
          <w:rFonts w:hint="eastAsia" w:ascii="仿宋" w:hAnsi="宋体" w:eastAsia="仿宋" w:cs="宋体"/>
          <w:b/>
          <w:bCs/>
          <w:sz w:val="24"/>
          <w:szCs w:val="32"/>
        </w:rPr>
        <w:t>（格式自理）</w:t>
      </w:r>
    </w:p>
    <w:p w14:paraId="51B4A158">
      <w:pPr>
        <w:spacing w:line="560" w:lineRule="exact"/>
        <w:ind w:firstLine="482"/>
        <w:rPr>
          <w:rFonts w:ascii="仿宋" w:hAnsi="宋体" w:eastAsia="仿宋" w:cs="宋体"/>
          <w:b/>
          <w:bCs/>
          <w:sz w:val="24"/>
          <w:szCs w:val="32"/>
        </w:rPr>
      </w:pPr>
      <w:bookmarkStart w:id="32" w:name="page44"/>
      <w:bookmarkEnd w:id="32"/>
    </w:p>
    <w:p w14:paraId="48DF6551">
      <w:pPr>
        <w:spacing w:line="560" w:lineRule="exact"/>
        <w:ind w:firstLine="482"/>
        <w:rPr>
          <w:rFonts w:ascii="仿宋" w:hAnsi="宋体" w:eastAsia="仿宋" w:cs="宋体"/>
          <w:b/>
          <w:bCs/>
          <w:sz w:val="24"/>
          <w:szCs w:val="32"/>
        </w:rPr>
      </w:pPr>
    </w:p>
    <w:p w14:paraId="40FA9CCF">
      <w:pPr>
        <w:spacing w:line="560" w:lineRule="exact"/>
        <w:ind w:firstLine="482"/>
        <w:rPr>
          <w:rFonts w:ascii="仿宋" w:hAnsi="宋体" w:eastAsia="仿宋" w:cs="宋体"/>
          <w:b/>
          <w:bCs/>
          <w:sz w:val="24"/>
          <w:szCs w:val="32"/>
        </w:rPr>
      </w:pPr>
    </w:p>
    <w:p w14:paraId="0EBB8303">
      <w:pPr>
        <w:pStyle w:val="7"/>
        <w:ind w:firstLine="241"/>
        <w:rPr>
          <w:rFonts w:ascii="仿宋" w:hAnsi="宋体" w:eastAsia="仿宋" w:cs="宋体"/>
          <w:b/>
          <w:bCs/>
          <w:sz w:val="24"/>
          <w:szCs w:val="32"/>
        </w:rPr>
      </w:pPr>
    </w:p>
    <w:p w14:paraId="3D8EFC79">
      <w:pPr>
        <w:pStyle w:val="7"/>
        <w:ind w:firstLine="241"/>
        <w:rPr>
          <w:rFonts w:ascii="仿宋" w:hAnsi="宋体" w:eastAsia="仿宋" w:cs="宋体"/>
          <w:b/>
          <w:bCs/>
          <w:sz w:val="24"/>
          <w:szCs w:val="32"/>
        </w:rPr>
      </w:pPr>
    </w:p>
    <w:p w14:paraId="7B915AAA">
      <w:pPr>
        <w:pStyle w:val="7"/>
        <w:ind w:firstLine="241"/>
        <w:rPr>
          <w:rFonts w:ascii="仿宋" w:hAnsi="宋体" w:eastAsia="仿宋" w:cs="宋体"/>
          <w:b/>
          <w:bCs/>
          <w:sz w:val="24"/>
          <w:szCs w:val="32"/>
        </w:rPr>
      </w:pPr>
    </w:p>
    <w:p w14:paraId="4BC077E7">
      <w:pPr>
        <w:pStyle w:val="7"/>
        <w:ind w:firstLine="241"/>
        <w:rPr>
          <w:rFonts w:ascii="仿宋" w:hAnsi="宋体" w:eastAsia="仿宋" w:cs="宋体"/>
          <w:b/>
          <w:bCs/>
          <w:sz w:val="24"/>
          <w:szCs w:val="32"/>
        </w:rPr>
      </w:pPr>
    </w:p>
    <w:p w14:paraId="6101388E">
      <w:pPr>
        <w:pStyle w:val="7"/>
        <w:ind w:firstLine="241"/>
        <w:rPr>
          <w:rFonts w:ascii="仿宋" w:hAnsi="宋体" w:eastAsia="仿宋" w:cs="宋体"/>
          <w:b/>
          <w:bCs/>
          <w:sz w:val="24"/>
          <w:szCs w:val="32"/>
        </w:rPr>
      </w:pPr>
    </w:p>
    <w:p w14:paraId="6542A5BC">
      <w:pPr>
        <w:pStyle w:val="7"/>
        <w:ind w:firstLine="241"/>
        <w:rPr>
          <w:rFonts w:ascii="仿宋" w:hAnsi="宋体" w:eastAsia="仿宋" w:cs="宋体"/>
          <w:b/>
          <w:bCs/>
          <w:sz w:val="24"/>
          <w:szCs w:val="32"/>
        </w:rPr>
      </w:pPr>
    </w:p>
    <w:p w14:paraId="147E11B5">
      <w:pPr>
        <w:pStyle w:val="7"/>
        <w:ind w:firstLine="241"/>
        <w:rPr>
          <w:rFonts w:ascii="仿宋" w:hAnsi="宋体" w:eastAsia="仿宋" w:cs="宋体"/>
          <w:b/>
          <w:bCs/>
          <w:sz w:val="24"/>
          <w:szCs w:val="32"/>
        </w:rPr>
      </w:pPr>
    </w:p>
    <w:p w14:paraId="25643FC8">
      <w:pPr>
        <w:pStyle w:val="7"/>
        <w:ind w:firstLine="241"/>
        <w:rPr>
          <w:rFonts w:ascii="仿宋" w:hAnsi="宋体" w:eastAsia="仿宋" w:cs="宋体"/>
          <w:b/>
          <w:bCs/>
          <w:sz w:val="24"/>
          <w:szCs w:val="32"/>
        </w:rPr>
      </w:pPr>
    </w:p>
    <w:p w14:paraId="3257D4D7">
      <w:pPr>
        <w:pStyle w:val="7"/>
        <w:ind w:firstLine="241"/>
        <w:rPr>
          <w:rFonts w:ascii="仿宋" w:hAnsi="宋体" w:eastAsia="仿宋" w:cs="宋体"/>
          <w:b/>
          <w:bCs/>
          <w:sz w:val="24"/>
          <w:szCs w:val="32"/>
        </w:rPr>
      </w:pPr>
    </w:p>
    <w:p w14:paraId="7A5E1FD9">
      <w:pPr>
        <w:pStyle w:val="7"/>
        <w:ind w:firstLine="241"/>
        <w:rPr>
          <w:rFonts w:ascii="仿宋" w:hAnsi="宋体" w:eastAsia="仿宋" w:cs="宋体"/>
          <w:b/>
          <w:bCs/>
          <w:sz w:val="24"/>
          <w:szCs w:val="32"/>
        </w:rPr>
      </w:pPr>
    </w:p>
    <w:p w14:paraId="27137585">
      <w:pPr>
        <w:pStyle w:val="7"/>
        <w:ind w:firstLine="241"/>
        <w:rPr>
          <w:rFonts w:ascii="仿宋" w:hAnsi="宋体" w:eastAsia="仿宋" w:cs="宋体"/>
          <w:b/>
          <w:bCs/>
          <w:sz w:val="24"/>
          <w:szCs w:val="32"/>
        </w:rPr>
      </w:pPr>
    </w:p>
    <w:p w14:paraId="26B51140">
      <w:pPr>
        <w:pStyle w:val="7"/>
        <w:ind w:firstLine="241"/>
        <w:rPr>
          <w:rFonts w:ascii="仿宋" w:hAnsi="宋体" w:eastAsia="仿宋" w:cs="宋体"/>
          <w:b/>
          <w:bCs/>
          <w:sz w:val="24"/>
          <w:szCs w:val="32"/>
        </w:rPr>
      </w:pPr>
    </w:p>
    <w:p w14:paraId="01C6E397">
      <w:pPr>
        <w:pStyle w:val="7"/>
        <w:ind w:firstLine="241"/>
        <w:rPr>
          <w:rFonts w:ascii="仿宋" w:hAnsi="宋体" w:eastAsia="仿宋" w:cs="宋体"/>
          <w:b/>
          <w:bCs/>
          <w:sz w:val="24"/>
          <w:szCs w:val="32"/>
        </w:rPr>
      </w:pPr>
    </w:p>
    <w:p w14:paraId="6F4F4037">
      <w:pPr>
        <w:pStyle w:val="7"/>
        <w:ind w:firstLine="241"/>
        <w:rPr>
          <w:rFonts w:ascii="仿宋" w:hAnsi="宋体" w:eastAsia="仿宋" w:cs="宋体"/>
          <w:b/>
          <w:bCs/>
          <w:sz w:val="24"/>
          <w:szCs w:val="32"/>
        </w:rPr>
      </w:pPr>
    </w:p>
    <w:p w14:paraId="5F31DEC4">
      <w:pPr>
        <w:pStyle w:val="7"/>
        <w:ind w:firstLine="241"/>
        <w:rPr>
          <w:rFonts w:ascii="仿宋" w:hAnsi="宋体" w:eastAsia="仿宋" w:cs="宋体"/>
          <w:b/>
          <w:bCs/>
          <w:sz w:val="24"/>
          <w:szCs w:val="32"/>
        </w:rPr>
      </w:pPr>
    </w:p>
    <w:p w14:paraId="7D468E78">
      <w:pPr>
        <w:pStyle w:val="7"/>
        <w:ind w:firstLine="241"/>
        <w:rPr>
          <w:rFonts w:ascii="仿宋" w:hAnsi="宋体" w:eastAsia="仿宋" w:cs="宋体"/>
          <w:b/>
          <w:bCs/>
          <w:sz w:val="24"/>
          <w:szCs w:val="32"/>
        </w:rPr>
      </w:pPr>
    </w:p>
    <w:p w14:paraId="3429D821">
      <w:pPr>
        <w:pStyle w:val="7"/>
        <w:ind w:firstLine="241"/>
        <w:rPr>
          <w:rFonts w:ascii="仿宋" w:hAnsi="宋体" w:eastAsia="仿宋" w:cs="宋体"/>
          <w:b/>
          <w:bCs/>
          <w:sz w:val="24"/>
          <w:szCs w:val="32"/>
        </w:rPr>
      </w:pPr>
    </w:p>
    <w:p w14:paraId="363E4D6D">
      <w:pPr>
        <w:pStyle w:val="7"/>
        <w:ind w:firstLine="241"/>
        <w:rPr>
          <w:rFonts w:ascii="仿宋" w:hAnsi="宋体" w:eastAsia="仿宋" w:cs="宋体"/>
          <w:b/>
          <w:bCs/>
          <w:sz w:val="24"/>
          <w:szCs w:val="32"/>
        </w:rPr>
      </w:pPr>
    </w:p>
    <w:p w14:paraId="462118B1">
      <w:pPr>
        <w:pStyle w:val="7"/>
        <w:ind w:firstLine="241"/>
        <w:rPr>
          <w:rFonts w:ascii="仿宋" w:hAnsi="宋体" w:eastAsia="仿宋" w:cs="宋体"/>
          <w:b/>
          <w:bCs/>
          <w:sz w:val="24"/>
          <w:szCs w:val="32"/>
        </w:rPr>
      </w:pPr>
    </w:p>
    <w:p w14:paraId="78C2C3DB">
      <w:pPr>
        <w:pStyle w:val="7"/>
        <w:ind w:firstLine="241"/>
        <w:rPr>
          <w:rFonts w:ascii="仿宋" w:hAnsi="宋体" w:eastAsia="仿宋" w:cs="宋体"/>
          <w:b/>
          <w:bCs/>
          <w:sz w:val="24"/>
          <w:szCs w:val="32"/>
        </w:rPr>
      </w:pPr>
    </w:p>
    <w:p w14:paraId="411A8B65">
      <w:pPr>
        <w:pStyle w:val="7"/>
        <w:ind w:firstLine="241"/>
        <w:rPr>
          <w:rFonts w:ascii="仿宋" w:hAnsi="宋体" w:eastAsia="仿宋" w:cs="宋体"/>
          <w:b/>
          <w:bCs/>
          <w:sz w:val="24"/>
          <w:szCs w:val="32"/>
        </w:rPr>
      </w:pPr>
    </w:p>
    <w:p w14:paraId="6CAD158B">
      <w:pPr>
        <w:pStyle w:val="7"/>
        <w:ind w:firstLine="241"/>
        <w:rPr>
          <w:rFonts w:ascii="仿宋" w:hAnsi="宋体" w:eastAsia="仿宋" w:cs="宋体"/>
          <w:b/>
          <w:bCs/>
          <w:sz w:val="24"/>
          <w:szCs w:val="32"/>
        </w:rPr>
      </w:pPr>
    </w:p>
    <w:p w14:paraId="4AA67B54">
      <w:pPr>
        <w:spacing w:line="560" w:lineRule="exact"/>
        <w:ind w:firstLine="482"/>
        <w:rPr>
          <w:rFonts w:ascii="仿宋" w:hAnsi="宋体" w:eastAsia="仿宋" w:cs="宋体"/>
          <w:b/>
          <w:bCs/>
          <w:sz w:val="24"/>
          <w:szCs w:val="32"/>
        </w:rPr>
      </w:pPr>
    </w:p>
    <w:p w14:paraId="0AC09E34">
      <w:pPr>
        <w:spacing w:line="560" w:lineRule="exact"/>
        <w:ind w:firstLine="482"/>
        <w:rPr>
          <w:rFonts w:ascii="仿宋" w:hAnsi="宋体" w:eastAsia="仿宋" w:cs="宋体"/>
          <w:b/>
          <w:bCs/>
          <w:sz w:val="24"/>
          <w:szCs w:val="32"/>
        </w:rPr>
      </w:pPr>
    </w:p>
    <w:p w14:paraId="6EF55E92">
      <w:pPr>
        <w:spacing w:line="560" w:lineRule="exact"/>
        <w:ind w:firstLine="482"/>
        <w:rPr>
          <w:rFonts w:ascii="仿宋" w:hAnsi="宋体" w:eastAsia="仿宋" w:cs="宋体"/>
          <w:b/>
          <w:bCs/>
          <w:sz w:val="24"/>
          <w:szCs w:val="32"/>
        </w:rPr>
      </w:pPr>
    </w:p>
    <w:p w14:paraId="1852681F">
      <w:pPr>
        <w:spacing w:line="560" w:lineRule="exact"/>
        <w:ind w:firstLine="482"/>
        <w:rPr>
          <w:rFonts w:hint="eastAsia" w:ascii="仿宋" w:hAnsi="宋体" w:eastAsia="仿宋" w:cs="宋体"/>
          <w:b/>
          <w:bCs/>
          <w:sz w:val="24"/>
          <w:szCs w:val="32"/>
        </w:rPr>
      </w:pPr>
    </w:p>
    <w:p w14:paraId="602E7BEE">
      <w:pPr>
        <w:spacing w:line="560" w:lineRule="exact"/>
        <w:ind w:firstLine="482"/>
        <w:rPr>
          <w:rFonts w:hint="eastAsia" w:ascii="仿宋" w:hAnsi="宋体" w:eastAsia="仿宋" w:cs="宋体"/>
          <w:b/>
          <w:bCs/>
          <w:sz w:val="24"/>
          <w:szCs w:val="32"/>
        </w:rPr>
      </w:pPr>
    </w:p>
    <w:p w14:paraId="0E9E5FFC">
      <w:pPr>
        <w:spacing w:line="560" w:lineRule="exact"/>
        <w:rPr>
          <w:rFonts w:ascii="仿宋" w:hAnsi="宋体" w:eastAsia="仿宋" w:cs="宋体"/>
          <w:b/>
          <w:bCs/>
          <w:sz w:val="24"/>
          <w:szCs w:val="32"/>
        </w:rPr>
      </w:pPr>
    </w:p>
    <w:p w14:paraId="4F663E39">
      <w:pPr>
        <w:spacing w:line="560" w:lineRule="exact"/>
        <w:rPr>
          <w:rFonts w:ascii="仿宋" w:hAnsi="宋体" w:eastAsia="仿宋" w:cs="宋体"/>
          <w:b/>
          <w:bCs/>
          <w:sz w:val="24"/>
          <w:szCs w:val="32"/>
        </w:rPr>
      </w:pPr>
    </w:p>
    <w:p w14:paraId="74568746">
      <w:pPr>
        <w:spacing w:line="560" w:lineRule="exact"/>
        <w:rPr>
          <w:rFonts w:ascii="仿宋" w:hAnsi="宋体" w:eastAsia="仿宋" w:cs="宋体"/>
          <w:b/>
          <w:bCs/>
          <w:sz w:val="24"/>
          <w:szCs w:val="32"/>
        </w:rPr>
      </w:pPr>
    </w:p>
    <w:p w14:paraId="04020E5E">
      <w:pPr>
        <w:spacing w:line="560" w:lineRule="exact"/>
        <w:rPr>
          <w:rFonts w:ascii="仿宋" w:hAnsi="宋体" w:eastAsia="仿宋" w:cs="宋体"/>
          <w:b/>
          <w:bCs/>
          <w:sz w:val="24"/>
          <w:szCs w:val="32"/>
        </w:rPr>
      </w:pPr>
    </w:p>
    <w:p w14:paraId="76457FB0">
      <w:pPr>
        <w:spacing w:line="560" w:lineRule="exact"/>
        <w:ind w:firstLine="482"/>
        <w:rPr>
          <w:rFonts w:ascii="仿宋" w:eastAsia="仿宋"/>
          <w:sz w:val="24"/>
          <w:szCs w:val="20"/>
        </w:rPr>
      </w:pPr>
      <w:r>
        <w:rPr>
          <w:rFonts w:ascii="仿宋" w:hAnsi="宋体" w:eastAsia="仿宋" w:cs="宋体"/>
          <w:b/>
          <w:bCs/>
          <w:sz w:val="24"/>
          <w:szCs w:val="32"/>
        </w:rPr>
        <w:t>附件五、技术规格偏离表格式</w:t>
      </w:r>
    </w:p>
    <w:p w14:paraId="70281ED4">
      <w:pPr>
        <w:spacing w:line="560" w:lineRule="exact"/>
        <w:ind w:firstLine="482"/>
        <w:rPr>
          <w:rFonts w:ascii="仿宋" w:eastAsia="仿宋"/>
          <w:sz w:val="24"/>
          <w:szCs w:val="20"/>
        </w:rPr>
      </w:pPr>
      <w:r>
        <w:rPr>
          <w:rFonts w:ascii="仿宋" w:hAnsi="宋体" w:eastAsia="仿宋" w:cs="宋体"/>
          <w:b/>
          <w:bCs/>
          <w:sz w:val="24"/>
          <w:szCs w:val="32"/>
        </w:rPr>
        <w:t>技术条款偏离表</w:t>
      </w:r>
    </w:p>
    <w:tbl>
      <w:tblPr>
        <w:tblStyle w:val="8"/>
        <w:tblW w:w="0" w:type="auto"/>
        <w:tblInd w:w="80" w:type="dxa"/>
        <w:tblLayout w:type="fixed"/>
        <w:tblCellMar>
          <w:top w:w="0" w:type="dxa"/>
          <w:left w:w="0" w:type="dxa"/>
          <w:bottom w:w="0" w:type="dxa"/>
          <w:right w:w="0" w:type="dxa"/>
        </w:tblCellMar>
      </w:tblPr>
      <w:tblGrid>
        <w:gridCol w:w="200"/>
        <w:gridCol w:w="640"/>
        <w:gridCol w:w="1680"/>
        <w:gridCol w:w="1920"/>
        <w:gridCol w:w="3020"/>
        <w:gridCol w:w="1240"/>
      </w:tblGrid>
      <w:tr w14:paraId="02E26A3D">
        <w:tblPrEx>
          <w:tblCellMar>
            <w:top w:w="0" w:type="dxa"/>
            <w:left w:w="0" w:type="dxa"/>
            <w:bottom w:w="0" w:type="dxa"/>
            <w:right w:w="0" w:type="dxa"/>
          </w:tblCellMar>
        </w:tblPrEx>
        <w:trPr>
          <w:trHeight w:val="240" w:hRule="atLeast"/>
        </w:trPr>
        <w:tc>
          <w:tcPr>
            <w:tcW w:w="2520" w:type="dxa"/>
            <w:gridSpan w:val="3"/>
            <w:vAlign w:val="bottom"/>
          </w:tcPr>
          <w:p w14:paraId="3BC1BDDC">
            <w:pPr>
              <w:spacing w:line="240" w:lineRule="exact"/>
              <w:ind w:right="1354"/>
              <w:jc w:val="center"/>
              <w:rPr>
                <w:sz w:val="20"/>
                <w:szCs w:val="20"/>
              </w:rPr>
            </w:pPr>
            <w:r>
              <w:rPr>
                <w:rFonts w:ascii="宋体" w:hAnsi="宋体" w:cs="宋体"/>
                <w:sz w:val="21"/>
                <w:szCs w:val="21"/>
              </w:rPr>
              <w:t>项目名称：</w:t>
            </w:r>
          </w:p>
        </w:tc>
        <w:tc>
          <w:tcPr>
            <w:tcW w:w="1920" w:type="dxa"/>
            <w:vAlign w:val="bottom"/>
          </w:tcPr>
          <w:p w14:paraId="014BF249">
            <w:pPr>
              <w:rPr>
                <w:sz w:val="20"/>
                <w:szCs w:val="20"/>
              </w:rPr>
            </w:pPr>
          </w:p>
        </w:tc>
        <w:tc>
          <w:tcPr>
            <w:tcW w:w="3020" w:type="dxa"/>
            <w:vAlign w:val="bottom"/>
          </w:tcPr>
          <w:p w14:paraId="66E6DC70">
            <w:pPr>
              <w:spacing w:line="240" w:lineRule="exact"/>
              <w:ind w:right="974"/>
              <w:jc w:val="right"/>
              <w:rPr>
                <w:sz w:val="20"/>
                <w:szCs w:val="20"/>
              </w:rPr>
            </w:pPr>
            <w:r>
              <w:rPr>
                <w:rFonts w:ascii="宋体" w:hAnsi="宋体" w:cs="宋体"/>
                <w:sz w:val="21"/>
                <w:szCs w:val="21"/>
              </w:rPr>
              <w:t>项目编号：</w:t>
            </w:r>
          </w:p>
        </w:tc>
        <w:tc>
          <w:tcPr>
            <w:tcW w:w="1240" w:type="dxa"/>
            <w:vAlign w:val="bottom"/>
          </w:tcPr>
          <w:p w14:paraId="22D2BF85">
            <w:pPr>
              <w:rPr>
                <w:sz w:val="20"/>
                <w:szCs w:val="20"/>
              </w:rPr>
            </w:pPr>
          </w:p>
        </w:tc>
      </w:tr>
      <w:tr w14:paraId="7CF8B74A">
        <w:tblPrEx>
          <w:tblCellMar>
            <w:top w:w="0" w:type="dxa"/>
            <w:left w:w="0" w:type="dxa"/>
            <w:bottom w:w="0" w:type="dxa"/>
            <w:right w:w="0" w:type="dxa"/>
          </w:tblCellMar>
        </w:tblPrEx>
        <w:trPr>
          <w:trHeight w:val="133" w:hRule="atLeast"/>
        </w:trPr>
        <w:tc>
          <w:tcPr>
            <w:tcW w:w="200" w:type="dxa"/>
            <w:vAlign w:val="bottom"/>
          </w:tcPr>
          <w:p w14:paraId="4512335E">
            <w:pPr>
              <w:rPr>
                <w:sz w:val="11"/>
                <w:szCs w:val="11"/>
              </w:rPr>
            </w:pPr>
          </w:p>
        </w:tc>
        <w:tc>
          <w:tcPr>
            <w:tcW w:w="640" w:type="dxa"/>
            <w:tcBorders>
              <w:bottom w:val="single" w:color="auto" w:sz="8" w:space="0"/>
            </w:tcBorders>
            <w:vAlign w:val="bottom"/>
          </w:tcPr>
          <w:p w14:paraId="5648FEEF">
            <w:pPr>
              <w:rPr>
                <w:sz w:val="11"/>
                <w:szCs w:val="11"/>
              </w:rPr>
            </w:pPr>
          </w:p>
        </w:tc>
        <w:tc>
          <w:tcPr>
            <w:tcW w:w="1680" w:type="dxa"/>
            <w:tcBorders>
              <w:bottom w:val="single" w:color="auto" w:sz="8" w:space="0"/>
            </w:tcBorders>
            <w:vAlign w:val="bottom"/>
          </w:tcPr>
          <w:p w14:paraId="2AE00451">
            <w:pPr>
              <w:rPr>
                <w:sz w:val="11"/>
                <w:szCs w:val="11"/>
              </w:rPr>
            </w:pPr>
          </w:p>
        </w:tc>
        <w:tc>
          <w:tcPr>
            <w:tcW w:w="1920" w:type="dxa"/>
            <w:tcBorders>
              <w:bottom w:val="single" w:color="auto" w:sz="8" w:space="0"/>
            </w:tcBorders>
            <w:vAlign w:val="bottom"/>
          </w:tcPr>
          <w:p w14:paraId="103C11D1">
            <w:pPr>
              <w:rPr>
                <w:sz w:val="11"/>
                <w:szCs w:val="11"/>
              </w:rPr>
            </w:pPr>
          </w:p>
        </w:tc>
        <w:tc>
          <w:tcPr>
            <w:tcW w:w="3020" w:type="dxa"/>
            <w:tcBorders>
              <w:bottom w:val="single" w:color="auto" w:sz="8" w:space="0"/>
            </w:tcBorders>
            <w:vAlign w:val="bottom"/>
          </w:tcPr>
          <w:p w14:paraId="4DB05DBC">
            <w:pPr>
              <w:rPr>
                <w:sz w:val="11"/>
                <w:szCs w:val="11"/>
              </w:rPr>
            </w:pPr>
          </w:p>
        </w:tc>
        <w:tc>
          <w:tcPr>
            <w:tcW w:w="1240" w:type="dxa"/>
            <w:tcBorders>
              <w:bottom w:val="single" w:color="auto" w:sz="8" w:space="0"/>
            </w:tcBorders>
            <w:vAlign w:val="bottom"/>
          </w:tcPr>
          <w:p w14:paraId="67E2301D">
            <w:pPr>
              <w:rPr>
                <w:sz w:val="11"/>
                <w:szCs w:val="11"/>
              </w:rPr>
            </w:pPr>
          </w:p>
        </w:tc>
      </w:tr>
      <w:tr w14:paraId="0F265BF4">
        <w:tblPrEx>
          <w:tblCellMar>
            <w:top w:w="0" w:type="dxa"/>
            <w:left w:w="0" w:type="dxa"/>
            <w:bottom w:w="0" w:type="dxa"/>
            <w:right w:w="0" w:type="dxa"/>
          </w:tblCellMar>
        </w:tblPrEx>
        <w:trPr>
          <w:trHeight w:val="332" w:hRule="atLeast"/>
        </w:trPr>
        <w:tc>
          <w:tcPr>
            <w:tcW w:w="200" w:type="dxa"/>
            <w:tcBorders>
              <w:right w:val="single" w:color="auto" w:sz="8" w:space="0"/>
            </w:tcBorders>
            <w:vAlign w:val="bottom"/>
          </w:tcPr>
          <w:p w14:paraId="1A04CF66">
            <w:pPr>
              <w:rPr>
                <w:sz w:val="24"/>
                <w:szCs w:val="24"/>
              </w:rPr>
            </w:pPr>
          </w:p>
        </w:tc>
        <w:tc>
          <w:tcPr>
            <w:tcW w:w="640" w:type="dxa"/>
            <w:tcBorders>
              <w:right w:val="single" w:color="auto" w:sz="8" w:space="0"/>
            </w:tcBorders>
            <w:vAlign w:val="bottom"/>
          </w:tcPr>
          <w:p w14:paraId="29BD84CB">
            <w:pPr>
              <w:spacing w:line="240" w:lineRule="exact"/>
              <w:jc w:val="center"/>
              <w:rPr>
                <w:sz w:val="20"/>
                <w:szCs w:val="20"/>
              </w:rPr>
            </w:pPr>
            <w:r>
              <w:rPr>
                <w:rFonts w:ascii="宋体" w:hAnsi="宋体" w:cs="宋体"/>
                <w:b/>
                <w:bCs/>
                <w:sz w:val="21"/>
                <w:szCs w:val="21"/>
              </w:rPr>
              <w:t>序号</w:t>
            </w:r>
          </w:p>
        </w:tc>
        <w:tc>
          <w:tcPr>
            <w:tcW w:w="1680" w:type="dxa"/>
            <w:tcBorders>
              <w:right w:val="single" w:color="auto" w:sz="8" w:space="0"/>
            </w:tcBorders>
            <w:vAlign w:val="bottom"/>
          </w:tcPr>
          <w:p w14:paraId="038BE457">
            <w:pPr>
              <w:spacing w:line="240" w:lineRule="exact"/>
              <w:ind w:left="80"/>
              <w:rPr>
                <w:sz w:val="20"/>
                <w:szCs w:val="20"/>
              </w:rPr>
            </w:pPr>
            <w:r>
              <w:rPr>
                <w:rFonts w:ascii="宋体" w:hAnsi="宋体" w:cs="宋体"/>
                <w:b/>
                <w:bCs/>
                <w:sz w:val="21"/>
                <w:szCs w:val="21"/>
              </w:rPr>
              <w:t>招标文件条目号</w:t>
            </w:r>
          </w:p>
        </w:tc>
        <w:tc>
          <w:tcPr>
            <w:tcW w:w="1920" w:type="dxa"/>
            <w:tcBorders>
              <w:right w:val="single" w:color="auto" w:sz="8" w:space="0"/>
            </w:tcBorders>
            <w:vAlign w:val="bottom"/>
          </w:tcPr>
          <w:p w14:paraId="4D39AF9E">
            <w:pPr>
              <w:spacing w:line="240" w:lineRule="exact"/>
              <w:ind w:left="300"/>
              <w:rPr>
                <w:sz w:val="20"/>
                <w:szCs w:val="20"/>
              </w:rPr>
            </w:pPr>
            <w:r>
              <w:rPr>
                <w:rFonts w:ascii="宋体" w:hAnsi="宋体" w:cs="宋体"/>
                <w:b/>
                <w:bCs/>
                <w:sz w:val="21"/>
                <w:szCs w:val="21"/>
              </w:rPr>
              <w:t>采购要求规格</w:t>
            </w:r>
          </w:p>
        </w:tc>
        <w:tc>
          <w:tcPr>
            <w:tcW w:w="3020" w:type="dxa"/>
            <w:tcBorders>
              <w:right w:val="single" w:color="auto" w:sz="8" w:space="0"/>
            </w:tcBorders>
            <w:vAlign w:val="bottom"/>
          </w:tcPr>
          <w:p w14:paraId="07749D6C">
            <w:pPr>
              <w:spacing w:line="240" w:lineRule="exact"/>
              <w:ind w:right="994"/>
              <w:jc w:val="right"/>
              <w:rPr>
                <w:sz w:val="20"/>
                <w:szCs w:val="20"/>
              </w:rPr>
            </w:pPr>
            <w:r>
              <w:rPr>
                <w:rFonts w:ascii="宋体" w:hAnsi="宋体" w:cs="宋体"/>
                <w:b/>
                <w:bCs/>
                <w:sz w:val="21"/>
                <w:szCs w:val="21"/>
              </w:rPr>
              <w:t>投标响应</w:t>
            </w:r>
          </w:p>
        </w:tc>
        <w:tc>
          <w:tcPr>
            <w:tcW w:w="1240" w:type="dxa"/>
            <w:tcBorders>
              <w:right w:val="single" w:color="auto" w:sz="8" w:space="0"/>
            </w:tcBorders>
            <w:vAlign w:val="bottom"/>
          </w:tcPr>
          <w:p w14:paraId="68EA70D6">
            <w:pPr>
              <w:spacing w:line="240" w:lineRule="exact"/>
              <w:ind w:left="400"/>
              <w:rPr>
                <w:sz w:val="20"/>
                <w:szCs w:val="20"/>
              </w:rPr>
            </w:pPr>
            <w:r>
              <w:rPr>
                <w:rFonts w:ascii="宋体" w:hAnsi="宋体" w:cs="宋体"/>
                <w:b/>
                <w:bCs/>
                <w:sz w:val="21"/>
                <w:szCs w:val="21"/>
              </w:rPr>
              <w:t>偏离</w:t>
            </w:r>
          </w:p>
        </w:tc>
      </w:tr>
      <w:tr w14:paraId="2B49D9BB">
        <w:tblPrEx>
          <w:tblCellMar>
            <w:top w:w="0" w:type="dxa"/>
            <w:left w:w="0" w:type="dxa"/>
            <w:bottom w:w="0" w:type="dxa"/>
            <w:right w:w="0" w:type="dxa"/>
          </w:tblCellMar>
        </w:tblPrEx>
        <w:trPr>
          <w:trHeight w:val="133" w:hRule="atLeast"/>
        </w:trPr>
        <w:tc>
          <w:tcPr>
            <w:tcW w:w="200" w:type="dxa"/>
            <w:tcBorders>
              <w:right w:val="single" w:color="auto" w:sz="8" w:space="0"/>
            </w:tcBorders>
            <w:vAlign w:val="bottom"/>
          </w:tcPr>
          <w:p w14:paraId="1E562414">
            <w:pPr>
              <w:rPr>
                <w:sz w:val="11"/>
                <w:szCs w:val="11"/>
              </w:rPr>
            </w:pPr>
          </w:p>
        </w:tc>
        <w:tc>
          <w:tcPr>
            <w:tcW w:w="640" w:type="dxa"/>
            <w:tcBorders>
              <w:bottom w:val="single" w:color="auto" w:sz="8" w:space="0"/>
              <w:right w:val="single" w:color="auto" w:sz="8" w:space="0"/>
            </w:tcBorders>
            <w:vAlign w:val="bottom"/>
          </w:tcPr>
          <w:p w14:paraId="014C9E9D">
            <w:pPr>
              <w:rPr>
                <w:sz w:val="11"/>
                <w:szCs w:val="11"/>
              </w:rPr>
            </w:pPr>
          </w:p>
        </w:tc>
        <w:tc>
          <w:tcPr>
            <w:tcW w:w="1680" w:type="dxa"/>
            <w:tcBorders>
              <w:bottom w:val="single" w:color="auto" w:sz="8" w:space="0"/>
              <w:right w:val="single" w:color="auto" w:sz="8" w:space="0"/>
            </w:tcBorders>
            <w:vAlign w:val="bottom"/>
          </w:tcPr>
          <w:p w14:paraId="2BBED1DE">
            <w:pPr>
              <w:rPr>
                <w:sz w:val="11"/>
                <w:szCs w:val="11"/>
              </w:rPr>
            </w:pPr>
          </w:p>
        </w:tc>
        <w:tc>
          <w:tcPr>
            <w:tcW w:w="1920" w:type="dxa"/>
            <w:tcBorders>
              <w:bottom w:val="single" w:color="auto" w:sz="8" w:space="0"/>
              <w:right w:val="single" w:color="auto" w:sz="8" w:space="0"/>
            </w:tcBorders>
            <w:vAlign w:val="bottom"/>
          </w:tcPr>
          <w:p w14:paraId="03641805">
            <w:pPr>
              <w:rPr>
                <w:sz w:val="11"/>
                <w:szCs w:val="11"/>
              </w:rPr>
            </w:pPr>
          </w:p>
        </w:tc>
        <w:tc>
          <w:tcPr>
            <w:tcW w:w="3020" w:type="dxa"/>
            <w:tcBorders>
              <w:bottom w:val="single" w:color="auto" w:sz="8" w:space="0"/>
              <w:right w:val="single" w:color="auto" w:sz="8" w:space="0"/>
            </w:tcBorders>
            <w:vAlign w:val="bottom"/>
          </w:tcPr>
          <w:p w14:paraId="27CB0242">
            <w:pPr>
              <w:rPr>
                <w:sz w:val="11"/>
                <w:szCs w:val="11"/>
              </w:rPr>
            </w:pPr>
          </w:p>
        </w:tc>
        <w:tc>
          <w:tcPr>
            <w:tcW w:w="1240" w:type="dxa"/>
            <w:tcBorders>
              <w:bottom w:val="single" w:color="auto" w:sz="8" w:space="0"/>
              <w:right w:val="single" w:color="auto" w:sz="8" w:space="0"/>
            </w:tcBorders>
            <w:vAlign w:val="bottom"/>
          </w:tcPr>
          <w:p w14:paraId="05F5A9F2">
            <w:pPr>
              <w:rPr>
                <w:sz w:val="11"/>
                <w:szCs w:val="11"/>
              </w:rPr>
            </w:pPr>
          </w:p>
        </w:tc>
      </w:tr>
      <w:tr w14:paraId="5901FAAC">
        <w:tblPrEx>
          <w:tblCellMar>
            <w:top w:w="0" w:type="dxa"/>
            <w:left w:w="0" w:type="dxa"/>
            <w:bottom w:w="0" w:type="dxa"/>
            <w:right w:w="0" w:type="dxa"/>
          </w:tblCellMar>
        </w:tblPrEx>
        <w:trPr>
          <w:trHeight w:val="467" w:hRule="atLeast"/>
        </w:trPr>
        <w:tc>
          <w:tcPr>
            <w:tcW w:w="200" w:type="dxa"/>
            <w:tcBorders>
              <w:right w:val="single" w:color="auto" w:sz="8" w:space="0"/>
            </w:tcBorders>
            <w:vAlign w:val="bottom"/>
          </w:tcPr>
          <w:p w14:paraId="0B51DCAC">
            <w:pPr>
              <w:rPr>
                <w:sz w:val="24"/>
                <w:szCs w:val="24"/>
              </w:rPr>
            </w:pPr>
          </w:p>
        </w:tc>
        <w:tc>
          <w:tcPr>
            <w:tcW w:w="640" w:type="dxa"/>
            <w:tcBorders>
              <w:bottom w:val="single" w:color="auto" w:sz="8" w:space="0"/>
              <w:right w:val="single" w:color="auto" w:sz="8" w:space="0"/>
            </w:tcBorders>
            <w:vAlign w:val="bottom"/>
          </w:tcPr>
          <w:p w14:paraId="59688961">
            <w:pPr>
              <w:rPr>
                <w:sz w:val="24"/>
                <w:szCs w:val="24"/>
              </w:rPr>
            </w:pPr>
          </w:p>
        </w:tc>
        <w:tc>
          <w:tcPr>
            <w:tcW w:w="1680" w:type="dxa"/>
            <w:tcBorders>
              <w:bottom w:val="single" w:color="auto" w:sz="8" w:space="0"/>
              <w:right w:val="single" w:color="auto" w:sz="8" w:space="0"/>
            </w:tcBorders>
            <w:vAlign w:val="bottom"/>
          </w:tcPr>
          <w:p w14:paraId="26908EEC">
            <w:pPr>
              <w:rPr>
                <w:sz w:val="24"/>
                <w:szCs w:val="24"/>
              </w:rPr>
            </w:pPr>
          </w:p>
        </w:tc>
        <w:tc>
          <w:tcPr>
            <w:tcW w:w="1920" w:type="dxa"/>
            <w:tcBorders>
              <w:bottom w:val="single" w:color="auto" w:sz="8" w:space="0"/>
              <w:right w:val="single" w:color="auto" w:sz="8" w:space="0"/>
            </w:tcBorders>
            <w:vAlign w:val="bottom"/>
          </w:tcPr>
          <w:p w14:paraId="3F156631">
            <w:pPr>
              <w:rPr>
                <w:sz w:val="24"/>
                <w:szCs w:val="24"/>
              </w:rPr>
            </w:pPr>
          </w:p>
        </w:tc>
        <w:tc>
          <w:tcPr>
            <w:tcW w:w="3020" w:type="dxa"/>
            <w:tcBorders>
              <w:bottom w:val="single" w:color="auto" w:sz="8" w:space="0"/>
              <w:right w:val="single" w:color="auto" w:sz="8" w:space="0"/>
            </w:tcBorders>
            <w:vAlign w:val="bottom"/>
          </w:tcPr>
          <w:p w14:paraId="301043D5">
            <w:pPr>
              <w:rPr>
                <w:sz w:val="24"/>
                <w:szCs w:val="24"/>
              </w:rPr>
            </w:pPr>
          </w:p>
        </w:tc>
        <w:tc>
          <w:tcPr>
            <w:tcW w:w="1240" w:type="dxa"/>
            <w:tcBorders>
              <w:bottom w:val="single" w:color="auto" w:sz="8" w:space="0"/>
              <w:right w:val="single" w:color="auto" w:sz="8" w:space="0"/>
            </w:tcBorders>
            <w:vAlign w:val="bottom"/>
          </w:tcPr>
          <w:p w14:paraId="382F3656">
            <w:pPr>
              <w:rPr>
                <w:sz w:val="24"/>
                <w:szCs w:val="24"/>
              </w:rPr>
            </w:pPr>
          </w:p>
        </w:tc>
      </w:tr>
      <w:tr w14:paraId="6C411C9D">
        <w:tblPrEx>
          <w:tblCellMar>
            <w:top w:w="0" w:type="dxa"/>
            <w:left w:w="0" w:type="dxa"/>
            <w:bottom w:w="0" w:type="dxa"/>
            <w:right w:w="0" w:type="dxa"/>
          </w:tblCellMar>
        </w:tblPrEx>
        <w:trPr>
          <w:trHeight w:val="465" w:hRule="atLeast"/>
        </w:trPr>
        <w:tc>
          <w:tcPr>
            <w:tcW w:w="200" w:type="dxa"/>
            <w:tcBorders>
              <w:right w:val="single" w:color="auto" w:sz="8" w:space="0"/>
            </w:tcBorders>
            <w:vAlign w:val="bottom"/>
          </w:tcPr>
          <w:p w14:paraId="6A917067">
            <w:pPr>
              <w:rPr>
                <w:sz w:val="24"/>
                <w:szCs w:val="24"/>
              </w:rPr>
            </w:pPr>
          </w:p>
        </w:tc>
        <w:tc>
          <w:tcPr>
            <w:tcW w:w="640" w:type="dxa"/>
            <w:tcBorders>
              <w:bottom w:val="single" w:color="auto" w:sz="8" w:space="0"/>
              <w:right w:val="single" w:color="auto" w:sz="8" w:space="0"/>
            </w:tcBorders>
            <w:vAlign w:val="bottom"/>
          </w:tcPr>
          <w:p w14:paraId="3BFC65EC">
            <w:pPr>
              <w:rPr>
                <w:sz w:val="24"/>
                <w:szCs w:val="24"/>
              </w:rPr>
            </w:pPr>
          </w:p>
        </w:tc>
        <w:tc>
          <w:tcPr>
            <w:tcW w:w="1680" w:type="dxa"/>
            <w:tcBorders>
              <w:bottom w:val="single" w:color="auto" w:sz="8" w:space="0"/>
              <w:right w:val="single" w:color="auto" w:sz="8" w:space="0"/>
            </w:tcBorders>
            <w:vAlign w:val="bottom"/>
          </w:tcPr>
          <w:p w14:paraId="006CCD75">
            <w:pPr>
              <w:rPr>
                <w:sz w:val="24"/>
                <w:szCs w:val="24"/>
              </w:rPr>
            </w:pPr>
          </w:p>
        </w:tc>
        <w:tc>
          <w:tcPr>
            <w:tcW w:w="1920" w:type="dxa"/>
            <w:tcBorders>
              <w:bottom w:val="single" w:color="auto" w:sz="8" w:space="0"/>
              <w:right w:val="single" w:color="auto" w:sz="8" w:space="0"/>
            </w:tcBorders>
            <w:vAlign w:val="bottom"/>
          </w:tcPr>
          <w:p w14:paraId="5A663A35">
            <w:pPr>
              <w:rPr>
                <w:sz w:val="24"/>
                <w:szCs w:val="24"/>
              </w:rPr>
            </w:pPr>
          </w:p>
        </w:tc>
        <w:tc>
          <w:tcPr>
            <w:tcW w:w="3020" w:type="dxa"/>
            <w:tcBorders>
              <w:bottom w:val="single" w:color="auto" w:sz="8" w:space="0"/>
              <w:right w:val="single" w:color="auto" w:sz="8" w:space="0"/>
            </w:tcBorders>
            <w:vAlign w:val="bottom"/>
          </w:tcPr>
          <w:p w14:paraId="15C28553">
            <w:pPr>
              <w:rPr>
                <w:sz w:val="24"/>
                <w:szCs w:val="24"/>
              </w:rPr>
            </w:pPr>
          </w:p>
        </w:tc>
        <w:tc>
          <w:tcPr>
            <w:tcW w:w="1240" w:type="dxa"/>
            <w:tcBorders>
              <w:bottom w:val="single" w:color="auto" w:sz="8" w:space="0"/>
              <w:right w:val="single" w:color="auto" w:sz="8" w:space="0"/>
            </w:tcBorders>
            <w:vAlign w:val="bottom"/>
          </w:tcPr>
          <w:p w14:paraId="2AB0F6A3">
            <w:pPr>
              <w:rPr>
                <w:sz w:val="24"/>
                <w:szCs w:val="24"/>
              </w:rPr>
            </w:pPr>
          </w:p>
        </w:tc>
      </w:tr>
      <w:tr w14:paraId="1DC2D098">
        <w:tblPrEx>
          <w:tblCellMar>
            <w:top w:w="0" w:type="dxa"/>
            <w:left w:w="0" w:type="dxa"/>
            <w:bottom w:w="0" w:type="dxa"/>
            <w:right w:w="0" w:type="dxa"/>
          </w:tblCellMar>
        </w:tblPrEx>
        <w:trPr>
          <w:trHeight w:val="465" w:hRule="atLeast"/>
        </w:trPr>
        <w:tc>
          <w:tcPr>
            <w:tcW w:w="200" w:type="dxa"/>
            <w:tcBorders>
              <w:right w:val="single" w:color="auto" w:sz="8" w:space="0"/>
            </w:tcBorders>
            <w:vAlign w:val="bottom"/>
          </w:tcPr>
          <w:p w14:paraId="18E03773">
            <w:pPr>
              <w:rPr>
                <w:sz w:val="24"/>
                <w:szCs w:val="24"/>
              </w:rPr>
            </w:pPr>
          </w:p>
        </w:tc>
        <w:tc>
          <w:tcPr>
            <w:tcW w:w="640" w:type="dxa"/>
            <w:tcBorders>
              <w:bottom w:val="single" w:color="auto" w:sz="8" w:space="0"/>
              <w:right w:val="single" w:color="auto" w:sz="8" w:space="0"/>
            </w:tcBorders>
            <w:vAlign w:val="bottom"/>
          </w:tcPr>
          <w:p w14:paraId="53BEC210">
            <w:pPr>
              <w:rPr>
                <w:sz w:val="24"/>
                <w:szCs w:val="24"/>
              </w:rPr>
            </w:pPr>
          </w:p>
        </w:tc>
        <w:tc>
          <w:tcPr>
            <w:tcW w:w="1680" w:type="dxa"/>
            <w:tcBorders>
              <w:bottom w:val="single" w:color="auto" w:sz="8" w:space="0"/>
              <w:right w:val="single" w:color="auto" w:sz="8" w:space="0"/>
            </w:tcBorders>
            <w:vAlign w:val="bottom"/>
          </w:tcPr>
          <w:p w14:paraId="7E00F939">
            <w:pPr>
              <w:rPr>
                <w:sz w:val="24"/>
                <w:szCs w:val="24"/>
              </w:rPr>
            </w:pPr>
          </w:p>
        </w:tc>
        <w:tc>
          <w:tcPr>
            <w:tcW w:w="1920" w:type="dxa"/>
            <w:tcBorders>
              <w:bottom w:val="single" w:color="auto" w:sz="8" w:space="0"/>
              <w:right w:val="single" w:color="auto" w:sz="8" w:space="0"/>
            </w:tcBorders>
            <w:vAlign w:val="bottom"/>
          </w:tcPr>
          <w:p w14:paraId="60DC98B0">
            <w:pPr>
              <w:rPr>
                <w:sz w:val="24"/>
                <w:szCs w:val="24"/>
              </w:rPr>
            </w:pPr>
          </w:p>
        </w:tc>
        <w:tc>
          <w:tcPr>
            <w:tcW w:w="3020" w:type="dxa"/>
            <w:tcBorders>
              <w:bottom w:val="single" w:color="auto" w:sz="8" w:space="0"/>
              <w:right w:val="single" w:color="auto" w:sz="8" w:space="0"/>
            </w:tcBorders>
            <w:vAlign w:val="bottom"/>
          </w:tcPr>
          <w:p w14:paraId="7C9DBE05">
            <w:pPr>
              <w:rPr>
                <w:sz w:val="24"/>
                <w:szCs w:val="24"/>
              </w:rPr>
            </w:pPr>
          </w:p>
        </w:tc>
        <w:tc>
          <w:tcPr>
            <w:tcW w:w="1240" w:type="dxa"/>
            <w:tcBorders>
              <w:bottom w:val="single" w:color="auto" w:sz="8" w:space="0"/>
              <w:right w:val="single" w:color="auto" w:sz="8" w:space="0"/>
            </w:tcBorders>
            <w:vAlign w:val="bottom"/>
          </w:tcPr>
          <w:p w14:paraId="5CD74A5D">
            <w:pPr>
              <w:rPr>
                <w:sz w:val="24"/>
                <w:szCs w:val="24"/>
              </w:rPr>
            </w:pPr>
          </w:p>
        </w:tc>
      </w:tr>
      <w:tr w14:paraId="061010EA">
        <w:tblPrEx>
          <w:tblCellMar>
            <w:top w:w="0" w:type="dxa"/>
            <w:left w:w="0" w:type="dxa"/>
            <w:bottom w:w="0" w:type="dxa"/>
            <w:right w:w="0" w:type="dxa"/>
          </w:tblCellMar>
        </w:tblPrEx>
        <w:trPr>
          <w:trHeight w:val="465" w:hRule="atLeast"/>
        </w:trPr>
        <w:tc>
          <w:tcPr>
            <w:tcW w:w="200" w:type="dxa"/>
            <w:tcBorders>
              <w:right w:val="single" w:color="auto" w:sz="8" w:space="0"/>
            </w:tcBorders>
            <w:vAlign w:val="bottom"/>
          </w:tcPr>
          <w:p w14:paraId="50B252DC">
            <w:pPr>
              <w:rPr>
                <w:sz w:val="24"/>
                <w:szCs w:val="24"/>
              </w:rPr>
            </w:pPr>
          </w:p>
        </w:tc>
        <w:tc>
          <w:tcPr>
            <w:tcW w:w="640" w:type="dxa"/>
            <w:tcBorders>
              <w:bottom w:val="single" w:color="auto" w:sz="8" w:space="0"/>
              <w:right w:val="single" w:color="auto" w:sz="8" w:space="0"/>
            </w:tcBorders>
            <w:vAlign w:val="bottom"/>
          </w:tcPr>
          <w:p w14:paraId="123441A8">
            <w:pPr>
              <w:rPr>
                <w:sz w:val="24"/>
                <w:szCs w:val="24"/>
              </w:rPr>
            </w:pPr>
          </w:p>
        </w:tc>
        <w:tc>
          <w:tcPr>
            <w:tcW w:w="1680" w:type="dxa"/>
            <w:tcBorders>
              <w:bottom w:val="single" w:color="auto" w:sz="8" w:space="0"/>
              <w:right w:val="single" w:color="auto" w:sz="8" w:space="0"/>
            </w:tcBorders>
            <w:vAlign w:val="bottom"/>
          </w:tcPr>
          <w:p w14:paraId="38B1AD46">
            <w:pPr>
              <w:rPr>
                <w:sz w:val="24"/>
                <w:szCs w:val="24"/>
              </w:rPr>
            </w:pPr>
          </w:p>
        </w:tc>
        <w:tc>
          <w:tcPr>
            <w:tcW w:w="1920" w:type="dxa"/>
            <w:tcBorders>
              <w:bottom w:val="single" w:color="auto" w:sz="8" w:space="0"/>
              <w:right w:val="single" w:color="auto" w:sz="8" w:space="0"/>
            </w:tcBorders>
            <w:vAlign w:val="bottom"/>
          </w:tcPr>
          <w:p w14:paraId="64AA2883">
            <w:pPr>
              <w:rPr>
                <w:sz w:val="24"/>
                <w:szCs w:val="24"/>
              </w:rPr>
            </w:pPr>
          </w:p>
        </w:tc>
        <w:tc>
          <w:tcPr>
            <w:tcW w:w="3020" w:type="dxa"/>
            <w:tcBorders>
              <w:bottom w:val="single" w:color="auto" w:sz="8" w:space="0"/>
              <w:right w:val="single" w:color="auto" w:sz="8" w:space="0"/>
            </w:tcBorders>
            <w:vAlign w:val="bottom"/>
          </w:tcPr>
          <w:p w14:paraId="58E5A477">
            <w:pPr>
              <w:rPr>
                <w:sz w:val="24"/>
                <w:szCs w:val="24"/>
              </w:rPr>
            </w:pPr>
          </w:p>
        </w:tc>
        <w:tc>
          <w:tcPr>
            <w:tcW w:w="1240" w:type="dxa"/>
            <w:tcBorders>
              <w:bottom w:val="single" w:color="auto" w:sz="8" w:space="0"/>
              <w:right w:val="single" w:color="auto" w:sz="8" w:space="0"/>
            </w:tcBorders>
            <w:vAlign w:val="bottom"/>
          </w:tcPr>
          <w:p w14:paraId="79D575EA">
            <w:pPr>
              <w:rPr>
                <w:sz w:val="24"/>
                <w:szCs w:val="24"/>
              </w:rPr>
            </w:pPr>
          </w:p>
        </w:tc>
      </w:tr>
      <w:tr w14:paraId="58F48360">
        <w:tblPrEx>
          <w:tblCellMar>
            <w:top w:w="0" w:type="dxa"/>
            <w:left w:w="0" w:type="dxa"/>
            <w:bottom w:w="0" w:type="dxa"/>
            <w:right w:w="0" w:type="dxa"/>
          </w:tblCellMar>
        </w:tblPrEx>
        <w:trPr>
          <w:trHeight w:val="467" w:hRule="atLeast"/>
        </w:trPr>
        <w:tc>
          <w:tcPr>
            <w:tcW w:w="200" w:type="dxa"/>
            <w:tcBorders>
              <w:right w:val="single" w:color="auto" w:sz="8" w:space="0"/>
            </w:tcBorders>
            <w:vAlign w:val="bottom"/>
          </w:tcPr>
          <w:p w14:paraId="03AFADE9">
            <w:pPr>
              <w:rPr>
                <w:sz w:val="24"/>
                <w:szCs w:val="24"/>
              </w:rPr>
            </w:pPr>
          </w:p>
        </w:tc>
        <w:tc>
          <w:tcPr>
            <w:tcW w:w="640" w:type="dxa"/>
            <w:tcBorders>
              <w:bottom w:val="single" w:color="auto" w:sz="8" w:space="0"/>
              <w:right w:val="single" w:color="auto" w:sz="8" w:space="0"/>
            </w:tcBorders>
            <w:vAlign w:val="bottom"/>
          </w:tcPr>
          <w:p w14:paraId="30DAE0F0">
            <w:pPr>
              <w:rPr>
                <w:sz w:val="24"/>
                <w:szCs w:val="24"/>
              </w:rPr>
            </w:pPr>
          </w:p>
        </w:tc>
        <w:tc>
          <w:tcPr>
            <w:tcW w:w="1680" w:type="dxa"/>
            <w:tcBorders>
              <w:bottom w:val="single" w:color="auto" w:sz="8" w:space="0"/>
              <w:right w:val="single" w:color="auto" w:sz="8" w:space="0"/>
            </w:tcBorders>
            <w:vAlign w:val="bottom"/>
          </w:tcPr>
          <w:p w14:paraId="71691ACC">
            <w:pPr>
              <w:rPr>
                <w:sz w:val="24"/>
                <w:szCs w:val="24"/>
              </w:rPr>
            </w:pPr>
          </w:p>
        </w:tc>
        <w:tc>
          <w:tcPr>
            <w:tcW w:w="1920" w:type="dxa"/>
            <w:tcBorders>
              <w:bottom w:val="single" w:color="auto" w:sz="8" w:space="0"/>
              <w:right w:val="single" w:color="auto" w:sz="8" w:space="0"/>
            </w:tcBorders>
            <w:vAlign w:val="bottom"/>
          </w:tcPr>
          <w:p w14:paraId="1C9DD075">
            <w:pPr>
              <w:rPr>
                <w:sz w:val="24"/>
                <w:szCs w:val="24"/>
              </w:rPr>
            </w:pPr>
          </w:p>
        </w:tc>
        <w:tc>
          <w:tcPr>
            <w:tcW w:w="3020" w:type="dxa"/>
            <w:tcBorders>
              <w:bottom w:val="single" w:color="auto" w:sz="8" w:space="0"/>
              <w:right w:val="single" w:color="auto" w:sz="8" w:space="0"/>
            </w:tcBorders>
            <w:vAlign w:val="bottom"/>
          </w:tcPr>
          <w:p w14:paraId="719C56CD">
            <w:pPr>
              <w:rPr>
                <w:sz w:val="24"/>
                <w:szCs w:val="24"/>
              </w:rPr>
            </w:pPr>
          </w:p>
        </w:tc>
        <w:tc>
          <w:tcPr>
            <w:tcW w:w="1240" w:type="dxa"/>
            <w:tcBorders>
              <w:bottom w:val="single" w:color="auto" w:sz="8" w:space="0"/>
              <w:right w:val="single" w:color="auto" w:sz="8" w:space="0"/>
            </w:tcBorders>
            <w:vAlign w:val="bottom"/>
          </w:tcPr>
          <w:p w14:paraId="0E88B195">
            <w:pPr>
              <w:rPr>
                <w:sz w:val="24"/>
                <w:szCs w:val="24"/>
              </w:rPr>
            </w:pPr>
          </w:p>
        </w:tc>
      </w:tr>
      <w:tr w14:paraId="33A88803">
        <w:tblPrEx>
          <w:tblCellMar>
            <w:top w:w="0" w:type="dxa"/>
            <w:left w:w="0" w:type="dxa"/>
            <w:bottom w:w="0" w:type="dxa"/>
            <w:right w:w="0" w:type="dxa"/>
          </w:tblCellMar>
        </w:tblPrEx>
        <w:trPr>
          <w:trHeight w:val="465" w:hRule="atLeast"/>
        </w:trPr>
        <w:tc>
          <w:tcPr>
            <w:tcW w:w="200" w:type="dxa"/>
            <w:tcBorders>
              <w:right w:val="single" w:color="auto" w:sz="8" w:space="0"/>
            </w:tcBorders>
            <w:vAlign w:val="bottom"/>
          </w:tcPr>
          <w:p w14:paraId="2C886A94">
            <w:pPr>
              <w:rPr>
                <w:sz w:val="24"/>
                <w:szCs w:val="24"/>
              </w:rPr>
            </w:pPr>
          </w:p>
        </w:tc>
        <w:tc>
          <w:tcPr>
            <w:tcW w:w="640" w:type="dxa"/>
            <w:tcBorders>
              <w:bottom w:val="single" w:color="auto" w:sz="8" w:space="0"/>
              <w:right w:val="single" w:color="auto" w:sz="8" w:space="0"/>
            </w:tcBorders>
            <w:vAlign w:val="bottom"/>
          </w:tcPr>
          <w:p w14:paraId="7544D577">
            <w:pPr>
              <w:rPr>
                <w:sz w:val="24"/>
                <w:szCs w:val="24"/>
              </w:rPr>
            </w:pPr>
          </w:p>
        </w:tc>
        <w:tc>
          <w:tcPr>
            <w:tcW w:w="1680" w:type="dxa"/>
            <w:tcBorders>
              <w:bottom w:val="single" w:color="auto" w:sz="8" w:space="0"/>
              <w:right w:val="single" w:color="auto" w:sz="8" w:space="0"/>
            </w:tcBorders>
            <w:vAlign w:val="bottom"/>
          </w:tcPr>
          <w:p w14:paraId="1373AADB">
            <w:pPr>
              <w:rPr>
                <w:sz w:val="24"/>
                <w:szCs w:val="24"/>
              </w:rPr>
            </w:pPr>
          </w:p>
        </w:tc>
        <w:tc>
          <w:tcPr>
            <w:tcW w:w="1920" w:type="dxa"/>
            <w:tcBorders>
              <w:bottom w:val="single" w:color="auto" w:sz="8" w:space="0"/>
              <w:right w:val="single" w:color="auto" w:sz="8" w:space="0"/>
            </w:tcBorders>
            <w:vAlign w:val="bottom"/>
          </w:tcPr>
          <w:p w14:paraId="265AB8D5">
            <w:pPr>
              <w:rPr>
                <w:sz w:val="24"/>
                <w:szCs w:val="24"/>
              </w:rPr>
            </w:pPr>
          </w:p>
        </w:tc>
        <w:tc>
          <w:tcPr>
            <w:tcW w:w="3020" w:type="dxa"/>
            <w:tcBorders>
              <w:bottom w:val="single" w:color="auto" w:sz="8" w:space="0"/>
              <w:right w:val="single" w:color="auto" w:sz="8" w:space="0"/>
            </w:tcBorders>
            <w:vAlign w:val="bottom"/>
          </w:tcPr>
          <w:p w14:paraId="059A20B9">
            <w:pPr>
              <w:rPr>
                <w:sz w:val="24"/>
                <w:szCs w:val="24"/>
              </w:rPr>
            </w:pPr>
          </w:p>
        </w:tc>
        <w:tc>
          <w:tcPr>
            <w:tcW w:w="1240" w:type="dxa"/>
            <w:tcBorders>
              <w:bottom w:val="single" w:color="auto" w:sz="8" w:space="0"/>
              <w:right w:val="single" w:color="auto" w:sz="8" w:space="0"/>
            </w:tcBorders>
            <w:vAlign w:val="bottom"/>
          </w:tcPr>
          <w:p w14:paraId="5D3A3D6E">
            <w:pPr>
              <w:rPr>
                <w:sz w:val="24"/>
                <w:szCs w:val="24"/>
              </w:rPr>
            </w:pPr>
          </w:p>
        </w:tc>
      </w:tr>
    </w:tbl>
    <w:p w14:paraId="331AB582">
      <w:pPr>
        <w:spacing w:line="560" w:lineRule="exact"/>
        <w:ind w:firstLine="482"/>
        <w:rPr>
          <w:rFonts w:ascii="仿宋" w:eastAsia="仿宋"/>
          <w:sz w:val="24"/>
          <w:szCs w:val="20"/>
        </w:rPr>
      </w:pPr>
      <w:r>
        <w:rPr>
          <w:rFonts w:ascii="仿宋" w:hAnsi="宋体" w:eastAsia="仿宋" w:cs="宋体"/>
          <w:sz w:val="24"/>
          <w:szCs w:val="21"/>
        </w:rPr>
        <w:t>说明：如果行数不够，请自行增加。</w:t>
      </w:r>
    </w:p>
    <w:p w14:paraId="44D65208">
      <w:pPr>
        <w:spacing w:line="560" w:lineRule="exact"/>
        <w:ind w:firstLine="482"/>
        <w:rPr>
          <w:rFonts w:ascii="仿宋" w:hAnsi="宋体" w:eastAsia="仿宋" w:cs="宋体"/>
          <w:sz w:val="24"/>
          <w:szCs w:val="21"/>
          <w:u w:val="single"/>
        </w:rPr>
      </w:pPr>
      <w:r>
        <w:rPr>
          <w:rFonts w:ascii="仿宋" w:hAnsi="宋体" w:eastAsia="仿宋" w:cs="宋体"/>
          <w:sz w:val="24"/>
          <w:szCs w:val="21"/>
        </w:rPr>
        <w:t>供应商：</w:t>
      </w:r>
      <w:r>
        <w:rPr>
          <w:rFonts w:hint="eastAsia" w:ascii="仿宋" w:hAnsi="宋体" w:eastAsia="仿宋" w:cs="宋体"/>
          <w:sz w:val="24"/>
          <w:szCs w:val="21"/>
          <w:u w:val="single"/>
        </w:rPr>
        <w:t xml:space="preserve">        </w:t>
      </w:r>
      <w:r>
        <w:rPr>
          <w:rFonts w:ascii="仿宋" w:hAnsi="宋体" w:eastAsia="仿宋" w:cs="宋体"/>
          <w:sz w:val="24"/>
          <w:szCs w:val="21"/>
          <w:u w:val="single"/>
        </w:rPr>
        <w:t>（盖单位章）</w:t>
      </w:r>
    </w:p>
    <w:p w14:paraId="240D4BFD">
      <w:pPr>
        <w:spacing w:line="560" w:lineRule="exact"/>
        <w:ind w:firstLine="482"/>
        <w:rPr>
          <w:rFonts w:ascii="仿宋" w:hAnsi="宋体" w:eastAsia="仿宋" w:cs="宋体"/>
          <w:sz w:val="24"/>
          <w:szCs w:val="21"/>
          <w:u w:val="single"/>
        </w:rPr>
      </w:pPr>
      <w:r>
        <w:rPr>
          <w:rFonts w:ascii="仿宋" w:hAnsi="宋体" w:eastAsia="仿宋" w:cs="宋体"/>
          <w:sz w:val="24"/>
          <w:szCs w:val="21"/>
        </w:rPr>
        <w:t>法定代表人或其委托代理人：</w:t>
      </w:r>
      <w:r>
        <w:rPr>
          <w:rFonts w:hint="eastAsia" w:ascii="仿宋" w:hAnsi="宋体" w:eastAsia="仿宋" w:cs="宋体"/>
          <w:sz w:val="24"/>
          <w:szCs w:val="21"/>
          <w:u w:val="single"/>
        </w:rPr>
        <w:t xml:space="preserve">    </w:t>
      </w:r>
      <w:r>
        <w:rPr>
          <w:rFonts w:ascii="仿宋" w:hAnsi="宋体" w:eastAsia="仿宋" w:cs="宋体"/>
          <w:sz w:val="24"/>
          <w:szCs w:val="21"/>
          <w:u w:val="single"/>
        </w:rPr>
        <w:t>（签字或签章）</w:t>
      </w:r>
    </w:p>
    <w:p w14:paraId="1453001B">
      <w:pPr>
        <w:spacing w:line="560" w:lineRule="exact"/>
        <w:ind w:firstLine="482"/>
        <w:rPr>
          <w:rFonts w:ascii="仿宋" w:hAnsi="宋体" w:eastAsia="仿宋" w:cs="宋体"/>
          <w:sz w:val="24"/>
          <w:szCs w:val="21"/>
          <w:u w:val="single"/>
        </w:rPr>
      </w:pPr>
    </w:p>
    <w:p w14:paraId="4E47F016">
      <w:pPr>
        <w:spacing w:line="560" w:lineRule="exact"/>
        <w:ind w:firstLine="482"/>
        <w:rPr>
          <w:rFonts w:ascii="仿宋" w:hAnsi="宋体" w:eastAsia="仿宋" w:cs="宋体"/>
          <w:b/>
          <w:bCs/>
          <w:sz w:val="24"/>
          <w:szCs w:val="32"/>
        </w:rPr>
      </w:pPr>
      <w:bookmarkStart w:id="33" w:name="page45"/>
      <w:bookmarkEnd w:id="33"/>
    </w:p>
    <w:p w14:paraId="4B8A3F59">
      <w:pPr>
        <w:pStyle w:val="7"/>
        <w:ind w:firstLine="241"/>
        <w:rPr>
          <w:rFonts w:ascii="仿宋" w:hAnsi="宋体" w:eastAsia="仿宋" w:cs="宋体"/>
          <w:b/>
          <w:bCs/>
          <w:sz w:val="24"/>
          <w:szCs w:val="32"/>
        </w:rPr>
      </w:pPr>
    </w:p>
    <w:p w14:paraId="21406502">
      <w:pPr>
        <w:pStyle w:val="7"/>
        <w:ind w:firstLine="241"/>
        <w:rPr>
          <w:rFonts w:ascii="仿宋" w:hAnsi="宋体" w:eastAsia="仿宋" w:cs="宋体"/>
          <w:b/>
          <w:bCs/>
          <w:sz w:val="24"/>
          <w:szCs w:val="32"/>
        </w:rPr>
      </w:pPr>
    </w:p>
    <w:p w14:paraId="17A897C3">
      <w:pPr>
        <w:pStyle w:val="7"/>
        <w:ind w:firstLine="241"/>
        <w:rPr>
          <w:rFonts w:ascii="仿宋" w:hAnsi="宋体" w:eastAsia="仿宋" w:cs="宋体"/>
          <w:b/>
          <w:bCs/>
          <w:sz w:val="24"/>
          <w:szCs w:val="32"/>
        </w:rPr>
      </w:pPr>
    </w:p>
    <w:p w14:paraId="662B5119">
      <w:pPr>
        <w:pStyle w:val="7"/>
        <w:ind w:firstLine="241"/>
        <w:rPr>
          <w:rFonts w:ascii="仿宋" w:hAnsi="宋体" w:eastAsia="仿宋" w:cs="宋体"/>
          <w:b/>
          <w:bCs/>
          <w:sz w:val="24"/>
          <w:szCs w:val="32"/>
        </w:rPr>
      </w:pPr>
    </w:p>
    <w:p w14:paraId="7EF7B991">
      <w:pPr>
        <w:pStyle w:val="7"/>
        <w:ind w:firstLine="241"/>
        <w:rPr>
          <w:rFonts w:ascii="仿宋" w:hAnsi="宋体" w:eastAsia="仿宋" w:cs="宋体"/>
          <w:b/>
          <w:bCs/>
          <w:sz w:val="24"/>
          <w:szCs w:val="32"/>
        </w:rPr>
      </w:pPr>
    </w:p>
    <w:p w14:paraId="2AD0B29A">
      <w:pPr>
        <w:pStyle w:val="7"/>
        <w:ind w:firstLine="241"/>
        <w:rPr>
          <w:rFonts w:ascii="仿宋" w:hAnsi="宋体" w:eastAsia="仿宋" w:cs="宋体"/>
          <w:b/>
          <w:bCs/>
          <w:sz w:val="24"/>
          <w:szCs w:val="32"/>
        </w:rPr>
      </w:pPr>
    </w:p>
    <w:p w14:paraId="59BBE5C6">
      <w:pPr>
        <w:pStyle w:val="7"/>
        <w:ind w:firstLine="241"/>
        <w:rPr>
          <w:rFonts w:ascii="仿宋" w:hAnsi="宋体" w:eastAsia="仿宋" w:cs="宋体"/>
          <w:b/>
          <w:bCs/>
          <w:sz w:val="24"/>
          <w:szCs w:val="32"/>
        </w:rPr>
      </w:pPr>
    </w:p>
    <w:p w14:paraId="4895F206">
      <w:pPr>
        <w:pStyle w:val="7"/>
        <w:ind w:firstLine="241"/>
        <w:rPr>
          <w:rFonts w:ascii="仿宋" w:hAnsi="宋体" w:eastAsia="仿宋" w:cs="宋体"/>
          <w:b/>
          <w:bCs/>
          <w:sz w:val="24"/>
          <w:szCs w:val="32"/>
        </w:rPr>
      </w:pPr>
    </w:p>
    <w:p w14:paraId="25B2A50A">
      <w:pPr>
        <w:pStyle w:val="7"/>
        <w:ind w:firstLine="241"/>
        <w:rPr>
          <w:rFonts w:ascii="仿宋" w:hAnsi="宋体" w:eastAsia="仿宋" w:cs="宋体"/>
          <w:b/>
          <w:bCs/>
          <w:sz w:val="24"/>
          <w:szCs w:val="32"/>
        </w:rPr>
      </w:pPr>
    </w:p>
    <w:p w14:paraId="254F5F88">
      <w:pPr>
        <w:pStyle w:val="7"/>
        <w:ind w:firstLine="241"/>
        <w:rPr>
          <w:rFonts w:ascii="仿宋" w:hAnsi="宋体" w:eastAsia="仿宋" w:cs="宋体"/>
          <w:b/>
          <w:bCs/>
          <w:sz w:val="24"/>
          <w:szCs w:val="32"/>
        </w:rPr>
      </w:pPr>
    </w:p>
    <w:p w14:paraId="76AB63D4">
      <w:pPr>
        <w:pStyle w:val="7"/>
        <w:ind w:firstLine="241"/>
        <w:rPr>
          <w:rFonts w:ascii="仿宋" w:hAnsi="宋体" w:eastAsia="仿宋" w:cs="宋体"/>
          <w:b/>
          <w:bCs/>
          <w:sz w:val="24"/>
          <w:szCs w:val="32"/>
        </w:rPr>
      </w:pPr>
    </w:p>
    <w:p w14:paraId="6F9E0D54">
      <w:pPr>
        <w:pStyle w:val="7"/>
        <w:ind w:firstLine="241"/>
        <w:rPr>
          <w:rFonts w:ascii="仿宋" w:hAnsi="宋体" w:eastAsia="仿宋" w:cs="宋体"/>
          <w:b/>
          <w:bCs/>
          <w:sz w:val="24"/>
          <w:szCs w:val="32"/>
        </w:rPr>
      </w:pPr>
    </w:p>
    <w:p w14:paraId="0E87300E">
      <w:pPr>
        <w:pStyle w:val="7"/>
        <w:ind w:firstLine="241"/>
        <w:rPr>
          <w:rFonts w:ascii="仿宋" w:hAnsi="宋体" w:eastAsia="仿宋" w:cs="宋体"/>
          <w:b/>
          <w:bCs/>
          <w:sz w:val="24"/>
          <w:szCs w:val="32"/>
        </w:rPr>
      </w:pPr>
    </w:p>
    <w:p w14:paraId="0F6C16CB">
      <w:pPr>
        <w:pStyle w:val="7"/>
        <w:ind w:firstLine="241"/>
        <w:rPr>
          <w:rFonts w:ascii="仿宋" w:hAnsi="宋体" w:eastAsia="仿宋" w:cs="宋体"/>
          <w:b/>
          <w:bCs/>
          <w:sz w:val="24"/>
          <w:szCs w:val="32"/>
        </w:rPr>
      </w:pPr>
    </w:p>
    <w:p w14:paraId="5C9FD0C4">
      <w:pPr>
        <w:pStyle w:val="7"/>
        <w:ind w:firstLine="241"/>
        <w:rPr>
          <w:rFonts w:ascii="仿宋" w:hAnsi="宋体" w:eastAsia="仿宋" w:cs="宋体"/>
          <w:b/>
          <w:bCs/>
          <w:sz w:val="24"/>
          <w:szCs w:val="32"/>
        </w:rPr>
      </w:pPr>
    </w:p>
    <w:p w14:paraId="232FDC58">
      <w:pPr>
        <w:pStyle w:val="7"/>
        <w:ind w:firstLine="241"/>
        <w:rPr>
          <w:rFonts w:ascii="仿宋" w:hAnsi="宋体" w:eastAsia="仿宋" w:cs="宋体"/>
          <w:b/>
          <w:bCs/>
          <w:sz w:val="24"/>
          <w:szCs w:val="32"/>
        </w:rPr>
      </w:pPr>
    </w:p>
    <w:p w14:paraId="6F7669D9">
      <w:pPr>
        <w:pStyle w:val="7"/>
        <w:ind w:firstLine="241"/>
        <w:rPr>
          <w:rFonts w:ascii="仿宋" w:hAnsi="宋体" w:eastAsia="仿宋" w:cs="宋体"/>
          <w:b/>
          <w:bCs/>
          <w:sz w:val="24"/>
          <w:szCs w:val="32"/>
        </w:rPr>
      </w:pPr>
    </w:p>
    <w:p w14:paraId="5D9333DD">
      <w:pPr>
        <w:pStyle w:val="7"/>
        <w:ind w:firstLine="241"/>
        <w:rPr>
          <w:rFonts w:ascii="仿宋" w:hAnsi="宋体" w:eastAsia="仿宋" w:cs="宋体"/>
          <w:b/>
          <w:bCs/>
          <w:sz w:val="24"/>
          <w:szCs w:val="32"/>
        </w:rPr>
      </w:pPr>
    </w:p>
    <w:p w14:paraId="1227803E">
      <w:pPr>
        <w:spacing w:line="560" w:lineRule="exact"/>
        <w:rPr>
          <w:rFonts w:hint="eastAsia" w:ascii="仿宋" w:hAnsi="宋体" w:eastAsia="仿宋" w:cs="宋体"/>
          <w:b/>
          <w:bCs/>
          <w:sz w:val="24"/>
          <w:szCs w:val="32"/>
        </w:rPr>
      </w:pPr>
    </w:p>
    <w:p w14:paraId="1EACAE6E">
      <w:pPr>
        <w:spacing w:line="560" w:lineRule="exact"/>
        <w:rPr>
          <w:rFonts w:hint="eastAsia" w:ascii="仿宋" w:hAnsi="宋体" w:eastAsia="仿宋" w:cs="宋体"/>
          <w:b/>
          <w:bCs/>
          <w:sz w:val="24"/>
          <w:szCs w:val="32"/>
        </w:rPr>
      </w:pPr>
    </w:p>
    <w:p w14:paraId="29A1D1C5">
      <w:pPr>
        <w:spacing w:line="560" w:lineRule="exact"/>
        <w:ind w:firstLine="482"/>
        <w:rPr>
          <w:rFonts w:ascii="仿宋" w:eastAsia="仿宋"/>
          <w:sz w:val="24"/>
          <w:szCs w:val="20"/>
        </w:rPr>
      </w:pPr>
      <w:r>
        <w:rPr>
          <w:rFonts w:ascii="仿宋" w:hAnsi="宋体" w:eastAsia="仿宋" w:cs="宋体"/>
          <w:b/>
          <w:bCs/>
          <w:sz w:val="24"/>
          <w:szCs w:val="32"/>
        </w:rPr>
        <w:t>附件六、商务条款偏离表格式</w:t>
      </w:r>
    </w:p>
    <w:p w14:paraId="706669F2">
      <w:pPr>
        <w:spacing w:line="560" w:lineRule="exact"/>
        <w:ind w:firstLine="482"/>
        <w:rPr>
          <w:rFonts w:ascii="仿宋" w:eastAsia="仿宋"/>
          <w:sz w:val="24"/>
          <w:szCs w:val="20"/>
        </w:rPr>
      </w:pPr>
      <w:r>
        <w:rPr>
          <w:rFonts w:ascii="仿宋" w:hAnsi="宋体" w:eastAsia="仿宋" w:cs="宋体"/>
          <w:b/>
          <w:bCs/>
          <w:sz w:val="24"/>
          <w:szCs w:val="32"/>
        </w:rPr>
        <w:t>商务条款偏离表</w:t>
      </w:r>
    </w:p>
    <w:tbl>
      <w:tblPr>
        <w:tblStyle w:val="8"/>
        <w:tblW w:w="0" w:type="auto"/>
        <w:tblInd w:w="50" w:type="dxa"/>
        <w:tblLayout w:type="fixed"/>
        <w:tblCellMar>
          <w:top w:w="0" w:type="dxa"/>
          <w:left w:w="0" w:type="dxa"/>
          <w:bottom w:w="0" w:type="dxa"/>
          <w:right w:w="0" w:type="dxa"/>
        </w:tblCellMar>
      </w:tblPr>
      <w:tblGrid>
        <w:gridCol w:w="580"/>
        <w:gridCol w:w="1680"/>
        <w:gridCol w:w="2500"/>
        <w:gridCol w:w="3000"/>
        <w:gridCol w:w="1200"/>
      </w:tblGrid>
      <w:tr w14:paraId="5E374BC5">
        <w:tblPrEx>
          <w:tblCellMar>
            <w:top w:w="0" w:type="dxa"/>
            <w:left w:w="0" w:type="dxa"/>
            <w:bottom w:w="0" w:type="dxa"/>
            <w:right w:w="0" w:type="dxa"/>
          </w:tblCellMar>
        </w:tblPrEx>
        <w:trPr>
          <w:trHeight w:val="240" w:hRule="atLeast"/>
        </w:trPr>
        <w:tc>
          <w:tcPr>
            <w:tcW w:w="4760" w:type="dxa"/>
            <w:gridSpan w:val="3"/>
            <w:vAlign w:val="bottom"/>
          </w:tcPr>
          <w:p w14:paraId="604981A3">
            <w:pPr>
              <w:spacing w:line="240" w:lineRule="exact"/>
              <w:ind w:left="60"/>
              <w:rPr>
                <w:sz w:val="20"/>
                <w:szCs w:val="20"/>
              </w:rPr>
            </w:pPr>
            <w:r>
              <w:rPr>
                <w:rFonts w:ascii="宋体" w:hAnsi="宋体" w:cs="宋体"/>
                <w:sz w:val="21"/>
                <w:szCs w:val="21"/>
              </w:rPr>
              <w:t>项目名称：</w:t>
            </w:r>
          </w:p>
        </w:tc>
        <w:tc>
          <w:tcPr>
            <w:tcW w:w="3000" w:type="dxa"/>
            <w:vAlign w:val="bottom"/>
          </w:tcPr>
          <w:p w14:paraId="7F9A9B83">
            <w:pPr>
              <w:spacing w:line="240" w:lineRule="exact"/>
              <w:ind w:left="560"/>
              <w:rPr>
                <w:sz w:val="20"/>
                <w:szCs w:val="20"/>
              </w:rPr>
            </w:pPr>
            <w:r>
              <w:rPr>
                <w:rFonts w:ascii="宋体" w:hAnsi="宋体" w:cs="宋体"/>
                <w:sz w:val="21"/>
                <w:szCs w:val="21"/>
              </w:rPr>
              <w:t>项目编号：</w:t>
            </w:r>
          </w:p>
        </w:tc>
        <w:tc>
          <w:tcPr>
            <w:tcW w:w="1200" w:type="dxa"/>
            <w:vAlign w:val="bottom"/>
          </w:tcPr>
          <w:p w14:paraId="46A7D21F">
            <w:pPr>
              <w:rPr>
                <w:sz w:val="20"/>
                <w:szCs w:val="20"/>
              </w:rPr>
            </w:pPr>
          </w:p>
        </w:tc>
      </w:tr>
      <w:tr w14:paraId="74501FB5">
        <w:tblPrEx>
          <w:tblCellMar>
            <w:top w:w="0" w:type="dxa"/>
            <w:left w:w="0" w:type="dxa"/>
            <w:bottom w:w="0" w:type="dxa"/>
            <w:right w:w="0" w:type="dxa"/>
          </w:tblCellMar>
        </w:tblPrEx>
        <w:trPr>
          <w:trHeight w:val="133" w:hRule="atLeast"/>
        </w:trPr>
        <w:tc>
          <w:tcPr>
            <w:tcW w:w="580" w:type="dxa"/>
            <w:tcBorders>
              <w:bottom w:val="single" w:color="auto" w:sz="8" w:space="0"/>
            </w:tcBorders>
            <w:vAlign w:val="bottom"/>
          </w:tcPr>
          <w:p w14:paraId="7AC56E45">
            <w:pPr>
              <w:rPr>
                <w:sz w:val="11"/>
                <w:szCs w:val="11"/>
              </w:rPr>
            </w:pPr>
          </w:p>
        </w:tc>
        <w:tc>
          <w:tcPr>
            <w:tcW w:w="1680" w:type="dxa"/>
            <w:tcBorders>
              <w:bottom w:val="single" w:color="auto" w:sz="8" w:space="0"/>
            </w:tcBorders>
            <w:vAlign w:val="bottom"/>
          </w:tcPr>
          <w:p w14:paraId="736B4ACC">
            <w:pPr>
              <w:rPr>
                <w:sz w:val="11"/>
                <w:szCs w:val="11"/>
              </w:rPr>
            </w:pPr>
          </w:p>
        </w:tc>
        <w:tc>
          <w:tcPr>
            <w:tcW w:w="2500" w:type="dxa"/>
            <w:tcBorders>
              <w:bottom w:val="single" w:color="auto" w:sz="8" w:space="0"/>
            </w:tcBorders>
            <w:vAlign w:val="bottom"/>
          </w:tcPr>
          <w:p w14:paraId="7C52EF34">
            <w:pPr>
              <w:rPr>
                <w:sz w:val="11"/>
                <w:szCs w:val="11"/>
              </w:rPr>
            </w:pPr>
          </w:p>
        </w:tc>
        <w:tc>
          <w:tcPr>
            <w:tcW w:w="3000" w:type="dxa"/>
            <w:tcBorders>
              <w:bottom w:val="single" w:color="auto" w:sz="8" w:space="0"/>
            </w:tcBorders>
            <w:vAlign w:val="bottom"/>
          </w:tcPr>
          <w:p w14:paraId="4EB77A08">
            <w:pPr>
              <w:rPr>
                <w:sz w:val="11"/>
                <w:szCs w:val="11"/>
              </w:rPr>
            </w:pPr>
          </w:p>
        </w:tc>
        <w:tc>
          <w:tcPr>
            <w:tcW w:w="1200" w:type="dxa"/>
            <w:tcBorders>
              <w:bottom w:val="single" w:color="auto" w:sz="8" w:space="0"/>
            </w:tcBorders>
            <w:vAlign w:val="bottom"/>
          </w:tcPr>
          <w:p w14:paraId="07C0C980">
            <w:pPr>
              <w:rPr>
                <w:sz w:val="11"/>
                <w:szCs w:val="11"/>
              </w:rPr>
            </w:pPr>
          </w:p>
        </w:tc>
      </w:tr>
      <w:tr w14:paraId="2F0D2624">
        <w:tblPrEx>
          <w:tblCellMar>
            <w:top w:w="0" w:type="dxa"/>
            <w:left w:w="0" w:type="dxa"/>
            <w:bottom w:w="0" w:type="dxa"/>
            <w:right w:w="0" w:type="dxa"/>
          </w:tblCellMar>
        </w:tblPrEx>
        <w:trPr>
          <w:trHeight w:val="332" w:hRule="atLeast"/>
        </w:trPr>
        <w:tc>
          <w:tcPr>
            <w:tcW w:w="580" w:type="dxa"/>
            <w:tcBorders>
              <w:left w:val="single" w:color="auto" w:sz="8" w:space="0"/>
              <w:right w:val="single" w:color="auto" w:sz="8" w:space="0"/>
            </w:tcBorders>
            <w:vAlign w:val="bottom"/>
          </w:tcPr>
          <w:p w14:paraId="1E24B5B9">
            <w:pPr>
              <w:spacing w:line="240" w:lineRule="exact"/>
              <w:ind w:left="80"/>
              <w:rPr>
                <w:sz w:val="20"/>
                <w:szCs w:val="20"/>
              </w:rPr>
            </w:pPr>
            <w:r>
              <w:rPr>
                <w:rFonts w:ascii="宋体" w:hAnsi="宋体" w:cs="宋体"/>
                <w:b/>
                <w:bCs/>
                <w:sz w:val="21"/>
                <w:szCs w:val="21"/>
              </w:rPr>
              <w:t>序号</w:t>
            </w:r>
          </w:p>
        </w:tc>
        <w:tc>
          <w:tcPr>
            <w:tcW w:w="1680" w:type="dxa"/>
            <w:tcBorders>
              <w:right w:val="single" w:color="auto" w:sz="8" w:space="0"/>
            </w:tcBorders>
            <w:vAlign w:val="bottom"/>
          </w:tcPr>
          <w:p w14:paraId="27C4C85D">
            <w:pPr>
              <w:spacing w:line="240" w:lineRule="exact"/>
              <w:ind w:left="80"/>
              <w:rPr>
                <w:sz w:val="20"/>
                <w:szCs w:val="20"/>
              </w:rPr>
            </w:pPr>
            <w:r>
              <w:rPr>
                <w:rFonts w:ascii="宋体" w:hAnsi="宋体" w:cs="宋体"/>
                <w:b/>
                <w:bCs/>
                <w:sz w:val="21"/>
                <w:szCs w:val="21"/>
              </w:rPr>
              <w:t>招标文件条目号</w:t>
            </w:r>
          </w:p>
        </w:tc>
        <w:tc>
          <w:tcPr>
            <w:tcW w:w="2500" w:type="dxa"/>
            <w:tcBorders>
              <w:right w:val="single" w:color="auto" w:sz="8" w:space="0"/>
            </w:tcBorders>
            <w:vAlign w:val="bottom"/>
          </w:tcPr>
          <w:p w14:paraId="1C4BB271">
            <w:pPr>
              <w:spacing w:line="240" w:lineRule="exact"/>
              <w:ind w:left="60"/>
              <w:rPr>
                <w:sz w:val="20"/>
                <w:szCs w:val="20"/>
              </w:rPr>
            </w:pPr>
            <w:r>
              <w:rPr>
                <w:rFonts w:ascii="宋体" w:hAnsi="宋体" w:cs="宋体"/>
                <w:b/>
                <w:bCs/>
                <w:sz w:val="21"/>
                <w:szCs w:val="21"/>
              </w:rPr>
              <w:t>招标文件要求的商务条款</w:t>
            </w:r>
          </w:p>
        </w:tc>
        <w:tc>
          <w:tcPr>
            <w:tcW w:w="3000" w:type="dxa"/>
            <w:tcBorders>
              <w:right w:val="single" w:color="auto" w:sz="8" w:space="0"/>
            </w:tcBorders>
            <w:vAlign w:val="bottom"/>
          </w:tcPr>
          <w:p w14:paraId="136E557C">
            <w:pPr>
              <w:spacing w:line="240" w:lineRule="exact"/>
              <w:ind w:left="1060"/>
              <w:rPr>
                <w:sz w:val="20"/>
                <w:szCs w:val="20"/>
              </w:rPr>
            </w:pPr>
            <w:r>
              <w:rPr>
                <w:rFonts w:ascii="宋体" w:hAnsi="宋体" w:cs="宋体"/>
                <w:b/>
                <w:bCs/>
                <w:sz w:val="21"/>
                <w:szCs w:val="21"/>
              </w:rPr>
              <w:t>投标响应</w:t>
            </w:r>
          </w:p>
        </w:tc>
        <w:tc>
          <w:tcPr>
            <w:tcW w:w="1200" w:type="dxa"/>
            <w:tcBorders>
              <w:right w:val="single" w:color="auto" w:sz="8" w:space="0"/>
            </w:tcBorders>
            <w:vAlign w:val="bottom"/>
          </w:tcPr>
          <w:p w14:paraId="58605D28">
            <w:pPr>
              <w:spacing w:line="240" w:lineRule="exact"/>
              <w:ind w:left="360"/>
              <w:rPr>
                <w:sz w:val="20"/>
                <w:szCs w:val="20"/>
              </w:rPr>
            </w:pPr>
            <w:r>
              <w:rPr>
                <w:rFonts w:ascii="宋体" w:hAnsi="宋体" w:cs="宋体"/>
                <w:b/>
                <w:bCs/>
                <w:sz w:val="21"/>
                <w:szCs w:val="21"/>
              </w:rPr>
              <w:t>偏离</w:t>
            </w:r>
          </w:p>
        </w:tc>
      </w:tr>
      <w:tr w14:paraId="7C051DFA">
        <w:tblPrEx>
          <w:tblCellMar>
            <w:top w:w="0" w:type="dxa"/>
            <w:left w:w="0" w:type="dxa"/>
            <w:bottom w:w="0" w:type="dxa"/>
            <w:right w:w="0" w:type="dxa"/>
          </w:tblCellMar>
        </w:tblPrEx>
        <w:trPr>
          <w:trHeight w:val="133" w:hRule="atLeast"/>
        </w:trPr>
        <w:tc>
          <w:tcPr>
            <w:tcW w:w="580" w:type="dxa"/>
            <w:tcBorders>
              <w:left w:val="single" w:color="auto" w:sz="8" w:space="0"/>
              <w:bottom w:val="single" w:color="auto" w:sz="8" w:space="0"/>
              <w:right w:val="single" w:color="auto" w:sz="8" w:space="0"/>
            </w:tcBorders>
            <w:vAlign w:val="bottom"/>
          </w:tcPr>
          <w:p w14:paraId="642CFAA2">
            <w:pPr>
              <w:rPr>
                <w:sz w:val="11"/>
                <w:szCs w:val="11"/>
              </w:rPr>
            </w:pPr>
          </w:p>
        </w:tc>
        <w:tc>
          <w:tcPr>
            <w:tcW w:w="1680" w:type="dxa"/>
            <w:tcBorders>
              <w:bottom w:val="single" w:color="auto" w:sz="8" w:space="0"/>
              <w:right w:val="single" w:color="auto" w:sz="8" w:space="0"/>
            </w:tcBorders>
            <w:vAlign w:val="bottom"/>
          </w:tcPr>
          <w:p w14:paraId="3091047D">
            <w:pPr>
              <w:rPr>
                <w:sz w:val="11"/>
                <w:szCs w:val="11"/>
              </w:rPr>
            </w:pPr>
          </w:p>
        </w:tc>
        <w:tc>
          <w:tcPr>
            <w:tcW w:w="2500" w:type="dxa"/>
            <w:tcBorders>
              <w:bottom w:val="single" w:color="auto" w:sz="8" w:space="0"/>
              <w:right w:val="single" w:color="auto" w:sz="8" w:space="0"/>
            </w:tcBorders>
            <w:vAlign w:val="bottom"/>
          </w:tcPr>
          <w:p w14:paraId="4DA13172">
            <w:pPr>
              <w:rPr>
                <w:sz w:val="11"/>
                <w:szCs w:val="11"/>
              </w:rPr>
            </w:pPr>
          </w:p>
        </w:tc>
        <w:tc>
          <w:tcPr>
            <w:tcW w:w="3000" w:type="dxa"/>
            <w:tcBorders>
              <w:bottom w:val="single" w:color="auto" w:sz="8" w:space="0"/>
              <w:right w:val="single" w:color="auto" w:sz="8" w:space="0"/>
            </w:tcBorders>
            <w:vAlign w:val="bottom"/>
          </w:tcPr>
          <w:p w14:paraId="592652B3">
            <w:pPr>
              <w:rPr>
                <w:sz w:val="11"/>
                <w:szCs w:val="11"/>
              </w:rPr>
            </w:pPr>
          </w:p>
        </w:tc>
        <w:tc>
          <w:tcPr>
            <w:tcW w:w="1200" w:type="dxa"/>
            <w:tcBorders>
              <w:bottom w:val="single" w:color="auto" w:sz="8" w:space="0"/>
              <w:right w:val="single" w:color="auto" w:sz="8" w:space="0"/>
            </w:tcBorders>
            <w:vAlign w:val="bottom"/>
          </w:tcPr>
          <w:p w14:paraId="4AAD7FA6">
            <w:pPr>
              <w:rPr>
                <w:sz w:val="11"/>
                <w:szCs w:val="11"/>
              </w:rPr>
            </w:pPr>
          </w:p>
        </w:tc>
      </w:tr>
      <w:tr w14:paraId="41B1A30D">
        <w:tblPrEx>
          <w:tblCellMar>
            <w:top w:w="0" w:type="dxa"/>
            <w:left w:w="0" w:type="dxa"/>
            <w:bottom w:w="0" w:type="dxa"/>
            <w:right w:w="0" w:type="dxa"/>
          </w:tblCellMar>
        </w:tblPrEx>
        <w:trPr>
          <w:trHeight w:val="467" w:hRule="atLeast"/>
        </w:trPr>
        <w:tc>
          <w:tcPr>
            <w:tcW w:w="580" w:type="dxa"/>
            <w:tcBorders>
              <w:left w:val="single" w:color="auto" w:sz="8" w:space="0"/>
              <w:bottom w:val="single" w:color="auto" w:sz="8" w:space="0"/>
              <w:right w:val="single" w:color="auto" w:sz="8" w:space="0"/>
            </w:tcBorders>
            <w:vAlign w:val="bottom"/>
          </w:tcPr>
          <w:p w14:paraId="34D2CA0C">
            <w:pPr>
              <w:rPr>
                <w:sz w:val="24"/>
                <w:szCs w:val="24"/>
              </w:rPr>
            </w:pPr>
          </w:p>
        </w:tc>
        <w:tc>
          <w:tcPr>
            <w:tcW w:w="1680" w:type="dxa"/>
            <w:tcBorders>
              <w:bottom w:val="single" w:color="auto" w:sz="8" w:space="0"/>
              <w:right w:val="single" w:color="auto" w:sz="8" w:space="0"/>
            </w:tcBorders>
            <w:vAlign w:val="bottom"/>
          </w:tcPr>
          <w:p w14:paraId="3FAF17E5">
            <w:pPr>
              <w:rPr>
                <w:sz w:val="24"/>
                <w:szCs w:val="24"/>
              </w:rPr>
            </w:pPr>
          </w:p>
        </w:tc>
        <w:tc>
          <w:tcPr>
            <w:tcW w:w="2500" w:type="dxa"/>
            <w:tcBorders>
              <w:bottom w:val="single" w:color="auto" w:sz="8" w:space="0"/>
              <w:right w:val="single" w:color="auto" w:sz="8" w:space="0"/>
            </w:tcBorders>
            <w:vAlign w:val="bottom"/>
          </w:tcPr>
          <w:p w14:paraId="3C55D3ED">
            <w:pPr>
              <w:rPr>
                <w:sz w:val="24"/>
                <w:szCs w:val="24"/>
              </w:rPr>
            </w:pPr>
          </w:p>
        </w:tc>
        <w:tc>
          <w:tcPr>
            <w:tcW w:w="3000" w:type="dxa"/>
            <w:tcBorders>
              <w:bottom w:val="single" w:color="auto" w:sz="8" w:space="0"/>
              <w:right w:val="single" w:color="auto" w:sz="8" w:space="0"/>
            </w:tcBorders>
            <w:vAlign w:val="bottom"/>
          </w:tcPr>
          <w:p w14:paraId="73EBC004">
            <w:pPr>
              <w:rPr>
                <w:sz w:val="24"/>
                <w:szCs w:val="24"/>
              </w:rPr>
            </w:pPr>
          </w:p>
        </w:tc>
        <w:tc>
          <w:tcPr>
            <w:tcW w:w="1200" w:type="dxa"/>
            <w:tcBorders>
              <w:bottom w:val="single" w:color="auto" w:sz="8" w:space="0"/>
              <w:right w:val="single" w:color="auto" w:sz="8" w:space="0"/>
            </w:tcBorders>
            <w:vAlign w:val="bottom"/>
          </w:tcPr>
          <w:p w14:paraId="7167BBC4">
            <w:pPr>
              <w:rPr>
                <w:sz w:val="24"/>
                <w:szCs w:val="24"/>
              </w:rPr>
            </w:pPr>
          </w:p>
        </w:tc>
      </w:tr>
      <w:tr w14:paraId="34C9FC29">
        <w:tblPrEx>
          <w:tblCellMar>
            <w:top w:w="0" w:type="dxa"/>
            <w:left w:w="0" w:type="dxa"/>
            <w:bottom w:w="0" w:type="dxa"/>
            <w:right w:w="0" w:type="dxa"/>
          </w:tblCellMar>
        </w:tblPrEx>
        <w:trPr>
          <w:trHeight w:val="465" w:hRule="atLeast"/>
        </w:trPr>
        <w:tc>
          <w:tcPr>
            <w:tcW w:w="580" w:type="dxa"/>
            <w:tcBorders>
              <w:left w:val="single" w:color="auto" w:sz="8" w:space="0"/>
              <w:bottom w:val="single" w:color="auto" w:sz="8" w:space="0"/>
              <w:right w:val="single" w:color="auto" w:sz="8" w:space="0"/>
            </w:tcBorders>
            <w:vAlign w:val="bottom"/>
          </w:tcPr>
          <w:p w14:paraId="3CE9450C">
            <w:pPr>
              <w:rPr>
                <w:sz w:val="24"/>
                <w:szCs w:val="24"/>
              </w:rPr>
            </w:pPr>
          </w:p>
        </w:tc>
        <w:tc>
          <w:tcPr>
            <w:tcW w:w="1680" w:type="dxa"/>
            <w:tcBorders>
              <w:bottom w:val="single" w:color="auto" w:sz="8" w:space="0"/>
              <w:right w:val="single" w:color="auto" w:sz="8" w:space="0"/>
            </w:tcBorders>
            <w:vAlign w:val="bottom"/>
          </w:tcPr>
          <w:p w14:paraId="0A4FB8F9">
            <w:pPr>
              <w:rPr>
                <w:sz w:val="24"/>
                <w:szCs w:val="24"/>
              </w:rPr>
            </w:pPr>
          </w:p>
        </w:tc>
        <w:tc>
          <w:tcPr>
            <w:tcW w:w="2500" w:type="dxa"/>
            <w:tcBorders>
              <w:bottom w:val="single" w:color="auto" w:sz="8" w:space="0"/>
              <w:right w:val="single" w:color="auto" w:sz="8" w:space="0"/>
            </w:tcBorders>
            <w:vAlign w:val="bottom"/>
          </w:tcPr>
          <w:p w14:paraId="1215FC5E">
            <w:pPr>
              <w:rPr>
                <w:sz w:val="24"/>
                <w:szCs w:val="24"/>
              </w:rPr>
            </w:pPr>
          </w:p>
        </w:tc>
        <w:tc>
          <w:tcPr>
            <w:tcW w:w="3000" w:type="dxa"/>
            <w:tcBorders>
              <w:bottom w:val="single" w:color="auto" w:sz="8" w:space="0"/>
              <w:right w:val="single" w:color="auto" w:sz="8" w:space="0"/>
            </w:tcBorders>
            <w:vAlign w:val="bottom"/>
          </w:tcPr>
          <w:p w14:paraId="51377167">
            <w:pPr>
              <w:rPr>
                <w:sz w:val="24"/>
                <w:szCs w:val="24"/>
              </w:rPr>
            </w:pPr>
          </w:p>
        </w:tc>
        <w:tc>
          <w:tcPr>
            <w:tcW w:w="1200" w:type="dxa"/>
            <w:tcBorders>
              <w:bottom w:val="single" w:color="auto" w:sz="8" w:space="0"/>
              <w:right w:val="single" w:color="auto" w:sz="8" w:space="0"/>
            </w:tcBorders>
            <w:vAlign w:val="bottom"/>
          </w:tcPr>
          <w:p w14:paraId="705177E8">
            <w:pPr>
              <w:rPr>
                <w:sz w:val="24"/>
                <w:szCs w:val="24"/>
              </w:rPr>
            </w:pPr>
          </w:p>
        </w:tc>
      </w:tr>
      <w:tr w14:paraId="0CE8BFDC">
        <w:tblPrEx>
          <w:tblCellMar>
            <w:top w:w="0" w:type="dxa"/>
            <w:left w:w="0" w:type="dxa"/>
            <w:bottom w:w="0" w:type="dxa"/>
            <w:right w:w="0" w:type="dxa"/>
          </w:tblCellMar>
        </w:tblPrEx>
        <w:trPr>
          <w:trHeight w:val="465" w:hRule="atLeast"/>
        </w:trPr>
        <w:tc>
          <w:tcPr>
            <w:tcW w:w="580" w:type="dxa"/>
            <w:tcBorders>
              <w:left w:val="single" w:color="auto" w:sz="8" w:space="0"/>
              <w:bottom w:val="single" w:color="auto" w:sz="8" w:space="0"/>
              <w:right w:val="single" w:color="auto" w:sz="8" w:space="0"/>
            </w:tcBorders>
            <w:vAlign w:val="bottom"/>
          </w:tcPr>
          <w:p w14:paraId="74DD38CD">
            <w:pPr>
              <w:rPr>
                <w:sz w:val="24"/>
                <w:szCs w:val="24"/>
              </w:rPr>
            </w:pPr>
          </w:p>
        </w:tc>
        <w:tc>
          <w:tcPr>
            <w:tcW w:w="1680" w:type="dxa"/>
            <w:tcBorders>
              <w:bottom w:val="single" w:color="auto" w:sz="8" w:space="0"/>
              <w:right w:val="single" w:color="auto" w:sz="8" w:space="0"/>
            </w:tcBorders>
            <w:vAlign w:val="bottom"/>
          </w:tcPr>
          <w:p w14:paraId="78D5C3A9">
            <w:pPr>
              <w:rPr>
                <w:sz w:val="24"/>
                <w:szCs w:val="24"/>
              </w:rPr>
            </w:pPr>
          </w:p>
        </w:tc>
        <w:tc>
          <w:tcPr>
            <w:tcW w:w="2500" w:type="dxa"/>
            <w:tcBorders>
              <w:bottom w:val="single" w:color="auto" w:sz="8" w:space="0"/>
              <w:right w:val="single" w:color="auto" w:sz="8" w:space="0"/>
            </w:tcBorders>
            <w:vAlign w:val="bottom"/>
          </w:tcPr>
          <w:p w14:paraId="0B137825">
            <w:pPr>
              <w:rPr>
                <w:sz w:val="24"/>
                <w:szCs w:val="24"/>
              </w:rPr>
            </w:pPr>
          </w:p>
        </w:tc>
        <w:tc>
          <w:tcPr>
            <w:tcW w:w="3000" w:type="dxa"/>
            <w:tcBorders>
              <w:bottom w:val="single" w:color="auto" w:sz="8" w:space="0"/>
              <w:right w:val="single" w:color="auto" w:sz="8" w:space="0"/>
            </w:tcBorders>
            <w:vAlign w:val="bottom"/>
          </w:tcPr>
          <w:p w14:paraId="3DE4A5B1">
            <w:pPr>
              <w:rPr>
                <w:sz w:val="24"/>
                <w:szCs w:val="24"/>
              </w:rPr>
            </w:pPr>
          </w:p>
        </w:tc>
        <w:tc>
          <w:tcPr>
            <w:tcW w:w="1200" w:type="dxa"/>
            <w:tcBorders>
              <w:bottom w:val="single" w:color="auto" w:sz="8" w:space="0"/>
              <w:right w:val="single" w:color="auto" w:sz="8" w:space="0"/>
            </w:tcBorders>
            <w:vAlign w:val="bottom"/>
          </w:tcPr>
          <w:p w14:paraId="339DC398">
            <w:pPr>
              <w:rPr>
                <w:sz w:val="24"/>
                <w:szCs w:val="24"/>
              </w:rPr>
            </w:pPr>
          </w:p>
        </w:tc>
      </w:tr>
      <w:tr w14:paraId="76A0DFF9">
        <w:tblPrEx>
          <w:tblCellMar>
            <w:top w:w="0" w:type="dxa"/>
            <w:left w:w="0" w:type="dxa"/>
            <w:bottom w:w="0" w:type="dxa"/>
            <w:right w:w="0" w:type="dxa"/>
          </w:tblCellMar>
        </w:tblPrEx>
        <w:trPr>
          <w:trHeight w:val="465" w:hRule="atLeast"/>
        </w:trPr>
        <w:tc>
          <w:tcPr>
            <w:tcW w:w="580" w:type="dxa"/>
            <w:tcBorders>
              <w:left w:val="single" w:color="auto" w:sz="8" w:space="0"/>
              <w:bottom w:val="single" w:color="auto" w:sz="8" w:space="0"/>
              <w:right w:val="single" w:color="auto" w:sz="8" w:space="0"/>
            </w:tcBorders>
            <w:vAlign w:val="bottom"/>
          </w:tcPr>
          <w:p w14:paraId="54EDF7A3">
            <w:pPr>
              <w:rPr>
                <w:sz w:val="24"/>
                <w:szCs w:val="24"/>
              </w:rPr>
            </w:pPr>
          </w:p>
        </w:tc>
        <w:tc>
          <w:tcPr>
            <w:tcW w:w="1680" w:type="dxa"/>
            <w:tcBorders>
              <w:bottom w:val="single" w:color="auto" w:sz="8" w:space="0"/>
              <w:right w:val="single" w:color="auto" w:sz="8" w:space="0"/>
            </w:tcBorders>
            <w:vAlign w:val="bottom"/>
          </w:tcPr>
          <w:p w14:paraId="26205728">
            <w:pPr>
              <w:rPr>
                <w:sz w:val="24"/>
                <w:szCs w:val="24"/>
              </w:rPr>
            </w:pPr>
          </w:p>
        </w:tc>
        <w:tc>
          <w:tcPr>
            <w:tcW w:w="2500" w:type="dxa"/>
            <w:tcBorders>
              <w:bottom w:val="single" w:color="auto" w:sz="8" w:space="0"/>
              <w:right w:val="single" w:color="auto" w:sz="8" w:space="0"/>
            </w:tcBorders>
            <w:vAlign w:val="bottom"/>
          </w:tcPr>
          <w:p w14:paraId="705CA483">
            <w:pPr>
              <w:rPr>
                <w:sz w:val="24"/>
                <w:szCs w:val="24"/>
              </w:rPr>
            </w:pPr>
          </w:p>
        </w:tc>
        <w:tc>
          <w:tcPr>
            <w:tcW w:w="3000" w:type="dxa"/>
            <w:tcBorders>
              <w:bottom w:val="single" w:color="auto" w:sz="8" w:space="0"/>
              <w:right w:val="single" w:color="auto" w:sz="8" w:space="0"/>
            </w:tcBorders>
            <w:vAlign w:val="bottom"/>
          </w:tcPr>
          <w:p w14:paraId="73029B0B">
            <w:pPr>
              <w:rPr>
                <w:sz w:val="24"/>
                <w:szCs w:val="24"/>
              </w:rPr>
            </w:pPr>
          </w:p>
        </w:tc>
        <w:tc>
          <w:tcPr>
            <w:tcW w:w="1200" w:type="dxa"/>
            <w:tcBorders>
              <w:bottom w:val="single" w:color="auto" w:sz="8" w:space="0"/>
              <w:right w:val="single" w:color="auto" w:sz="8" w:space="0"/>
            </w:tcBorders>
            <w:vAlign w:val="bottom"/>
          </w:tcPr>
          <w:p w14:paraId="41F892FD">
            <w:pPr>
              <w:rPr>
                <w:sz w:val="24"/>
                <w:szCs w:val="24"/>
              </w:rPr>
            </w:pPr>
          </w:p>
        </w:tc>
      </w:tr>
      <w:tr w14:paraId="5C42A517">
        <w:tblPrEx>
          <w:tblCellMar>
            <w:top w:w="0" w:type="dxa"/>
            <w:left w:w="0" w:type="dxa"/>
            <w:bottom w:w="0" w:type="dxa"/>
            <w:right w:w="0" w:type="dxa"/>
          </w:tblCellMar>
        </w:tblPrEx>
        <w:trPr>
          <w:trHeight w:val="467" w:hRule="atLeast"/>
        </w:trPr>
        <w:tc>
          <w:tcPr>
            <w:tcW w:w="580" w:type="dxa"/>
            <w:tcBorders>
              <w:left w:val="single" w:color="auto" w:sz="8" w:space="0"/>
              <w:bottom w:val="single" w:color="auto" w:sz="8" w:space="0"/>
              <w:right w:val="single" w:color="auto" w:sz="8" w:space="0"/>
            </w:tcBorders>
            <w:vAlign w:val="bottom"/>
          </w:tcPr>
          <w:p w14:paraId="68FD6091">
            <w:pPr>
              <w:rPr>
                <w:sz w:val="24"/>
                <w:szCs w:val="24"/>
              </w:rPr>
            </w:pPr>
          </w:p>
        </w:tc>
        <w:tc>
          <w:tcPr>
            <w:tcW w:w="1680" w:type="dxa"/>
            <w:tcBorders>
              <w:bottom w:val="single" w:color="auto" w:sz="8" w:space="0"/>
              <w:right w:val="single" w:color="auto" w:sz="8" w:space="0"/>
            </w:tcBorders>
            <w:vAlign w:val="bottom"/>
          </w:tcPr>
          <w:p w14:paraId="10A9D3B8">
            <w:pPr>
              <w:rPr>
                <w:sz w:val="24"/>
                <w:szCs w:val="24"/>
              </w:rPr>
            </w:pPr>
          </w:p>
        </w:tc>
        <w:tc>
          <w:tcPr>
            <w:tcW w:w="2500" w:type="dxa"/>
            <w:tcBorders>
              <w:bottom w:val="single" w:color="auto" w:sz="8" w:space="0"/>
              <w:right w:val="single" w:color="auto" w:sz="8" w:space="0"/>
            </w:tcBorders>
            <w:vAlign w:val="bottom"/>
          </w:tcPr>
          <w:p w14:paraId="10B3B1E8">
            <w:pPr>
              <w:rPr>
                <w:sz w:val="24"/>
                <w:szCs w:val="24"/>
              </w:rPr>
            </w:pPr>
          </w:p>
        </w:tc>
        <w:tc>
          <w:tcPr>
            <w:tcW w:w="3000" w:type="dxa"/>
            <w:tcBorders>
              <w:bottom w:val="single" w:color="auto" w:sz="8" w:space="0"/>
              <w:right w:val="single" w:color="auto" w:sz="8" w:space="0"/>
            </w:tcBorders>
            <w:vAlign w:val="bottom"/>
          </w:tcPr>
          <w:p w14:paraId="1B07AA07">
            <w:pPr>
              <w:rPr>
                <w:sz w:val="24"/>
                <w:szCs w:val="24"/>
              </w:rPr>
            </w:pPr>
          </w:p>
        </w:tc>
        <w:tc>
          <w:tcPr>
            <w:tcW w:w="1200" w:type="dxa"/>
            <w:tcBorders>
              <w:bottom w:val="single" w:color="auto" w:sz="8" w:space="0"/>
              <w:right w:val="single" w:color="auto" w:sz="8" w:space="0"/>
            </w:tcBorders>
            <w:vAlign w:val="bottom"/>
          </w:tcPr>
          <w:p w14:paraId="37921442">
            <w:pPr>
              <w:rPr>
                <w:sz w:val="24"/>
                <w:szCs w:val="24"/>
              </w:rPr>
            </w:pPr>
          </w:p>
        </w:tc>
      </w:tr>
      <w:tr w14:paraId="519AE4FE">
        <w:tblPrEx>
          <w:tblCellMar>
            <w:top w:w="0" w:type="dxa"/>
            <w:left w:w="0" w:type="dxa"/>
            <w:bottom w:w="0" w:type="dxa"/>
            <w:right w:w="0" w:type="dxa"/>
          </w:tblCellMar>
        </w:tblPrEx>
        <w:trPr>
          <w:trHeight w:val="465" w:hRule="atLeast"/>
        </w:trPr>
        <w:tc>
          <w:tcPr>
            <w:tcW w:w="580" w:type="dxa"/>
            <w:tcBorders>
              <w:left w:val="single" w:color="auto" w:sz="8" w:space="0"/>
              <w:bottom w:val="single" w:color="auto" w:sz="8" w:space="0"/>
              <w:right w:val="single" w:color="auto" w:sz="8" w:space="0"/>
            </w:tcBorders>
            <w:vAlign w:val="bottom"/>
          </w:tcPr>
          <w:p w14:paraId="0EE577AF">
            <w:pPr>
              <w:rPr>
                <w:sz w:val="24"/>
                <w:szCs w:val="24"/>
              </w:rPr>
            </w:pPr>
          </w:p>
        </w:tc>
        <w:tc>
          <w:tcPr>
            <w:tcW w:w="1680" w:type="dxa"/>
            <w:tcBorders>
              <w:bottom w:val="single" w:color="auto" w:sz="8" w:space="0"/>
              <w:right w:val="single" w:color="auto" w:sz="8" w:space="0"/>
            </w:tcBorders>
            <w:vAlign w:val="bottom"/>
          </w:tcPr>
          <w:p w14:paraId="0A472202">
            <w:pPr>
              <w:rPr>
                <w:sz w:val="24"/>
                <w:szCs w:val="24"/>
              </w:rPr>
            </w:pPr>
          </w:p>
        </w:tc>
        <w:tc>
          <w:tcPr>
            <w:tcW w:w="2500" w:type="dxa"/>
            <w:tcBorders>
              <w:bottom w:val="single" w:color="auto" w:sz="8" w:space="0"/>
              <w:right w:val="single" w:color="auto" w:sz="8" w:space="0"/>
            </w:tcBorders>
            <w:vAlign w:val="bottom"/>
          </w:tcPr>
          <w:p w14:paraId="68DE419E">
            <w:pPr>
              <w:rPr>
                <w:sz w:val="24"/>
                <w:szCs w:val="24"/>
              </w:rPr>
            </w:pPr>
          </w:p>
        </w:tc>
        <w:tc>
          <w:tcPr>
            <w:tcW w:w="3000" w:type="dxa"/>
            <w:tcBorders>
              <w:bottom w:val="single" w:color="auto" w:sz="8" w:space="0"/>
              <w:right w:val="single" w:color="auto" w:sz="8" w:space="0"/>
            </w:tcBorders>
            <w:vAlign w:val="bottom"/>
          </w:tcPr>
          <w:p w14:paraId="0958FAAF">
            <w:pPr>
              <w:rPr>
                <w:sz w:val="24"/>
                <w:szCs w:val="24"/>
              </w:rPr>
            </w:pPr>
          </w:p>
        </w:tc>
        <w:tc>
          <w:tcPr>
            <w:tcW w:w="1200" w:type="dxa"/>
            <w:tcBorders>
              <w:bottom w:val="single" w:color="auto" w:sz="8" w:space="0"/>
              <w:right w:val="single" w:color="auto" w:sz="8" w:space="0"/>
            </w:tcBorders>
            <w:vAlign w:val="bottom"/>
          </w:tcPr>
          <w:p w14:paraId="342F6041">
            <w:pPr>
              <w:rPr>
                <w:sz w:val="24"/>
                <w:szCs w:val="24"/>
              </w:rPr>
            </w:pPr>
          </w:p>
        </w:tc>
      </w:tr>
      <w:tr w14:paraId="7695647D">
        <w:tblPrEx>
          <w:tblCellMar>
            <w:top w:w="0" w:type="dxa"/>
            <w:left w:w="0" w:type="dxa"/>
            <w:bottom w:w="0" w:type="dxa"/>
            <w:right w:w="0" w:type="dxa"/>
          </w:tblCellMar>
        </w:tblPrEx>
        <w:trPr>
          <w:trHeight w:val="468" w:hRule="atLeast"/>
        </w:trPr>
        <w:tc>
          <w:tcPr>
            <w:tcW w:w="580" w:type="dxa"/>
            <w:tcBorders>
              <w:left w:val="single" w:color="auto" w:sz="8" w:space="0"/>
              <w:bottom w:val="single" w:color="auto" w:sz="8" w:space="0"/>
              <w:right w:val="single" w:color="auto" w:sz="8" w:space="0"/>
            </w:tcBorders>
            <w:vAlign w:val="bottom"/>
          </w:tcPr>
          <w:p w14:paraId="0499B625">
            <w:pPr>
              <w:rPr>
                <w:sz w:val="24"/>
                <w:szCs w:val="24"/>
              </w:rPr>
            </w:pPr>
          </w:p>
        </w:tc>
        <w:tc>
          <w:tcPr>
            <w:tcW w:w="1680" w:type="dxa"/>
            <w:tcBorders>
              <w:bottom w:val="single" w:color="auto" w:sz="8" w:space="0"/>
              <w:right w:val="single" w:color="auto" w:sz="8" w:space="0"/>
            </w:tcBorders>
            <w:vAlign w:val="bottom"/>
          </w:tcPr>
          <w:p w14:paraId="0078326A">
            <w:pPr>
              <w:rPr>
                <w:sz w:val="24"/>
                <w:szCs w:val="24"/>
              </w:rPr>
            </w:pPr>
          </w:p>
        </w:tc>
        <w:tc>
          <w:tcPr>
            <w:tcW w:w="2500" w:type="dxa"/>
            <w:tcBorders>
              <w:bottom w:val="single" w:color="auto" w:sz="8" w:space="0"/>
              <w:right w:val="single" w:color="auto" w:sz="8" w:space="0"/>
            </w:tcBorders>
            <w:vAlign w:val="bottom"/>
          </w:tcPr>
          <w:p w14:paraId="0306BDBD">
            <w:pPr>
              <w:rPr>
                <w:sz w:val="24"/>
                <w:szCs w:val="24"/>
              </w:rPr>
            </w:pPr>
          </w:p>
        </w:tc>
        <w:tc>
          <w:tcPr>
            <w:tcW w:w="3000" w:type="dxa"/>
            <w:tcBorders>
              <w:bottom w:val="single" w:color="auto" w:sz="8" w:space="0"/>
              <w:right w:val="single" w:color="auto" w:sz="8" w:space="0"/>
            </w:tcBorders>
            <w:vAlign w:val="bottom"/>
          </w:tcPr>
          <w:p w14:paraId="7EADA296">
            <w:pPr>
              <w:rPr>
                <w:sz w:val="24"/>
                <w:szCs w:val="24"/>
              </w:rPr>
            </w:pPr>
          </w:p>
        </w:tc>
        <w:tc>
          <w:tcPr>
            <w:tcW w:w="1200" w:type="dxa"/>
            <w:tcBorders>
              <w:bottom w:val="single" w:color="auto" w:sz="8" w:space="0"/>
              <w:right w:val="single" w:color="auto" w:sz="8" w:space="0"/>
            </w:tcBorders>
            <w:vAlign w:val="bottom"/>
          </w:tcPr>
          <w:p w14:paraId="148640BE">
            <w:pPr>
              <w:rPr>
                <w:sz w:val="24"/>
                <w:szCs w:val="24"/>
              </w:rPr>
            </w:pPr>
          </w:p>
        </w:tc>
      </w:tr>
    </w:tbl>
    <w:p w14:paraId="1FECD505">
      <w:pPr>
        <w:spacing w:line="560" w:lineRule="exact"/>
        <w:ind w:firstLine="482"/>
        <w:rPr>
          <w:rFonts w:ascii="仿宋" w:eastAsia="仿宋"/>
          <w:sz w:val="24"/>
          <w:szCs w:val="20"/>
        </w:rPr>
      </w:pPr>
      <w:r>
        <w:rPr>
          <w:rFonts w:ascii="仿宋" w:hAnsi="宋体" w:eastAsia="仿宋" w:cs="宋体"/>
          <w:sz w:val="24"/>
          <w:szCs w:val="21"/>
        </w:rPr>
        <w:t>说明：如果行数不够，请自行增加。</w:t>
      </w:r>
    </w:p>
    <w:p w14:paraId="317499CF">
      <w:pPr>
        <w:spacing w:line="560" w:lineRule="exact"/>
        <w:ind w:firstLine="482"/>
        <w:rPr>
          <w:rFonts w:ascii="仿宋" w:hAnsi="宋体" w:eastAsia="仿宋" w:cs="宋体"/>
          <w:sz w:val="24"/>
          <w:szCs w:val="21"/>
          <w:u w:val="single"/>
        </w:rPr>
      </w:pPr>
      <w:bookmarkStart w:id="34" w:name="page46"/>
      <w:bookmarkEnd w:id="34"/>
      <w:r>
        <w:rPr>
          <w:rFonts w:ascii="仿宋" w:hAnsi="宋体" w:eastAsia="仿宋" w:cs="宋体"/>
          <w:sz w:val="24"/>
          <w:szCs w:val="21"/>
        </w:rPr>
        <w:t>供应商：</w:t>
      </w:r>
      <w:r>
        <w:rPr>
          <w:rFonts w:hint="eastAsia" w:ascii="仿宋" w:hAnsi="宋体" w:eastAsia="仿宋" w:cs="宋体"/>
          <w:sz w:val="24"/>
          <w:szCs w:val="21"/>
          <w:u w:val="single"/>
        </w:rPr>
        <w:t xml:space="preserve">        </w:t>
      </w:r>
      <w:r>
        <w:rPr>
          <w:rFonts w:ascii="仿宋" w:hAnsi="宋体" w:eastAsia="仿宋" w:cs="宋体"/>
          <w:sz w:val="24"/>
          <w:szCs w:val="21"/>
          <w:u w:val="single"/>
        </w:rPr>
        <w:t>（盖单位章）</w:t>
      </w:r>
    </w:p>
    <w:p w14:paraId="6C68EB4E">
      <w:pPr>
        <w:spacing w:line="560" w:lineRule="exact"/>
        <w:ind w:firstLine="482"/>
        <w:rPr>
          <w:rFonts w:ascii="仿宋" w:hAnsi="宋体" w:eastAsia="仿宋" w:cs="宋体"/>
          <w:sz w:val="24"/>
          <w:szCs w:val="21"/>
          <w:u w:val="single"/>
        </w:rPr>
      </w:pPr>
      <w:r>
        <w:rPr>
          <w:rFonts w:ascii="仿宋" w:hAnsi="宋体" w:eastAsia="仿宋" w:cs="宋体"/>
          <w:sz w:val="24"/>
          <w:szCs w:val="21"/>
        </w:rPr>
        <w:t>法定代表人或其委托代理人：</w:t>
      </w:r>
      <w:r>
        <w:rPr>
          <w:rFonts w:hint="eastAsia" w:ascii="仿宋" w:hAnsi="宋体" w:eastAsia="仿宋" w:cs="宋体"/>
          <w:sz w:val="24"/>
          <w:szCs w:val="21"/>
          <w:u w:val="single"/>
        </w:rPr>
        <w:t xml:space="preserve">    </w:t>
      </w:r>
      <w:r>
        <w:rPr>
          <w:rFonts w:ascii="仿宋" w:hAnsi="宋体" w:eastAsia="仿宋" w:cs="宋体"/>
          <w:sz w:val="24"/>
          <w:szCs w:val="21"/>
          <w:u w:val="single"/>
        </w:rPr>
        <w:t>（签字或签章）</w:t>
      </w:r>
    </w:p>
    <w:p w14:paraId="5895B7AD">
      <w:pPr>
        <w:spacing w:line="560" w:lineRule="exact"/>
        <w:ind w:firstLine="482"/>
        <w:rPr>
          <w:rFonts w:ascii="仿宋" w:hAnsi="宋体" w:eastAsia="仿宋" w:cs="宋体"/>
          <w:b/>
          <w:bCs/>
          <w:sz w:val="24"/>
          <w:szCs w:val="32"/>
        </w:rPr>
      </w:pPr>
    </w:p>
    <w:p w14:paraId="65E4FEF3">
      <w:pPr>
        <w:spacing w:line="560" w:lineRule="exact"/>
        <w:ind w:firstLine="482"/>
        <w:rPr>
          <w:rFonts w:ascii="仿宋" w:hAnsi="宋体" w:eastAsia="仿宋" w:cs="宋体"/>
          <w:b/>
          <w:bCs/>
          <w:sz w:val="24"/>
          <w:szCs w:val="32"/>
        </w:rPr>
      </w:pPr>
    </w:p>
    <w:p w14:paraId="5C5016E9">
      <w:pPr>
        <w:spacing w:line="560" w:lineRule="exact"/>
        <w:ind w:firstLine="482"/>
        <w:rPr>
          <w:rFonts w:ascii="仿宋" w:hAnsi="宋体" w:eastAsia="仿宋" w:cs="宋体"/>
          <w:b/>
          <w:bCs/>
          <w:sz w:val="24"/>
          <w:szCs w:val="32"/>
        </w:rPr>
      </w:pPr>
    </w:p>
    <w:p w14:paraId="0CA066AA">
      <w:pPr>
        <w:spacing w:line="560" w:lineRule="exact"/>
        <w:ind w:firstLine="482"/>
        <w:rPr>
          <w:rFonts w:ascii="仿宋" w:hAnsi="宋体" w:eastAsia="仿宋" w:cs="宋体"/>
          <w:b/>
          <w:bCs/>
          <w:sz w:val="24"/>
          <w:szCs w:val="32"/>
        </w:rPr>
      </w:pPr>
    </w:p>
    <w:p w14:paraId="231396EB">
      <w:pPr>
        <w:spacing w:line="560" w:lineRule="exact"/>
        <w:ind w:firstLine="482"/>
        <w:rPr>
          <w:rFonts w:ascii="仿宋" w:hAnsi="宋体" w:eastAsia="仿宋" w:cs="宋体"/>
          <w:b/>
          <w:bCs/>
          <w:sz w:val="24"/>
          <w:szCs w:val="32"/>
        </w:rPr>
      </w:pPr>
    </w:p>
    <w:p w14:paraId="04B7C3DD">
      <w:pPr>
        <w:spacing w:line="560" w:lineRule="exact"/>
        <w:ind w:firstLine="482"/>
        <w:rPr>
          <w:rFonts w:ascii="仿宋" w:hAnsi="宋体" w:eastAsia="仿宋" w:cs="宋体"/>
          <w:b/>
          <w:bCs/>
          <w:sz w:val="24"/>
          <w:szCs w:val="32"/>
        </w:rPr>
      </w:pPr>
    </w:p>
    <w:p w14:paraId="3AF97DFE">
      <w:pPr>
        <w:spacing w:line="560" w:lineRule="exact"/>
        <w:ind w:firstLine="482"/>
        <w:rPr>
          <w:rFonts w:ascii="仿宋" w:hAnsi="宋体" w:eastAsia="仿宋" w:cs="宋体"/>
          <w:b/>
          <w:bCs/>
          <w:sz w:val="24"/>
          <w:szCs w:val="32"/>
        </w:rPr>
      </w:pPr>
    </w:p>
    <w:p w14:paraId="437FEAA9">
      <w:pPr>
        <w:spacing w:line="560" w:lineRule="exact"/>
        <w:ind w:firstLine="482"/>
        <w:rPr>
          <w:rFonts w:ascii="仿宋" w:hAnsi="宋体" w:eastAsia="仿宋" w:cs="宋体"/>
          <w:b/>
          <w:bCs/>
          <w:sz w:val="24"/>
          <w:szCs w:val="32"/>
        </w:rPr>
      </w:pPr>
    </w:p>
    <w:p w14:paraId="4A3A86E2">
      <w:pPr>
        <w:spacing w:line="560" w:lineRule="exact"/>
        <w:ind w:firstLine="482"/>
        <w:rPr>
          <w:rFonts w:ascii="仿宋" w:hAnsi="宋体" w:eastAsia="仿宋" w:cs="宋体"/>
          <w:b/>
          <w:bCs/>
          <w:sz w:val="24"/>
          <w:szCs w:val="32"/>
        </w:rPr>
      </w:pPr>
    </w:p>
    <w:p w14:paraId="5BD488FA">
      <w:pPr>
        <w:spacing w:line="560" w:lineRule="exact"/>
        <w:ind w:firstLine="482"/>
        <w:rPr>
          <w:rFonts w:ascii="仿宋" w:hAnsi="宋体" w:eastAsia="仿宋" w:cs="宋体"/>
          <w:b/>
          <w:bCs/>
          <w:sz w:val="24"/>
          <w:szCs w:val="32"/>
        </w:rPr>
      </w:pPr>
    </w:p>
    <w:p w14:paraId="4CC9AE7F">
      <w:pPr>
        <w:spacing w:line="560" w:lineRule="exact"/>
        <w:ind w:firstLine="482"/>
        <w:rPr>
          <w:rFonts w:ascii="仿宋" w:hAnsi="宋体" w:eastAsia="仿宋" w:cs="宋体"/>
          <w:b/>
          <w:bCs/>
          <w:sz w:val="24"/>
          <w:szCs w:val="32"/>
        </w:rPr>
      </w:pPr>
    </w:p>
    <w:p w14:paraId="437ED51D">
      <w:pPr>
        <w:spacing w:line="560" w:lineRule="exact"/>
        <w:ind w:firstLine="482"/>
        <w:rPr>
          <w:rFonts w:ascii="仿宋" w:hAnsi="宋体" w:eastAsia="仿宋" w:cs="宋体"/>
          <w:b/>
          <w:bCs/>
          <w:sz w:val="24"/>
          <w:szCs w:val="32"/>
        </w:rPr>
      </w:pPr>
    </w:p>
    <w:p w14:paraId="4FA8B02D">
      <w:pPr>
        <w:spacing w:line="560" w:lineRule="exact"/>
        <w:rPr>
          <w:rFonts w:hint="eastAsia" w:ascii="仿宋" w:hAnsi="宋体" w:eastAsia="仿宋" w:cs="宋体"/>
          <w:b/>
          <w:bCs/>
          <w:sz w:val="24"/>
          <w:szCs w:val="32"/>
        </w:rPr>
      </w:pPr>
    </w:p>
    <w:p w14:paraId="0E75FD21">
      <w:pPr>
        <w:spacing w:line="560" w:lineRule="exact"/>
        <w:ind w:firstLine="482"/>
        <w:rPr>
          <w:rFonts w:ascii="仿宋" w:eastAsia="仿宋"/>
          <w:sz w:val="24"/>
          <w:szCs w:val="20"/>
        </w:rPr>
      </w:pPr>
      <w:r>
        <w:rPr>
          <w:rFonts w:ascii="仿宋" w:hAnsi="宋体" w:eastAsia="仿宋" w:cs="宋体"/>
          <w:b/>
          <w:bCs/>
          <w:sz w:val="24"/>
          <w:szCs w:val="32"/>
        </w:rPr>
        <w:t>附件七、技术说明与服务方案</w:t>
      </w:r>
    </w:p>
    <w:p w14:paraId="75346C4E">
      <w:pPr>
        <w:spacing w:line="560" w:lineRule="exact"/>
        <w:ind w:firstLine="482"/>
        <w:rPr>
          <w:rFonts w:ascii="仿宋" w:eastAsia="仿宋"/>
          <w:sz w:val="24"/>
          <w:szCs w:val="20"/>
        </w:rPr>
      </w:pPr>
      <w:r>
        <w:rPr>
          <w:rFonts w:ascii="仿宋" w:hAnsi="宋体" w:eastAsia="仿宋" w:cs="宋体"/>
          <w:sz w:val="24"/>
          <w:szCs w:val="20"/>
        </w:rPr>
        <w:t>技术说明、服务方案应根据采购人对项目的要求、评标标准的要求及项目本身的特点编写。</w:t>
      </w:r>
    </w:p>
    <w:p w14:paraId="6F8B4454">
      <w:pPr>
        <w:spacing w:line="560" w:lineRule="exact"/>
        <w:ind w:firstLine="482"/>
        <w:rPr>
          <w:rFonts w:ascii="仿宋" w:hAnsi="宋体" w:eastAsia="仿宋" w:cs="宋体"/>
          <w:b/>
          <w:bCs/>
          <w:sz w:val="24"/>
          <w:szCs w:val="32"/>
        </w:rPr>
      </w:pPr>
      <w:bookmarkStart w:id="35" w:name="page47"/>
      <w:bookmarkEnd w:id="35"/>
    </w:p>
    <w:p w14:paraId="42918465">
      <w:pPr>
        <w:spacing w:line="560" w:lineRule="exact"/>
        <w:ind w:firstLine="482"/>
        <w:rPr>
          <w:rFonts w:ascii="仿宋" w:hAnsi="宋体" w:eastAsia="仿宋" w:cs="宋体"/>
          <w:b/>
          <w:bCs/>
          <w:sz w:val="24"/>
          <w:szCs w:val="32"/>
        </w:rPr>
      </w:pPr>
    </w:p>
    <w:p w14:paraId="34E0E0F3">
      <w:pPr>
        <w:spacing w:line="560" w:lineRule="exact"/>
        <w:ind w:firstLine="482"/>
        <w:rPr>
          <w:rFonts w:ascii="仿宋" w:hAnsi="宋体" w:eastAsia="仿宋" w:cs="宋体"/>
          <w:b/>
          <w:bCs/>
          <w:sz w:val="24"/>
          <w:szCs w:val="32"/>
        </w:rPr>
      </w:pPr>
    </w:p>
    <w:p w14:paraId="44E0CF0C">
      <w:pPr>
        <w:spacing w:line="560" w:lineRule="exact"/>
        <w:ind w:firstLine="482"/>
        <w:rPr>
          <w:rFonts w:ascii="仿宋" w:hAnsi="宋体" w:eastAsia="仿宋" w:cs="宋体"/>
          <w:b/>
          <w:bCs/>
          <w:sz w:val="24"/>
          <w:szCs w:val="32"/>
        </w:rPr>
      </w:pPr>
    </w:p>
    <w:p w14:paraId="7880447C">
      <w:pPr>
        <w:spacing w:line="560" w:lineRule="exact"/>
        <w:ind w:firstLine="482"/>
        <w:rPr>
          <w:rFonts w:ascii="仿宋" w:hAnsi="宋体" w:eastAsia="仿宋" w:cs="宋体"/>
          <w:b/>
          <w:bCs/>
          <w:sz w:val="24"/>
          <w:szCs w:val="32"/>
        </w:rPr>
      </w:pPr>
    </w:p>
    <w:p w14:paraId="44CF64F7">
      <w:pPr>
        <w:spacing w:line="560" w:lineRule="exact"/>
        <w:ind w:firstLine="482"/>
        <w:rPr>
          <w:rFonts w:ascii="仿宋" w:hAnsi="宋体" w:eastAsia="仿宋" w:cs="宋体"/>
          <w:b/>
          <w:bCs/>
          <w:sz w:val="24"/>
          <w:szCs w:val="32"/>
        </w:rPr>
      </w:pPr>
    </w:p>
    <w:p w14:paraId="383A8B92">
      <w:pPr>
        <w:rPr>
          <w:rFonts w:ascii="仿宋" w:hAnsi="宋体" w:eastAsia="仿宋" w:cs="宋体"/>
          <w:b/>
          <w:bCs/>
          <w:sz w:val="24"/>
          <w:szCs w:val="32"/>
        </w:rPr>
      </w:pPr>
      <w:r>
        <w:rPr>
          <w:rFonts w:ascii="仿宋" w:hAnsi="宋体" w:eastAsia="仿宋" w:cs="宋体"/>
          <w:b/>
          <w:bCs/>
          <w:sz w:val="24"/>
          <w:szCs w:val="32"/>
        </w:rPr>
        <w:br w:type="page"/>
      </w:r>
    </w:p>
    <w:p w14:paraId="22E2219B">
      <w:pPr>
        <w:spacing w:line="560" w:lineRule="exact"/>
        <w:ind w:firstLine="482"/>
        <w:rPr>
          <w:rFonts w:ascii="仿宋" w:eastAsia="仿宋"/>
          <w:sz w:val="24"/>
          <w:szCs w:val="20"/>
        </w:rPr>
      </w:pPr>
      <w:r>
        <w:rPr>
          <w:rFonts w:ascii="仿宋" w:hAnsi="宋体" w:eastAsia="仿宋" w:cs="宋体"/>
          <w:b/>
          <w:bCs/>
          <w:sz w:val="24"/>
          <w:szCs w:val="32"/>
        </w:rPr>
        <w:t>附件八、供应商类似业绩情况表</w:t>
      </w:r>
    </w:p>
    <w:p w14:paraId="60DB678F">
      <w:pPr>
        <w:spacing w:line="560" w:lineRule="exact"/>
        <w:ind w:firstLine="482"/>
        <w:rPr>
          <w:rFonts w:ascii="仿宋" w:eastAsia="仿宋"/>
          <w:sz w:val="24"/>
          <w:szCs w:val="20"/>
        </w:rPr>
      </w:pPr>
      <w:r>
        <w:rPr>
          <w:rFonts w:ascii="仿宋" w:hAnsi="宋体" w:eastAsia="仿宋" w:cs="宋体"/>
          <w:b/>
          <w:bCs/>
          <w:sz w:val="24"/>
          <w:szCs w:val="32"/>
        </w:rPr>
        <w:t>供应商类似业绩情况表</w:t>
      </w:r>
    </w:p>
    <w:tbl>
      <w:tblPr>
        <w:tblStyle w:val="8"/>
        <w:tblW w:w="0" w:type="auto"/>
        <w:tblInd w:w="10" w:type="dxa"/>
        <w:tblLayout w:type="fixed"/>
        <w:tblCellMar>
          <w:top w:w="0" w:type="dxa"/>
          <w:left w:w="0" w:type="dxa"/>
          <w:bottom w:w="0" w:type="dxa"/>
          <w:right w:w="0" w:type="dxa"/>
        </w:tblCellMar>
      </w:tblPr>
      <w:tblGrid>
        <w:gridCol w:w="760"/>
        <w:gridCol w:w="2320"/>
        <w:gridCol w:w="2260"/>
        <w:gridCol w:w="1240"/>
        <w:gridCol w:w="1420"/>
        <w:gridCol w:w="1140"/>
        <w:gridCol w:w="960"/>
      </w:tblGrid>
      <w:tr w14:paraId="5AF84241">
        <w:tblPrEx>
          <w:tblCellMar>
            <w:top w:w="0" w:type="dxa"/>
            <w:left w:w="0" w:type="dxa"/>
            <w:bottom w:w="0" w:type="dxa"/>
            <w:right w:w="0" w:type="dxa"/>
          </w:tblCellMar>
        </w:tblPrEx>
        <w:trPr>
          <w:trHeight w:val="352" w:hRule="atLeast"/>
        </w:trPr>
        <w:tc>
          <w:tcPr>
            <w:tcW w:w="760" w:type="dxa"/>
            <w:tcBorders>
              <w:top w:val="single" w:color="auto" w:sz="8" w:space="0"/>
              <w:left w:val="single" w:color="auto" w:sz="8" w:space="0"/>
              <w:right w:val="single" w:color="auto" w:sz="8" w:space="0"/>
            </w:tcBorders>
            <w:vAlign w:val="bottom"/>
          </w:tcPr>
          <w:p w14:paraId="160FDFF7">
            <w:pPr>
              <w:rPr>
                <w:sz w:val="24"/>
                <w:szCs w:val="24"/>
              </w:rPr>
            </w:pPr>
          </w:p>
        </w:tc>
        <w:tc>
          <w:tcPr>
            <w:tcW w:w="2320" w:type="dxa"/>
            <w:tcBorders>
              <w:top w:val="single" w:color="auto" w:sz="8" w:space="0"/>
              <w:right w:val="single" w:color="auto" w:sz="8" w:space="0"/>
            </w:tcBorders>
            <w:vAlign w:val="bottom"/>
          </w:tcPr>
          <w:p w14:paraId="265F64D5">
            <w:pPr>
              <w:rPr>
                <w:sz w:val="24"/>
                <w:szCs w:val="24"/>
              </w:rPr>
            </w:pPr>
          </w:p>
        </w:tc>
        <w:tc>
          <w:tcPr>
            <w:tcW w:w="2260" w:type="dxa"/>
            <w:tcBorders>
              <w:top w:val="single" w:color="auto" w:sz="8" w:space="0"/>
              <w:right w:val="single" w:color="auto" w:sz="8" w:space="0"/>
            </w:tcBorders>
            <w:vAlign w:val="bottom"/>
          </w:tcPr>
          <w:p w14:paraId="7C43E7C4">
            <w:pPr>
              <w:rPr>
                <w:sz w:val="24"/>
                <w:szCs w:val="24"/>
              </w:rPr>
            </w:pPr>
          </w:p>
        </w:tc>
        <w:tc>
          <w:tcPr>
            <w:tcW w:w="1240" w:type="dxa"/>
            <w:tcBorders>
              <w:top w:val="single" w:color="auto" w:sz="8" w:space="0"/>
              <w:right w:val="single" w:color="auto" w:sz="8" w:space="0"/>
            </w:tcBorders>
            <w:vAlign w:val="bottom"/>
          </w:tcPr>
          <w:p w14:paraId="498636B8">
            <w:pPr>
              <w:spacing w:line="240" w:lineRule="exact"/>
              <w:ind w:left="400"/>
              <w:rPr>
                <w:sz w:val="20"/>
                <w:szCs w:val="20"/>
              </w:rPr>
            </w:pPr>
            <w:r>
              <w:rPr>
                <w:rFonts w:ascii="宋体" w:hAnsi="宋体" w:cs="宋体"/>
                <w:b/>
                <w:bCs/>
                <w:sz w:val="21"/>
                <w:szCs w:val="21"/>
              </w:rPr>
              <w:t>合同</w:t>
            </w:r>
          </w:p>
        </w:tc>
        <w:tc>
          <w:tcPr>
            <w:tcW w:w="1420" w:type="dxa"/>
            <w:tcBorders>
              <w:top w:val="single" w:color="auto" w:sz="8" w:space="0"/>
              <w:right w:val="single" w:color="auto" w:sz="8" w:space="0"/>
            </w:tcBorders>
            <w:vAlign w:val="bottom"/>
          </w:tcPr>
          <w:p w14:paraId="4CC10C51">
            <w:pPr>
              <w:spacing w:line="240" w:lineRule="exact"/>
              <w:jc w:val="center"/>
              <w:rPr>
                <w:sz w:val="20"/>
                <w:szCs w:val="20"/>
              </w:rPr>
            </w:pPr>
            <w:r>
              <w:rPr>
                <w:rFonts w:hint="eastAsia" w:ascii="宋体" w:hAnsi="宋体" w:cs="宋体"/>
                <w:b/>
                <w:bCs/>
                <w:w w:val="99"/>
                <w:sz w:val="21"/>
                <w:szCs w:val="21"/>
              </w:rPr>
              <w:t>合同签订</w:t>
            </w:r>
          </w:p>
        </w:tc>
        <w:tc>
          <w:tcPr>
            <w:tcW w:w="1140" w:type="dxa"/>
            <w:tcBorders>
              <w:top w:val="single" w:color="auto" w:sz="8" w:space="0"/>
              <w:right w:val="single" w:color="auto" w:sz="8" w:space="0"/>
            </w:tcBorders>
            <w:vAlign w:val="bottom"/>
          </w:tcPr>
          <w:p w14:paraId="1E3D5557">
            <w:pPr>
              <w:spacing w:line="240" w:lineRule="exact"/>
              <w:jc w:val="center"/>
              <w:rPr>
                <w:sz w:val="20"/>
                <w:szCs w:val="20"/>
              </w:rPr>
            </w:pPr>
            <w:r>
              <w:rPr>
                <w:rFonts w:ascii="宋体" w:hAnsi="宋体" w:cs="宋体"/>
                <w:b/>
                <w:bCs/>
                <w:w w:val="99"/>
                <w:sz w:val="21"/>
                <w:szCs w:val="21"/>
              </w:rPr>
              <w:t>联系人及</w:t>
            </w:r>
          </w:p>
        </w:tc>
        <w:tc>
          <w:tcPr>
            <w:tcW w:w="960" w:type="dxa"/>
            <w:tcBorders>
              <w:top w:val="single" w:color="auto" w:sz="8" w:space="0"/>
              <w:right w:val="single" w:color="auto" w:sz="8" w:space="0"/>
            </w:tcBorders>
            <w:vAlign w:val="bottom"/>
          </w:tcPr>
          <w:p w14:paraId="3896B58C">
            <w:pPr>
              <w:rPr>
                <w:sz w:val="24"/>
                <w:szCs w:val="24"/>
              </w:rPr>
            </w:pPr>
          </w:p>
        </w:tc>
      </w:tr>
      <w:tr w14:paraId="6F2428E1">
        <w:tblPrEx>
          <w:tblCellMar>
            <w:top w:w="0" w:type="dxa"/>
            <w:left w:w="0" w:type="dxa"/>
            <w:bottom w:w="0" w:type="dxa"/>
            <w:right w:w="0" w:type="dxa"/>
          </w:tblCellMar>
        </w:tblPrEx>
        <w:trPr>
          <w:trHeight w:val="238" w:hRule="atLeast"/>
        </w:trPr>
        <w:tc>
          <w:tcPr>
            <w:tcW w:w="760" w:type="dxa"/>
            <w:tcBorders>
              <w:left w:val="single" w:color="auto" w:sz="8" w:space="0"/>
              <w:right w:val="single" w:color="auto" w:sz="8" w:space="0"/>
            </w:tcBorders>
            <w:vAlign w:val="bottom"/>
          </w:tcPr>
          <w:p w14:paraId="06FDB752">
            <w:pPr>
              <w:spacing w:line="238" w:lineRule="exact"/>
              <w:ind w:left="160"/>
              <w:rPr>
                <w:sz w:val="20"/>
                <w:szCs w:val="20"/>
              </w:rPr>
            </w:pPr>
            <w:r>
              <w:rPr>
                <w:rFonts w:ascii="宋体" w:hAnsi="宋体" w:cs="宋体"/>
                <w:b/>
                <w:bCs/>
                <w:sz w:val="21"/>
                <w:szCs w:val="21"/>
              </w:rPr>
              <w:t>序号</w:t>
            </w:r>
          </w:p>
        </w:tc>
        <w:tc>
          <w:tcPr>
            <w:tcW w:w="2320" w:type="dxa"/>
            <w:tcBorders>
              <w:right w:val="single" w:color="auto" w:sz="8" w:space="0"/>
            </w:tcBorders>
            <w:vAlign w:val="bottom"/>
          </w:tcPr>
          <w:p w14:paraId="6CAE9EBA">
            <w:pPr>
              <w:spacing w:line="238" w:lineRule="exact"/>
              <w:ind w:left="720"/>
              <w:rPr>
                <w:sz w:val="20"/>
                <w:szCs w:val="20"/>
              </w:rPr>
            </w:pPr>
            <w:r>
              <w:rPr>
                <w:rFonts w:ascii="宋体" w:hAnsi="宋体" w:cs="宋体"/>
                <w:b/>
                <w:bCs/>
                <w:sz w:val="21"/>
                <w:szCs w:val="21"/>
              </w:rPr>
              <w:t>项目名称</w:t>
            </w:r>
          </w:p>
        </w:tc>
        <w:tc>
          <w:tcPr>
            <w:tcW w:w="2260" w:type="dxa"/>
            <w:tcBorders>
              <w:right w:val="single" w:color="auto" w:sz="8" w:space="0"/>
            </w:tcBorders>
            <w:vAlign w:val="bottom"/>
          </w:tcPr>
          <w:p w14:paraId="7FC9B0EF">
            <w:pPr>
              <w:spacing w:line="238" w:lineRule="exact"/>
              <w:ind w:left="680"/>
              <w:rPr>
                <w:sz w:val="20"/>
                <w:szCs w:val="20"/>
              </w:rPr>
            </w:pPr>
            <w:r>
              <w:rPr>
                <w:rFonts w:ascii="宋体" w:hAnsi="宋体" w:cs="宋体"/>
                <w:b/>
                <w:bCs/>
                <w:sz w:val="21"/>
                <w:szCs w:val="21"/>
              </w:rPr>
              <w:t>采购单位</w:t>
            </w:r>
          </w:p>
        </w:tc>
        <w:tc>
          <w:tcPr>
            <w:tcW w:w="1240" w:type="dxa"/>
            <w:tcBorders>
              <w:right w:val="single" w:color="auto" w:sz="8" w:space="0"/>
            </w:tcBorders>
            <w:vAlign w:val="bottom"/>
          </w:tcPr>
          <w:p w14:paraId="5B60EDBB">
            <w:pPr>
              <w:rPr>
                <w:sz w:val="20"/>
                <w:szCs w:val="20"/>
              </w:rPr>
            </w:pPr>
          </w:p>
        </w:tc>
        <w:tc>
          <w:tcPr>
            <w:tcW w:w="1420" w:type="dxa"/>
            <w:tcBorders>
              <w:right w:val="single" w:color="auto" w:sz="8" w:space="0"/>
            </w:tcBorders>
            <w:vAlign w:val="bottom"/>
          </w:tcPr>
          <w:p w14:paraId="6A81C9A0">
            <w:pPr>
              <w:rPr>
                <w:sz w:val="20"/>
                <w:szCs w:val="20"/>
              </w:rPr>
            </w:pPr>
          </w:p>
        </w:tc>
        <w:tc>
          <w:tcPr>
            <w:tcW w:w="1140" w:type="dxa"/>
            <w:tcBorders>
              <w:right w:val="single" w:color="auto" w:sz="8" w:space="0"/>
            </w:tcBorders>
            <w:vAlign w:val="bottom"/>
          </w:tcPr>
          <w:p w14:paraId="617BD455">
            <w:pPr>
              <w:rPr>
                <w:sz w:val="20"/>
                <w:szCs w:val="20"/>
              </w:rPr>
            </w:pPr>
          </w:p>
        </w:tc>
        <w:tc>
          <w:tcPr>
            <w:tcW w:w="960" w:type="dxa"/>
            <w:tcBorders>
              <w:right w:val="single" w:color="auto" w:sz="8" w:space="0"/>
            </w:tcBorders>
            <w:vAlign w:val="bottom"/>
          </w:tcPr>
          <w:p w14:paraId="38A75881">
            <w:pPr>
              <w:spacing w:line="238" w:lineRule="exact"/>
              <w:ind w:left="260"/>
              <w:rPr>
                <w:sz w:val="20"/>
                <w:szCs w:val="20"/>
              </w:rPr>
            </w:pPr>
            <w:r>
              <w:rPr>
                <w:rFonts w:ascii="宋体" w:hAnsi="宋体" w:cs="宋体"/>
                <w:b/>
                <w:bCs/>
                <w:sz w:val="21"/>
                <w:szCs w:val="21"/>
              </w:rPr>
              <w:t>备注</w:t>
            </w:r>
          </w:p>
        </w:tc>
      </w:tr>
      <w:tr w14:paraId="33A4131A">
        <w:tblPrEx>
          <w:tblCellMar>
            <w:top w:w="0" w:type="dxa"/>
            <w:left w:w="0" w:type="dxa"/>
            <w:bottom w:w="0" w:type="dxa"/>
            <w:right w:w="0" w:type="dxa"/>
          </w:tblCellMar>
        </w:tblPrEx>
        <w:trPr>
          <w:trHeight w:val="238" w:hRule="atLeast"/>
        </w:trPr>
        <w:tc>
          <w:tcPr>
            <w:tcW w:w="760" w:type="dxa"/>
            <w:tcBorders>
              <w:left w:val="single" w:color="auto" w:sz="8" w:space="0"/>
              <w:right w:val="single" w:color="auto" w:sz="8" w:space="0"/>
            </w:tcBorders>
            <w:vAlign w:val="bottom"/>
          </w:tcPr>
          <w:p w14:paraId="5CD03F2C">
            <w:pPr>
              <w:rPr>
                <w:sz w:val="20"/>
                <w:szCs w:val="20"/>
              </w:rPr>
            </w:pPr>
          </w:p>
        </w:tc>
        <w:tc>
          <w:tcPr>
            <w:tcW w:w="2320" w:type="dxa"/>
            <w:tcBorders>
              <w:right w:val="single" w:color="auto" w:sz="8" w:space="0"/>
            </w:tcBorders>
            <w:vAlign w:val="bottom"/>
          </w:tcPr>
          <w:p w14:paraId="239800C9">
            <w:pPr>
              <w:rPr>
                <w:sz w:val="20"/>
                <w:szCs w:val="20"/>
              </w:rPr>
            </w:pPr>
          </w:p>
        </w:tc>
        <w:tc>
          <w:tcPr>
            <w:tcW w:w="2260" w:type="dxa"/>
            <w:tcBorders>
              <w:right w:val="single" w:color="auto" w:sz="8" w:space="0"/>
            </w:tcBorders>
            <w:vAlign w:val="bottom"/>
          </w:tcPr>
          <w:p w14:paraId="34545881">
            <w:pPr>
              <w:rPr>
                <w:sz w:val="20"/>
                <w:szCs w:val="20"/>
              </w:rPr>
            </w:pPr>
          </w:p>
        </w:tc>
        <w:tc>
          <w:tcPr>
            <w:tcW w:w="1240" w:type="dxa"/>
            <w:tcBorders>
              <w:right w:val="single" w:color="auto" w:sz="8" w:space="0"/>
            </w:tcBorders>
            <w:vAlign w:val="bottom"/>
          </w:tcPr>
          <w:p w14:paraId="58DA8621">
            <w:pPr>
              <w:spacing w:line="238" w:lineRule="exact"/>
              <w:ind w:left="400"/>
              <w:rPr>
                <w:sz w:val="20"/>
                <w:szCs w:val="20"/>
              </w:rPr>
            </w:pPr>
            <w:r>
              <w:rPr>
                <w:rFonts w:ascii="宋体" w:hAnsi="宋体" w:cs="宋体"/>
                <w:b/>
                <w:bCs/>
                <w:sz w:val="21"/>
                <w:szCs w:val="21"/>
              </w:rPr>
              <w:t>金额</w:t>
            </w:r>
          </w:p>
        </w:tc>
        <w:tc>
          <w:tcPr>
            <w:tcW w:w="1420" w:type="dxa"/>
            <w:tcBorders>
              <w:right w:val="single" w:color="auto" w:sz="8" w:space="0"/>
            </w:tcBorders>
            <w:vAlign w:val="bottom"/>
          </w:tcPr>
          <w:p w14:paraId="58AB066D">
            <w:pPr>
              <w:spacing w:line="238" w:lineRule="exact"/>
              <w:jc w:val="center"/>
              <w:rPr>
                <w:sz w:val="20"/>
                <w:szCs w:val="20"/>
              </w:rPr>
            </w:pPr>
            <w:r>
              <w:rPr>
                <w:rFonts w:ascii="宋体" w:hAnsi="宋体" w:cs="宋体"/>
                <w:b/>
                <w:bCs/>
                <w:sz w:val="21"/>
                <w:szCs w:val="21"/>
              </w:rPr>
              <w:t>时间</w:t>
            </w:r>
          </w:p>
        </w:tc>
        <w:tc>
          <w:tcPr>
            <w:tcW w:w="1140" w:type="dxa"/>
            <w:tcBorders>
              <w:right w:val="single" w:color="auto" w:sz="8" w:space="0"/>
            </w:tcBorders>
            <w:vAlign w:val="bottom"/>
          </w:tcPr>
          <w:p w14:paraId="56F7EA62">
            <w:pPr>
              <w:spacing w:line="238" w:lineRule="exact"/>
              <w:jc w:val="center"/>
              <w:rPr>
                <w:sz w:val="20"/>
                <w:szCs w:val="20"/>
              </w:rPr>
            </w:pPr>
            <w:r>
              <w:rPr>
                <w:rFonts w:ascii="宋体" w:hAnsi="宋体" w:cs="宋体"/>
                <w:b/>
                <w:bCs/>
                <w:w w:val="99"/>
                <w:sz w:val="21"/>
                <w:szCs w:val="21"/>
              </w:rPr>
              <w:t>电话</w:t>
            </w:r>
          </w:p>
        </w:tc>
        <w:tc>
          <w:tcPr>
            <w:tcW w:w="960" w:type="dxa"/>
            <w:tcBorders>
              <w:right w:val="single" w:color="auto" w:sz="8" w:space="0"/>
            </w:tcBorders>
            <w:vAlign w:val="bottom"/>
          </w:tcPr>
          <w:p w14:paraId="3B529D89">
            <w:pPr>
              <w:rPr>
                <w:sz w:val="20"/>
                <w:szCs w:val="20"/>
              </w:rPr>
            </w:pPr>
          </w:p>
        </w:tc>
      </w:tr>
      <w:tr w14:paraId="50413693">
        <w:tblPrEx>
          <w:tblCellMar>
            <w:top w:w="0" w:type="dxa"/>
            <w:left w:w="0" w:type="dxa"/>
            <w:bottom w:w="0" w:type="dxa"/>
            <w:right w:w="0" w:type="dxa"/>
          </w:tblCellMar>
        </w:tblPrEx>
        <w:trPr>
          <w:trHeight w:val="133" w:hRule="atLeast"/>
        </w:trPr>
        <w:tc>
          <w:tcPr>
            <w:tcW w:w="760" w:type="dxa"/>
            <w:tcBorders>
              <w:left w:val="single" w:color="auto" w:sz="8" w:space="0"/>
              <w:bottom w:val="single" w:color="auto" w:sz="8" w:space="0"/>
              <w:right w:val="single" w:color="auto" w:sz="8" w:space="0"/>
            </w:tcBorders>
            <w:vAlign w:val="bottom"/>
          </w:tcPr>
          <w:p w14:paraId="7012D7A8">
            <w:pPr>
              <w:rPr>
                <w:sz w:val="11"/>
                <w:szCs w:val="11"/>
              </w:rPr>
            </w:pPr>
          </w:p>
        </w:tc>
        <w:tc>
          <w:tcPr>
            <w:tcW w:w="2320" w:type="dxa"/>
            <w:tcBorders>
              <w:bottom w:val="single" w:color="auto" w:sz="8" w:space="0"/>
              <w:right w:val="single" w:color="auto" w:sz="8" w:space="0"/>
            </w:tcBorders>
            <w:vAlign w:val="bottom"/>
          </w:tcPr>
          <w:p w14:paraId="565775F3">
            <w:pPr>
              <w:rPr>
                <w:sz w:val="11"/>
                <w:szCs w:val="11"/>
              </w:rPr>
            </w:pPr>
          </w:p>
        </w:tc>
        <w:tc>
          <w:tcPr>
            <w:tcW w:w="2260" w:type="dxa"/>
            <w:tcBorders>
              <w:bottom w:val="single" w:color="auto" w:sz="8" w:space="0"/>
              <w:right w:val="single" w:color="auto" w:sz="8" w:space="0"/>
            </w:tcBorders>
            <w:vAlign w:val="bottom"/>
          </w:tcPr>
          <w:p w14:paraId="5FB2A816">
            <w:pPr>
              <w:rPr>
                <w:sz w:val="11"/>
                <w:szCs w:val="11"/>
              </w:rPr>
            </w:pPr>
          </w:p>
        </w:tc>
        <w:tc>
          <w:tcPr>
            <w:tcW w:w="1240" w:type="dxa"/>
            <w:tcBorders>
              <w:bottom w:val="single" w:color="auto" w:sz="8" w:space="0"/>
              <w:right w:val="single" w:color="auto" w:sz="8" w:space="0"/>
            </w:tcBorders>
            <w:vAlign w:val="bottom"/>
          </w:tcPr>
          <w:p w14:paraId="5FD35E18">
            <w:pPr>
              <w:rPr>
                <w:sz w:val="11"/>
                <w:szCs w:val="11"/>
              </w:rPr>
            </w:pPr>
          </w:p>
        </w:tc>
        <w:tc>
          <w:tcPr>
            <w:tcW w:w="1420" w:type="dxa"/>
            <w:tcBorders>
              <w:bottom w:val="single" w:color="auto" w:sz="8" w:space="0"/>
              <w:right w:val="single" w:color="auto" w:sz="8" w:space="0"/>
            </w:tcBorders>
            <w:vAlign w:val="bottom"/>
          </w:tcPr>
          <w:p w14:paraId="12876E31">
            <w:pPr>
              <w:rPr>
                <w:sz w:val="11"/>
                <w:szCs w:val="11"/>
              </w:rPr>
            </w:pPr>
          </w:p>
        </w:tc>
        <w:tc>
          <w:tcPr>
            <w:tcW w:w="1140" w:type="dxa"/>
            <w:tcBorders>
              <w:bottom w:val="single" w:color="auto" w:sz="8" w:space="0"/>
              <w:right w:val="single" w:color="auto" w:sz="8" w:space="0"/>
            </w:tcBorders>
            <w:vAlign w:val="bottom"/>
          </w:tcPr>
          <w:p w14:paraId="34537DB2">
            <w:pPr>
              <w:rPr>
                <w:sz w:val="11"/>
                <w:szCs w:val="11"/>
              </w:rPr>
            </w:pPr>
          </w:p>
        </w:tc>
        <w:tc>
          <w:tcPr>
            <w:tcW w:w="960" w:type="dxa"/>
            <w:tcBorders>
              <w:bottom w:val="single" w:color="auto" w:sz="8" w:space="0"/>
              <w:right w:val="single" w:color="auto" w:sz="8" w:space="0"/>
            </w:tcBorders>
            <w:vAlign w:val="bottom"/>
          </w:tcPr>
          <w:p w14:paraId="2071440C">
            <w:pPr>
              <w:rPr>
                <w:sz w:val="11"/>
                <w:szCs w:val="11"/>
              </w:rPr>
            </w:pPr>
          </w:p>
        </w:tc>
      </w:tr>
      <w:tr w14:paraId="24FD9013">
        <w:tblPrEx>
          <w:tblCellMar>
            <w:top w:w="0" w:type="dxa"/>
            <w:left w:w="0" w:type="dxa"/>
            <w:bottom w:w="0" w:type="dxa"/>
            <w:right w:w="0" w:type="dxa"/>
          </w:tblCellMar>
        </w:tblPrEx>
        <w:trPr>
          <w:trHeight w:val="467" w:hRule="atLeast"/>
        </w:trPr>
        <w:tc>
          <w:tcPr>
            <w:tcW w:w="760" w:type="dxa"/>
            <w:tcBorders>
              <w:left w:val="single" w:color="auto" w:sz="8" w:space="0"/>
              <w:bottom w:val="single" w:color="auto" w:sz="8" w:space="0"/>
              <w:right w:val="single" w:color="auto" w:sz="8" w:space="0"/>
            </w:tcBorders>
            <w:vAlign w:val="bottom"/>
          </w:tcPr>
          <w:p w14:paraId="33BF0B61">
            <w:pPr>
              <w:rPr>
                <w:sz w:val="24"/>
                <w:szCs w:val="24"/>
              </w:rPr>
            </w:pPr>
          </w:p>
        </w:tc>
        <w:tc>
          <w:tcPr>
            <w:tcW w:w="2320" w:type="dxa"/>
            <w:tcBorders>
              <w:bottom w:val="single" w:color="auto" w:sz="8" w:space="0"/>
              <w:right w:val="single" w:color="auto" w:sz="8" w:space="0"/>
            </w:tcBorders>
            <w:vAlign w:val="bottom"/>
          </w:tcPr>
          <w:p w14:paraId="3333EC63">
            <w:pPr>
              <w:rPr>
                <w:sz w:val="24"/>
                <w:szCs w:val="24"/>
              </w:rPr>
            </w:pPr>
          </w:p>
        </w:tc>
        <w:tc>
          <w:tcPr>
            <w:tcW w:w="2260" w:type="dxa"/>
            <w:tcBorders>
              <w:bottom w:val="single" w:color="auto" w:sz="8" w:space="0"/>
              <w:right w:val="single" w:color="auto" w:sz="8" w:space="0"/>
            </w:tcBorders>
            <w:vAlign w:val="bottom"/>
          </w:tcPr>
          <w:p w14:paraId="380054D5">
            <w:pPr>
              <w:rPr>
                <w:sz w:val="24"/>
                <w:szCs w:val="24"/>
              </w:rPr>
            </w:pPr>
          </w:p>
        </w:tc>
        <w:tc>
          <w:tcPr>
            <w:tcW w:w="1240" w:type="dxa"/>
            <w:tcBorders>
              <w:bottom w:val="single" w:color="auto" w:sz="8" w:space="0"/>
              <w:right w:val="single" w:color="auto" w:sz="8" w:space="0"/>
            </w:tcBorders>
            <w:vAlign w:val="bottom"/>
          </w:tcPr>
          <w:p w14:paraId="2182389E">
            <w:pPr>
              <w:rPr>
                <w:sz w:val="24"/>
                <w:szCs w:val="24"/>
              </w:rPr>
            </w:pPr>
          </w:p>
        </w:tc>
        <w:tc>
          <w:tcPr>
            <w:tcW w:w="1420" w:type="dxa"/>
            <w:tcBorders>
              <w:bottom w:val="single" w:color="auto" w:sz="8" w:space="0"/>
              <w:right w:val="single" w:color="auto" w:sz="8" w:space="0"/>
            </w:tcBorders>
            <w:vAlign w:val="bottom"/>
          </w:tcPr>
          <w:p w14:paraId="66C394C4">
            <w:pPr>
              <w:rPr>
                <w:sz w:val="24"/>
                <w:szCs w:val="24"/>
              </w:rPr>
            </w:pPr>
          </w:p>
        </w:tc>
        <w:tc>
          <w:tcPr>
            <w:tcW w:w="1140" w:type="dxa"/>
            <w:tcBorders>
              <w:bottom w:val="single" w:color="auto" w:sz="8" w:space="0"/>
              <w:right w:val="single" w:color="auto" w:sz="8" w:space="0"/>
            </w:tcBorders>
            <w:vAlign w:val="bottom"/>
          </w:tcPr>
          <w:p w14:paraId="56D6A01B">
            <w:pPr>
              <w:rPr>
                <w:sz w:val="24"/>
                <w:szCs w:val="24"/>
              </w:rPr>
            </w:pPr>
          </w:p>
        </w:tc>
        <w:tc>
          <w:tcPr>
            <w:tcW w:w="960" w:type="dxa"/>
            <w:tcBorders>
              <w:bottom w:val="single" w:color="auto" w:sz="8" w:space="0"/>
              <w:right w:val="single" w:color="auto" w:sz="8" w:space="0"/>
            </w:tcBorders>
            <w:vAlign w:val="bottom"/>
          </w:tcPr>
          <w:p w14:paraId="326927AA">
            <w:pPr>
              <w:rPr>
                <w:sz w:val="24"/>
                <w:szCs w:val="24"/>
              </w:rPr>
            </w:pPr>
          </w:p>
        </w:tc>
      </w:tr>
      <w:tr w14:paraId="0A07EB6F">
        <w:tblPrEx>
          <w:tblCellMar>
            <w:top w:w="0" w:type="dxa"/>
            <w:left w:w="0" w:type="dxa"/>
            <w:bottom w:w="0" w:type="dxa"/>
            <w:right w:w="0" w:type="dxa"/>
          </w:tblCellMar>
        </w:tblPrEx>
        <w:trPr>
          <w:trHeight w:val="465" w:hRule="atLeast"/>
        </w:trPr>
        <w:tc>
          <w:tcPr>
            <w:tcW w:w="760" w:type="dxa"/>
            <w:tcBorders>
              <w:left w:val="single" w:color="auto" w:sz="8" w:space="0"/>
              <w:bottom w:val="single" w:color="auto" w:sz="8" w:space="0"/>
              <w:right w:val="single" w:color="auto" w:sz="8" w:space="0"/>
            </w:tcBorders>
            <w:vAlign w:val="bottom"/>
          </w:tcPr>
          <w:p w14:paraId="049C16E3">
            <w:pPr>
              <w:rPr>
                <w:sz w:val="24"/>
                <w:szCs w:val="24"/>
              </w:rPr>
            </w:pPr>
          </w:p>
        </w:tc>
        <w:tc>
          <w:tcPr>
            <w:tcW w:w="2320" w:type="dxa"/>
            <w:tcBorders>
              <w:bottom w:val="single" w:color="auto" w:sz="8" w:space="0"/>
              <w:right w:val="single" w:color="auto" w:sz="8" w:space="0"/>
            </w:tcBorders>
            <w:vAlign w:val="bottom"/>
          </w:tcPr>
          <w:p w14:paraId="5BA2B9E9">
            <w:pPr>
              <w:rPr>
                <w:sz w:val="24"/>
                <w:szCs w:val="24"/>
              </w:rPr>
            </w:pPr>
          </w:p>
        </w:tc>
        <w:tc>
          <w:tcPr>
            <w:tcW w:w="2260" w:type="dxa"/>
            <w:tcBorders>
              <w:bottom w:val="single" w:color="auto" w:sz="8" w:space="0"/>
              <w:right w:val="single" w:color="auto" w:sz="8" w:space="0"/>
            </w:tcBorders>
            <w:vAlign w:val="bottom"/>
          </w:tcPr>
          <w:p w14:paraId="3B35DEE7">
            <w:pPr>
              <w:rPr>
                <w:sz w:val="24"/>
                <w:szCs w:val="24"/>
              </w:rPr>
            </w:pPr>
          </w:p>
        </w:tc>
        <w:tc>
          <w:tcPr>
            <w:tcW w:w="1240" w:type="dxa"/>
            <w:tcBorders>
              <w:bottom w:val="single" w:color="auto" w:sz="8" w:space="0"/>
              <w:right w:val="single" w:color="auto" w:sz="8" w:space="0"/>
            </w:tcBorders>
            <w:vAlign w:val="bottom"/>
          </w:tcPr>
          <w:p w14:paraId="62B892A2">
            <w:pPr>
              <w:rPr>
                <w:sz w:val="24"/>
                <w:szCs w:val="24"/>
              </w:rPr>
            </w:pPr>
          </w:p>
        </w:tc>
        <w:tc>
          <w:tcPr>
            <w:tcW w:w="1420" w:type="dxa"/>
            <w:tcBorders>
              <w:bottom w:val="single" w:color="auto" w:sz="8" w:space="0"/>
              <w:right w:val="single" w:color="auto" w:sz="8" w:space="0"/>
            </w:tcBorders>
            <w:vAlign w:val="bottom"/>
          </w:tcPr>
          <w:p w14:paraId="37A75DB6">
            <w:pPr>
              <w:rPr>
                <w:sz w:val="24"/>
                <w:szCs w:val="24"/>
              </w:rPr>
            </w:pPr>
          </w:p>
        </w:tc>
        <w:tc>
          <w:tcPr>
            <w:tcW w:w="1140" w:type="dxa"/>
            <w:tcBorders>
              <w:bottom w:val="single" w:color="auto" w:sz="8" w:space="0"/>
              <w:right w:val="single" w:color="auto" w:sz="8" w:space="0"/>
            </w:tcBorders>
            <w:vAlign w:val="bottom"/>
          </w:tcPr>
          <w:p w14:paraId="366D8D12">
            <w:pPr>
              <w:rPr>
                <w:sz w:val="24"/>
                <w:szCs w:val="24"/>
              </w:rPr>
            </w:pPr>
          </w:p>
        </w:tc>
        <w:tc>
          <w:tcPr>
            <w:tcW w:w="960" w:type="dxa"/>
            <w:tcBorders>
              <w:bottom w:val="single" w:color="auto" w:sz="8" w:space="0"/>
              <w:right w:val="single" w:color="auto" w:sz="8" w:space="0"/>
            </w:tcBorders>
            <w:vAlign w:val="bottom"/>
          </w:tcPr>
          <w:p w14:paraId="5745FC22">
            <w:pPr>
              <w:rPr>
                <w:sz w:val="24"/>
                <w:szCs w:val="24"/>
              </w:rPr>
            </w:pPr>
          </w:p>
        </w:tc>
      </w:tr>
      <w:tr w14:paraId="5B93BF9A">
        <w:tblPrEx>
          <w:tblCellMar>
            <w:top w:w="0" w:type="dxa"/>
            <w:left w:w="0" w:type="dxa"/>
            <w:bottom w:w="0" w:type="dxa"/>
            <w:right w:w="0" w:type="dxa"/>
          </w:tblCellMar>
        </w:tblPrEx>
        <w:trPr>
          <w:trHeight w:val="465" w:hRule="atLeast"/>
        </w:trPr>
        <w:tc>
          <w:tcPr>
            <w:tcW w:w="760" w:type="dxa"/>
            <w:tcBorders>
              <w:left w:val="single" w:color="auto" w:sz="8" w:space="0"/>
              <w:bottom w:val="single" w:color="auto" w:sz="8" w:space="0"/>
              <w:right w:val="single" w:color="auto" w:sz="8" w:space="0"/>
            </w:tcBorders>
            <w:vAlign w:val="bottom"/>
          </w:tcPr>
          <w:p w14:paraId="4C0406F5">
            <w:pPr>
              <w:rPr>
                <w:sz w:val="24"/>
                <w:szCs w:val="24"/>
              </w:rPr>
            </w:pPr>
          </w:p>
        </w:tc>
        <w:tc>
          <w:tcPr>
            <w:tcW w:w="2320" w:type="dxa"/>
            <w:tcBorders>
              <w:bottom w:val="single" w:color="auto" w:sz="8" w:space="0"/>
              <w:right w:val="single" w:color="auto" w:sz="8" w:space="0"/>
            </w:tcBorders>
            <w:vAlign w:val="bottom"/>
          </w:tcPr>
          <w:p w14:paraId="756137FD">
            <w:pPr>
              <w:rPr>
                <w:sz w:val="24"/>
                <w:szCs w:val="24"/>
              </w:rPr>
            </w:pPr>
          </w:p>
        </w:tc>
        <w:tc>
          <w:tcPr>
            <w:tcW w:w="2260" w:type="dxa"/>
            <w:tcBorders>
              <w:bottom w:val="single" w:color="auto" w:sz="8" w:space="0"/>
              <w:right w:val="single" w:color="auto" w:sz="8" w:space="0"/>
            </w:tcBorders>
            <w:vAlign w:val="bottom"/>
          </w:tcPr>
          <w:p w14:paraId="4C2FCAEA">
            <w:pPr>
              <w:rPr>
                <w:sz w:val="24"/>
                <w:szCs w:val="24"/>
              </w:rPr>
            </w:pPr>
          </w:p>
        </w:tc>
        <w:tc>
          <w:tcPr>
            <w:tcW w:w="1240" w:type="dxa"/>
            <w:tcBorders>
              <w:bottom w:val="single" w:color="auto" w:sz="8" w:space="0"/>
              <w:right w:val="single" w:color="auto" w:sz="8" w:space="0"/>
            </w:tcBorders>
            <w:vAlign w:val="bottom"/>
          </w:tcPr>
          <w:p w14:paraId="3CCD1BDF">
            <w:pPr>
              <w:rPr>
                <w:sz w:val="24"/>
                <w:szCs w:val="24"/>
              </w:rPr>
            </w:pPr>
          </w:p>
        </w:tc>
        <w:tc>
          <w:tcPr>
            <w:tcW w:w="1420" w:type="dxa"/>
            <w:tcBorders>
              <w:bottom w:val="single" w:color="auto" w:sz="8" w:space="0"/>
              <w:right w:val="single" w:color="auto" w:sz="8" w:space="0"/>
            </w:tcBorders>
            <w:vAlign w:val="bottom"/>
          </w:tcPr>
          <w:p w14:paraId="7E6C9AEB">
            <w:pPr>
              <w:rPr>
                <w:sz w:val="24"/>
                <w:szCs w:val="24"/>
              </w:rPr>
            </w:pPr>
          </w:p>
        </w:tc>
        <w:tc>
          <w:tcPr>
            <w:tcW w:w="1140" w:type="dxa"/>
            <w:tcBorders>
              <w:bottom w:val="single" w:color="auto" w:sz="8" w:space="0"/>
              <w:right w:val="single" w:color="auto" w:sz="8" w:space="0"/>
            </w:tcBorders>
            <w:vAlign w:val="bottom"/>
          </w:tcPr>
          <w:p w14:paraId="4EDF626F">
            <w:pPr>
              <w:rPr>
                <w:sz w:val="24"/>
                <w:szCs w:val="24"/>
              </w:rPr>
            </w:pPr>
          </w:p>
        </w:tc>
        <w:tc>
          <w:tcPr>
            <w:tcW w:w="960" w:type="dxa"/>
            <w:tcBorders>
              <w:bottom w:val="single" w:color="auto" w:sz="8" w:space="0"/>
              <w:right w:val="single" w:color="auto" w:sz="8" w:space="0"/>
            </w:tcBorders>
            <w:vAlign w:val="bottom"/>
          </w:tcPr>
          <w:p w14:paraId="2447A18A">
            <w:pPr>
              <w:rPr>
                <w:sz w:val="24"/>
                <w:szCs w:val="24"/>
              </w:rPr>
            </w:pPr>
          </w:p>
        </w:tc>
      </w:tr>
      <w:tr w14:paraId="3A70ED8F">
        <w:tblPrEx>
          <w:tblCellMar>
            <w:top w:w="0" w:type="dxa"/>
            <w:left w:w="0" w:type="dxa"/>
            <w:bottom w:w="0" w:type="dxa"/>
            <w:right w:w="0" w:type="dxa"/>
          </w:tblCellMar>
        </w:tblPrEx>
        <w:trPr>
          <w:trHeight w:val="465" w:hRule="atLeast"/>
        </w:trPr>
        <w:tc>
          <w:tcPr>
            <w:tcW w:w="760" w:type="dxa"/>
            <w:tcBorders>
              <w:left w:val="single" w:color="auto" w:sz="8" w:space="0"/>
              <w:bottom w:val="single" w:color="auto" w:sz="8" w:space="0"/>
              <w:right w:val="single" w:color="auto" w:sz="8" w:space="0"/>
            </w:tcBorders>
            <w:vAlign w:val="bottom"/>
          </w:tcPr>
          <w:p w14:paraId="18F1D35A">
            <w:pPr>
              <w:rPr>
                <w:sz w:val="24"/>
                <w:szCs w:val="24"/>
              </w:rPr>
            </w:pPr>
          </w:p>
        </w:tc>
        <w:tc>
          <w:tcPr>
            <w:tcW w:w="2320" w:type="dxa"/>
            <w:tcBorders>
              <w:bottom w:val="single" w:color="auto" w:sz="8" w:space="0"/>
              <w:right w:val="single" w:color="auto" w:sz="8" w:space="0"/>
            </w:tcBorders>
            <w:vAlign w:val="bottom"/>
          </w:tcPr>
          <w:p w14:paraId="73D05193">
            <w:pPr>
              <w:rPr>
                <w:sz w:val="24"/>
                <w:szCs w:val="24"/>
              </w:rPr>
            </w:pPr>
          </w:p>
        </w:tc>
        <w:tc>
          <w:tcPr>
            <w:tcW w:w="2260" w:type="dxa"/>
            <w:tcBorders>
              <w:bottom w:val="single" w:color="auto" w:sz="8" w:space="0"/>
              <w:right w:val="single" w:color="auto" w:sz="8" w:space="0"/>
            </w:tcBorders>
            <w:vAlign w:val="bottom"/>
          </w:tcPr>
          <w:p w14:paraId="05E5B7A1">
            <w:pPr>
              <w:rPr>
                <w:sz w:val="24"/>
                <w:szCs w:val="24"/>
              </w:rPr>
            </w:pPr>
          </w:p>
        </w:tc>
        <w:tc>
          <w:tcPr>
            <w:tcW w:w="1240" w:type="dxa"/>
            <w:tcBorders>
              <w:bottom w:val="single" w:color="auto" w:sz="8" w:space="0"/>
              <w:right w:val="single" w:color="auto" w:sz="8" w:space="0"/>
            </w:tcBorders>
            <w:vAlign w:val="bottom"/>
          </w:tcPr>
          <w:p w14:paraId="48FBB7F1">
            <w:pPr>
              <w:rPr>
                <w:sz w:val="24"/>
                <w:szCs w:val="24"/>
              </w:rPr>
            </w:pPr>
          </w:p>
        </w:tc>
        <w:tc>
          <w:tcPr>
            <w:tcW w:w="1420" w:type="dxa"/>
            <w:tcBorders>
              <w:bottom w:val="single" w:color="auto" w:sz="8" w:space="0"/>
              <w:right w:val="single" w:color="auto" w:sz="8" w:space="0"/>
            </w:tcBorders>
            <w:vAlign w:val="bottom"/>
          </w:tcPr>
          <w:p w14:paraId="0A32E91D">
            <w:pPr>
              <w:rPr>
                <w:sz w:val="24"/>
                <w:szCs w:val="24"/>
              </w:rPr>
            </w:pPr>
          </w:p>
        </w:tc>
        <w:tc>
          <w:tcPr>
            <w:tcW w:w="1140" w:type="dxa"/>
            <w:tcBorders>
              <w:bottom w:val="single" w:color="auto" w:sz="8" w:space="0"/>
              <w:right w:val="single" w:color="auto" w:sz="8" w:space="0"/>
            </w:tcBorders>
            <w:vAlign w:val="bottom"/>
          </w:tcPr>
          <w:p w14:paraId="27AEFF4E">
            <w:pPr>
              <w:rPr>
                <w:sz w:val="24"/>
                <w:szCs w:val="24"/>
              </w:rPr>
            </w:pPr>
          </w:p>
        </w:tc>
        <w:tc>
          <w:tcPr>
            <w:tcW w:w="960" w:type="dxa"/>
            <w:tcBorders>
              <w:bottom w:val="single" w:color="auto" w:sz="8" w:space="0"/>
              <w:right w:val="single" w:color="auto" w:sz="8" w:space="0"/>
            </w:tcBorders>
            <w:vAlign w:val="bottom"/>
          </w:tcPr>
          <w:p w14:paraId="77F6E07D">
            <w:pPr>
              <w:rPr>
                <w:sz w:val="24"/>
                <w:szCs w:val="24"/>
              </w:rPr>
            </w:pPr>
          </w:p>
        </w:tc>
      </w:tr>
      <w:tr w14:paraId="2ACF1367">
        <w:tblPrEx>
          <w:tblCellMar>
            <w:top w:w="0" w:type="dxa"/>
            <w:left w:w="0" w:type="dxa"/>
            <w:bottom w:w="0" w:type="dxa"/>
            <w:right w:w="0" w:type="dxa"/>
          </w:tblCellMar>
        </w:tblPrEx>
        <w:trPr>
          <w:trHeight w:val="467" w:hRule="atLeast"/>
        </w:trPr>
        <w:tc>
          <w:tcPr>
            <w:tcW w:w="760" w:type="dxa"/>
            <w:tcBorders>
              <w:left w:val="single" w:color="auto" w:sz="8" w:space="0"/>
              <w:bottom w:val="single" w:color="auto" w:sz="8" w:space="0"/>
              <w:right w:val="single" w:color="auto" w:sz="8" w:space="0"/>
            </w:tcBorders>
            <w:vAlign w:val="bottom"/>
          </w:tcPr>
          <w:p w14:paraId="58E30151">
            <w:pPr>
              <w:rPr>
                <w:sz w:val="24"/>
                <w:szCs w:val="24"/>
              </w:rPr>
            </w:pPr>
          </w:p>
        </w:tc>
        <w:tc>
          <w:tcPr>
            <w:tcW w:w="2320" w:type="dxa"/>
            <w:tcBorders>
              <w:bottom w:val="single" w:color="auto" w:sz="8" w:space="0"/>
              <w:right w:val="single" w:color="auto" w:sz="8" w:space="0"/>
            </w:tcBorders>
            <w:vAlign w:val="bottom"/>
          </w:tcPr>
          <w:p w14:paraId="4536C2CB">
            <w:pPr>
              <w:rPr>
                <w:sz w:val="24"/>
                <w:szCs w:val="24"/>
              </w:rPr>
            </w:pPr>
          </w:p>
        </w:tc>
        <w:tc>
          <w:tcPr>
            <w:tcW w:w="2260" w:type="dxa"/>
            <w:tcBorders>
              <w:bottom w:val="single" w:color="auto" w:sz="8" w:space="0"/>
              <w:right w:val="single" w:color="auto" w:sz="8" w:space="0"/>
            </w:tcBorders>
            <w:vAlign w:val="bottom"/>
          </w:tcPr>
          <w:p w14:paraId="31451D20">
            <w:pPr>
              <w:rPr>
                <w:sz w:val="24"/>
                <w:szCs w:val="24"/>
              </w:rPr>
            </w:pPr>
          </w:p>
        </w:tc>
        <w:tc>
          <w:tcPr>
            <w:tcW w:w="1240" w:type="dxa"/>
            <w:tcBorders>
              <w:bottom w:val="single" w:color="auto" w:sz="8" w:space="0"/>
              <w:right w:val="single" w:color="auto" w:sz="8" w:space="0"/>
            </w:tcBorders>
            <w:vAlign w:val="bottom"/>
          </w:tcPr>
          <w:p w14:paraId="61BE43EE">
            <w:pPr>
              <w:rPr>
                <w:sz w:val="24"/>
                <w:szCs w:val="24"/>
              </w:rPr>
            </w:pPr>
          </w:p>
        </w:tc>
        <w:tc>
          <w:tcPr>
            <w:tcW w:w="1420" w:type="dxa"/>
            <w:tcBorders>
              <w:bottom w:val="single" w:color="auto" w:sz="8" w:space="0"/>
              <w:right w:val="single" w:color="auto" w:sz="8" w:space="0"/>
            </w:tcBorders>
            <w:vAlign w:val="bottom"/>
          </w:tcPr>
          <w:p w14:paraId="3F902F6E">
            <w:pPr>
              <w:rPr>
                <w:sz w:val="24"/>
                <w:szCs w:val="24"/>
              </w:rPr>
            </w:pPr>
          </w:p>
        </w:tc>
        <w:tc>
          <w:tcPr>
            <w:tcW w:w="1140" w:type="dxa"/>
            <w:tcBorders>
              <w:bottom w:val="single" w:color="auto" w:sz="8" w:space="0"/>
              <w:right w:val="single" w:color="auto" w:sz="8" w:space="0"/>
            </w:tcBorders>
            <w:vAlign w:val="bottom"/>
          </w:tcPr>
          <w:p w14:paraId="7BE7940F">
            <w:pPr>
              <w:rPr>
                <w:sz w:val="24"/>
                <w:szCs w:val="24"/>
              </w:rPr>
            </w:pPr>
          </w:p>
        </w:tc>
        <w:tc>
          <w:tcPr>
            <w:tcW w:w="960" w:type="dxa"/>
            <w:tcBorders>
              <w:bottom w:val="single" w:color="auto" w:sz="8" w:space="0"/>
              <w:right w:val="single" w:color="auto" w:sz="8" w:space="0"/>
            </w:tcBorders>
            <w:vAlign w:val="bottom"/>
          </w:tcPr>
          <w:p w14:paraId="7286CC85">
            <w:pPr>
              <w:rPr>
                <w:sz w:val="24"/>
                <w:szCs w:val="24"/>
              </w:rPr>
            </w:pPr>
          </w:p>
        </w:tc>
      </w:tr>
      <w:tr w14:paraId="5E8999E6">
        <w:tblPrEx>
          <w:tblCellMar>
            <w:top w:w="0" w:type="dxa"/>
            <w:left w:w="0" w:type="dxa"/>
            <w:bottom w:w="0" w:type="dxa"/>
            <w:right w:w="0" w:type="dxa"/>
          </w:tblCellMar>
        </w:tblPrEx>
        <w:trPr>
          <w:trHeight w:val="465" w:hRule="atLeast"/>
        </w:trPr>
        <w:tc>
          <w:tcPr>
            <w:tcW w:w="760" w:type="dxa"/>
            <w:tcBorders>
              <w:left w:val="single" w:color="auto" w:sz="8" w:space="0"/>
              <w:bottom w:val="single" w:color="auto" w:sz="8" w:space="0"/>
              <w:right w:val="single" w:color="auto" w:sz="8" w:space="0"/>
            </w:tcBorders>
            <w:vAlign w:val="bottom"/>
          </w:tcPr>
          <w:p w14:paraId="4574FE72">
            <w:pPr>
              <w:rPr>
                <w:sz w:val="24"/>
                <w:szCs w:val="24"/>
              </w:rPr>
            </w:pPr>
          </w:p>
        </w:tc>
        <w:tc>
          <w:tcPr>
            <w:tcW w:w="2320" w:type="dxa"/>
            <w:tcBorders>
              <w:bottom w:val="single" w:color="auto" w:sz="8" w:space="0"/>
              <w:right w:val="single" w:color="auto" w:sz="8" w:space="0"/>
            </w:tcBorders>
            <w:vAlign w:val="bottom"/>
          </w:tcPr>
          <w:p w14:paraId="759A1D3F">
            <w:pPr>
              <w:rPr>
                <w:sz w:val="24"/>
                <w:szCs w:val="24"/>
              </w:rPr>
            </w:pPr>
          </w:p>
        </w:tc>
        <w:tc>
          <w:tcPr>
            <w:tcW w:w="2260" w:type="dxa"/>
            <w:tcBorders>
              <w:bottom w:val="single" w:color="auto" w:sz="8" w:space="0"/>
              <w:right w:val="single" w:color="auto" w:sz="8" w:space="0"/>
            </w:tcBorders>
            <w:vAlign w:val="bottom"/>
          </w:tcPr>
          <w:p w14:paraId="23EC73F2">
            <w:pPr>
              <w:rPr>
                <w:sz w:val="24"/>
                <w:szCs w:val="24"/>
              </w:rPr>
            </w:pPr>
          </w:p>
        </w:tc>
        <w:tc>
          <w:tcPr>
            <w:tcW w:w="1240" w:type="dxa"/>
            <w:tcBorders>
              <w:bottom w:val="single" w:color="auto" w:sz="8" w:space="0"/>
              <w:right w:val="single" w:color="auto" w:sz="8" w:space="0"/>
            </w:tcBorders>
            <w:vAlign w:val="bottom"/>
          </w:tcPr>
          <w:p w14:paraId="42F109FD">
            <w:pPr>
              <w:rPr>
                <w:sz w:val="24"/>
                <w:szCs w:val="24"/>
              </w:rPr>
            </w:pPr>
          </w:p>
        </w:tc>
        <w:tc>
          <w:tcPr>
            <w:tcW w:w="1420" w:type="dxa"/>
            <w:tcBorders>
              <w:bottom w:val="single" w:color="auto" w:sz="8" w:space="0"/>
              <w:right w:val="single" w:color="auto" w:sz="8" w:space="0"/>
            </w:tcBorders>
            <w:vAlign w:val="bottom"/>
          </w:tcPr>
          <w:p w14:paraId="5D35F29B">
            <w:pPr>
              <w:rPr>
                <w:sz w:val="24"/>
                <w:szCs w:val="24"/>
              </w:rPr>
            </w:pPr>
          </w:p>
        </w:tc>
        <w:tc>
          <w:tcPr>
            <w:tcW w:w="1140" w:type="dxa"/>
            <w:tcBorders>
              <w:bottom w:val="single" w:color="auto" w:sz="8" w:space="0"/>
              <w:right w:val="single" w:color="auto" w:sz="8" w:space="0"/>
            </w:tcBorders>
            <w:vAlign w:val="bottom"/>
          </w:tcPr>
          <w:p w14:paraId="6860B0CC">
            <w:pPr>
              <w:rPr>
                <w:sz w:val="24"/>
                <w:szCs w:val="24"/>
              </w:rPr>
            </w:pPr>
          </w:p>
        </w:tc>
        <w:tc>
          <w:tcPr>
            <w:tcW w:w="960" w:type="dxa"/>
            <w:tcBorders>
              <w:bottom w:val="single" w:color="auto" w:sz="8" w:space="0"/>
              <w:right w:val="single" w:color="auto" w:sz="8" w:space="0"/>
            </w:tcBorders>
            <w:vAlign w:val="bottom"/>
          </w:tcPr>
          <w:p w14:paraId="024F4DDD">
            <w:pPr>
              <w:rPr>
                <w:sz w:val="24"/>
                <w:szCs w:val="24"/>
              </w:rPr>
            </w:pPr>
          </w:p>
        </w:tc>
      </w:tr>
    </w:tbl>
    <w:p w14:paraId="76DC2E37">
      <w:pPr>
        <w:spacing w:line="560" w:lineRule="exact"/>
        <w:ind w:firstLine="482"/>
        <w:rPr>
          <w:rFonts w:ascii="仿宋" w:eastAsia="仿宋"/>
          <w:sz w:val="24"/>
          <w:szCs w:val="20"/>
        </w:rPr>
      </w:pPr>
      <w:r>
        <w:rPr>
          <w:rFonts w:ascii="仿宋" w:hAnsi="宋体" w:eastAsia="仿宋" w:cs="宋体"/>
          <w:b/>
          <w:bCs/>
          <w:sz w:val="24"/>
          <w:szCs w:val="24"/>
        </w:rPr>
        <w:t>说</w:t>
      </w:r>
      <w:r>
        <w:rPr>
          <w:rFonts w:ascii="仿宋" w:hAnsi="宋体" w:eastAsia="仿宋" w:cs="宋体"/>
          <w:b/>
          <w:bCs/>
          <w:sz w:val="24"/>
          <w:szCs w:val="21"/>
        </w:rPr>
        <w:t>明：供应商根据本格式要求如实填写业绩情况表，并附业绩合同复印件。</w:t>
      </w:r>
    </w:p>
    <w:p w14:paraId="1ECB0F80">
      <w:pPr>
        <w:spacing w:line="560" w:lineRule="exact"/>
        <w:ind w:firstLine="482"/>
        <w:rPr>
          <w:rFonts w:ascii="仿宋" w:hAnsi="宋体" w:eastAsia="仿宋" w:cs="宋体"/>
          <w:sz w:val="24"/>
          <w:szCs w:val="21"/>
          <w:u w:val="single"/>
        </w:rPr>
      </w:pPr>
      <w:r>
        <w:rPr>
          <w:rFonts w:ascii="仿宋" w:hAnsi="宋体" w:eastAsia="仿宋" w:cs="宋体"/>
          <w:sz w:val="24"/>
          <w:szCs w:val="21"/>
        </w:rPr>
        <w:t>供应商：</w:t>
      </w:r>
      <w:r>
        <w:rPr>
          <w:rFonts w:hint="eastAsia" w:ascii="仿宋" w:hAnsi="宋体" w:eastAsia="仿宋" w:cs="宋体"/>
          <w:sz w:val="24"/>
          <w:szCs w:val="21"/>
          <w:u w:val="single"/>
        </w:rPr>
        <w:t xml:space="preserve">        </w:t>
      </w:r>
      <w:r>
        <w:rPr>
          <w:rFonts w:ascii="仿宋" w:hAnsi="宋体" w:eastAsia="仿宋" w:cs="宋体"/>
          <w:sz w:val="24"/>
          <w:szCs w:val="21"/>
          <w:u w:val="single"/>
        </w:rPr>
        <w:t>（盖单位章）</w:t>
      </w:r>
    </w:p>
    <w:p w14:paraId="6D616D57">
      <w:pPr>
        <w:spacing w:line="560" w:lineRule="exact"/>
        <w:ind w:firstLine="482"/>
        <w:rPr>
          <w:rFonts w:ascii="仿宋" w:hAnsi="宋体" w:eastAsia="仿宋" w:cs="宋体"/>
          <w:sz w:val="24"/>
          <w:szCs w:val="21"/>
          <w:u w:val="single"/>
        </w:rPr>
      </w:pPr>
      <w:r>
        <w:rPr>
          <w:rFonts w:ascii="仿宋" w:hAnsi="宋体" w:eastAsia="仿宋" w:cs="宋体"/>
          <w:sz w:val="24"/>
          <w:szCs w:val="21"/>
        </w:rPr>
        <w:t>法定代表人或其委托代理人：</w:t>
      </w:r>
      <w:r>
        <w:rPr>
          <w:rFonts w:hint="eastAsia" w:ascii="仿宋" w:hAnsi="宋体" w:eastAsia="仿宋" w:cs="宋体"/>
          <w:sz w:val="24"/>
          <w:szCs w:val="21"/>
          <w:u w:val="single"/>
        </w:rPr>
        <w:t xml:space="preserve">    </w:t>
      </w:r>
      <w:r>
        <w:rPr>
          <w:rFonts w:ascii="仿宋" w:hAnsi="宋体" w:eastAsia="仿宋" w:cs="宋体"/>
          <w:sz w:val="24"/>
          <w:szCs w:val="21"/>
          <w:u w:val="single"/>
        </w:rPr>
        <w:t>（签字或签章）</w:t>
      </w:r>
    </w:p>
    <w:p w14:paraId="1C57689B">
      <w:pPr>
        <w:spacing w:line="560" w:lineRule="exact"/>
        <w:ind w:firstLine="482"/>
        <w:rPr>
          <w:rFonts w:ascii="仿宋" w:hAnsi="宋体" w:eastAsia="仿宋" w:cs="宋体"/>
          <w:b/>
          <w:bCs/>
          <w:sz w:val="24"/>
          <w:szCs w:val="32"/>
        </w:rPr>
      </w:pPr>
    </w:p>
    <w:p w14:paraId="716C1FBF">
      <w:pPr>
        <w:spacing w:line="560" w:lineRule="exact"/>
        <w:ind w:firstLine="482"/>
        <w:rPr>
          <w:rFonts w:ascii="仿宋" w:hAnsi="宋体" w:eastAsia="仿宋" w:cs="宋体"/>
          <w:b/>
          <w:bCs/>
          <w:sz w:val="24"/>
          <w:szCs w:val="32"/>
        </w:rPr>
      </w:pPr>
    </w:p>
    <w:p w14:paraId="6456A3EE">
      <w:pPr>
        <w:spacing w:line="560" w:lineRule="exact"/>
        <w:ind w:firstLine="482"/>
        <w:rPr>
          <w:rFonts w:ascii="仿宋" w:hAnsi="宋体" w:eastAsia="仿宋" w:cs="宋体"/>
          <w:b/>
          <w:bCs/>
          <w:sz w:val="24"/>
          <w:szCs w:val="32"/>
        </w:rPr>
      </w:pPr>
    </w:p>
    <w:p w14:paraId="7952A523">
      <w:pPr>
        <w:spacing w:line="560" w:lineRule="exact"/>
        <w:rPr>
          <w:rFonts w:ascii="仿宋" w:hAnsi="宋体" w:eastAsia="仿宋" w:cs="宋体"/>
          <w:b/>
          <w:bCs/>
          <w:sz w:val="24"/>
          <w:szCs w:val="32"/>
        </w:rPr>
      </w:pPr>
    </w:p>
    <w:p w14:paraId="365F8FA7">
      <w:pPr>
        <w:rPr>
          <w:rFonts w:ascii="仿宋" w:hAnsi="宋体" w:eastAsia="仿宋" w:cs="宋体"/>
          <w:b/>
          <w:bCs/>
          <w:sz w:val="24"/>
          <w:szCs w:val="32"/>
        </w:rPr>
      </w:pPr>
      <w:r>
        <w:rPr>
          <w:rFonts w:ascii="仿宋" w:hAnsi="宋体" w:eastAsia="仿宋" w:cs="宋体"/>
          <w:b/>
          <w:bCs/>
          <w:sz w:val="24"/>
          <w:szCs w:val="32"/>
        </w:rPr>
        <w:br w:type="page"/>
      </w:r>
    </w:p>
    <w:p w14:paraId="161E560A">
      <w:pPr>
        <w:spacing w:line="560" w:lineRule="exact"/>
        <w:ind w:firstLine="482"/>
        <w:rPr>
          <w:rFonts w:ascii="仿宋" w:eastAsia="仿宋"/>
          <w:sz w:val="24"/>
          <w:szCs w:val="20"/>
        </w:rPr>
      </w:pPr>
      <w:r>
        <w:rPr>
          <w:rFonts w:ascii="仿宋" w:hAnsi="宋体" w:eastAsia="仿宋" w:cs="宋体"/>
          <w:b/>
          <w:bCs/>
          <w:sz w:val="24"/>
          <w:szCs w:val="32"/>
        </w:rPr>
        <w:t>附件九、企业声明函格式</w:t>
      </w:r>
    </w:p>
    <w:p w14:paraId="10439362">
      <w:pPr>
        <w:spacing w:line="560" w:lineRule="exact"/>
        <w:ind w:firstLine="482"/>
        <w:rPr>
          <w:rFonts w:ascii="仿宋" w:eastAsia="仿宋"/>
          <w:sz w:val="24"/>
          <w:szCs w:val="20"/>
        </w:rPr>
      </w:pPr>
      <w:r>
        <w:rPr>
          <w:rFonts w:ascii="仿宋" w:hAnsi="宋体" w:eastAsia="仿宋" w:cs="宋体"/>
          <w:b/>
          <w:bCs/>
          <w:sz w:val="24"/>
          <w:szCs w:val="28"/>
        </w:rPr>
        <w:t>中小企业声明函</w:t>
      </w:r>
    </w:p>
    <w:p w14:paraId="781A5D3C">
      <w:pPr>
        <w:spacing w:line="560" w:lineRule="exact"/>
        <w:ind w:firstLine="482"/>
        <w:rPr>
          <w:rFonts w:ascii="仿宋" w:eastAsia="仿宋"/>
          <w:sz w:val="24"/>
          <w:szCs w:val="20"/>
        </w:rPr>
      </w:pPr>
      <w:r>
        <w:rPr>
          <w:rFonts w:ascii="仿宋" w:hAnsi="宋体" w:eastAsia="仿宋" w:cs="宋体"/>
          <w:sz w:val="24"/>
          <w:szCs w:val="21"/>
        </w:rPr>
        <w:t>本公司郑重声明，根据《政府采购促进中小企业发展暂行办法》（财库〔2011〕181 号）的规定，本公司为______（请填写：中型、小型、微型）企业。即，本公司同时满足以下条件：</w:t>
      </w:r>
    </w:p>
    <w:p w14:paraId="522D5FF6">
      <w:pPr>
        <w:spacing w:line="560" w:lineRule="exact"/>
        <w:ind w:firstLine="482"/>
        <w:rPr>
          <w:rFonts w:ascii="仿宋" w:eastAsia="仿宋"/>
          <w:sz w:val="24"/>
          <w:szCs w:val="20"/>
        </w:rPr>
      </w:pPr>
      <w:r>
        <w:rPr>
          <w:rFonts w:ascii="仿宋" w:hAnsi="宋体" w:eastAsia="仿宋" w:cs="宋体"/>
          <w:sz w:val="24"/>
          <w:szCs w:val="21"/>
        </w:rPr>
        <w:t>1.根据《工业和信息化部、国家统计局、国家发展和改革委员会、财政部关于印发中小企业划型标准规定的通知》（工信部联企业〔2011〕300 号）规定的划分标准，本公司为______（请填写：中型、小型、微型）企业。</w:t>
      </w:r>
    </w:p>
    <w:p w14:paraId="7A4ED8EA">
      <w:pPr>
        <w:spacing w:line="560" w:lineRule="exact"/>
        <w:ind w:firstLine="482"/>
        <w:rPr>
          <w:rFonts w:ascii="仿宋" w:eastAsia="仿宋"/>
          <w:sz w:val="24"/>
          <w:szCs w:val="20"/>
        </w:rPr>
      </w:pPr>
      <w:r>
        <w:rPr>
          <w:rFonts w:ascii="仿宋" w:hAnsi="宋体" w:eastAsia="仿宋" w:cs="宋体"/>
          <w:sz w:val="24"/>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043CC06">
      <w:pPr>
        <w:spacing w:line="560" w:lineRule="exact"/>
        <w:ind w:firstLine="482"/>
        <w:rPr>
          <w:rFonts w:ascii="仿宋" w:eastAsia="仿宋"/>
          <w:sz w:val="24"/>
          <w:szCs w:val="20"/>
        </w:rPr>
      </w:pPr>
      <w:r>
        <w:rPr>
          <w:rFonts w:ascii="仿宋" w:hAnsi="宋体" w:eastAsia="仿宋" w:cs="宋体"/>
          <w:sz w:val="24"/>
          <w:szCs w:val="21"/>
        </w:rPr>
        <w:t>本公司对上述声明的真实性负责。如有虚假，将依法承担相应责任。</w:t>
      </w:r>
    </w:p>
    <w:p w14:paraId="2F8EBEDD">
      <w:pPr>
        <w:spacing w:line="560" w:lineRule="exact"/>
        <w:ind w:firstLine="482"/>
        <w:rPr>
          <w:rFonts w:ascii="仿宋" w:eastAsia="仿宋"/>
          <w:sz w:val="24"/>
          <w:szCs w:val="20"/>
        </w:rPr>
      </w:pPr>
      <w:r>
        <w:rPr>
          <w:rFonts w:ascii="仿宋" w:hAnsi="宋体" w:eastAsia="仿宋" w:cs="宋体"/>
          <w:sz w:val="24"/>
          <w:szCs w:val="21"/>
        </w:rPr>
        <w:t>单位名称（盖章）：</w:t>
      </w:r>
    </w:p>
    <w:p w14:paraId="09267D35">
      <w:pPr>
        <w:spacing w:line="560" w:lineRule="exact"/>
        <w:ind w:firstLine="482"/>
        <w:rPr>
          <w:rFonts w:ascii="仿宋" w:eastAsia="仿宋"/>
          <w:sz w:val="24"/>
          <w:szCs w:val="20"/>
        </w:rPr>
      </w:pPr>
      <w:r>
        <w:rPr>
          <w:rFonts w:ascii="仿宋" w:hAnsi="宋体" w:eastAsia="仿宋" w:cs="宋体"/>
          <w:sz w:val="24"/>
          <w:szCs w:val="21"/>
        </w:rPr>
        <w:t>日 期：</w:t>
      </w:r>
    </w:p>
    <w:p w14:paraId="156F560D">
      <w:pPr>
        <w:spacing w:line="560" w:lineRule="exact"/>
        <w:ind w:firstLine="482"/>
        <w:rPr>
          <w:rFonts w:ascii="仿宋" w:eastAsia="仿宋"/>
          <w:sz w:val="24"/>
          <w:szCs w:val="20"/>
        </w:rPr>
      </w:pPr>
      <w:r>
        <w:rPr>
          <w:rFonts w:ascii="仿宋" w:hAnsi="宋体" w:eastAsia="仿宋" w:cs="宋体"/>
          <w:b/>
          <w:bCs/>
          <w:sz w:val="24"/>
          <w:szCs w:val="28"/>
        </w:rPr>
        <w:t>残疾人福利性单位声明函</w:t>
      </w:r>
    </w:p>
    <w:p w14:paraId="36342BA8">
      <w:pPr>
        <w:spacing w:line="560" w:lineRule="exact"/>
        <w:ind w:firstLine="482"/>
        <w:rPr>
          <w:rFonts w:ascii="仿宋" w:eastAsia="仿宋"/>
          <w:sz w:val="24"/>
          <w:szCs w:val="20"/>
        </w:rPr>
      </w:pPr>
      <w:r>
        <w:rPr>
          <w:rFonts w:ascii="仿宋" w:hAnsi="宋体" w:eastAsia="仿宋" w:cs="宋体"/>
          <w:sz w:val="24"/>
          <w:szCs w:val="21"/>
        </w:rPr>
        <w:t>本单位郑重声明，根据《财政部 民政部 中国残疾人联合会关于促进残疾人就业政府采购</w:t>
      </w:r>
      <w:r>
        <w:rPr>
          <w:rFonts w:hint="eastAsia" w:ascii="仿宋" w:hAnsi="宋体" w:eastAsia="仿宋" w:cs="宋体"/>
          <w:sz w:val="24"/>
          <w:szCs w:val="21"/>
        </w:rPr>
        <w:t>政策</w:t>
      </w:r>
      <w:r>
        <w:rPr>
          <w:rFonts w:ascii="仿宋" w:hAnsi="宋体" w:eastAsia="仿宋" w:cs="宋体"/>
          <w:sz w:val="24"/>
          <w:szCs w:val="21"/>
        </w:rPr>
        <w:t>策的通知》（财库〔2017〕 141 号）的规定，本单位为符合条件的残疾人福利性单位，且本单位</w:t>
      </w:r>
      <w:r>
        <w:rPr>
          <w:rFonts w:ascii="仿宋" w:hAnsi="宋体" w:eastAsia="仿宋" w:cs="宋体"/>
          <w:w w:val="99"/>
          <w:sz w:val="24"/>
          <w:szCs w:val="21"/>
        </w:rPr>
        <w:t>参加______单位的______项目采购活动提供本单位制造的货物（由本单位承担工程/提供服务），</w:t>
      </w:r>
      <w:r>
        <w:rPr>
          <w:rFonts w:ascii="仿宋" w:hAnsi="宋体" w:eastAsia="仿宋" w:cs="宋体"/>
          <w:sz w:val="24"/>
          <w:szCs w:val="21"/>
        </w:rPr>
        <w:t>或者提供其他残疾人福利性单位制造的货物（不包括使用非残疾人福利性单位注册商标的货物）。</w:t>
      </w:r>
    </w:p>
    <w:p w14:paraId="0B275DDE">
      <w:pPr>
        <w:spacing w:line="560" w:lineRule="exact"/>
        <w:ind w:firstLine="482"/>
        <w:rPr>
          <w:rFonts w:ascii="仿宋" w:eastAsia="仿宋"/>
          <w:sz w:val="24"/>
          <w:szCs w:val="20"/>
        </w:rPr>
      </w:pPr>
      <w:r>
        <w:rPr>
          <w:rFonts w:ascii="仿宋" w:hAnsi="宋体" w:eastAsia="仿宋" w:cs="宋体"/>
          <w:sz w:val="24"/>
          <w:szCs w:val="21"/>
        </w:rPr>
        <w:t>本单位对上述声明的真实性负责。如有虚假，将依法承担相应责任。</w:t>
      </w:r>
    </w:p>
    <w:p w14:paraId="167DA274">
      <w:pPr>
        <w:spacing w:line="560" w:lineRule="exact"/>
        <w:ind w:firstLine="482"/>
        <w:rPr>
          <w:rFonts w:ascii="仿宋" w:eastAsia="仿宋"/>
          <w:sz w:val="24"/>
          <w:szCs w:val="20"/>
        </w:rPr>
      </w:pPr>
      <w:r>
        <w:rPr>
          <w:rFonts w:ascii="仿宋" w:hAnsi="宋体" w:eastAsia="仿宋" w:cs="宋体"/>
          <w:sz w:val="24"/>
          <w:szCs w:val="21"/>
        </w:rPr>
        <w:t>单位名称（盖章）：</w:t>
      </w:r>
    </w:p>
    <w:p w14:paraId="617AFF4B">
      <w:pPr>
        <w:tabs>
          <w:tab w:val="left" w:pos="5440"/>
        </w:tabs>
        <w:spacing w:line="560" w:lineRule="exact"/>
        <w:ind w:firstLine="482"/>
        <w:rPr>
          <w:rFonts w:ascii="仿宋" w:eastAsia="仿宋"/>
          <w:sz w:val="24"/>
          <w:szCs w:val="20"/>
        </w:rPr>
      </w:pPr>
      <w:r>
        <w:rPr>
          <w:rFonts w:ascii="仿宋" w:hAnsi="宋体" w:eastAsia="仿宋" w:cs="宋体"/>
          <w:sz w:val="24"/>
          <w:szCs w:val="21"/>
        </w:rPr>
        <w:t>日</w:t>
      </w:r>
      <w:r>
        <w:rPr>
          <w:rFonts w:ascii="仿宋" w:hAnsi="宋体" w:eastAsia="仿宋" w:cs="宋体"/>
          <w:sz w:val="24"/>
          <w:szCs w:val="20"/>
        </w:rPr>
        <w:t>期：</w:t>
      </w:r>
    </w:p>
    <w:p w14:paraId="310F620E">
      <w:pPr>
        <w:spacing w:line="560" w:lineRule="exact"/>
        <w:ind w:firstLine="482"/>
        <w:rPr>
          <w:rFonts w:ascii="仿宋" w:hAnsi="宋体" w:eastAsia="仿宋" w:cs="宋体"/>
          <w:b/>
          <w:bCs/>
          <w:sz w:val="24"/>
          <w:szCs w:val="28"/>
        </w:rPr>
      </w:pPr>
      <w:bookmarkStart w:id="36" w:name="page49"/>
      <w:bookmarkEnd w:id="36"/>
    </w:p>
    <w:p w14:paraId="18FAF442">
      <w:pPr>
        <w:spacing w:line="560" w:lineRule="exact"/>
        <w:ind w:firstLine="482"/>
        <w:rPr>
          <w:rFonts w:ascii="仿宋" w:hAnsi="宋体" w:eastAsia="仿宋" w:cs="宋体"/>
          <w:b/>
          <w:bCs/>
          <w:sz w:val="24"/>
          <w:szCs w:val="28"/>
        </w:rPr>
      </w:pPr>
    </w:p>
    <w:p w14:paraId="6A37A4EB">
      <w:pPr>
        <w:spacing w:line="560" w:lineRule="exact"/>
        <w:rPr>
          <w:rFonts w:ascii="仿宋" w:hAnsi="宋体" w:eastAsia="仿宋" w:cs="宋体"/>
          <w:b/>
          <w:bCs/>
          <w:sz w:val="24"/>
          <w:szCs w:val="28"/>
        </w:rPr>
      </w:pPr>
    </w:p>
    <w:p w14:paraId="061FD09E">
      <w:pPr>
        <w:spacing w:line="560" w:lineRule="exact"/>
        <w:ind w:firstLine="482"/>
        <w:rPr>
          <w:rFonts w:ascii="仿宋" w:eastAsia="仿宋"/>
          <w:sz w:val="24"/>
          <w:szCs w:val="20"/>
        </w:rPr>
      </w:pPr>
      <w:r>
        <w:rPr>
          <w:rFonts w:ascii="仿宋" w:hAnsi="宋体" w:eastAsia="仿宋" w:cs="宋体"/>
          <w:b/>
          <w:bCs/>
          <w:sz w:val="24"/>
          <w:szCs w:val="28"/>
        </w:rPr>
        <w:t>属于监狱企业的证明文件</w:t>
      </w:r>
    </w:p>
    <w:p w14:paraId="77D1A7D2">
      <w:pPr>
        <w:spacing w:line="560" w:lineRule="exact"/>
        <w:ind w:firstLine="482"/>
        <w:rPr>
          <w:rFonts w:ascii="仿宋" w:eastAsia="仿宋"/>
          <w:sz w:val="24"/>
          <w:szCs w:val="20"/>
        </w:rPr>
      </w:pPr>
      <w:r>
        <w:rPr>
          <w:rFonts w:ascii="仿宋" w:hAnsi="宋体" w:eastAsia="仿宋" w:cs="宋体"/>
          <w:sz w:val="24"/>
          <w:szCs w:val="20"/>
        </w:rPr>
        <w:t>（提供由省级以上监狱管理局、戒毒管理局</w:t>
      </w:r>
      <w:r>
        <w:rPr>
          <w:rFonts w:hint="eastAsia" w:ascii="仿宋" w:hAnsi="宋体" w:eastAsia="仿宋" w:cs="宋体"/>
          <w:sz w:val="24"/>
          <w:szCs w:val="20"/>
        </w:rPr>
        <w:t>（</w:t>
      </w:r>
      <w:r>
        <w:rPr>
          <w:rFonts w:ascii="仿宋" w:hAnsi="宋体" w:eastAsia="仿宋" w:cs="宋体"/>
          <w:sz w:val="24"/>
          <w:szCs w:val="20"/>
        </w:rPr>
        <w:t>含新疆生产建设兵团</w:t>
      </w:r>
      <w:r>
        <w:rPr>
          <w:rFonts w:hint="eastAsia" w:ascii="仿宋" w:hAnsi="宋体" w:eastAsia="仿宋" w:cs="宋体"/>
          <w:sz w:val="24"/>
          <w:szCs w:val="20"/>
        </w:rPr>
        <w:t>）</w:t>
      </w:r>
      <w:r>
        <w:rPr>
          <w:rFonts w:ascii="仿宋" w:hAnsi="宋体" w:eastAsia="仿宋" w:cs="宋体"/>
          <w:sz w:val="24"/>
          <w:szCs w:val="20"/>
        </w:rPr>
        <w:t>出具的属于监狱企业的证明文件）</w:t>
      </w:r>
    </w:p>
    <w:p w14:paraId="626A6F2F">
      <w:pPr>
        <w:spacing w:line="560" w:lineRule="exact"/>
        <w:ind w:firstLine="482"/>
        <w:rPr>
          <w:rFonts w:ascii="仿宋" w:eastAsia="仿宋"/>
          <w:sz w:val="24"/>
          <w:szCs w:val="20"/>
        </w:rPr>
      </w:pPr>
      <w:r>
        <w:rPr>
          <w:rFonts w:ascii="仿宋" w:hAnsi="宋体" w:eastAsia="仿宋" w:cs="宋体"/>
          <w:b/>
          <w:bCs/>
          <w:sz w:val="24"/>
          <w:szCs w:val="28"/>
        </w:rPr>
        <w:t>节能产品认证证书</w:t>
      </w:r>
    </w:p>
    <w:p w14:paraId="5EA8211A">
      <w:pPr>
        <w:spacing w:line="560" w:lineRule="exact"/>
        <w:ind w:firstLine="482"/>
        <w:rPr>
          <w:rFonts w:ascii="仿宋" w:eastAsia="仿宋"/>
          <w:sz w:val="24"/>
          <w:szCs w:val="20"/>
        </w:rPr>
      </w:pPr>
      <w:r>
        <w:rPr>
          <w:rFonts w:ascii="仿宋" w:hAnsi="宋体" w:eastAsia="仿宋" w:cs="宋体"/>
          <w:sz w:val="24"/>
          <w:szCs w:val="21"/>
        </w:rPr>
        <w:t>（提供国家确定的认证机构出具的、处于有效期之内的产品认证证书）</w:t>
      </w:r>
    </w:p>
    <w:p w14:paraId="11298118">
      <w:pPr>
        <w:spacing w:line="560" w:lineRule="exact"/>
        <w:ind w:firstLine="482"/>
        <w:rPr>
          <w:rFonts w:ascii="仿宋" w:eastAsia="仿宋"/>
          <w:sz w:val="24"/>
          <w:szCs w:val="20"/>
        </w:rPr>
      </w:pPr>
      <w:r>
        <w:rPr>
          <w:rFonts w:ascii="仿宋" w:hAnsi="宋体" w:eastAsia="仿宋" w:cs="宋体"/>
          <w:b/>
          <w:bCs/>
          <w:sz w:val="24"/>
          <w:szCs w:val="28"/>
        </w:rPr>
        <w:t>环境标志产品认证证书</w:t>
      </w:r>
    </w:p>
    <w:p w14:paraId="5BA16444">
      <w:pPr>
        <w:spacing w:line="560" w:lineRule="exact"/>
        <w:ind w:firstLine="482"/>
        <w:rPr>
          <w:rFonts w:ascii="仿宋" w:eastAsia="仿宋"/>
          <w:sz w:val="24"/>
          <w:szCs w:val="20"/>
        </w:rPr>
      </w:pPr>
      <w:r>
        <w:rPr>
          <w:rFonts w:ascii="仿宋" w:hAnsi="宋体" w:eastAsia="仿宋" w:cs="宋体"/>
          <w:sz w:val="24"/>
          <w:szCs w:val="21"/>
        </w:rPr>
        <w:t>（提供国家确定的认证机构出具的、处于有效期之内的产品认证证书）</w:t>
      </w:r>
    </w:p>
    <w:p w14:paraId="708C0D5B">
      <w:pPr>
        <w:spacing w:line="560" w:lineRule="exact"/>
        <w:ind w:firstLine="482"/>
        <w:rPr>
          <w:rFonts w:ascii="仿宋" w:eastAsia="仿宋"/>
          <w:sz w:val="24"/>
          <w:szCs w:val="20"/>
        </w:rPr>
      </w:pPr>
      <w:r>
        <w:rPr>
          <w:rFonts w:ascii="仿宋" w:hAnsi="宋体" w:eastAsia="仿宋" w:cs="宋体"/>
          <w:b/>
          <w:bCs/>
          <w:sz w:val="24"/>
          <w:szCs w:val="28"/>
        </w:rPr>
        <w:t>进口产品转让技术、消化吸收再创新方案</w:t>
      </w:r>
    </w:p>
    <w:p w14:paraId="7A63B780">
      <w:pPr>
        <w:spacing w:line="560" w:lineRule="exact"/>
        <w:ind w:firstLine="482"/>
        <w:rPr>
          <w:rFonts w:ascii="仿宋" w:eastAsia="仿宋"/>
          <w:sz w:val="24"/>
          <w:szCs w:val="20"/>
        </w:rPr>
      </w:pPr>
      <w:r>
        <w:rPr>
          <w:rFonts w:ascii="仿宋" w:hAnsi="宋体" w:eastAsia="仿宋" w:cs="宋体"/>
          <w:sz w:val="24"/>
          <w:szCs w:val="21"/>
        </w:rPr>
        <w:t>（对于允许进口产品参加的项目）</w:t>
      </w:r>
    </w:p>
    <w:p w14:paraId="1930FA71">
      <w:pPr>
        <w:spacing w:line="560" w:lineRule="exact"/>
        <w:ind w:firstLine="482"/>
        <w:rPr>
          <w:rFonts w:ascii="仿宋" w:hAnsi="宋体" w:eastAsia="仿宋" w:cs="宋体"/>
          <w:b/>
          <w:bCs/>
          <w:sz w:val="24"/>
          <w:szCs w:val="32"/>
        </w:rPr>
      </w:pPr>
      <w:bookmarkStart w:id="37" w:name="page50"/>
      <w:bookmarkEnd w:id="37"/>
    </w:p>
    <w:p w14:paraId="584A96B7">
      <w:pPr>
        <w:spacing w:line="560" w:lineRule="exact"/>
        <w:ind w:firstLine="482"/>
        <w:rPr>
          <w:rFonts w:ascii="仿宋" w:hAnsi="宋体" w:eastAsia="仿宋" w:cs="宋体"/>
          <w:b/>
          <w:bCs/>
          <w:sz w:val="24"/>
          <w:szCs w:val="32"/>
        </w:rPr>
      </w:pPr>
    </w:p>
    <w:p w14:paraId="7FB0ED63">
      <w:pPr>
        <w:spacing w:line="560" w:lineRule="exact"/>
        <w:ind w:firstLine="482"/>
        <w:rPr>
          <w:rFonts w:ascii="仿宋" w:hAnsi="宋体" w:eastAsia="仿宋" w:cs="宋体"/>
          <w:b/>
          <w:bCs/>
          <w:sz w:val="24"/>
          <w:szCs w:val="32"/>
        </w:rPr>
      </w:pPr>
    </w:p>
    <w:p w14:paraId="5CD734E3">
      <w:pPr>
        <w:spacing w:line="560" w:lineRule="exact"/>
        <w:ind w:firstLine="482"/>
        <w:rPr>
          <w:rFonts w:ascii="仿宋" w:hAnsi="宋体" w:eastAsia="仿宋" w:cs="宋体"/>
          <w:b/>
          <w:bCs/>
          <w:sz w:val="24"/>
          <w:szCs w:val="32"/>
        </w:rPr>
      </w:pPr>
    </w:p>
    <w:p w14:paraId="06C7479E">
      <w:pPr>
        <w:spacing w:line="560" w:lineRule="exact"/>
        <w:ind w:firstLine="482"/>
        <w:rPr>
          <w:rFonts w:ascii="仿宋" w:hAnsi="宋体" w:eastAsia="仿宋" w:cs="宋体"/>
          <w:b/>
          <w:bCs/>
          <w:sz w:val="24"/>
          <w:szCs w:val="32"/>
        </w:rPr>
      </w:pPr>
    </w:p>
    <w:p w14:paraId="1FC2676B">
      <w:pPr>
        <w:spacing w:line="560" w:lineRule="exact"/>
        <w:ind w:firstLine="482"/>
        <w:rPr>
          <w:rFonts w:ascii="仿宋" w:hAnsi="宋体" w:eastAsia="仿宋" w:cs="宋体"/>
          <w:b/>
          <w:bCs/>
          <w:sz w:val="24"/>
          <w:szCs w:val="32"/>
        </w:rPr>
      </w:pPr>
    </w:p>
    <w:p w14:paraId="1FE25E47">
      <w:pPr>
        <w:spacing w:line="560" w:lineRule="exact"/>
        <w:ind w:firstLine="482"/>
        <w:rPr>
          <w:rFonts w:ascii="仿宋" w:hAnsi="宋体" w:eastAsia="仿宋" w:cs="宋体"/>
          <w:b/>
          <w:bCs/>
          <w:sz w:val="24"/>
          <w:szCs w:val="32"/>
        </w:rPr>
      </w:pPr>
    </w:p>
    <w:p w14:paraId="11861C44">
      <w:pPr>
        <w:spacing w:line="560" w:lineRule="exact"/>
        <w:ind w:firstLine="482"/>
        <w:rPr>
          <w:rFonts w:ascii="仿宋" w:hAnsi="宋体" w:eastAsia="仿宋" w:cs="宋体"/>
          <w:b/>
          <w:bCs/>
          <w:sz w:val="24"/>
          <w:szCs w:val="32"/>
        </w:rPr>
      </w:pPr>
    </w:p>
    <w:p w14:paraId="6549BCC8">
      <w:pPr>
        <w:spacing w:line="560" w:lineRule="exact"/>
        <w:ind w:firstLine="482"/>
        <w:rPr>
          <w:rFonts w:ascii="仿宋" w:hAnsi="宋体" w:eastAsia="仿宋" w:cs="宋体"/>
          <w:b/>
          <w:bCs/>
          <w:sz w:val="24"/>
          <w:szCs w:val="32"/>
        </w:rPr>
      </w:pPr>
    </w:p>
    <w:p w14:paraId="749942CE">
      <w:pPr>
        <w:spacing w:line="560" w:lineRule="exact"/>
        <w:ind w:firstLine="482"/>
        <w:rPr>
          <w:rFonts w:ascii="仿宋" w:hAnsi="宋体" w:eastAsia="仿宋" w:cs="宋体"/>
          <w:b/>
          <w:bCs/>
          <w:sz w:val="24"/>
          <w:szCs w:val="32"/>
        </w:rPr>
      </w:pPr>
    </w:p>
    <w:p w14:paraId="003B9C88">
      <w:pPr>
        <w:spacing w:line="560" w:lineRule="exact"/>
        <w:ind w:firstLine="482"/>
        <w:rPr>
          <w:rFonts w:ascii="仿宋" w:hAnsi="宋体" w:eastAsia="仿宋" w:cs="宋体"/>
          <w:b/>
          <w:bCs/>
          <w:sz w:val="24"/>
          <w:szCs w:val="32"/>
        </w:rPr>
      </w:pPr>
    </w:p>
    <w:p w14:paraId="3D1B4F84">
      <w:pPr>
        <w:spacing w:line="560" w:lineRule="exact"/>
        <w:ind w:firstLine="482"/>
        <w:rPr>
          <w:rFonts w:ascii="仿宋" w:hAnsi="宋体" w:eastAsia="仿宋" w:cs="宋体"/>
          <w:b/>
          <w:bCs/>
          <w:sz w:val="24"/>
          <w:szCs w:val="32"/>
        </w:rPr>
      </w:pPr>
    </w:p>
    <w:p w14:paraId="14A0901D">
      <w:pPr>
        <w:pStyle w:val="7"/>
        <w:ind w:firstLine="241"/>
        <w:rPr>
          <w:rFonts w:ascii="仿宋" w:hAnsi="宋体" w:eastAsia="仿宋" w:cs="宋体"/>
          <w:b/>
          <w:bCs/>
          <w:sz w:val="24"/>
          <w:szCs w:val="32"/>
        </w:rPr>
      </w:pPr>
    </w:p>
    <w:p w14:paraId="3E88AA73">
      <w:pPr>
        <w:pStyle w:val="7"/>
        <w:ind w:firstLine="241"/>
        <w:rPr>
          <w:rFonts w:ascii="仿宋" w:hAnsi="宋体" w:eastAsia="仿宋" w:cs="宋体"/>
          <w:b/>
          <w:bCs/>
          <w:sz w:val="24"/>
          <w:szCs w:val="32"/>
        </w:rPr>
      </w:pPr>
    </w:p>
    <w:p w14:paraId="16A9EDB6">
      <w:pPr>
        <w:pStyle w:val="7"/>
        <w:ind w:firstLine="241"/>
        <w:rPr>
          <w:rFonts w:ascii="仿宋" w:hAnsi="宋体" w:eastAsia="仿宋" w:cs="宋体"/>
          <w:b/>
          <w:bCs/>
          <w:sz w:val="24"/>
          <w:szCs w:val="32"/>
        </w:rPr>
      </w:pPr>
    </w:p>
    <w:p w14:paraId="5EF085C6">
      <w:pPr>
        <w:pStyle w:val="7"/>
        <w:ind w:firstLine="241"/>
        <w:rPr>
          <w:rFonts w:ascii="仿宋" w:hAnsi="宋体" w:eastAsia="仿宋" w:cs="宋体"/>
          <w:b/>
          <w:bCs/>
          <w:sz w:val="24"/>
          <w:szCs w:val="32"/>
        </w:rPr>
      </w:pPr>
    </w:p>
    <w:p w14:paraId="7550C7BC">
      <w:pPr>
        <w:spacing w:line="560" w:lineRule="exact"/>
        <w:ind w:firstLine="482"/>
        <w:rPr>
          <w:rFonts w:ascii="仿宋" w:hAnsi="宋体" w:eastAsia="仿宋" w:cs="宋体"/>
          <w:b/>
          <w:bCs/>
          <w:sz w:val="24"/>
          <w:szCs w:val="32"/>
        </w:rPr>
      </w:pPr>
    </w:p>
    <w:p w14:paraId="25519222">
      <w:pPr>
        <w:spacing w:line="560" w:lineRule="exact"/>
        <w:ind w:firstLine="482"/>
        <w:rPr>
          <w:rFonts w:hint="eastAsia" w:ascii="仿宋" w:hAnsi="宋体" w:eastAsia="仿宋" w:cs="宋体"/>
          <w:b/>
          <w:bCs/>
          <w:sz w:val="24"/>
          <w:szCs w:val="32"/>
        </w:rPr>
      </w:pPr>
    </w:p>
    <w:p w14:paraId="3F8D1277">
      <w:pPr>
        <w:spacing w:line="560" w:lineRule="exact"/>
        <w:rPr>
          <w:rFonts w:hint="eastAsia" w:ascii="仿宋" w:hAnsi="宋体" w:eastAsia="仿宋" w:cs="宋体"/>
          <w:b/>
          <w:bCs/>
          <w:sz w:val="24"/>
          <w:szCs w:val="32"/>
        </w:rPr>
      </w:pPr>
    </w:p>
    <w:p w14:paraId="12AD3588">
      <w:pPr>
        <w:spacing w:line="560" w:lineRule="exact"/>
        <w:rPr>
          <w:rFonts w:hint="eastAsia" w:ascii="仿宋" w:hAnsi="宋体" w:eastAsia="仿宋" w:cs="宋体"/>
          <w:b/>
          <w:bCs/>
          <w:sz w:val="24"/>
          <w:szCs w:val="32"/>
        </w:rPr>
      </w:pPr>
    </w:p>
    <w:p w14:paraId="69EC2209">
      <w:pPr>
        <w:spacing w:line="560" w:lineRule="exact"/>
        <w:ind w:firstLine="482"/>
        <w:rPr>
          <w:rFonts w:ascii="仿宋" w:eastAsia="仿宋"/>
          <w:sz w:val="24"/>
          <w:szCs w:val="20"/>
        </w:rPr>
      </w:pPr>
      <w:r>
        <w:rPr>
          <w:rFonts w:ascii="仿宋" w:hAnsi="宋体" w:eastAsia="仿宋" w:cs="宋体"/>
          <w:b/>
          <w:bCs/>
          <w:sz w:val="24"/>
          <w:szCs w:val="32"/>
        </w:rPr>
        <w:t>附件十、无重大违法记录声明格式</w:t>
      </w:r>
    </w:p>
    <w:p w14:paraId="6A00043A">
      <w:pPr>
        <w:spacing w:line="560" w:lineRule="exact"/>
        <w:ind w:firstLine="482"/>
        <w:rPr>
          <w:rFonts w:ascii="仿宋" w:eastAsia="仿宋"/>
          <w:sz w:val="24"/>
          <w:szCs w:val="20"/>
        </w:rPr>
      </w:pPr>
      <w:r>
        <w:rPr>
          <w:rFonts w:ascii="仿宋" w:hAnsi="宋体" w:eastAsia="仿宋" w:cs="宋体"/>
          <w:b/>
          <w:bCs/>
          <w:sz w:val="24"/>
          <w:szCs w:val="32"/>
        </w:rPr>
        <w:t>无重大违法记录声明</w:t>
      </w:r>
    </w:p>
    <w:p w14:paraId="77CDC758">
      <w:pPr>
        <w:spacing w:line="560" w:lineRule="exact"/>
        <w:ind w:firstLine="482"/>
        <w:rPr>
          <w:rFonts w:hint="eastAsia" w:ascii="仿宋" w:eastAsia="仿宋"/>
          <w:sz w:val="24"/>
          <w:szCs w:val="20"/>
          <w:lang w:eastAsia="zh-CN"/>
        </w:rPr>
      </w:pPr>
      <w:r>
        <w:rPr>
          <w:rFonts w:ascii="仿宋" w:hAnsi="宋体" w:eastAsia="仿宋" w:cs="宋体"/>
          <w:sz w:val="24"/>
          <w:szCs w:val="21"/>
        </w:rPr>
        <w:t>致：</w:t>
      </w:r>
      <w:r>
        <w:rPr>
          <w:rFonts w:hint="eastAsia" w:ascii="仿宋" w:hAnsi="宋体" w:eastAsia="仿宋" w:cs="宋体"/>
          <w:sz w:val="24"/>
          <w:szCs w:val="21"/>
          <w:lang w:eastAsia="zh-CN"/>
        </w:rPr>
        <w:t>南京市玄武生态环境局</w:t>
      </w:r>
    </w:p>
    <w:p w14:paraId="282269C5">
      <w:pPr>
        <w:spacing w:line="560" w:lineRule="exact"/>
        <w:ind w:firstLine="482"/>
        <w:rPr>
          <w:rFonts w:hint="eastAsia" w:ascii="仿宋" w:eastAsia="仿宋"/>
          <w:sz w:val="24"/>
          <w:szCs w:val="20"/>
          <w:lang w:eastAsia="zh-CN"/>
        </w:rPr>
      </w:pPr>
      <w:r>
        <w:rPr>
          <w:rFonts w:hint="eastAsia" w:ascii="仿宋" w:hAnsi="宋体" w:eastAsia="仿宋" w:cs="宋体"/>
          <w:sz w:val="24"/>
          <w:szCs w:val="21"/>
          <w:lang w:eastAsia="zh-CN"/>
        </w:rPr>
        <w:t>江苏省苏辰建设投资顾问有限公司</w:t>
      </w:r>
    </w:p>
    <w:p w14:paraId="12ADC28D">
      <w:pPr>
        <w:spacing w:line="560" w:lineRule="exact"/>
        <w:ind w:firstLine="482"/>
        <w:rPr>
          <w:rFonts w:ascii="仿宋" w:eastAsia="仿宋"/>
          <w:sz w:val="24"/>
          <w:szCs w:val="20"/>
        </w:rPr>
      </w:pPr>
      <w:r>
        <w:rPr>
          <w:rFonts w:ascii="仿宋" w:hAnsi="宋体" w:eastAsia="仿宋" w:cs="宋体"/>
          <w:sz w:val="24"/>
          <w:szCs w:val="21"/>
        </w:rPr>
        <w:t>我单位（供应商名称）郑重声明：</w:t>
      </w:r>
    </w:p>
    <w:p w14:paraId="0379E74E">
      <w:pPr>
        <w:spacing w:line="560" w:lineRule="exact"/>
        <w:ind w:firstLine="482"/>
        <w:rPr>
          <w:rFonts w:ascii="仿宋" w:eastAsia="仿宋"/>
          <w:sz w:val="24"/>
          <w:szCs w:val="20"/>
        </w:rPr>
      </w:pPr>
      <w:r>
        <w:rPr>
          <w:rFonts w:ascii="仿宋" w:hAnsi="宋体" w:eastAsia="仿宋" w:cs="宋体"/>
          <w:sz w:val="24"/>
          <w:szCs w:val="20"/>
        </w:rPr>
        <w:t>参加政府采购活动前 3 年内在经营活动中（在下划线上如实填写：有或没有）重大违法记录。（说明：政府采购法第二十二条第一款第五项所称重大违法记录，是指供应商因违法经营受到刑</w:t>
      </w:r>
    </w:p>
    <w:p w14:paraId="4950EDB4">
      <w:pPr>
        <w:spacing w:line="560" w:lineRule="exact"/>
        <w:ind w:firstLine="482"/>
        <w:rPr>
          <w:rFonts w:ascii="仿宋" w:hAnsi="宋体" w:eastAsia="仿宋" w:cs="宋体"/>
          <w:sz w:val="24"/>
          <w:szCs w:val="21"/>
        </w:rPr>
      </w:pPr>
      <w:r>
        <w:rPr>
          <w:rFonts w:ascii="仿宋" w:hAnsi="宋体" w:eastAsia="仿宋" w:cs="宋体"/>
          <w:sz w:val="24"/>
          <w:szCs w:val="21"/>
        </w:rPr>
        <w:t>事处罚或者责令停产停业、吊销许可证或者执照、较大数额罚款等行政处罚。）</w:t>
      </w:r>
    </w:p>
    <w:p w14:paraId="1C682144">
      <w:pPr>
        <w:spacing w:line="560" w:lineRule="exact"/>
        <w:ind w:firstLine="482"/>
        <w:rPr>
          <w:rFonts w:ascii="仿宋" w:hAnsi="宋体" w:eastAsia="仿宋" w:cs="宋体"/>
          <w:sz w:val="24"/>
          <w:szCs w:val="21"/>
        </w:rPr>
      </w:pPr>
    </w:p>
    <w:p w14:paraId="5CF9940B">
      <w:pPr>
        <w:spacing w:line="560" w:lineRule="exact"/>
        <w:ind w:firstLine="482"/>
        <w:jc w:val="right"/>
        <w:rPr>
          <w:rFonts w:ascii="仿宋" w:hAnsi="宋体" w:eastAsia="仿宋" w:cs="宋体"/>
          <w:sz w:val="24"/>
          <w:szCs w:val="21"/>
        </w:rPr>
      </w:pPr>
      <w:r>
        <w:rPr>
          <w:rFonts w:ascii="仿宋" w:hAnsi="宋体" w:eastAsia="仿宋" w:cs="宋体"/>
          <w:sz w:val="24"/>
          <w:szCs w:val="21"/>
        </w:rPr>
        <w:t>声明人： （公章）</w:t>
      </w:r>
    </w:p>
    <w:p w14:paraId="505EF426">
      <w:pPr>
        <w:spacing w:line="560" w:lineRule="exact"/>
        <w:ind w:firstLine="482"/>
        <w:jc w:val="right"/>
        <w:rPr>
          <w:rFonts w:ascii="仿宋" w:hAnsi="宋体" w:eastAsia="仿宋" w:cs="宋体"/>
          <w:sz w:val="24"/>
          <w:szCs w:val="21"/>
        </w:rPr>
      </w:pPr>
      <w:r>
        <w:rPr>
          <w:rFonts w:ascii="仿宋" w:hAnsi="宋体" w:eastAsia="仿宋" w:cs="宋体"/>
          <w:sz w:val="24"/>
          <w:szCs w:val="21"/>
        </w:rPr>
        <w:t>日期：</w:t>
      </w:r>
      <w:r>
        <w:rPr>
          <w:rFonts w:ascii="仿宋" w:hAnsi="宋体" w:eastAsia="仿宋" w:cs="宋体"/>
          <w:sz w:val="24"/>
          <w:szCs w:val="21"/>
        </w:rPr>
        <w:tab/>
      </w:r>
      <w:r>
        <w:rPr>
          <w:rFonts w:ascii="仿宋" w:hAnsi="宋体" w:eastAsia="仿宋" w:cs="宋体"/>
          <w:sz w:val="24"/>
          <w:szCs w:val="21"/>
        </w:rPr>
        <w:t>年</w:t>
      </w:r>
      <w:r>
        <w:rPr>
          <w:rFonts w:ascii="仿宋" w:hAnsi="宋体" w:eastAsia="仿宋" w:cs="宋体"/>
          <w:sz w:val="24"/>
          <w:szCs w:val="21"/>
        </w:rPr>
        <w:tab/>
      </w:r>
      <w:r>
        <w:rPr>
          <w:rFonts w:ascii="仿宋" w:hAnsi="宋体" w:eastAsia="仿宋" w:cs="宋体"/>
          <w:sz w:val="24"/>
          <w:szCs w:val="21"/>
        </w:rPr>
        <w:t>月</w:t>
      </w:r>
      <w:r>
        <w:rPr>
          <w:rFonts w:ascii="仿宋" w:hAnsi="宋体" w:eastAsia="仿宋" w:cs="宋体"/>
          <w:sz w:val="24"/>
          <w:szCs w:val="21"/>
        </w:rPr>
        <w:tab/>
      </w:r>
      <w:r>
        <w:rPr>
          <w:rFonts w:ascii="仿宋" w:hAnsi="宋体" w:eastAsia="仿宋" w:cs="宋体"/>
          <w:sz w:val="24"/>
          <w:szCs w:val="21"/>
        </w:rPr>
        <w:t>日</w:t>
      </w:r>
    </w:p>
    <w:p w14:paraId="44694136">
      <w:pPr>
        <w:spacing w:line="111" w:lineRule="exact"/>
        <w:ind w:firstLine="400" w:firstLineChars="200"/>
        <w:rPr>
          <w:sz w:val="20"/>
          <w:szCs w:val="20"/>
        </w:rPr>
      </w:pPr>
      <w:bookmarkStart w:id="38" w:name="page51"/>
      <w:bookmarkEnd w:id="38"/>
    </w:p>
    <w:p w14:paraId="18D3FA8B">
      <w:pPr>
        <w:spacing w:line="111" w:lineRule="exact"/>
        <w:ind w:firstLine="400" w:firstLineChars="200"/>
        <w:rPr>
          <w:sz w:val="20"/>
          <w:szCs w:val="20"/>
        </w:rPr>
      </w:pPr>
    </w:p>
    <w:p w14:paraId="4D2A0F53">
      <w:pPr>
        <w:spacing w:line="111" w:lineRule="exact"/>
        <w:ind w:firstLine="400" w:firstLineChars="200"/>
        <w:rPr>
          <w:sz w:val="20"/>
          <w:szCs w:val="20"/>
        </w:rPr>
      </w:pPr>
    </w:p>
    <w:p w14:paraId="532BECC8">
      <w:pPr>
        <w:spacing w:line="111" w:lineRule="exact"/>
        <w:ind w:firstLine="400" w:firstLineChars="200"/>
        <w:rPr>
          <w:sz w:val="20"/>
          <w:szCs w:val="20"/>
        </w:rPr>
      </w:pPr>
    </w:p>
    <w:p w14:paraId="135761E5">
      <w:pPr>
        <w:spacing w:line="111" w:lineRule="exact"/>
        <w:ind w:firstLine="400" w:firstLineChars="200"/>
        <w:rPr>
          <w:sz w:val="20"/>
          <w:szCs w:val="20"/>
        </w:rPr>
      </w:pPr>
    </w:p>
    <w:p w14:paraId="67EE4151">
      <w:pPr>
        <w:spacing w:line="111" w:lineRule="exact"/>
        <w:ind w:firstLine="400" w:firstLineChars="200"/>
        <w:rPr>
          <w:sz w:val="20"/>
          <w:szCs w:val="20"/>
        </w:rPr>
      </w:pPr>
    </w:p>
    <w:p w14:paraId="6BB2A723">
      <w:pPr>
        <w:spacing w:line="111" w:lineRule="exact"/>
        <w:ind w:firstLine="400" w:firstLineChars="200"/>
        <w:rPr>
          <w:sz w:val="20"/>
          <w:szCs w:val="20"/>
        </w:rPr>
      </w:pPr>
    </w:p>
    <w:p w14:paraId="32B46F2A">
      <w:pPr>
        <w:spacing w:line="111" w:lineRule="exact"/>
        <w:ind w:firstLine="400" w:firstLineChars="200"/>
        <w:rPr>
          <w:sz w:val="20"/>
          <w:szCs w:val="20"/>
        </w:rPr>
      </w:pPr>
    </w:p>
    <w:p w14:paraId="30BF5FDB">
      <w:pPr>
        <w:spacing w:line="111" w:lineRule="exact"/>
        <w:ind w:firstLine="400" w:firstLineChars="200"/>
        <w:rPr>
          <w:sz w:val="20"/>
          <w:szCs w:val="20"/>
        </w:rPr>
      </w:pPr>
    </w:p>
    <w:p w14:paraId="2A4B3288">
      <w:pPr>
        <w:spacing w:line="111" w:lineRule="exact"/>
        <w:ind w:firstLine="400" w:firstLineChars="200"/>
        <w:rPr>
          <w:sz w:val="20"/>
          <w:szCs w:val="20"/>
        </w:rPr>
      </w:pPr>
    </w:p>
    <w:p w14:paraId="3158B4C7">
      <w:pPr>
        <w:spacing w:line="111" w:lineRule="exact"/>
        <w:ind w:firstLine="400" w:firstLineChars="200"/>
        <w:rPr>
          <w:sz w:val="20"/>
          <w:szCs w:val="20"/>
        </w:rPr>
      </w:pPr>
    </w:p>
    <w:p w14:paraId="6CCE9871">
      <w:pPr>
        <w:spacing w:line="111" w:lineRule="exact"/>
        <w:ind w:firstLine="400" w:firstLineChars="200"/>
        <w:rPr>
          <w:sz w:val="20"/>
          <w:szCs w:val="20"/>
        </w:rPr>
      </w:pPr>
    </w:p>
    <w:p w14:paraId="0FE27B23">
      <w:pPr>
        <w:spacing w:line="111" w:lineRule="exact"/>
        <w:ind w:firstLine="400" w:firstLineChars="200"/>
        <w:rPr>
          <w:sz w:val="20"/>
          <w:szCs w:val="20"/>
        </w:rPr>
      </w:pPr>
    </w:p>
    <w:p w14:paraId="00F59A00">
      <w:pPr>
        <w:spacing w:line="111" w:lineRule="exact"/>
        <w:ind w:firstLine="400" w:firstLineChars="200"/>
        <w:rPr>
          <w:sz w:val="20"/>
          <w:szCs w:val="20"/>
        </w:rPr>
      </w:pPr>
    </w:p>
    <w:p w14:paraId="10244A62">
      <w:pPr>
        <w:spacing w:line="111" w:lineRule="exact"/>
        <w:ind w:firstLine="400" w:firstLineChars="200"/>
        <w:rPr>
          <w:sz w:val="20"/>
          <w:szCs w:val="20"/>
        </w:rPr>
      </w:pPr>
    </w:p>
    <w:p w14:paraId="5F800A4E">
      <w:pPr>
        <w:spacing w:line="111" w:lineRule="exact"/>
        <w:ind w:firstLine="400" w:firstLineChars="200"/>
        <w:rPr>
          <w:sz w:val="20"/>
          <w:szCs w:val="20"/>
        </w:rPr>
      </w:pPr>
    </w:p>
    <w:p w14:paraId="45E2ECB9">
      <w:pPr>
        <w:spacing w:line="111" w:lineRule="exact"/>
        <w:ind w:firstLine="400" w:firstLineChars="200"/>
        <w:rPr>
          <w:sz w:val="20"/>
          <w:szCs w:val="20"/>
        </w:rPr>
      </w:pPr>
    </w:p>
    <w:p w14:paraId="19ED5829">
      <w:pPr>
        <w:spacing w:line="111" w:lineRule="exact"/>
        <w:ind w:firstLine="400" w:firstLineChars="200"/>
        <w:rPr>
          <w:sz w:val="20"/>
          <w:szCs w:val="20"/>
        </w:rPr>
      </w:pPr>
    </w:p>
    <w:p w14:paraId="7C69A914">
      <w:pPr>
        <w:spacing w:line="111" w:lineRule="exact"/>
        <w:ind w:firstLine="400" w:firstLineChars="200"/>
        <w:rPr>
          <w:sz w:val="20"/>
          <w:szCs w:val="20"/>
        </w:rPr>
      </w:pPr>
    </w:p>
    <w:p w14:paraId="482C0E08">
      <w:pPr>
        <w:spacing w:line="111" w:lineRule="exact"/>
        <w:ind w:firstLine="400" w:firstLineChars="200"/>
        <w:rPr>
          <w:sz w:val="20"/>
          <w:szCs w:val="20"/>
        </w:rPr>
      </w:pPr>
    </w:p>
    <w:p w14:paraId="23335CB3">
      <w:pPr>
        <w:spacing w:line="111" w:lineRule="exact"/>
        <w:ind w:firstLine="400" w:firstLineChars="200"/>
        <w:rPr>
          <w:sz w:val="20"/>
          <w:szCs w:val="20"/>
        </w:rPr>
      </w:pPr>
    </w:p>
    <w:p w14:paraId="6C48A33F">
      <w:pPr>
        <w:spacing w:line="111" w:lineRule="exact"/>
        <w:ind w:firstLine="400" w:firstLineChars="200"/>
        <w:rPr>
          <w:sz w:val="20"/>
          <w:szCs w:val="20"/>
        </w:rPr>
      </w:pPr>
    </w:p>
    <w:p w14:paraId="59F7962A">
      <w:pPr>
        <w:spacing w:line="111" w:lineRule="exact"/>
        <w:ind w:firstLine="400" w:firstLineChars="200"/>
        <w:rPr>
          <w:sz w:val="20"/>
          <w:szCs w:val="20"/>
        </w:rPr>
      </w:pPr>
    </w:p>
    <w:p w14:paraId="4CC86FD4">
      <w:pPr>
        <w:spacing w:line="111" w:lineRule="exact"/>
        <w:ind w:firstLine="400" w:firstLineChars="200"/>
        <w:rPr>
          <w:sz w:val="20"/>
          <w:szCs w:val="20"/>
        </w:rPr>
      </w:pPr>
    </w:p>
    <w:p w14:paraId="7F08A3E5">
      <w:pPr>
        <w:spacing w:line="111" w:lineRule="exact"/>
        <w:ind w:firstLine="400" w:firstLineChars="200"/>
        <w:rPr>
          <w:sz w:val="20"/>
          <w:szCs w:val="20"/>
        </w:rPr>
      </w:pPr>
    </w:p>
    <w:p w14:paraId="15C4B021">
      <w:pPr>
        <w:spacing w:line="111" w:lineRule="exact"/>
        <w:ind w:firstLine="400" w:firstLineChars="200"/>
        <w:rPr>
          <w:sz w:val="20"/>
          <w:szCs w:val="20"/>
        </w:rPr>
      </w:pPr>
    </w:p>
    <w:p w14:paraId="4A7AEB99">
      <w:pPr>
        <w:spacing w:line="111" w:lineRule="exact"/>
        <w:ind w:firstLine="400" w:firstLineChars="200"/>
        <w:rPr>
          <w:sz w:val="20"/>
          <w:szCs w:val="20"/>
        </w:rPr>
      </w:pPr>
    </w:p>
    <w:p w14:paraId="7390B9F3">
      <w:pPr>
        <w:spacing w:line="111" w:lineRule="exact"/>
        <w:ind w:firstLine="400" w:firstLineChars="200"/>
        <w:rPr>
          <w:sz w:val="20"/>
          <w:szCs w:val="20"/>
        </w:rPr>
      </w:pPr>
    </w:p>
    <w:p w14:paraId="0D26AA2C">
      <w:pPr>
        <w:spacing w:line="111" w:lineRule="exact"/>
        <w:ind w:firstLine="400" w:firstLineChars="200"/>
        <w:rPr>
          <w:sz w:val="20"/>
          <w:szCs w:val="20"/>
        </w:rPr>
      </w:pPr>
    </w:p>
    <w:p w14:paraId="22A25F43">
      <w:pPr>
        <w:spacing w:line="111" w:lineRule="exact"/>
        <w:ind w:firstLine="400" w:firstLineChars="200"/>
        <w:rPr>
          <w:sz w:val="20"/>
          <w:szCs w:val="20"/>
        </w:rPr>
      </w:pPr>
    </w:p>
    <w:p w14:paraId="159DD242">
      <w:pPr>
        <w:spacing w:line="111" w:lineRule="exact"/>
        <w:ind w:firstLine="400" w:firstLineChars="200"/>
        <w:rPr>
          <w:sz w:val="20"/>
          <w:szCs w:val="20"/>
        </w:rPr>
      </w:pPr>
    </w:p>
    <w:p w14:paraId="3A96EFB4">
      <w:pPr>
        <w:spacing w:line="111" w:lineRule="exact"/>
        <w:ind w:firstLine="400" w:firstLineChars="200"/>
        <w:rPr>
          <w:sz w:val="20"/>
          <w:szCs w:val="20"/>
        </w:rPr>
      </w:pPr>
    </w:p>
    <w:p w14:paraId="3E27E5EC">
      <w:pPr>
        <w:spacing w:line="111" w:lineRule="exact"/>
        <w:ind w:firstLine="400" w:firstLineChars="200"/>
        <w:rPr>
          <w:sz w:val="20"/>
          <w:szCs w:val="20"/>
        </w:rPr>
      </w:pPr>
    </w:p>
    <w:p w14:paraId="5B7CBB87">
      <w:pPr>
        <w:spacing w:line="111" w:lineRule="exact"/>
        <w:ind w:firstLine="400" w:firstLineChars="200"/>
        <w:rPr>
          <w:sz w:val="20"/>
          <w:szCs w:val="20"/>
        </w:rPr>
      </w:pPr>
    </w:p>
    <w:p w14:paraId="1844417E">
      <w:pPr>
        <w:spacing w:line="111" w:lineRule="exact"/>
        <w:ind w:firstLine="400" w:firstLineChars="200"/>
        <w:rPr>
          <w:sz w:val="20"/>
          <w:szCs w:val="20"/>
        </w:rPr>
      </w:pPr>
    </w:p>
    <w:p w14:paraId="6CD96E3B">
      <w:pPr>
        <w:spacing w:line="111" w:lineRule="exact"/>
        <w:ind w:firstLine="400" w:firstLineChars="200"/>
        <w:rPr>
          <w:sz w:val="20"/>
          <w:szCs w:val="20"/>
        </w:rPr>
      </w:pPr>
    </w:p>
    <w:p w14:paraId="586BB4E1">
      <w:pPr>
        <w:spacing w:line="111" w:lineRule="exact"/>
        <w:ind w:firstLine="400" w:firstLineChars="200"/>
        <w:rPr>
          <w:sz w:val="20"/>
          <w:szCs w:val="20"/>
        </w:rPr>
      </w:pPr>
    </w:p>
    <w:p w14:paraId="78D87D21">
      <w:pPr>
        <w:spacing w:line="111" w:lineRule="exact"/>
        <w:ind w:firstLine="400" w:firstLineChars="200"/>
        <w:rPr>
          <w:sz w:val="20"/>
          <w:szCs w:val="20"/>
        </w:rPr>
      </w:pPr>
    </w:p>
    <w:p w14:paraId="25D9BF7F">
      <w:pPr>
        <w:spacing w:line="111" w:lineRule="exact"/>
        <w:ind w:firstLine="400" w:firstLineChars="200"/>
        <w:rPr>
          <w:sz w:val="20"/>
          <w:szCs w:val="20"/>
        </w:rPr>
      </w:pPr>
    </w:p>
    <w:p w14:paraId="0B9BD998">
      <w:pPr>
        <w:spacing w:line="111" w:lineRule="exact"/>
        <w:ind w:firstLine="400" w:firstLineChars="200"/>
        <w:rPr>
          <w:sz w:val="20"/>
          <w:szCs w:val="20"/>
        </w:rPr>
      </w:pPr>
    </w:p>
    <w:p w14:paraId="31E3F814">
      <w:pPr>
        <w:spacing w:line="111" w:lineRule="exact"/>
        <w:ind w:firstLine="400" w:firstLineChars="200"/>
        <w:rPr>
          <w:sz w:val="20"/>
          <w:szCs w:val="20"/>
        </w:rPr>
      </w:pPr>
    </w:p>
    <w:p w14:paraId="02190DA3">
      <w:pPr>
        <w:spacing w:line="111" w:lineRule="exact"/>
        <w:ind w:firstLine="400" w:firstLineChars="200"/>
        <w:rPr>
          <w:sz w:val="20"/>
          <w:szCs w:val="20"/>
        </w:rPr>
      </w:pPr>
    </w:p>
    <w:p w14:paraId="38E8505B">
      <w:pPr>
        <w:spacing w:line="111" w:lineRule="exact"/>
        <w:ind w:firstLine="400" w:firstLineChars="200"/>
        <w:rPr>
          <w:sz w:val="20"/>
          <w:szCs w:val="20"/>
        </w:rPr>
      </w:pPr>
    </w:p>
    <w:p w14:paraId="30184C19">
      <w:pPr>
        <w:spacing w:line="111" w:lineRule="exact"/>
        <w:ind w:firstLine="400" w:firstLineChars="200"/>
        <w:rPr>
          <w:sz w:val="20"/>
          <w:szCs w:val="20"/>
        </w:rPr>
      </w:pPr>
    </w:p>
    <w:p w14:paraId="18774A7A">
      <w:pPr>
        <w:spacing w:line="111" w:lineRule="exact"/>
        <w:ind w:firstLine="400" w:firstLineChars="200"/>
        <w:rPr>
          <w:sz w:val="20"/>
          <w:szCs w:val="20"/>
        </w:rPr>
      </w:pPr>
    </w:p>
    <w:p w14:paraId="28400A91">
      <w:pPr>
        <w:spacing w:line="111" w:lineRule="exact"/>
        <w:ind w:firstLine="400" w:firstLineChars="200"/>
        <w:rPr>
          <w:sz w:val="20"/>
          <w:szCs w:val="20"/>
        </w:rPr>
      </w:pPr>
    </w:p>
    <w:p w14:paraId="3E4A93EC">
      <w:pPr>
        <w:spacing w:line="111" w:lineRule="exact"/>
        <w:ind w:firstLine="400" w:firstLineChars="200"/>
        <w:rPr>
          <w:sz w:val="20"/>
          <w:szCs w:val="20"/>
        </w:rPr>
      </w:pPr>
    </w:p>
    <w:p w14:paraId="66DE5FCD">
      <w:pPr>
        <w:spacing w:line="111" w:lineRule="exact"/>
        <w:ind w:firstLine="400" w:firstLineChars="200"/>
        <w:rPr>
          <w:sz w:val="20"/>
          <w:szCs w:val="20"/>
        </w:rPr>
      </w:pPr>
    </w:p>
    <w:p w14:paraId="56B3DC2A">
      <w:pPr>
        <w:spacing w:line="111" w:lineRule="exact"/>
        <w:ind w:firstLine="400" w:firstLineChars="200"/>
        <w:rPr>
          <w:sz w:val="20"/>
          <w:szCs w:val="20"/>
        </w:rPr>
      </w:pPr>
    </w:p>
    <w:p w14:paraId="56D6712E">
      <w:pPr>
        <w:spacing w:line="111" w:lineRule="exact"/>
        <w:ind w:firstLine="400" w:firstLineChars="200"/>
        <w:rPr>
          <w:sz w:val="20"/>
          <w:szCs w:val="20"/>
        </w:rPr>
      </w:pPr>
    </w:p>
    <w:p w14:paraId="2FE03C2F">
      <w:pPr>
        <w:spacing w:line="111" w:lineRule="exact"/>
        <w:ind w:firstLine="400" w:firstLineChars="200"/>
        <w:rPr>
          <w:sz w:val="20"/>
          <w:szCs w:val="20"/>
        </w:rPr>
      </w:pPr>
    </w:p>
    <w:p w14:paraId="3B0E34B7">
      <w:pPr>
        <w:spacing w:line="111" w:lineRule="exact"/>
        <w:ind w:firstLine="400" w:firstLineChars="200"/>
        <w:rPr>
          <w:sz w:val="20"/>
          <w:szCs w:val="20"/>
        </w:rPr>
      </w:pPr>
    </w:p>
    <w:p w14:paraId="425C2FC1">
      <w:pPr>
        <w:spacing w:line="111" w:lineRule="exact"/>
        <w:ind w:firstLine="400" w:firstLineChars="200"/>
        <w:rPr>
          <w:sz w:val="20"/>
          <w:szCs w:val="20"/>
        </w:rPr>
      </w:pPr>
    </w:p>
    <w:p w14:paraId="3E5A1551">
      <w:pPr>
        <w:spacing w:line="111" w:lineRule="exact"/>
        <w:ind w:firstLine="400" w:firstLineChars="200"/>
        <w:rPr>
          <w:sz w:val="20"/>
          <w:szCs w:val="20"/>
        </w:rPr>
      </w:pPr>
    </w:p>
    <w:p w14:paraId="0D7B1F25">
      <w:pPr>
        <w:spacing w:line="111" w:lineRule="exact"/>
        <w:ind w:firstLine="400" w:firstLineChars="200"/>
        <w:rPr>
          <w:sz w:val="20"/>
          <w:szCs w:val="20"/>
        </w:rPr>
      </w:pPr>
    </w:p>
    <w:p w14:paraId="6E331728">
      <w:pPr>
        <w:spacing w:line="111" w:lineRule="exact"/>
        <w:ind w:firstLine="400" w:firstLineChars="200"/>
        <w:rPr>
          <w:sz w:val="20"/>
          <w:szCs w:val="20"/>
        </w:rPr>
      </w:pPr>
    </w:p>
    <w:p w14:paraId="4A4CCCDC">
      <w:pPr>
        <w:spacing w:line="111" w:lineRule="exact"/>
        <w:ind w:firstLine="400" w:firstLineChars="200"/>
        <w:rPr>
          <w:sz w:val="20"/>
          <w:szCs w:val="20"/>
        </w:rPr>
      </w:pPr>
    </w:p>
    <w:p w14:paraId="17864966">
      <w:pPr>
        <w:spacing w:line="111" w:lineRule="exact"/>
        <w:ind w:firstLine="400" w:firstLineChars="200"/>
        <w:rPr>
          <w:sz w:val="20"/>
          <w:szCs w:val="20"/>
        </w:rPr>
      </w:pPr>
    </w:p>
    <w:p w14:paraId="60E21025">
      <w:pPr>
        <w:spacing w:line="111" w:lineRule="exact"/>
        <w:ind w:firstLine="400" w:firstLineChars="200"/>
        <w:rPr>
          <w:sz w:val="20"/>
          <w:szCs w:val="20"/>
        </w:rPr>
      </w:pPr>
    </w:p>
    <w:p w14:paraId="24B3D233">
      <w:pPr>
        <w:spacing w:line="111" w:lineRule="exact"/>
        <w:ind w:firstLine="400" w:firstLineChars="200"/>
        <w:rPr>
          <w:sz w:val="20"/>
          <w:szCs w:val="20"/>
        </w:rPr>
      </w:pPr>
    </w:p>
    <w:p w14:paraId="7E328153">
      <w:pPr>
        <w:spacing w:line="111" w:lineRule="exact"/>
        <w:ind w:firstLine="400" w:firstLineChars="200"/>
        <w:rPr>
          <w:sz w:val="20"/>
          <w:szCs w:val="20"/>
        </w:rPr>
      </w:pPr>
    </w:p>
    <w:p w14:paraId="46B11041">
      <w:pPr>
        <w:spacing w:line="111" w:lineRule="exact"/>
        <w:ind w:firstLine="400" w:firstLineChars="200"/>
        <w:rPr>
          <w:sz w:val="20"/>
          <w:szCs w:val="20"/>
        </w:rPr>
      </w:pPr>
    </w:p>
    <w:p w14:paraId="0176A95C">
      <w:pPr>
        <w:spacing w:line="111" w:lineRule="exact"/>
        <w:ind w:firstLine="400" w:firstLineChars="200"/>
        <w:rPr>
          <w:sz w:val="20"/>
          <w:szCs w:val="20"/>
        </w:rPr>
      </w:pPr>
    </w:p>
    <w:p w14:paraId="76FF17C5">
      <w:pPr>
        <w:spacing w:line="111" w:lineRule="exact"/>
        <w:ind w:firstLine="400" w:firstLineChars="200"/>
        <w:rPr>
          <w:sz w:val="20"/>
          <w:szCs w:val="20"/>
        </w:rPr>
      </w:pPr>
    </w:p>
    <w:p w14:paraId="19600BCD">
      <w:pPr>
        <w:spacing w:line="111" w:lineRule="exact"/>
        <w:ind w:firstLine="400" w:firstLineChars="200"/>
        <w:rPr>
          <w:sz w:val="20"/>
          <w:szCs w:val="20"/>
        </w:rPr>
      </w:pPr>
    </w:p>
    <w:p w14:paraId="58E49D92">
      <w:pPr>
        <w:spacing w:line="111" w:lineRule="exact"/>
        <w:ind w:firstLine="400" w:firstLineChars="200"/>
        <w:rPr>
          <w:sz w:val="20"/>
          <w:szCs w:val="20"/>
        </w:rPr>
      </w:pPr>
    </w:p>
    <w:p w14:paraId="4880D3D4">
      <w:pPr>
        <w:spacing w:line="111" w:lineRule="exact"/>
        <w:ind w:firstLine="400" w:firstLineChars="200"/>
        <w:rPr>
          <w:sz w:val="20"/>
          <w:szCs w:val="20"/>
        </w:rPr>
      </w:pPr>
    </w:p>
    <w:p w14:paraId="40E95739">
      <w:pPr>
        <w:spacing w:line="111" w:lineRule="exact"/>
        <w:ind w:firstLine="400" w:firstLineChars="200"/>
        <w:rPr>
          <w:sz w:val="20"/>
          <w:szCs w:val="20"/>
        </w:rPr>
      </w:pPr>
    </w:p>
    <w:p w14:paraId="1F511E06">
      <w:pPr>
        <w:spacing w:line="111" w:lineRule="exact"/>
        <w:ind w:firstLine="400" w:firstLineChars="200"/>
        <w:rPr>
          <w:sz w:val="20"/>
          <w:szCs w:val="20"/>
        </w:rPr>
      </w:pPr>
    </w:p>
    <w:p w14:paraId="30DF1E9F">
      <w:pPr>
        <w:spacing w:line="111" w:lineRule="exact"/>
        <w:ind w:firstLine="400" w:firstLineChars="200"/>
        <w:rPr>
          <w:sz w:val="20"/>
          <w:szCs w:val="20"/>
        </w:rPr>
      </w:pPr>
    </w:p>
    <w:p w14:paraId="085922E3">
      <w:pPr>
        <w:spacing w:line="111" w:lineRule="exact"/>
        <w:ind w:firstLine="400" w:firstLineChars="200"/>
        <w:rPr>
          <w:sz w:val="20"/>
          <w:szCs w:val="20"/>
        </w:rPr>
      </w:pPr>
    </w:p>
    <w:p w14:paraId="47E728B0">
      <w:pPr>
        <w:spacing w:line="111" w:lineRule="exact"/>
        <w:ind w:firstLine="400" w:firstLineChars="200"/>
        <w:rPr>
          <w:sz w:val="20"/>
          <w:szCs w:val="20"/>
        </w:rPr>
      </w:pPr>
    </w:p>
    <w:p w14:paraId="0C4F44B3">
      <w:pPr>
        <w:spacing w:line="111" w:lineRule="exact"/>
        <w:ind w:firstLine="400" w:firstLineChars="200"/>
        <w:rPr>
          <w:sz w:val="20"/>
          <w:szCs w:val="20"/>
        </w:rPr>
      </w:pPr>
    </w:p>
    <w:p w14:paraId="562926A4">
      <w:pPr>
        <w:spacing w:line="111" w:lineRule="exact"/>
        <w:ind w:firstLine="400" w:firstLineChars="200"/>
        <w:rPr>
          <w:sz w:val="20"/>
          <w:szCs w:val="20"/>
        </w:rPr>
      </w:pPr>
    </w:p>
    <w:p w14:paraId="69720FEE">
      <w:pPr>
        <w:spacing w:line="111" w:lineRule="exact"/>
        <w:ind w:firstLine="400" w:firstLineChars="200"/>
        <w:rPr>
          <w:sz w:val="20"/>
          <w:szCs w:val="20"/>
        </w:rPr>
      </w:pPr>
    </w:p>
    <w:p w14:paraId="383B47D4">
      <w:pPr>
        <w:spacing w:line="360" w:lineRule="auto"/>
        <w:rPr>
          <w:sz w:val="20"/>
          <w:szCs w:val="20"/>
        </w:rPr>
      </w:pPr>
      <w:r>
        <w:rPr>
          <w:rFonts w:ascii="宋体" w:hAnsi="宋体" w:cs="宋体"/>
          <w:b/>
          <w:bCs/>
          <w:sz w:val="32"/>
          <w:szCs w:val="32"/>
        </w:rPr>
        <w:t>附件十一、 资格资信证明文件</w:t>
      </w:r>
    </w:p>
    <w:p w14:paraId="44807223">
      <w:pPr>
        <w:spacing w:line="360" w:lineRule="auto"/>
        <w:ind w:left="420" w:firstLine="400" w:firstLineChars="200"/>
        <w:rPr>
          <w:sz w:val="20"/>
          <w:szCs w:val="20"/>
        </w:rPr>
      </w:pPr>
      <w:r>
        <w:rPr>
          <w:rFonts w:ascii="宋体" w:hAnsi="宋体" w:cs="宋体"/>
          <w:sz w:val="20"/>
          <w:szCs w:val="20"/>
        </w:rPr>
        <w:t>1.第一章投标邀请（采购公告）中2.1《中华人民共和国政府采购法》规定的资格条件证明文件；</w:t>
      </w:r>
    </w:p>
    <w:p w14:paraId="5734F8F8">
      <w:pPr>
        <w:spacing w:line="360" w:lineRule="auto"/>
        <w:ind w:left="420" w:firstLine="420" w:firstLineChars="200"/>
        <w:rPr>
          <w:sz w:val="20"/>
          <w:szCs w:val="20"/>
        </w:rPr>
      </w:pPr>
      <w:r>
        <w:rPr>
          <w:rFonts w:ascii="宋体" w:hAnsi="宋体" w:cs="宋体"/>
          <w:sz w:val="21"/>
          <w:szCs w:val="21"/>
        </w:rPr>
        <w:t>2.第一章投标邀请（采购公告）中2.3 采购人根据采购项目的特殊要求规定的特定条件证明文件；（如有）</w:t>
      </w:r>
    </w:p>
    <w:p w14:paraId="55879CC9">
      <w:pPr>
        <w:spacing w:line="360" w:lineRule="auto"/>
        <w:ind w:firstLine="622" w:firstLineChars="200"/>
        <w:rPr>
          <w:sz w:val="20"/>
          <w:szCs w:val="20"/>
        </w:rPr>
      </w:pPr>
      <w:r>
        <w:rPr>
          <w:rFonts w:ascii="宋体" w:hAnsi="宋体" w:cs="宋体"/>
          <w:b/>
          <w:bCs/>
          <w:sz w:val="31"/>
          <w:szCs w:val="31"/>
        </w:rPr>
        <w:t>附件十二、《南京市政府采购供应商信用记录表》 （网站在线打</w:t>
      </w:r>
      <w:r>
        <w:rPr>
          <w:rFonts w:ascii="宋体" w:hAnsi="宋体" w:cs="宋体"/>
          <w:b/>
          <w:bCs/>
          <w:sz w:val="32"/>
          <w:szCs w:val="32"/>
        </w:rPr>
        <w:t>印）</w:t>
      </w:r>
    </w:p>
    <w:p w14:paraId="4C315061">
      <w:pPr>
        <w:spacing w:line="360" w:lineRule="auto"/>
        <w:ind w:left="420" w:firstLine="420" w:firstLineChars="200"/>
        <w:rPr>
          <w:sz w:val="20"/>
          <w:szCs w:val="20"/>
        </w:rPr>
      </w:pPr>
      <w:r>
        <w:rPr>
          <w:rFonts w:ascii="宋体" w:hAnsi="宋体" w:cs="宋体"/>
          <w:sz w:val="21"/>
          <w:szCs w:val="21"/>
        </w:rPr>
        <w:t>供应商参加本项目政府采购活动时，无论是新用户注册或已注册成功的，均应在招标文件发布之日起至提交响应文件截止时间前，登录“信用南京”或“南京市政府采购网”在线其“南京市政府采购供应商信用记录表”，经法定代表人签名盖章后作为响应文件的有效组成部分。“南京市政府采购供应商信用记录表”是其参加本次政府采购活动的必备材料。</w:t>
      </w:r>
    </w:p>
    <w:p w14:paraId="654671F2">
      <w:pPr>
        <w:spacing w:line="360" w:lineRule="auto"/>
        <w:ind w:firstLine="643" w:firstLineChars="200"/>
        <w:rPr>
          <w:sz w:val="20"/>
          <w:szCs w:val="20"/>
        </w:rPr>
      </w:pPr>
      <w:r>
        <w:rPr>
          <w:rFonts w:ascii="宋体" w:hAnsi="宋体" w:cs="宋体"/>
          <w:b/>
          <w:bCs/>
          <w:sz w:val="32"/>
          <w:szCs w:val="32"/>
        </w:rPr>
        <w:t>附件十三、供应商认为其他必要的材料</w:t>
      </w:r>
    </w:p>
    <w:p w14:paraId="05B920C6">
      <w:pPr>
        <w:tabs>
          <w:tab w:val="left" w:pos="4480"/>
        </w:tabs>
        <w:spacing w:line="360" w:lineRule="auto"/>
        <w:rPr>
          <w:rFonts w:ascii="宋体" w:hAnsi="宋体" w:cs="宋体"/>
          <w:sz w:val="18"/>
          <w:szCs w:val="18"/>
        </w:rPr>
      </w:pPr>
    </w:p>
    <w:sectPr>
      <w:pgSz w:w="11900" w:h="16838"/>
      <w:pgMar w:top="1440" w:right="1424" w:bottom="381" w:left="1440" w:header="0" w:footer="34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4BD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F3471">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8F3471">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A606A"/>
    <w:multiLevelType w:val="singleLevel"/>
    <w:tmpl w:val="887A606A"/>
    <w:lvl w:ilvl="0" w:tentative="0">
      <w:start w:val="1"/>
      <w:numFmt w:val="chineseCounting"/>
      <w:suff w:val="nothing"/>
      <w:lvlText w:val="（%1）"/>
      <w:lvlJc w:val="left"/>
      <w:rPr>
        <w:rFonts w:hint="eastAsia"/>
      </w:rPr>
    </w:lvl>
  </w:abstractNum>
  <w:abstractNum w:abstractNumId="1">
    <w:nsid w:val="C682A448"/>
    <w:multiLevelType w:val="singleLevel"/>
    <w:tmpl w:val="C682A448"/>
    <w:lvl w:ilvl="0" w:tentative="0">
      <w:start w:val="1"/>
      <w:numFmt w:val="decimal"/>
      <w:lvlText w:val="%1."/>
      <w:lvlJc w:val="left"/>
      <w:pPr>
        <w:ind w:left="420" w:hanging="425"/>
      </w:pPr>
      <w:rPr>
        <w:rFonts w:hint="default"/>
      </w:rPr>
    </w:lvl>
  </w:abstractNum>
  <w:abstractNum w:abstractNumId="2">
    <w:nsid w:val="D4BEE77A"/>
    <w:multiLevelType w:val="singleLevel"/>
    <w:tmpl w:val="D4BEE77A"/>
    <w:lvl w:ilvl="0" w:tentative="0">
      <w:start w:val="1"/>
      <w:numFmt w:val="decimal"/>
      <w:lvlText w:val="%1."/>
      <w:lvlJc w:val="left"/>
      <w:pPr>
        <w:tabs>
          <w:tab w:val="left" w:pos="312"/>
        </w:tabs>
      </w:pPr>
    </w:lvl>
  </w:abstractNum>
  <w:abstractNum w:abstractNumId="3">
    <w:nsid w:val="E7C100A5"/>
    <w:multiLevelType w:val="singleLevel"/>
    <w:tmpl w:val="E7C100A5"/>
    <w:lvl w:ilvl="0" w:tentative="0">
      <w:start w:val="1"/>
      <w:numFmt w:val="decimal"/>
      <w:lvlText w:val="%1."/>
      <w:lvlJc w:val="left"/>
      <w:pPr>
        <w:ind w:left="425" w:hanging="425"/>
      </w:pPr>
      <w:rPr>
        <w:rFonts w:hint="default"/>
      </w:rPr>
    </w:lvl>
  </w:abstractNum>
  <w:abstractNum w:abstractNumId="4">
    <w:nsid w:val="00006B36"/>
    <w:multiLevelType w:val="singleLevel"/>
    <w:tmpl w:val="00006B36"/>
    <w:lvl w:ilvl="0" w:tentative="0">
      <w:start w:val="1"/>
      <w:numFmt w:val="decimal"/>
      <w:lvlText w:val="(%1)"/>
      <w:lvlJc w:val="left"/>
    </w:lvl>
  </w:abstractNum>
  <w:abstractNum w:abstractNumId="5">
    <w:nsid w:val="0AD367AB"/>
    <w:multiLevelType w:val="multilevel"/>
    <w:tmpl w:val="0AD367AB"/>
    <w:lvl w:ilvl="0" w:tentative="0">
      <w:start w:val="1"/>
      <w:numFmt w:val="decimal"/>
      <w:lvlText w:val="（%1）"/>
      <w:lvlJc w:val="left"/>
      <w:pPr>
        <w:ind w:left="1560" w:hanging="720"/>
      </w:pPr>
      <w:rPr>
        <w:rFonts w:hint="default"/>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02CFCBA"/>
    <w:multiLevelType w:val="singleLevel"/>
    <w:tmpl w:val="102CFCBA"/>
    <w:lvl w:ilvl="0" w:tentative="0">
      <w:start w:val="1"/>
      <w:numFmt w:val="chineseCounting"/>
      <w:suff w:val="nothing"/>
      <w:lvlText w:val="%1、"/>
      <w:lvlJc w:val="left"/>
      <w:rPr>
        <w:rFonts w:hint="eastAsia"/>
      </w:rPr>
    </w:lvl>
  </w:abstractNum>
  <w:abstractNum w:abstractNumId="7">
    <w:nsid w:val="26F1FC55"/>
    <w:multiLevelType w:val="singleLevel"/>
    <w:tmpl w:val="26F1FC55"/>
    <w:lvl w:ilvl="0" w:tentative="0">
      <w:start w:val="1"/>
      <w:numFmt w:val="decimal"/>
      <w:lvlText w:val="%1."/>
      <w:lvlJc w:val="left"/>
      <w:pPr>
        <w:ind w:left="425" w:hanging="425"/>
      </w:pPr>
      <w:rPr>
        <w:rFonts w:hint="default"/>
      </w:rPr>
    </w:lvl>
  </w:abstractNum>
  <w:abstractNum w:abstractNumId="8">
    <w:nsid w:val="349C8B12"/>
    <w:multiLevelType w:val="singleLevel"/>
    <w:tmpl w:val="349C8B12"/>
    <w:lvl w:ilvl="0" w:tentative="0">
      <w:start w:val="1"/>
      <w:numFmt w:val="chineseCounting"/>
      <w:suff w:val="nothing"/>
      <w:lvlText w:val="（%1）"/>
      <w:lvlJc w:val="left"/>
      <w:rPr>
        <w:rFonts w:hint="eastAsia"/>
      </w:rPr>
    </w:lvl>
  </w:abstractNum>
  <w:abstractNum w:abstractNumId="9">
    <w:nsid w:val="3C990061"/>
    <w:multiLevelType w:val="multilevel"/>
    <w:tmpl w:val="3C99006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E4D0AC3"/>
    <w:multiLevelType w:val="singleLevel"/>
    <w:tmpl w:val="3E4D0AC3"/>
    <w:lvl w:ilvl="0" w:tentative="0">
      <w:start w:val="1"/>
      <w:numFmt w:val="decimal"/>
      <w:suff w:val="nothing"/>
      <w:lvlText w:val="（%1）"/>
      <w:lvlJc w:val="left"/>
    </w:lvl>
  </w:abstractNum>
  <w:abstractNum w:abstractNumId="11">
    <w:nsid w:val="3FEF05CD"/>
    <w:multiLevelType w:val="singleLevel"/>
    <w:tmpl w:val="3FEF05CD"/>
    <w:lvl w:ilvl="0" w:tentative="0">
      <w:start w:val="1"/>
      <w:numFmt w:val="decimal"/>
      <w:lvlText w:val="%1."/>
      <w:lvlJc w:val="left"/>
      <w:pPr>
        <w:ind w:left="425" w:hanging="425"/>
      </w:pPr>
      <w:rPr>
        <w:rFonts w:hint="default"/>
      </w:rPr>
    </w:lvl>
  </w:abstractNum>
  <w:abstractNum w:abstractNumId="12">
    <w:nsid w:val="47461320"/>
    <w:multiLevelType w:val="singleLevel"/>
    <w:tmpl w:val="47461320"/>
    <w:lvl w:ilvl="0" w:tentative="0">
      <w:start w:val="1"/>
      <w:numFmt w:val="decimal"/>
      <w:lvlText w:val="%1."/>
      <w:lvlJc w:val="left"/>
      <w:pPr>
        <w:ind w:left="425" w:hanging="425"/>
      </w:pPr>
      <w:rPr>
        <w:rFonts w:hint="default"/>
      </w:rPr>
    </w:lvl>
  </w:abstractNum>
  <w:abstractNum w:abstractNumId="13">
    <w:nsid w:val="4B87129C"/>
    <w:multiLevelType w:val="singleLevel"/>
    <w:tmpl w:val="4B87129C"/>
    <w:lvl w:ilvl="0" w:tentative="0">
      <w:start w:val="1"/>
      <w:numFmt w:val="decimal"/>
      <w:lvlText w:val="%1."/>
      <w:lvlJc w:val="left"/>
      <w:pPr>
        <w:tabs>
          <w:tab w:val="left" w:pos="312"/>
        </w:tabs>
      </w:pPr>
    </w:lvl>
  </w:abstractNum>
  <w:abstractNum w:abstractNumId="14">
    <w:nsid w:val="4F9F19E8"/>
    <w:multiLevelType w:val="singleLevel"/>
    <w:tmpl w:val="4F9F19E8"/>
    <w:lvl w:ilvl="0" w:tentative="0">
      <w:start w:val="3"/>
      <w:numFmt w:val="decimal"/>
      <w:suff w:val="nothing"/>
      <w:lvlText w:val="%1、"/>
      <w:lvlJc w:val="left"/>
    </w:lvl>
  </w:abstractNum>
  <w:abstractNum w:abstractNumId="15">
    <w:nsid w:val="5335E406"/>
    <w:multiLevelType w:val="singleLevel"/>
    <w:tmpl w:val="5335E406"/>
    <w:lvl w:ilvl="0" w:tentative="0">
      <w:start w:val="1"/>
      <w:numFmt w:val="decimal"/>
      <w:lvlText w:val="%1."/>
      <w:lvlJc w:val="left"/>
      <w:pPr>
        <w:ind w:left="425" w:hanging="425"/>
      </w:pPr>
      <w:rPr>
        <w:rFonts w:hint="default"/>
      </w:rPr>
    </w:lvl>
  </w:abstractNum>
  <w:abstractNum w:abstractNumId="16">
    <w:nsid w:val="5D0A0A55"/>
    <w:multiLevelType w:val="singleLevel"/>
    <w:tmpl w:val="5D0A0A55"/>
    <w:lvl w:ilvl="0" w:tentative="0">
      <w:start w:val="1"/>
      <w:numFmt w:val="chineseCounting"/>
      <w:suff w:val="nothing"/>
      <w:lvlText w:val="（%1）"/>
      <w:lvlJc w:val="left"/>
      <w:rPr>
        <w:rFonts w:hint="eastAsia"/>
      </w:rPr>
    </w:lvl>
  </w:abstractNum>
  <w:abstractNum w:abstractNumId="17">
    <w:nsid w:val="737FAF73"/>
    <w:multiLevelType w:val="singleLevel"/>
    <w:tmpl w:val="737FAF73"/>
    <w:lvl w:ilvl="0" w:tentative="0">
      <w:start w:val="1"/>
      <w:numFmt w:val="decimal"/>
      <w:suff w:val="nothing"/>
      <w:lvlText w:val="（%1）"/>
      <w:lvlJc w:val="left"/>
    </w:lvl>
  </w:abstractNum>
  <w:abstractNum w:abstractNumId="18">
    <w:nsid w:val="7706ECA4"/>
    <w:multiLevelType w:val="singleLevel"/>
    <w:tmpl w:val="7706ECA4"/>
    <w:lvl w:ilvl="0" w:tentative="0">
      <w:start w:val="1"/>
      <w:numFmt w:val="decimal"/>
      <w:lvlText w:val="%1."/>
      <w:lvlJc w:val="left"/>
      <w:pPr>
        <w:ind w:left="425" w:hanging="425"/>
      </w:pPr>
      <w:rPr>
        <w:rFonts w:hint="default"/>
      </w:rPr>
    </w:lvl>
  </w:abstractNum>
  <w:num w:numId="1">
    <w:abstractNumId w:val="4"/>
  </w:num>
  <w:num w:numId="2">
    <w:abstractNumId w:val="6"/>
  </w:num>
  <w:num w:numId="3">
    <w:abstractNumId w:val="16"/>
  </w:num>
  <w:num w:numId="4">
    <w:abstractNumId w:val="13"/>
  </w:num>
  <w:num w:numId="5">
    <w:abstractNumId w:val="2"/>
  </w:num>
  <w:num w:numId="6">
    <w:abstractNumId w:val="5"/>
  </w:num>
  <w:num w:numId="7">
    <w:abstractNumId w:val="10"/>
  </w:num>
  <w:num w:numId="8">
    <w:abstractNumId w:val="17"/>
  </w:num>
  <w:num w:numId="9">
    <w:abstractNumId w:val="7"/>
  </w:num>
  <w:num w:numId="10">
    <w:abstractNumId w:val="0"/>
  </w:num>
  <w:num w:numId="11">
    <w:abstractNumId w:val="12"/>
  </w:num>
  <w:num w:numId="12">
    <w:abstractNumId w:val="15"/>
  </w:num>
  <w:num w:numId="13">
    <w:abstractNumId w:val="8"/>
  </w:num>
  <w:num w:numId="14">
    <w:abstractNumId w:val="9"/>
  </w:num>
  <w:num w:numId="15">
    <w:abstractNumId w:val="18"/>
  </w:num>
  <w:num w:numId="16">
    <w:abstractNumId w:val="1"/>
  </w:num>
  <w:num w:numId="17">
    <w:abstractNumId w:val="11"/>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hdrShapeDefaults>
    <o:shapelayout v:ext="edit">
      <o:idmap v:ext="edit" data="2"/>
    </o:shapelayout>
  </w:hdrShapeDefaults>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YmRhNzlmYWQ1NjBlYmVlMDQ0MWY2OGRjYzk2NDQifQ=="/>
  </w:docVars>
  <w:rsids>
    <w:rsidRoot w:val="000974E5"/>
    <w:rsid w:val="000974E5"/>
    <w:rsid w:val="001F0893"/>
    <w:rsid w:val="01755C9D"/>
    <w:rsid w:val="023D6793"/>
    <w:rsid w:val="058B39C0"/>
    <w:rsid w:val="09A25115"/>
    <w:rsid w:val="09C1178A"/>
    <w:rsid w:val="0C801DA5"/>
    <w:rsid w:val="106612B1"/>
    <w:rsid w:val="12854C66"/>
    <w:rsid w:val="12C02EFB"/>
    <w:rsid w:val="13D7417F"/>
    <w:rsid w:val="146438C1"/>
    <w:rsid w:val="1AB17BFF"/>
    <w:rsid w:val="1C4C57FF"/>
    <w:rsid w:val="1E1677E1"/>
    <w:rsid w:val="1E546841"/>
    <w:rsid w:val="25401C79"/>
    <w:rsid w:val="2893739E"/>
    <w:rsid w:val="29AE18A7"/>
    <w:rsid w:val="2A125B46"/>
    <w:rsid w:val="2B787DAB"/>
    <w:rsid w:val="2C214347"/>
    <w:rsid w:val="2D267C5C"/>
    <w:rsid w:val="2D82225D"/>
    <w:rsid w:val="2FDB0F1C"/>
    <w:rsid w:val="34FF38FF"/>
    <w:rsid w:val="35D92BDC"/>
    <w:rsid w:val="364C49CF"/>
    <w:rsid w:val="367125DA"/>
    <w:rsid w:val="369A439D"/>
    <w:rsid w:val="375C6DE7"/>
    <w:rsid w:val="383126CF"/>
    <w:rsid w:val="39455228"/>
    <w:rsid w:val="3A8D7644"/>
    <w:rsid w:val="3AB87BA1"/>
    <w:rsid w:val="3B974891"/>
    <w:rsid w:val="3CE5162C"/>
    <w:rsid w:val="3E980FDE"/>
    <w:rsid w:val="3EFB6EE5"/>
    <w:rsid w:val="3FEC4A80"/>
    <w:rsid w:val="3FEF3B35"/>
    <w:rsid w:val="4058291D"/>
    <w:rsid w:val="415C4CD9"/>
    <w:rsid w:val="439B0C97"/>
    <w:rsid w:val="44A31F95"/>
    <w:rsid w:val="4633757D"/>
    <w:rsid w:val="480235C3"/>
    <w:rsid w:val="495738D8"/>
    <w:rsid w:val="4B37557E"/>
    <w:rsid w:val="4BD765E4"/>
    <w:rsid w:val="4C8B2099"/>
    <w:rsid w:val="4E062762"/>
    <w:rsid w:val="4E245475"/>
    <w:rsid w:val="4ECE75F4"/>
    <w:rsid w:val="4EE41FF4"/>
    <w:rsid w:val="4F4B79F8"/>
    <w:rsid w:val="52524C16"/>
    <w:rsid w:val="532D11DF"/>
    <w:rsid w:val="54417C4C"/>
    <w:rsid w:val="554C57D6"/>
    <w:rsid w:val="5552317F"/>
    <w:rsid w:val="57A92539"/>
    <w:rsid w:val="5ACD0EF5"/>
    <w:rsid w:val="5C4704B7"/>
    <w:rsid w:val="5E043E76"/>
    <w:rsid w:val="61B551C2"/>
    <w:rsid w:val="61EE37AA"/>
    <w:rsid w:val="62511116"/>
    <w:rsid w:val="62AB52CB"/>
    <w:rsid w:val="63B722FF"/>
    <w:rsid w:val="648A17EA"/>
    <w:rsid w:val="65DA24D2"/>
    <w:rsid w:val="66E5249B"/>
    <w:rsid w:val="67C07388"/>
    <w:rsid w:val="687B7A53"/>
    <w:rsid w:val="6BDA1375"/>
    <w:rsid w:val="6D4C48C0"/>
    <w:rsid w:val="6E6054CF"/>
    <w:rsid w:val="6EFD56C2"/>
    <w:rsid w:val="6F8306AD"/>
    <w:rsid w:val="76723427"/>
    <w:rsid w:val="77EB5041"/>
    <w:rsid w:val="7998BEA2"/>
    <w:rsid w:val="7BF546E1"/>
    <w:rsid w:val="7C3847D9"/>
    <w:rsid w:val="7C793324"/>
    <w:rsid w:val="7E9E37A8"/>
    <w:rsid w:val="7FFC4290"/>
    <w:rsid w:val="CFF7198A"/>
    <w:rsid w:val="DFFC8FD4"/>
    <w:rsid w:val="FE3F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qFormat/>
    <w:uiPriority w:val="99"/>
    <w:rPr>
      <w:sz w:val="20"/>
    </w:rPr>
  </w:style>
  <w:style w:type="paragraph" w:styleId="4">
    <w:name w:val="index 7"/>
    <w:basedOn w:val="1"/>
    <w:next w:val="1"/>
    <w:semiHidden/>
    <w:qFormat/>
    <w:uiPriority w:val="99"/>
    <w:pPr>
      <w:ind w:left="252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rPr>
      <w:rFonts w:ascii="Times New Roman" w:hAnsi="Times New Roman"/>
      <w:sz w:val="21"/>
      <w:szCs w:val="24"/>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Paragraph"/>
    <w:basedOn w:val="1"/>
    <w:qFormat/>
    <w:uiPriority w:val="1"/>
    <w:rPr>
      <w:lang w:eastAsia="en-US"/>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8707</Words>
  <Characters>9166</Characters>
  <Lines>207</Lines>
  <Paragraphs>58</Paragraphs>
  <TotalTime>29</TotalTime>
  <ScaleCrop>false</ScaleCrop>
  <LinksUpToDate>false</LinksUpToDate>
  <CharactersWithSpaces>9369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2023-12-24T08:08:00Z</dcterms:created>
  <dc:creator>Windows User</dc:creator>
  <cp:lastModifiedBy>龙行天下</cp:lastModifiedBy>
  <dcterms:modified xsi:type="dcterms:W3CDTF">2025-06-12T01:07:06Z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BB7EABB08C794AAEB00B1BD9CEFB62FF_13</vt:lpwstr>
  </property>
  <property fmtid="{D5CDD505-2E9C-101B-9397-08002B2CF9AE}" pid="4" name="KSOTemplateDocerSaveRecord">
    <vt:lpwstr>eyJoZGlkIjoiOTcxN2FlYzVlY2UyNGE4NTIxZDc3MWNmZGMyMzI4ZjciLCJ1c2VySWQiOiI1MzY0NTgyNTAifQ==</vt:lpwstr>
  </property>
</Properties>
</file>