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00763BEC">
      <w:pPr>
        <w:jc w:val="right"/>
        <w:rPr>
          <w:rFonts w:ascii="仿宋" w:hAnsi="仿宋" w:eastAsia="仿宋" w:cs="仿宋"/>
          <w:color w:val="auto"/>
          <w:sz w:val="44"/>
          <w:highlight w:val="none"/>
        </w:rPr>
      </w:pPr>
      <w:r>
        <w:rPr>
          <w:rFonts w:hint="eastAsia" w:ascii="仿宋" w:hAnsi="仿宋" w:eastAsia="仿宋" w:cs="仿宋"/>
          <w:color w:val="auto"/>
          <w:highlight w:val="none"/>
        </w:rPr>
        <w:drawing>
          <wp:inline distT="0" distB="0" distL="0" distR="0">
            <wp:extent cx="974725" cy="802005"/>
            <wp:effectExtent l="0" t="0" r="0" b="0"/>
            <wp:docPr id="2" name="图片 2" descr="logo"/>
            <wp:cNvGraphicFramePr/>
            <a:graphic xmlns:a="http://schemas.openxmlformats.org/drawingml/2006/main">
              <a:graphicData uri="http://schemas.openxmlformats.org/drawingml/2006/picture">
                <pic:pic xmlns:pic="http://schemas.openxmlformats.org/drawingml/2006/picture">
                  <pic:nvPicPr>
                    <pic:cNvPr id="2" name="图片 2" descr="logo"/>
                    <pic:cNvPicPr/>
                  </pic:nvPicPr>
                  <pic:blipFill>
                    <a:blip r:embed="rId16" cstate="print"/>
                    <a:srcRect/>
                    <a:stretch>
                      <a:fillRect/>
                    </a:stretch>
                  </pic:blipFill>
                  <pic:spPr>
                    <a:xfrm>
                      <a:off x="0" y="0"/>
                      <a:ext cx="974725" cy="802005"/>
                    </a:xfrm>
                    <a:prstGeom prst="rect">
                      <a:avLst/>
                    </a:prstGeom>
                    <a:ln>
                      <a:noFill/>
                    </a:ln>
                  </pic:spPr>
                </pic:pic>
              </a:graphicData>
            </a:graphic>
          </wp:inline>
        </w:drawing>
      </w:r>
    </w:p>
    <w:p w14:paraId="7EE750EC">
      <w:pPr>
        <w:pStyle w:val="351"/>
        <w:rPr>
          <w:rFonts w:ascii="仿宋" w:hAnsi="仿宋" w:eastAsia="仿宋" w:cs="仿宋"/>
          <w:color w:val="auto"/>
          <w:highlight w:val="none"/>
        </w:rPr>
      </w:pPr>
    </w:p>
    <w:p w14:paraId="57EAC33C">
      <w:pPr>
        <w:pStyle w:val="351"/>
        <w:ind w:firstLine="880"/>
        <w:rPr>
          <w:rFonts w:ascii="仿宋" w:hAnsi="仿宋" w:eastAsia="仿宋" w:cs="仿宋"/>
          <w:color w:val="auto"/>
          <w:sz w:val="44"/>
          <w:szCs w:val="44"/>
          <w:highlight w:val="none"/>
        </w:rPr>
      </w:pPr>
    </w:p>
    <w:p w14:paraId="40F67B9E">
      <w:pPr>
        <w:pStyle w:val="351"/>
        <w:ind w:firstLine="0" w:firstLineChars="0"/>
        <w:rPr>
          <w:rFonts w:ascii="仿宋" w:hAnsi="仿宋" w:eastAsia="仿宋" w:cs="仿宋"/>
          <w:color w:val="auto"/>
          <w:highlight w:val="none"/>
        </w:rPr>
      </w:pPr>
    </w:p>
    <w:p w14:paraId="00D53DDF">
      <w:pPr>
        <w:jc w:val="center"/>
        <w:rPr>
          <w:rFonts w:ascii="仿宋" w:hAnsi="仿宋" w:eastAsia="仿宋" w:cs="仿宋"/>
          <w:color w:val="auto"/>
          <w:sz w:val="76"/>
          <w:szCs w:val="76"/>
          <w:highlight w:val="none"/>
        </w:rPr>
      </w:pPr>
      <w:r>
        <w:rPr>
          <w:rFonts w:hint="eastAsia" w:ascii="仿宋" w:hAnsi="仿宋" w:eastAsia="仿宋" w:cs="仿宋"/>
          <w:color w:val="auto"/>
          <w:sz w:val="96"/>
          <w:szCs w:val="96"/>
          <w:highlight w:val="none"/>
        </w:rPr>
        <w:t>竞争性磋商文件</w:t>
      </w:r>
    </w:p>
    <w:p w14:paraId="5EAB601E">
      <w:pPr>
        <w:jc w:val="center"/>
        <w:rPr>
          <w:rFonts w:ascii="仿宋" w:hAnsi="仿宋" w:eastAsia="仿宋" w:cs="仿宋"/>
          <w:b/>
          <w:color w:val="auto"/>
          <w:sz w:val="32"/>
          <w:szCs w:val="32"/>
          <w:highlight w:val="none"/>
          <w:lang w:val="zh-CN"/>
        </w:rPr>
      </w:pPr>
    </w:p>
    <w:p w14:paraId="0FBD9990">
      <w:pPr>
        <w:spacing w:line="720" w:lineRule="auto"/>
        <w:rPr>
          <w:rFonts w:ascii="仿宋" w:hAnsi="仿宋" w:eastAsia="仿宋" w:cs="仿宋"/>
          <w:bCs/>
          <w:color w:val="auto"/>
          <w:sz w:val="32"/>
          <w:szCs w:val="32"/>
          <w:highlight w:val="none"/>
          <w:lang w:val="zh-CN"/>
        </w:rPr>
      </w:pPr>
    </w:p>
    <w:p w14:paraId="5F679100">
      <w:pPr>
        <w:pStyle w:val="351"/>
        <w:ind w:firstLine="640"/>
        <w:rPr>
          <w:rFonts w:ascii="仿宋" w:hAnsi="仿宋" w:eastAsia="仿宋" w:cs="仿宋"/>
          <w:bCs/>
          <w:color w:val="auto"/>
          <w:sz w:val="32"/>
          <w:szCs w:val="32"/>
          <w:highlight w:val="none"/>
          <w:lang w:val="zh-CN"/>
        </w:rPr>
      </w:pPr>
    </w:p>
    <w:p w14:paraId="1C6ED906">
      <w:pPr>
        <w:rPr>
          <w:rFonts w:ascii="仿宋" w:hAnsi="仿宋" w:eastAsia="仿宋" w:cs="仿宋"/>
          <w:b/>
          <w:bCs/>
          <w:color w:val="auto"/>
          <w:highlight w:val="none"/>
          <w:lang w:val="zh-CN"/>
        </w:rPr>
      </w:pPr>
    </w:p>
    <w:p w14:paraId="21042D9B">
      <w:pPr>
        <w:spacing w:line="480" w:lineRule="auto"/>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lang w:val="zh-CN"/>
        </w:rPr>
        <w:t>项目编号</w:t>
      </w:r>
      <w:r>
        <w:rPr>
          <w:rFonts w:hint="eastAsia" w:ascii="仿宋" w:hAnsi="仿宋" w:eastAsia="仿宋" w:cs="仿宋"/>
          <w:color w:val="auto"/>
          <w:sz w:val="30"/>
          <w:szCs w:val="30"/>
          <w:highlight w:val="none"/>
          <w:lang w:val="zh-CN"/>
        </w:rPr>
        <w:t>：YCZX-CS-202501081</w:t>
      </w:r>
    </w:p>
    <w:p w14:paraId="67443490">
      <w:pPr>
        <w:spacing w:line="480" w:lineRule="auto"/>
        <w:rPr>
          <w:rFonts w:hint="eastAsia" w:ascii="仿宋" w:hAnsi="仿宋" w:eastAsia="仿宋" w:cs="仿宋"/>
          <w:color w:val="auto"/>
          <w:sz w:val="30"/>
          <w:szCs w:val="30"/>
          <w:highlight w:val="none"/>
          <w:lang w:eastAsia="zh-CN"/>
        </w:rPr>
      </w:pPr>
      <w:r>
        <w:rPr>
          <w:rFonts w:hint="eastAsia" w:ascii="仿宋" w:hAnsi="仿宋" w:eastAsia="仿宋" w:cs="仿宋"/>
          <w:b/>
          <w:bCs/>
          <w:color w:val="auto"/>
          <w:sz w:val="30"/>
          <w:szCs w:val="30"/>
          <w:highlight w:val="none"/>
        </w:rPr>
        <w:t>项目名称</w:t>
      </w:r>
      <w:r>
        <w:rPr>
          <w:rFonts w:hint="eastAsia" w:ascii="仿宋" w:hAnsi="仿宋" w:eastAsia="仿宋" w:cs="仿宋"/>
          <w:color w:val="auto"/>
          <w:sz w:val="30"/>
          <w:szCs w:val="30"/>
          <w:highlight w:val="none"/>
        </w:rPr>
        <w:t>：</w:t>
      </w:r>
      <w:r>
        <w:rPr>
          <w:rFonts w:hint="eastAsia" w:ascii="仿宋" w:hAnsi="仿宋" w:eastAsia="仿宋" w:cs="仿宋"/>
          <w:color w:val="auto"/>
          <w:sz w:val="30"/>
          <w:szCs w:val="30"/>
          <w:highlight w:val="none"/>
          <w:lang w:eastAsia="zh-CN"/>
        </w:rPr>
        <w:t>雨花台区文化和旅游局雨花非遗・艺启同行—雨花台区非遗推广项目</w:t>
      </w:r>
    </w:p>
    <w:p w14:paraId="19FBA408">
      <w:pPr>
        <w:spacing w:line="480" w:lineRule="auto"/>
        <w:jc w:val="left"/>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采 购 人</w:t>
      </w:r>
      <w:r>
        <w:rPr>
          <w:rFonts w:hint="eastAsia" w:ascii="仿宋" w:hAnsi="仿宋" w:eastAsia="仿宋" w:cs="仿宋"/>
          <w:color w:val="auto"/>
          <w:sz w:val="30"/>
          <w:szCs w:val="30"/>
          <w:highlight w:val="none"/>
        </w:rPr>
        <w:t>：南京市雨花台区文化和旅游局</w:t>
      </w:r>
    </w:p>
    <w:p w14:paraId="127E25AF">
      <w:pPr>
        <w:spacing w:line="480" w:lineRule="auto"/>
        <w:jc w:val="left"/>
        <w:rPr>
          <w:rFonts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采购类别：</w:t>
      </w:r>
      <w:r>
        <w:rPr>
          <w:rFonts w:hint="eastAsia" w:ascii="仿宋" w:hAnsi="仿宋" w:eastAsia="仿宋" w:cs="仿宋"/>
          <w:color w:val="auto"/>
          <w:sz w:val="30"/>
          <w:szCs w:val="30"/>
          <w:highlight w:val="none"/>
        </w:rPr>
        <w:t>服务类</w:t>
      </w:r>
    </w:p>
    <w:p w14:paraId="6D587473">
      <w:pPr>
        <w:jc w:val="center"/>
        <w:rPr>
          <w:rFonts w:ascii="仿宋" w:hAnsi="仿宋" w:eastAsia="仿宋" w:cs="仿宋"/>
          <w:color w:val="auto"/>
          <w:sz w:val="32"/>
          <w:highlight w:val="none"/>
        </w:rPr>
      </w:pPr>
    </w:p>
    <w:p w14:paraId="1DF6006D">
      <w:pPr>
        <w:pStyle w:val="351"/>
        <w:rPr>
          <w:rFonts w:ascii="仿宋" w:hAnsi="仿宋" w:eastAsia="仿宋" w:cs="仿宋"/>
          <w:color w:val="auto"/>
          <w:highlight w:val="none"/>
        </w:rPr>
      </w:pPr>
    </w:p>
    <w:p w14:paraId="154A77B9">
      <w:pPr>
        <w:pStyle w:val="351"/>
        <w:rPr>
          <w:rFonts w:ascii="仿宋" w:hAnsi="仿宋" w:eastAsia="仿宋" w:cs="仿宋"/>
          <w:color w:val="auto"/>
          <w:highlight w:val="none"/>
        </w:rPr>
      </w:pPr>
    </w:p>
    <w:p w14:paraId="5320E751">
      <w:pPr>
        <w:pStyle w:val="351"/>
        <w:ind w:firstLine="0" w:firstLineChars="0"/>
        <w:rPr>
          <w:rFonts w:ascii="仿宋" w:hAnsi="仿宋" w:eastAsia="仿宋" w:cs="仿宋"/>
          <w:color w:val="auto"/>
          <w:highlight w:val="none"/>
        </w:rPr>
      </w:pPr>
    </w:p>
    <w:p w14:paraId="35C2C956">
      <w:pPr>
        <w:pStyle w:val="351"/>
        <w:rPr>
          <w:rFonts w:ascii="仿宋" w:hAnsi="仿宋" w:eastAsia="仿宋" w:cs="仿宋"/>
          <w:color w:val="auto"/>
          <w:highlight w:val="none"/>
        </w:rPr>
      </w:pPr>
    </w:p>
    <w:p w14:paraId="0C304489">
      <w:pPr>
        <w:pStyle w:val="351"/>
        <w:ind w:firstLine="0" w:firstLineChars="0"/>
        <w:rPr>
          <w:rFonts w:ascii="仿宋" w:hAnsi="仿宋" w:eastAsia="仿宋" w:cs="仿宋"/>
          <w:color w:val="auto"/>
          <w:highlight w:val="none"/>
        </w:rPr>
      </w:pPr>
    </w:p>
    <w:p w14:paraId="2A73FD76">
      <w:pPr>
        <w:pStyle w:val="351"/>
        <w:rPr>
          <w:rFonts w:ascii="仿宋" w:hAnsi="仿宋" w:eastAsia="仿宋" w:cs="仿宋"/>
          <w:color w:val="auto"/>
          <w:highlight w:val="none"/>
        </w:rPr>
      </w:pPr>
    </w:p>
    <w:p w14:paraId="52E015F1">
      <w:pPr>
        <w:jc w:val="center"/>
        <w:rPr>
          <w:rFonts w:ascii="仿宋" w:hAnsi="仿宋" w:eastAsia="仿宋" w:cs="仿宋"/>
          <w:color w:val="auto"/>
          <w:sz w:val="32"/>
          <w:highlight w:val="none"/>
        </w:rPr>
      </w:pPr>
    </w:p>
    <w:p w14:paraId="7F504F42">
      <w:pPr>
        <w:spacing w:line="360" w:lineRule="auto"/>
        <w:jc w:val="center"/>
        <w:rPr>
          <w:rFonts w:ascii="仿宋" w:hAnsi="仿宋" w:eastAsia="仿宋" w:cs="仿宋"/>
          <w:color w:val="auto"/>
          <w:sz w:val="44"/>
          <w:highlight w:val="none"/>
        </w:rPr>
      </w:pPr>
      <w:r>
        <w:rPr>
          <w:rFonts w:hint="eastAsia" w:ascii="仿宋" w:hAnsi="仿宋" w:eastAsia="仿宋" w:cs="仿宋"/>
          <w:color w:val="auto"/>
          <w:sz w:val="44"/>
          <w:highlight w:val="none"/>
        </w:rPr>
        <w:t>源成工程咨询（江苏南京）有限责任公司</w:t>
      </w:r>
    </w:p>
    <w:p w14:paraId="6872CDE3">
      <w:pPr>
        <w:spacing w:line="360" w:lineRule="auto"/>
        <w:jc w:val="center"/>
        <w:rPr>
          <w:rFonts w:ascii="仿宋" w:hAnsi="仿宋" w:eastAsia="仿宋" w:cs="仿宋"/>
          <w:color w:val="auto"/>
          <w:sz w:val="44"/>
          <w:highlight w:val="none"/>
        </w:rPr>
      </w:pPr>
      <w:r>
        <w:rPr>
          <w:rFonts w:hint="eastAsia" w:ascii="仿宋" w:hAnsi="仿宋" w:eastAsia="仿宋" w:cs="仿宋"/>
          <w:color w:val="auto"/>
          <w:sz w:val="44"/>
          <w:highlight w:val="none"/>
        </w:rPr>
        <w:t>二O二五年</w:t>
      </w:r>
      <w:r>
        <w:rPr>
          <w:rFonts w:hint="eastAsia" w:ascii="仿宋" w:hAnsi="仿宋" w:eastAsia="仿宋" w:cs="仿宋"/>
          <w:color w:val="auto"/>
          <w:sz w:val="44"/>
          <w:highlight w:val="none"/>
          <w:lang w:val="en-US" w:eastAsia="zh-CN"/>
        </w:rPr>
        <w:t>五</w:t>
      </w:r>
      <w:r>
        <w:rPr>
          <w:rFonts w:hint="eastAsia" w:ascii="仿宋" w:hAnsi="仿宋" w:eastAsia="仿宋" w:cs="仿宋"/>
          <w:color w:val="auto"/>
          <w:sz w:val="44"/>
          <w:highlight w:val="none"/>
        </w:rPr>
        <w:t>月</w:t>
      </w:r>
    </w:p>
    <w:p w14:paraId="23DF03C7">
      <w:pPr>
        <w:rPr>
          <w:color w:val="auto"/>
          <w:highlight w:val="none"/>
        </w:rPr>
        <w:sectPr>
          <w:headerReference r:id="rId5" w:type="first"/>
          <w:headerReference r:id="rId3" w:type="default"/>
          <w:footerReference r:id="rId6" w:type="default"/>
          <w:headerReference r:id="rId4" w:type="even"/>
          <w:footerReference r:id="rId7" w:type="even"/>
          <w:pgSz w:w="11906" w:h="16838"/>
          <w:pgMar w:top="1417" w:right="1757" w:bottom="1417" w:left="1757" w:header="851" w:footer="992" w:gutter="0"/>
          <w:cols w:space="720" w:num="1"/>
          <w:titlePg/>
          <w:docGrid w:linePitch="326" w:charSpace="0"/>
        </w:sectPr>
      </w:pPr>
    </w:p>
    <w:p w14:paraId="11C47E02">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目  录</w:t>
      </w:r>
    </w:p>
    <w:p w14:paraId="1BB3AFB3">
      <w:pPr>
        <w:jc w:val="center"/>
        <w:rPr>
          <w:rFonts w:ascii="仿宋" w:hAnsi="仿宋" w:eastAsia="仿宋" w:cs="仿宋"/>
          <w:b/>
          <w:color w:val="auto"/>
          <w:sz w:val="36"/>
          <w:szCs w:val="36"/>
          <w:highlight w:val="none"/>
        </w:rPr>
      </w:pPr>
    </w:p>
    <w:p w14:paraId="30A56FC0">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rFonts w:hint="eastAsia" w:ascii="仿宋" w:hAnsi="仿宋" w:eastAsia="仿宋" w:cs="仿宋"/>
          <w:b w:val="0"/>
          <w:bCs/>
          <w:color w:val="auto"/>
          <w:sz w:val="32"/>
          <w:szCs w:val="32"/>
          <w:highlight w:val="none"/>
        </w:rPr>
        <w:fldChar w:fldCharType="begin"/>
      </w:r>
      <w:r>
        <w:rPr>
          <w:rFonts w:hint="eastAsia" w:ascii="仿宋" w:hAnsi="仿宋" w:eastAsia="仿宋" w:cs="仿宋"/>
          <w:b w:val="0"/>
          <w:bCs/>
          <w:color w:val="auto"/>
          <w:sz w:val="32"/>
          <w:szCs w:val="32"/>
          <w:highlight w:val="none"/>
        </w:rPr>
        <w:instrText xml:space="preserve"> TOC \o "1-3" \h \z \u </w:instrText>
      </w:r>
      <w:r>
        <w:rPr>
          <w:rFonts w:hint="eastAsia" w:ascii="仿宋" w:hAnsi="仿宋" w:eastAsia="仿宋" w:cs="仿宋"/>
          <w:b w:val="0"/>
          <w:bCs/>
          <w:color w:val="auto"/>
          <w:sz w:val="32"/>
          <w:szCs w:val="32"/>
          <w:highlight w:val="none"/>
        </w:rPr>
        <w:fldChar w:fldCharType="separate"/>
      </w:r>
      <w:r>
        <w:rPr>
          <w:color w:val="auto"/>
          <w:highlight w:val="none"/>
        </w:rPr>
        <w:fldChar w:fldCharType="begin"/>
      </w:r>
      <w:r>
        <w:rPr>
          <w:color w:val="auto"/>
          <w:highlight w:val="none"/>
        </w:rPr>
        <w:instrText xml:space="preserve"> HYPERLINK \l "_Toc830" </w:instrText>
      </w:r>
      <w:r>
        <w:rPr>
          <w:color w:val="auto"/>
          <w:highlight w:val="none"/>
        </w:rPr>
        <w:fldChar w:fldCharType="separate"/>
      </w:r>
      <w:r>
        <w:rPr>
          <w:rFonts w:hint="eastAsia" w:ascii="仿宋" w:hAnsi="仿宋" w:eastAsia="仿宋" w:cs="仿宋"/>
          <w:color w:val="auto"/>
          <w:spacing w:val="-10"/>
          <w:sz w:val="24"/>
          <w:szCs w:val="24"/>
          <w:highlight w:val="none"/>
        </w:rPr>
        <w:t>第一章 竞争性磋商邀请</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_Toc830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249FE78C">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"_Toc18170" </w:instrText>
      </w:r>
      <w:r>
        <w:rPr>
          <w:color w:val="auto"/>
          <w:highlight w:val="none"/>
        </w:rPr>
        <w:fldChar w:fldCharType="separate"/>
      </w:r>
      <w:r>
        <w:rPr>
          <w:rFonts w:hint="eastAsia" w:ascii="仿宋" w:hAnsi="仿宋" w:eastAsia="仿宋" w:cs="仿宋"/>
          <w:color w:val="auto"/>
          <w:spacing w:val="-10"/>
          <w:sz w:val="24"/>
          <w:szCs w:val="24"/>
          <w:highlight w:val="none"/>
        </w:rPr>
        <w:t>第二章 竞争性磋商须知</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_Toc18170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6153F3E">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"_Toc3479" </w:instrText>
      </w:r>
      <w:r>
        <w:rPr>
          <w:color w:val="auto"/>
          <w:highlight w:val="none"/>
        </w:rPr>
        <w:fldChar w:fldCharType="separate"/>
      </w:r>
      <w:r>
        <w:rPr>
          <w:rFonts w:hint="eastAsia" w:ascii="仿宋" w:hAnsi="仿宋" w:eastAsia="仿宋" w:cs="仿宋"/>
          <w:color w:val="auto"/>
          <w:spacing w:val="-10"/>
          <w:sz w:val="24"/>
          <w:szCs w:val="24"/>
          <w:highlight w:val="none"/>
        </w:rPr>
        <w:t>第三章 评审标准</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_Toc3479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23</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30053AAB">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"_Toc6141" </w:instrText>
      </w:r>
      <w:r>
        <w:rPr>
          <w:color w:val="auto"/>
          <w:highlight w:val="none"/>
        </w:rPr>
        <w:fldChar w:fldCharType="separate"/>
      </w:r>
      <w:r>
        <w:rPr>
          <w:rFonts w:hint="eastAsia" w:ascii="仿宋" w:hAnsi="仿宋" w:eastAsia="仿宋" w:cs="仿宋"/>
          <w:color w:val="auto"/>
          <w:spacing w:val="-10"/>
          <w:sz w:val="24"/>
          <w:szCs w:val="24"/>
          <w:highlight w:val="none"/>
          <w:lang w:val="zh-CN"/>
        </w:rPr>
        <w:t xml:space="preserve">第四章 </w:t>
      </w:r>
      <w:r>
        <w:rPr>
          <w:rFonts w:hint="eastAsia" w:ascii="仿宋" w:hAnsi="仿宋" w:eastAsia="仿宋" w:cs="仿宋"/>
          <w:color w:val="auto"/>
          <w:spacing w:val="-10"/>
          <w:sz w:val="24"/>
          <w:szCs w:val="24"/>
          <w:highlight w:val="none"/>
        </w:rPr>
        <w:t>采购需求</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_Toc6141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1834301C">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"_Toc25351" </w:instrText>
      </w:r>
      <w:r>
        <w:rPr>
          <w:color w:val="auto"/>
          <w:highlight w:val="none"/>
        </w:rPr>
        <w:fldChar w:fldCharType="separate"/>
      </w:r>
      <w:r>
        <w:rPr>
          <w:rFonts w:hint="eastAsia" w:ascii="仿宋" w:hAnsi="仿宋" w:eastAsia="仿宋" w:cs="仿宋"/>
          <w:color w:val="auto"/>
          <w:sz w:val="24"/>
          <w:szCs w:val="24"/>
          <w:highlight w:val="none"/>
        </w:rPr>
        <w:t>第五章 合同草案条款</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_Toc25351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26</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63B9BF1B">
      <w:pPr>
        <w:pStyle w:val="40"/>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color w:val="auto"/>
          <w:sz w:val="24"/>
          <w:szCs w:val="24"/>
          <w:highlight w:val="none"/>
        </w:rPr>
      </w:pPr>
      <w:r>
        <w:rPr>
          <w:color w:val="auto"/>
          <w:highlight w:val="none"/>
        </w:rPr>
        <w:fldChar w:fldCharType="begin"/>
      </w:r>
      <w:r>
        <w:rPr>
          <w:color w:val="auto"/>
          <w:highlight w:val="none"/>
        </w:rPr>
        <w:instrText xml:space="preserve"> HYPERLINK \l "_Toc29800" </w:instrText>
      </w:r>
      <w:r>
        <w:rPr>
          <w:color w:val="auto"/>
          <w:highlight w:val="none"/>
        </w:rPr>
        <w:fldChar w:fldCharType="separate"/>
      </w:r>
      <w:r>
        <w:rPr>
          <w:rFonts w:hint="eastAsia" w:ascii="仿宋" w:hAnsi="仿宋" w:eastAsia="仿宋" w:cs="仿宋"/>
          <w:bCs/>
          <w:color w:val="auto"/>
          <w:sz w:val="24"/>
          <w:szCs w:val="24"/>
          <w:highlight w:val="none"/>
        </w:rPr>
        <w:t>第六章 响应文件格式及附件</w:t>
      </w:r>
      <w:r>
        <w:rPr>
          <w:rFonts w:hint="eastAsia" w:ascii="仿宋" w:hAnsi="仿宋" w:eastAsia="仿宋" w:cs="仿宋"/>
          <w:color w:val="auto"/>
          <w:sz w:val="24"/>
          <w:szCs w:val="24"/>
          <w:highlight w:val="none"/>
        </w:rPr>
        <w:tab/>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PAGEREF _Toc29800 \h </w:instrText>
      </w:r>
      <w:r>
        <w:rPr>
          <w:rFonts w:hint="eastAsia" w:ascii="仿宋" w:hAnsi="仿宋" w:eastAsia="仿宋" w:cs="仿宋"/>
          <w:color w:val="auto"/>
          <w:sz w:val="24"/>
          <w:szCs w:val="24"/>
          <w:highlight w:val="none"/>
        </w:rPr>
        <w:fldChar w:fldCharType="separate"/>
      </w:r>
      <w:r>
        <w:rPr>
          <w:rFonts w:ascii="仿宋" w:hAnsi="仿宋" w:eastAsia="仿宋" w:cs="仿宋"/>
          <w:color w:val="auto"/>
          <w:sz w:val="24"/>
          <w:szCs w:val="24"/>
          <w:highlight w:val="none"/>
        </w:rPr>
        <w:t>29</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fldChar w:fldCharType="end"/>
      </w:r>
    </w:p>
    <w:p w14:paraId="06EE4970">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"_Toc5429" </w:instrText>
      </w:r>
      <w:r>
        <w:rPr>
          <w:color w:val="auto"/>
          <w:highlight w:val="none"/>
        </w:rPr>
        <w:fldChar w:fldCharType="separate"/>
      </w:r>
      <w:r>
        <w:rPr>
          <w:rFonts w:hint="eastAsia" w:ascii="仿宋" w:hAnsi="仿宋" w:eastAsia="仿宋" w:cs="仿宋"/>
          <w:b/>
          <w:bCs/>
          <w:color w:val="auto"/>
          <w:sz w:val="24"/>
          <w:szCs w:val="24"/>
          <w:highlight w:val="none"/>
        </w:rPr>
        <w:t>一、基本目录</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_Toc5429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33</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68DB001E">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"_Toc28338" </w:instrText>
      </w:r>
      <w:r>
        <w:rPr>
          <w:color w:val="auto"/>
          <w:highlight w:val="none"/>
        </w:rPr>
        <w:fldChar w:fldCharType="separate"/>
      </w:r>
      <w:r>
        <w:rPr>
          <w:rFonts w:hint="eastAsia" w:ascii="仿宋" w:hAnsi="仿宋" w:eastAsia="仿宋" w:cs="仿宋"/>
          <w:i w:val="0"/>
          <w:color w:val="auto"/>
          <w:sz w:val="24"/>
          <w:szCs w:val="24"/>
          <w:highlight w:val="none"/>
        </w:rPr>
        <w:t>1、磋商报价表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_Toc28338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33</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7EC3D10">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"_Toc16001" </w:instrText>
      </w:r>
      <w:r>
        <w:rPr>
          <w:color w:val="auto"/>
          <w:highlight w:val="none"/>
        </w:rPr>
        <w:fldChar w:fldCharType="separate"/>
      </w:r>
      <w:r>
        <w:rPr>
          <w:rFonts w:hint="eastAsia" w:ascii="仿宋" w:hAnsi="仿宋" w:eastAsia="仿宋" w:cs="仿宋"/>
          <w:i w:val="0"/>
          <w:color w:val="auto"/>
          <w:sz w:val="24"/>
          <w:szCs w:val="24"/>
          <w:highlight w:val="none"/>
        </w:rPr>
        <w:t>2、竞争性磋商申请及声明</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_Toc16001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35</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BC2D220">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"_Toc19056" </w:instrText>
      </w:r>
      <w:r>
        <w:rPr>
          <w:color w:val="auto"/>
          <w:highlight w:val="none"/>
        </w:rPr>
        <w:fldChar w:fldCharType="separate"/>
      </w:r>
      <w:r>
        <w:rPr>
          <w:rFonts w:hint="eastAsia" w:ascii="仿宋" w:hAnsi="仿宋" w:eastAsia="仿宋" w:cs="仿宋"/>
          <w:i w:val="0"/>
          <w:color w:val="auto"/>
          <w:sz w:val="24"/>
          <w:szCs w:val="24"/>
          <w:highlight w:val="none"/>
        </w:rPr>
        <w:t>3、法定代表人授权书或法定代表人身份证明书</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_Toc19056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37</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BDF7BB0">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"_Toc17405" </w:instrText>
      </w:r>
      <w:r>
        <w:rPr>
          <w:color w:val="auto"/>
          <w:highlight w:val="none"/>
        </w:rPr>
        <w:fldChar w:fldCharType="separate"/>
      </w:r>
      <w:r>
        <w:rPr>
          <w:rFonts w:hint="eastAsia" w:ascii="仿宋" w:hAnsi="仿宋" w:eastAsia="仿宋" w:cs="仿宋"/>
          <w:i w:val="0"/>
          <w:color w:val="auto"/>
          <w:sz w:val="24"/>
          <w:szCs w:val="24"/>
          <w:highlight w:val="none"/>
        </w:rPr>
        <w:t>4、分项报价表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_Toc17405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39</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5EE72047">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"_Toc4346" </w:instrText>
      </w:r>
      <w:r>
        <w:rPr>
          <w:color w:val="auto"/>
          <w:highlight w:val="none"/>
        </w:rPr>
        <w:fldChar w:fldCharType="separate"/>
      </w:r>
      <w:r>
        <w:rPr>
          <w:rFonts w:hint="eastAsia" w:ascii="仿宋" w:hAnsi="仿宋" w:eastAsia="仿宋" w:cs="仿宋"/>
          <w:i w:val="0"/>
          <w:color w:val="auto"/>
          <w:sz w:val="24"/>
          <w:szCs w:val="24"/>
          <w:highlight w:val="none"/>
        </w:rPr>
        <w:t>5、技术条款偏离表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_Toc4346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41</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D60D083">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"_Toc2051" </w:instrText>
      </w:r>
      <w:r>
        <w:rPr>
          <w:color w:val="auto"/>
          <w:highlight w:val="none"/>
        </w:rPr>
        <w:fldChar w:fldCharType="separate"/>
      </w:r>
      <w:r>
        <w:rPr>
          <w:rFonts w:hint="eastAsia" w:ascii="仿宋" w:hAnsi="仿宋" w:eastAsia="仿宋" w:cs="仿宋"/>
          <w:i w:val="0"/>
          <w:color w:val="auto"/>
          <w:sz w:val="24"/>
          <w:szCs w:val="24"/>
          <w:highlight w:val="none"/>
        </w:rPr>
        <w:t>6、商务条款偏离表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_Toc2051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42</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04C2040A">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"_Toc10270" </w:instrText>
      </w:r>
      <w:r>
        <w:rPr>
          <w:color w:val="auto"/>
          <w:highlight w:val="none"/>
        </w:rPr>
        <w:fldChar w:fldCharType="separate"/>
      </w:r>
      <w:r>
        <w:rPr>
          <w:rFonts w:hint="eastAsia" w:ascii="仿宋" w:hAnsi="仿宋" w:eastAsia="仿宋" w:cs="仿宋"/>
          <w:i w:val="0"/>
          <w:color w:val="auto"/>
          <w:sz w:val="24"/>
          <w:szCs w:val="24"/>
          <w:highlight w:val="none"/>
        </w:rPr>
        <w:t>7、竞争性磋商文件要求及供应商认为需要提供的其他证明文件及材料</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_Toc10270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43</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B999EEF">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"_Toc6810" </w:instrText>
      </w:r>
      <w:r>
        <w:rPr>
          <w:color w:val="auto"/>
          <w:highlight w:val="none"/>
        </w:rPr>
        <w:fldChar w:fldCharType="separate"/>
      </w:r>
      <w:r>
        <w:rPr>
          <w:rFonts w:hint="eastAsia" w:ascii="仿宋" w:hAnsi="仿宋" w:eastAsia="仿宋" w:cs="仿宋"/>
          <w:b/>
          <w:bCs/>
          <w:color w:val="auto"/>
          <w:sz w:val="24"/>
          <w:szCs w:val="24"/>
          <w:highlight w:val="none"/>
        </w:rPr>
        <w:t>二、资格文件</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_Toc6810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44</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23484071">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"_Toc25452" </w:instrText>
      </w:r>
      <w:r>
        <w:rPr>
          <w:color w:val="auto"/>
          <w:highlight w:val="none"/>
        </w:rPr>
        <w:fldChar w:fldCharType="separate"/>
      </w:r>
      <w:r>
        <w:rPr>
          <w:rFonts w:hint="eastAsia" w:ascii="仿宋" w:hAnsi="仿宋" w:eastAsia="仿宋" w:cs="仿宋"/>
          <w:b/>
          <w:bCs/>
          <w:color w:val="auto"/>
          <w:sz w:val="24"/>
          <w:szCs w:val="24"/>
          <w:highlight w:val="none"/>
        </w:rPr>
        <w:t>三、符合条件</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_Toc25452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45</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DFC208D">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"_Toc3298" </w:instrText>
      </w:r>
      <w:r>
        <w:rPr>
          <w:color w:val="auto"/>
          <w:highlight w:val="none"/>
        </w:rPr>
        <w:fldChar w:fldCharType="separate"/>
      </w:r>
      <w:r>
        <w:rPr>
          <w:rFonts w:hint="eastAsia" w:ascii="仿宋" w:hAnsi="仿宋" w:eastAsia="仿宋" w:cs="仿宋"/>
          <w:b/>
          <w:bCs/>
          <w:color w:val="auto"/>
          <w:sz w:val="24"/>
          <w:szCs w:val="24"/>
          <w:highlight w:val="none"/>
        </w:rPr>
        <w:t>四、综合评审评分项</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_Toc3298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46</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784FB7F8">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"_Toc2050" </w:instrText>
      </w:r>
      <w:r>
        <w:rPr>
          <w:color w:val="auto"/>
          <w:highlight w:val="none"/>
        </w:rPr>
        <w:fldChar w:fldCharType="separate"/>
      </w:r>
      <w:r>
        <w:rPr>
          <w:rFonts w:hint="eastAsia" w:ascii="仿宋" w:hAnsi="仿宋" w:eastAsia="仿宋" w:cs="仿宋"/>
          <w:b/>
          <w:bCs/>
          <w:color w:val="auto"/>
          <w:sz w:val="24"/>
          <w:szCs w:val="24"/>
          <w:highlight w:val="none"/>
        </w:rPr>
        <w:t>五、价格折扣文件格式</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_Toc2050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47</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471108EA">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"_Toc34" </w:instrText>
      </w:r>
      <w:r>
        <w:rPr>
          <w:color w:val="auto"/>
          <w:highlight w:val="none"/>
        </w:rPr>
        <w:fldChar w:fldCharType="separate"/>
      </w:r>
      <w:r>
        <w:rPr>
          <w:rFonts w:hint="eastAsia" w:ascii="仿宋" w:hAnsi="仿宋" w:eastAsia="仿宋" w:cs="仿宋"/>
          <w:bCs/>
          <w:i w:val="0"/>
          <w:color w:val="auto"/>
          <w:sz w:val="24"/>
          <w:szCs w:val="24"/>
          <w:highlight w:val="none"/>
        </w:rPr>
        <w:t>1、中小企业声明函</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_Toc34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47</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55D52514">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"_Toc2715" </w:instrText>
      </w:r>
      <w:r>
        <w:rPr>
          <w:color w:val="auto"/>
          <w:highlight w:val="none"/>
        </w:rPr>
        <w:fldChar w:fldCharType="separate"/>
      </w:r>
      <w:r>
        <w:rPr>
          <w:rFonts w:hint="eastAsia" w:ascii="仿宋" w:hAnsi="仿宋" w:eastAsia="仿宋" w:cs="仿宋"/>
          <w:bCs/>
          <w:i w:val="0"/>
          <w:color w:val="auto"/>
          <w:sz w:val="24"/>
          <w:szCs w:val="24"/>
          <w:highlight w:val="none"/>
        </w:rPr>
        <w:t>2、残疾人福利性单位声明函</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_Toc2715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48</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06FCCF46">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"_Toc27407" </w:instrText>
      </w:r>
      <w:r>
        <w:rPr>
          <w:color w:val="auto"/>
          <w:highlight w:val="none"/>
        </w:rPr>
        <w:fldChar w:fldCharType="separate"/>
      </w:r>
      <w:r>
        <w:rPr>
          <w:rFonts w:hint="eastAsia" w:ascii="仿宋" w:hAnsi="仿宋" w:eastAsia="仿宋" w:cs="仿宋"/>
          <w:bCs/>
          <w:i w:val="0"/>
          <w:color w:val="auto"/>
          <w:sz w:val="24"/>
          <w:szCs w:val="24"/>
          <w:highlight w:val="none"/>
        </w:rPr>
        <w:t>3、属于监狱企业的证明文件</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_Toc27407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48</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A916E35">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"_Toc201" </w:instrText>
      </w:r>
      <w:r>
        <w:rPr>
          <w:color w:val="auto"/>
          <w:highlight w:val="none"/>
        </w:rPr>
        <w:fldChar w:fldCharType="separate"/>
      </w:r>
      <w:r>
        <w:rPr>
          <w:rFonts w:hint="eastAsia" w:ascii="仿宋" w:hAnsi="仿宋" w:eastAsia="仿宋" w:cs="仿宋"/>
          <w:bCs/>
          <w:i w:val="0"/>
          <w:color w:val="auto"/>
          <w:sz w:val="24"/>
          <w:szCs w:val="24"/>
          <w:highlight w:val="none"/>
        </w:rPr>
        <w:t>4、节能产品认证证书</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_Toc201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48</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3859072F">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"_Toc13896" </w:instrText>
      </w:r>
      <w:r>
        <w:rPr>
          <w:color w:val="auto"/>
          <w:highlight w:val="none"/>
        </w:rPr>
        <w:fldChar w:fldCharType="separate"/>
      </w:r>
      <w:r>
        <w:rPr>
          <w:rFonts w:hint="eastAsia" w:ascii="仿宋" w:hAnsi="仿宋" w:eastAsia="仿宋" w:cs="仿宋"/>
          <w:bCs/>
          <w:i w:val="0"/>
          <w:color w:val="auto"/>
          <w:sz w:val="24"/>
          <w:szCs w:val="24"/>
          <w:highlight w:val="none"/>
        </w:rPr>
        <w:t>5、环境标志产品认证证书</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_Toc13896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48</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7EF695D0">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"_Toc7669" </w:instrText>
      </w:r>
      <w:r>
        <w:rPr>
          <w:color w:val="auto"/>
          <w:highlight w:val="none"/>
        </w:rPr>
        <w:fldChar w:fldCharType="separate"/>
      </w:r>
      <w:r>
        <w:rPr>
          <w:rFonts w:hint="eastAsia" w:ascii="仿宋" w:hAnsi="仿宋" w:eastAsia="仿宋" w:cs="仿宋"/>
          <w:bCs/>
          <w:i w:val="0"/>
          <w:color w:val="auto"/>
          <w:sz w:val="24"/>
          <w:szCs w:val="24"/>
          <w:highlight w:val="none"/>
        </w:rPr>
        <w:t>6、进口产品转让技术、消化吸收再创新方案</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_Toc7669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48</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58FFF140">
      <w:pPr>
        <w:pStyle w:val="51"/>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b/>
          <w:bCs/>
          <w:color w:val="auto"/>
          <w:sz w:val="24"/>
          <w:szCs w:val="24"/>
          <w:highlight w:val="none"/>
        </w:rPr>
      </w:pPr>
      <w:r>
        <w:rPr>
          <w:color w:val="auto"/>
          <w:highlight w:val="none"/>
        </w:rPr>
        <w:fldChar w:fldCharType="begin"/>
      </w:r>
      <w:r>
        <w:rPr>
          <w:color w:val="auto"/>
          <w:highlight w:val="none"/>
        </w:rPr>
        <w:instrText xml:space="preserve"> HYPERLINK \l "_Toc18917" </w:instrText>
      </w:r>
      <w:r>
        <w:rPr>
          <w:color w:val="auto"/>
          <w:highlight w:val="none"/>
        </w:rPr>
        <w:fldChar w:fldCharType="separate"/>
      </w:r>
      <w:r>
        <w:rPr>
          <w:rFonts w:hint="eastAsia" w:ascii="仿宋" w:hAnsi="仿宋" w:eastAsia="仿宋" w:cs="仿宋"/>
          <w:b/>
          <w:bCs/>
          <w:color w:val="auto"/>
          <w:sz w:val="24"/>
          <w:szCs w:val="24"/>
          <w:highlight w:val="none"/>
        </w:rPr>
        <w:t>六、附件</w:t>
      </w:r>
      <w:r>
        <w:rPr>
          <w:rFonts w:hint="eastAsia" w:ascii="仿宋" w:hAnsi="仿宋" w:eastAsia="仿宋" w:cs="仿宋"/>
          <w:b/>
          <w:bCs/>
          <w:color w:val="auto"/>
          <w:sz w:val="24"/>
          <w:szCs w:val="24"/>
          <w:highlight w:val="none"/>
        </w:rPr>
        <w:tab/>
      </w:r>
      <w:r>
        <w:rPr>
          <w:rFonts w:hint="eastAsia" w:ascii="仿宋" w:hAnsi="仿宋" w:eastAsia="仿宋" w:cs="仿宋"/>
          <w:b/>
          <w:bCs/>
          <w:color w:val="auto"/>
          <w:sz w:val="24"/>
          <w:szCs w:val="24"/>
          <w:highlight w:val="none"/>
        </w:rPr>
        <w:fldChar w:fldCharType="begin"/>
      </w:r>
      <w:r>
        <w:rPr>
          <w:rFonts w:hint="eastAsia" w:ascii="仿宋" w:hAnsi="仿宋" w:eastAsia="仿宋" w:cs="仿宋"/>
          <w:b/>
          <w:bCs/>
          <w:color w:val="auto"/>
          <w:sz w:val="24"/>
          <w:szCs w:val="24"/>
          <w:highlight w:val="none"/>
        </w:rPr>
        <w:instrText xml:space="preserve"> PAGEREF _Toc18917 \h </w:instrText>
      </w:r>
      <w:r>
        <w:rPr>
          <w:rFonts w:hint="eastAsia" w:ascii="仿宋" w:hAnsi="仿宋" w:eastAsia="仿宋" w:cs="仿宋"/>
          <w:b/>
          <w:bCs/>
          <w:color w:val="auto"/>
          <w:sz w:val="24"/>
          <w:szCs w:val="24"/>
          <w:highlight w:val="none"/>
        </w:rPr>
        <w:fldChar w:fldCharType="separate"/>
      </w:r>
      <w:r>
        <w:rPr>
          <w:rFonts w:ascii="仿宋" w:hAnsi="仿宋" w:eastAsia="仿宋" w:cs="仿宋"/>
          <w:b/>
          <w:bCs/>
          <w:color w:val="auto"/>
          <w:sz w:val="24"/>
          <w:szCs w:val="24"/>
          <w:highlight w:val="none"/>
        </w:rPr>
        <w:t>49</w:t>
      </w:r>
      <w:r>
        <w:rPr>
          <w:rFonts w:hint="eastAsia" w:ascii="仿宋" w:hAnsi="仿宋" w:eastAsia="仿宋" w:cs="仿宋"/>
          <w:b/>
          <w:bCs/>
          <w:color w:val="auto"/>
          <w:sz w:val="24"/>
          <w:szCs w:val="24"/>
          <w:highlight w:val="none"/>
        </w:rPr>
        <w:fldChar w:fldCharType="end"/>
      </w:r>
      <w:r>
        <w:rPr>
          <w:rFonts w:hint="eastAsia" w:ascii="仿宋" w:hAnsi="仿宋" w:eastAsia="仿宋" w:cs="仿宋"/>
          <w:b/>
          <w:bCs/>
          <w:color w:val="auto"/>
          <w:sz w:val="24"/>
          <w:szCs w:val="24"/>
          <w:highlight w:val="none"/>
        </w:rPr>
        <w:fldChar w:fldCharType="end"/>
      </w:r>
    </w:p>
    <w:p w14:paraId="176829F9">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"_Toc27357" </w:instrText>
      </w:r>
      <w:r>
        <w:rPr>
          <w:color w:val="auto"/>
          <w:highlight w:val="none"/>
        </w:rPr>
        <w:fldChar w:fldCharType="separate"/>
      </w:r>
      <w:r>
        <w:rPr>
          <w:rFonts w:hint="eastAsia" w:ascii="仿宋" w:hAnsi="仿宋" w:eastAsia="仿宋" w:cs="仿宋"/>
          <w:bCs/>
          <w:i w:val="0"/>
          <w:color w:val="auto"/>
          <w:sz w:val="24"/>
          <w:szCs w:val="24"/>
          <w:highlight w:val="none"/>
        </w:rPr>
        <w:t>附件一、供应商拟投入本项目服务人员一览表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_Toc27357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49</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3B621D03">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"_Toc28810" </w:instrText>
      </w:r>
      <w:r>
        <w:rPr>
          <w:color w:val="auto"/>
          <w:highlight w:val="none"/>
        </w:rPr>
        <w:fldChar w:fldCharType="separate"/>
      </w:r>
      <w:r>
        <w:rPr>
          <w:rFonts w:hint="eastAsia" w:ascii="仿宋" w:hAnsi="仿宋" w:eastAsia="仿宋" w:cs="仿宋"/>
          <w:bCs/>
          <w:i w:val="0"/>
          <w:color w:val="auto"/>
          <w:sz w:val="24"/>
          <w:szCs w:val="24"/>
          <w:highlight w:val="none"/>
        </w:rPr>
        <w:t>附件二、供应商类似业绩一览表</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_Toc28810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50</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77875A2B">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"_Toc24821" </w:instrText>
      </w:r>
      <w:r>
        <w:rPr>
          <w:color w:val="auto"/>
          <w:highlight w:val="none"/>
        </w:rPr>
        <w:fldChar w:fldCharType="separate"/>
      </w:r>
      <w:r>
        <w:rPr>
          <w:rFonts w:hint="eastAsia" w:ascii="仿宋" w:hAnsi="仿宋" w:eastAsia="仿宋" w:cs="仿宋"/>
          <w:bCs/>
          <w:i w:val="0"/>
          <w:color w:val="auto"/>
          <w:sz w:val="24"/>
          <w:szCs w:val="24"/>
          <w:highlight w:val="none"/>
        </w:rPr>
        <w:t>附件三、无重大违法记录声明格式</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_Toc24821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51</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6FF4E9BC">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sz w:val="24"/>
          <w:szCs w:val="24"/>
          <w:highlight w:val="none"/>
        </w:rPr>
      </w:pPr>
      <w:r>
        <w:rPr>
          <w:color w:val="auto"/>
          <w:highlight w:val="none"/>
        </w:rPr>
        <w:fldChar w:fldCharType="begin"/>
      </w:r>
      <w:r>
        <w:rPr>
          <w:color w:val="auto"/>
          <w:highlight w:val="none"/>
        </w:rPr>
        <w:instrText xml:space="preserve"> HYPERLINK \l "_Toc6609" </w:instrText>
      </w:r>
      <w:r>
        <w:rPr>
          <w:color w:val="auto"/>
          <w:highlight w:val="none"/>
        </w:rPr>
        <w:fldChar w:fldCharType="separate"/>
      </w:r>
      <w:r>
        <w:rPr>
          <w:rFonts w:hint="eastAsia" w:ascii="仿宋" w:hAnsi="仿宋" w:eastAsia="仿宋" w:cs="仿宋"/>
          <w:bCs/>
          <w:i w:val="0"/>
          <w:color w:val="auto"/>
          <w:sz w:val="24"/>
          <w:szCs w:val="24"/>
          <w:highlight w:val="none"/>
        </w:rPr>
        <w:t>附件四、具备履行合同所必需的设备和专业技术能力的声明格式</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_Toc6609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52</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10AC873D">
      <w:pPr>
        <w:pStyle w:val="29"/>
        <w:keepNext w:val="0"/>
        <w:keepLines w:val="0"/>
        <w:pageBreakBefore w:val="0"/>
        <w:widowControl w:val="0"/>
        <w:tabs>
          <w:tab w:val="right" w:leader="dot" w:pos="8392"/>
        </w:tabs>
        <w:kinsoku/>
        <w:wordWrap/>
        <w:overflowPunct/>
        <w:topLinePunct w:val="0"/>
        <w:autoSpaceDE/>
        <w:autoSpaceDN/>
        <w:bidi w:val="0"/>
        <w:adjustRightInd/>
        <w:snapToGrid/>
        <w:spacing w:line="240" w:lineRule="auto"/>
        <w:textAlignment w:val="auto"/>
        <w:rPr>
          <w:rFonts w:ascii="仿宋" w:hAnsi="仿宋" w:eastAsia="仿宋" w:cs="仿宋"/>
          <w:i w:val="0"/>
          <w:color w:val="auto"/>
          <w:highlight w:val="none"/>
        </w:rPr>
      </w:pPr>
      <w:r>
        <w:rPr>
          <w:color w:val="auto"/>
          <w:highlight w:val="none"/>
        </w:rPr>
        <w:fldChar w:fldCharType="begin"/>
      </w:r>
      <w:r>
        <w:rPr>
          <w:color w:val="auto"/>
          <w:highlight w:val="none"/>
        </w:rPr>
        <w:instrText xml:space="preserve"> HYPERLINK \l "_Toc26005" </w:instrText>
      </w:r>
      <w:r>
        <w:rPr>
          <w:color w:val="auto"/>
          <w:highlight w:val="none"/>
        </w:rPr>
        <w:fldChar w:fldCharType="separate"/>
      </w:r>
      <w:r>
        <w:rPr>
          <w:rFonts w:hint="eastAsia" w:ascii="仿宋" w:hAnsi="仿宋" w:eastAsia="仿宋" w:cs="仿宋"/>
          <w:bCs/>
          <w:i w:val="0"/>
          <w:color w:val="auto"/>
          <w:sz w:val="24"/>
          <w:szCs w:val="24"/>
          <w:highlight w:val="none"/>
        </w:rPr>
        <w:t>附件五</w:t>
      </w:r>
      <w:r>
        <w:rPr>
          <w:rFonts w:hint="eastAsia" w:ascii="仿宋" w:hAnsi="仿宋" w:eastAsia="仿宋" w:cs="仿宋"/>
          <w:bCs/>
          <w:i w:val="0"/>
          <w:color w:val="auto"/>
          <w:sz w:val="24"/>
          <w:szCs w:val="24"/>
          <w:highlight w:val="none"/>
          <w:lang w:val="zh-CN"/>
        </w:rPr>
        <w:t>、南京市政府采购供应商信用记录表暨信用承诺书</w:t>
      </w:r>
      <w:r>
        <w:rPr>
          <w:rFonts w:hint="eastAsia" w:ascii="仿宋" w:hAnsi="仿宋" w:eastAsia="仿宋" w:cs="仿宋"/>
          <w:i w:val="0"/>
          <w:color w:val="auto"/>
          <w:sz w:val="24"/>
          <w:szCs w:val="24"/>
          <w:highlight w:val="none"/>
        </w:rPr>
        <w:tab/>
      </w:r>
      <w:r>
        <w:rPr>
          <w:rFonts w:hint="eastAsia" w:ascii="仿宋" w:hAnsi="仿宋" w:eastAsia="仿宋" w:cs="仿宋"/>
          <w:i w:val="0"/>
          <w:color w:val="auto"/>
          <w:sz w:val="24"/>
          <w:szCs w:val="24"/>
          <w:highlight w:val="none"/>
        </w:rPr>
        <w:fldChar w:fldCharType="begin"/>
      </w:r>
      <w:r>
        <w:rPr>
          <w:rFonts w:hint="eastAsia" w:ascii="仿宋" w:hAnsi="仿宋" w:eastAsia="仿宋" w:cs="仿宋"/>
          <w:i w:val="0"/>
          <w:color w:val="auto"/>
          <w:sz w:val="24"/>
          <w:szCs w:val="24"/>
          <w:highlight w:val="none"/>
        </w:rPr>
        <w:instrText xml:space="preserve"> PAGEREF _Toc26005 \h </w:instrText>
      </w:r>
      <w:r>
        <w:rPr>
          <w:rFonts w:hint="eastAsia" w:ascii="仿宋" w:hAnsi="仿宋" w:eastAsia="仿宋" w:cs="仿宋"/>
          <w:i w:val="0"/>
          <w:color w:val="auto"/>
          <w:sz w:val="24"/>
          <w:szCs w:val="24"/>
          <w:highlight w:val="none"/>
        </w:rPr>
        <w:fldChar w:fldCharType="separate"/>
      </w:r>
      <w:r>
        <w:rPr>
          <w:rFonts w:ascii="仿宋" w:hAnsi="仿宋" w:eastAsia="仿宋" w:cs="仿宋"/>
          <w:i w:val="0"/>
          <w:color w:val="auto"/>
          <w:sz w:val="24"/>
          <w:szCs w:val="24"/>
          <w:highlight w:val="none"/>
        </w:rPr>
        <w:t>53</w:t>
      </w:r>
      <w:r>
        <w:rPr>
          <w:rFonts w:hint="eastAsia" w:ascii="仿宋" w:hAnsi="仿宋" w:eastAsia="仿宋" w:cs="仿宋"/>
          <w:i w:val="0"/>
          <w:color w:val="auto"/>
          <w:sz w:val="24"/>
          <w:szCs w:val="24"/>
          <w:highlight w:val="none"/>
        </w:rPr>
        <w:fldChar w:fldCharType="end"/>
      </w:r>
      <w:r>
        <w:rPr>
          <w:rFonts w:hint="eastAsia" w:ascii="仿宋" w:hAnsi="仿宋" w:eastAsia="仿宋" w:cs="仿宋"/>
          <w:i w:val="0"/>
          <w:color w:val="auto"/>
          <w:sz w:val="24"/>
          <w:szCs w:val="24"/>
          <w:highlight w:val="none"/>
        </w:rPr>
        <w:fldChar w:fldCharType="end"/>
      </w:r>
    </w:p>
    <w:p w14:paraId="02469256">
      <w:pPr>
        <w:pStyle w:val="40"/>
        <w:keepNext w:val="0"/>
        <w:keepLines w:val="0"/>
        <w:pageBreakBefore w:val="0"/>
        <w:widowControl w:val="0"/>
        <w:tabs>
          <w:tab w:val="right" w:leader="dot" w:pos="8302"/>
        </w:tabs>
        <w:kinsoku/>
        <w:wordWrap/>
        <w:overflowPunct/>
        <w:topLinePunct w:val="0"/>
        <w:autoSpaceDE/>
        <w:autoSpaceDN/>
        <w:bidi w:val="0"/>
        <w:adjustRightInd/>
        <w:snapToGrid/>
        <w:spacing w:line="240" w:lineRule="auto"/>
        <w:textAlignment w:val="auto"/>
        <w:rPr>
          <w:rFonts w:ascii="仿宋" w:hAnsi="仿宋" w:eastAsia="仿宋" w:cs="仿宋"/>
          <w:b w:val="0"/>
          <w:bCs/>
          <w:color w:val="auto"/>
          <w:sz w:val="28"/>
          <w:szCs w:val="28"/>
          <w:highlight w:val="none"/>
        </w:rPr>
      </w:pPr>
      <w:r>
        <w:rPr>
          <w:rFonts w:hint="eastAsia" w:ascii="仿宋" w:hAnsi="仿宋" w:eastAsia="仿宋" w:cs="仿宋"/>
          <w:bCs/>
          <w:color w:val="auto"/>
          <w:szCs w:val="32"/>
          <w:highlight w:val="none"/>
        </w:rPr>
        <w:fldChar w:fldCharType="end"/>
      </w:r>
    </w:p>
    <w:p w14:paraId="51F998A4">
      <w:pPr>
        <w:pStyle w:val="2"/>
        <w:tabs>
          <w:tab w:val="clear" w:pos="1440"/>
          <w:tab w:val="clear" w:pos="5670"/>
        </w:tabs>
        <w:spacing w:before="240" w:after="240"/>
        <w:ind w:firstLine="0" w:firstLineChars="0"/>
        <w:jc w:val="center"/>
        <w:rPr>
          <w:rFonts w:ascii="仿宋" w:hAnsi="仿宋" w:cs="仿宋"/>
          <w:color w:val="auto"/>
          <w:spacing w:val="-10"/>
          <w:sz w:val="36"/>
          <w:szCs w:val="36"/>
          <w:highlight w:val="none"/>
        </w:rPr>
      </w:pPr>
      <w:r>
        <w:rPr>
          <w:rFonts w:hint="eastAsia" w:ascii="仿宋" w:hAnsi="仿宋" w:cs="仿宋"/>
          <w:color w:val="auto"/>
          <w:sz w:val="44"/>
          <w:highlight w:val="none"/>
        </w:rPr>
        <w:br w:type="page"/>
      </w:r>
      <w:bookmarkStart w:id="0" w:name="_Toc33266147"/>
      <w:bookmarkStart w:id="1" w:name="_Toc16656"/>
      <w:bookmarkStart w:id="2" w:name="_Toc29957"/>
      <w:bookmarkStart w:id="3" w:name="_Toc25559"/>
      <w:bookmarkStart w:id="4" w:name="_Toc29936"/>
      <w:bookmarkStart w:id="5" w:name="_Toc31701"/>
      <w:bookmarkStart w:id="6" w:name="_Toc11575"/>
      <w:bookmarkStart w:id="7" w:name="_Toc26976"/>
      <w:bookmarkStart w:id="8" w:name="_Toc29138"/>
      <w:bookmarkStart w:id="9" w:name="_Toc5601"/>
      <w:bookmarkStart w:id="10" w:name="_Toc24699"/>
      <w:bookmarkStart w:id="11" w:name="_Toc830"/>
      <w:bookmarkStart w:id="12" w:name="_Toc10985"/>
      <w:bookmarkStart w:id="13" w:name="_Toc4280"/>
      <w:r>
        <w:rPr>
          <w:rFonts w:hint="eastAsia" w:ascii="仿宋" w:hAnsi="仿宋" w:cs="仿宋"/>
          <w:color w:val="auto"/>
          <w:spacing w:val="-10"/>
          <w:sz w:val="36"/>
          <w:szCs w:val="36"/>
          <w:highlight w:val="none"/>
        </w:rPr>
        <w:t>第一章 竞争性磋商</w:t>
      </w:r>
      <w:bookmarkEnd w:id="0"/>
      <w:r>
        <w:rPr>
          <w:rFonts w:hint="eastAsia" w:ascii="仿宋" w:hAnsi="仿宋" w:cs="仿宋"/>
          <w:color w:val="auto"/>
          <w:spacing w:val="-10"/>
          <w:sz w:val="36"/>
          <w:szCs w:val="36"/>
          <w:highlight w:val="none"/>
        </w:rPr>
        <w:t>邀请</w:t>
      </w:r>
      <w:bookmarkEnd w:id="1"/>
      <w:bookmarkEnd w:id="2"/>
      <w:bookmarkEnd w:id="3"/>
      <w:bookmarkEnd w:id="4"/>
      <w:bookmarkEnd w:id="5"/>
      <w:bookmarkEnd w:id="6"/>
      <w:bookmarkEnd w:id="7"/>
      <w:bookmarkEnd w:id="8"/>
      <w:bookmarkEnd w:id="9"/>
      <w:bookmarkEnd w:id="10"/>
      <w:bookmarkEnd w:id="11"/>
      <w:bookmarkEnd w:id="12"/>
      <w:bookmarkEnd w:id="13"/>
    </w:p>
    <w:p w14:paraId="1304430C">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项目概况</w:t>
      </w:r>
    </w:p>
    <w:p w14:paraId="49FAE3E2">
      <w:pPr>
        <w:pBdr>
          <w:top w:val="single" w:color="auto" w:sz="4" w:space="1"/>
          <w:left w:val="single" w:color="auto" w:sz="4" w:space="4"/>
          <w:bottom w:val="single" w:color="auto" w:sz="4" w:space="1"/>
          <w:right w:val="single" w:color="auto" w:sz="4" w:space="4"/>
        </w:pBd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u w:val="single"/>
          <w:lang w:val="zh-CN"/>
        </w:rPr>
        <w:t>雨花台区文化和旅游局雨花非遗・艺启同行—雨花台区非遗推广项目</w:t>
      </w:r>
      <w:r>
        <w:rPr>
          <w:rFonts w:hint="eastAsia" w:ascii="仿宋" w:hAnsi="仿宋" w:eastAsia="仿宋" w:cs="仿宋"/>
          <w:color w:val="auto"/>
          <w:sz w:val="24"/>
          <w:szCs w:val="24"/>
          <w:highlight w:val="none"/>
        </w:rPr>
        <w:t>的潜在供应商应在</w:t>
      </w:r>
      <w:r>
        <w:rPr>
          <w:rFonts w:hint="eastAsia" w:ascii="仿宋" w:hAnsi="仿宋" w:eastAsia="仿宋" w:cs="仿宋"/>
          <w:color w:val="auto"/>
          <w:sz w:val="24"/>
          <w:szCs w:val="24"/>
          <w:highlight w:val="none"/>
          <w:u w:val="single"/>
        </w:rPr>
        <w:t>雨花台区招投标采购平台</w:t>
      </w:r>
      <w:r>
        <w:rPr>
          <w:rFonts w:hint="eastAsia" w:ascii="仿宋" w:hAnsi="仿宋" w:eastAsia="仿宋" w:cs="仿宋"/>
          <w:color w:val="auto"/>
          <w:sz w:val="24"/>
          <w:szCs w:val="24"/>
          <w:highlight w:val="none"/>
        </w:rPr>
        <w:t>获取采购文件，并于</w:t>
      </w:r>
      <w:r>
        <w:rPr>
          <w:rFonts w:hint="eastAsia" w:ascii="仿宋" w:hAnsi="仿宋" w:eastAsia="仿宋" w:cs="仿宋"/>
          <w:b/>
          <w:bCs/>
          <w:color w:val="auto"/>
          <w:sz w:val="24"/>
          <w:szCs w:val="24"/>
          <w:highlight w:val="none"/>
          <w:u w:val="single"/>
        </w:rPr>
        <w:t>2025年</w:t>
      </w:r>
      <w:r>
        <w:rPr>
          <w:rFonts w:hint="eastAsia" w:ascii="仿宋" w:hAnsi="仿宋" w:eastAsia="仿宋" w:cs="仿宋"/>
          <w:b/>
          <w:bCs/>
          <w:color w:val="auto"/>
          <w:sz w:val="24"/>
          <w:szCs w:val="24"/>
          <w:highlight w:val="none"/>
          <w:u w:val="single"/>
          <w:lang w:val="en-US" w:eastAsia="zh-CN"/>
        </w:rPr>
        <w:t>5</w:t>
      </w:r>
      <w:r>
        <w:rPr>
          <w:rFonts w:hint="eastAsia" w:ascii="仿宋" w:hAnsi="仿宋" w:eastAsia="仿宋" w:cs="仿宋"/>
          <w:b/>
          <w:bCs/>
          <w:color w:val="auto"/>
          <w:sz w:val="24"/>
          <w:szCs w:val="24"/>
          <w:highlight w:val="none"/>
          <w:u w:val="single"/>
        </w:rPr>
        <w:t>月</w:t>
      </w:r>
      <w:r>
        <w:rPr>
          <w:rFonts w:hint="eastAsia" w:ascii="仿宋" w:hAnsi="仿宋" w:eastAsia="仿宋" w:cs="仿宋"/>
          <w:b/>
          <w:bCs/>
          <w:color w:val="auto"/>
          <w:sz w:val="24"/>
          <w:szCs w:val="24"/>
          <w:highlight w:val="none"/>
          <w:u w:val="single"/>
          <w:lang w:val="en-US" w:eastAsia="zh-CN"/>
        </w:rPr>
        <w:t>23</w:t>
      </w:r>
      <w:r>
        <w:rPr>
          <w:rFonts w:hint="eastAsia" w:ascii="仿宋" w:hAnsi="仿宋" w:eastAsia="仿宋" w:cs="仿宋"/>
          <w:b/>
          <w:bCs/>
          <w:color w:val="auto"/>
          <w:sz w:val="24"/>
          <w:szCs w:val="24"/>
          <w:highlight w:val="none"/>
          <w:u w:val="single"/>
        </w:rPr>
        <w:t>日</w:t>
      </w:r>
      <w:r>
        <w:rPr>
          <w:rFonts w:hint="eastAsia" w:ascii="仿宋" w:hAnsi="仿宋" w:eastAsia="仿宋" w:cs="仿宋"/>
          <w:b/>
          <w:bCs/>
          <w:color w:val="auto"/>
          <w:sz w:val="24"/>
          <w:szCs w:val="24"/>
          <w:highlight w:val="none"/>
          <w:u w:val="single"/>
          <w:lang w:val="en-US" w:eastAsia="zh-CN"/>
        </w:rPr>
        <w:t>10</w:t>
      </w:r>
      <w:r>
        <w:rPr>
          <w:rFonts w:hint="eastAsia" w:ascii="仿宋" w:hAnsi="仿宋" w:eastAsia="仿宋" w:cs="仿宋"/>
          <w:b/>
          <w:bCs/>
          <w:color w:val="auto"/>
          <w:sz w:val="24"/>
          <w:szCs w:val="24"/>
          <w:highlight w:val="none"/>
          <w:u w:val="single"/>
        </w:rPr>
        <w:t>点00分</w:t>
      </w:r>
      <w:r>
        <w:rPr>
          <w:rFonts w:hint="eastAsia" w:ascii="仿宋" w:hAnsi="仿宋" w:eastAsia="仿宋" w:cs="仿宋"/>
          <w:bCs/>
          <w:color w:val="auto"/>
          <w:sz w:val="24"/>
          <w:szCs w:val="24"/>
          <w:highlight w:val="none"/>
        </w:rPr>
        <w:t>（北京时间）前提交响应文件</w:t>
      </w:r>
      <w:r>
        <w:rPr>
          <w:rFonts w:hint="eastAsia" w:ascii="仿宋" w:hAnsi="仿宋" w:eastAsia="仿宋" w:cs="仿宋"/>
          <w:color w:val="auto"/>
          <w:sz w:val="24"/>
          <w:szCs w:val="24"/>
          <w:highlight w:val="none"/>
        </w:rPr>
        <w:t>。</w:t>
      </w:r>
    </w:p>
    <w:p w14:paraId="2308CE57">
      <w:pPr>
        <w:spacing w:line="360" w:lineRule="auto"/>
        <w:rPr>
          <w:rFonts w:ascii="仿宋" w:hAnsi="仿宋" w:eastAsia="仿宋" w:cs="仿宋"/>
          <w:b/>
          <w:bCs/>
          <w:color w:val="auto"/>
          <w:sz w:val="24"/>
          <w:szCs w:val="24"/>
          <w:highlight w:val="none"/>
        </w:rPr>
      </w:pPr>
      <w:bookmarkStart w:id="14" w:name="_Toc28359012"/>
      <w:bookmarkStart w:id="15" w:name="_Toc35393798"/>
      <w:bookmarkStart w:id="16" w:name="_Toc28359089"/>
      <w:bookmarkStart w:id="17" w:name="_Toc35393629"/>
      <w:r>
        <w:rPr>
          <w:rFonts w:hint="eastAsia" w:ascii="仿宋" w:hAnsi="仿宋" w:eastAsia="仿宋" w:cs="仿宋"/>
          <w:b/>
          <w:bCs/>
          <w:color w:val="auto"/>
          <w:sz w:val="24"/>
          <w:szCs w:val="24"/>
          <w:highlight w:val="none"/>
        </w:rPr>
        <w:t>一、项目基本情况</w:t>
      </w:r>
      <w:bookmarkEnd w:id="14"/>
      <w:bookmarkEnd w:id="15"/>
      <w:bookmarkEnd w:id="16"/>
      <w:bookmarkEnd w:id="17"/>
    </w:p>
    <w:p w14:paraId="3E425631">
      <w:pPr>
        <w:spacing w:line="360" w:lineRule="auto"/>
        <w:ind w:firstLine="482" w:firstLineChars="200"/>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1.项目编号：</w:t>
      </w:r>
      <w:r>
        <w:rPr>
          <w:rFonts w:hint="eastAsia" w:ascii="仿宋" w:hAnsi="仿宋" w:eastAsia="仿宋" w:cs="仿宋"/>
          <w:color w:val="auto"/>
          <w:sz w:val="24"/>
          <w:szCs w:val="24"/>
          <w:highlight w:val="none"/>
          <w:lang w:eastAsia="zh-CN"/>
        </w:rPr>
        <w:t>YCZX-CS-202501081</w:t>
      </w:r>
    </w:p>
    <w:p w14:paraId="11731099">
      <w:pPr>
        <w:spacing w:line="360" w:lineRule="auto"/>
        <w:ind w:firstLine="482" w:firstLineChars="200"/>
        <w:rPr>
          <w:rFonts w:ascii="仿宋" w:hAnsi="仿宋" w:eastAsia="仿宋" w:cs="仿宋"/>
          <w:bCs/>
          <w:color w:val="auto"/>
          <w:spacing w:val="-6"/>
          <w:sz w:val="24"/>
          <w:szCs w:val="24"/>
          <w:highlight w:val="none"/>
          <w:lang w:val="zh-CN"/>
        </w:rPr>
      </w:pPr>
      <w:r>
        <w:rPr>
          <w:rFonts w:hint="eastAsia" w:ascii="仿宋" w:hAnsi="仿宋" w:eastAsia="仿宋" w:cs="仿宋"/>
          <w:b/>
          <w:bCs/>
          <w:color w:val="auto"/>
          <w:sz w:val="24"/>
          <w:szCs w:val="24"/>
          <w:highlight w:val="none"/>
        </w:rPr>
        <w:t>2.项目名称：</w:t>
      </w:r>
      <w:r>
        <w:rPr>
          <w:rFonts w:hint="eastAsia" w:ascii="仿宋" w:hAnsi="仿宋" w:eastAsia="仿宋" w:cs="仿宋"/>
          <w:bCs/>
          <w:color w:val="auto"/>
          <w:spacing w:val="-6"/>
          <w:sz w:val="24"/>
          <w:szCs w:val="24"/>
          <w:highlight w:val="none"/>
          <w:lang w:val="zh-CN"/>
        </w:rPr>
        <w:t>雨花台区文化和旅游局雨花非遗・艺启同行—雨花台区非遗推广项目</w:t>
      </w:r>
    </w:p>
    <w:p w14:paraId="17FCF92F">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3.项目所属行业</w:t>
      </w:r>
      <w:r>
        <w:rPr>
          <w:rFonts w:hint="eastAsia" w:ascii="仿宋" w:hAnsi="仿宋" w:eastAsia="仿宋" w:cs="仿宋"/>
          <w:color w:val="auto"/>
          <w:sz w:val="24"/>
          <w:szCs w:val="24"/>
          <w:highlight w:val="none"/>
        </w:rPr>
        <w:t>：根据《关于印发中小企业划型标准规定的通知》（工信部联企业〔2011〕300号）及《国家统计局关于印发&lt;统计上大中小微型企业划分办法（2017）&gt;的通知》（国统字〔2017〕213号）等文件规定，本项目所属行业为“其他未列明行业”。</w:t>
      </w:r>
    </w:p>
    <w:p w14:paraId="080861AB">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4.采购方式：</w:t>
      </w:r>
      <w:r>
        <w:rPr>
          <w:rFonts w:hint="eastAsia" w:ascii="仿宋" w:hAnsi="仿宋" w:eastAsia="仿宋" w:cs="仿宋"/>
          <w:color w:val="auto"/>
          <w:sz w:val="24"/>
          <w:szCs w:val="24"/>
          <w:highlight w:val="none"/>
        </w:rPr>
        <w:t>竞争性磋商</w:t>
      </w:r>
    </w:p>
    <w:p w14:paraId="15236767">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5.预算金额</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万元</w:t>
      </w:r>
    </w:p>
    <w:p w14:paraId="3187D3D9">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6.最高限价</w:t>
      </w:r>
      <w:r>
        <w:rPr>
          <w:rFonts w:hint="eastAsia" w:ascii="仿宋" w:hAnsi="仿宋" w:eastAsia="仿宋" w:cs="仿宋"/>
          <w:color w:val="auto"/>
          <w:sz w:val="24"/>
          <w:szCs w:val="24"/>
          <w:highlight w:val="none"/>
        </w:rPr>
        <w:t>：人民币</w:t>
      </w:r>
      <w:r>
        <w:rPr>
          <w:rFonts w:hint="eastAsia" w:ascii="仿宋" w:hAnsi="仿宋" w:eastAsia="仿宋" w:cs="仿宋"/>
          <w:color w:val="auto"/>
          <w:sz w:val="24"/>
          <w:szCs w:val="24"/>
          <w:highlight w:val="none"/>
          <w:lang w:val="en-US" w:eastAsia="zh-CN"/>
        </w:rPr>
        <w:t>30</w:t>
      </w:r>
      <w:r>
        <w:rPr>
          <w:rFonts w:hint="eastAsia" w:ascii="仿宋" w:hAnsi="仿宋" w:eastAsia="仿宋" w:cs="仿宋"/>
          <w:color w:val="auto"/>
          <w:sz w:val="24"/>
          <w:szCs w:val="24"/>
          <w:highlight w:val="none"/>
        </w:rPr>
        <w:t>万元，超过此价格的报价做无效响应处理</w:t>
      </w:r>
    </w:p>
    <w:p w14:paraId="372EA121">
      <w:pPr>
        <w:spacing w:line="360" w:lineRule="auto"/>
        <w:ind w:firstLine="482" w:firstLineChars="200"/>
        <w:rPr>
          <w:rFonts w:ascii="仿宋" w:hAnsi="仿宋" w:eastAsia="仿宋" w:cs="仿宋"/>
          <w:color w:val="auto"/>
          <w:sz w:val="24"/>
          <w:szCs w:val="24"/>
          <w:highlight w:val="none"/>
          <w:shd w:val="clear"/>
          <w:lang w:val="zh-CN"/>
        </w:rPr>
      </w:pPr>
      <w:r>
        <w:rPr>
          <w:rFonts w:hint="eastAsia" w:ascii="仿宋" w:hAnsi="仿宋" w:eastAsia="仿宋" w:cs="仿宋"/>
          <w:b/>
          <w:bCs/>
          <w:color w:val="auto"/>
          <w:sz w:val="24"/>
          <w:szCs w:val="24"/>
          <w:highlight w:val="none"/>
        </w:rPr>
        <w:t>7.采购需求</w:t>
      </w:r>
      <w:r>
        <w:rPr>
          <w:rFonts w:hint="eastAsia" w:ascii="仿宋" w:hAnsi="仿宋" w:eastAsia="仿宋" w:cs="仿宋"/>
          <w:color w:val="auto"/>
          <w:sz w:val="24"/>
          <w:szCs w:val="24"/>
          <w:highlight w:val="none"/>
        </w:rPr>
        <w:t>：雨花台区文化和旅游局雨花非遗・艺启同行—雨花台区非遗推广项目</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shd w:val="clear"/>
        </w:rPr>
        <w:t>具体要求详见竞争性磋商文件第四章。</w:t>
      </w:r>
    </w:p>
    <w:p w14:paraId="457895DB">
      <w:pPr>
        <w:pStyle w:val="19"/>
        <w:spacing w:line="360" w:lineRule="auto"/>
        <w:ind w:firstLine="482" w:firstLineChars="20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rPr>
        <w:t>8.合同履行期限：</w:t>
      </w:r>
      <w:r>
        <w:rPr>
          <w:rFonts w:hint="eastAsia" w:ascii="仿宋" w:hAnsi="仿宋" w:eastAsia="仿宋" w:cs="仿宋"/>
          <w:color w:val="auto"/>
          <w:sz w:val="24"/>
          <w:szCs w:val="24"/>
          <w:highlight w:val="none"/>
          <w:lang w:val="en-US" w:eastAsia="zh-CN"/>
        </w:rPr>
        <w:t>一年</w:t>
      </w:r>
    </w:p>
    <w:p w14:paraId="276BEC8A">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9.本项目（是/否）接受联合体：</w:t>
      </w:r>
      <w:r>
        <w:rPr>
          <w:rFonts w:hint="eastAsia" w:ascii="仿宋" w:hAnsi="仿宋" w:eastAsia="仿宋" w:cs="仿宋"/>
          <w:color w:val="auto"/>
          <w:sz w:val="24"/>
          <w:szCs w:val="24"/>
          <w:highlight w:val="none"/>
        </w:rPr>
        <w:t>否</w:t>
      </w:r>
    </w:p>
    <w:p w14:paraId="3973EE06">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10.是否接受进口产品：否</w:t>
      </w:r>
    </w:p>
    <w:p w14:paraId="48B6A826">
      <w:pPr>
        <w:spacing w:line="360" w:lineRule="auto"/>
        <w:rPr>
          <w:rFonts w:ascii="仿宋" w:hAnsi="仿宋" w:eastAsia="仿宋" w:cs="仿宋"/>
          <w:b/>
          <w:bCs/>
          <w:color w:val="auto"/>
          <w:sz w:val="24"/>
          <w:szCs w:val="24"/>
          <w:highlight w:val="none"/>
        </w:rPr>
      </w:pPr>
      <w:bookmarkStart w:id="18" w:name="_Toc35393630"/>
      <w:bookmarkStart w:id="19" w:name="_Toc28359013"/>
      <w:bookmarkStart w:id="20" w:name="_Toc28359090"/>
      <w:bookmarkStart w:id="21" w:name="_Toc35393799"/>
      <w:r>
        <w:rPr>
          <w:rFonts w:hint="eastAsia" w:ascii="仿宋" w:hAnsi="仿宋" w:eastAsia="仿宋" w:cs="仿宋"/>
          <w:b/>
          <w:bCs/>
          <w:color w:val="auto"/>
          <w:sz w:val="24"/>
          <w:szCs w:val="24"/>
          <w:highlight w:val="none"/>
        </w:rPr>
        <w:t>二、申请人的资格要求</w:t>
      </w:r>
      <w:bookmarkEnd w:id="18"/>
      <w:bookmarkEnd w:id="19"/>
      <w:bookmarkEnd w:id="20"/>
      <w:bookmarkEnd w:id="21"/>
    </w:p>
    <w:p w14:paraId="59EEC530">
      <w:pPr>
        <w:spacing w:line="360" w:lineRule="auto"/>
        <w:ind w:firstLine="482" w:firstLineChars="200"/>
        <w:rPr>
          <w:rFonts w:ascii="仿宋" w:hAnsi="仿宋" w:eastAsia="仿宋" w:cs="仿宋"/>
          <w:color w:val="auto"/>
          <w:sz w:val="24"/>
          <w:szCs w:val="24"/>
          <w:highlight w:val="none"/>
        </w:rPr>
      </w:pPr>
      <w:bookmarkStart w:id="22" w:name="_Toc28359014"/>
      <w:bookmarkStart w:id="23" w:name="_Toc28359091"/>
      <w:r>
        <w:rPr>
          <w:rFonts w:hint="eastAsia" w:ascii="仿宋" w:hAnsi="仿宋" w:eastAsia="仿宋" w:cs="仿宋"/>
          <w:b/>
          <w:bCs/>
          <w:color w:val="auto"/>
          <w:sz w:val="24"/>
          <w:szCs w:val="24"/>
          <w:highlight w:val="none"/>
        </w:rPr>
        <w:t>1.满足《中华人民共和国政府采购法》第二十二条规定</w:t>
      </w:r>
      <w:r>
        <w:rPr>
          <w:rFonts w:hint="eastAsia" w:ascii="仿宋" w:hAnsi="仿宋" w:eastAsia="仿宋" w:cs="仿宋"/>
          <w:color w:val="auto"/>
          <w:sz w:val="24"/>
          <w:szCs w:val="24"/>
          <w:highlight w:val="none"/>
        </w:rPr>
        <w:t>：</w:t>
      </w:r>
    </w:p>
    <w:p w14:paraId="7785133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1.具有独立承担民事责任的能力（法人或者其他组织提供营业执照或法人证书或组织机构代码证，自然人提供身份证）</w:t>
      </w:r>
    </w:p>
    <w:p w14:paraId="2303B3F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告，成立不满6个月的无需提供）</w:t>
      </w:r>
    </w:p>
    <w:p w14:paraId="16ED9FB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3.具有履行合同所必需的设备和专业技术能力（根据项目需求提供履行合同所必需的设备和专业技术能力的声明或证明材料）</w:t>
      </w:r>
    </w:p>
    <w:p w14:paraId="6BFD0EB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4.参加本项目政府采购活动前三年内，在经营活动中没有重大违法记录（提供参加本次政府采购活动前3年内在经营活动中没有重大违法记录的书面声明）</w:t>
      </w:r>
    </w:p>
    <w:p w14:paraId="4A9A845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5.有依法缴纳税收和社会保障资金的良好记录（提供参加本次政府采购活动前半年内（至少一个月）依法缴纳税收和社会保障资金的相关材料，依法享受免缴、缓缴的，提供证明材料）</w:t>
      </w:r>
    </w:p>
    <w:p w14:paraId="139EDFB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6.法律、行政法规规定的其他条件：无</w:t>
      </w:r>
    </w:p>
    <w:p w14:paraId="309AE906">
      <w:pPr>
        <w:spacing w:line="360" w:lineRule="auto"/>
        <w:ind w:firstLine="482" w:firstLineChars="200"/>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2.落实政府采购政策需满足的资格要求：</w:t>
      </w:r>
      <w:r>
        <w:rPr>
          <w:rFonts w:hint="eastAsia" w:ascii="仿宋" w:hAnsi="仿宋" w:eastAsia="仿宋" w:cs="仿宋"/>
          <w:color w:val="auto"/>
          <w:sz w:val="24"/>
          <w:szCs w:val="24"/>
          <w:highlight w:val="none"/>
        </w:rPr>
        <w:t>（如属于专门面向中小企业采购的项目，供应商应为中小微企业、监狱企业、残疾人福利单位）</w:t>
      </w:r>
    </w:p>
    <w:p w14:paraId="29D9D8FF">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本项目按照以下第（</w:t>
      </w:r>
      <w:r>
        <w:rPr>
          <w:rFonts w:hint="eastAsia" w:ascii="仿宋" w:hAnsi="仿宋" w:eastAsia="仿宋" w:cs="仿宋"/>
          <w:b/>
          <w:bCs/>
          <w:color w:val="auto"/>
          <w:sz w:val="24"/>
          <w:highlight w:val="none"/>
        </w:rPr>
        <w:t>1</w:t>
      </w:r>
      <w:r>
        <w:rPr>
          <w:rFonts w:hint="eastAsia" w:ascii="仿宋" w:hAnsi="仿宋" w:eastAsia="仿宋" w:cs="仿宋"/>
          <w:color w:val="auto"/>
          <w:sz w:val="24"/>
          <w:highlight w:val="none"/>
        </w:rPr>
        <w:t>）种方式落实政府采购促进中小企业发展的要求：</w:t>
      </w:r>
    </w:p>
    <w:p w14:paraId="31E0776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（1）本项目整体专门面向中小企业采购服务。</w:t>
      </w:r>
    </w:p>
    <w:p w14:paraId="0D31B4C6">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（2）本项目整体专门面向小微企业采购服务。</w:t>
      </w:r>
    </w:p>
    <w:p w14:paraId="62689D92">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（3）本项目通过以下第（）种方式预留部分采购份额采购中小企业服务：</w:t>
      </w:r>
    </w:p>
    <w:p w14:paraId="10C2288D">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①本项目要求供应商以联合体形式参加，中小企业合同金额应当达到的比例为_%。</w:t>
      </w:r>
    </w:p>
    <w:p w14:paraId="4D1EE3BA">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②本项目要求供应商进行合同分包，中小企业合同金额应当达到的比例为_%。</w:t>
      </w:r>
    </w:p>
    <w:p w14:paraId="2FFB821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（4）本项目为非预留份额的采购项目或采购包，执行价格扣除优惠政策，具体详见第三章评标办法与标准。</w:t>
      </w:r>
    </w:p>
    <w:p w14:paraId="0CA0DC62">
      <w:pPr>
        <w:spacing w:line="360" w:lineRule="auto"/>
        <w:ind w:firstLine="482" w:firstLineChars="200"/>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3.本项目的特定资格要求：无</w:t>
      </w:r>
    </w:p>
    <w:p w14:paraId="544A79F8">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4.</w:t>
      </w:r>
      <w:r>
        <w:rPr>
          <w:rFonts w:hint="eastAsia" w:ascii="仿宋" w:hAnsi="仿宋" w:eastAsia="仿宋" w:cs="仿宋"/>
          <w:color w:val="auto"/>
          <w:sz w:val="24"/>
          <w:highlight w:val="none"/>
        </w:rPr>
        <w:t>第1.（4）条所称重大违法记录，是指供应商因违法经营受到刑事处罚或者责令停产停业、吊销许可证或者执照、较大数额罚款等行政处罚。</w:t>
      </w:r>
    </w:p>
    <w:p w14:paraId="1ADB1F7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5.</w:t>
      </w:r>
      <w:r>
        <w:rPr>
          <w:rFonts w:hint="eastAsia" w:ascii="仿宋" w:hAnsi="仿宋" w:eastAsia="仿宋" w:cs="仿宋"/>
          <w:color w:val="auto"/>
          <w:sz w:val="24"/>
          <w:highlight w:val="none"/>
        </w:rPr>
        <w:t>供应商在参加政府采购活动前3年内因违法经营被禁止在一定期限内参加政府采购活动，期限届满的，可以参加政府采购活动。</w:t>
      </w:r>
    </w:p>
    <w:p w14:paraId="53D558DD">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6.</w:t>
      </w:r>
      <w:r>
        <w:rPr>
          <w:rFonts w:hint="eastAsia" w:ascii="仿宋" w:hAnsi="仿宋" w:eastAsia="仿宋" w:cs="仿宋"/>
          <w:color w:val="auto"/>
          <w:sz w:val="24"/>
          <w:highlight w:val="none"/>
        </w:rPr>
        <w:t>不同供应商的单位负责人为同一人或者存在直接控股、管理关系的不同供应商，不得参加同一合同项下的政府采购活动。</w:t>
      </w:r>
    </w:p>
    <w:p w14:paraId="558FD600">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7.</w:t>
      </w:r>
      <w:r>
        <w:rPr>
          <w:rFonts w:hint="eastAsia" w:ascii="仿宋" w:hAnsi="仿宋" w:eastAsia="仿宋" w:cs="仿宋"/>
          <w:color w:val="auto"/>
          <w:sz w:val="24"/>
          <w:highlight w:val="none"/>
        </w:rPr>
        <w:t>参加本次采购活动不同供应商的法定代表人或委托代理人有夫妻、直系血亲关系的不得参加本次采购活动</w:t>
      </w:r>
      <w:r>
        <w:rPr>
          <w:rFonts w:hint="eastAsia" w:ascii="仿宋" w:hAnsi="仿宋" w:eastAsia="仿宋" w:cs="仿宋"/>
          <w:b/>
          <w:bCs/>
          <w:color w:val="auto"/>
          <w:sz w:val="24"/>
          <w:szCs w:val="24"/>
          <w:highlight w:val="none"/>
        </w:rPr>
        <w:t>。</w:t>
      </w:r>
    </w:p>
    <w:p w14:paraId="502B34EC">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8.</w:t>
      </w:r>
      <w:r>
        <w:rPr>
          <w:rFonts w:hint="eastAsia" w:ascii="仿宋" w:hAnsi="仿宋" w:eastAsia="仿宋" w:cs="仿宋"/>
          <w:color w:val="auto"/>
          <w:sz w:val="24"/>
          <w:highlight w:val="none"/>
        </w:rPr>
        <w:t>为采购项目提供整体设计、规范编制或者项目管理、监理、检测等服务的供应商，不得再参加该采购项目的其他采购活动。</w:t>
      </w:r>
    </w:p>
    <w:p w14:paraId="0DD71BD3">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sz w:val="24"/>
          <w:highlight w:val="none"/>
        </w:rPr>
        <w:t>9.</w:t>
      </w:r>
      <w:r>
        <w:rPr>
          <w:rFonts w:hint="eastAsia" w:ascii="仿宋" w:hAnsi="仿宋" w:eastAsia="仿宋" w:cs="仿宋"/>
          <w:color w:val="auto"/>
          <w:sz w:val="24"/>
          <w:highlight w:val="none"/>
        </w:rPr>
        <w:t>拒绝列入失信被执行人、重大税收违法案件当事人名单、政府采购严重违法失信行为记录名单的供应商参与政府采购活动。采购代理机构将在开标结束后，通过“中国政府采购网”、“信用中国”网站、“信用江苏”网站等渠道查询供应商信用记录并保存。</w:t>
      </w:r>
    </w:p>
    <w:p w14:paraId="3C9A2C22">
      <w:pPr>
        <w:spacing w:line="360" w:lineRule="auto"/>
        <w:ind w:left="479" w:leftChars="228"/>
        <w:rPr>
          <w:rFonts w:ascii="仿宋" w:hAnsi="仿宋" w:eastAsia="仿宋" w:cs="仿宋"/>
          <w:b/>
          <w:bCs/>
          <w:color w:val="auto"/>
          <w:sz w:val="24"/>
          <w:szCs w:val="24"/>
          <w:highlight w:val="none"/>
        </w:rPr>
      </w:pPr>
      <w:r>
        <w:rPr>
          <w:rFonts w:hint="eastAsia" w:ascii="仿宋" w:hAnsi="仿宋" w:eastAsia="仿宋" w:cs="仿宋"/>
          <w:b/>
          <w:bCs/>
          <w:color w:val="auto"/>
          <w:sz w:val="24"/>
          <w:highlight w:val="none"/>
        </w:rPr>
        <w:t>10.</w:t>
      </w:r>
      <w:r>
        <w:rPr>
          <w:rFonts w:hint="eastAsia" w:ascii="仿宋" w:hAnsi="仿宋" w:eastAsia="仿宋" w:cs="仿宋"/>
          <w:b/>
          <w:bCs/>
          <w:color w:val="auto"/>
          <w:sz w:val="24"/>
          <w:szCs w:val="24"/>
          <w:highlight w:val="none"/>
        </w:rPr>
        <w:t>政府采购信用承诺</w:t>
      </w:r>
    </w:p>
    <w:p w14:paraId="5B86F3D7">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关于在政府采购活动中推行信用承诺制的通知》宁财购通〔2021〕5号规定，参加南京地区政府采购活动的供应商，应以书面形式向采购人或政府采购代理机构作出信用承诺。供应商应尽早做好承诺工作，点击‘南京公共采购信息网’首页 （https://njgc.jfh.com/）‘南京市政府采购供应商诚信档案’系统链接打开系统页面（http://180.101.238.212:8280/hodeframe2018_cxda/index.action;jsessionid=769BA9C8E1729422E7173B991C8EC1E5）登录（未注册的供应商应先点击‘供应商注册点这里’并按 要求完成注册），然后在“信用记录”模块页面点击“信用记录打印”下载本单位《南京市政府采购供应商信用记录表暨信用承诺书》，由法定代表人签字并盖单位公章。</w:t>
      </w:r>
      <w:bookmarkStart w:id="224" w:name="_GoBack"/>
      <w:bookmarkEnd w:id="224"/>
    </w:p>
    <w:p w14:paraId="36DA685F">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经法定代表人签名和加盖公章后作为响应文件的组成部分提交。“《南京市政府采购供应商信用记录表暨信用承诺书》”在线打印时间要求：必须是在采购文件发布之日起至提交响应文件截止时间前。</w:t>
      </w:r>
    </w:p>
    <w:p w14:paraId="3823671A">
      <w:pPr>
        <w:spacing w:line="360" w:lineRule="auto"/>
        <w:rPr>
          <w:rFonts w:ascii="仿宋" w:hAnsi="仿宋" w:eastAsia="仿宋" w:cs="仿宋"/>
          <w:b/>
          <w:bCs/>
          <w:color w:val="auto"/>
          <w:sz w:val="24"/>
          <w:szCs w:val="24"/>
          <w:highlight w:val="none"/>
        </w:rPr>
      </w:pPr>
      <w:bookmarkStart w:id="24" w:name="_Toc35393631"/>
      <w:bookmarkStart w:id="25" w:name="_Toc35393800"/>
      <w:r>
        <w:rPr>
          <w:rFonts w:hint="eastAsia" w:ascii="仿宋" w:hAnsi="仿宋" w:eastAsia="仿宋" w:cs="仿宋"/>
          <w:b/>
          <w:bCs/>
          <w:color w:val="auto"/>
          <w:sz w:val="24"/>
          <w:szCs w:val="24"/>
          <w:highlight w:val="none"/>
        </w:rPr>
        <w:t>三、获取采购文件</w:t>
      </w:r>
      <w:bookmarkEnd w:id="22"/>
      <w:bookmarkEnd w:id="23"/>
      <w:bookmarkEnd w:id="24"/>
      <w:bookmarkEnd w:id="25"/>
    </w:p>
    <w:p w14:paraId="635C3B05">
      <w:pPr>
        <w:autoSpaceDE w:val="0"/>
        <w:autoSpaceDN w:val="0"/>
        <w:adjustRightInd w:val="0"/>
        <w:snapToGrid w:val="0"/>
        <w:spacing w:line="360" w:lineRule="auto"/>
        <w:ind w:left="479" w:leftChars="228"/>
        <w:rPr>
          <w:rFonts w:ascii="仿宋" w:hAnsi="仿宋" w:eastAsia="仿宋" w:cs="仿宋"/>
          <w:color w:val="auto"/>
          <w:sz w:val="24"/>
          <w:szCs w:val="24"/>
          <w:highlight w:val="none"/>
        </w:rPr>
      </w:pPr>
      <w:bookmarkStart w:id="26" w:name="_Toc28359017"/>
      <w:bookmarkStart w:id="27" w:name="_Toc35393634"/>
      <w:bookmarkStart w:id="28" w:name="_Toc28359094"/>
      <w:bookmarkStart w:id="29" w:name="_Toc35393803"/>
      <w:r>
        <w:rPr>
          <w:rFonts w:hint="eastAsia" w:ascii="仿宋" w:hAnsi="仿宋" w:eastAsia="仿宋" w:cs="仿宋"/>
          <w:color w:val="auto"/>
          <w:sz w:val="24"/>
          <w:szCs w:val="24"/>
          <w:highlight w:val="none"/>
        </w:rPr>
        <w:t>1.时间：自磋商文件公告发布之日起至2025年</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19</w:t>
      </w:r>
      <w:r>
        <w:rPr>
          <w:rFonts w:hint="eastAsia" w:ascii="仿宋" w:hAnsi="仿宋" w:eastAsia="仿宋" w:cs="仿宋"/>
          <w:color w:val="auto"/>
          <w:sz w:val="24"/>
          <w:szCs w:val="24"/>
          <w:highlight w:val="none"/>
        </w:rPr>
        <w:t>日17点00分（北京时间）2.地点：</w:t>
      </w:r>
      <w:bookmarkStart w:id="30" w:name="_Toc35393801"/>
      <w:bookmarkStart w:id="31" w:name="_Toc28359092"/>
      <w:bookmarkStart w:id="32" w:name="_Toc35393632"/>
      <w:bookmarkStart w:id="33" w:name="_Toc28359015"/>
      <w:r>
        <w:rPr>
          <w:rFonts w:hint="eastAsia" w:ascii="仿宋" w:hAnsi="仿宋" w:eastAsia="仿宋" w:cs="仿宋"/>
          <w:color w:val="auto"/>
          <w:sz w:val="24"/>
          <w:szCs w:val="24"/>
          <w:highlight w:val="none"/>
        </w:rPr>
        <w:t>在雨花台区招投标采购平台下载</w:t>
      </w:r>
    </w:p>
    <w:p w14:paraId="41D52E1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3.获取方式：</w:t>
      </w:r>
    </w:p>
    <w:p w14:paraId="5AC63BB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1）本项目实行招投标全流程电子化，在线获取采购文件、投标、开评标，请投标人登录http://yhzc.njyh.gov.cn/web/（雨花台区招投标采购平台），下载者应充分考虑平台注册、信息检查、资料上传、购标确认所需时间，下载者必须在前述时间段内完成，否则将无法保证获取电子采购文件。 </w:t>
      </w:r>
    </w:p>
    <w:p w14:paraId="5B92F41C">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第一次使用平台需要完成用户注册，在用户登录页面，点击“新用户注册”，按照注册向导页面说明完成用户注册及CA证书购买（CA证书由“皓盘云建”APP提供）。如需发票，进入“皓盘云建APP-订单中心”中在线申请。</w:t>
      </w:r>
    </w:p>
    <w:p w14:paraId="6C46A38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注册完成后登录系统，进入采购公告页面，点击“获取采购文件”进行招标文件的获取、下载。当招标方式为“邀请招标”时，被邀请单位登录平台在“我的投标-邀请招标”处查看邀请函进入获取采购文件页面。获取采购文件请按公告下附的“其他附件资料模板”提供相关资料。 </w:t>
      </w:r>
    </w:p>
    <w:p w14:paraId="37DD424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（4）雨花台区招投标采购平台报名及投标工具使用客服：包工 18951936689。</w:t>
      </w:r>
    </w:p>
    <w:p w14:paraId="28CC5A69">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四、响应文件提交</w:t>
      </w:r>
      <w:bookmarkEnd w:id="30"/>
      <w:bookmarkEnd w:id="31"/>
      <w:bookmarkEnd w:id="32"/>
      <w:bookmarkEnd w:id="33"/>
    </w:p>
    <w:p w14:paraId="605F1422">
      <w:pPr>
        <w:autoSpaceDE w:val="0"/>
        <w:autoSpaceDN w:val="0"/>
        <w:adjustRightInd w:val="0"/>
        <w:snapToGrid w:val="0"/>
        <w:spacing w:line="360" w:lineRule="auto"/>
        <w:ind w:firstLine="480" w:firstLineChars="200"/>
        <w:rPr>
          <w:rFonts w:ascii="仿宋" w:hAnsi="仿宋" w:eastAsia="仿宋" w:cs="仿宋"/>
          <w:color w:val="auto"/>
          <w:sz w:val="24"/>
          <w:szCs w:val="24"/>
          <w:highlight w:val="none"/>
        </w:rPr>
      </w:pPr>
      <w:bookmarkStart w:id="34" w:name="_Toc35393802"/>
      <w:bookmarkStart w:id="35" w:name="_Toc28359016"/>
      <w:bookmarkStart w:id="36" w:name="_Toc35393633"/>
      <w:bookmarkStart w:id="37" w:name="_Toc28359093"/>
      <w:r>
        <w:rPr>
          <w:rFonts w:hint="eastAsia" w:ascii="仿宋" w:hAnsi="仿宋" w:eastAsia="仿宋" w:cs="仿宋"/>
          <w:color w:val="auto"/>
          <w:sz w:val="24"/>
          <w:szCs w:val="24"/>
          <w:highlight w:val="none"/>
        </w:rPr>
        <w:t>1.截止时间：2025年0</w:t>
      </w:r>
      <w:r>
        <w:rPr>
          <w:rFonts w:hint="eastAsia" w:ascii="仿宋" w:hAnsi="仿宋" w:eastAsia="仿宋" w:cs="仿宋"/>
          <w:color w:val="auto"/>
          <w:sz w:val="24"/>
          <w:szCs w:val="24"/>
          <w:highlight w:val="none"/>
          <w:lang w:val="en-US" w:eastAsia="zh-CN"/>
        </w:rPr>
        <w:t>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点00分（北京时间）</w:t>
      </w:r>
    </w:p>
    <w:p w14:paraId="0CC26A6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2.提交响应文件地点：雨花台区招投标采购平台皓盘云建投标工具</w:t>
      </w:r>
    </w:p>
    <w:p w14:paraId="1A386E6D">
      <w:pPr>
        <w:spacing w:line="360" w:lineRule="auto"/>
        <w:ind w:firstLine="480" w:firstLineChars="200"/>
        <w:rPr>
          <w:rFonts w:ascii="仿宋" w:hAnsi="仿宋" w:eastAsia="仿宋" w:cs="仿宋"/>
          <w:color w:val="auto"/>
          <w:sz w:val="32"/>
          <w:szCs w:val="32"/>
          <w:highlight w:val="none"/>
        </w:rPr>
      </w:pPr>
      <w:r>
        <w:rPr>
          <w:rFonts w:hint="eastAsia" w:ascii="仿宋" w:hAnsi="仿宋" w:eastAsia="仿宋" w:cs="仿宋"/>
          <w:color w:val="auto"/>
          <w:sz w:val="24"/>
          <w:szCs w:val="24"/>
          <w:highlight w:val="none"/>
        </w:rPr>
        <w:t>线上软件版递交：在规定的电子响应文件递交截止时间之前，使用“皓盘云建”APP扫码登录“皓盘云建投标工具”，按要求编制响应文件和签章，并加密上传电子响应文件。供应商应使用电脑登录雨花台区招投标采购平台（http://yhzc.njyh.gov.cn/web）下载投标工具。应急故障：供应商在响应文件制作及上传过程中出现无法完成的，请及时与平台、工具维护人员联系，联系电话：18951936689（24小时）。如供应商未能及时联系而导致投标不成功的，责任由供应商自行承担。供应商应对“皓盘云建”APP上注册的 CA 数字证书妥善保管，如被他人盗用响应，后果自负。</w:t>
      </w:r>
    </w:p>
    <w:p w14:paraId="19FBE2AF">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五、开</w:t>
      </w:r>
      <w:bookmarkEnd w:id="34"/>
      <w:bookmarkEnd w:id="35"/>
      <w:bookmarkEnd w:id="36"/>
      <w:bookmarkEnd w:id="37"/>
      <w:r>
        <w:rPr>
          <w:rFonts w:hint="eastAsia" w:ascii="仿宋" w:hAnsi="仿宋" w:eastAsia="仿宋" w:cs="仿宋"/>
          <w:b/>
          <w:bCs/>
          <w:color w:val="auto"/>
          <w:sz w:val="24"/>
          <w:szCs w:val="24"/>
          <w:highlight w:val="none"/>
        </w:rPr>
        <w:t>标</w:t>
      </w:r>
    </w:p>
    <w:p w14:paraId="01F42CE5">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color w:val="auto"/>
          <w:sz w:val="24"/>
          <w:szCs w:val="24"/>
          <w:highlight w:val="none"/>
        </w:rPr>
        <w:t>1.时间：2025年</w:t>
      </w:r>
      <w:r>
        <w:rPr>
          <w:rFonts w:hint="eastAsia" w:ascii="仿宋" w:hAnsi="仿宋" w:eastAsia="仿宋" w:cs="仿宋"/>
          <w:color w:val="auto"/>
          <w:sz w:val="24"/>
          <w:szCs w:val="24"/>
          <w:highlight w:val="none"/>
          <w:lang w:val="en-US" w:eastAsia="zh-CN"/>
        </w:rPr>
        <w:t>05</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23</w:t>
      </w:r>
      <w:r>
        <w:rPr>
          <w:rFonts w:hint="eastAsia" w:ascii="仿宋" w:hAnsi="仿宋" w:eastAsia="仿宋" w:cs="仿宋"/>
          <w:color w:val="auto"/>
          <w:sz w:val="24"/>
          <w:szCs w:val="24"/>
          <w:highlight w:val="none"/>
        </w:rPr>
        <w:t>日</w:t>
      </w:r>
      <w:r>
        <w:rPr>
          <w:rFonts w:hint="eastAsia" w:ascii="仿宋" w:hAnsi="仿宋" w:eastAsia="仿宋" w:cs="仿宋"/>
          <w:color w:val="auto"/>
          <w:sz w:val="24"/>
          <w:szCs w:val="24"/>
          <w:highlight w:val="none"/>
          <w:lang w:val="en-US" w:eastAsia="zh-CN"/>
        </w:rPr>
        <w:t>10</w:t>
      </w:r>
      <w:r>
        <w:rPr>
          <w:rFonts w:hint="eastAsia" w:ascii="仿宋" w:hAnsi="仿宋" w:eastAsia="仿宋" w:cs="仿宋"/>
          <w:color w:val="auto"/>
          <w:sz w:val="24"/>
          <w:szCs w:val="24"/>
          <w:highlight w:val="none"/>
        </w:rPr>
        <w:t>点00分（北京时间）</w:t>
      </w:r>
    </w:p>
    <w:p w14:paraId="59A3FA94">
      <w:pPr>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2.地点：雨花台区招投标采购平台网上开标室</w:t>
      </w:r>
    </w:p>
    <w:p w14:paraId="053DF4DD">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开标流程：</w:t>
      </w:r>
    </w:p>
    <w:p w14:paraId="0F5CA568">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（1）开标：各投标人在开标时间前登录“雨花台区招投标采购平台”，首页进入开标大厅，找到当天拟开标的标段，进入网上虚拟开标室。</w:t>
      </w:r>
    </w:p>
    <w:p w14:paraId="4B8C635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解密：当标段开标状态显示为“已开标”时，点击“解密”按钮使用"皓盘云建"APP进行扫码解密。投标人应在规定时间内解密完成，若未在有效时间内完成解密工作，招标人将拒绝其投标。注意：解密时使用的手机、"皓盘云建"APP账号要跟加密时使用的一致，否则无法解密，后果由投标人自己承担。</w:t>
      </w:r>
    </w:p>
    <w:p w14:paraId="2344C0F7">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（3）异议或咨询：开标阶段，投标人如有异议或咨询可在网上开标室与招标人（招标代理公司）进行“在线沟通”，招标人在线答复投标人提出的异议或咨询。</w:t>
      </w:r>
    </w:p>
    <w:p w14:paraId="4B07A26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二次报价：招标方式为竞争性谈判、竞争性磋商需要二次报价均在雨花台区招投标采购平台网上开标室在线编辑，请投标单位在开标室填写“二次报价”并签章提交，逾期未提交二次报价函的责任自负。具体操作说明请查看首页下载中心-操作手册。</w:t>
      </w:r>
    </w:p>
    <w:p w14:paraId="6219C05F">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六、公告期限</w:t>
      </w:r>
      <w:bookmarkEnd w:id="26"/>
      <w:bookmarkEnd w:id="27"/>
      <w:bookmarkEnd w:id="28"/>
      <w:bookmarkEnd w:id="29"/>
    </w:p>
    <w:p w14:paraId="2C399ACF">
      <w:pPr>
        <w:spacing w:line="360" w:lineRule="auto"/>
        <w:ind w:firstLine="480" w:firstLineChars="200"/>
        <w:rPr>
          <w:rFonts w:ascii="仿宋" w:hAnsi="仿宋" w:eastAsia="仿宋" w:cs="仿宋"/>
          <w:color w:val="auto"/>
          <w:kern w:val="0"/>
          <w:sz w:val="24"/>
          <w:szCs w:val="24"/>
          <w:highlight w:val="none"/>
        </w:rPr>
      </w:pPr>
      <w:r>
        <w:rPr>
          <w:rFonts w:hint="eastAsia" w:ascii="仿宋" w:hAnsi="仿宋" w:eastAsia="仿宋" w:cs="仿宋"/>
          <w:color w:val="auto"/>
          <w:kern w:val="0"/>
          <w:sz w:val="24"/>
          <w:szCs w:val="24"/>
          <w:highlight w:val="none"/>
        </w:rPr>
        <w:t>自本公告发布之日起3个工作日。</w:t>
      </w:r>
    </w:p>
    <w:p w14:paraId="4B2D14B4">
      <w:pPr>
        <w:spacing w:line="360" w:lineRule="auto"/>
        <w:rPr>
          <w:rFonts w:ascii="仿宋" w:hAnsi="仿宋" w:eastAsia="仿宋" w:cs="仿宋"/>
          <w:b/>
          <w:bCs/>
          <w:color w:val="auto"/>
          <w:sz w:val="24"/>
          <w:szCs w:val="24"/>
          <w:highlight w:val="none"/>
        </w:rPr>
      </w:pPr>
      <w:bookmarkStart w:id="38" w:name="_Toc35393635"/>
      <w:bookmarkStart w:id="39" w:name="_Toc35393804"/>
      <w:r>
        <w:rPr>
          <w:rFonts w:hint="eastAsia" w:ascii="仿宋" w:hAnsi="仿宋" w:eastAsia="仿宋" w:cs="仿宋"/>
          <w:b/>
          <w:bCs/>
          <w:color w:val="auto"/>
          <w:sz w:val="24"/>
          <w:szCs w:val="24"/>
          <w:highlight w:val="none"/>
        </w:rPr>
        <w:t>七、其他补充事宜</w:t>
      </w:r>
      <w:bookmarkEnd w:id="38"/>
      <w:bookmarkEnd w:id="39"/>
    </w:p>
    <w:p w14:paraId="63D0405D">
      <w:pPr>
        <w:spacing w:line="360" w:lineRule="auto"/>
        <w:ind w:firstLine="480" w:firstLineChars="200"/>
        <w:rPr>
          <w:rFonts w:ascii="仿宋" w:hAnsi="仿宋" w:eastAsia="仿宋" w:cs="仿宋"/>
          <w:bCs/>
          <w:color w:val="auto"/>
          <w:sz w:val="24"/>
          <w:szCs w:val="24"/>
          <w:highlight w:val="none"/>
        </w:rPr>
      </w:pPr>
      <w:bookmarkStart w:id="40" w:name="_Toc28359018"/>
      <w:bookmarkStart w:id="41" w:name="_Toc28359095"/>
      <w:bookmarkStart w:id="42" w:name="_Toc35393805"/>
      <w:bookmarkStart w:id="43" w:name="_Toc35393636"/>
      <w:r>
        <w:rPr>
          <w:rFonts w:hint="eastAsia" w:ascii="仿宋" w:hAnsi="仿宋" w:eastAsia="仿宋" w:cs="仿宋"/>
          <w:bCs/>
          <w:color w:val="auto"/>
          <w:sz w:val="24"/>
          <w:szCs w:val="24"/>
          <w:highlight w:val="none"/>
        </w:rPr>
        <w:t>1.集中现场考察或答疑</w:t>
      </w:r>
    </w:p>
    <w:p w14:paraId="0D0ABB2B">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采购人不组织，供应商可自行考察。</w:t>
      </w:r>
    </w:p>
    <w:p w14:paraId="317D19F0">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2.公告媒体</w:t>
      </w:r>
    </w:p>
    <w:p w14:paraId="4A5F2287">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（1）本采购公告在</w:t>
      </w:r>
      <w:r>
        <w:rPr>
          <w:rFonts w:hint="eastAsia" w:ascii="仿宋" w:hAnsi="仿宋" w:eastAsia="仿宋" w:cs="仿宋"/>
          <w:color w:val="auto"/>
          <w:sz w:val="24"/>
          <w:szCs w:val="24"/>
          <w:highlight w:val="none"/>
        </w:rPr>
        <w:t>“雨花台区招投标采购平台”（http://yhzc.njyh.gov.cn/web）</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南京公共采购信息网（https://njgc.jfh.com/）</w:t>
      </w:r>
      <w:r>
        <w:rPr>
          <w:rFonts w:hint="eastAsia" w:ascii="仿宋" w:hAnsi="仿宋" w:eastAsia="仿宋" w:cs="仿宋"/>
          <w:bCs/>
          <w:color w:val="auto"/>
          <w:sz w:val="24"/>
          <w:szCs w:val="24"/>
          <w:highlight w:val="none"/>
        </w:rPr>
        <w:t>公示发布，敬请各供应商关注；</w:t>
      </w:r>
    </w:p>
    <w:p w14:paraId="627FEC0F">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（2）有关本次采购存在变动或修改，敬请各供应商及时关注</w:t>
      </w:r>
      <w:r>
        <w:rPr>
          <w:rFonts w:hint="eastAsia" w:ascii="仿宋" w:hAnsi="仿宋" w:eastAsia="仿宋" w:cs="仿宋"/>
          <w:color w:val="auto"/>
          <w:sz w:val="24"/>
          <w:szCs w:val="24"/>
          <w:highlight w:val="none"/>
        </w:rPr>
        <w:t>“雨花台区招投标采购平台”（http://yhzc.njyh.gov.cn/web）</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南京公共采购信息网（https://njgc.jfh.com/）</w:t>
      </w:r>
      <w:r>
        <w:rPr>
          <w:rFonts w:hint="eastAsia" w:ascii="仿宋" w:hAnsi="仿宋" w:eastAsia="仿宋" w:cs="仿宋"/>
          <w:bCs/>
          <w:color w:val="auto"/>
          <w:sz w:val="24"/>
          <w:szCs w:val="24"/>
          <w:highlight w:val="none"/>
        </w:rPr>
        <w:t>发布的关于本项目的信息更正公告；</w:t>
      </w:r>
    </w:p>
    <w:p w14:paraId="47348BD3">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（3）对采购项目的技术及需求问题，请向采购人联系人咨询。</w:t>
      </w:r>
    </w:p>
    <w:p w14:paraId="6FBE8113">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3.采购项目需要落实的政府采购政策</w:t>
      </w:r>
    </w:p>
    <w:p w14:paraId="27E6DC15">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（1）政府采购促进中小企业发展</w:t>
      </w:r>
    </w:p>
    <w:p w14:paraId="516838B2">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（2）政府采购支持监狱企业发展</w:t>
      </w:r>
    </w:p>
    <w:p w14:paraId="39F0429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（3）政府采购促进残疾人就业</w:t>
      </w:r>
    </w:p>
    <w:p w14:paraId="7427F7E6">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（4）政府采购鼓励采购节能环保产品</w:t>
      </w:r>
    </w:p>
    <w:p w14:paraId="555A23CF">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（5）信息安全产品政策</w:t>
      </w:r>
    </w:p>
    <w:p w14:paraId="6D41A718">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（6）进口产品政策</w:t>
      </w:r>
    </w:p>
    <w:p w14:paraId="3D6FE8A2">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（7）投标担保政策</w:t>
      </w:r>
    </w:p>
    <w:p w14:paraId="2DEF5BC9">
      <w:pPr>
        <w:spacing w:line="360" w:lineRule="auto"/>
        <w:ind w:firstLine="480" w:firstLineChars="200"/>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4.本项目成交后不允许分包、转包。</w:t>
      </w:r>
    </w:p>
    <w:p w14:paraId="09A9FD78">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八、凡对本次采购提出询问，请按以下方式联系。</w:t>
      </w:r>
      <w:bookmarkEnd w:id="40"/>
      <w:bookmarkEnd w:id="41"/>
      <w:bookmarkEnd w:id="42"/>
      <w:bookmarkEnd w:id="43"/>
    </w:p>
    <w:p w14:paraId="76B14080">
      <w:pPr>
        <w:spacing w:line="360" w:lineRule="auto"/>
        <w:ind w:firstLine="480" w:firstLineChars="200"/>
        <w:rPr>
          <w:rFonts w:ascii="仿宋" w:hAnsi="仿宋" w:eastAsia="仿宋" w:cs="仿宋"/>
          <w:color w:val="auto"/>
          <w:sz w:val="24"/>
          <w:szCs w:val="24"/>
          <w:highlight w:val="none"/>
        </w:rPr>
      </w:pPr>
      <w:bookmarkStart w:id="44" w:name="_Toc35393806"/>
      <w:bookmarkStart w:id="45" w:name="_Toc35393637"/>
      <w:bookmarkStart w:id="46" w:name="_Toc28359019"/>
      <w:bookmarkStart w:id="47" w:name="_Toc28359096"/>
      <w:r>
        <w:rPr>
          <w:rFonts w:hint="eastAsia" w:ascii="仿宋" w:hAnsi="仿宋" w:eastAsia="仿宋" w:cs="仿宋"/>
          <w:color w:val="auto"/>
          <w:sz w:val="24"/>
          <w:szCs w:val="24"/>
          <w:highlight w:val="none"/>
        </w:rPr>
        <w:t>1.采购人信息</w:t>
      </w:r>
      <w:bookmarkEnd w:id="44"/>
      <w:bookmarkEnd w:id="45"/>
      <w:bookmarkEnd w:id="46"/>
      <w:bookmarkEnd w:id="47"/>
    </w:p>
    <w:p w14:paraId="0B323CB2">
      <w:pPr>
        <w:pStyle w:val="55"/>
        <w:spacing w:before="0" w:beforeAutospacing="0" w:after="0" w:afterAutospacing="0" w:line="360" w:lineRule="auto"/>
        <w:ind w:right="450" w:firstLine="480" w:firstLineChars="200"/>
        <w:rPr>
          <w:rFonts w:ascii="仿宋" w:hAnsi="仿宋" w:eastAsia="仿宋" w:cs="仿宋"/>
          <w:color w:val="auto"/>
          <w:highlight w:val="none"/>
          <w:u w:val="single"/>
        </w:rPr>
      </w:pPr>
      <w:r>
        <w:rPr>
          <w:rFonts w:hint="eastAsia" w:ascii="仿宋" w:hAnsi="仿宋" w:eastAsia="仿宋" w:cs="仿宋"/>
          <w:color w:val="auto"/>
          <w:highlight w:val="none"/>
        </w:rPr>
        <w:t>名    称：</w:t>
      </w:r>
      <w:r>
        <w:rPr>
          <w:rFonts w:hint="eastAsia" w:ascii="仿宋" w:hAnsi="仿宋" w:eastAsia="仿宋" w:cs="仿宋"/>
          <w:color w:val="auto"/>
          <w:highlight w:val="none"/>
          <w:u w:val="single"/>
        </w:rPr>
        <w:t>南京市雨花台区文化和旅游局</w:t>
      </w:r>
    </w:p>
    <w:p w14:paraId="7D769348">
      <w:pPr>
        <w:pStyle w:val="55"/>
        <w:spacing w:before="0" w:beforeAutospacing="0" w:after="0" w:afterAutospacing="0" w:line="360" w:lineRule="auto"/>
        <w:ind w:right="450" w:firstLine="480" w:firstLineChars="200"/>
        <w:rPr>
          <w:rFonts w:ascii="仿宋" w:hAnsi="仿宋" w:eastAsia="仿宋" w:cs="仿宋"/>
          <w:color w:val="auto"/>
          <w:kern w:val="2"/>
          <w:highlight w:val="none"/>
          <w:u w:val="single"/>
        </w:rPr>
      </w:pPr>
      <w:r>
        <w:rPr>
          <w:rFonts w:hint="eastAsia" w:ascii="仿宋" w:hAnsi="仿宋" w:eastAsia="仿宋" w:cs="仿宋"/>
          <w:color w:val="auto"/>
          <w:highlight w:val="none"/>
        </w:rPr>
        <w:t>地    址：</w:t>
      </w:r>
      <w:r>
        <w:rPr>
          <w:rFonts w:hint="eastAsia" w:ascii="仿宋" w:hAnsi="仿宋" w:eastAsia="仿宋" w:cs="仿宋"/>
          <w:color w:val="auto"/>
          <w:highlight w:val="none"/>
          <w:u w:val="single"/>
        </w:rPr>
        <w:t>南京市雨花台区竹影路5号3号楼10楼</w:t>
      </w:r>
    </w:p>
    <w:p w14:paraId="18CB037E">
      <w:pPr>
        <w:keepNext/>
        <w:keepLines/>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highlight w:val="none"/>
        </w:rPr>
        <w:t>联 系 人：</w:t>
      </w:r>
      <w:r>
        <w:rPr>
          <w:rFonts w:hint="eastAsia" w:ascii="仿宋" w:hAnsi="仿宋" w:eastAsia="仿宋" w:cs="仿宋"/>
          <w:color w:val="auto"/>
          <w:sz w:val="24"/>
          <w:highlight w:val="none"/>
          <w:u w:val="single"/>
        </w:rPr>
        <w:t>/</w:t>
      </w:r>
    </w:p>
    <w:p w14:paraId="6DB93FA5">
      <w:pPr>
        <w:spacing w:line="360" w:lineRule="auto"/>
        <w:ind w:firstLine="480" w:firstLineChars="200"/>
        <w:jc w:val="left"/>
        <w:rPr>
          <w:rFonts w:ascii="仿宋" w:hAnsi="仿宋" w:eastAsia="仿宋" w:cs="仿宋"/>
          <w:color w:val="auto"/>
          <w:sz w:val="24"/>
          <w:highlight w:val="none"/>
          <w:u w:val="single"/>
        </w:rPr>
      </w:pPr>
      <w:r>
        <w:rPr>
          <w:rFonts w:hint="eastAsia" w:ascii="仿宋" w:hAnsi="仿宋" w:eastAsia="仿宋" w:cs="仿宋"/>
          <w:color w:val="auto"/>
          <w:sz w:val="24"/>
          <w:szCs w:val="24"/>
          <w:highlight w:val="none"/>
        </w:rPr>
        <w:t>联系方式：/</w:t>
      </w:r>
    </w:p>
    <w:p w14:paraId="54A7A985">
      <w:pPr>
        <w:spacing w:line="360" w:lineRule="auto"/>
        <w:ind w:firstLine="480" w:firstLineChars="200"/>
        <w:rPr>
          <w:rFonts w:ascii="仿宋" w:hAnsi="仿宋" w:eastAsia="仿宋" w:cs="仿宋"/>
          <w:color w:val="auto"/>
          <w:sz w:val="24"/>
          <w:szCs w:val="24"/>
          <w:highlight w:val="none"/>
        </w:rPr>
      </w:pPr>
      <w:bookmarkStart w:id="48" w:name="_Toc28359097"/>
      <w:bookmarkStart w:id="49" w:name="_Toc28359020"/>
      <w:bookmarkStart w:id="50" w:name="_Toc35393638"/>
      <w:bookmarkStart w:id="51" w:name="_Toc35393807"/>
      <w:r>
        <w:rPr>
          <w:rFonts w:hint="eastAsia" w:ascii="仿宋" w:hAnsi="仿宋" w:eastAsia="仿宋" w:cs="仿宋"/>
          <w:color w:val="auto"/>
          <w:sz w:val="24"/>
          <w:szCs w:val="24"/>
          <w:highlight w:val="none"/>
        </w:rPr>
        <w:t>2.采购代理机构信息</w:t>
      </w:r>
      <w:bookmarkEnd w:id="48"/>
      <w:bookmarkEnd w:id="49"/>
      <w:bookmarkEnd w:id="50"/>
      <w:bookmarkEnd w:id="51"/>
    </w:p>
    <w:p w14:paraId="7987762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名    称：</w:t>
      </w:r>
      <w:r>
        <w:rPr>
          <w:rFonts w:hint="eastAsia" w:ascii="仿宋" w:hAnsi="仿宋" w:eastAsia="仿宋" w:cs="仿宋"/>
          <w:color w:val="auto"/>
          <w:sz w:val="24"/>
          <w:szCs w:val="24"/>
          <w:highlight w:val="none"/>
          <w:u w:val="single"/>
        </w:rPr>
        <w:t>源成工程咨询（江苏南京）有限责任公司</w:t>
      </w:r>
    </w:p>
    <w:p w14:paraId="2069BCA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r>
        <w:rPr>
          <w:rFonts w:hint="eastAsia" w:ascii="仿宋" w:hAnsi="仿宋" w:eastAsia="仿宋" w:cs="仿宋"/>
          <w:bCs/>
          <w:color w:val="auto"/>
          <w:sz w:val="24"/>
          <w:szCs w:val="24"/>
          <w:highlight w:val="none"/>
          <w:u w:val="single"/>
        </w:rPr>
        <w:t>南京市雨花台区花神大道23号1号楼西4F408室</w:t>
      </w:r>
    </w:p>
    <w:p w14:paraId="2403C063">
      <w:pPr>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联系方式：</w:t>
      </w:r>
      <w:r>
        <w:rPr>
          <w:rFonts w:hint="eastAsia" w:ascii="仿宋" w:hAnsi="仿宋" w:eastAsia="仿宋" w:cs="仿宋"/>
          <w:color w:val="auto"/>
          <w:sz w:val="24"/>
          <w:szCs w:val="24"/>
          <w:highlight w:val="none"/>
          <w:u w:val="single"/>
        </w:rPr>
        <w:t>025-86803150</w:t>
      </w:r>
    </w:p>
    <w:p w14:paraId="53ED6F20">
      <w:pPr>
        <w:pStyle w:val="30"/>
        <w:spacing w:line="360" w:lineRule="auto"/>
        <w:ind w:firstLine="480" w:firstLineChars="200"/>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项目联系人：</w:t>
      </w:r>
      <w:r>
        <w:rPr>
          <w:rFonts w:hint="eastAsia" w:ascii="仿宋" w:hAnsi="仿宋" w:eastAsia="仿宋" w:cs="仿宋"/>
          <w:color w:val="auto"/>
          <w:sz w:val="24"/>
          <w:szCs w:val="24"/>
          <w:highlight w:val="none"/>
          <w:u w:val="single"/>
        </w:rPr>
        <w:t>张工</w:t>
      </w:r>
    </w:p>
    <w:p w14:paraId="0FE501FC">
      <w:pPr>
        <w:pStyle w:val="16"/>
        <w:rPr>
          <w:rFonts w:ascii="仿宋" w:hAnsi="仿宋" w:eastAsia="仿宋" w:cs="仿宋"/>
          <w:color w:val="auto"/>
          <w:sz w:val="24"/>
          <w:szCs w:val="24"/>
          <w:highlight w:val="none"/>
          <w:u w:val="single"/>
        </w:rPr>
      </w:pPr>
      <w:r>
        <w:rPr>
          <w:rFonts w:hint="eastAsia" w:ascii="仿宋" w:hAnsi="仿宋" w:eastAsia="仿宋" w:cs="仿宋"/>
          <w:color w:val="auto"/>
          <w:sz w:val="24"/>
          <w:szCs w:val="24"/>
          <w:highlight w:val="none"/>
        </w:rPr>
        <w:t>电       话：</w:t>
      </w:r>
      <w:r>
        <w:rPr>
          <w:rFonts w:hint="eastAsia" w:ascii="仿宋" w:hAnsi="仿宋" w:eastAsia="仿宋" w:cs="仿宋"/>
          <w:color w:val="auto"/>
          <w:sz w:val="24"/>
          <w:szCs w:val="24"/>
          <w:highlight w:val="none"/>
          <w:u w:val="single"/>
        </w:rPr>
        <w:t>15205163861</w:t>
      </w:r>
    </w:p>
    <w:p w14:paraId="2217800F">
      <w:pPr>
        <w:pStyle w:val="16"/>
        <w:rPr>
          <w:rFonts w:ascii="仿宋" w:hAnsi="仿宋" w:eastAsia="仿宋" w:cs="仿宋"/>
          <w:color w:val="auto"/>
          <w:sz w:val="24"/>
          <w:szCs w:val="24"/>
          <w:highlight w:val="none"/>
          <w:u w:val="single"/>
        </w:rPr>
      </w:pPr>
    </w:p>
    <w:p w14:paraId="1B5976F6">
      <w:pPr>
        <w:rPr>
          <w:color w:val="auto"/>
          <w:highlight w:val="none"/>
        </w:rPr>
        <w:sectPr>
          <w:footerReference r:id="rId11" w:type="first"/>
          <w:headerReference r:id="rId8" w:type="default"/>
          <w:footerReference r:id="rId9" w:type="default"/>
          <w:footerReference r:id="rId10" w:type="even"/>
          <w:pgSz w:w="11906" w:h="16838"/>
          <w:pgMar w:top="1417" w:right="1757" w:bottom="1417" w:left="1757" w:header="851" w:footer="1020" w:gutter="0"/>
          <w:pgNumType w:start="1"/>
          <w:cols w:space="720" w:num="1"/>
          <w:docGrid w:linePitch="290" w:charSpace="0"/>
        </w:sectPr>
      </w:pPr>
    </w:p>
    <w:p w14:paraId="6B0D13B2">
      <w:pPr>
        <w:pStyle w:val="2"/>
        <w:tabs>
          <w:tab w:val="clear" w:pos="1440"/>
          <w:tab w:val="clear" w:pos="5670"/>
        </w:tabs>
        <w:spacing w:before="240" w:after="240"/>
        <w:ind w:firstLine="0" w:firstLineChars="0"/>
        <w:jc w:val="center"/>
        <w:rPr>
          <w:rFonts w:ascii="仿宋" w:hAnsi="仿宋" w:cs="仿宋"/>
          <w:b w:val="0"/>
          <w:color w:val="auto"/>
          <w:spacing w:val="-10"/>
          <w:sz w:val="36"/>
          <w:szCs w:val="36"/>
          <w:highlight w:val="none"/>
        </w:rPr>
      </w:pPr>
      <w:bookmarkStart w:id="52" w:name="_Toc26840"/>
      <w:bookmarkStart w:id="53" w:name="_Toc18170"/>
      <w:bookmarkStart w:id="54" w:name="_Toc19905"/>
      <w:bookmarkStart w:id="55" w:name="_Toc8595"/>
      <w:bookmarkStart w:id="56" w:name="_Toc23673"/>
      <w:bookmarkStart w:id="57" w:name="_Toc27534"/>
      <w:bookmarkStart w:id="58" w:name="_Toc28391"/>
      <w:bookmarkStart w:id="59" w:name="_Toc28174"/>
      <w:bookmarkStart w:id="60" w:name="_Toc24803"/>
      <w:bookmarkStart w:id="61" w:name="_Toc12107"/>
      <w:bookmarkStart w:id="62" w:name="_Toc9883"/>
      <w:bookmarkStart w:id="63" w:name="_Toc10097"/>
      <w:bookmarkStart w:id="64" w:name="_Toc5458"/>
      <w:bookmarkStart w:id="65" w:name="_Toc33266148"/>
      <w:r>
        <w:rPr>
          <w:rFonts w:hint="eastAsia" w:ascii="仿宋" w:hAnsi="仿宋" w:cs="仿宋"/>
          <w:color w:val="auto"/>
          <w:spacing w:val="-10"/>
          <w:sz w:val="36"/>
          <w:szCs w:val="36"/>
          <w:highlight w:val="none"/>
        </w:rPr>
        <w:t>第二章 竞争性磋商须知</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4463EBAE">
      <w:pPr>
        <w:spacing w:line="360" w:lineRule="auto"/>
        <w:ind w:firstLine="487"/>
        <w:rPr>
          <w:rFonts w:ascii="仿宋" w:hAnsi="仿宋" w:eastAsia="仿宋" w:cs="仿宋"/>
          <w:b/>
          <w:bCs/>
          <w:color w:val="auto"/>
          <w:sz w:val="24"/>
          <w:szCs w:val="24"/>
          <w:highlight w:val="none"/>
          <w:lang w:val="zh-CN"/>
        </w:rPr>
      </w:pPr>
      <w:bookmarkStart w:id="66" w:name="_Toc22618"/>
      <w:bookmarkStart w:id="67" w:name="_Toc16501"/>
      <w:bookmarkStart w:id="68" w:name="_Toc975"/>
      <w:bookmarkStart w:id="69" w:name="_Toc8664"/>
      <w:bookmarkStart w:id="70" w:name="_Toc14708"/>
      <w:bookmarkStart w:id="71" w:name="_Toc33266149"/>
      <w:bookmarkStart w:id="72" w:name="_Toc352"/>
      <w:bookmarkStart w:id="73" w:name="_Toc16406"/>
      <w:bookmarkStart w:id="74" w:name="_Toc21473"/>
      <w:bookmarkStart w:id="75" w:name="_Toc12304"/>
      <w:bookmarkStart w:id="76" w:name="_Toc31681"/>
      <w:bookmarkStart w:id="77" w:name="_Toc31608"/>
      <w:bookmarkStart w:id="78" w:name="_Toc10695"/>
      <w:r>
        <w:rPr>
          <w:rFonts w:hint="eastAsia" w:ascii="仿宋" w:hAnsi="仿宋" w:eastAsia="仿宋" w:cs="仿宋"/>
          <w:b/>
          <w:bCs/>
          <w:color w:val="auto"/>
          <w:sz w:val="24"/>
          <w:szCs w:val="24"/>
          <w:highlight w:val="none"/>
          <w:lang w:val="zh-CN"/>
        </w:rPr>
        <w:t>一、总则</w:t>
      </w:r>
    </w:p>
    <w:p w14:paraId="38AEE6A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1、适用法律</w:t>
      </w:r>
    </w:p>
    <w:p w14:paraId="4FB6450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1.1《中华人民共和国政府采购法》《中华人民共和国政府采购法实施条例》《政府采购竞争性磋商采购方式管理暂行办法》等有关法律、规章和规定等。</w:t>
      </w:r>
    </w:p>
    <w:p w14:paraId="48F9DB74">
      <w:pPr>
        <w:spacing w:line="360" w:lineRule="auto"/>
        <w:ind w:firstLine="487"/>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2、定义</w:t>
      </w:r>
    </w:p>
    <w:p w14:paraId="175E389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2.1“</w:t>
      </w:r>
      <w:r>
        <w:rPr>
          <w:rFonts w:hint="eastAsia" w:ascii="仿宋" w:hAnsi="仿宋" w:eastAsia="仿宋" w:cs="仿宋"/>
          <w:b/>
          <w:color w:val="auto"/>
          <w:sz w:val="24"/>
          <w:szCs w:val="24"/>
          <w:highlight w:val="none"/>
          <w:lang w:val="zh-CN"/>
        </w:rPr>
        <w:t>供应商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是指参加磋商竞争，并符合采购文件规定资格条件的法人、其他组织或者自然人。</w:t>
      </w:r>
    </w:p>
    <w:p w14:paraId="33971E01">
      <w:pPr>
        <w:spacing w:line="360" w:lineRule="auto"/>
        <w:ind w:firstLine="484"/>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val="zh-CN"/>
        </w:rPr>
        <w:t>2.2</w:t>
      </w:r>
      <w:r>
        <w:rPr>
          <w:rFonts w:hint="eastAsia" w:ascii="仿宋" w:hAnsi="仿宋" w:eastAsia="仿宋" w:cs="仿宋"/>
          <w:b/>
          <w:color w:val="auto"/>
          <w:sz w:val="24"/>
          <w:szCs w:val="24"/>
          <w:highlight w:val="none"/>
          <w:lang w:val="zh-CN"/>
        </w:rPr>
        <w:t>“服务”</w:t>
      </w:r>
      <w:r>
        <w:rPr>
          <w:rFonts w:hint="eastAsia" w:ascii="仿宋" w:hAnsi="仿宋" w:eastAsia="仿宋" w:cs="仿宋"/>
          <w:color w:val="auto"/>
          <w:sz w:val="24"/>
          <w:szCs w:val="24"/>
          <w:highlight w:val="none"/>
          <w:lang w:val="zh-CN"/>
        </w:rPr>
        <w:t>指本采购文件中所述产品及相关服务。</w:t>
      </w:r>
    </w:p>
    <w:p w14:paraId="219610A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2.3“用户或使用单位”是指使用服务的单位。</w:t>
      </w:r>
    </w:p>
    <w:p w14:paraId="1F46957A">
      <w:pPr>
        <w:spacing w:line="360" w:lineRule="auto"/>
        <w:ind w:firstLine="487"/>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3、政策功能</w:t>
      </w:r>
    </w:p>
    <w:p w14:paraId="68A51A71">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3.1 中小企业政策</w:t>
      </w:r>
    </w:p>
    <w:p w14:paraId="78E8242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（1）中小企业（含中型、小型、微型企业）应当符合《政府采购促进中小企业发展管理办法》（财库〔2020〕46号）第二条、《关于政府采购支持监狱企业发展有关问题的通知》（财库〔2014〕68 号）第一条或《关于促进残疾人就业政府采购政策的通知》（财库〔2017〕141 号）第一条的规定。</w:t>
      </w:r>
    </w:p>
    <w:p w14:paraId="70D34303">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（2）参加政府采购活动的中小企业应当提供《中小企业声明函》、由省级以上监狱管理局戒毒管理局(含新疆生产建设兵团)出具的属于监狱企业的证明文件或《残疾人福利性单位声明函》。</w:t>
      </w:r>
    </w:p>
    <w:p w14:paraId="71BEB92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（3）对于接受供应商以联合体形式参加采购活动的项目，小微型企业联合体应当符合《政府采购促进中小企业发展管理办法》（财库〔2020〕46号）第九条的规定。</w:t>
      </w:r>
      <w:r>
        <w:rPr>
          <w:rFonts w:hint="eastAsia" w:ascii="仿宋" w:hAnsi="仿宋" w:eastAsia="仿宋" w:cs="仿宋"/>
          <w:color w:val="auto"/>
          <w:sz w:val="24"/>
          <w:highlight w:val="none"/>
        </w:rPr>
        <w:t>根据《关于进一步加大政府采购支持中小企业力度的通知》（财库〔2022〕19号）对于联合协议或者分包意向协议约定小微企业的合同份额占到合同总金额30%以上的，给予联合体4%的价格扣除。</w:t>
      </w:r>
    </w:p>
    <w:p w14:paraId="0678152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（4）中小企业依据《政府采购促进中小企业发展管理办法》（财库〔2020〕46号）规定的政策获取政府采购合同后，小型、微型企业不得分包或转包给大型、中型企业，中型企业不得分包或转包给大型企业。</w:t>
      </w:r>
    </w:p>
    <w:p w14:paraId="57333545">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0D0AFD3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（6）本项目所属行业为“</w:t>
      </w:r>
      <w:r>
        <w:rPr>
          <w:rFonts w:hint="eastAsia" w:ascii="仿宋" w:hAnsi="仿宋" w:eastAsia="仿宋" w:cs="仿宋"/>
          <w:color w:val="auto"/>
          <w:sz w:val="24"/>
          <w:highlight w:val="none"/>
        </w:rPr>
        <w:t>其他未列明行业”。</w:t>
      </w:r>
    </w:p>
    <w:p w14:paraId="70F09026">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3.2 节能产品政策</w:t>
      </w:r>
    </w:p>
    <w:p w14:paraId="4593A2E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（1）节能产品是指列入财政部、国家发展和改革委员会制定的节能产品品目政府采购清单，且经过认证的节能产品；</w:t>
      </w:r>
    </w:p>
    <w:p w14:paraId="53BB2A53">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（2）拟采购产品属于节能产品政府采购清单规定必须强制采购的，实行强制采购。</w:t>
      </w:r>
    </w:p>
    <w:p w14:paraId="38A59516">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（3）拟采购产品属于节能产品政府采购清单规定优先采购的，在技术、服务等指标同等条件下，实行优先采购，优先采购的要求详见第三章说明内容。</w:t>
      </w:r>
    </w:p>
    <w:p w14:paraId="07E1C54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（4）参加政府采购活动的节能产品供应商应当提供有效的节能产品认证证书扫描件。</w:t>
      </w:r>
    </w:p>
    <w:p w14:paraId="7BB1959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（5）未按要求提供相关材料的，不享受相关政策。</w:t>
      </w:r>
    </w:p>
    <w:p w14:paraId="7EB9956C">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3.3 环境标志产品政策</w:t>
      </w:r>
    </w:p>
    <w:p w14:paraId="19DFCF5E">
      <w:pPr>
        <w:numPr>
          <w:ilvl w:val="1"/>
          <w:numId w:val="0"/>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（1）环境标志产品是指列入财政部、生态环境部制定的环境标志产品品目政府采购清单，且经过认证的环境标志产品；</w:t>
      </w:r>
    </w:p>
    <w:p w14:paraId="6FE767B2">
      <w:pPr>
        <w:numPr>
          <w:ilvl w:val="1"/>
          <w:numId w:val="0"/>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（2）拟采购产品属于环境标志产品政府采购清单规定优先采购的，在性能、技术、服务等指标同等条件下，实行优先采购，优先采购的要求详见第三章说明内容。</w:t>
      </w:r>
    </w:p>
    <w:p w14:paraId="0E4CDD08">
      <w:pPr>
        <w:numPr>
          <w:ilvl w:val="1"/>
          <w:numId w:val="0"/>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（3）参加政府采购活动的环境标志产品应当提供有效的环境标志产品认证证书扫描件。</w:t>
      </w:r>
    </w:p>
    <w:p w14:paraId="0A7B6241">
      <w:pPr>
        <w:numPr>
          <w:ilvl w:val="1"/>
          <w:numId w:val="0"/>
        </w:num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（4）未按要求提供相关材料的，不享受相关政策。</w:t>
      </w:r>
    </w:p>
    <w:p w14:paraId="61524665">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3.4 信息安全产品政策</w:t>
      </w:r>
    </w:p>
    <w:p w14:paraId="415F1EC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（1）信息安全产品是指列入国家质检总局、国家认监委《信息安全产品强制性认证目录》，并获得强制性产品认证证书的产品；</w:t>
      </w:r>
    </w:p>
    <w:p w14:paraId="2088B13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（2）提供的产品属于信息安全产品的，供应商应当选择经国家认证的信息安全产品投标，并提供由中国信息安全认证中心按国家标准认证颁发的有效认证证书扫描件。</w:t>
      </w:r>
    </w:p>
    <w:p w14:paraId="20091BA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（3）未按要求提供相关材料的，不享受相关政策。</w:t>
      </w:r>
    </w:p>
    <w:p w14:paraId="1F41965E">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3.5 进口产品政策</w:t>
      </w:r>
    </w:p>
    <w:p w14:paraId="5F6533CD">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（1）除第一章竞争性磋商邀请另有规定外，不允许进口产品参加。进口产品认定依照《财政部关于政府采购进口产品管理有关问题的通知》（财办库〔2008〕248 号）的规定。</w:t>
      </w:r>
    </w:p>
    <w:p w14:paraId="72B3353F">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（2）允许进口产品参加的，满足需求的国内产品可以参加。</w:t>
      </w:r>
    </w:p>
    <w:p w14:paraId="4415996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（3）允许进口产品参加的，优先采购向我国企业转让技术、与我国企业签订消化吸收再创新方案的供应商的进口产品。</w:t>
      </w:r>
    </w:p>
    <w:p w14:paraId="0F70662F">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（4）未按要求提供相关材料的，不享受相关政策。</w:t>
      </w:r>
    </w:p>
    <w:p w14:paraId="0EC29830">
      <w:pPr>
        <w:spacing w:line="360" w:lineRule="auto"/>
        <w:ind w:firstLine="480"/>
        <w:outlineLvl w:val="3"/>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3.6供应商信用信息查询</w:t>
      </w:r>
    </w:p>
    <w:p w14:paraId="3B63D23D">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（1）采购人或采购代理机构将在“信用中国”（www.creditchina.gov.cn）、“中国政府采购网”（www.ccgp.gov.cn）对供应商进行信用信息查询，并将网站查询有关记录留存（财库〔</w:t>
      </w:r>
      <w:r>
        <w:rPr>
          <w:rFonts w:hint="eastAsia" w:ascii="仿宋" w:hAnsi="仿宋" w:eastAsia="仿宋" w:cs="仿宋"/>
          <w:color w:val="auto"/>
          <w:sz w:val="24"/>
          <w:szCs w:val="24"/>
          <w:highlight w:val="none"/>
          <w:lang w:val="zh-CN"/>
        </w:rPr>
        <w:t>2016〕</w:t>
      </w:r>
      <w:r>
        <w:rPr>
          <w:rFonts w:hint="eastAsia" w:ascii="仿宋" w:hAnsi="仿宋" w:eastAsia="仿宋" w:cs="仿宋"/>
          <w:color w:val="auto"/>
          <w:sz w:val="24"/>
          <w:szCs w:val="24"/>
          <w:highlight w:val="none"/>
        </w:rPr>
        <w:t>125 号）。</w:t>
      </w:r>
    </w:p>
    <w:p w14:paraId="2A018D7F">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（2）查询截止时间：提交响应文件截止时间前。</w:t>
      </w:r>
    </w:p>
    <w:p w14:paraId="5813EE23">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（3）供应商信用查询记录不符合要求的，采购人或采购代理机构将依法拒绝供应商参加本次采购活动。</w:t>
      </w:r>
    </w:p>
    <w:p w14:paraId="69882DD2">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rPr>
        <w:t>4、</w:t>
      </w:r>
      <w:r>
        <w:rPr>
          <w:rFonts w:hint="eastAsia" w:ascii="仿宋" w:hAnsi="仿宋" w:eastAsia="仿宋" w:cs="仿宋"/>
          <w:b/>
          <w:bCs/>
          <w:color w:val="auto"/>
          <w:sz w:val="24"/>
          <w:szCs w:val="24"/>
          <w:highlight w:val="none"/>
          <w:lang w:val="zh-CN"/>
        </w:rPr>
        <w:t>磋商费用</w:t>
      </w:r>
    </w:p>
    <w:p w14:paraId="7CAED77D">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4.1供应商应承担所有与准备和参加磋商有关的费用，无论采购结果如何，采购代理和采购人在任何情况下均无义务和责任承担这些费用。</w:t>
      </w:r>
    </w:p>
    <w:p w14:paraId="638A800A">
      <w:pPr>
        <w:spacing w:line="360" w:lineRule="auto"/>
        <w:ind w:firstLine="480" w:firstLineChars="200"/>
        <w:outlineLvl w:val="3"/>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4.2本项目采购代理服务费收费标准：依据《政府采购代理机构管理暂行办法》（财库〔2018〕2号）第十五条，本项目代理费用由成交供应商支付，支付方式详见本章4.3条〔招标代理费参照国家计委关于印发《招标代理服务收费管理暂行办法》的通知计价格〔2002〕1980号文件收取，计费基础为成交价，按差额定率累进法计算：即（1~100）*1.5%（单位万元）〕。</w:t>
      </w:r>
    </w:p>
    <w:p w14:paraId="7FFAEFD4">
      <w:pPr>
        <w:spacing w:line="360" w:lineRule="auto"/>
        <w:ind w:firstLine="482" w:firstLineChars="200"/>
        <w:outlineLvl w:val="3"/>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4.3 本次采购代理服务费在成交供应商领取成交通知书时结算。</w:t>
      </w:r>
    </w:p>
    <w:p w14:paraId="733D7B9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付款账户如下：</w:t>
      </w:r>
    </w:p>
    <w:p w14:paraId="1D0540A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户名：源成工程咨询（江苏南京）有限责任公司</w:t>
      </w:r>
    </w:p>
    <w:p w14:paraId="5DD58C3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开户银行：交通银行南京软件大道支行</w:t>
      </w:r>
    </w:p>
    <w:p w14:paraId="60A0BF60">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账号：320899991013000593407</w:t>
      </w:r>
    </w:p>
    <w:p w14:paraId="7A8B099A">
      <w:pPr>
        <w:spacing w:line="360" w:lineRule="auto"/>
        <w:ind w:firstLine="487"/>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lang w:val="zh-CN"/>
        </w:rPr>
        <w:t>二、响应文件编制</w:t>
      </w:r>
    </w:p>
    <w:p w14:paraId="35ABBDA6">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5.1</w:t>
      </w:r>
      <w:r>
        <w:rPr>
          <w:rFonts w:hint="eastAsia" w:ascii="仿宋" w:hAnsi="仿宋" w:eastAsia="仿宋" w:cs="仿宋"/>
          <w:color w:val="auto"/>
          <w:sz w:val="24"/>
          <w:szCs w:val="24"/>
          <w:highlight w:val="none"/>
          <w:lang w:val="zh-CN"/>
        </w:rPr>
        <w:t>供应商编写的响应文件应包括资格证明文件、符合性证明文件、分项报价表、响应及偏离表、其他证明文件、磋商申请及声明等部分。供应商并对其提交的响应文件真实性、合法性承担法律责任。</w:t>
      </w:r>
    </w:p>
    <w:p w14:paraId="03AD5D81">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5.2</w:t>
      </w:r>
      <w:r>
        <w:rPr>
          <w:rFonts w:hint="eastAsia" w:ascii="仿宋" w:hAnsi="仿宋" w:eastAsia="仿宋" w:cs="仿宋"/>
          <w:b/>
          <w:bCs/>
          <w:color w:val="auto"/>
          <w:sz w:val="24"/>
          <w:szCs w:val="24"/>
          <w:highlight w:val="none"/>
          <w:lang w:val="zh-CN"/>
        </w:rPr>
        <w:t>如标书制作工具中格式和内容与“</w:t>
      </w:r>
      <w:r>
        <w:rPr>
          <w:rFonts w:hint="eastAsia" w:ascii="仿宋" w:hAnsi="仿宋" w:eastAsia="仿宋" w:cs="仿宋"/>
          <w:b/>
          <w:bCs/>
          <w:color w:val="auto"/>
          <w:sz w:val="24"/>
          <w:szCs w:val="24"/>
          <w:highlight w:val="none"/>
        </w:rPr>
        <w:t>雨花台区招投标采购平台</w:t>
      </w:r>
      <w:r>
        <w:rPr>
          <w:rFonts w:hint="eastAsia" w:ascii="仿宋" w:hAnsi="仿宋" w:eastAsia="仿宋" w:cs="仿宋"/>
          <w:b/>
          <w:bCs/>
          <w:color w:val="auto"/>
          <w:sz w:val="24"/>
          <w:szCs w:val="24"/>
          <w:highlight w:val="none"/>
          <w:lang w:val="zh-CN"/>
        </w:rPr>
        <w:t>”发布的磋商文件不一致，以“</w:t>
      </w:r>
      <w:r>
        <w:rPr>
          <w:rFonts w:hint="eastAsia" w:ascii="仿宋" w:hAnsi="仿宋" w:eastAsia="仿宋" w:cs="仿宋"/>
          <w:b/>
          <w:bCs/>
          <w:color w:val="auto"/>
          <w:sz w:val="24"/>
          <w:szCs w:val="24"/>
          <w:highlight w:val="none"/>
        </w:rPr>
        <w:t>雨花台区招投标采购平台</w:t>
      </w:r>
      <w:r>
        <w:rPr>
          <w:rFonts w:hint="eastAsia" w:ascii="仿宋" w:hAnsi="仿宋" w:eastAsia="仿宋" w:cs="仿宋"/>
          <w:b/>
          <w:bCs/>
          <w:color w:val="auto"/>
          <w:sz w:val="24"/>
          <w:szCs w:val="24"/>
          <w:highlight w:val="none"/>
          <w:lang w:val="zh-CN"/>
        </w:rPr>
        <w:t>”发布的磋商文件为准。</w:t>
      </w:r>
      <w:r>
        <w:rPr>
          <w:rFonts w:hint="eastAsia" w:ascii="仿宋" w:hAnsi="仿宋" w:eastAsia="仿宋" w:cs="仿宋"/>
          <w:b/>
          <w:color w:val="auto"/>
          <w:sz w:val="24"/>
          <w:highlight w:val="none"/>
        </w:rPr>
        <w:t>供应商需根据磋商文件格式要求上传相应的文件。</w:t>
      </w:r>
    </w:p>
    <w:p w14:paraId="58AE5D44">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6、</w:t>
      </w:r>
      <w:r>
        <w:rPr>
          <w:rFonts w:hint="eastAsia" w:ascii="仿宋" w:hAnsi="仿宋" w:eastAsia="仿宋" w:cs="仿宋"/>
          <w:b/>
          <w:bCs/>
          <w:color w:val="auto"/>
          <w:sz w:val="24"/>
          <w:szCs w:val="24"/>
          <w:highlight w:val="none"/>
          <w:lang w:val="zh-CN"/>
        </w:rPr>
        <w:t>响应文件的语言、计量单位、货币和编制</w:t>
      </w:r>
    </w:p>
    <w:p w14:paraId="4FCCB890">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6.1</w:t>
      </w:r>
      <w:r>
        <w:rPr>
          <w:rFonts w:hint="eastAsia" w:ascii="仿宋" w:hAnsi="仿宋" w:eastAsia="仿宋" w:cs="仿宋"/>
          <w:color w:val="auto"/>
          <w:sz w:val="24"/>
          <w:szCs w:val="24"/>
          <w:highlight w:val="none"/>
          <w:lang w:val="zh-CN"/>
        </w:rPr>
        <w:t>提交的响应文件、技术文件和资料，包括图纸中的说明，以及供应商与采购代理就有关磋商的所有来往函电均应使用中文。响应文件中若有英文或其他语言文字的资料，应提供相应的中文翻译资料。对不同文本响应文件的解释发生异议的，以中文文本为准。</w:t>
      </w:r>
    </w:p>
    <w:p w14:paraId="0AA05BE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6.2</w:t>
      </w:r>
      <w:r>
        <w:rPr>
          <w:rFonts w:hint="eastAsia" w:ascii="仿宋" w:hAnsi="仿宋" w:eastAsia="仿宋" w:cs="仿宋"/>
          <w:color w:val="auto"/>
          <w:sz w:val="24"/>
          <w:szCs w:val="24"/>
          <w:highlight w:val="none"/>
          <w:lang w:val="zh-CN"/>
        </w:rPr>
        <w:t>供应商所使用的计量单位应为国家法定计量单位。</w:t>
      </w:r>
    </w:p>
    <w:p w14:paraId="404ABDC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6.3</w:t>
      </w:r>
      <w:r>
        <w:rPr>
          <w:rFonts w:hint="eastAsia" w:ascii="仿宋" w:hAnsi="仿宋" w:eastAsia="仿宋" w:cs="仿宋"/>
          <w:color w:val="auto"/>
          <w:sz w:val="24"/>
          <w:szCs w:val="24"/>
          <w:highlight w:val="none"/>
          <w:lang w:val="zh-CN"/>
        </w:rPr>
        <w:t>供应商应用人民币报价。</w:t>
      </w:r>
    </w:p>
    <w:p w14:paraId="6E2AC2F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6.4</w:t>
      </w:r>
      <w:r>
        <w:rPr>
          <w:rFonts w:hint="eastAsia" w:ascii="仿宋" w:hAnsi="仿宋" w:eastAsia="仿宋" w:cs="仿宋"/>
          <w:color w:val="auto"/>
          <w:sz w:val="24"/>
          <w:szCs w:val="24"/>
          <w:highlight w:val="none"/>
          <w:lang w:val="zh-CN"/>
        </w:rPr>
        <w:t>供应商应在响应文件中写清相应的项目编号、项目名称、供应商名称、地址、电话、传真等。</w:t>
      </w:r>
    </w:p>
    <w:p w14:paraId="3D3BE472">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7、</w:t>
      </w:r>
      <w:r>
        <w:rPr>
          <w:rFonts w:hint="eastAsia" w:ascii="仿宋" w:hAnsi="仿宋" w:eastAsia="仿宋" w:cs="仿宋"/>
          <w:b/>
          <w:bCs/>
          <w:color w:val="auto"/>
          <w:sz w:val="24"/>
          <w:szCs w:val="24"/>
          <w:highlight w:val="none"/>
          <w:lang w:val="zh-CN"/>
        </w:rPr>
        <w:t>证明磋商响应标的符合磋商文件规定的文件</w:t>
      </w:r>
    </w:p>
    <w:p w14:paraId="455DFAE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7.1</w:t>
      </w:r>
      <w:r>
        <w:rPr>
          <w:rFonts w:hint="eastAsia" w:ascii="仿宋" w:hAnsi="仿宋" w:eastAsia="仿宋" w:cs="仿宋"/>
          <w:color w:val="auto"/>
          <w:sz w:val="24"/>
          <w:szCs w:val="24"/>
          <w:highlight w:val="none"/>
          <w:lang w:val="zh-CN"/>
        </w:rPr>
        <w:t xml:space="preserve"> 供应商应按照法律、法规、规章和规范性文件以及磋商文件要求提交证明文件，证明其响应标的符合磋商文件规定。</w:t>
      </w:r>
    </w:p>
    <w:p w14:paraId="68CF56A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7.2</w:t>
      </w:r>
      <w:r>
        <w:rPr>
          <w:rFonts w:hint="eastAsia" w:ascii="仿宋" w:hAnsi="仿宋" w:eastAsia="仿宋" w:cs="仿宋"/>
          <w:color w:val="auto"/>
          <w:sz w:val="24"/>
          <w:szCs w:val="24"/>
          <w:highlight w:val="none"/>
          <w:lang w:val="zh-CN"/>
        </w:rPr>
        <w:t xml:space="preserve"> 磋商文件对证明文件无明确形式要求的，证明文件可以以文字资料、图纸和数据等形式提交。</w:t>
      </w:r>
    </w:p>
    <w:p w14:paraId="198CB4FE">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8、</w:t>
      </w:r>
      <w:r>
        <w:rPr>
          <w:rFonts w:hint="eastAsia" w:ascii="仿宋" w:hAnsi="仿宋" w:eastAsia="仿宋" w:cs="仿宋"/>
          <w:b/>
          <w:bCs/>
          <w:color w:val="auto"/>
          <w:sz w:val="24"/>
          <w:szCs w:val="24"/>
          <w:highlight w:val="none"/>
          <w:lang w:val="zh-CN"/>
        </w:rPr>
        <w:t>磋商有效期</w:t>
      </w:r>
    </w:p>
    <w:p w14:paraId="19FAF143">
      <w:pPr>
        <w:spacing w:line="360" w:lineRule="auto"/>
        <w:ind w:firstLine="484"/>
        <w:rPr>
          <w:rFonts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8.1</w:t>
      </w:r>
      <w:r>
        <w:rPr>
          <w:rFonts w:hint="eastAsia" w:ascii="仿宋" w:hAnsi="仿宋" w:eastAsia="仿宋" w:cs="仿宋"/>
          <w:color w:val="auto"/>
          <w:sz w:val="24"/>
          <w:szCs w:val="24"/>
          <w:highlight w:val="none"/>
          <w:lang w:val="zh-CN"/>
        </w:rPr>
        <w:t>磋商有效期为采购公告规定的提交响应文件截止之日起六十天。磋商有效期比规定短的将被视为非实质性响应磋商文件而被拒绝。</w:t>
      </w:r>
    </w:p>
    <w:p w14:paraId="6350174A">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9、</w:t>
      </w:r>
      <w:r>
        <w:rPr>
          <w:rFonts w:hint="eastAsia" w:ascii="仿宋" w:hAnsi="仿宋" w:eastAsia="仿宋" w:cs="仿宋"/>
          <w:b/>
          <w:bCs/>
          <w:color w:val="auto"/>
          <w:sz w:val="24"/>
          <w:szCs w:val="24"/>
          <w:highlight w:val="none"/>
          <w:lang w:val="zh-CN"/>
        </w:rPr>
        <w:t>响应文件的组成</w:t>
      </w:r>
    </w:p>
    <w:p w14:paraId="58739094">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bCs/>
          <w:color w:val="auto"/>
          <w:sz w:val="24"/>
          <w:highlight w:val="none"/>
        </w:rPr>
        <w:t>9.1供应商</w:t>
      </w:r>
      <w:r>
        <w:rPr>
          <w:rFonts w:hint="eastAsia" w:ascii="仿宋" w:hAnsi="仿宋" w:eastAsia="仿宋" w:cs="仿宋"/>
          <w:bCs/>
          <w:color w:val="auto"/>
          <w:sz w:val="24"/>
          <w:highlight w:val="none"/>
          <w:lang w:val="zh-CN"/>
        </w:rPr>
        <w:t>编写的</w:t>
      </w:r>
      <w:r>
        <w:rPr>
          <w:rFonts w:hint="eastAsia" w:ascii="仿宋" w:hAnsi="仿宋" w:eastAsia="仿宋" w:cs="仿宋"/>
          <w:bCs/>
          <w:color w:val="auto"/>
          <w:sz w:val="24"/>
          <w:highlight w:val="none"/>
        </w:rPr>
        <w:t>磋商</w:t>
      </w:r>
      <w:r>
        <w:rPr>
          <w:rFonts w:hint="eastAsia" w:ascii="仿宋" w:hAnsi="仿宋" w:eastAsia="仿宋" w:cs="仿宋"/>
          <w:bCs/>
          <w:color w:val="auto"/>
          <w:sz w:val="24"/>
          <w:highlight w:val="none"/>
          <w:lang w:val="zh-CN"/>
        </w:rPr>
        <w:t>文件应包括但不限于下列文件，</w:t>
      </w:r>
      <w:r>
        <w:rPr>
          <w:rFonts w:hint="eastAsia" w:ascii="仿宋" w:hAnsi="仿宋" w:eastAsia="仿宋" w:cs="仿宋"/>
          <w:color w:val="auto"/>
          <w:sz w:val="24"/>
          <w:szCs w:val="24"/>
          <w:highlight w:val="none"/>
        </w:rPr>
        <w:t>其中加★项目不得有缺失或无效：</w:t>
      </w:r>
    </w:p>
    <w:p w14:paraId="3572EE58">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磋商申请及声明</w:t>
      </w:r>
      <w:r>
        <w:rPr>
          <w:rFonts w:hint="eastAsia" w:ascii="仿宋" w:hAnsi="仿宋" w:eastAsia="仿宋" w:cs="仿宋"/>
          <w:bCs/>
          <w:color w:val="auto"/>
          <w:sz w:val="24"/>
          <w:highlight w:val="none"/>
          <w:lang w:val="zh-CN"/>
        </w:rPr>
        <w:t>（格式见附件）</w:t>
      </w:r>
      <w:r>
        <w:rPr>
          <w:rFonts w:hint="eastAsia" w:ascii="仿宋" w:hAnsi="仿宋" w:eastAsia="仿宋" w:cs="仿宋"/>
          <w:color w:val="auto"/>
          <w:sz w:val="24"/>
          <w:szCs w:val="24"/>
          <w:highlight w:val="none"/>
          <w:lang w:val="zh-CN"/>
        </w:rPr>
        <w:t>；</w:t>
      </w:r>
    </w:p>
    <w:p w14:paraId="3A7FBAC9">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法定代表人授权委托书</w:t>
      </w:r>
      <w:r>
        <w:rPr>
          <w:rFonts w:hint="eastAsia" w:ascii="仿宋" w:hAnsi="仿宋" w:eastAsia="仿宋" w:cs="仿宋"/>
          <w:color w:val="auto"/>
          <w:sz w:val="24"/>
          <w:szCs w:val="24"/>
          <w:highlight w:val="none"/>
        </w:rPr>
        <w:t>或</w:t>
      </w:r>
      <w:r>
        <w:rPr>
          <w:rFonts w:hint="eastAsia" w:ascii="仿宋" w:hAnsi="仿宋" w:eastAsia="仿宋" w:cs="仿宋"/>
          <w:color w:val="auto"/>
          <w:sz w:val="24"/>
          <w:szCs w:val="24"/>
          <w:highlight w:val="none"/>
          <w:lang w:val="zh-CN"/>
        </w:rPr>
        <w:t>法定代表人身份证明书</w:t>
      </w:r>
      <w:r>
        <w:rPr>
          <w:rFonts w:hint="eastAsia" w:ascii="仿宋" w:hAnsi="仿宋" w:eastAsia="仿宋" w:cs="仿宋"/>
          <w:bCs/>
          <w:color w:val="auto"/>
          <w:sz w:val="24"/>
          <w:highlight w:val="none"/>
          <w:lang w:val="zh-CN"/>
        </w:rPr>
        <w:t>（格式见附件）</w:t>
      </w:r>
      <w:r>
        <w:rPr>
          <w:rFonts w:hint="eastAsia" w:ascii="仿宋" w:hAnsi="仿宋" w:eastAsia="仿宋" w:cs="仿宋"/>
          <w:color w:val="auto"/>
          <w:sz w:val="24"/>
          <w:szCs w:val="24"/>
          <w:highlight w:val="none"/>
          <w:lang w:val="zh-CN"/>
        </w:rPr>
        <w:t>；</w:t>
      </w:r>
    </w:p>
    <w:p w14:paraId="0AF687EE">
      <w:pPr>
        <w:spacing w:line="360" w:lineRule="auto"/>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rPr>
        <w:t>★法人或者其他组织的营业执照等证明文件；</w:t>
      </w:r>
    </w:p>
    <w:p w14:paraId="480A7FA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★第一章竞争性磋商邀请中“二、申请人的资格要求”2.落实政府采购政策需满足的资格要求的证明文件</w:t>
      </w:r>
    </w:p>
    <w:p w14:paraId="046ED3CE">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第一章竞争性磋商公告中“二、申请人的资格要求”3.本项目的特定资格要求”的证明文件（请提供证明材料电子件加盖供应商公章）；</w:t>
      </w:r>
    </w:p>
    <w:p w14:paraId="771C605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（6）★磋商报价表；</w:t>
      </w:r>
    </w:p>
    <w:p w14:paraId="3E333E0E">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分项报价表；</w:t>
      </w:r>
    </w:p>
    <w:p w14:paraId="24B195F9">
      <w:pPr>
        <w:pStyle w:val="23"/>
        <w:spacing w:line="360" w:lineRule="auto"/>
        <w:ind w:firstLine="480" w:firstLineChars="200"/>
        <w:rPr>
          <w:rFonts w:ascii="仿宋" w:hAnsi="仿宋" w:eastAsia="仿宋" w:cs="仿宋"/>
          <w:color w:val="auto"/>
          <w:highlight w:val="none"/>
        </w:rPr>
      </w:pPr>
      <w:r>
        <w:rPr>
          <w:rFonts w:hint="eastAsia" w:ascii="仿宋" w:hAnsi="仿宋" w:eastAsia="仿宋" w:cs="仿宋"/>
          <w:color w:val="auto"/>
          <w:sz w:val="24"/>
          <w:szCs w:val="24"/>
          <w:highlight w:val="none"/>
        </w:rPr>
        <w:t>（8）★《南京市政府采购供应商信用记录表暨信用承诺书》</w:t>
      </w:r>
    </w:p>
    <w:p w14:paraId="50225586">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《商务条款偏离表》；</w:t>
      </w:r>
    </w:p>
    <w:p w14:paraId="28F5CF75">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w:t>
      </w:r>
      <w:r>
        <w:rPr>
          <w:rFonts w:hint="eastAsia" w:ascii="仿宋" w:hAnsi="仿宋" w:eastAsia="仿宋" w:cs="仿宋"/>
          <w:color w:val="auto"/>
          <w:sz w:val="24"/>
          <w:szCs w:val="24"/>
          <w:highlight w:val="none"/>
          <w:lang w:val="zh-CN"/>
        </w:rPr>
        <w:t>《技术条款偏离表》；</w:t>
      </w:r>
    </w:p>
    <w:p w14:paraId="34735018">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zh-CN"/>
        </w:rPr>
        <w:t>）项目的技术说明或实施方案；</w:t>
      </w:r>
    </w:p>
    <w:p w14:paraId="43795045">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）供应商拟投入本项目的人员情况一览表；</w:t>
      </w:r>
    </w:p>
    <w:p w14:paraId="27C86652">
      <w:pPr>
        <w:spacing w:line="360" w:lineRule="auto"/>
        <w:ind w:firstLine="480" w:firstLineChars="20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zh-CN"/>
        </w:rPr>
        <w:t>）供应商近年类似业绩情况表；</w:t>
      </w:r>
    </w:p>
    <w:p w14:paraId="7E5AE250">
      <w:pPr>
        <w:spacing w:line="360" w:lineRule="auto"/>
        <w:ind w:firstLine="480" w:firstLineChars="200"/>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rPr>
        <w:t>14</w:t>
      </w:r>
      <w:r>
        <w:rPr>
          <w:rFonts w:hint="eastAsia" w:ascii="仿宋" w:hAnsi="仿宋" w:eastAsia="仿宋" w:cs="仿宋"/>
          <w:bCs/>
          <w:color w:val="auto"/>
          <w:sz w:val="24"/>
          <w:highlight w:val="none"/>
          <w:lang w:val="zh-CN"/>
        </w:rPr>
        <w:t>）第三章评标标准中对应的其它所需证明材料（如有自行添加）；</w:t>
      </w:r>
    </w:p>
    <w:p w14:paraId="67E50A6B">
      <w:pPr>
        <w:spacing w:line="360" w:lineRule="auto"/>
        <w:ind w:firstLine="480" w:firstLineChars="200"/>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rPr>
        <w:t>15</w:t>
      </w:r>
      <w:r>
        <w:rPr>
          <w:rFonts w:hint="eastAsia" w:ascii="仿宋" w:hAnsi="仿宋" w:eastAsia="仿宋" w:cs="仿宋"/>
          <w:bCs/>
          <w:color w:val="auto"/>
          <w:sz w:val="24"/>
          <w:highlight w:val="none"/>
          <w:lang w:val="zh-CN"/>
        </w:rPr>
        <w:t>）要求采购人提供的配合（如有自拟并自行添加）；</w:t>
      </w:r>
    </w:p>
    <w:p w14:paraId="0BC6F9C7">
      <w:pPr>
        <w:spacing w:line="360" w:lineRule="auto"/>
        <w:ind w:firstLine="480" w:firstLineChars="200"/>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w:t>
      </w:r>
      <w:r>
        <w:rPr>
          <w:rFonts w:hint="eastAsia" w:ascii="仿宋" w:hAnsi="仿宋" w:eastAsia="仿宋" w:cs="仿宋"/>
          <w:bCs/>
          <w:color w:val="auto"/>
          <w:sz w:val="24"/>
          <w:highlight w:val="none"/>
        </w:rPr>
        <w:t>16</w:t>
      </w:r>
      <w:r>
        <w:rPr>
          <w:rFonts w:hint="eastAsia" w:ascii="仿宋" w:hAnsi="仿宋" w:eastAsia="仿宋" w:cs="仿宋"/>
          <w:bCs/>
          <w:color w:val="auto"/>
          <w:sz w:val="24"/>
          <w:highlight w:val="none"/>
          <w:lang w:val="zh-CN"/>
        </w:rPr>
        <w:t>）供应商认为需要提供的其他技术资料。</w:t>
      </w:r>
    </w:p>
    <w:p w14:paraId="72259140">
      <w:pPr>
        <w:spacing w:line="360" w:lineRule="auto"/>
        <w:ind w:firstLine="484"/>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rPr>
        <w:t>9.2</w:t>
      </w:r>
      <w:r>
        <w:rPr>
          <w:rFonts w:hint="eastAsia" w:ascii="仿宋" w:hAnsi="仿宋" w:eastAsia="仿宋" w:cs="仿宋"/>
          <w:b/>
          <w:color w:val="auto"/>
          <w:sz w:val="24"/>
          <w:szCs w:val="24"/>
          <w:highlight w:val="none"/>
          <w:lang w:val="zh-CN"/>
        </w:rPr>
        <w:t>响应文件的价格部分</w:t>
      </w:r>
    </w:p>
    <w:p w14:paraId="1947CE58">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（1）价格部分是对服务价格构成的说明，磋商文件如没有特别说明的话，对每一项服务仅接受一个价格。</w:t>
      </w:r>
    </w:p>
    <w:p w14:paraId="565111DD">
      <w:pPr>
        <w:spacing w:line="360" w:lineRule="auto"/>
        <w:ind w:firstLine="487"/>
        <w:rPr>
          <w:rFonts w:ascii="仿宋" w:hAnsi="仿宋" w:eastAsia="仿宋" w:cs="仿宋"/>
          <w:color w:val="auto"/>
          <w:sz w:val="24"/>
          <w:szCs w:val="24"/>
          <w:highlight w:val="none"/>
        </w:rPr>
      </w:pPr>
      <w:r>
        <w:rPr>
          <w:rStyle w:val="173"/>
          <w:rFonts w:hint="eastAsia" w:ascii="仿宋" w:hAnsi="仿宋" w:eastAsia="仿宋" w:cs="仿宋"/>
          <w:b/>
          <w:color w:val="auto"/>
          <w:sz w:val="24"/>
          <w:szCs w:val="24"/>
          <w:highlight w:val="none"/>
          <w:lang w:val="zh-CN"/>
        </w:rPr>
        <w:t>（2）报价应包含完成本服务项目发生的所有含税费用、支付给员工的工资和国家强制缴纳的各种社会保障资金</w:t>
      </w:r>
      <w:r>
        <w:rPr>
          <w:rStyle w:val="173"/>
          <w:rFonts w:hint="eastAsia" w:ascii="仿宋" w:hAnsi="仿宋" w:eastAsia="仿宋" w:cs="仿宋"/>
          <w:b/>
          <w:bCs/>
          <w:color w:val="auto"/>
          <w:sz w:val="24"/>
          <w:szCs w:val="24"/>
          <w:highlight w:val="none"/>
        </w:rPr>
        <w:t>以及</w:t>
      </w:r>
      <w:r>
        <w:rPr>
          <w:rFonts w:hint="eastAsia" w:ascii="仿宋" w:hAnsi="仿宋" w:eastAsia="仿宋" w:cs="仿宋"/>
          <w:color w:val="auto"/>
          <w:sz w:val="24"/>
          <w:highlight w:val="none"/>
        </w:rPr>
        <w:t>供应商为完成相关服务所承担的全部费用（包括招标代理费、利润、税金、政策性文件规定及合同包含内的所有风险、责任等各项应有费用）。</w:t>
      </w:r>
    </w:p>
    <w:p w14:paraId="77541BB2">
      <w:pPr>
        <w:spacing w:line="360" w:lineRule="auto"/>
        <w:ind w:firstLine="484"/>
        <w:rPr>
          <w:rFonts w:ascii="仿宋" w:hAnsi="仿宋" w:eastAsia="仿宋" w:cs="仿宋"/>
          <w:b/>
          <w:color w:val="auto"/>
          <w:sz w:val="24"/>
          <w:szCs w:val="24"/>
          <w:highlight w:val="none"/>
          <w:lang w:val="zh-CN"/>
        </w:rPr>
      </w:pPr>
      <w:r>
        <w:rPr>
          <w:rFonts w:hint="eastAsia" w:ascii="仿宋" w:hAnsi="仿宋" w:eastAsia="仿宋" w:cs="仿宋"/>
          <w:color w:val="auto"/>
          <w:sz w:val="24"/>
          <w:szCs w:val="24"/>
          <w:highlight w:val="none"/>
          <w:lang w:val="zh-CN"/>
        </w:rPr>
        <w:t>（3）</w:t>
      </w:r>
      <w:r>
        <w:rPr>
          <w:rFonts w:hint="eastAsia" w:ascii="仿宋" w:hAnsi="仿宋" w:eastAsia="仿宋" w:cs="仿宋"/>
          <w:b/>
          <w:color w:val="auto"/>
          <w:sz w:val="24"/>
          <w:szCs w:val="24"/>
          <w:highlight w:val="none"/>
          <w:lang w:val="zh-CN"/>
        </w:rPr>
        <w:t>供应商应充分考虑到市场价格变动，以及项目实施过程中的不可预见因素，一旦成交，子目单价及总价让利幅度不变。如果有漏项，视同让利。</w:t>
      </w:r>
    </w:p>
    <w:p w14:paraId="12CABD44">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（4）供应商应按竞争性磋商文件的要求,并结合本企业的融资能力、管理水平和项目实际，参照各类费用标准和规范，结合项目所在地的社会、政治、自然条件，综合考虑市场及政策风险因素自主报价。</w:t>
      </w:r>
    </w:p>
    <w:p w14:paraId="4D7EB49D">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（5）经磋商后，如果成交价高于或低于供应商在磋商响应文件报价的话，分项报价同比例调整。</w:t>
      </w:r>
    </w:p>
    <w:p w14:paraId="309760F9">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9.3</w:t>
      </w:r>
      <w:r>
        <w:rPr>
          <w:rFonts w:hint="eastAsia" w:ascii="仿宋" w:hAnsi="仿宋" w:eastAsia="仿宋" w:cs="仿宋"/>
          <w:b/>
          <w:color w:val="auto"/>
          <w:sz w:val="24"/>
          <w:szCs w:val="24"/>
          <w:highlight w:val="none"/>
          <w:lang w:val="zh-CN"/>
        </w:rPr>
        <w:t>响应文件的其他部分。</w:t>
      </w:r>
      <w:r>
        <w:rPr>
          <w:rFonts w:hint="eastAsia" w:ascii="仿宋" w:hAnsi="仿宋" w:eastAsia="仿宋" w:cs="仿宋"/>
          <w:color w:val="auto"/>
          <w:sz w:val="24"/>
          <w:szCs w:val="24"/>
          <w:highlight w:val="none"/>
          <w:lang w:val="zh-CN"/>
        </w:rPr>
        <w:t>其他部分由供应商根据编制响应文件需要提供的其他相关文件。</w:t>
      </w:r>
    </w:p>
    <w:p w14:paraId="1E340AC8">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三、响应文件</w:t>
      </w:r>
      <w:r>
        <w:rPr>
          <w:rFonts w:hint="eastAsia" w:ascii="仿宋" w:hAnsi="仿宋" w:eastAsia="仿宋" w:cs="仿宋"/>
          <w:b/>
          <w:bCs/>
          <w:color w:val="auto"/>
          <w:sz w:val="24"/>
          <w:szCs w:val="24"/>
          <w:highlight w:val="none"/>
        </w:rPr>
        <w:t>的递交</w:t>
      </w:r>
    </w:p>
    <w:p w14:paraId="33942C7E">
      <w:pPr>
        <w:spacing w:line="360" w:lineRule="auto"/>
        <w:ind w:firstLine="48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10、</w:t>
      </w:r>
      <w:r>
        <w:rPr>
          <w:rFonts w:hint="eastAsia" w:ascii="仿宋" w:hAnsi="仿宋" w:eastAsia="仿宋" w:cs="仿宋"/>
          <w:b/>
          <w:bCs/>
          <w:color w:val="auto"/>
          <w:sz w:val="24"/>
          <w:szCs w:val="24"/>
          <w:highlight w:val="none"/>
          <w:lang w:val="zh-CN"/>
        </w:rPr>
        <w:t>响应文件</w:t>
      </w:r>
      <w:r>
        <w:rPr>
          <w:rFonts w:hint="eastAsia" w:ascii="仿宋" w:hAnsi="仿宋" w:eastAsia="仿宋" w:cs="仿宋"/>
          <w:b/>
          <w:bCs/>
          <w:color w:val="auto"/>
          <w:sz w:val="24"/>
          <w:szCs w:val="24"/>
          <w:highlight w:val="none"/>
        </w:rPr>
        <w:t>的递交</w:t>
      </w:r>
    </w:p>
    <w:p w14:paraId="265507D5">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10.1供应商应当按照</w:t>
      </w:r>
      <w:r>
        <w:rPr>
          <w:rFonts w:hint="eastAsia" w:ascii="仿宋" w:hAnsi="仿宋" w:eastAsia="仿宋" w:cs="仿宋"/>
          <w:color w:val="auto"/>
          <w:sz w:val="24"/>
          <w:szCs w:val="24"/>
          <w:highlight w:val="none"/>
          <w:lang w:val="zh-CN"/>
        </w:rPr>
        <w:t>雨花台区招投标采购平台系统</w:t>
      </w:r>
      <w:r>
        <w:rPr>
          <w:rFonts w:hint="eastAsia" w:ascii="仿宋" w:hAnsi="仿宋" w:eastAsia="仿宋" w:cs="仿宋"/>
          <w:color w:val="auto"/>
          <w:sz w:val="24"/>
          <w:szCs w:val="24"/>
          <w:highlight w:val="none"/>
        </w:rPr>
        <w:t>要求，按照磋商公告规定，在提交响应文件截止时间前制作并上传电子响应文件。</w:t>
      </w:r>
    </w:p>
    <w:p w14:paraId="7A07B59E">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10.2供应商应充分考虑网络环境、网络带宽等因素可能对磋商产生的影响，如因供应商自身原因造成的电子响应文件上传不成功的，按照本磋商文件第二章第18.3条规定做无效响应处理。</w:t>
      </w:r>
    </w:p>
    <w:p w14:paraId="75CEBBFA">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10.3代理机构可以按照规定，通过修改磋商文件酌情延长提交响应文件截止日期，在此情况下，供应商的所有权利和义务均以延长后新的截止日期为准。</w:t>
      </w:r>
    </w:p>
    <w:p w14:paraId="1928BB09">
      <w:pPr>
        <w:spacing w:line="360" w:lineRule="auto"/>
        <w:ind w:firstLine="487"/>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11、</w:t>
      </w:r>
      <w:r>
        <w:rPr>
          <w:rFonts w:hint="eastAsia" w:ascii="仿宋" w:hAnsi="仿宋" w:eastAsia="仿宋" w:cs="仿宋"/>
          <w:b/>
          <w:color w:val="auto"/>
          <w:sz w:val="24"/>
          <w:szCs w:val="24"/>
          <w:highlight w:val="none"/>
          <w:lang w:val="zh-CN"/>
        </w:rPr>
        <w:t>响应文件的拒收</w:t>
      </w:r>
    </w:p>
    <w:p w14:paraId="6CDE46E5">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代理机构拒绝接收提交响应文件截止时间后上传的任何电子响应文件。</w:t>
      </w:r>
    </w:p>
    <w:p w14:paraId="2F35CAA4">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12、</w:t>
      </w:r>
      <w:r>
        <w:rPr>
          <w:rFonts w:hint="eastAsia" w:ascii="仿宋" w:hAnsi="仿宋" w:eastAsia="仿宋" w:cs="仿宋"/>
          <w:b/>
          <w:bCs/>
          <w:color w:val="auto"/>
          <w:sz w:val="24"/>
          <w:szCs w:val="24"/>
          <w:highlight w:val="none"/>
          <w:lang w:val="zh-CN"/>
        </w:rPr>
        <w:t>响应文件的撤回和修改</w:t>
      </w:r>
    </w:p>
    <w:p w14:paraId="0649245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12.1</w:t>
      </w:r>
      <w:r>
        <w:rPr>
          <w:rFonts w:hint="eastAsia" w:ascii="仿宋" w:hAnsi="仿宋" w:eastAsia="仿宋" w:cs="仿宋"/>
          <w:color w:val="auto"/>
          <w:sz w:val="24"/>
          <w:szCs w:val="24"/>
          <w:highlight w:val="none"/>
          <w:lang w:val="zh-CN"/>
        </w:rPr>
        <w:t xml:space="preserve"> 响应文件的撤回</w:t>
      </w:r>
    </w:p>
    <w:p w14:paraId="0EA9FCB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供应商可在提交响应文件截止时间前撤回其电子响应文件。</w:t>
      </w:r>
    </w:p>
    <w:p w14:paraId="2EB9803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供应商撤回电子响应文件，则认为其不再参与本项目磋商活动。</w:t>
      </w:r>
    </w:p>
    <w:p w14:paraId="05289BCD">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12.2</w:t>
      </w:r>
      <w:r>
        <w:rPr>
          <w:rFonts w:hint="eastAsia" w:ascii="仿宋" w:hAnsi="仿宋" w:eastAsia="仿宋" w:cs="仿宋"/>
          <w:color w:val="auto"/>
          <w:sz w:val="24"/>
          <w:szCs w:val="24"/>
          <w:highlight w:val="none"/>
          <w:lang w:val="zh-CN"/>
        </w:rPr>
        <w:t>响应文件的修改</w:t>
      </w:r>
    </w:p>
    <w:p w14:paraId="14888E64">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供应商可在提交响应文件截止时间前对其电子响应文件进行修改。</w:t>
      </w:r>
    </w:p>
    <w:p w14:paraId="21ED1044">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提交响应文件截止时间之后，供应商不得对其电子响应文件作任何修改。</w:t>
      </w:r>
    </w:p>
    <w:p w14:paraId="41A6288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.3 在提交响应文件截止时间至磋商文件中规定的磋商有效期满之间的这段时间内，供应商不得撤回其响应文件。</w:t>
      </w:r>
    </w:p>
    <w:p w14:paraId="4DFCADAD">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lang w:val="zh-CN"/>
        </w:rPr>
        <w:t>四、响应文件的解密与评审</w:t>
      </w:r>
    </w:p>
    <w:p w14:paraId="23F00511">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13、</w:t>
      </w:r>
      <w:r>
        <w:rPr>
          <w:rFonts w:hint="eastAsia" w:ascii="仿宋" w:hAnsi="仿宋" w:eastAsia="仿宋" w:cs="仿宋"/>
          <w:b/>
          <w:bCs/>
          <w:color w:val="auto"/>
          <w:sz w:val="24"/>
          <w:szCs w:val="24"/>
          <w:highlight w:val="none"/>
          <w:lang w:val="zh-CN"/>
        </w:rPr>
        <w:t>响应文件解密</w:t>
      </w:r>
    </w:p>
    <w:p w14:paraId="1A93773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zh-CN"/>
        </w:rPr>
        <w:t>.1 供应商应当在雨花台区招投标采购平台系统规定的时间内对响应文件进行解密。</w:t>
      </w:r>
    </w:p>
    <w:p w14:paraId="72F90D7D">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13.2开标当天供应商应及时登录“</w:t>
      </w:r>
      <w:r>
        <w:rPr>
          <w:rFonts w:hint="eastAsia" w:ascii="仿宋" w:hAnsi="仿宋" w:eastAsia="仿宋" w:cs="仿宋"/>
          <w:color w:val="auto"/>
          <w:sz w:val="24"/>
          <w:szCs w:val="24"/>
          <w:highlight w:val="none"/>
          <w:lang w:val="zh-CN"/>
        </w:rPr>
        <w:t>雨花台区招投标采购平台</w:t>
      </w:r>
      <w:r>
        <w:rPr>
          <w:rFonts w:hint="eastAsia" w:ascii="仿宋" w:hAnsi="仿宋" w:eastAsia="仿宋" w:cs="仿宋"/>
          <w:color w:val="auto"/>
          <w:sz w:val="24"/>
          <w:szCs w:val="24"/>
          <w:highlight w:val="none"/>
        </w:rPr>
        <w:t>”开标大厅，并在规定时间内自行实施远程解密。供应商解密时间限定为响应文件解密指令发出后30分钟（供应商应当充分考虑网络延时造成的本地网络计时不一致风险，提前完成解密动作）。供应商因网络、电源、浏览器不稳定、未按要求配置软硬件环境，解密锁用错或其他物理故障、操作熟练程度等自身原因，导致响应文件在规定时间内未能解密、解密失败或解密超时，系统内响应文件将被退回，相应风险由供应商自行承担；因采购人原因或网上招投标平台发生故障，导致无法按时完成响应文件解密或开、评标工作无法进行的，可根据实际情况相应延迟解密时间或调整开、评标时间。</w:t>
      </w:r>
    </w:p>
    <w:p w14:paraId="36089519">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14、</w:t>
      </w:r>
      <w:r>
        <w:rPr>
          <w:rFonts w:hint="eastAsia" w:ascii="仿宋" w:hAnsi="仿宋" w:eastAsia="仿宋" w:cs="仿宋"/>
          <w:b/>
          <w:bCs/>
          <w:color w:val="auto"/>
          <w:sz w:val="24"/>
          <w:szCs w:val="24"/>
          <w:highlight w:val="none"/>
          <w:lang w:val="zh-CN"/>
        </w:rPr>
        <w:t>磋商</w:t>
      </w:r>
    </w:p>
    <w:p w14:paraId="52B8C8F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zh-CN"/>
        </w:rPr>
        <w:t xml:space="preserve">.1 </w:t>
      </w: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val="zh-CN"/>
        </w:rPr>
        <w:t>将组织磋商小组对响应文件进行评审。</w:t>
      </w:r>
    </w:p>
    <w:p w14:paraId="749FFF72">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zh-CN"/>
        </w:rPr>
        <w:t>.2 磋商小组由采购人代表和有关技术、经济等方面的专家组成，且人员构成符合政府采购有关规定。</w:t>
      </w:r>
    </w:p>
    <w:p w14:paraId="6461EC8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14</w:t>
      </w:r>
      <w:r>
        <w:rPr>
          <w:rFonts w:hint="eastAsia" w:ascii="仿宋" w:hAnsi="仿宋" w:eastAsia="仿宋" w:cs="仿宋"/>
          <w:color w:val="auto"/>
          <w:sz w:val="24"/>
          <w:szCs w:val="24"/>
          <w:highlight w:val="none"/>
          <w:lang w:val="zh-CN"/>
        </w:rPr>
        <w:t>.3 磋商小组独立工作，负责评审所有响应文件并推荐成交候选人，或根据采购人授权直接确定成交供应商。</w:t>
      </w:r>
    </w:p>
    <w:p w14:paraId="1596B8F2">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15、</w:t>
      </w:r>
      <w:r>
        <w:rPr>
          <w:rFonts w:hint="eastAsia" w:ascii="仿宋" w:hAnsi="仿宋" w:eastAsia="仿宋" w:cs="仿宋"/>
          <w:b/>
          <w:bCs/>
          <w:color w:val="auto"/>
          <w:sz w:val="24"/>
          <w:szCs w:val="24"/>
          <w:highlight w:val="none"/>
          <w:lang w:val="zh-CN"/>
        </w:rPr>
        <w:t>评审过程的保密与公正</w:t>
      </w:r>
    </w:p>
    <w:p w14:paraId="616E2B2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.1 磋商小组、采购人和</w:t>
      </w: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val="zh-CN"/>
        </w:rPr>
        <w:t>工作人员、相关监督人员等与评审工作有关的人员，对评审情况以及在评审过程中获悉的国家秘密、商业秘密负有保密责任。</w:t>
      </w:r>
    </w:p>
    <w:p w14:paraId="4D0D23E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.2 供应商不得以任何方式影响磋商评审，否则其响应文件将被作为无效响应文件。</w:t>
      </w:r>
    </w:p>
    <w:p w14:paraId="18469081">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15</w:t>
      </w:r>
      <w:r>
        <w:rPr>
          <w:rFonts w:hint="eastAsia" w:ascii="仿宋" w:hAnsi="仿宋" w:eastAsia="仿宋" w:cs="仿宋"/>
          <w:color w:val="auto"/>
          <w:sz w:val="24"/>
          <w:szCs w:val="24"/>
          <w:highlight w:val="none"/>
          <w:lang w:val="zh-CN"/>
        </w:rPr>
        <w:t xml:space="preserve">.3 </w:t>
      </w:r>
      <w:r>
        <w:rPr>
          <w:rFonts w:hint="eastAsia" w:ascii="仿宋" w:hAnsi="仿宋" w:eastAsia="仿宋" w:cs="仿宋"/>
          <w:color w:val="auto"/>
          <w:sz w:val="24"/>
          <w:szCs w:val="24"/>
          <w:highlight w:val="none"/>
        </w:rPr>
        <w:t>代理机构</w:t>
      </w:r>
      <w:r>
        <w:rPr>
          <w:rFonts w:hint="eastAsia" w:ascii="仿宋" w:hAnsi="仿宋" w:eastAsia="仿宋" w:cs="仿宋"/>
          <w:color w:val="auto"/>
          <w:sz w:val="24"/>
          <w:szCs w:val="24"/>
          <w:highlight w:val="none"/>
          <w:lang w:val="zh-CN"/>
        </w:rPr>
        <w:t>和磋商小组不向未成交的供应商解释未成交原因，也不公布评审过程中的相关细节。</w:t>
      </w:r>
    </w:p>
    <w:p w14:paraId="74F8D980">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16、</w:t>
      </w:r>
      <w:r>
        <w:rPr>
          <w:rFonts w:hint="eastAsia" w:ascii="仿宋" w:hAnsi="仿宋" w:eastAsia="仿宋" w:cs="仿宋"/>
          <w:b/>
          <w:bCs/>
          <w:color w:val="auto"/>
          <w:sz w:val="24"/>
          <w:szCs w:val="24"/>
          <w:highlight w:val="none"/>
          <w:lang w:val="zh-CN"/>
        </w:rPr>
        <w:t>评审过程中的澄清</w:t>
      </w:r>
    </w:p>
    <w:p w14:paraId="01658F9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zh-CN"/>
        </w:rPr>
        <w:t>.1 项目评审期间，磋商小组有权要求供应商对响应文件中含义不明确、同类问题表述不一致或者有明显文字和计算错误的内容等作出必要的澄清、说明或者补正。</w:t>
      </w:r>
    </w:p>
    <w:p w14:paraId="5B8999F1">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供应商的澄清、说明或者补正不得超出响应文件的范围或者改变响应文件的实质性内容。</w:t>
      </w:r>
    </w:p>
    <w:p w14:paraId="5BFF41B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磋商小组并非对每个供应商都作澄清要求。</w:t>
      </w:r>
    </w:p>
    <w:p w14:paraId="627388B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zh-CN"/>
        </w:rPr>
        <w:t>.2 需要供应商进行澄清、说明和补正的，磋商小组将通过</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w:t>
      </w:r>
      <w:r>
        <w:rPr>
          <w:rFonts w:hint="eastAsia" w:ascii="仿宋" w:hAnsi="仿宋" w:eastAsia="仿宋" w:cs="仿宋"/>
          <w:color w:val="auto"/>
          <w:sz w:val="24"/>
          <w:szCs w:val="24"/>
          <w:highlight w:val="none"/>
        </w:rPr>
        <w:t>与</w:t>
      </w:r>
      <w:r>
        <w:rPr>
          <w:rFonts w:hint="eastAsia" w:ascii="仿宋" w:hAnsi="仿宋" w:eastAsia="仿宋" w:cs="仿宋"/>
          <w:color w:val="auto"/>
          <w:sz w:val="24"/>
          <w:szCs w:val="24"/>
          <w:highlight w:val="none"/>
          <w:lang w:val="zh-CN"/>
        </w:rPr>
        <w:t>供应商</w:t>
      </w:r>
      <w:r>
        <w:rPr>
          <w:rFonts w:hint="eastAsia" w:ascii="仿宋" w:hAnsi="仿宋" w:eastAsia="仿宋" w:cs="仿宋"/>
          <w:color w:val="auto"/>
          <w:sz w:val="24"/>
          <w:szCs w:val="24"/>
          <w:highlight w:val="none"/>
        </w:rPr>
        <w:t>在线沟通</w:t>
      </w:r>
      <w:r>
        <w:rPr>
          <w:rFonts w:hint="eastAsia" w:ascii="仿宋" w:hAnsi="仿宋" w:eastAsia="仿宋" w:cs="仿宋"/>
          <w:color w:val="auto"/>
          <w:sz w:val="24"/>
          <w:szCs w:val="24"/>
          <w:highlight w:val="none"/>
          <w:lang w:val="zh-CN"/>
        </w:rPr>
        <w:t>。澄清、说明和补正的内容作为响应文件的补充部分。</w:t>
      </w:r>
    </w:p>
    <w:p w14:paraId="55FC565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16</w:t>
      </w:r>
      <w:r>
        <w:rPr>
          <w:rFonts w:hint="eastAsia" w:ascii="仿宋" w:hAnsi="仿宋" w:eastAsia="仿宋" w:cs="仿宋"/>
          <w:color w:val="auto"/>
          <w:sz w:val="24"/>
          <w:szCs w:val="24"/>
          <w:highlight w:val="none"/>
          <w:lang w:val="zh-CN"/>
        </w:rPr>
        <w:t>.3 接到磋商小组澄清、说明和补正要求的供应商如未按规定做出澄清、说明和补正，其风险由供应商自行承担。</w:t>
      </w:r>
    </w:p>
    <w:p w14:paraId="279659B2">
      <w:pPr>
        <w:spacing w:line="360" w:lineRule="auto"/>
        <w:ind w:firstLine="484"/>
        <w:rPr>
          <w:rFonts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17</w:t>
      </w:r>
      <w:r>
        <w:rPr>
          <w:rFonts w:hint="eastAsia" w:ascii="仿宋" w:hAnsi="仿宋" w:eastAsia="仿宋" w:cs="仿宋"/>
          <w:b/>
          <w:bCs/>
          <w:color w:val="auto"/>
          <w:sz w:val="24"/>
          <w:szCs w:val="24"/>
          <w:highlight w:val="none"/>
          <w:lang w:val="zh-CN"/>
        </w:rPr>
        <w:t>、联合体（本项目不适用）</w:t>
      </w:r>
    </w:p>
    <w:p w14:paraId="18AA025E">
      <w:pPr>
        <w:spacing w:line="360" w:lineRule="auto"/>
        <w:ind w:firstLine="484"/>
        <w:rPr>
          <w:rFonts w:ascii="仿宋" w:hAnsi="仿宋" w:eastAsia="仿宋" w:cs="仿宋"/>
          <w:color w:val="auto"/>
          <w:sz w:val="24"/>
          <w:szCs w:val="24"/>
          <w:highlight w:val="none"/>
        </w:rPr>
      </w:pPr>
      <w:r>
        <w:rPr>
          <w:rFonts w:hint="eastAsia" w:ascii="仿宋" w:hAnsi="仿宋" w:eastAsia="仿宋" w:cs="仿宋"/>
          <w:bCs/>
          <w:color w:val="auto"/>
          <w:sz w:val="24"/>
          <w:szCs w:val="24"/>
          <w:highlight w:val="none"/>
        </w:rPr>
        <w:t>17.1</w:t>
      </w:r>
      <w:r>
        <w:rPr>
          <w:rFonts w:hint="eastAsia" w:ascii="仿宋" w:hAnsi="仿宋" w:eastAsia="仿宋" w:cs="仿宋"/>
          <w:color w:val="auto"/>
          <w:sz w:val="24"/>
          <w:szCs w:val="24"/>
          <w:highlight w:val="none"/>
        </w:rPr>
        <w:t>两个以上的自然人、法人或者其他组织可以组成一个联合体，以一个供应商的身份共同参加政府采购。</w:t>
      </w:r>
    </w:p>
    <w:p w14:paraId="47C6E4D0">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17.2鼓励大中型企业和其他自然人、法人或者其他组织与小型、微型企业组成联合体共同参加非专门面向中小企业的政府采购活动。</w:t>
      </w:r>
    </w:p>
    <w:p w14:paraId="3590F0C6">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17.3以联合体形式参加采购的，</w:t>
      </w:r>
      <w:r>
        <w:rPr>
          <w:rFonts w:hint="eastAsia" w:ascii="仿宋" w:hAnsi="仿宋" w:eastAsia="仿宋" w:cs="仿宋"/>
          <w:b/>
          <w:color w:val="auto"/>
          <w:sz w:val="24"/>
          <w:szCs w:val="24"/>
          <w:highlight w:val="none"/>
        </w:rPr>
        <w:t>联合体各方均应当符合政府采购法第二十二条第一款规定的条件；采购人根据采购项目的特殊要求规定供应商特定条件的，联合体各方中至少应当有一方符合采购人规定的特定条件</w:t>
      </w:r>
      <w:r>
        <w:rPr>
          <w:rFonts w:hint="eastAsia" w:ascii="仿宋" w:hAnsi="仿宋" w:eastAsia="仿宋" w:cs="仿宋"/>
          <w:color w:val="auto"/>
          <w:sz w:val="24"/>
          <w:szCs w:val="24"/>
          <w:highlight w:val="none"/>
        </w:rPr>
        <w:t>。由同一专业的供应商组成的联合体，联合体中有同类资质的供应商按照联合体分工承担相同工作的，按照资质等级较低的供应商确定资质等级，并以响应全权代表方的应答材料作为商务评审的依据。由不同专业的供应商组成联合体，首先以响应全权代表方的应答材料作为认定资质以及商务评审的依据，涉及行业专属的资质，按照所属行业对应的供应商的应答材料确定。</w:t>
      </w:r>
    </w:p>
    <w:p w14:paraId="2FB25FDB">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17.4联合体各方之间应当签订联合体协议，明确约定联合体各方承担的工作和相应的责任，并将联合体协议连同响应文件一并提交。</w:t>
      </w:r>
    </w:p>
    <w:p w14:paraId="721587A4">
      <w:pPr>
        <w:spacing w:line="360" w:lineRule="auto"/>
        <w:ind w:firstLine="484"/>
        <w:rPr>
          <w:rFonts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rPr>
        <w:t>17.5以联合体形式参加政府采购活动的，联合体各方不得再单独参加或者与其他供应商另外组成联合体参加同一合同项下的政府采购活动。</w:t>
      </w:r>
    </w:p>
    <w:p w14:paraId="33070B3C">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18、</w:t>
      </w:r>
      <w:r>
        <w:rPr>
          <w:rFonts w:hint="eastAsia" w:ascii="仿宋" w:hAnsi="仿宋" w:eastAsia="仿宋" w:cs="仿宋"/>
          <w:b/>
          <w:bCs/>
          <w:color w:val="auto"/>
          <w:sz w:val="24"/>
          <w:szCs w:val="24"/>
          <w:highlight w:val="none"/>
          <w:lang w:val="zh-CN"/>
        </w:rPr>
        <w:t>响应文件的审查</w:t>
      </w:r>
    </w:p>
    <w:p w14:paraId="44D46AF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.1 响应文件审查分为资格审查和符合性审查。</w:t>
      </w:r>
    </w:p>
    <w:p w14:paraId="61F036C8">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资格审查。依据法律法规和磋商文件的规定，磋商小组对响应文件中的资格证明文件进行审查，以确定供应商是否具备参加磋商的资格。</w:t>
      </w:r>
    </w:p>
    <w:p w14:paraId="3118DDA4">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磋商小组进行资格审查时，将在“信用中国”网站（www.creditchina.gov.cn）查询供应商的信用记录，以确定供应商是否具备磋商资格,查询结果留存并归档。</w:t>
      </w:r>
    </w:p>
    <w:p w14:paraId="245D519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接受联合体的项目，联合体成员存在不良信用记录的，视同联合体存在不良信用记录。</w:t>
      </w:r>
    </w:p>
    <w:p w14:paraId="5274327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符合性审查。依据磋商文件的规定，由磋商小组从有效性、完整性和对磋商文件的响应程度等方面对响应文件进行审查，以确定是否对磋商文件的实质性要求作出响应。</w:t>
      </w:r>
    </w:p>
    <w:p w14:paraId="05B1F2F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未通过资格审查或符合性审查的供应商，磋商小组将通过</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rPr>
        <w:t>在线沟通系统中</w:t>
      </w:r>
      <w:r>
        <w:rPr>
          <w:rFonts w:hint="eastAsia" w:ascii="仿宋" w:hAnsi="仿宋" w:eastAsia="仿宋" w:cs="仿宋"/>
          <w:color w:val="auto"/>
          <w:sz w:val="24"/>
          <w:szCs w:val="24"/>
          <w:highlight w:val="none"/>
          <w:lang w:val="zh-CN"/>
        </w:rPr>
        <w:t>告知具体原因，评审结束后将不再接受有关询问。</w:t>
      </w:r>
    </w:p>
    <w:p w14:paraId="7C17666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.2 在详细评审之前，磋商小组将首先审查每份响应文件是否实质性响应了磋商文件的要求。实质性响应的响应文件应该是与磋商文件要求的条款、条件和规格相符，没有重大偏离或保留的文件。</w:t>
      </w:r>
    </w:p>
    <w:p w14:paraId="1E2621E2">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所谓重大偏离或保留是指与磋商文件规定的实质性要求存在负偏离，或者在实质上与磋商文件不一致，而且限制了合同中采购人的权利或供应商的义务，纠正这些偏离或保留将会对其他实质性响应的供应商产生不公正的影响。重大偏离的认定由磋商小组按照少数服从多数的原则作出结论。磋商小组认定响应文件的响应性只根据响应文件本身的内容，而不寻求外部的证据。</w:t>
      </w:r>
    </w:p>
    <w:p w14:paraId="67062AAD">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.3 未实质性响应磋商文件的情形</w:t>
      </w:r>
    </w:p>
    <w:p w14:paraId="15BB93EA">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供应商在系统规定的时间内未成功解密电子响应文件。</w:t>
      </w:r>
    </w:p>
    <w:p w14:paraId="003C3B48">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供应商未按照磋商文件要求上传电子响应文件。</w:t>
      </w:r>
    </w:p>
    <w:p w14:paraId="3BB2012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同一供应商提交两个（含两个）以上不同的响应文件或者最后报价。</w:t>
      </w:r>
    </w:p>
    <w:p w14:paraId="6A90397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供应商不具备磋商文件中规定资格要求（</w:t>
      </w:r>
      <w:r>
        <w:rPr>
          <w:rFonts w:hint="eastAsia" w:ascii="仿宋" w:hAnsi="仿宋" w:eastAsia="仿宋" w:cs="仿宋"/>
          <w:color w:val="auto"/>
          <w:sz w:val="24"/>
          <w:szCs w:val="24"/>
          <w:highlight w:val="none"/>
        </w:rPr>
        <w:t>包括未提供《南京市政府采购供应商信用记录表暨信用承诺书》</w:t>
      </w:r>
      <w:r>
        <w:rPr>
          <w:rFonts w:hint="eastAsia" w:ascii="仿宋" w:hAnsi="仿宋" w:eastAsia="仿宋" w:cs="仿宋"/>
          <w:color w:val="auto"/>
          <w:sz w:val="24"/>
          <w:szCs w:val="24"/>
          <w:highlight w:val="none"/>
          <w:lang w:val="zh-CN"/>
        </w:rPr>
        <w:t>）。</w:t>
      </w:r>
    </w:p>
    <w:p w14:paraId="20E67DC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（5）</w:t>
      </w:r>
      <w:r>
        <w:rPr>
          <w:rFonts w:hint="eastAsia" w:ascii="仿宋" w:hAnsi="仿宋" w:eastAsia="仿宋" w:cs="仿宋"/>
          <w:color w:val="auto"/>
          <w:sz w:val="24"/>
          <w:szCs w:val="24"/>
          <w:highlight w:val="none"/>
          <w:lang w:val="zh-CN"/>
        </w:rPr>
        <w:t>供应商的最后报价超过了采购预算或最高限价。</w:t>
      </w:r>
    </w:p>
    <w:p w14:paraId="406CA64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不符合磋商文件中规定的实质性要求和条件（本磋商文件中斜体且有下划线部分或者打“★”内容，为实质性要求和条件，</w:t>
      </w:r>
      <w:r>
        <w:rPr>
          <w:rFonts w:hint="eastAsia" w:ascii="仿宋" w:hAnsi="仿宋" w:eastAsia="仿宋" w:cs="仿宋"/>
          <w:color w:val="auto"/>
          <w:sz w:val="24"/>
          <w:szCs w:val="24"/>
          <w:highlight w:val="none"/>
        </w:rPr>
        <w:t>且包括改变清单设备配置、清单子目数量、单位及清单报价漏项、缺失等</w:t>
      </w:r>
      <w:r>
        <w:rPr>
          <w:rFonts w:hint="eastAsia" w:ascii="仿宋" w:hAnsi="仿宋" w:eastAsia="仿宋" w:cs="仿宋"/>
          <w:color w:val="auto"/>
          <w:sz w:val="24"/>
          <w:szCs w:val="24"/>
          <w:highlight w:val="none"/>
          <w:lang w:val="zh-CN"/>
        </w:rPr>
        <w:t>）。</w:t>
      </w:r>
    </w:p>
    <w:p w14:paraId="668992B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供应商被“信用中国”网站（www.creditchina.gov.cn）列入失信被执行人或重大税收违法案件当事人名单或政府采购严重失信行为记录名单。或查询“信用中国”网站后发现供应商存在其他不符合《中华人民共和国政府采购法》第二十二条规定条件的信用记录。</w:t>
      </w:r>
    </w:p>
    <w:p w14:paraId="3BCFDE0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（8）</w:t>
      </w:r>
      <w:r>
        <w:rPr>
          <w:rFonts w:hint="eastAsia" w:ascii="仿宋" w:hAnsi="仿宋" w:eastAsia="仿宋" w:cs="仿宋"/>
          <w:color w:val="auto"/>
          <w:sz w:val="24"/>
          <w:szCs w:val="24"/>
          <w:highlight w:val="none"/>
          <w:lang w:val="zh-CN"/>
        </w:rPr>
        <w:t>响应文件含有采购人不能接受的附加条件。</w:t>
      </w:r>
    </w:p>
    <w:p w14:paraId="59B4AC43">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磋商小组认为供应商的报价明显低于其他通过符合性审查供应商的报价，有可能影响服务质量或者不能诚信履约的，将通过</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系统要求其在合理的时间内提供说明，必要时提交相关证明材料。供应商不能证明其报价合理性的，磋商小组应当将其作为无效响应处理。</w:t>
      </w:r>
    </w:p>
    <w:p w14:paraId="5C9CDD06">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（10）</w:t>
      </w:r>
      <w:r>
        <w:rPr>
          <w:rFonts w:hint="eastAsia" w:ascii="仿宋" w:hAnsi="仿宋" w:eastAsia="仿宋" w:cs="仿宋"/>
          <w:color w:val="auto"/>
          <w:sz w:val="24"/>
          <w:szCs w:val="24"/>
          <w:highlight w:val="none"/>
          <w:lang w:val="zh-CN"/>
        </w:rPr>
        <w:t>报价低于完成本项目发生的所有含税费用、支付给员工的工资（不得低于供应商所在地最低工资标准）和国家强制缴纳的各种社会保障资金</w:t>
      </w:r>
      <w:r>
        <w:rPr>
          <w:rFonts w:hint="eastAsia" w:ascii="仿宋" w:hAnsi="仿宋" w:eastAsia="仿宋" w:cs="仿宋"/>
          <w:bCs/>
          <w:color w:val="auto"/>
          <w:sz w:val="24"/>
          <w:szCs w:val="24"/>
          <w:highlight w:val="none"/>
        </w:rPr>
        <w:t>、公积金，以</w:t>
      </w:r>
      <w:r>
        <w:rPr>
          <w:rFonts w:hint="eastAsia" w:ascii="仿宋" w:hAnsi="仿宋" w:eastAsia="仿宋" w:cs="仿宋"/>
          <w:color w:val="auto"/>
          <w:sz w:val="24"/>
          <w:szCs w:val="24"/>
          <w:highlight w:val="none"/>
        </w:rPr>
        <w:t>及供应商认为需要的其他费用等。</w:t>
      </w:r>
    </w:p>
    <w:p w14:paraId="59DA0753">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（11）</w:t>
      </w:r>
      <w:r>
        <w:rPr>
          <w:rFonts w:hint="eastAsia" w:ascii="仿宋" w:hAnsi="仿宋" w:eastAsia="仿宋" w:cs="仿宋"/>
          <w:color w:val="auto"/>
          <w:sz w:val="24"/>
          <w:szCs w:val="24"/>
          <w:highlight w:val="none"/>
          <w:lang w:val="zh-CN"/>
        </w:rPr>
        <w:t>采购产品被财政部、国家发改委、生态环境部等列入“节能产品品目清单”强制采购范围，而供应商提供的产品不在强制采购范围内。</w:t>
      </w:r>
    </w:p>
    <w:p w14:paraId="549E428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（12）</w:t>
      </w:r>
      <w:r>
        <w:rPr>
          <w:rFonts w:hint="eastAsia" w:ascii="仿宋" w:hAnsi="仿宋" w:eastAsia="仿宋" w:cs="仿宋"/>
          <w:color w:val="auto"/>
          <w:sz w:val="24"/>
          <w:szCs w:val="24"/>
          <w:highlight w:val="none"/>
          <w:lang w:val="zh-CN"/>
        </w:rPr>
        <w:t>响应文件未按照磋商文件要求加盖公章。</w:t>
      </w:r>
    </w:p>
    <w:p w14:paraId="1095988D">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（13）</w:t>
      </w:r>
      <w:r>
        <w:rPr>
          <w:rFonts w:hint="eastAsia" w:ascii="仿宋" w:hAnsi="仿宋" w:eastAsia="仿宋" w:cs="仿宋"/>
          <w:color w:val="auto"/>
          <w:sz w:val="24"/>
          <w:szCs w:val="24"/>
          <w:highlight w:val="none"/>
          <w:lang w:val="zh-CN"/>
        </w:rPr>
        <w:t>法律法规及本磋商文件规定的其他无效响应的情形。</w:t>
      </w:r>
    </w:p>
    <w:p w14:paraId="769817B3">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.4 未实质性响应磋商文件的响应文件按无效响应处理。</w:t>
      </w:r>
    </w:p>
    <w:p w14:paraId="651AF491">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.5 如果响应文件实质上没有响应磋商文件的要求，磋商小组将予以拒绝，供应商不得通过修改或撤销不合要求的偏离或保留而使其成为实质性响应的文件。</w:t>
      </w:r>
    </w:p>
    <w:p w14:paraId="41F307F0">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18</w:t>
      </w:r>
      <w:r>
        <w:rPr>
          <w:rFonts w:hint="eastAsia" w:ascii="仿宋" w:hAnsi="仿宋" w:eastAsia="仿宋" w:cs="仿宋"/>
          <w:color w:val="auto"/>
          <w:sz w:val="24"/>
          <w:szCs w:val="24"/>
          <w:highlight w:val="none"/>
          <w:lang w:val="zh-CN"/>
        </w:rPr>
        <w:t>.6 供应商在项目评审全过程中应保持通讯畅通，及时登录</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系统查阅、答复相关信息，并安排专人与</w:t>
      </w:r>
      <w:r>
        <w:rPr>
          <w:rFonts w:hint="eastAsia" w:ascii="仿宋" w:hAnsi="仿宋" w:eastAsia="仿宋" w:cs="仿宋"/>
          <w:color w:val="auto"/>
          <w:sz w:val="24"/>
          <w:szCs w:val="24"/>
          <w:highlight w:val="none"/>
        </w:rPr>
        <w:t>平台</w:t>
      </w:r>
      <w:r>
        <w:rPr>
          <w:rFonts w:hint="eastAsia" w:ascii="仿宋" w:hAnsi="仿宋" w:eastAsia="仿宋" w:cs="仿宋"/>
          <w:color w:val="auto"/>
          <w:sz w:val="24"/>
          <w:szCs w:val="24"/>
          <w:highlight w:val="none"/>
          <w:lang w:val="zh-CN"/>
        </w:rPr>
        <w:t>及磋商小组联系。</w:t>
      </w:r>
    </w:p>
    <w:p w14:paraId="35280A36">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19、</w:t>
      </w:r>
      <w:r>
        <w:rPr>
          <w:rFonts w:hint="eastAsia" w:ascii="仿宋" w:hAnsi="仿宋" w:eastAsia="仿宋" w:cs="仿宋"/>
          <w:b/>
          <w:bCs/>
          <w:color w:val="auto"/>
          <w:sz w:val="24"/>
          <w:szCs w:val="24"/>
          <w:highlight w:val="none"/>
          <w:lang w:val="zh-CN"/>
        </w:rPr>
        <w:t>磋商程序及评审方法和评审标准</w:t>
      </w:r>
    </w:p>
    <w:p w14:paraId="6FCCD5D2">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val="zh-CN"/>
        </w:rPr>
        <w:t>.1 磋商程序</w:t>
      </w:r>
    </w:p>
    <w:p w14:paraId="42F7447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磋商小组将与通过资格审查和符合性审查的供应商分别进行磋商。磋商小组通过</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系统向供应商</w:t>
      </w:r>
      <w:r>
        <w:rPr>
          <w:rFonts w:hint="eastAsia" w:ascii="仿宋" w:hAnsi="仿宋" w:eastAsia="仿宋" w:cs="仿宋"/>
          <w:color w:val="auto"/>
          <w:sz w:val="24"/>
          <w:szCs w:val="24"/>
          <w:highlight w:val="none"/>
        </w:rPr>
        <w:t>在线沟通</w:t>
      </w:r>
      <w:r>
        <w:rPr>
          <w:rFonts w:hint="eastAsia" w:ascii="仿宋" w:hAnsi="仿宋" w:eastAsia="仿宋" w:cs="仿宋"/>
          <w:color w:val="auto"/>
          <w:sz w:val="24"/>
          <w:szCs w:val="24"/>
          <w:highlight w:val="none"/>
          <w:lang w:val="zh-CN"/>
        </w:rPr>
        <w:t>。</w:t>
      </w:r>
    </w:p>
    <w:p w14:paraId="6577AE8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在磋商过程中，磋商小组可能根据磋商情况对磋商文件进行实质性变动的内容包括：采购需求中的技术、服务要求以及合同草案条款。对磋商文件作出的实质性变动是磋商文件的有效组成部分，磋商小组将在</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系统中通知所有参加磋商的供应商。供应商应当按照磋商文件的变动情况和磋商小组的要求在</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系统中重新提交响应文件，并加盖公章。</w:t>
      </w:r>
    </w:p>
    <w:p w14:paraId="26D9ADE1">
      <w:pPr>
        <w:spacing w:line="360" w:lineRule="auto"/>
        <w:ind w:firstLine="48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磋商文件能够详细列明采购标的的技术、服务要求的，磋商结束后，磋商小组将在</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系统向所有实质性响应的供应商发出最后报价要求，要求所有实质性响应的供应商在规定时间内提交最后报价。</w:t>
      </w:r>
      <w:r>
        <w:rPr>
          <w:rFonts w:hint="eastAsia" w:ascii="仿宋" w:hAnsi="仿宋" w:eastAsia="仿宋" w:cs="仿宋"/>
          <w:b/>
          <w:bCs/>
          <w:color w:val="auto"/>
          <w:sz w:val="24"/>
          <w:szCs w:val="24"/>
          <w:highlight w:val="none"/>
          <w:lang w:val="zh-CN"/>
        </w:rPr>
        <w:t>最后报价是供应商响应文件的有效组成部分，除项目扩大了供货范围，增加了采购内容、提高了技术要求</w:t>
      </w:r>
      <w:r>
        <w:rPr>
          <w:rFonts w:hint="eastAsia" w:ascii="仿宋" w:hAnsi="仿宋" w:eastAsia="仿宋" w:cs="仿宋"/>
          <w:b/>
          <w:bCs/>
          <w:color w:val="auto"/>
          <w:sz w:val="24"/>
          <w:szCs w:val="24"/>
          <w:highlight w:val="none"/>
        </w:rPr>
        <w:t>及服务要求</w:t>
      </w:r>
      <w:r>
        <w:rPr>
          <w:rFonts w:hint="eastAsia" w:ascii="仿宋" w:hAnsi="仿宋" w:eastAsia="仿宋" w:cs="仿宋"/>
          <w:b/>
          <w:bCs/>
          <w:color w:val="auto"/>
          <w:sz w:val="24"/>
          <w:szCs w:val="24"/>
          <w:highlight w:val="none"/>
          <w:lang w:val="zh-CN"/>
        </w:rPr>
        <w:t>外，原则上不得高于上一轮报价</w:t>
      </w:r>
      <w:r>
        <w:rPr>
          <w:rFonts w:hint="eastAsia" w:ascii="仿宋" w:hAnsi="仿宋" w:eastAsia="仿宋" w:cs="仿宋"/>
          <w:color w:val="auto"/>
          <w:sz w:val="24"/>
          <w:szCs w:val="24"/>
          <w:highlight w:val="none"/>
          <w:lang w:val="zh-CN"/>
        </w:rPr>
        <w:t>。提交最后报价的供应商不得少于3家，最后报价是供应商响应文件的有效组成部分。</w:t>
      </w:r>
    </w:p>
    <w:p w14:paraId="17E146FD">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磋商文件不能详细列明采购标的的技术、服务要求，需经磋商由供应商提供最终设计方案或解决方案的，磋商结束后，磋商小组将按照少数服从多数的原则投票推荐3家以上供应商的设计方案或者解决方案，在</w:t>
      </w:r>
      <w:r>
        <w:rPr>
          <w:rFonts w:hint="eastAsia" w:ascii="仿宋" w:hAnsi="仿宋" w:eastAsia="仿宋" w:cs="仿宋"/>
          <w:bCs/>
          <w:color w:val="auto"/>
          <w:sz w:val="24"/>
          <w:szCs w:val="24"/>
          <w:highlight w:val="none"/>
          <w:lang w:val="zh-CN"/>
        </w:rPr>
        <w:t>雨花台区招投标采购平台</w:t>
      </w:r>
      <w:r>
        <w:rPr>
          <w:rFonts w:hint="eastAsia" w:ascii="仿宋" w:hAnsi="仿宋" w:eastAsia="仿宋" w:cs="仿宋"/>
          <w:color w:val="auto"/>
          <w:sz w:val="24"/>
          <w:szCs w:val="24"/>
          <w:highlight w:val="none"/>
          <w:lang w:val="zh-CN"/>
        </w:rPr>
        <w:t>系统中向其发出最后报价要求，要求其在规定时间内提交最后报价。</w:t>
      </w:r>
    </w:p>
    <w:p w14:paraId="667EBE60">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根据《财政部关于政府采购竞争性磋商采购方式管理暂行办法有关问题的补充 通知》（财库〔2015〕124 号），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或者采购代理机构应当终止竞争性磋商采购活动，发布项目终止公告并说明原因，重新开展采购活动。</w:t>
      </w:r>
    </w:p>
    <w:p w14:paraId="16E12CF0">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根据《财政部关于印发&lt;政府采购竞争性磋商采购方式管理暂行办法&gt;的通知》（财库〔2014〕214 号）第三条第四款的规定，市场竞争不充分的科研项目，以及需要扶持的科技成果转化项目，提交最后报价的供应商可以为2家，磋商小组将根据供应商最后得分由高到低的顺序推荐成交候选供应商。</w:t>
      </w:r>
    </w:p>
    <w:p w14:paraId="4B70E29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19</w:t>
      </w:r>
      <w:r>
        <w:rPr>
          <w:rFonts w:hint="eastAsia" w:ascii="仿宋" w:hAnsi="仿宋" w:eastAsia="仿宋" w:cs="仿宋"/>
          <w:color w:val="auto"/>
          <w:sz w:val="24"/>
          <w:szCs w:val="24"/>
          <w:highlight w:val="none"/>
          <w:lang w:val="zh-CN"/>
        </w:rPr>
        <w:t>.2 评审方法和评审标准</w:t>
      </w:r>
    </w:p>
    <w:p w14:paraId="474CBC5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评审方法。经磋商确定最终采购需求和提交最后报价的供应商后，由磋商小组采用综合评分法对提交最后报价的供应商的响应文件和最后报价进行综合评分。</w:t>
      </w:r>
    </w:p>
    <w:p w14:paraId="62E1E18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本磋商文件所述综合评分法，是指对满足磋商文件全部实质性要求的响应文件按评审因素的量化指标评审总分对供应商进行排序的评审方法。评审时，磋商小组成员独立对每份有效响应的文件进行评分。</w:t>
      </w:r>
    </w:p>
    <w:p w14:paraId="3A0B421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w:t>
      </w:r>
      <w:r>
        <w:rPr>
          <w:rFonts w:hint="eastAsia" w:ascii="仿宋" w:hAnsi="仿宋" w:eastAsia="仿宋" w:cs="仿宋"/>
          <w:color w:val="auto"/>
          <w:sz w:val="24"/>
          <w:szCs w:val="24"/>
          <w:highlight w:val="none"/>
          <w:lang w:val="zh-CN"/>
        </w:rPr>
        <w:t>评审标准</w:t>
      </w:r>
    </w:p>
    <w:p w14:paraId="35FF0F77">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见本磋商文件第</w:t>
      </w:r>
      <w:r>
        <w:rPr>
          <w:rFonts w:hint="eastAsia" w:ascii="仿宋" w:hAnsi="仿宋" w:eastAsia="仿宋" w:cs="仿宋"/>
          <w:color w:val="auto"/>
          <w:sz w:val="24"/>
          <w:szCs w:val="24"/>
          <w:highlight w:val="none"/>
        </w:rPr>
        <w:t>三</w:t>
      </w:r>
      <w:r>
        <w:rPr>
          <w:rFonts w:hint="eastAsia" w:ascii="仿宋" w:hAnsi="仿宋" w:eastAsia="仿宋" w:cs="仿宋"/>
          <w:color w:val="auto"/>
          <w:sz w:val="24"/>
          <w:szCs w:val="24"/>
          <w:highlight w:val="none"/>
          <w:lang w:val="zh-CN"/>
        </w:rPr>
        <w:t>章。</w:t>
      </w:r>
    </w:p>
    <w:p w14:paraId="107F2AFD">
      <w:pPr>
        <w:spacing w:line="360" w:lineRule="auto"/>
        <w:ind w:firstLine="484"/>
        <w:rPr>
          <w:rFonts w:ascii="仿宋" w:hAnsi="仿宋" w:eastAsia="仿宋" w:cs="仿宋"/>
          <w:b/>
          <w:bCs/>
          <w:color w:val="auto"/>
          <w:sz w:val="24"/>
          <w:szCs w:val="24"/>
          <w:highlight w:val="none"/>
        </w:rPr>
      </w:pPr>
      <w:r>
        <w:rPr>
          <w:rFonts w:hint="eastAsia" w:ascii="仿宋" w:hAnsi="仿宋" w:eastAsia="仿宋" w:cs="仿宋"/>
          <w:color w:val="auto"/>
          <w:sz w:val="24"/>
          <w:szCs w:val="24"/>
          <w:highlight w:val="none"/>
          <w:lang w:val="zh-CN"/>
        </w:rPr>
        <w:t>1</w:t>
      </w:r>
      <w:r>
        <w:rPr>
          <w:rFonts w:hint="eastAsia" w:ascii="仿宋" w:hAnsi="仿宋" w:eastAsia="仿宋" w:cs="仿宋"/>
          <w:color w:val="auto"/>
          <w:sz w:val="24"/>
          <w:szCs w:val="24"/>
          <w:highlight w:val="none"/>
        </w:rPr>
        <w:t>9</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b/>
          <w:bCs/>
          <w:color w:val="auto"/>
          <w:sz w:val="24"/>
          <w:szCs w:val="24"/>
          <w:highlight w:val="none"/>
        </w:rPr>
        <w:t>出现下列情形之一的，磋商终止：</w:t>
      </w:r>
    </w:p>
    <w:p w14:paraId="2FCFF3F2">
      <w:pPr>
        <w:spacing w:line="360" w:lineRule="auto"/>
        <w:ind w:firstLine="484"/>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（1）因情况变化，不再符合规定的竞争性磋商采购方式适用情形的；</w:t>
      </w:r>
    </w:p>
    <w:p w14:paraId="26F2D952">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bCs/>
          <w:color w:val="auto"/>
          <w:sz w:val="24"/>
          <w:szCs w:val="24"/>
          <w:highlight w:val="none"/>
          <w:lang w:val="zh-CN"/>
        </w:rPr>
        <w:t>（2）</w:t>
      </w:r>
      <w:r>
        <w:rPr>
          <w:rFonts w:hint="eastAsia" w:ascii="仿宋" w:hAnsi="仿宋" w:eastAsia="仿宋" w:cs="仿宋"/>
          <w:color w:val="auto"/>
          <w:sz w:val="24"/>
          <w:szCs w:val="24"/>
          <w:highlight w:val="none"/>
          <w:lang w:val="zh-CN"/>
        </w:rPr>
        <w:t>所有供应商的响应文件被磋商小组认定为无效的；</w:t>
      </w:r>
    </w:p>
    <w:p w14:paraId="7F8280C3">
      <w:pPr>
        <w:spacing w:line="360" w:lineRule="auto"/>
        <w:ind w:firstLine="484"/>
        <w:rPr>
          <w:rFonts w:ascii="仿宋" w:hAnsi="仿宋" w:eastAsia="仿宋" w:cs="仿宋"/>
          <w:b/>
          <w:bCs/>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3</w:t>
      </w:r>
      <w:r>
        <w:rPr>
          <w:rFonts w:hint="eastAsia" w:ascii="仿宋" w:hAnsi="仿宋" w:eastAsia="仿宋" w:cs="仿宋"/>
          <w:color w:val="auto"/>
          <w:sz w:val="24"/>
          <w:szCs w:val="24"/>
          <w:highlight w:val="none"/>
          <w:lang w:val="zh-CN"/>
        </w:rPr>
        <w:t>）在系统规定时间内成功解密电子响应文件的供应商不足3家；</w:t>
      </w:r>
    </w:p>
    <w:p w14:paraId="43C3EEE2">
      <w:pPr>
        <w:spacing w:line="360" w:lineRule="auto"/>
        <w:ind w:firstLine="484"/>
        <w:rPr>
          <w:rFonts w:ascii="仿宋" w:hAnsi="仿宋" w:eastAsia="仿宋" w:cs="仿宋"/>
          <w:b/>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4</w:t>
      </w:r>
      <w:r>
        <w:rPr>
          <w:rFonts w:hint="eastAsia" w:ascii="仿宋" w:hAnsi="仿宋" w:eastAsia="仿宋" w:cs="仿宋"/>
          <w:bCs/>
          <w:color w:val="auto"/>
          <w:sz w:val="24"/>
          <w:szCs w:val="24"/>
          <w:highlight w:val="none"/>
          <w:lang w:val="zh-CN"/>
        </w:rPr>
        <w:t>）</w:t>
      </w:r>
      <w:r>
        <w:rPr>
          <w:rFonts w:hint="eastAsia" w:ascii="仿宋" w:hAnsi="仿宋" w:eastAsia="仿宋" w:cs="仿宋"/>
          <w:color w:val="auto"/>
          <w:sz w:val="24"/>
          <w:szCs w:val="24"/>
          <w:highlight w:val="none"/>
          <w:lang w:val="zh-CN"/>
        </w:rPr>
        <w:t>出现影响采购公正的违法、违规行为的；</w:t>
      </w:r>
    </w:p>
    <w:p w14:paraId="2C46E40E">
      <w:pPr>
        <w:spacing w:line="360" w:lineRule="auto"/>
        <w:ind w:firstLine="484"/>
        <w:rPr>
          <w:rFonts w:ascii="仿宋" w:hAnsi="仿宋" w:eastAsia="仿宋" w:cs="仿宋"/>
          <w:bCs/>
          <w:color w:val="auto"/>
          <w:sz w:val="24"/>
          <w:szCs w:val="24"/>
          <w:highlight w:val="none"/>
          <w:lang w:val="zh-CN"/>
        </w:rPr>
      </w:pPr>
      <w:r>
        <w:rPr>
          <w:rFonts w:hint="eastAsia" w:ascii="仿宋" w:hAnsi="仿宋" w:eastAsia="仿宋" w:cs="仿宋"/>
          <w:bCs/>
          <w:color w:val="auto"/>
          <w:sz w:val="24"/>
          <w:szCs w:val="24"/>
          <w:highlight w:val="none"/>
          <w:lang w:val="zh-CN"/>
        </w:rPr>
        <w:t>（</w:t>
      </w:r>
      <w:r>
        <w:rPr>
          <w:rFonts w:hint="eastAsia" w:ascii="仿宋" w:hAnsi="仿宋" w:eastAsia="仿宋" w:cs="仿宋"/>
          <w:bCs/>
          <w:color w:val="auto"/>
          <w:sz w:val="24"/>
          <w:szCs w:val="24"/>
          <w:highlight w:val="none"/>
        </w:rPr>
        <w:t>5</w:t>
      </w:r>
      <w:r>
        <w:rPr>
          <w:rFonts w:hint="eastAsia" w:ascii="仿宋" w:hAnsi="仿宋" w:eastAsia="仿宋" w:cs="仿宋"/>
          <w:bCs/>
          <w:color w:val="auto"/>
          <w:sz w:val="24"/>
          <w:szCs w:val="24"/>
          <w:highlight w:val="none"/>
          <w:lang w:val="zh-CN"/>
        </w:rPr>
        <w:t>）所有供应商的最终报价超过采购预算的；</w:t>
      </w:r>
    </w:p>
    <w:p w14:paraId="53B3265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6</w:t>
      </w:r>
      <w:r>
        <w:rPr>
          <w:rFonts w:hint="eastAsia" w:ascii="仿宋" w:hAnsi="仿宋" w:eastAsia="仿宋" w:cs="仿宋"/>
          <w:color w:val="auto"/>
          <w:sz w:val="24"/>
          <w:szCs w:val="24"/>
          <w:highlight w:val="none"/>
          <w:lang w:val="zh-CN"/>
        </w:rPr>
        <w:t>）因重大变故，采购任务取消的；</w:t>
      </w:r>
    </w:p>
    <w:p w14:paraId="22AD5E6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7</w:t>
      </w:r>
      <w:r>
        <w:rPr>
          <w:rFonts w:hint="eastAsia" w:ascii="仿宋" w:hAnsi="仿宋" w:eastAsia="仿宋" w:cs="仿宋"/>
          <w:color w:val="auto"/>
          <w:sz w:val="24"/>
          <w:szCs w:val="24"/>
          <w:highlight w:val="none"/>
          <w:lang w:val="zh-CN"/>
        </w:rPr>
        <w:t>）采购人需求发生重大变化暂时不能确定或供应商提供的服务不能满足需求等。</w:t>
      </w:r>
    </w:p>
    <w:p w14:paraId="57DBC4B0">
      <w:pPr>
        <w:spacing w:line="360" w:lineRule="auto"/>
        <w:ind w:firstLine="487"/>
        <w:rPr>
          <w:rFonts w:ascii="仿宋" w:hAnsi="仿宋" w:eastAsia="仿宋" w:cs="仿宋"/>
          <w:b/>
          <w:color w:val="auto"/>
          <w:sz w:val="24"/>
          <w:szCs w:val="24"/>
          <w:highlight w:val="none"/>
        </w:rPr>
      </w:pPr>
      <w:r>
        <w:rPr>
          <w:rFonts w:hint="eastAsia" w:ascii="仿宋" w:hAnsi="仿宋" w:eastAsia="仿宋" w:cs="仿宋"/>
          <w:b/>
          <w:color w:val="auto"/>
          <w:sz w:val="24"/>
          <w:szCs w:val="24"/>
          <w:highlight w:val="none"/>
        </w:rPr>
        <w:t>五、成交</w:t>
      </w:r>
    </w:p>
    <w:p w14:paraId="4D0176CF">
      <w:pPr>
        <w:spacing w:line="360" w:lineRule="auto"/>
        <w:ind w:firstLine="48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20、确定成交单位</w:t>
      </w:r>
    </w:p>
    <w:p w14:paraId="568A46EE">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20.1 成交候选供应商的确定原则和数量见磋商文件第三章。</w:t>
      </w:r>
    </w:p>
    <w:p w14:paraId="7C61EF69">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20.2 按以下第（1）种方式确定成交供应商</w:t>
      </w:r>
    </w:p>
    <w:p w14:paraId="0E7FB28E">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（1）磋商小组直接确定排名第一的成交候选供应商为成交供应商；</w:t>
      </w:r>
    </w:p>
    <w:p w14:paraId="1B3D7CC6">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（2）采购人在磋商小组推荐的成交候选供应商中按顺序确定成交供应商。</w:t>
      </w:r>
    </w:p>
    <w:p w14:paraId="17A59225">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按第二种方式确定成交供应商的，代理机构自评审结束之日起两个工作日内将评审报告送交采购人，采购人自收到评审报告之日起五个工作日内，在评审报告推荐的成交候选供应商中按顺序确定成交供应商。</w:t>
      </w:r>
    </w:p>
    <w:p w14:paraId="1EC55F97">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20.3 代理机构将在“雨花台区招投标采购平台”发布成交结果公告，公告期限为1个工作日。</w:t>
      </w:r>
    </w:p>
    <w:p w14:paraId="10B01DE2">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20.4 若有充分证据证明成交供应商有下列情况之一的，一经查实将被取消成交资格：</w:t>
      </w:r>
    </w:p>
    <w:p w14:paraId="0B73D860">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（1）提供虚假材料谋取成交。</w:t>
      </w:r>
    </w:p>
    <w:p w14:paraId="36985062">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（2）与评审专家、采购人、其他供应商或者代理机构工作人员恶意串通。</w:t>
      </w:r>
    </w:p>
    <w:p w14:paraId="2DE604DF">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（3）向评审专家、采购人或代理机构工作人员行贿或者提供其他不正当利益。</w:t>
      </w:r>
    </w:p>
    <w:p w14:paraId="7B452475">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（4）不满足本磋商文件规定的实质性要求，但在评审过程中未被磋商小组发现。</w:t>
      </w:r>
    </w:p>
    <w:p w14:paraId="75319874">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（5）成交后无正当理由拒不与采购人签订政府采购合同或者未按照磋商文件确定的事项签订政府采购合同。</w:t>
      </w:r>
    </w:p>
    <w:p w14:paraId="04F785E6">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 将合同标的转包。</w:t>
      </w:r>
    </w:p>
    <w:p w14:paraId="5455B8C2">
      <w:pPr>
        <w:spacing w:line="360" w:lineRule="auto"/>
        <w:ind w:firstLine="48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21、成交通知书</w:t>
      </w:r>
    </w:p>
    <w:p w14:paraId="56CB16D9">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21.1 成交结果确定后，代理机构将向成交供应商发出《成交通知书》。成交供应商可在成交结果公告届满之日起三十日内，登录系统下载。    </w:t>
      </w:r>
    </w:p>
    <w:p w14:paraId="10B3E998">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因系统存储空间有限，成交结果公告届满之日起三十日后，系统不再保证提供下载《成交通知书》服务,因未及时下载而造成的不利后果由成交供应商自行承担。</w:t>
      </w:r>
    </w:p>
    <w:p w14:paraId="7809EFF0">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21.2 《成交通知书》将是合同的一个组成部分，对采购人和成交供应商均具有法律效力。《成交通知书》发出后，采购人改变成交结果的，或者成交供应商放弃成交项目的，应当依法承担法律责任。</w:t>
      </w:r>
    </w:p>
    <w:p w14:paraId="09B99C46">
      <w:pPr>
        <w:spacing w:line="360" w:lineRule="auto"/>
        <w:ind w:firstLine="487"/>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六、授予合同</w:t>
      </w:r>
    </w:p>
    <w:p w14:paraId="0F9B26A8">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color w:val="auto"/>
          <w:sz w:val="24"/>
          <w:szCs w:val="24"/>
          <w:highlight w:val="none"/>
        </w:rPr>
        <w:t>22</w:t>
      </w:r>
      <w:r>
        <w:rPr>
          <w:rFonts w:hint="eastAsia" w:ascii="仿宋" w:hAnsi="仿宋" w:eastAsia="仿宋" w:cs="仿宋"/>
          <w:b/>
          <w:color w:val="auto"/>
          <w:sz w:val="24"/>
          <w:szCs w:val="24"/>
          <w:highlight w:val="none"/>
          <w:lang w:val="zh-CN"/>
        </w:rPr>
        <w:t>、</w:t>
      </w:r>
      <w:r>
        <w:rPr>
          <w:rFonts w:hint="eastAsia" w:ascii="仿宋" w:hAnsi="仿宋" w:eastAsia="仿宋" w:cs="仿宋"/>
          <w:b/>
          <w:bCs/>
          <w:color w:val="auto"/>
          <w:sz w:val="24"/>
          <w:szCs w:val="24"/>
          <w:highlight w:val="none"/>
          <w:lang w:val="zh-CN"/>
        </w:rPr>
        <w:t>签订合同</w:t>
      </w:r>
    </w:p>
    <w:p w14:paraId="15E8C7D3">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1成交供应商应当</w:t>
      </w:r>
      <w:r>
        <w:rPr>
          <w:rFonts w:hint="eastAsia" w:ascii="仿宋" w:hAnsi="仿宋" w:eastAsia="仿宋" w:cs="仿宋"/>
          <w:color w:val="auto"/>
          <w:sz w:val="24"/>
          <w:szCs w:val="24"/>
          <w:highlight w:val="none"/>
          <w:lang w:val="zh-CN"/>
        </w:rPr>
        <w:t>自成交通知书发出之日起三十日内，</w:t>
      </w:r>
      <w:r>
        <w:rPr>
          <w:rFonts w:hint="eastAsia" w:ascii="仿宋" w:hAnsi="仿宋" w:eastAsia="仿宋" w:cs="仿宋"/>
          <w:color w:val="auto"/>
          <w:sz w:val="24"/>
          <w:szCs w:val="24"/>
          <w:highlight w:val="none"/>
        </w:rPr>
        <w:t>与采购人签订政府采购合同，所签订的合同不得对磋商文件和响应文件作实质性修改。</w:t>
      </w:r>
    </w:p>
    <w:p w14:paraId="7526527E">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.2</w:t>
      </w:r>
      <w:r>
        <w:rPr>
          <w:rFonts w:hint="eastAsia" w:ascii="仿宋" w:hAnsi="仿宋" w:eastAsia="仿宋" w:cs="仿宋"/>
          <w:color w:val="auto"/>
          <w:sz w:val="24"/>
          <w:szCs w:val="24"/>
          <w:highlight w:val="none"/>
        </w:rPr>
        <w:t>采购人不得向成交供应商提出任何不合理的要求作为签订合同的条件，不得与成交供应商私下订立背离合同实质性内容的协议。</w:t>
      </w:r>
    </w:p>
    <w:p w14:paraId="299A932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.3</w:t>
      </w:r>
      <w:r>
        <w:rPr>
          <w:rFonts w:hint="eastAsia" w:ascii="仿宋" w:hAnsi="仿宋" w:eastAsia="仿宋" w:cs="仿宋"/>
          <w:color w:val="auto"/>
          <w:sz w:val="24"/>
          <w:szCs w:val="24"/>
          <w:highlight w:val="none"/>
        </w:rPr>
        <w:t>除不可抗力等因素外，</w:t>
      </w:r>
      <w:r>
        <w:rPr>
          <w:rFonts w:hint="eastAsia" w:ascii="仿宋" w:hAnsi="仿宋" w:eastAsia="仿宋" w:cs="仿宋"/>
          <w:color w:val="auto"/>
          <w:sz w:val="24"/>
          <w:szCs w:val="24"/>
          <w:highlight w:val="none"/>
          <w:lang w:val="zh-CN"/>
        </w:rPr>
        <w:t>成交通知书发出后，采购人改变成交结果，或者成交供应商拒绝签订政府采购合同的，应当承担相应的法律责任。</w:t>
      </w:r>
    </w:p>
    <w:p w14:paraId="6EE3E61B">
      <w:pPr>
        <w:spacing w:line="360" w:lineRule="auto"/>
        <w:ind w:firstLine="484"/>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.4</w:t>
      </w:r>
      <w:r>
        <w:rPr>
          <w:rFonts w:hint="eastAsia" w:ascii="仿宋" w:hAnsi="仿宋" w:eastAsia="仿宋" w:cs="仿宋"/>
          <w:b/>
          <w:color w:val="auto"/>
          <w:sz w:val="24"/>
          <w:szCs w:val="24"/>
          <w:highlight w:val="none"/>
        </w:rPr>
        <w:t>成交供应商除发生法律规定的不能预见、不能避免并不能克服的客观情况外不得放弃或拒绝签订合同的。放弃或拒绝签订合同的，采购人、采购代理机构视情将其列入不良行为名单，在一至三年内不得参加采购人、采购代理机构的采购活动。</w:t>
      </w:r>
    </w:p>
    <w:p w14:paraId="4224647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.5成交供应商拒绝签订政府采购合同的，</w:t>
      </w:r>
      <w:r>
        <w:rPr>
          <w:rFonts w:hint="eastAsia" w:ascii="仿宋" w:hAnsi="仿宋" w:eastAsia="仿宋" w:cs="仿宋"/>
          <w:color w:val="auto"/>
          <w:sz w:val="24"/>
          <w:szCs w:val="24"/>
          <w:highlight w:val="none"/>
        </w:rPr>
        <w:t>或因不可抗力或者自身原因不能履行政府采购合同的，</w:t>
      </w:r>
      <w:r>
        <w:rPr>
          <w:rFonts w:hint="eastAsia" w:ascii="仿宋" w:hAnsi="仿宋" w:eastAsia="仿宋" w:cs="仿宋"/>
          <w:color w:val="auto"/>
          <w:sz w:val="24"/>
          <w:szCs w:val="24"/>
          <w:highlight w:val="none"/>
          <w:lang w:val="zh-CN"/>
        </w:rPr>
        <w:t>采购人可以视情与排位在成交供应商之后第一位的成交候选供应商签订政府采购合同，也可以重新开展采购活动。</w:t>
      </w:r>
    </w:p>
    <w:p w14:paraId="678D33A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22</w:t>
      </w:r>
      <w:r>
        <w:rPr>
          <w:rFonts w:hint="eastAsia" w:ascii="仿宋" w:hAnsi="仿宋" w:eastAsia="仿宋" w:cs="仿宋"/>
          <w:color w:val="auto"/>
          <w:sz w:val="24"/>
          <w:szCs w:val="24"/>
          <w:highlight w:val="none"/>
          <w:lang w:val="zh-CN"/>
        </w:rPr>
        <w:t>.6政府采购合同履行中，采购人需追加与合同标的相同的服务的，在不改变合同其他条款的前提下，可以与供应商协商签订补充合同，但所有补充合同的采购金额不得超过原合同采购金额的百分之十。</w:t>
      </w:r>
    </w:p>
    <w:p w14:paraId="1AA40202">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七</w:t>
      </w:r>
      <w:r>
        <w:rPr>
          <w:rFonts w:hint="eastAsia" w:ascii="仿宋" w:hAnsi="仿宋" w:eastAsia="仿宋" w:cs="仿宋"/>
          <w:b/>
          <w:bCs/>
          <w:color w:val="auto"/>
          <w:sz w:val="24"/>
          <w:szCs w:val="24"/>
          <w:highlight w:val="none"/>
          <w:lang w:val="zh-CN"/>
        </w:rPr>
        <w:t>、询问、质疑、投诉和诚实信用</w:t>
      </w:r>
    </w:p>
    <w:p w14:paraId="64710DF4">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23</w:t>
      </w:r>
      <w:r>
        <w:rPr>
          <w:rFonts w:hint="eastAsia" w:ascii="仿宋" w:hAnsi="仿宋" w:eastAsia="仿宋" w:cs="仿宋"/>
          <w:b/>
          <w:bCs/>
          <w:color w:val="auto"/>
          <w:sz w:val="24"/>
          <w:szCs w:val="24"/>
          <w:highlight w:val="none"/>
          <w:lang w:val="zh-CN"/>
        </w:rPr>
        <w:t>、询问</w:t>
      </w:r>
    </w:p>
    <w:p w14:paraId="1EE88294">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23</w:t>
      </w:r>
      <w:r>
        <w:rPr>
          <w:rFonts w:hint="eastAsia" w:ascii="仿宋" w:hAnsi="仿宋" w:eastAsia="仿宋" w:cs="仿宋"/>
          <w:color w:val="auto"/>
          <w:sz w:val="24"/>
          <w:szCs w:val="24"/>
          <w:highlight w:val="none"/>
          <w:lang w:val="zh-CN"/>
        </w:rPr>
        <w:t>.1供应商对采购活动事项有疑问的，可以向采购代理提出询问，采购代理将在两个工作日内作出答复，但答复的内容不涉及商业秘密</w:t>
      </w:r>
      <w:r>
        <w:rPr>
          <w:rFonts w:hint="eastAsia" w:ascii="仿宋" w:hAnsi="仿宋" w:eastAsia="仿宋" w:cs="仿宋"/>
          <w:bCs/>
          <w:color w:val="auto"/>
          <w:sz w:val="24"/>
          <w:szCs w:val="24"/>
          <w:highlight w:val="none"/>
          <w:lang w:val="zh-CN"/>
        </w:rPr>
        <w:t>。</w:t>
      </w:r>
    </w:p>
    <w:p w14:paraId="35A39930">
      <w:pPr>
        <w:spacing w:line="360" w:lineRule="auto"/>
        <w:ind w:firstLine="487"/>
        <w:rPr>
          <w:rFonts w:ascii="仿宋" w:hAnsi="仿宋" w:eastAsia="仿宋" w:cs="仿宋"/>
          <w:b/>
          <w:color w:val="auto"/>
          <w:sz w:val="24"/>
          <w:szCs w:val="24"/>
          <w:highlight w:val="none"/>
          <w:lang w:val="zh-CN"/>
        </w:rPr>
      </w:pPr>
      <w:r>
        <w:rPr>
          <w:rFonts w:hint="eastAsia" w:ascii="仿宋" w:hAnsi="仿宋" w:eastAsia="仿宋" w:cs="仿宋"/>
          <w:b/>
          <w:color w:val="auto"/>
          <w:sz w:val="24"/>
          <w:szCs w:val="24"/>
          <w:highlight w:val="none"/>
        </w:rPr>
        <w:t>24</w:t>
      </w:r>
      <w:r>
        <w:rPr>
          <w:rFonts w:hint="eastAsia" w:ascii="仿宋" w:hAnsi="仿宋" w:eastAsia="仿宋" w:cs="仿宋"/>
          <w:b/>
          <w:color w:val="auto"/>
          <w:sz w:val="24"/>
          <w:szCs w:val="24"/>
          <w:highlight w:val="none"/>
          <w:lang w:val="zh-CN"/>
        </w:rPr>
        <w:t>、质疑</w:t>
      </w:r>
    </w:p>
    <w:p w14:paraId="380CEA6D">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zh-CN"/>
        </w:rPr>
        <w:t>.1供应商认为采购文件、采购过程和成交结果使自己的合法权益受到损害的，可以在知道或者应当知道其权益受到损害之日起七个工作日内，</w:t>
      </w:r>
      <w:r>
        <w:rPr>
          <w:rFonts w:hint="eastAsia" w:ascii="仿宋" w:hAnsi="仿宋" w:eastAsia="仿宋" w:cs="仿宋"/>
          <w:b/>
          <w:color w:val="auto"/>
          <w:sz w:val="24"/>
          <w:szCs w:val="24"/>
          <w:highlight w:val="none"/>
          <w:lang w:val="zh-CN"/>
        </w:rPr>
        <w:t>将质疑文件原件送达源成工程咨询（江苏南京）有限责任公司。</w:t>
      </w:r>
    </w:p>
    <w:p w14:paraId="6FE8B6BC">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zh-CN"/>
        </w:rPr>
        <w:t>.2质疑文件应包括以下主要内容，并</w:t>
      </w:r>
      <w:r>
        <w:rPr>
          <w:rFonts w:hint="eastAsia" w:ascii="仿宋" w:hAnsi="仿宋" w:eastAsia="仿宋" w:cs="仿宋"/>
          <w:color w:val="auto"/>
          <w:sz w:val="24"/>
          <w:szCs w:val="24"/>
          <w:highlight w:val="none"/>
        </w:rPr>
        <w:t>按照“谁主张、谁举证”的原则，附上相关证明材料。否则，采购代理不予受理：</w:t>
      </w:r>
    </w:p>
    <w:p w14:paraId="07BFE12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（1）质疑项目名称、项目编号、包号、采购公告发布时间、磋商时间；</w:t>
      </w:r>
    </w:p>
    <w:p w14:paraId="6B96705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（2）提起质疑的日期、具体的质疑事项及事实根据（具体条款）；</w:t>
      </w:r>
    </w:p>
    <w:p w14:paraId="5BFAE486">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（3）认为自己合法权益受到损害或可能受到损害的相关证据材料；</w:t>
      </w:r>
    </w:p>
    <w:p w14:paraId="4651BB68">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（4）质疑供应商名称、地址、邮编、联系人、联系电话</w:t>
      </w:r>
      <w:r>
        <w:rPr>
          <w:rFonts w:hint="eastAsia" w:ascii="仿宋" w:hAnsi="仿宋" w:eastAsia="仿宋" w:cs="仿宋"/>
          <w:color w:val="auto"/>
          <w:sz w:val="24"/>
          <w:szCs w:val="24"/>
          <w:highlight w:val="none"/>
        </w:rPr>
        <w:t>（包括座机、手机、传真号码等）</w:t>
      </w:r>
      <w:r>
        <w:rPr>
          <w:rFonts w:hint="eastAsia" w:ascii="仿宋" w:hAnsi="仿宋" w:eastAsia="仿宋" w:cs="仿宋"/>
          <w:color w:val="auto"/>
          <w:sz w:val="24"/>
          <w:szCs w:val="24"/>
          <w:highlight w:val="none"/>
          <w:lang w:val="zh-CN"/>
        </w:rPr>
        <w:t>；</w:t>
      </w:r>
    </w:p>
    <w:p w14:paraId="5A56F3B0">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（5）质疑文件应当署名，质疑人为自然人的，应当由本人签字并附有效身份证明；质疑人为法人或其他组织的，应当由法定代表人签字并加盖单位公章；</w:t>
      </w:r>
    </w:p>
    <w:p w14:paraId="181FE28D">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（6）供应商委托代理质疑的，应当提交授权委托书，并载明委托代理的具体权限和事项。</w:t>
      </w:r>
    </w:p>
    <w:p w14:paraId="17F7DA68">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24</w:t>
      </w:r>
      <w:r>
        <w:rPr>
          <w:rFonts w:hint="eastAsia" w:ascii="仿宋" w:hAnsi="仿宋" w:eastAsia="仿宋" w:cs="仿宋"/>
          <w:color w:val="auto"/>
          <w:sz w:val="24"/>
          <w:szCs w:val="24"/>
          <w:highlight w:val="none"/>
          <w:lang w:val="zh-CN"/>
        </w:rPr>
        <w:t>.3质疑</w:t>
      </w:r>
      <w:r>
        <w:rPr>
          <w:rFonts w:hint="eastAsia" w:ascii="仿宋" w:hAnsi="仿宋" w:eastAsia="仿宋" w:cs="仿宋"/>
          <w:color w:val="auto"/>
          <w:sz w:val="24"/>
          <w:szCs w:val="24"/>
          <w:highlight w:val="none"/>
        </w:rPr>
        <w:t>供应商是指直接参加本项目采购活动的供应商；对采购文件提出质疑的，应自供应商获得采购文件之日起计算，且应当在提交响应截止之日前提出；对采购过程提出质疑的，自采购程序环节结束之日起计算；对采购结果提出质疑的，自采购结果公告之日起计算。</w:t>
      </w:r>
    </w:p>
    <w:p w14:paraId="7992480F">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24.4</w:t>
      </w:r>
      <w:r>
        <w:rPr>
          <w:rFonts w:hint="eastAsia" w:ascii="仿宋" w:hAnsi="仿宋" w:eastAsia="仿宋" w:cs="仿宋"/>
          <w:color w:val="auto"/>
          <w:sz w:val="24"/>
          <w:szCs w:val="24"/>
          <w:highlight w:val="none"/>
          <w:lang w:val="zh-CN"/>
        </w:rPr>
        <w:t>采购代理</w:t>
      </w:r>
      <w:r>
        <w:rPr>
          <w:rFonts w:hint="eastAsia" w:ascii="仿宋" w:hAnsi="仿宋" w:eastAsia="仿宋" w:cs="仿宋"/>
          <w:color w:val="auto"/>
          <w:sz w:val="24"/>
          <w:szCs w:val="24"/>
          <w:highlight w:val="none"/>
        </w:rPr>
        <w:t>在收到供应商的书面质疑后将及时组织调查核实，在</w:t>
      </w:r>
      <w:r>
        <w:rPr>
          <w:rFonts w:hint="eastAsia" w:ascii="仿宋" w:hAnsi="仿宋" w:eastAsia="仿宋" w:cs="仿宋"/>
          <w:b/>
          <w:bCs/>
          <w:color w:val="auto"/>
          <w:sz w:val="24"/>
          <w:szCs w:val="24"/>
          <w:highlight w:val="none"/>
          <w:lang w:val="zh-CN"/>
        </w:rPr>
        <w:t>七个工作日内</w:t>
      </w:r>
      <w:r>
        <w:rPr>
          <w:rFonts w:hint="eastAsia" w:ascii="仿宋" w:hAnsi="仿宋" w:eastAsia="仿宋" w:cs="仿宋"/>
          <w:color w:val="auto"/>
          <w:sz w:val="24"/>
          <w:szCs w:val="24"/>
          <w:highlight w:val="none"/>
          <w:lang w:val="zh-CN"/>
        </w:rPr>
        <w:t>作出答复，并以书面通知质疑供应商和其他有关供应商，答复的内容不涉及商业秘密。采购代理</w:t>
      </w:r>
      <w:r>
        <w:rPr>
          <w:rFonts w:hint="eastAsia" w:ascii="仿宋" w:hAnsi="仿宋" w:eastAsia="仿宋" w:cs="仿宋"/>
          <w:color w:val="auto"/>
          <w:sz w:val="24"/>
          <w:szCs w:val="24"/>
          <w:highlight w:val="none"/>
        </w:rPr>
        <w:t>遵循“谁过错谁负担”的原则，有过错的一方承担调查论证费用。</w:t>
      </w:r>
    </w:p>
    <w:p w14:paraId="41F05BA4">
      <w:pPr>
        <w:spacing w:line="360" w:lineRule="auto"/>
        <w:ind w:firstLine="487"/>
        <w:rPr>
          <w:rFonts w:ascii="仿宋" w:hAnsi="仿宋" w:eastAsia="仿宋" w:cs="仿宋"/>
          <w:color w:val="auto"/>
          <w:sz w:val="24"/>
          <w:szCs w:val="24"/>
          <w:highlight w:val="none"/>
          <w:lang w:val="zh-CN"/>
        </w:rPr>
      </w:pPr>
      <w:r>
        <w:rPr>
          <w:rFonts w:hint="eastAsia" w:ascii="仿宋" w:hAnsi="仿宋" w:eastAsia="仿宋" w:cs="仿宋"/>
          <w:b/>
          <w:bCs/>
          <w:color w:val="auto"/>
          <w:sz w:val="24"/>
          <w:szCs w:val="24"/>
          <w:highlight w:val="none"/>
        </w:rPr>
        <w:t>25</w:t>
      </w:r>
      <w:r>
        <w:rPr>
          <w:rFonts w:hint="eastAsia" w:ascii="仿宋" w:hAnsi="仿宋" w:eastAsia="仿宋" w:cs="仿宋"/>
          <w:b/>
          <w:bCs/>
          <w:color w:val="auto"/>
          <w:sz w:val="24"/>
          <w:szCs w:val="24"/>
          <w:highlight w:val="none"/>
          <w:lang w:val="zh-CN"/>
        </w:rPr>
        <w:t>、投诉</w:t>
      </w:r>
    </w:p>
    <w:p w14:paraId="3E2C6ABC">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25</w:t>
      </w:r>
      <w:r>
        <w:rPr>
          <w:rFonts w:hint="eastAsia" w:ascii="仿宋" w:hAnsi="仿宋" w:eastAsia="仿宋" w:cs="仿宋"/>
          <w:color w:val="auto"/>
          <w:sz w:val="24"/>
          <w:szCs w:val="24"/>
          <w:highlight w:val="none"/>
          <w:lang w:val="zh-CN"/>
        </w:rPr>
        <w:t>.1质疑供应商对采购代理的答复不满意，或采购代理未在规定的时间内作出答复的，可以在答复期满后</w:t>
      </w:r>
      <w:r>
        <w:rPr>
          <w:rFonts w:hint="eastAsia" w:ascii="仿宋" w:hAnsi="仿宋" w:eastAsia="仿宋" w:cs="仿宋"/>
          <w:b/>
          <w:bCs/>
          <w:color w:val="auto"/>
          <w:sz w:val="24"/>
          <w:szCs w:val="24"/>
          <w:highlight w:val="none"/>
          <w:lang w:val="zh-CN"/>
        </w:rPr>
        <w:t>十五个工作日内</w:t>
      </w:r>
      <w:r>
        <w:rPr>
          <w:rFonts w:hint="eastAsia" w:ascii="仿宋" w:hAnsi="仿宋" w:eastAsia="仿宋" w:cs="仿宋"/>
          <w:color w:val="auto"/>
          <w:sz w:val="24"/>
          <w:szCs w:val="24"/>
          <w:highlight w:val="none"/>
          <w:lang w:val="zh-CN"/>
        </w:rPr>
        <w:t>向采购项目同级财政部门投诉。</w:t>
      </w:r>
    </w:p>
    <w:p w14:paraId="2A31C107">
      <w:pPr>
        <w:spacing w:line="360" w:lineRule="auto"/>
        <w:ind w:firstLine="487"/>
        <w:rPr>
          <w:rFonts w:ascii="仿宋" w:hAnsi="仿宋" w:eastAsia="仿宋" w:cs="仿宋"/>
          <w:b/>
          <w:bCs/>
          <w:color w:val="auto"/>
          <w:sz w:val="24"/>
          <w:szCs w:val="24"/>
          <w:highlight w:val="none"/>
          <w:lang w:val="zh-CN"/>
        </w:rPr>
      </w:pPr>
      <w:r>
        <w:rPr>
          <w:rFonts w:hint="eastAsia" w:ascii="仿宋" w:hAnsi="仿宋" w:eastAsia="仿宋" w:cs="仿宋"/>
          <w:b/>
          <w:bCs/>
          <w:color w:val="auto"/>
          <w:sz w:val="24"/>
          <w:szCs w:val="24"/>
          <w:highlight w:val="none"/>
        </w:rPr>
        <w:t>26</w:t>
      </w:r>
      <w:r>
        <w:rPr>
          <w:rFonts w:hint="eastAsia" w:ascii="仿宋" w:hAnsi="仿宋" w:eastAsia="仿宋" w:cs="仿宋"/>
          <w:b/>
          <w:bCs/>
          <w:color w:val="auto"/>
          <w:sz w:val="24"/>
          <w:szCs w:val="24"/>
          <w:highlight w:val="none"/>
          <w:lang w:val="zh-CN"/>
        </w:rPr>
        <w:t>、诚实信用</w:t>
      </w:r>
    </w:p>
    <w:p w14:paraId="0045A66B">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zh-CN"/>
        </w:rPr>
        <w:t>.1供应商之间不得相互串通报价，不得妨碍其他供应商的公平竞争，不得损害采购人和其他供应商的合法权益。</w:t>
      </w:r>
    </w:p>
    <w:p w14:paraId="37FA89C5">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zh-CN"/>
        </w:rPr>
        <w:t>.2供应商不得以向采购代理工作人员、磋商小组成员行贿或者采取其他不正当手段谋取成交。经查实供应商有此行为的，</w:t>
      </w:r>
      <w:r>
        <w:rPr>
          <w:rFonts w:hint="eastAsia" w:ascii="仿宋" w:hAnsi="仿宋" w:eastAsia="仿宋" w:cs="仿宋"/>
          <w:color w:val="auto"/>
          <w:sz w:val="24"/>
          <w:szCs w:val="24"/>
          <w:highlight w:val="none"/>
        </w:rPr>
        <w:t>政府采购管理部门将供应商列入不良行为记录名单，按照《政府采购法》有关规定处理。</w:t>
      </w:r>
    </w:p>
    <w:p w14:paraId="4B1E1BDD">
      <w:pPr>
        <w:spacing w:line="360" w:lineRule="auto"/>
        <w:ind w:firstLine="484"/>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zh-CN"/>
        </w:rPr>
        <w:t>.3供应商不得虚假质疑和恶意质疑，并对质疑内容的真实性承担责任。</w:t>
      </w:r>
      <w:r>
        <w:rPr>
          <w:rFonts w:hint="eastAsia" w:ascii="仿宋" w:hAnsi="仿宋" w:eastAsia="仿宋" w:cs="仿宋"/>
          <w:color w:val="auto"/>
          <w:sz w:val="24"/>
          <w:szCs w:val="24"/>
          <w:highlight w:val="none"/>
        </w:rPr>
        <w:t>供应商或者其他利害关系人通过捏造事实、伪造证明材料等方式提出异议或投诉，阻碍政府采购活动正常进行的，属于严重不良行为，采购代理将提请财政部门将其列入不良行为记录名单，并依法予以处罚。</w:t>
      </w:r>
    </w:p>
    <w:p w14:paraId="63B11217">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zh-CN"/>
        </w:rPr>
        <w:t>.4供应商不得虚假承诺，否则，按照提供虚假材料谋取成交处理。</w:t>
      </w:r>
    </w:p>
    <w:p w14:paraId="0157973E">
      <w:pPr>
        <w:spacing w:line="360" w:lineRule="auto"/>
        <w:ind w:firstLine="484"/>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rPr>
        <w:t>26</w:t>
      </w:r>
      <w:r>
        <w:rPr>
          <w:rFonts w:hint="eastAsia" w:ascii="仿宋" w:hAnsi="仿宋" w:eastAsia="仿宋" w:cs="仿宋"/>
          <w:color w:val="auto"/>
          <w:sz w:val="24"/>
          <w:szCs w:val="24"/>
          <w:highlight w:val="none"/>
          <w:lang w:val="zh-CN"/>
        </w:rPr>
        <w:t>.5供应商应自觉遵守磋商、评审纪律，扰乱磋商、评审现场秩序的，属于失信行为，根据《江苏省政府采购供应商监督管理暂行办法》，失信行为将被记入供应商诚信档案。</w:t>
      </w:r>
    </w:p>
    <w:p w14:paraId="53247513">
      <w:pPr>
        <w:pStyle w:val="2"/>
        <w:tabs>
          <w:tab w:val="clear" w:pos="1440"/>
          <w:tab w:val="clear" w:pos="5670"/>
        </w:tabs>
        <w:spacing w:before="240" w:after="240"/>
        <w:ind w:firstLine="0" w:firstLineChars="0"/>
        <w:jc w:val="center"/>
        <w:rPr>
          <w:rFonts w:ascii="仿宋" w:hAnsi="仿宋" w:cs="仿宋"/>
          <w:b w:val="0"/>
          <w:color w:val="auto"/>
          <w:spacing w:val="-10"/>
          <w:sz w:val="36"/>
          <w:szCs w:val="36"/>
          <w:highlight w:val="none"/>
        </w:rPr>
      </w:pPr>
      <w:r>
        <w:rPr>
          <w:rFonts w:hint="eastAsia" w:ascii="仿宋" w:hAnsi="仿宋" w:cs="仿宋"/>
          <w:color w:val="auto"/>
          <w:szCs w:val="21"/>
          <w:highlight w:val="none"/>
          <w:lang w:val="zh-CN"/>
        </w:rPr>
        <w:br w:type="page" w:clear="all"/>
      </w:r>
      <w:bookmarkStart w:id="79" w:name="_Toc3479"/>
      <w:r>
        <w:rPr>
          <w:rFonts w:hint="eastAsia" w:ascii="仿宋" w:hAnsi="仿宋" w:cs="仿宋"/>
          <w:color w:val="auto"/>
          <w:spacing w:val="-10"/>
          <w:sz w:val="36"/>
          <w:szCs w:val="36"/>
          <w:highlight w:val="none"/>
        </w:rPr>
        <w:t xml:space="preserve">第三章 </w:t>
      </w:r>
      <w:bookmarkEnd w:id="66"/>
      <w:bookmarkEnd w:id="67"/>
      <w:bookmarkEnd w:id="68"/>
      <w:bookmarkEnd w:id="69"/>
      <w:bookmarkEnd w:id="70"/>
      <w:bookmarkEnd w:id="71"/>
      <w:bookmarkEnd w:id="72"/>
      <w:bookmarkEnd w:id="73"/>
      <w:bookmarkEnd w:id="74"/>
      <w:bookmarkEnd w:id="75"/>
      <w:bookmarkEnd w:id="76"/>
      <w:bookmarkEnd w:id="77"/>
      <w:bookmarkEnd w:id="78"/>
      <w:r>
        <w:rPr>
          <w:rFonts w:hint="eastAsia" w:ascii="仿宋" w:hAnsi="仿宋" w:cs="仿宋"/>
          <w:color w:val="auto"/>
          <w:spacing w:val="-10"/>
          <w:sz w:val="36"/>
          <w:szCs w:val="36"/>
          <w:highlight w:val="none"/>
        </w:rPr>
        <w:t>评审标准</w:t>
      </w:r>
      <w:bookmarkEnd w:id="79"/>
    </w:p>
    <w:p w14:paraId="14C3538A">
      <w:pPr>
        <w:spacing w:line="360" w:lineRule="auto"/>
        <w:rPr>
          <w:rFonts w:ascii="仿宋" w:hAnsi="仿宋" w:eastAsia="仿宋" w:cs="仿宋"/>
          <w:b/>
          <w:bCs/>
          <w:color w:val="auto"/>
          <w:sz w:val="24"/>
          <w:szCs w:val="24"/>
          <w:highlight w:val="none"/>
        </w:rPr>
      </w:pPr>
      <w:bookmarkStart w:id="80" w:name="_Toc953"/>
      <w:bookmarkStart w:id="81" w:name="_Toc49171542"/>
      <w:bookmarkStart w:id="82" w:name="_Toc28919"/>
      <w:bookmarkStart w:id="83" w:name="_Toc25000"/>
      <w:bookmarkStart w:id="84" w:name="_Toc11385"/>
      <w:bookmarkStart w:id="85" w:name="_Toc18964"/>
      <w:bookmarkStart w:id="86" w:name="_Toc10163"/>
      <w:bookmarkStart w:id="87" w:name="_Toc3364"/>
      <w:bookmarkStart w:id="88" w:name="_Toc11299"/>
      <w:r>
        <w:rPr>
          <w:rFonts w:hint="eastAsia" w:ascii="仿宋" w:hAnsi="仿宋" w:eastAsia="仿宋" w:cs="仿宋"/>
          <w:b/>
          <w:bCs/>
          <w:color w:val="auto"/>
          <w:sz w:val="24"/>
          <w:szCs w:val="24"/>
          <w:highlight w:val="none"/>
        </w:rPr>
        <w:t>一、评审办法</w:t>
      </w:r>
      <w:bookmarkEnd w:id="80"/>
      <w:bookmarkEnd w:id="81"/>
      <w:bookmarkEnd w:id="82"/>
      <w:bookmarkEnd w:id="83"/>
      <w:bookmarkEnd w:id="84"/>
      <w:bookmarkEnd w:id="85"/>
      <w:bookmarkEnd w:id="86"/>
      <w:bookmarkEnd w:id="87"/>
      <w:bookmarkEnd w:id="88"/>
    </w:p>
    <w:p w14:paraId="6DC837F6">
      <w:pPr>
        <w:autoSpaceDE w:val="0"/>
        <w:autoSpaceDN w:val="0"/>
        <w:adjustRightInd w:val="0"/>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次评审采用综合评分法，评分统计方法采用百分制（满分100分），主观分的评委评分进行算术平均，小数点后保留2位。按评审后得分由高到低顺序排列，评审得分相同的，按最后磋商报价由低到高顺序排列。评审得分且磋商报价相同的并列。响应文件满足磋商文件全部实质性要求，且按照评审因素的量化指标评审得分最高的供应商为排名第一的成交侯选供应商。</w:t>
      </w:r>
    </w:p>
    <w:p w14:paraId="72243D4C">
      <w:pPr>
        <w:spacing w:line="360" w:lineRule="auto"/>
        <w:rPr>
          <w:rFonts w:ascii="仿宋" w:hAnsi="仿宋" w:eastAsia="仿宋" w:cs="仿宋"/>
          <w:b/>
          <w:bCs/>
          <w:color w:val="auto"/>
          <w:sz w:val="24"/>
          <w:szCs w:val="24"/>
          <w:highlight w:val="none"/>
        </w:rPr>
      </w:pPr>
      <w:bookmarkStart w:id="89" w:name="_Toc6654"/>
      <w:bookmarkStart w:id="90" w:name="_Toc22288"/>
      <w:bookmarkStart w:id="91" w:name="_Toc20259"/>
      <w:bookmarkStart w:id="92" w:name="_Toc19849"/>
      <w:bookmarkStart w:id="93" w:name="_Toc28248"/>
      <w:bookmarkStart w:id="94" w:name="_Toc49171543"/>
      <w:bookmarkStart w:id="95" w:name="_Toc29145"/>
      <w:bookmarkStart w:id="96" w:name="_Toc21236"/>
      <w:bookmarkStart w:id="97" w:name="_Toc15688"/>
      <w:r>
        <w:rPr>
          <w:rFonts w:hint="eastAsia" w:ascii="仿宋" w:hAnsi="仿宋" w:eastAsia="仿宋" w:cs="仿宋"/>
          <w:b/>
          <w:bCs/>
          <w:color w:val="auto"/>
          <w:sz w:val="24"/>
          <w:szCs w:val="24"/>
          <w:highlight w:val="none"/>
        </w:rPr>
        <w:t>二、资格性审查方法</w:t>
      </w:r>
      <w:bookmarkEnd w:id="89"/>
      <w:bookmarkEnd w:id="90"/>
      <w:bookmarkEnd w:id="91"/>
      <w:bookmarkEnd w:id="92"/>
      <w:bookmarkEnd w:id="93"/>
      <w:bookmarkEnd w:id="94"/>
      <w:bookmarkEnd w:id="95"/>
      <w:bookmarkEnd w:id="96"/>
      <w:bookmarkEnd w:id="97"/>
    </w:p>
    <w:p w14:paraId="1F4AF76A">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竞争性磋商采购项目响应文件开启结束后，采购人或者代理机构依据法律、法规及采购文件的规定，对供应商的资格进行审查，以确定供应商资格是否合格。</w:t>
      </w:r>
    </w:p>
    <w:p w14:paraId="3D920676">
      <w:pPr>
        <w:numPr>
          <w:ilvl w:val="0"/>
          <w:numId w:val="5"/>
        </w:numPr>
        <w:autoSpaceDE w:val="0"/>
        <w:autoSpaceDN w:val="0"/>
        <w:adjustRightInd w:val="0"/>
        <w:spacing w:line="360" w:lineRule="auto"/>
        <w:jc w:val="left"/>
        <w:rPr>
          <w:rFonts w:ascii="仿宋" w:hAnsi="仿宋" w:eastAsia="仿宋" w:cs="仿宋"/>
          <w:b/>
          <w:bCs/>
          <w:color w:val="auto"/>
          <w:kern w:val="0"/>
          <w:sz w:val="24"/>
          <w:szCs w:val="21"/>
          <w:highlight w:val="none"/>
          <w:lang w:val="zh-CN"/>
        </w:rPr>
      </w:pPr>
      <w:r>
        <w:rPr>
          <w:rFonts w:hint="eastAsia" w:ascii="仿宋" w:hAnsi="仿宋" w:eastAsia="仿宋" w:cs="仿宋"/>
          <w:b/>
          <w:bCs/>
          <w:color w:val="auto"/>
          <w:kern w:val="0"/>
          <w:sz w:val="24"/>
          <w:szCs w:val="21"/>
          <w:highlight w:val="none"/>
          <w:lang w:val="zh-CN"/>
        </w:rPr>
        <w:t>评分标准</w:t>
      </w:r>
    </w:p>
    <w:tbl>
      <w:tblPr>
        <w:tblStyle w:val="61"/>
        <w:tblW w:w="0" w:type="auto"/>
        <w:jc w:val="center"/>
        <w:tblLayout w:type="fixed"/>
        <w:tblCellMar>
          <w:top w:w="0" w:type="dxa"/>
          <w:left w:w="0" w:type="dxa"/>
          <w:bottom w:w="0" w:type="dxa"/>
          <w:right w:w="0" w:type="dxa"/>
        </w:tblCellMar>
      </w:tblPr>
      <w:tblGrid>
        <w:gridCol w:w="508"/>
        <w:gridCol w:w="1045"/>
        <w:gridCol w:w="6757"/>
        <w:gridCol w:w="631"/>
        <w:gridCol w:w="756"/>
      </w:tblGrid>
      <w:tr w14:paraId="0EA31BA9">
        <w:tblPrEx>
          <w:tblCellMar>
            <w:top w:w="0" w:type="dxa"/>
            <w:left w:w="0" w:type="dxa"/>
            <w:bottom w:w="0" w:type="dxa"/>
            <w:right w:w="0" w:type="dxa"/>
          </w:tblCellMar>
        </w:tblPrEx>
        <w:trPr>
          <w:trHeight w:val="515"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14:paraId="5122E221">
            <w:pPr>
              <w:jc w:val="center"/>
              <w:rPr>
                <w:rFonts w:ascii="仿宋" w:hAnsi="仿宋" w:eastAsia="仿宋"/>
                <w:b/>
                <w:color w:val="auto"/>
                <w:szCs w:val="21"/>
                <w:highlight w:val="none"/>
              </w:rPr>
            </w:pPr>
            <w:r>
              <w:rPr>
                <w:rFonts w:ascii="仿宋" w:hAnsi="仿宋" w:eastAsia="仿宋"/>
                <w:b/>
                <w:color w:val="auto"/>
                <w:szCs w:val="21"/>
                <w:highlight w:val="none"/>
              </w:rPr>
              <w:t>序号</w:t>
            </w:r>
          </w:p>
        </w:tc>
        <w:tc>
          <w:tcPr>
            <w:tcW w:w="1045" w:type="dxa"/>
            <w:tcBorders>
              <w:top w:val="single" w:color="auto" w:sz="4" w:space="0"/>
              <w:left w:val="single" w:color="auto" w:sz="4" w:space="0"/>
              <w:bottom w:val="single" w:color="auto" w:sz="4" w:space="0"/>
              <w:right w:val="single" w:color="auto" w:sz="8" w:space="0"/>
            </w:tcBorders>
            <w:noWrap/>
            <w:vAlign w:val="center"/>
          </w:tcPr>
          <w:p w14:paraId="0A1737DA">
            <w:pPr>
              <w:jc w:val="center"/>
              <w:rPr>
                <w:rFonts w:ascii="仿宋" w:hAnsi="仿宋" w:eastAsia="仿宋"/>
                <w:b/>
                <w:color w:val="auto"/>
                <w:szCs w:val="21"/>
                <w:highlight w:val="none"/>
              </w:rPr>
            </w:pPr>
            <w:r>
              <w:rPr>
                <w:rFonts w:ascii="仿宋" w:hAnsi="仿宋" w:eastAsia="仿宋"/>
                <w:b/>
                <w:color w:val="auto"/>
                <w:szCs w:val="21"/>
                <w:highlight w:val="none"/>
              </w:rPr>
              <w:t>评分因素</w:t>
            </w:r>
          </w:p>
        </w:tc>
        <w:tc>
          <w:tcPr>
            <w:tcW w:w="6757" w:type="dxa"/>
            <w:tcBorders>
              <w:top w:val="single" w:color="auto" w:sz="4" w:space="0"/>
              <w:bottom w:val="single" w:color="auto" w:sz="4" w:space="0"/>
              <w:right w:val="single" w:color="auto" w:sz="8" w:space="0"/>
            </w:tcBorders>
            <w:noWrap/>
            <w:vAlign w:val="center"/>
          </w:tcPr>
          <w:p w14:paraId="39603E3E">
            <w:pPr>
              <w:jc w:val="center"/>
              <w:rPr>
                <w:rFonts w:ascii="仿宋" w:hAnsi="仿宋" w:eastAsia="仿宋"/>
                <w:b/>
                <w:color w:val="auto"/>
                <w:szCs w:val="21"/>
                <w:highlight w:val="none"/>
              </w:rPr>
            </w:pPr>
            <w:r>
              <w:rPr>
                <w:rFonts w:ascii="仿宋" w:hAnsi="仿宋" w:eastAsia="仿宋"/>
                <w:b/>
                <w:color w:val="auto"/>
                <w:szCs w:val="21"/>
                <w:highlight w:val="none"/>
              </w:rPr>
              <w:t>评审标准</w:t>
            </w:r>
          </w:p>
        </w:tc>
        <w:tc>
          <w:tcPr>
            <w:tcW w:w="631" w:type="dxa"/>
            <w:tcBorders>
              <w:top w:val="single" w:color="auto" w:sz="4" w:space="0"/>
              <w:bottom w:val="single" w:color="auto" w:sz="4" w:space="0"/>
              <w:right w:val="single" w:color="auto" w:sz="4" w:space="0"/>
            </w:tcBorders>
            <w:noWrap/>
            <w:vAlign w:val="center"/>
          </w:tcPr>
          <w:p w14:paraId="4529761C">
            <w:pPr>
              <w:jc w:val="center"/>
              <w:rPr>
                <w:rFonts w:ascii="仿宋" w:hAnsi="仿宋" w:eastAsia="仿宋"/>
                <w:b/>
                <w:color w:val="auto"/>
                <w:szCs w:val="21"/>
                <w:highlight w:val="none"/>
              </w:rPr>
            </w:pPr>
            <w:r>
              <w:rPr>
                <w:rFonts w:ascii="仿宋" w:hAnsi="仿宋" w:eastAsia="仿宋"/>
                <w:b/>
                <w:color w:val="auto"/>
                <w:szCs w:val="21"/>
                <w:highlight w:val="none"/>
              </w:rPr>
              <w:t>分值</w:t>
            </w:r>
          </w:p>
        </w:tc>
        <w:tc>
          <w:tcPr>
            <w:tcW w:w="756" w:type="dxa"/>
            <w:tcBorders>
              <w:top w:val="single" w:color="auto" w:sz="4" w:space="0"/>
              <w:bottom w:val="single" w:color="auto" w:sz="4" w:space="0"/>
              <w:right w:val="single" w:color="auto" w:sz="4" w:space="0"/>
            </w:tcBorders>
            <w:noWrap/>
            <w:vAlign w:val="center"/>
          </w:tcPr>
          <w:p w14:paraId="137ADA2D">
            <w:pPr>
              <w:rPr>
                <w:rFonts w:ascii="仿宋" w:hAnsi="仿宋" w:eastAsia="仿宋"/>
                <w:b/>
                <w:color w:val="auto"/>
                <w:szCs w:val="21"/>
                <w:highlight w:val="none"/>
              </w:rPr>
            </w:pPr>
          </w:p>
        </w:tc>
      </w:tr>
      <w:tr w14:paraId="6A94460C">
        <w:tblPrEx>
          <w:tblCellMar>
            <w:top w:w="0" w:type="dxa"/>
            <w:left w:w="0" w:type="dxa"/>
            <w:bottom w:w="0" w:type="dxa"/>
            <w:right w:w="0" w:type="dxa"/>
          </w:tblCellMar>
        </w:tblPrEx>
        <w:trPr>
          <w:trHeight w:val="1001"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14:paraId="52177440">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1</w:t>
            </w:r>
          </w:p>
        </w:tc>
        <w:tc>
          <w:tcPr>
            <w:tcW w:w="1045" w:type="dxa"/>
            <w:tcBorders>
              <w:top w:val="single" w:color="auto" w:sz="4" w:space="0"/>
              <w:left w:val="single" w:color="auto" w:sz="4" w:space="0"/>
              <w:bottom w:val="single" w:color="auto" w:sz="4" w:space="0"/>
              <w:right w:val="single" w:color="auto" w:sz="8" w:space="0"/>
            </w:tcBorders>
            <w:noWrap/>
            <w:vAlign w:val="center"/>
          </w:tcPr>
          <w:p w14:paraId="0DC8A42D">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报价得分（10分）</w:t>
            </w:r>
          </w:p>
        </w:tc>
        <w:tc>
          <w:tcPr>
            <w:tcW w:w="6757" w:type="dxa"/>
            <w:tcBorders>
              <w:top w:val="single" w:color="auto" w:sz="4" w:space="0"/>
              <w:bottom w:val="single" w:color="auto" w:sz="4" w:space="0"/>
              <w:right w:val="single" w:color="auto" w:sz="8" w:space="0"/>
            </w:tcBorders>
            <w:noWrap/>
            <w:vAlign w:val="center"/>
          </w:tcPr>
          <w:p w14:paraId="68FFCE78">
            <w:pPr>
              <w:spacing w:line="240" w:lineRule="exact"/>
              <w:jc w:val="left"/>
              <w:rPr>
                <w:rFonts w:ascii="仿宋" w:hAnsi="仿宋" w:eastAsia="仿宋"/>
                <w:color w:val="auto"/>
                <w:szCs w:val="21"/>
                <w:highlight w:val="none"/>
              </w:rPr>
            </w:pPr>
            <w:r>
              <w:rPr>
                <w:rFonts w:hint="eastAsia" w:ascii="仿宋" w:hAnsi="仿宋" w:eastAsia="仿宋" w:cs="仿宋"/>
                <w:color w:val="auto"/>
                <w:szCs w:val="21"/>
                <w:highlight w:val="none"/>
              </w:rPr>
              <w:t>采用低价优先法计算，即满足磋商文件要求且最后报价最低的供应商的价格为磋商基准价，其价格分为满分。其他供应商的价格分统一按照下列公式计算:磋商报价得分=(磋商基准价/最后磋商报价)×10（小数点保留两位）</w:t>
            </w:r>
          </w:p>
        </w:tc>
        <w:tc>
          <w:tcPr>
            <w:tcW w:w="631" w:type="dxa"/>
            <w:tcBorders>
              <w:top w:val="single" w:color="auto" w:sz="4" w:space="0"/>
              <w:bottom w:val="single" w:color="auto" w:sz="4" w:space="0"/>
              <w:right w:val="single" w:color="auto" w:sz="4" w:space="0"/>
            </w:tcBorders>
            <w:noWrap/>
            <w:vAlign w:val="center"/>
          </w:tcPr>
          <w:p w14:paraId="5BC09A25">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10</w:t>
            </w:r>
          </w:p>
        </w:tc>
        <w:tc>
          <w:tcPr>
            <w:tcW w:w="756" w:type="dxa"/>
            <w:tcBorders>
              <w:top w:val="single" w:color="auto" w:sz="4" w:space="0"/>
              <w:bottom w:val="single" w:color="auto" w:sz="4" w:space="0"/>
              <w:right w:val="single" w:color="auto" w:sz="4" w:space="0"/>
            </w:tcBorders>
            <w:noWrap/>
            <w:vAlign w:val="center"/>
          </w:tcPr>
          <w:p w14:paraId="4BC1410F">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价格分</w:t>
            </w:r>
          </w:p>
        </w:tc>
      </w:tr>
      <w:tr w14:paraId="48A671B4">
        <w:tblPrEx>
          <w:tblCellMar>
            <w:top w:w="0" w:type="dxa"/>
            <w:left w:w="0" w:type="dxa"/>
            <w:bottom w:w="0" w:type="dxa"/>
            <w:right w:w="0" w:type="dxa"/>
          </w:tblCellMar>
        </w:tblPrEx>
        <w:trPr>
          <w:trHeight w:val="1407" w:hRule="atLeast"/>
          <w:jc w:val="center"/>
        </w:trPr>
        <w:tc>
          <w:tcPr>
            <w:tcW w:w="508" w:type="dxa"/>
            <w:vMerge w:val="restart"/>
            <w:tcBorders>
              <w:top w:val="single" w:color="auto" w:sz="4" w:space="0"/>
              <w:left w:val="single" w:color="auto" w:sz="4" w:space="0"/>
              <w:right w:val="single" w:color="auto" w:sz="4" w:space="0"/>
            </w:tcBorders>
            <w:noWrap/>
            <w:vAlign w:val="center"/>
          </w:tcPr>
          <w:p w14:paraId="58348A21">
            <w:pPr>
              <w:jc w:val="center"/>
              <w:rPr>
                <w:rFonts w:ascii="仿宋" w:hAnsi="仿宋" w:eastAsia="仿宋"/>
                <w:color w:val="auto"/>
                <w:szCs w:val="21"/>
                <w:highlight w:val="none"/>
              </w:rPr>
            </w:pPr>
            <w:r>
              <w:rPr>
                <w:rFonts w:hint="eastAsia" w:ascii="仿宋" w:hAnsi="仿宋" w:eastAsia="仿宋"/>
                <w:color w:val="auto"/>
                <w:szCs w:val="21"/>
                <w:highlight w:val="none"/>
              </w:rPr>
              <w:t>2</w:t>
            </w:r>
          </w:p>
        </w:tc>
        <w:tc>
          <w:tcPr>
            <w:tcW w:w="1045" w:type="dxa"/>
            <w:vMerge w:val="restart"/>
            <w:tcBorders>
              <w:top w:val="single" w:color="auto" w:sz="4" w:space="0"/>
              <w:left w:val="single" w:color="auto" w:sz="4" w:space="0"/>
              <w:right w:val="single" w:color="auto" w:sz="4" w:space="0"/>
            </w:tcBorders>
            <w:noWrap/>
            <w:vAlign w:val="center"/>
          </w:tcPr>
          <w:p w14:paraId="049CBFDF">
            <w:pPr>
              <w:spacing w:line="240" w:lineRule="exact"/>
              <w:jc w:val="center"/>
              <w:rPr>
                <w:rFonts w:ascii="仿宋" w:hAnsi="仿宋" w:eastAsia="仿宋"/>
                <w:color w:val="auto"/>
                <w:szCs w:val="21"/>
                <w:highlight w:val="none"/>
              </w:rPr>
            </w:pPr>
            <w:r>
              <w:rPr>
                <w:rFonts w:ascii="仿宋" w:hAnsi="仿宋" w:eastAsia="仿宋"/>
                <w:color w:val="auto"/>
                <w:szCs w:val="21"/>
                <w:highlight w:val="none"/>
              </w:rPr>
              <w:t>服务</w:t>
            </w:r>
            <w:r>
              <w:rPr>
                <w:rFonts w:hint="eastAsia" w:ascii="仿宋" w:hAnsi="仿宋" w:eastAsia="仿宋"/>
                <w:color w:val="auto"/>
                <w:szCs w:val="21"/>
                <w:highlight w:val="none"/>
              </w:rPr>
              <w:t>方案</w:t>
            </w:r>
          </w:p>
          <w:p w14:paraId="1A4C0FF2">
            <w:pPr>
              <w:spacing w:line="240" w:lineRule="exact"/>
              <w:jc w:val="center"/>
              <w:rPr>
                <w:rFonts w:ascii="仿宋" w:hAnsi="仿宋" w:eastAsia="仿宋"/>
                <w:color w:val="auto"/>
                <w:w w:val="92"/>
                <w:szCs w:val="21"/>
                <w:highlight w:val="none"/>
              </w:rPr>
            </w:pPr>
            <w:r>
              <w:rPr>
                <w:rFonts w:ascii="仿宋" w:hAnsi="仿宋" w:eastAsia="仿宋"/>
                <w:color w:val="auto"/>
                <w:w w:val="92"/>
                <w:szCs w:val="21"/>
                <w:highlight w:val="none"/>
              </w:rPr>
              <w:t>(</w:t>
            </w:r>
            <w:r>
              <w:rPr>
                <w:rFonts w:hint="eastAsia" w:ascii="仿宋" w:hAnsi="仿宋" w:eastAsia="仿宋"/>
                <w:color w:val="auto"/>
                <w:w w:val="92"/>
                <w:szCs w:val="21"/>
                <w:highlight w:val="none"/>
              </w:rPr>
              <w:t>65</w:t>
            </w:r>
            <w:r>
              <w:rPr>
                <w:rFonts w:ascii="仿宋" w:hAnsi="仿宋" w:eastAsia="仿宋"/>
                <w:color w:val="auto"/>
                <w:w w:val="92"/>
                <w:szCs w:val="21"/>
                <w:highlight w:val="none"/>
              </w:rPr>
              <w:t>分)</w:t>
            </w:r>
          </w:p>
          <w:p w14:paraId="5186A0F2">
            <w:pPr>
              <w:spacing w:line="240" w:lineRule="exact"/>
              <w:jc w:val="center"/>
              <w:rPr>
                <w:rFonts w:ascii="仿宋" w:hAnsi="仿宋" w:eastAsia="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ign w:val="center"/>
          </w:tcPr>
          <w:p w14:paraId="7B18CF6C">
            <w:pPr>
              <w:rPr>
                <w:rFonts w:ascii="仿宋" w:hAnsi="仿宋" w:eastAsia="仿宋" w:cs="宋体"/>
                <w:color w:val="auto"/>
                <w:szCs w:val="21"/>
                <w:highlight w:val="none"/>
              </w:rPr>
            </w:pPr>
            <w:r>
              <w:rPr>
                <w:rFonts w:hint="eastAsia" w:ascii="仿宋" w:hAnsi="仿宋" w:eastAsia="仿宋" w:cs="宋体"/>
                <w:color w:val="auto"/>
                <w:szCs w:val="21"/>
                <w:highlight w:val="none"/>
              </w:rPr>
              <w:t>1、项目需求分析</w:t>
            </w:r>
          </w:p>
          <w:p w14:paraId="22C95C40">
            <w:pPr>
              <w:rPr>
                <w:rFonts w:ascii="仿宋" w:hAnsi="仿宋" w:eastAsia="仿宋"/>
                <w:b/>
                <w:color w:val="auto"/>
                <w:szCs w:val="21"/>
                <w:highlight w:val="none"/>
              </w:rPr>
            </w:pPr>
            <w:r>
              <w:rPr>
                <w:rFonts w:hint="eastAsia" w:ascii="仿宋" w:hAnsi="仿宋" w:eastAsia="仿宋" w:cs="宋体"/>
                <w:color w:val="auto"/>
                <w:szCs w:val="21"/>
                <w:highlight w:val="none"/>
              </w:rPr>
              <w:t>根据供应商提供本次项目的需求分析方案进行综合评分：方案全面合理,内容分析合理、科学，计划可行,无明显瑕疵的得14分；有明显瑕疵的（如业务、需求认识和理解不充分；内容分析不合理、计划不可行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ign w:val="center"/>
          </w:tcPr>
          <w:p w14:paraId="313C0187">
            <w:pPr>
              <w:widowControl/>
              <w:jc w:val="center"/>
              <w:rPr>
                <w:rFonts w:ascii="仿宋" w:hAnsi="仿宋" w:eastAsia="仿宋"/>
                <w:color w:val="auto"/>
                <w:szCs w:val="21"/>
                <w:highlight w:val="none"/>
              </w:rPr>
            </w:pPr>
            <w:r>
              <w:rPr>
                <w:rFonts w:hint="eastAsia" w:ascii="仿宋" w:hAnsi="仿宋" w:eastAsia="仿宋" w:cs="宋体"/>
                <w:color w:val="auto"/>
                <w:szCs w:val="21"/>
                <w:highlight w:val="none"/>
              </w:rPr>
              <w:t>14</w:t>
            </w:r>
          </w:p>
        </w:tc>
        <w:tc>
          <w:tcPr>
            <w:tcW w:w="756" w:type="dxa"/>
            <w:vMerge w:val="restart"/>
            <w:tcBorders>
              <w:top w:val="single" w:color="auto" w:sz="4" w:space="0"/>
              <w:left w:val="single" w:color="auto" w:sz="4" w:space="0"/>
              <w:right w:val="single" w:color="auto" w:sz="4" w:space="0"/>
            </w:tcBorders>
            <w:noWrap/>
            <w:vAlign w:val="center"/>
          </w:tcPr>
          <w:p w14:paraId="70EE9989">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主观分</w:t>
            </w:r>
          </w:p>
        </w:tc>
      </w:tr>
      <w:tr w14:paraId="1ABA93F4">
        <w:tblPrEx>
          <w:tblCellMar>
            <w:top w:w="0" w:type="dxa"/>
            <w:left w:w="0" w:type="dxa"/>
            <w:bottom w:w="0" w:type="dxa"/>
            <w:right w:w="0" w:type="dxa"/>
          </w:tblCellMar>
        </w:tblPrEx>
        <w:trPr>
          <w:trHeight w:val="1407" w:hRule="atLeast"/>
          <w:jc w:val="center"/>
        </w:trPr>
        <w:tc>
          <w:tcPr>
            <w:tcW w:w="508" w:type="dxa"/>
            <w:vMerge w:val="continue"/>
            <w:tcBorders>
              <w:left w:val="single" w:color="auto" w:sz="4" w:space="0"/>
              <w:right w:val="single" w:color="auto" w:sz="4" w:space="0"/>
            </w:tcBorders>
            <w:noWrap/>
            <w:vAlign w:val="center"/>
          </w:tcPr>
          <w:p w14:paraId="10586A40">
            <w:pPr>
              <w:jc w:val="center"/>
              <w:rPr>
                <w:rFonts w:ascii="仿宋" w:hAnsi="仿宋" w:eastAsia="仿宋"/>
                <w:color w:val="auto"/>
                <w:szCs w:val="21"/>
                <w:highlight w:val="none"/>
              </w:rPr>
            </w:pPr>
          </w:p>
        </w:tc>
        <w:tc>
          <w:tcPr>
            <w:tcW w:w="1045" w:type="dxa"/>
            <w:vMerge w:val="continue"/>
            <w:tcBorders>
              <w:left w:val="single" w:color="auto" w:sz="4" w:space="0"/>
              <w:right w:val="single" w:color="auto" w:sz="4" w:space="0"/>
            </w:tcBorders>
            <w:noWrap/>
            <w:vAlign w:val="center"/>
          </w:tcPr>
          <w:p w14:paraId="5BC821C5">
            <w:pPr>
              <w:spacing w:line="240" w:lineRule="exact"/>
              <w:jc w:val="center"/>
              <w:rPr>
                <w:rFonts w:ascii="仿宋" w:hAnsi="仿宋" w:eastAsia="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ign w:val="center"/>
          </w:tcPr>
          <w:p w14:paraId="22D7DDA4">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2、总体策划方案</w:t>
            </w:r>
          </w:p>
          <w:p w14:paraId="5D5C9057">
            <w:pPr>
              <w:rPr>
                <w:rFonts w:ascii="仿宋" w:hAnsi="仿宋" w:eastAsia="仿宋"/>
                <w:color w:val="auto"/>
                <w:szCs w:val="21"/>
                <w:highlight w:val="none"/>
              </w:rPr>
            </w:pPr>
            <w:r>
              <w:rPr>
                <w:rFonts w:hint="eastAsia" w:ascii="仿宋" w:hAnsi="仿宋" w:eastAsia="仿宋" w:cs="宋体"/>
                <w:color w:val="auto"/>
                <w:szCs w:val="21"/>
                <w:highlight w:val="none"/>
              </w:rPr>
              <w:t>根据供应商提供本次项目的总体策划方案进行综合评分：</w:t>
            </w:r>
            <w:r>
              <w:rPr>
                <w:rFonts w:hint="eastAsia" w:ascii="仿宋" w:hAnsi="仿宋" w:eastAsia="仿宋" w:cs="仿宋"/>
                <w:color w:val="auto"/>
                <w:szCs w:val="21"/>
                <w:highlight w:val="none"/>
              </w:rPr>
              <w:t>总体策划方案全面，具有合理的服务体系、组织架构清晰、合理、计划可行，无明显瑕疵的得17分，</w:t>
            </w:r>
            <w:r>
              <w:rPr>
                <w:rFonts w:hint="eastAsia" w:ascii="仿宋" w:hAnsi="仿宋" w:eastAsia="仿宋" w:cs="宋体"/>
                <w:color w:val="auto"/>
                <w:szCs w:val="21"/>
                <w:highlight w:val="none"/>
              </w:rPr>
              <w:t>有明显瑕疵的（如方案不全面、服务体系不合理，组织架构不清晰等）每处扣2分；一般瑕疵，每处扣1分；扣完为止，不提供不得分。</w:t>
            </w:r>
          </w:p>
        </w:tc>
        <w:tc>
          <w:tcPr>
            <w:tcW w:w="631" w:type="dxa"/>
            <w:tcBorders>
              <w:top w:val="single" w:color="auto" w:sz="4" w:space="0"/>
              <w:left w:val="single" w:color="auto" w:sz="4" w:space="0"/>
              <w:bottom w:val="single" w:color="auto" w:sz="8" w:space="0"/>
              <w:right w:val="single" w:color="auto" w:sz="8" w:space="0"/>
            </w:tcBorders>
            <w:noWrap/>
            <w:vAlign w:val="center"/>
          </w:tcPr>
          <w:p w14:paraId="752475B2">
            <w:pPr>
              <w:widowControl/>
              <w:jc w:val="center"/>
              <w:rPr>
                <w:rFonts w:ascii="仿宋" w:hAnsi="仿宋" w:eastAsia="仿宋"/>
                <w:color w:val="auto"/>
                <w:szCs w:val="21"/>
                <w:highlight w:val="none"/>
              </w:rPr>
            </w:pPr>
            <w:r>
              <w:rPr>
                <w:rFonts w:hint="eastAsia" w:ascii="仿宋" w:hAnsi="仿宋" w:eastAsia="仿宋" w:cs="宋体"/>
                <w:color w:val="auto"/>
                <w:szCs w:val="21"/>
                <w:highlight w:val="none"/>
              </w:rPr>
              <w:t>17</w:t>
            </w:r>
          </w:p>
        </w:tc>
        <w:tc>
          <w:tcPr>
            <w:tcW w:w="756" w:type="dxa"/>
            <w:vMerge w:val="continue"/>
            <w:tcBorders>
              <w:left w:val="single" w:color="auto" w:sz="4" w:space="0"/>
              <w:right w:val="single" w:color="auto" w:sz="4" w:space="0"/>
            </w:tcBorders>
            <w:noWrap/>
            <w:vAlign w:val="center"/>
          </w:tcPr>
          <w:p w14:paraId="06E228AD">
            <w:pPr>
              <w:widowControl/>
              <w:jc w:val="center"/>
              <w:rPr>
                <w:rFonts w:ascii="仿宋" w:hAnsi="仿宋" w:eastAsia="仿宋" w:cs="宋体"/>
                <w:color w:val="auto"/>
                <w:szCs w:val="21"/>
                <w:highlight w:val="none"/>
              </w:rPr>
            </w:pPr>
          </w:p>
        </w:tc>
      </w:tr>
      <w:tr w14:paraId="1543C2E2">
        <w:tblPrEx>
          <w:tblCellMar>
            <w:top w:w="0" w:type="dxa"/>
            <w:left w:w="0" w:type="dxa"/>
            <w:bottom w:w="0" w:type="dxa"/>
            <w:right w:w="0" w:type="dxa"/>
          </w:tblCellMar>
        </w:tblPrEx>
        <w:trPr>
          <w:trHeight w:val="1408" w:hRule="atLeast"/>
          <w:jc w:val="center"/>
        </w:trPr>
        <w:tc>
          <w:tcPr>
            <w:tcW w:w="508" w:type="dxa"/>
            <w:vMerge w:val="continue"/>
            <w:tcBorders>
              <w:left w:val="single" w:color="auto" w:sz="4" w:space="0"/>
              <w:right w:val="single" w:color="auto" w:sz="4" w:space="0"/>
            </w:tcBorders>
            <w:noWrap/>
            <w:vAlign w:val="center"/>
          </w:tcPr>
          <w:p w14:paraId="268364CA">
            <w:pPr>
              <w:jc w:val="center"/>
              <w:rPr>
                <w:rFonts w:ascii="仿宋" w:hAnsi="仿宋" w:eastAsia="仿宋"/>
                <w:color w:val="auto"/>
                <w:szCs w:val="21"/>
                <w:highlight w:val="none"/>
              </w:rPr>
            </w:pPr>
          </w:p>
        </w:tc>
        <w:tc>
          <w:tcPr>
            <w:tcW w:w="1045" w:type="dxa"/>
            <w:vMerge w:val="continue"/>
            <w:tcBorders>
              <w:left w:val="single" w:color="auto" w:sz="4" w:space="0"/>
              <w:right w:val="single" w:color="auto" w:sz="4" w:space="0"/>
            </w:tcBorders>
            <w:noWrap/>
            <w:vAlign w:val="center"/>
          </w:tcPr>
          <w:p w14:paraId="65FF8A5F">
            <w:pPr>
              <w:spacing w:line="240" w:lineRule="exact"/>
              <w:jc w:val="center"/>
              <w:rPr>
                <w:rFonts w:ascii="仿宋" w:hAnsi="仿宋" w:eastAsia="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ign w:val="center"/>
          </w:tcPr>
          <w:p w14:paraId="281ECF91">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3、人员及技术配备方案</w:t>
            </w:r>
          </w:p>
          <w:p w14:paraId="2D7EDD1E">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根据供应商提供本次项目的人员及技术配备方案进行综合评分：项目服务团队成员具体工作内容明确，团队人员稳定，关键点设置合理，无明显瑕疵的得12分，有明显瑕疵的（如工作描述不清晰、职责描述混乱、关键点设置不合理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ign w:val="center"/>
          </w:tcPr>
          <w:p w14:paraId="11189DC6">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12</w:t>
            </w:r>
          </w:p>
        </w:tc>
        <w:tc>
          <w:tcPr>
            <w:tcW w:w="756" w:type="dxa"/>
            <w:vMerge w:val="continue"/>
            <w:tcBorders>
              <w:left w:val="single" w:color="auto" w:sz="4" w:space="0"/>
              <w:bottom w:val="single" w:color="auto" w:sz="4" w:space="0"/>
              <w:right w:val="single" w:color="auto" w:sz="4" w:space="0"/>
            </w:tcBorders>
            <w:noWrap/>
            <w:vAlign w:val="center"/>
          </w:tcPr>
          <w:p w14:paraId="623049F7">
            <w:pPr>
              <w:widowControl/>
              <w:jc w:val="center"/>
              <w:rPr>
                <w:rFonts w:ascii="仿宋" w:hAnsi="仿宋" w:eastAsia="仿宋" w:cs="宋体"/>
                <w:color w:val="auto"/>
                <w:szCs w:val="21"/>
                <w:highlight w:val="none"/>
              </w:rPr>
            </w:pPr>
          </w:p>
        </w:tc>
      </w:tr>
      <w:tr w14:paraId="4D44E9BE">
        <w:tblPrEx>
          <w:tblCellMar>
            <w:top w:w="0" w:type="dxa"/>
            <w:left w:w="0" w:type="dxa"/>
            <w:bottom w:w="0" w:type="dxa"/>
            <w:right w:w="0" w:type="dxa"/>
          </w:tblCellMar>
        </w:tblPrEx>
        <w:trPr>
          <w:trHeight w:val="1988" w:hRule="atLeast"/>
          <w:jc w:val="center"/>
        </w:trPr>
        <w:tc>
          <w:tcPr>
            <w:tcW w:w="508" w:type="dxa"/>
            <w:vMerge w:val="continue"/>
            <w:tcBorders>
              <w:left w:val="single" w:color="auto" w:sz="4" w:space="0"/>
              <w:right w:val="single" w:color="auto" w:sz="4" w:space="0"/>
            </w:tcBorders>
            <w:noWrap/>
            <w:vAlign w:val="center"/>
          </w:tcPr>
          <w:p w14:paraId="269EE5FA">
            <w:pPr>
              <w:jc w:val="center"/>
              <w:rPr>
                <w:rFonts w:ascii="仿宋" w:hAnsi="仿宋" w:eastAsia="仿宋"/>
                <w:color w:val="auto"/>
                <w:szCs w:val="21"/>
                <w:highlight w:val="none"/>
              </w:rPr>
            </w:pPr>
          </w:p>
        </w:tc>
        <w:tc>
          <w:tcPr>
            <w:tcW w:w="1045" w:type="dxa"/>
            <w:vMerge w:val="continue"/>
            <w:tcBorders>
              <w:left w:val="single" w:color="auto" w:sz="4" w:space="0"/>
              <w:right w:val="single" w:color="auto" w:sz="4" w:space="0"/>
            </w:tcBorders>
            <w:noWrap/>
            <w:vAlign w:val="center"/>
          </w:tcPr>
          <w:p w14:paraId="6E102843">
            <w:pPr>
              <w:spacing w:line="240" w:lineRule="exact"/>
              <w:jc w:val="center"/>
              <w:rPr>
                <w:rFonts w:ascii="仿宋" w:hAnsi="仿宋" w:eastAsia="仿宋"/>
                <w:color w:val="auto"/>
                <w:szCs w:val="21"/>
                <w:highlight w:val="none"/>
              </w:rPr>
            </w:pPr>
          </w:p>
        </w:tc>
        <w:tc>
          <w:tcPr>
            <w:tcW w:w="6757" w:type="dxa"/>
            <w:tcBorders>
              <w:top w:val="single" w:color="auto" w:sz="4" w:space="0"/>
              <w:left w:val="single" w:color="auto" w:sz="4" w:space="0"/>
              <w:bottom w:val="single" w:color="auto" w:sz="4" w:space="0"/>
              <w:right w:val="single" w:color="auto" w:sz="4" w:space="0"/>
            </w:tcBorders>
            <w:noWrap/>
            <w:vAlign w:val="center"/>
          </w:tcPr>
          <w:p w14:paraId="50DD5123">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4、应急保障方案</w:t>
            </w:r>
          </w:p>
          <w:p w14:paraId="78A76A6B">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根据供应商提供的应急保障方案进行综合评分：应急保障方案合理可行，针对性强，无明显瑕疵的得11分；有明显瑕疵的（如异常数据识别办法设置不合理、应急监测流程等不符合规范、安全事故应急方案不合理、自然灾害、电路检修、临时停电、被偷盗破坏等情况的有效预防和应急措施不完善等）每处扣2分；一般瑕疵，每处扣1分；扣完为止，不提供不得分。</w:t>
            </w:r>
          </w:p>
        </w:tc>
        <w:tc>
          <w:tcPr>
            <w:tcW w:w="631" w:type="dxa"/>
            <w:tcBorders>
              <w:top w:val="single" w:color="auto" w:sz="4" w:space="0"/>
              <w:left w:val="single" w:color="auto" w:sz="4" w:space="0"/>
              <w:bottom w:val="single" w:color="auto" w:sz="4" w:space="0"/>
              <w:right w:val="single" w:color="auto" w:sz="4" w:space="0"/>
            </w:tcBorders>
            <w:noWrap/>
            <w:vAlign w:val="center"/>
          </w:tcPr>
          <w:p w14:paraId="4C8A5DEE">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11</w:t>
            </w:r>
          </w:p>
        </w:tc>
        <w:tc>
          <w:tcPr>
            <w:tcW w:w="756" w:type="dxa"/>
            <w:vMerge w:val="continue"/>
            <w:tcBorders>
              <w:left w:val="single" w:color="auto" w:sz="4" w:space="0"/>
              <w:bottom w:val="single" w:color="auto" w:sz="4" w:space="0"/>
              <w:right w:val="single" w:color="auto" w:sz="4" w:space="0"/>
            </w:tcBorders>
            <w:noWrap/>
            <w:vAlign w:val="center"/>
          </w:tcPr>
          <w:p w14:paraId="02358880">
            <w:pPr>
              <w:widowControl/>
              <w:jc w:val="center"/>
              <w:rPr>
                <w:rFonts w:ascii="仿宋" w:hAnsi="仿宋" w:eastAsia="仿宋" w:cs="宋体"/>
                <w:color w:val="auto"/>
                <w:szCs w:val="21"/>
                <w:highlight w:val="none"/>
              </w:rPr>
            </w:pPr>
          </w:p>
        </w:tc>
      </w:tr>
      <w:tr w14:paraId="5C1ED5A5">
        <w:tblPrEx>
          <w:tblCellMar>
            <w:top w:w="0" w:type="dxa"/>
            <w:left w:w="0" w:type="dxa"/>
            <w:bottom w:w="0" w:type="dxa"/>
            <w:right w:w="0" w:type="dxa"/>
          </w:tblCellMar>
        </w:tblPrEx>
        <w:trPr>
          <w:trHeight w:val="1682" w:hRule="atLeast"/>
          <w:jc w:val="center"/>
        </w:trPr>
        <w:tc>
          <w:tcPr>
            <w:tcW w:w="508" w:type="dxa"/>
            <w:vMerge w:val="continue"/>
            <w:tcBorders>
              <w:left w:val="single" w:color="auto" w:sz="4" w:space="0"/>
              <w:right w:val="single" w:color="auto" w:sz="4" w:space="0"/>
            </w:tcBorders>
            <w:noWrap/>
            <w:vAlign w:val="center"/>
          </w:tcPr>
          <w:p w14:paraId="324B72AD">
            <w:pPr>
              <w:jc w:val="center"/>
              <w:rPr>
                <w:rFonts w:ascii="仿宋" w:hAnsi="仿宋" w:eastAsia="仿宋"/>
                <w:color w:val="auto"/>
                <w:szCs w:val="21"/>
                <w:highlight w:val="none"/>
              </w:rPr>
            </w:pPr>
          </w:p>
        </w:tc>
        <w:tc>
          <w:tcPr>
            <w:tcW w:w="1045" w:type="dxa"/>
            <w:vMerge w:val="continue"/>
            <w:tcBorders>
              <w:left w:val="single" w:color="auto" w:sz="4" w:space="0"/>
              <w:right w:val="single" w:color="auto" w:sz="4" w:space="0"/>
            </w:tcBorders>
            <w:noWrap/>
            <w:vAlign w:val="center"/>
          </w:tcPr>
          <w:p w14:paraId="4A9E9770">
            <w:pPr>
              <w:widowControl/>
              <w:jc w:val="center"/>
              <w:rPr>
                <w:rFonts w:ascii="仿宋" w:hAnsi="仿宋" w:eastAsia="仿宋" w:cs="宋体"/>
                <w:color w:val="auto"/>
                <w:szCs w:val="21"/>
                <w:highlight w:val="none"/>
              </w:rPr>
            </w:pPr>
          </w:p>
        </w:tc>
        <w:tc>
          <w:tcPr>
            <w:tcW w:w="6757" w:type="dxa"/>
            <w:tcBorders>
              <w:top w:val="single" w:color="auto" w:sz="4" w:space="0"/>
              <w:bottom w:val="single" w:color="auto" w:sz="4" w:space="0"/>
              <w:right w:val="single" w:color="auto" w:sz="4" w:space="0"/>
            </w:tcBorders>
            <w:noWrap/>
            <w:vAlign w:val="center"/>
          </w:tcPr>
          <w:p w14:paraId="7A5888CA">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5、服务质量保障体系和措施</w:t>
            </w:r>
          </w:p>
          <w:p w14:paraId="5A67CBEA">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根据供应商提供的服务质量保障体系和措施进行综合评分：措施可行、可靠、具体，无明显瑕疵的得11分；有明显瑕疵（如服务保障质量控制体系管理不规范、保障质量控制计划不合理、服务质量保证措施简单粗略、质量控制内容不切合实际等）每处扣2分；一般瑕疵，每处扣1分；扣完为止，不提供不得分。</w:t>
            </w:r>
          </w:p>
        </w:tc>
        <w:tc>
          <w:tcPr>
            <w:tcW w:w="631" w:type="dxa"/>
            <w:tcBorders>
              <w:top w:val="single" w:color="auto" w:sz="4" w:space="0"/>
              <w:left w:val="single" w:color="auto" w:sz="4" w:space="0"/>
              <w:right w:val="single" w:color="auto" w:sz="4" w:space="0"/>
            </w:tcBorders>
            <w:noWrap/>
            <w:vAlign w:val="center"/>
          </w:tcPr>
          <w:p w14:paraId="1387DC3C">
            <w:pPr>
              <w:jc w:val="center"/>
              <w:rPr>
                <w:rFonts w:ascii="仿宋" w:hAnsi="仿宋" w:eastAsia="仿宋"/>
                <w:color w:val="auto"/>
                <w:szCs w:val="21"/>
                <w:highlight w:val="none"/>
              </w:rPr>
            </w:pPr>
            <w:r>
              <w:rPr>
                <w:rFonts w:hint="eastAsia" w:ascii="仿宋" w:hAnsi="仿宋" w:eastAsia="仿宋"/>
                <w:color w:val="auto"/>
                <w:szCs w:val="21"/>
                <w:highlight w:val="none"/>
              </w:rPr>
              <w:t>11</w:t>
            </w:r>
          </w:p>
        </w:tc>
        <w:tc>
          <w:tcPr>
            <w:tcW w:w="756" w:type="dxa"/>
            <w:tcBorders>
              <w:top w:val="single" w:color="auto" w:sz="4" w:space="0"/>
              <w:left w:val="single" w:color="auto" w:sz="4" w:space="0"/>
              <w:bottom w:val="single" w:color="auto" w:sz="4" w:space="0"/>
              <w:right w:val="single" w:color="auto" w:sz="4" w:space="0"/>
            </w:tcBorders>
            <w:noWrap/>
            <w:vAlign w:val="center"/>
          </w:tcPr>
          <w:p w14:paraId="38AD0330">
            <w:pPr>
              <w:jc w:val="center"/>
              <w:rPr>
                <w:rFonts w:ascii="仿宋" w:hAnsi="仿宋" w:eastAsia="仿宋"/>
                <w:color w:val="auto"/>
                <w:szCs w:val="21"/>
                <w:highlight w:val="none"/>
              </w:rPr>
            </w:pPr>
          </w:p>
        </w:tc>
      </w:tr>
      <w:tr w14:paraId="0EE85CE8">
        <w:tblPrEx>
          <w:tblCellMar>
            <w:top w:w="0" w:type="dxa"/>
            <w:left w:w="0" w:type="dxa"/>
            <w:bottom w:w="0" w:type="dxa"/>
            <w:right w:w="0" w:type="dxa"/>
          </w:tblCellMar>
        </w:tblPrEx>
        <w:trPr>
          <w:trHeight w:val="939" w:hRule="atLeast"/>
          <w:jc w:val="center"/>
        </w:trPr>
        <w:tc>
          <w:tcPr>
            <w:tcW w:w="508" w:type="dxa"/>
            <w:vMerge w:val="restart"/>
            <w:tcBorders>
              <w:top w:val="single" w:color="auto" w:sz="4" w:space="0"/>
              <w:left w:val="single" w:color="auto" w:sz="8" w:space="0"/>
              <w:right w:val="single" w:color="auto" w:sz="8" w:space="0"/>
            </w:tcBorders>
            <w:noWrap/>
            <w:vAlign w:val="center"/>
          </w:tcPr>
          <w:p w14:paraId="320C7A4B">
            <w:pPr>
              <w:spacing w:line="240" w:lineRule="exact"/>
              <w:jc w:val="center"/>
              <w:rPr>
                <w:rFonts w:ascii="仿宋" w:hAnsi="仿宋" w:eastAsia="仿宋"/>
                <w:color w:val="auto"/>
                <w:szCs w:val="21"/>
                <w:highlight w:val="none"/>
              </w:rPr>
            </w:pPr>
            <w:r>
              <w:rPr>
                <w:rFonts w:hint="eastAsia" w:ascii="仿宋" w:hAnsi="仿宋" w:eastAsia="仿宋"/>
                <w:color w:val="auto"/>
                <w:szCs w:val="21"/>
                <w:highlight w:val="none"/>
              </w:rPr>
              <w:t>3</w:t>
            </w:r>
          </w:p>
          <w:p w14:paraId="5236932E">
            <w:pPr>
              <w:pStyle w:val="226"/>
              <w:ind w:firstLine="42"/>
              <w:jc w:val="center"/>
              <w:rPr>
                <w:rFonts w:ascii="仿宋" w:hAnsi="仿宋" w:eastAsia="仿宋"/>
                <w:color w:val="auto"/>
                <w:szCs w:val="21"/>
                <w:highlight w:val="none"/>
              </w:rPr>
            </w:pPr>
          </w:p>
        </w:tc>
        <w:tc>
          <w:tcPr>
            <w:tcW w:w="1045" w:type="dxa"/>
            <w:tcBorders>
              <w:top w:val="single" w:color="auto" w:sz="4" w:space="0"/>
              <w:bottom w:val="single" w:color="auto" w:sz="4" w:space="0"/>
              <w:right w:val="single" w:color="auto" w:sz="8" w:space="0"/>
            </w:tcBorders>
            <w:noWrap/>
            <w:vAlign w:val="center"/>
          </w:tcPr>
          <w:p w14:paraId="55EAB51F">
            <w:pPr>
              <w:widowControl/>
              <w:jc w:val="center"/>
              <w:rPr>
                <w:rFonts w:ascii="仿宋" w:hAnsi="仿宋" w:eastAsia="仿宋"/>
                <w:color w:val="auto"/>
                <w:szCs w:val="21"/>
                <w:highlight w:val="none"/>
              </w:rPr>
            </w:pPr>
            <w:r>
              <w:rPr>
                <w:rFonts w:hint="eastAsia" w:ascii="仿宋" w:hAnsi="仿宋" w:eastAsia="仿宋" w:cs="宋体"/>
                <w:color w:val="auto"/>
                <w:szCs w:val="21"/>
                <w:highlight w:val="none"/>
              </w:rPr>
              <w:t>企业业绩（</w:t>
            </w:r>
            <w:r>
              <w:rPr>
                <w:rFonts w:hint="eastAsia" w:ascii="仿宋" w:hAnsi="仿宋" w:eastAsia="仿宋" w:cs="宋体"/>
                <w:color w:val="auto"/>
                <w:szCs w:val="21"/>
                <w:highlight w:val="none"/>
                <w:lang w:val="en-US" w:eastAsia="zh-CN"/>
              </w:rPr>
              <w:t>3</w:t>
            </w:r>
            <w:r>
              <w:rPr>
                <w:rFonts w:hint="eastAsia" w:ascii="仿宋" w:hAnsi="仿宋" w:eastAsia="仿宋" w:cs="宋体"/>
                <w:color w:val="auto"/>
                <w:szCs w:val="21"/>
                <w:highlight w:val="none"/>
              </w:rPr>
              <w:t>分）</w:t>
            </w:r>
          </w:p>
        </w:tc>
        <w:tc>
          <w:tcPr>
            <w:tcW w:w="6757" w:type="dxa"/>
            <w:tcBorders>
              <w:top w:val="single" w:color="auto" w:sz="4" w:space="0"/>
              <w:bottom w:val="single" w:color="auto" w:sz="4" w:space="0"/>
              <w:right w:val="single" w:color="auto" w:sz="4" w:space="0"/>
            </w:tcBorders>
            <w:noWrap/>
            <w:vAlign w:val="center"/>
          </w:tcPr>
          <w:p w14:paraId="0A337F96">
            <w:pPr>
              <w:widowControl/>
              <w:textAlignment w:val="center"/>
              <w:rPr>
                <w:rFonts w:ascii="仿宋" w:hAnsi="仿宋" w:eastAsia="仿宋" w:cs="仿宋"/>
                <w:color w:val="auto"/>
                <w:szCs w:val="21"/>
                <w:highlight w:val="none"/>
              </w:rPr>
            </w:pPr>
            <w:r>
              <w:rPr>
                <w:rFonts w:ascii="仿宋" w:hAnsi="仿宋" w:eastAsia="仿宋" w:cs="仿宋"/>
                <w:color w:val="auto"/>
                <w:sz w:val="22"/>
                <w:highlight w:val="none"/>
              </w:rPr>
              <w:t>供应商自202</w:t>
            </w:r>
            <w:r>
              <w:rPr>
                <w:rFonts w:hint="eastAsia" w:ascii="仿宋" w:hAnsi="仿宋" w:eastAsia="仿宋" w:cs="仿宋"/>
                <w:color w:val="auto"/>
                <w:sz w:val="22"/>
                <w:highlight w:val="none"/>
              </w:rPr>
              <w:t>1</w:t>
            </w:r>
            <w:r>
              <w:rPr>
                <w:rFonts w:ascii="仿宋" w:hAnsi="仿宋" w:eastAsia="仿宋" w:cs="仿宋"/>
                <w:color w:val="auto"/>
                <w:sz w:val="22"/>
                <w:highlight w:val="none"/>
              </w:rPr>
              <w:t>年</w:t>
            </w:r>
            <w:r>
              <w:rPr>
                <w:rFonts w:hint="eastAsia" w:ascii="仿宋" w:hAnsi="仿宋" w:eastAsia="仿宋" w:cs="仿宋"/>
                <w:color w:val="auto"/>
                <w:sz w:val="22"/>
                <w:highlight w:val="none"/>
              </w:rPr>
              <w:t>1月</w:t>
            </w:r>
            <w:r>
              <w:rPr>
                <w:rFonts w:ascii="仿宋" w:hAnsi="仿宋" w:eastAsia="仿宋" w:cs="仿宋"/>
                <w:color w:val="auto"/>
                <w:sz w:val="22"/>
                <w:highlight w:val="none"/>
              </w:rPr>
              <w:t>1日（含）以来</w:t>
            </w:r>
            <w:r>
              <w:rPr>
                <w:rFonts w:hint="eastAsia" w:ascii="仿宋" w:hAnsi="仿宋" w:eastAsia="仿宋" w:cs="仿宋"/>
                <w:color w:val="auto"/>
                <w:sz w:val="22"/>
                <w:highlight w:val="none"/>
              </w:rPr>
              <w:t>承担过类似项目业绩的，每提供1个合同得3分，满分</w:t>
            </w:r>
            <w:r>
              <w:rPr>
                <w:rFonts w:hint="eastAsia" w:ascii="仿宋" w:hAnsi="仿宋" w:eastAsia="仿宋" w:cs="仿宋"/>
                <w:color w:val="auto"/>
                <w:sz w:val="22"/>
                <w:highlight w:val="none"/>
                <w:lang w:val="en-US" w:eastAsia="zh-CN"/>
              </w:rPr>
              <w:t>3</w:t>
            </w:r>
            <w:r>
              <w:rPr>
                <w:rFonts w:hint="eastAsia" w:ascii="仿宋" w:hAnsi="仿宋" w:eastAsia="仿宋" w:cs="仿宋"/>
                <w:color w:val="auto"/>
                <w:sz w:val="22"/>
                <w:highlight w:val="none"/>
              </w:rPr>
              <w:t>分。</w:t>
            </w:r>
            <w:r>
              <w:rPr>
                <w:rFonts w:ascii="仿宋" w:hAnsi="仿宋" w:eastAsia="仿宋" w:cs="仿宋"/>
                <w:color w:val="auto"/>
                <w:sz w:val="22"/>
                <w:highlight w:val="none"/>
              </w:rPr>
              <w:t>（提供合同复印件加盖供应商公章，合同须包含合同首页及关键页、合同签字盖章页</w:t>
            </w:r>
            <w:r>
              <w:rPr>
                <w:rFonts w:hint="eastAsia" w:ascii="仿宋" w:hAnsi="仿宋" w:eastAsia="仿宋" w:cs="仿宋"/>
                <w:color w:val="auto"/>
                <w:sz w:val="22"/>
                <w:highlight w:val="none"/>
              </w:rPr>
              <w:t>，时间以合同签订时间为准</w:t>
            </w:r>
            <w:r>
              <w:rPr>
                <w:rFonts w:ascii="仿宋" w:hAnsi="仿宋" w:eastAsia="仿宋" w:cs="仿宋"/>
                <w:color w:val="auto"/>
                <w:sz w:val="22"/>
                <w:highlight w:val="none"/>
              </w:rPr>
              <w:t>）</w:t>
            </w:r>
            <w:r>
              <w:rPr>
                <w:rFonts w:hint="eastAsia" w:ascii="仿宋" w:hAnsi="仿宋" w:eastAsia="仿宋" w:cs="仿宋"/>
                <w:color w:val="auto"/>
                <w:sz w:val="22"/>
                <w:highlight w:val="none"/>
              </w:rPr>
              <w:t>。</w:t>
            </w:r>
          </w:p>
        </w:tc>
        <w:tc>
          <w:tcPr>
            <w:tcW w:w="631" w:type="dxa"/>
            <w:tcBorders>
              <w:top w:val="single" w:color="auto" w:sz="4" w:space="0"/>
              <w:left w:val="single" w:color="auto" w:sz="4" w:space="0"/>
              <w:bottom w:val="single" w:color="auto" w:sz="4" w:space="0"/>
              <w:right w:val="single" w:color="auto" w:sz="4" w:space="0"/>
            </w:tcBorders>
            <w:noWrap/>
            <w:vAlign w:val="center"/>
          </w:tcPr>
          <w:p w14:paraId="0E5C333E">
            <w:pPr>
              <w:widowControl/>
              <w:jc w:val="center"/>
              <w:rPr>
                <w:rFonts w:hint="eastAsia" w:ascii="仿宋" w:hAnsi="仿宋" w:eastAsia="仿宋"/>
                <w:color w:val="auto"/>
                <w:szCs w:val="21"/>
                <w:highlight w:val="none"/>
                <w:lang w:eastAsia="zh-CN"/>
              </w:rPr>
            </w:pPr>
            <w:r>
              <w:rPr>
                <w:rFonts w:hint="eastAsia" w:ascii="仿宋" w:hAnsi="仿宋" w:eastAsia="仿宋" w:cs="宋体"/>
                <w:color w:val="auto"/>
                <w:szCs w:val="21"/>
                <w:highlight w:val="none"/>
                <w:lang w:val="en-US" w:eastAsia="zh-CN"/>
              </w:rPr>
              <w:t>3</w:t>
            </w:r>
          </w:p>
        </w:tc>
        <w:tc>
          <w:tcPr>
            <w:tcW w:w="756" w:type="dxa"/>
            <w:vMerge w:val="restart"/>
            <w:tcBorders>
              <w:top w:val="single" w:color="auto" w:sz="4" w:space="0"/>
              <w:left w:val="single" w:color="auto" w:sz="4" w:space="0"/>
              <w:bottom w:val="single" w:color="auto" w:sz="4" w:space="0"/>
              <w:right w:val="single" w:color="auto" w:sz="4" w:space="0"/>
            </w:tcBorders>
            <w:noWrap/>
            <w:vAlign w:val="center"/>
          </w:tcPr>
          <w:p w14:paraId="44CCB37D">
            <w:pPr>
              <w:widowControl/>
              <w:jc w:val="center"/>
              <w:rPr>
                <w:rFonts w:ascii="仿宋" w:hAnsi="仿宋" w:eastAsia="仿宋" w:cs="宋体"/>
                <w:color w:val="auto"/>
                <w:szCs w:val="21"/>
                <w:highlight w:val="none"/>
              </w:rPr>
            </w:pPr>
            <w:r>
              <w:rPr>
                <w:rFonts w:hint="eastAsia" w:ascii="仿宋" w:hAnsi="仿宋" w:eastAsia="仿宋"/>
                <w:color w:val="auto"/>
                <w:szCs w:val="21"/>
                <w:highlight w:val="none"/>
              </w:rPr>
              <w:t>客观分</w:t>
            </w:r>
          </w:p>
        </w:tc>
      </w:tr>
      <w:tr w14:paraId="74E4F64A">
        <w:tblPrEx>
          <w:tblCellMar>
            <w:top w:w="0" w:type="dxa"/>
            <w:left w:w="0" w:type="dxa"/>
            <w:bottom w:w="0" w:type="dxa"/>
            <w:right w:w="0" w:type="dxa"/>
          </w:tblCellMar>
        </w:tblPrEx>
        <w:trPr>
          <w:trHeight w:val="846" w:hRule="atLeast"/>
          <w:jc w:val="center"/>
        </w:trPr>
        <w:tc>
          <w:tcPr>
            <w:tcW w:w="508" w:type="dxa"/>
            <w:vMerge w:val="continue"/>
            <w:tcBorders>
              <w:left w:val="single" w:color="auto" w:sz="8" w:space="0"/>
              <w:right w:val="single" w:color="auto" w:sz="8" w:space="0"/>
            </w:tcBorders>
            <w:noWrap/>
            <w:vAlign w:val="center"/>
          </w:tcPr>
          <w:p w14:paraId="64D890C1">
            <w:pPr>
              <w:pStyle w:val="226"/>
              <w:ind w:firstLine="42"/>
              <w:jc w:val="center"/>
              <w:rPr>
                <w:rFonts w:ascii="仿宋" w:hAnsi="仿宋" w:eastAsia="仿宋"/>
                <w:color w:val="auto"/>
                <w:szCs w:val="21"/>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5BFB0C32">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项目组人员</w:t>
            </w:r>
          </w:p>
          <w:p w14:paraId="59107568">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（6分）</w:t>
            </w:r>
          </w:p>
        </w:tc>
        <w:tc>
          <w:tcPr>
            <w:tcW w:w="6757" w:type="dxa"/>
            <w:tcBorders>
              <w:top w:val="single" w:color="auto" w:sz="4" w:space="0"/>
              <w:left w:val="single" w:color="auto" w:sz="4" w:space="0"/>
              <w:bottom w:val="single" w:color="auto" w:sz="4" w:space="0"/>
              <w:right w:val="single" w:color="auto" w:sz="4" w:space="0"/>
            </w:tcBorders>
            <w:noWrap/>
            <w:vAlign w:val="center"/>
          </w:tcPr>
          <w:p w14:paraId="24A026F9">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供应商拟投入本项目的项目负责人具有类似活动策划经验的得6分。</w:t>
            </w:r>
          </w:p>
          <w:p w14:paraId="2E33C5FC">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提供（1）项目负责人类似项目业绩合同（2）项目负责人履约优秀（或好评或满意或最高档次）评价材料（3）本次采购活动近半年内任意一个月公司为其缴纳的社保记录等相关证明材料复件并加盖公章，不提供不得分。）</w:t>
            </w:r>
          </w:p>
          <w:p w14:paraId="4669C729">
            <w:pPr>
              <w:pStyle w:val="351"/>
              <w:ind w:firstLine="0" w:firstLineChars="0"/>
              <w:rPr>
                <w:rFonts w:hint="eastAsia" w:ascii="仿宋" w:hAnsi="仿宋" w:eastAsia="仿宋" w:cs="仿宋"/>
                <w:b/>
                <w:bCs/>
                <w:color w:val="auto"/>
                <w:szCs w:val="21"/>
                <w:highlight w:val="none"/>
              </w:rPr>
            </w:pPr>
            <w:r>
              <w:rPr>
                <w:rFonts w:hint="eastAsia" w:ascii="仿宋" w:hAnsi="仿宋" w:eastAsia="仿宋" w:cs="仿宋"/>
                <w:b/>
                <w:bCs/>
                <w:color w:val="auto"/>
                <w:szCs w:val="21"/>
                <w:highlight w:val="none"/>
              </w:rPr>
              <w:t>注：评价材料体现项目名称、项目负责人名称并加盖对应单位公章，否则视为无效</w:t>
            </w:r>
          </w:p>
          <w:p w14:paraId="35E9DF0E">
            <w:pPr>
              <w:pStyle w:val="351"/>
              <w:ind w:firstLine="0" w:firstLineChars="0"/>
              <w:rPr>
                <w:rFonts w:hint="default" w:ascii="仿宋" w:hAnsi="仿宋" w:eastAsia="仿宋" w:cs="仿宋"/>
                <w:b/>
                <w:bCs/>
                <w:color w:val="auto"/>
                <w:szCs w:val="21"/>
                <w:highlight w:val="none"/>
                <w:lang w:val="en-US" w:eastAsia="zh-CN"/>
              </w:rPr>
            </w:pPr>
            <w:r>
              <w:rPr>
                <w:rFonts w:hint="eastAsia" w:ascii="仿宋" w:hAnsi="仿宋" w:eastAsia="仿宋" w:cs="仿宋"/>
                <w:color w:val="auto"/>
                <w:kern w:val="2"/>
                <w:sz w:val="21"/>
                <w:szCs w:val="21"/>
                <w:highlight w:val="none"/>
                <w:lang w:val="en-US" w:eastAsia="zh-CN" w:bidi="ar-SA"/>
              </w:rPr>
              <w:t>企业业绩与项目负责人业绩可兼得</w:t>
            </w:r>
          </w:p>
        </w:tc>
        <w:tc>
          <w:tcPr>
            <w:tcW w:w="631" w:type="dxa"/>
            <w:tcBorders>
              <w:top w:val="single" w:color="auto" w:sz="4" w:space="0"/>
              <w:left w:val="single" w:color="auto" w:sz="4" w:space="0"/>
              <w:bottom w:val="single" w:color="auto" w:sz="4" w:space="0"/>
              <w:right w:val="single" w:color="auto" w:sz="4" w:space="0"/>
            </w:tcBorders>
            <w:noWrap/>
            <w:vAlign w:val="center"/>
          </w:tcPr>
          <w:p w14:paraId="74B12DE8">
            <w:pPr>
              <w:widowControl/>
              <w:jc w:val="center"/>
              <w:rPr>
                <w:rFonts w:ascii="仿宋" w:hAnsi="仿宋" w:eastAsia="仿宋" w:cs="宋体"/>
                <w:color w:val="auto"/>
                <w:szCs w:val="21"/>
                <w:highlight w:val="none"/>
              </w:rPr>
            </w:pPr>
            <w:r>
              <w:rPr>
                <w:rFonts w:hint="eastAsia" w:ascii="仿宋" w:hAnsi="仿宋" w:eastAsia="仿宋" w:cs="宋体"/>
                <w:color w:val="auto"/>
                <w:szCs w:val="21"/>
                <w:highlight w:val="none"/>
              </w:rPr>
              <w:t>6</w:t>
            </w:r>
          </w:p>
        </w:tc>
        <w:tc>
          <w:tcPr>
            <w:tcW w:w="756" w:type="dxa"/>
            <w:vMerge w:val="continue"/>
            <w:tcBorders>
              <w:top w:val="single" w:color="auto" w:sz="4" w:space="0"/>
              <w:left w:val="single" w:color="auto" w:sz="4" w:space="0"/>
              <w:bottom w:val="single" w:color="auto" w:sz="4" w:space="0"/>
              <w:right w:val="single" w:color="auto" w:sz="4" w:space="0"/>
            </w:tcBorders>
            <w:noWrap/>
            <w:vAlign w:val="center"/>
          </w:tcPr>
          <w:p w14:paraId="74E42FFA">
            <w:pPr>
              <w:widowControl/>
              <w:jc w:val="center"/>
              <w:rPr>
                <w:rFonts w:ascii="仿宋" w:hAnsi="仿宋" w:eastAsia="仿宋" w:cs="宋体"/>
                <w:color w:val="auto"/>
                <w:szCs w:val="21"/>
                <w:highlight w:val="none"/>
              </w:rPr>
            </w:pPr>
          </w:p>
        </w:tc>
      </w:tr>
      <w:tr w14:paraId="06DDE683">
        <w:tblPrEx>
          <w:tblCellMar>
            <w:top w:w="0" w:type="dxa"/>
            <w:left w:w="0" w:type="dxa"/>
            <w:bottom w:w="0" w:type="dxa"/>
            <w:right w:w="0" w:type="dxa"/>
          </w:tblCellMar>
        </w:tblPrEx>
        <w:trPr>
          <w:trHeight w:val="846" w:hRule="atLeast"/>
          <w:jc w:val="center"/>
        </w:trPr>
        <w:tc>
          <w:tcPr>
            <w:tcW w:w="508" w:type="dxa"/>
            <w:vMerge w:val="continue"/>
            <w:tcBorders>
              <w:left w:val="single" w:color="auto" w:sz="8" w:space="0"/>
              <w:right w:val="single" w:color="auto" w:sz="8" w:space="0"/>
            </w:tcBorders>
            <w:noWrap/>
            <w:vAlign w:val="center"/>
          </w:tcPr>
          <w:p w14:paraId="218A0B1C">
            <w:pPr>
              <w:widowControl/>
              <w:textAlignment w:val="center"/>
              <w:rPr>
                <w:color w:val="auto"/>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7D9D76AE">
            <w:pPr>
              <w:widowControl/>
              <w:jc w:val="center"/>
              <w:textAlignment w:val="center"/>
              <w:rPr>
                <w:color w:val="auto"/>
                <w:highlight w:val="none"/>
              </w:rPr>
            </w:pPr>
            <w:r>
              <w:rPr>
                <w:rFonts w:hint="eastAsia" w:ascii="仿宋" w:hAnsi="仿宋" w:eastAsia="仿宋" w:cs="宋体"/>
                <w:color w:val="auto"/>
                <w:szCs w:val="21"/>
                <w:highlight w:val="none"/>
              </w:rPr>
              <w:t>企业承诺（1</w:t>
            </w:r>
            <w:r>
              <w:rPr>
                <w:rFonts w:hint="eastAsia" w:ascii="仿宋" w:hAnsi="仿宋" w:eastAsia="仿宋" w:cs="宋体"/>
                <w:color w:val="auto"/>
                <w:szCs w:val="21"/>
                <w:highlight w:val="none"/>
                <w:lang w:val="en-US" w:eastAsia="zh-CN"/>
              </w:rPr>
              <w:t>6</w:t>
            </w:r>
            <w:r>
              <w:rPr>
                <w:rFonts w:hint="eastAsia" w:ascii="仿宋" w:hAnsi="仿宋" w:eastAsia="仿宋" w:cs="宋体"/>
                <w:color w:val="auto"/>
                <w:szCs w:val="21"/>
                <w:highlight w:val="none"/>
              </w:rPr>
              <w:t>分）</w:t>
            </w:r>
          </w:p>
        </w:tc>
        <w:tc>
          <w:tcPr>
            <w:tcW w:w="6757" w:type="dxa"/>
            <w:tcBorders>
              <w:top w:val="single" w:color="auto" w:sz="4" w:space="0"/>
              <w:left w:val="single" w:color="auto" w:sz="4" w:space="0"/>
              <w:bottom w:val="single" w:color="auto" w:sz="4" w:space="0"/>
              <w:right w:val="single" w:color="auto" w:sz="4" w:space="0"/>
            </w:tcBorders>
            <w:noWrap/>
            <w:vAlign w:val="center"/>
          </w:tcPr>
          <w:p w14:paraId="2FD3ECDF">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供应商需承诺：</w:t>
            </w:r>
          </w:p>
          <w:p w14:paraId="104AE00A">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1、在本项目服务期间未经采购人同意不擅自更换团队成员，对于项目实施筹备进度及情况，有固定时间节点主动向采购人系统性汇报。</w:t>
            </w:r>
          </w:p>
          <w:p w14:paraId="6A57D967">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2、承诺在合同履行期间承担</w:t>
            </w:r>
            <w:r>
              <w:rPr>
                <w:rFonts w:hint="eastAsia" w:ascii="仿宋" w:hAnsi="仿宋" w:eastAsia="仿宋" w:cs="仿宋"/>
                <w:color w:val="auto"/>
                <w:szCs w:val="21"/>
                <w:highlight w:val="none"/>
                <w:lang w:val="en-US" w:eastAsia="zh-CN"/>
              </w:rPr>
              <w:t>推广</w:t>
            </w:r>
            <w:r>
              <w:rPr>
                <w:rFonts w:hint="eastAsia" w:ascii="仿宋" w:hAnsi="仿宋" w:eastAsia="仿宋" w:cs="仿宋"/>
                <w:color w:val="auto"/>
                <w:szCs w:val="21"/>
                <w:highlight w:val="none"/>
              </w:rPr>
              <w:t>服务</w:t>
            </w:r>
            <w:r>
              <w:rPr>
                <w:rFonts w:hint="eastAsia" w:ascii="仿宋" w:hAnsi="仿宋" w:eastAsia="仿宋" w:cs="仿宋"/>
                <w:color w:val="auto"/>
                <w:szCs w:val="21"/>
                <w:highlight w:val="none"/>
                <w:lang w:val="en-US" w:eastAsia="zh-CN"/>
              </w:rPr>
              <w:t>活动期间</w:t>
            </w:r>
            <w:r>
              <w:rPr>
                <w:rFonts w:hint="eastAsia" w:ascii="仿宋" w:hAnsi="仿宋" w:eastAsia="仿宋" w:cs="仿宋"/>
                <w:color w:val="auto"/>
                <w:szCs w:val="21"/>
                <w:highlight w:val="none"/>
              </w:rPr>
              <w:t>的现场安全责任、消防安全责任，确保活动现场无安全事故。</w:t>
            </w:r>
          </w:p>
          <w:p w14:paraId="772F5B58">
            <w:pPr>
              <w:widowControl/>
              <w:textAlignment w:val="center"/>
              <w:rPr>
                <w:rFonts w:ascii="仿宋" w:hAnsi="仿宋" w:eastAsia="仿宋" w:cs="仿宋"/>
                <w:color w:val="auto"/>
                <w:szCs w:val="21"/>
                <w:highlight w:val="none"/>
              </w:rPr>
            </w:pPr>
            <w:r>
              <w:rPr>
                <w:rFonts w:hint="eastAsia" w:ascii="仿宋" w:hAnsi="仿宋" w:eastAsia="仿宋" w:cs="仿宋"/>
                <w:color w:val="auto"/>
                <w:szCs w:val="21"/>
                <w:highlight w:val="none"/>
              </w:rPr>
              <w:t>提供以上承诺的得1</w:t>
            </w:r>
            <w:r>
              <w:rPr>
                <w:rFonts w:hint="eastAsia" w:ascii="仿宋" w:hAnsi="仿宋" w:eastAsia="仿宋" w:cs="仿宋"/>
                <w:color w:val="auto"/>
                <w:szCs w:val="21"/>
                <w:highlight w:val="none"/>
                <w:lang w:val="en-US" w:eastAsia="zh-CN"/>
              </w:rPr>
              <w:t>6</w:t>
            </w:r>
            <w:r>
              <w:rPr>
                <w:rFonts w:hint="eastAsia" w:ascii="仿宋" w:hAnsi="仿宋" w:eastAsia="仿宋" w:cs="仿宋"/>
                <w:color w:val="auto"/>
                <w:szCs w:val="21"/>
                <w:highlight w:val="none"/>
              </w:rPr>
              <w:t>分，缺任意一项不得分。</w:t>
            </w:r>
          </w:p>
        </w:tc>
        <w:tc>
          <w:tcPr>
            <w:tcW w:w="631" w:type="dxa"/>
            <w:tcBorders>
              <w:top w:val="single" w:color="auto" w:sz="4" w:space="0"/>
              <w:left w:val="single" w:color="auto" w:sz="4" w:space="0"/>
              <w:bottom w:val="single" w:color="auto" w:sz="4" w:space="0"/>
              <w:right w:val="single" w:color="auto" w:sz="4" w:space="0"/>
            </w:tcBorders>
            <w:noWrap/>
            <w:vAlign w:val="center"/>
          </w:tcPr>
          <w:p w14:paraId="556C7F5A">
            <w:pPr>
              <w:widowControl/>
              <w:jc w:val="center"/>
              <w:textAlignment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756" w:type="dxa"/>
            <w:vMerge w:val="continue"/>
            <w:tcBorders>
              <w:left w:val="single" w:color="auto" w:sz="4" w:space="0"/>
              <w:bottom w:val="single" w:color="auto" w:sz="4" w:space="0"/>
              <w:right w:val="single" w:color="auto" w:sz="4" w:space="0"/>
            </w:tcBorders>
            <w:noWrap/>
            <w:vAlign w:val="center"/>
          </w:tcPr>
          <w:p w14:paraId="273D575D">
            <w:pPr>
              <w:widowControl/>
              <w:textAlignment w:val="center"/>
              <w:rPr>
                <w:rFonts w:ascii="仿宋" w:hAnsi="仿宋" w:eastAsia="仿宋" w:cs="仿宋"/>
                <w:color w:val="auto"/>
                <w:szCs w:val="21"/>
                <w:highlight w:val="none"/>
              </w:rPr>
            </w:pPr>
          </w:p>
        </w:tc>
      </w:tr>
      <w:tr w14:paraId="2EFD603C">
        <w:tblPrEx>
          <w:tblCellMar>
            <w:top w:w="0" w:type="dxa"/>
            <w:left w:w="0" w:type="dxa"/>
            <w:bottom w:w="0" w:type="dxa"/>
            <w:right w:w="0" w:type="dxa"/>
          </w:tblCellMar>
        </w:tblPrEx>
        <w:trPr>
          <w:trHeight w:val="397" w:hRule="atLeast"/>
          <w:jc w:val="center"/>
        </w:trPr>
        <w:tc>
          <w:tcPr>
            <w:tcW w:w="508" w:type="dxa"/>
            <w:tcBorders>
              <w:top w:val="single" w:color="auto" w:sz="4" w:space="0"/>
              <w:left w:val="single" w:color="auto" w:sz="4" w:space="0"/>
              <w:bottom w:val="single" w:color="auto" w:sz="4" w:space="0"/>
              <w:right w:val="single" w:color="auto" w:sz="4" w:space="0"/>
            </w:tcBorders>
            <w:noWrap/>
            <w:vAlign w:val="center"/>
          </w:tcPr>
          <w:p w14:paraId="5E0DA9D9">
            <w:pPr>
              <w:jc w:val="center"/>
              <w:rPr>
                <w:rFonts w:ascii="仿宋" w:hAnsi="仿宋" w:eastAsia="仿宋"/>
                <w:color w:val="auto"/>
                <w:szCs w:val="21"/>
                <w:highlight w:val="none"/>
              </w:rPr>
            </w:pPr>
          </w:p>
        </w:tc>
        <w:tc>
          <w:tcPr>
            <w:tcW w:w="1045" w:type="dxa"/>
            <w:tcBorders>
              <w:top w:val="single" w:color="auto" w:sz="4" w:space="0"/>
              <w:left w:val="single" w:color="auto" w:sz="4" w:space="0"/>
              <w:bottom w:val="single" w:color="auto" w:sz="4" w:space="0"/>
              <w:right w:val="single" w:color="auto" w:sz="4" w:space="0"/>
            </w:tcBorders>
            <w:noWrap/>
            <w:vAlign w:val="center"/>
          </w:tcPr>
          <w:p w14:paraId="17FFE03E">
            <w:pPr>
              <w:jc w:val="center"/>
              <w:rPr>
                <w:rFonts w:ascii="仿宋" w:hAnsi="仿宋" w:eastAsia="仿宋"/>
                <w:color w:val="auto"/>
                <w:szCs w:val="21"/>
                <w:highlight w:val="none"/>
              </w:rPr>
            </w:pPr>
            <w:r>
              <w:rPr>
                <w:rFonts w:ascii="仿宋" w:hAnsi="仿宋" w:eastAsia="仿宋"/>
                <w:color w:val="auto"/>
                <w:szCs w:val="21"/>
                <w:highlight w:val="none"/>
              </w:rPr>
              <w:t>合计</w:t>
            </w:r>
          </w:p>
        </w:tc>
        <w:tc>
          <w:tcPr>
            <w:tcW w:w="6757" w:type="dxa"/>
            <w:tcBorders>
              <w:top w:val="single" w:color="auto" w:sz="4" w:space="0"/>
              <w:left w:val="single" w:color="auto" w:sz="4" w:space="0"/>
              <w:bottom w:val="single" w:color="auto" w:sz="4" w:space="0"/>
              <w:right w:val="single" w:color="auto" w:sz="4" w:space="0"/>
            </w:tcBorders>
            <w:noWrap/>
            <w:vAlign w:val="center"/>
          </w:tcPr>
          <w:p w14:paraId="57A34285">
            <w:pPr>
              <w:jc w:val="left"/>
              <w:rPr>
                <w:rFonts w:ascii="仿宋" w:hAnsi="仿宋" w:eastAsia="仿宋"/>
                <w:color w:val="auto"/>
                <w:szCs w:val="21"/>
                <w:highlight w:val="none"/>
              </w:rPr>
            </w:pPr>
          </w:p>
        </w:tc>
        <w:tc>
          <w:tcPr>
            <w:tcW w:w="631" w:type="dxa"/>
            <w:tcBorders>
              <w:top w:val="single" w:color="auto" w:sz="4" w:space="0"/>
              <w:left w:val="single" w:color="auto" w:sz="4" w:space="0"/>
              <w:bottom w:val="single" w:color="auto" w:sz="4" w:space="0"/>
              <w:right w:val="single" w:color="auto" w:sz="4" w:space="0"/>
            </w:tcBorders>
            <w:noWrap/>
            <w:vAlign w:val="center"/>
          </w:tcPr>
          <w:p w14:paraId="78BFF9A6">
            <w:pPr>
              <w:jc w:val="center"/>
              <w:rPr>
                <w:rFonts w:ascii="仿宋" w:hAnsi="仿宋" w:eastAsia="仿宋"/>
                <w:color w:val="auto"/>
                <w:szCs w:val="21"/>
                <w:highlight w:val="none"/>
              </w:rPr>
            </w:pPr>
            <w:r>
              <w:rPr>
                <w:rFonts w:ascii="仿宋" w:hAnsi="仿宋" w:eastAsia="仿宋"/>
                <w:color w:val="auto"/>
                <w:szCs w:val="21"/>
                <w:highlight w:val="none"/>
              </w:rPr>
              <w:t>100</w:t>
            </w:r>
          </w:p>
        </w:tc>
        <w:tc>
          <w:tcPr>
            <w:tcW w:w="756" w:type="dxa"/>
            <w:tcBorders>
              <w:top w:val="single" w:color="auto" w:sz="4" w:space="0"/>
              <w:left w:val="single" w:color="auto" w:sz="4" w:space="0"/>
              <w:bottom w:val="single" w:color="auto" w:sz="4" w:space="0"/>
              <w:right w:val="single" w:color="auto" w:sz="4" w:space="0"/>
            </w:tcBorders>
            <w:noWrap/>
            <w:vAlign w:val="center"/>
          </w:tcPr>
          <w:p w14:paraId="70FF4500">
            <w:pPr>
              <w:jc w:val="center"/>
              <w:rPr>
                <w:rFonts w:ascii="仿宋" w:hAnsi="仿宋" w:eastAsia="仿宋"/>
                <w:color w:val="auto"/>
                <w:szCs w:val="21"/>
                <w:highlight w:val="none"/>
              </w:rPr>
            </w:pPr>
          </w:p>
        </w:tc>
      </w:tr>
    </w:tbl>
    <w:p w14:paraId="0AFD1B3C">
      <w:pPr>
        <w:autoSpaceDE w:val="0"/>
        <w:autoSpaceDN w:val="0"/>
        <w:adjustRightInd w:val="0"/>
        <w:spacing w:line="360" w:lineRule="auto"/>
        <w:jc w:val="left"/>
        <w:rPr>
          <w:rFonts w:ascii="仿宋" w:hAnsi="仿宋" w:eastAsia="仿宋" w:cs="仿宋"/>
          <w:b/>
          <w:bCs/>
          <w:color w:val="auto"/>
          <w:kern w:val="0"/>
          <w:sz w:val="24"/>
          <w:szCs w:val="21"/>
          <w:highlight w:val="none"/>
          <w:lang w:val="zh-CN"/>
        </w:rPr>
      </w:pPr>
    </w:p>
    <w:p w14:paraId="01DC934A">
      <w:pPr>
        <w:spacing w:line="360" w:lineRule="auto"/>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说明：（以下1-4项本项目不适用）</w:t>
      </w:r>
    </w:p>
    <w:p w14:paraId="7DCB92C1">
      <w:pPr>
        <w:pStyle w:val="55"/>
        <w:widowControl w:val="0"/>
        <w:spacing w:before="0" w:beforeAutospacing="0" w:after="0" w:afterAutospacing="0" w:line="360" w:lineRule="auto"/>
        <w:ind w:firstLine="480"/>
        <w:jc w:val="both"/>
        <w:rPr>
          <w:rFonts w:ascii="仿宋" w:hAnsi="仿宋" w:eastAsia="仿宋" w:cs="仿宋"/>
          <w:color w:val="auto"/>
          <w:highlight w:val="none"/>
        </w:rPr>
      </w:pPr>
      <w:r>
        <w:rPr>
          <w:rFonts w:hint="eastAsia" w:ascii="仿宋" w:hAnsi="仿宋" w:eastAsia="仿宋" w:cs="仿宋"/>
          <w:color w:val="auto"/>
          <w:highlight w:val="none"/>
        </w:rPr>
        <w:t>1.小微企业价格扣除</w:t>
      </w:r>
    </w:p>
    <w:p w14:paraId="2045C51A">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1.1货物服务采购项目对小微企业生产的产品给予报价的10%价格扣除，用扣除后的价格参与评审。</w:t>
      </w:r>
    </w:p>
    <w:p w14:paraId="7BAADDD8">
      <w:pPr>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1.2大中型企业和其他自然人、法人或者其他组织与小型、微型企业组成联合体共同参加投标，如果联合协议中约定，小型、微型企业的协议合同金额占到联合体协议合同总金额30%以上的，给予联合体4%的价格扣除。联合体各方均为小型、微型企业的，联合体视同为小型、微型企业享受10%价格扣除，用扣除后的价格参与评审。小企业（含小型、微型企业）应当同时符合以下条件：</w:t>
      </w:r>
    </w:p>
    <w:p w14:paraId="738DE7CD">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（1）供应商为小企业，且符合中小企业划分标准；</w:t>
      </w:r>
    </w:p>
    <w:p w14:paraId="315529B9">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（2）提供本企业制造的货物、承担的工程或者服务，或者提供其他小企业制造的货物。如果提供的货物为大中型企业注册商标的货物，视同大中型企业。</w:t>
      </w:r>
    </w:p>
    <w:p w14:paraId="53F5D011">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2.监狱和戒毒企业的价格扣除</w:t>
      </w:r>
    </w:p>
    <w:p w14:paraId="2BC7F0C6">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2.1 本项目对监狱和戒毒企业，给予10%的价格扣除，用扣除后的价格参与评审。</w:t>
      </w:r>
    </w:p>
    <w:p w14:paraId="2E864206">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2.2监狱企业需提供由省级以上监狱管理局、戒毒管理局（含新疆生产建设兵团）出具的属于监狱企业的证明文件。</w:t>
      </w:r>
    </w:p>
    <w:p w14:paraId="1C92198D">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2.3 </w:t>
      </w:r>
      <w:r>
        <w:rPr>
          <w:rFonts w:hint="eastAsia" w:ascii="仿宋" w:hAnsi="仿宋" w:eastAsia="仿宋" w:cs="仿宋"/>
          <w:color w:val="auto"/>
          <w:spacing w:val="-6"/>
          <w:sz w:val="24"/>
          <w:szCs w:val="24"/>
          <w:highlight w:val="none"/>
        </w:rPr>
        <w:t>监狱企业标准请参照《关于政府采购支持监狱企业发展有关问题的通知》（财库〔2014〕</w:t>
      </w:r>
      <w:r>
        <w:rPr>
          <w:rFonts w:hint="eastAsia" w:ascii="仿宋" w:hAnsi="仿宋" w:eastAsia="仿宋" w:cs="仿宋"/>
          <w:color w:val="auto"/>
          <w:sz w:val="24"/>
          <w:szCs w:val="24"/>
          <w:highlight w:val="none"/>
        </w:rPr>
        <w:t>68号）。</w:t>
      </w:r>
    </w:p>
    <w:p w14:paraId="0A478CF4">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3.残疾人福利性单位的价格扣除</w:t>
      </w:r>
    </w:p>
    <w:p w14:paraId="492957B0">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3.1本项目对残疾人福利性单位，给予10%的价格扣除，用扣除后的价格参与评审。</w:t>
      </w:r>
    </w:p>
    <w:p w14:paraId="6EF80323">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3.2残疾人福利性单位需提供《残疾人福利性单位声明函》。</w:t>
      </w:r>
    </w:p>
    <w:p w14:paraId="00DC9F33">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3.3 </w:t>
      </w:r>
      <w:r>
        <w:rPr>
          <w:rFonts w:hint="eastAsia" w:ascii="仿宋" w:hAnsi="仿宋" w:eastAsia="仿宋" w:cs="仿宋"/>
          <w:color w:val="auto"/>
          <w:spacing w:val="-11"/>
          <w:sz w:val="24"/>
          <w:szCs w:val="24"/>
          <w:highlight w:val="none"/>
        </w:rPr>
        <w:t>残疾人福利性单位标准请参照《关于促进残疾人就业政府采购政策的通知》（财库〔2017〕</w:t>
      </w:r>
      <w:r>
        <w:rPr>
          <w:rFonts w:hint="eastAsia" w:ascii="仿宋" w:hAnsi="仿宋" w:eastAsia="仿宋" w:cs="仿宋"/>
          <w:color w:val="auto"/>
          <w:sz w:val="24"/>
          <w:szCs w:val="24"/>
          <w:highlight w:val="none"/>
        </w:rPr>
        <w:t>141号）。</w:t>
      </w:r>
    </w:p>
    <w:p w14:paraId="10A75105">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4.监狱企业、残疾人福利性单位属于小型、微型企业的，不重复享受政策。</w:t>
      </w:r>
    </w:p>
    <w:p w14:paraId="78B1D858">
      <w:pPr>
        <w:pStyle w:val="23"/>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5.对国家认定的节能产品和环保产品分别给予投标价的</w:t>
      </w:r>
      <w:r>
        <w:rPr>
          <w:rFonts w:hint="eastAsia" w:ascii="仿宋" w:hAnsi="仿宋" w:eastAsia="仿宋" w:cs="仿宋"/>
          <w:color w:val="auto"/>
          <w:spacing w:val="55"/>
          <w:sz w:val="24"/>
          <w:szCs w:val="24"/>
          <w:highlight w:val="none"/>
        </w:rPr>
        <w:t>5</w:t>
      </w:r>
      <w:r>
        <w:rPr>
          <w:rFonts w:hint="eastAsia" w:ascii="仿宋" w:hAnsi="仿宋" w:eastAsia="仿宋" w:cs="仿宋"/>
          <w:color w:val="auto"/>
          <w:sz w:val="24"/>
          <w:szCs w:val="24"/>
          <w:highlight w:val="none"/>
        </w:rPr>
        <w:t>%的价格扣除，用扣除后的价格参</w:t>
      </w:r>
      <w:r>
        <w:rPr>
          <w:rFonts w:hint="eastAsia" w:ascii="仿宋" w:hAnsi="仿宋" w:eastAsia="仿宋" w:cs="仿宋"/>
          <w:color w:val="auto"/>
          <w:spacing w:val="-5"/>
          <w:sz w:val="24"/>
          <w:szCs w:val="24"/>
          <w:highlight w:val="none"/>
        </w:rPr>
        <w:t xml:space="preserve">与评审（节能、环保产品必须纳入“中国政府采购网 </w:t>
      </w:r>
      <w:r>
        <w:rPr>
          <w:rFonts w:hint="eastAsia" w:ascii="仿宋" w:hAnsi="仿宋" w:eastAsia="仿宋" w:cs="仿宋"/>
          <w:color w:val="auto"/>
          <w:spacing w:val="-3"/>
          <w:sz w:val="24"/>
          <w:szCs w:val="24"/>
          <w:highlight w:val="none"/>
        </w:rPr>
        <w:t>http://www.ccgp.gov.cn/”等官方网站“节能、环</w:t>
      </w:r>
      <w:r>
        <w:rPr>
          <w:rFonts w:hint="eastAsia" w:ascii="仿宋" w:hAnsi="仿宋" w:eastAsia="仿宋" w:cs="仿宋"/>
          <w:color w:val="auto"/>
          <w:sz w:val="24"/>
          <w:szCs w:val="24"/>
          <w:highlight w:val="none"/>
        </w:rPr>
        <w:t>保产品查询系统”，且以提供的证书扫描件为准）。</w:t>
      </w:r>
    </w:p>
    <w:p w14:paraId="4B7F528C">
      <w:pPr>
        <w:pStyle w:val="23"/>
        <w:spacing w:line="360" w:lineRule="auto"/>
        <w:ind w:firstLine="482"/>
        <w:rPr>
          <w:rFonts w:ascii="仿宋" w:hAnsi="仿宋" w:eastAsia="仿宋" w:cs="仿宋"/>
          <w:b/>
          <w:color w:val="auto"/>
          <w:sz w:val="24"/>
          <w:szCs w:val="24"/>
          <w:highlight w:val="none"/>
        </w:rPr>
      </w:pPr>
      <w:r>
        <w:rPr>
          <w:rFonts w:hint="eastAsia" w:ascii="仿宋" w:hAnsi="仿宋" w:eastAsia="仿宋" w:cs="仿宋"/>
          <w:b/>
          <w:bCs/>
          <w:color w:val="auto"/>
          <w:sz w:val="24"/>
          <w:szCs w:val="24"/>
          <w:highlight w:val="none"/>
        </w:rPr>
        <w:t>6</w:t>
      </w:r>
      <w:r>
        <w:rPr>
          <w:rFonts w:hint="eastAsia" w:ascii="仿宋" w:hAnsi="仿宋" w:eastAsia="仿宋" w:cs="仿宋"/>
          <w:b/>
          <w:color w:val="auto"/>
          <w:sz w:val="24"/>
          <w:szCs w:val="24"/>
          <w:highlight w:val="none"/>
        </w:rPr>
        <w:t>、评分标准中提到的认证、业绩均以有效的证明文件的电子件为依据。</w:t>
      </w:r>
    </w:p>
    <w:p w14:paraId="7A9891F3">
      <w:pPr>
        <w:pStyle w:val="23"/>
        <w:spacing w:line="360" w:lineRule="auto"/>
        <w:ind w:firstLine="480"/>
        <w:rPr>
          <w:rFonts w:ascii="仿宋" w:hAnsi="仿宋" w:eastAsia="仿宋" w:cs="仿宋"/>
          <w:color w:val="auto"/>
          <w:sz w:val="36"/>
          <w:szCs w:val="36"/>
          <w:highlight w:val="none"/>
          <w:lang w:val="zh-CN"/>
        </w:rPr>
      </w:pPr>
      <w:r>
        <w:rPr>
          <w:rFonts w:hint="eastAsia" w:ascii="仿宋" w:hAnsi="仿宋" w:eastAsia="仿宋" w:cs="仿宋"/>
          <w:bCs/>
          <w:color w:val="auto"/>
          <w:sz w:val="24"/>
          <w:szCs w:val="24"/>
          <w:highlight w:val="none"/>
        </w:rPr>
        <w:t>7、</w:t>
      </w:r>
      <w:r>
        <w:rPr>
          <w:rFonts w:hint="eastAsia" w:ascii="仿宋" w:hAnsi="仿宋" w:eastAsia="仿宋" w:cs="仿宋"/>
          <w:color w:val="auto"/>
          <w:sz w:val="24"/>
          <w:szCs w:val="24"/>
          <w:highlight w:val="none"/>
        </w:rPr>
        <w:t>供应商必须提供真实信息，如有提供虚假信息、证明、合同或证书等虚假资料的，按照无效响应处理，如已签署合同的，则中止合同并承担相应法律责任。</w:t>
      </w:r>
    </w:p>
    <w:p w14:paraId="5A8121E1">
      <w:pPr>
        <w:rPr>
          <w:rFonts w:ascii="仿宋" w:hAnsi="仿宋" w:eastAsia="仿宋" w:cs="仿宋"/>
          <w:color w:val="auto"/>
          <w:spacing w:val="-10"/>
          <w:sz w:val="36"/>
          <w:szCs w:val="36"/>
          <w:highlight w:val="none"/>
          <w:lang w:val="zh-CN"/>
        </w:rPr>
      </w:pPr>
      <w:bookmarkStart w:id="98" w:name="_Toc15940"/>
      <w:bookmarkStart w:id="99" w:name="_Toc2526"/>
      <w:bookmarkStart w:id="100" w:name="_Toc31661"/>
      <w:bookmarkStart w:id="101" w:name="_Toc21411"/>
      <w:bookmarkStart w:id="102" w:name="_Toc28428"/>
      <w:bookmarkStart w:id="103" w:name="_Toc33266150"/>
      <w:bookmarkStart w:id="104" w:name="_Toc30646"/>
      <w:bookmarkStart w:id="105" w:name="_Toc5351"/>
      <w:bookmarkStart w:id="106" w:name="_Toc27387"/>
      <w:bookmarkStart w:id="107" w:name="_Toc4738"/>
      <w:bookmarkStart w:id="108" w:name="_Toc25965"/>
      <w:bookmarkStart w:id="109" w:name="_Toc26835"/>
      <w:bookmarkStart w:id="110" w:name="_Toc887"/>
      <w:r>
        <w:rPr>
          <w:rFonts w:hint="eastAsia" w:ascii="仿宋" w:hAnsi="仿宋" w:eastAsia="仿宋" w:cs="仿宋"/>
          <w:color w:val="auto"/>
          <w:spacing w:val="-10"/>
          <w:sz w:val="36"/>
          <w:szCs w:val="36"/>
          <w:highlight w:val="none"/>
          <w:lang w:val="zh-CN"/>
        </w:rPr>
        <w:br w:type="page"/>
      </w:r>
    </w:p>
    <w:p w14:paraId="6805415B">
      <w:pPr>
        <w:pStyle w:val="2"/>
        <w:numPr>
          <w:ilvl w:val="0"/>
          <w:numId w:val="6"/>
        </w:numPr>
        <w:shd w:val="clear"/>
        <w:tabs>
          <w:tab w:val="clear" w:pos="1440"/>
          <w:tab w:val="clear" w:pos="5670"/>
        </w:tabs>
        <w:spacing w:before="240" w:after="240"/>
        <w:ind w:firstLine="0" w:firstLineChars="0"/>
        <w:jc w:val="center"/>
        <w:rPr>
          <w:rFonts w:ascii="仿宋" w:hAnsi="仿宋" w:cs="仿宋"/>
          <w:color w:val="auto"/>
          <w:spacing w:val="-10"/>
          <w:sz w:val="36"/>
          <w:szCs w:val="36"/>
          <w:highlight w:val="none"/>
        </w:rPr>
      </w:pPr>
      <w:bookmarkStart w:id="111" w:name="_Toc150538845"/>
      <w:bookmarkStart w:id="112" w:name="_Toc6141"/>
      <w:r>
        <w:rPr>
          <w:rFonts w:hint="eastAsia" w:ascii="仿宋" w:hAnsi="仿宋" w:cs="仿宋"/>
          <w:color w:val="auto"/>
          <w:spacing w:val="-10"/>
          <w:sz w:val="36"/>
          <w:szCs w:val="36"/>
          <w:highlight w:val="none"/>
        </w:rPr>
        <w:t>采购需求</w:t>
      </w:r>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p>
    <w:p w14:paraId="1ED1F5FF">
      <w:pPr>
        <w:pStyle w:val="30"/>
        <w:shd w:val="clear"/>
        <w:spacing w:line="360" w:lineRule="auto"/>
        <w:ind w:firstLine="482" w:firstLineChars="200"/>
        <w:jc w:val="left"/>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一、</w:t>
      </w:r>
      <w:r>
        <w:rPr>
          <w:rFonts w:hint="eastAsia" w:ascii="仿宋" w:hAnsi="仿宋" w:eastAsia="仿宋" w:cs="仿宋"/>
          <w:b/>
          <w:bCs/>
          <w:color w:val="auto"/>
          <w:sz w:val="24"/>
          <w:szCs w:val="24"/>
          <w:highlight w:val="none"/>
          <w:lang w:val="en-US" w:eastAsia="zh-CN"/>
        </w:rPr>
        <w:t>项目</w:t>
      </w:r>
      <w:r>
        <w:rPr>
          <w:rFonts w:hint="eastAsia" w:ascii="仿宋" w:hAnsi="仿宋" w:eastAsia="仿宋" w:cs="仿宋"/>
          <w:b/>
          <w:bCs/>
          <w:color w:val="auto"/>
          <w:sz w:val="24"/>
          <w:szCs w:val="24"/>
          <w:highlight w:val="none"/>
        </w:rPr>
        <w:t>背景</w:t>
      </w:r>
    </w:p>
    <w:p w14:paraId="3A994990">
      <w:pPr>
        <w:overflowPunct w:val="0"/>
        <w:adjustRightInd w:val="0"/>
        <w:snapToGrid w:val="0"/>
        <w:spacing w:line="560" w:lineRule="exact"/>
        <w:ind w:firstLine="480" w:firstLineChars="200"/>
        <w:outlineLvl w:val="2"/>
        <w:rPr>
          <w:rFonts w:hint="eastAsia" w:ascii="仿宋" w:hAnsi="仿宋" w:eastAsia="仿宋" w:cs="仿宋"/>
          <w:sz w:val="24"/>
          <w:szCs w:val="24"/>
          <w:highlight w:val="none"/>
          <w:lang w:eastAsia="zh-CN"/>
        </w:rPr>
      </w:pPr>
      <w:r>
        <w:rPr>
          <w:rFonts w:hint="eastAsia" w:ascii="仿宋" w:hAnsi="仿宋" w:eastAsia="仿宋" w:cs="仿宋"/>
          <w:sz w:val="24"/>
          <w:szCs w:val="24"/>
          <w:highlight w:val="none"/>
        </w:rPr>
        <w:t>为深入贯彻落实党的二十大和二十届二中、三中全会精神，依据《文化和旅游部“十四五”非物质文化遗产保护规划》（文旅非遗发〔2021〕61号）、《江苏省关于进一步加强非物质文化遗产保护工作的实施意见》（苏办厅字〔2022〕11号）、南京市人民政府《关于进一步加强非物质文化遗产保护工作的实施意见的通知》（宁委办厅字〔2022〕55号）等文件要求，围绕推动中华优秀传统文化创造性转化、创新性发展，以“见人见物见生活”为理念，以“融入现代生活、弘扬时代价值”为导向，完善构建</w:t>
      </w:r>
      <w:r>
        <w:rPr>
          <w:rFonts w:hint="eastAsia" w:ascii="仿宋" w:hAnsi="仿宋" w:eastAsia="仿宋" w:cs="仿宋"/>
          <w:sz w:val="24"/>
          <w:szCs w:val="24"/>
          <w:highlight w:val="none"/>
          <w:lang w:val="en-US" w:eastAsia="zh-CN"/>
        </w:rPr>
        <w:t>雨花台区</w:t>
      </w:r>
      <w:r>
        <w:rPr>
          <w:rFonts w:hint="eastAsia" w:ascii="仿宋" w:hAnsi="仿宋" w:eastAsia="仿宋" w:cs="仿宋"/>
          <w:sz w:val="24"/>
          <w:szCs w:val="24"/>
          <w:highlight w:val="none"/>
        </w:rPr>
        <w:t>非遗保护传承体系，推动非遗与旅游、科技、教育等深度融合，打造雨花非遗品牌，提升雨花台区文化软实力</w:t>
      </w:r>
      <w:r>
        <w:rPr>
          <w:rFonts w:hint="eastAsia" w:ascii="仿宋" w:hAnsi="仿宋" w:eastAsia="仿宋" w:cs="仿宋"/>
          <w:sz w:val="24"/>
          <w:szCs w:val="24"/>
          <w:highlight w:val="none"/>
          <w:lang w:eastAsia="zh-CN"/>
        </w:rPr>
        <w:t>。</w:t>
      </w:r>
    </w:p>
    <w:p w14:paraId="5DFFFE65">
      <w:pPr>
        <w:overflowPunct w:val="0"/>
        <w:adjustRightInd w:val="0"/>
        <w:snapToGrid w:val="0"/>
        <w:spacing w:line="560" w:lineRule="exact"/>
        <w:ind w:firstLine="482" w:firstLineChars="200"/>
        <w:outlineLvl w:val="2"/>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二、项目目标</w:t>
      </w:r>
    </w:p>
    <w:p w14:paraId="72152CFC">
      <w:pPr>
        <w:overflowPunct w:val="0"/>
        <w:adjustRightInd w:val="0"/>
        <w:snapToGrid w:val="0"/>
        <w:spacing w:line="5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lang w:val="en-US" w:eastAsia="zh-CN"/>
        </w:rPr>
        <w:t>一、</w:t>
      </w:r>
      <w:r>
        <w:rPr>
          <w:rFonts w:hint="eastAsia" w:ascii="仿宋" w:hAnsi="仿宋" w:eastAsia="仿宋" w:cs="仿宋"/>
          <w:b/>
          <w:sz w:val="24"/>
          <w:szCs w:val="24"/>
          <w:highlight w:val="none"/>
        </w:rPr>
        <w:t>非遗传承发展格局再优化</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推动非遗工作从政府“输血”向自身“造血”发展，以市场、社会和群众需求为导向、以政府引导为支撑，形成景区、企业、校园、社区等各方合力促进非遗传承发展的良好局面。</w:t>
      </w:r>
    </w:p>
    <w:p w14:paraId="647DBDC6">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非遗场所服务效能再提升</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提升辖区内非遗推广相关基地、场所服务水平，协助新认定非遗保护基地开展丰富非遗传播活动，从设施设备、陈列布局、活动内容、人员服务等方面，系统提升非遗展示和体验质量。</w:t>
      </w:r>
    </w:p>
    <w:p w14:paraId="6F83D4CF">
      <w:pPr>
        <w:overflowPunct w:val="0"/>
        <w:adjustRightInd w:val="0"/>
        <w:snapToGrid w:val="0"/>
        <w:spacing w:line="5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非遗品牌质量内涵再拓展</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打造具有区域标志性和文化内涵的非遗主题系列活动品牌，探索培育、开发多样化的非遗产品，创新开展“非遗+旅游”“非遗+演艺”“非遗+研学”等融合活动，线上线下全域拓展非遗体验场景</w:t>
      </w:r>
      <w:r>
        <w:rPr>
          <w:rFonts w:hint="eastAsia" w:ascii="仿宋" w:hAnsi="仿宋" w:eastAsia="仿宋" w:cs="仿宋"/>
          <w:b w:val="0"/>
          <w:bCs/>
          <w:sz w:val="24"/>
          <w:szCs w:val="24"/>
          <w:highlight w:val="none"/>
        </w:rPr>
        <w:t>。</w:t>
      </w:r>
    </w:p>
    <w:p w14:paraId="46BEA413">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四</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非遗进校园机制再完善</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总结非遗进校园试点学校的非遗课程教学经验，从课程体系完善、师资队伍建设、活动形式拓展、培育机制建立等方面入手，完善固化非遗进校园活动开展的闭环机制。</w:t>
      </w:r>
    </w:p>
    <w:p w14:paraId="04B46E13">
      <w:pPr>
        <w:overflowPunct w:val="0"/>
        <w:adjustRightInd w:val="0"/>
        <w:snapToGrid w:val="0"/>
        <w:spacing w:line="560" w:lineRule="exact"/>
        <w:ind w:firstLine="482" w:firstLineChars="200"/>
        <w:outlineLvl w:val="2"/>
        <w:rPr>
          <w:rFonts w:hint="default" w:ascii="仿宋" w:hAnsi="仿宋" w:eastAsia="仿宋" w:cs="仿宋"/>
          <w:b/>
          <w:bCs/>
          <w:color w:val="auto"/>
          <w:kern w:val="2"/>
          <w:sz w:val="24"/>
          <w:szCs w:val="24"/>
          <w:highlight w:val="none"/>
          <w:lang w:val="en-US" w:eastAsia="zh-CN" w:bidi="ar-SA"/>
        </w:rPr>
      </w:pPr>
      <w:r>
        <w:rPr>
          <w:rFonts w:hint="eastAsia" w:ascii="仿宋" w:hAnsi="仿宋" w:eastAsia="仿宋" w:cs="仿宋"/>
          <w:b/>
          <w:bCs/>
          <w:color w:val="auto"/>
          <w:kern w:val="2"/>
          <w:sz w:val="24"/>
          <w:szCs w:val="24"/>
          <w:highlight w:val="none"/>
          <w:lang w:val="en-US" w:eastAsia="zh-CN" w:bidi="ar-SA"/>
        </w:rPr>
        <w:t>三．项目需求及要求</w:t>
      </w:r>
    </w:p>
    <w:p w14:paraId="35C1E2BF">
      <w:pPr>
        <w:overflowPunct w:val="0"/>
        <w:adjustRightInd w:val="0"/>
        <w:snapToGrid w:val="0"/>
        <w:spacing w:line="560" w:lineRule="exact"/>
        <w:ind w:firstLine="482" w:firstLineChars="200"/>
        <w:outlineLvl w:val="2"/>
        <w:rPr>
          <w:rFonts w:hint="eastAsia" w:ascii="仿宋" w:hAnsi="仿宋" w:eastAsia="仿宋" w:cs="仿宋"/>
          <w:b/>
          <w:sz w:val="24"/>
          <w:szCs w:val="24"/>
          <w:highlight w:val="none"/>
        </w:rPr>
      </w:pPr>
      <w:r>
        <w:rPr>
          <w:rFonts w:hint="eastAsia" w:ascii="仿宋" w:hAnsi="仿宋" w:eastAsia="仿宋" w:cs="仿宋"/>
          <w:b/>
          <w:sz w:val="24"/>
          <w:szCs w:val="24"/>
          <w:highlight w:val="none"/>
        </w:rPr>
        <w:t>1.强化非遗传承人队伍建设</w:t>
      </w:r>
    </w:p>
    <w:p w14:paraId="1B3D4C9E">
      <w:pPr>
        <w:overflowPunct w:val="0"/>
        <w:adjustRightInd w:val="0"/>
        <w:snapToGrid w:val="0"/>
        <w:spacing w:line="560" w:lineRule="exact"/>
        <w:ind w:firstLine="482" w:firstLineChars="200"/>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建立传承人群储备库</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开展非遗传承人摸底调查，发掘和挖掘一批有兴趣、有潜力的年轻人，探索进入高职等专业技术院校，挖掘相关专业学生、手工艺爱好者等，建立传承人群储备库，并为其建立个人档案。</w:t>
      </w:r>
    </w:p>
    <w:p w14:paraId="26AD8907">
      <w:pPr>
        <w:overflowPunct w:val="0"/>
        <w:adjustRightInd w:val="0"/>
        <w:snapToGrid w:val="0"/>
        <w:spacing w:line="560" w:lineRule="exact"/>
        <w:ind w:firstLine="482" w:firstLineChars="200"/>
        <w:outlineLvl w:val="2"/>
        <w:rPr>
          <w:rFonts w:hint="eastAsia" w:ascii="仿宋" w:hAnsi="仿宋" w:eastAsia="仿宋" w:cs="仿宋"/>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开展传承人专项培优</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针对非遗传承人在非遗传播授课及非遗项目市场推广应用重难点问题，对非遗传承人开展全面系统的培优课程培训，进一步提升传承人群综合能力，引导非遗传承人与市场接轨，促进传承人群之间交流合作，推动非遗技艺传承创新，为探索非遗传承发展新格局奠定基础。培训对象为雨花台辖区内非遗代表性传承人及传承人群储备库中有潜力的年轻人，培训内容涵盖理论知识、授课提升、创新发展及交流研讨，采用集中授课、实践操作、参观学习与线上学习相结合的培训方式，培训地点选取区内保护基地或特定文化场馆，培训师资初步计划由资深非遗传承人、专家学者与行业精英组成。培训课程结束后组织综合考核，为合格学员颁发结业证书，优秀学员在后续项目中有优先资源支持。</w:t>
      </w:r>
    </w:p>
    <w:p w14:paraId="72F44A67">
      <w:pPr>
        <w:overflowPunct w:val="0"/>
        <w:adjustRightInd w:val="0"/>
        <w:snapToGrid w:val="0"/>
        <w:spacing w:line="560" w:lineRule="exact"/>
        <w:ind w:firstLine="482" w:firstLineChars="200"/>
        <w:rPr>
          <w:rFonts w:hint="eastAsia" w:ascii="仿宋" w:hAnsi="仿宋" w:eastAsia="仿宋" w:cs="仿宋"/>
          <w:b/>
          <w:sz w:val="24"/>
          <w:szCs w:val="24"/>
          <w:highlight w:val="none"/>
          <w:lang w:eastAsia="zh-CN"/>
        </w:rPr>
      </w:pPr>
      <w:r>
        <w:rPr>
          <w:rFonts w:hint="eastAsia" w:ascii="仿宋" w:hAnsi="仿宋" w:eastAsia="仿宋" w:cs="仿宋"/>
          <w:b/>
          <w:sz w:val="24"/>
          <w:szCs w:val="24"/>
          <w:highlight w:val="none"/>
        </w:rPr>
        <w:t>2.强化非遗传承基地运营管理</w:t>
      </w:r>
    </w:p>
    <w:p w14:paraId="14A20903">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深化拓展非遗传承基地建设</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加强基地软硬件建设，完善非遗展示、体验、传承等功能，打造集文化传播、教育实践、创新研发于一体的综合性平台。深入挖掘基地所在地的非遗资源，结合地域特色和文化背景，开发具有地方代表性的非遗项目，推动非遗文化与现代生活的深度融合。</w:t>
      </w:r>
    </w:p>
    <w:p w14:paraId="6A6EA95B">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二</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持续推进“非遗进基地”系列活动</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深度挖掘非遗文化价值，通过定期举办非遗技艺培训、文化讲座、互动体验等活动，吸引更多社会公众特别是青少年群体走进基地，近距离感受非遗魅力。引导基地与学校、社区、企业等多方合作，形成“基地+学校”“基地+社区”等联动模式，扩大非遗文化的覆盖面和影响力，通过持续优化基地活动内容，进一步激发非遗传承活力，为非遗保护与创新发展提供坚实支撑。</w:t>
      </w:r>
    </w:p>
    <w:p w14:paraId="5747537F">
      <w:pPr>
        <w:overflowPunct w:val="0"/>
        <w:adjustRightInd w:val="0"/>
        <w:snapToGrid w:val="0"/>
        <w:spacing w:line="560" w:lineRule="exact"/>
        <w:ind w:firstLine="482" w:firstLineChars="200"/>
        <w:rPr>
          <w:rFonts w:hint="eastAsia" w:ascii="仿宋" w:hAnsi="仿宋" w:eastAsia="仿宋" w:cs="仿宋"/>
          <w:b/>
          <w:sz w:val="24"/>
          <w:szCs w:val="24"/>
          <w:highlight w:val="none"/>
        </w:rPr>
      </w:pPr>
      <w:r>
        <w:rPr>
          <w:rFonts w:hint="eastAsia" w:ascii="仿宋" w:hAnsi="仿宋" w:eastAsia="仿宋" w:cs="仿宋"/>
          <w:b/>
          <w:sz w:val="24"/>
          <w:szCs w:val="24"/>
          <w:highlight w:val="none"/>
        </w:rPr>
        <w:t>3.完善非遗进校园机制</w:t>
      </w:r>
    </w:p>
    <w:p w14:paraId="2E68762A">
      <w:pPr>
        <w:overflowPunct w:val="0"/>
        <w:adjustRightInd w:val="0"/>
        <w:snapToGrid w:val="0"/>
        <w:spacing w:line="560" w:lineRule="exact"/>
        <w:ind w:firstLine="482" w:firstLineChars="200"/>
        <w:rPr>
          <w:rFonts w:hint="eastAsia" w:ascii="仿宋" w:hAnsi="仿宋" w:eastAsia="仿宋" w:cs="仿宋"/>
          <w:b w:val="0"/>
          <w:bCs/>
          <w:sz w:val="24"/>
          <w:szCs w:val="24"/>
          <w:highlight w:val="none"/>
          <w:lang w:val="en-US" w:eastAsia="zh-CN"/>
        </w:rPr>
      </w:pPr>
      <w:r>
        <w:rPr>
          <w:rFonts w:hint="eastAsia" w:ascii="仿宋" w:hAnsi="仿宋" w:eastAsia="仿宋" w:cs="仿宋"/>
          <w:b/>
          <w:sz w:val="24"/>
          <w:szCs w:val="24"/>
          <w:highlight w:val="none"/>
        </w:rPr>
        <w:t>一</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探索“薪火传承计划”</w:t>
      </w:r>
      <w:r>
        <w:rPr>
          <w:rFonts w:hint="eastAsia" w:ascii="仿宋" w:hAnsi="仿宋" w:eastAsia="仿宋" w:cs="仿宋"/>
          <w:b/>
          <w:sz w:val="24"/>
          <w:szCs w:val="24"/>
          <w:highlight w:val="none"/>
          <w:lang w:eastAsia="zh-CN"/>
        </w:rPr>
        <w:t>：</w:t>
      </w:r>
      <w:r>
        <w:rPr>
          <w:rFonts w:hint="eastAsia" w:ascii="仿宋" w:hAnsi="仿宋" w:eastAsia="仿宋" w:cs="仿宋"/>
          <w:b w:val="0"/>
          <w:bCs/>
          <w:sz w:val="24"/>
          <w:szCs w:val="24"/>
          <w:highlight w:val="none"/>
        </w:rPr>
        <w:t>引入“非遗传承人+学校老师”的双师授课模式，保证非遗技艺的专业性，实现非遗教育的系统化常态化。</w:t>
      </w:r>
    </w:p>
    <w:p w14:paraId="4CA89EEC">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lang w:val="en-US" w:eastAsia="zh-CN"/>
        </w:rPr>
        <w:t>二、</w:t>
      </w:r>
      <w:r>
        <w:rPr>
          <w:rFonts w:hint="eastAsia" w:ascii="仿宋" w:hAnsi="仿宋" w:eastAsia="仿宋" w:cs="仿宋"/>
          <w:b/>
          <w:sz w:val="24"/>
          <w:szCs w:val="24"/>
          <w:highlight w:val="none"/>
        </w:rPr>
        <w:t>启动“在校老师非遗教学培育计划”</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鼓励学校挖掘和培养校内教师资源，逐步扩大非遗教育师资队伍，让教师有机成为非遗文化的传播者和传承人，推动非遗教育从“进校园”的短期活动转变为“在校园”的长期实践。</w:t>
      </w:r>
    </w:p>
    <w:p w14:paraId="229B20A6">
      <w:pPr>
        <w:overflowPunct w:val="0"/>
        <w:adjustRightInd w:val="0"/>
        <w:snapToGrid w:val="0"/>
        <w:spacing w:line="560" w:lineRule="exact"/>
        <w:ind w:firstLine="482" w:firstLineChars="200"/>
        <w:rPr>
          <w:rFonts w:hint="eastAsia" w:ascii="仿宋" w:hAnsi="仿宋" w:eastAsia="仿宋" w:cs="仿宋"/>
          <w:sz w:val="24"/>
          <w:szCs w:val="24"/>
          <w:highlight w:val="none"/>
        </w:rPr>
      </w:pPr>
      <w:r>
        <w:rPr>
          <w:rFonts w:hint="eastAsia" w:ascii="仿宋" w:hAnsi="仿宋" w:eastAsia="仿宋" w:cs="仿宋"/>
          <w:b/>
          <w:sz w:val="24"/>
          <w:szCs w:val="24"/>
          <w:highlight w:val="none"/>
        </w:rPr>
        <w:t>三</w:t>
      </w:r>
      <w:r>
        <w:rPr>
          <w:rFonts w:hint="eastAsia" w:ascii="仿宋" w:hAnsi="仿宋" w:eastAsia="仿宋" w:cs="仿宋"/>
          <w:b/>
          <w:sz w:val="24"/>
          <w:szCs w:val="24"/>
          <w:highlight w:val="none"/>
          <w:lang w:eastAsia="zh-CN"/>
        </w:rPr>
        <w:t>、</w:t>
      </w:r>
      <w:r>
        <w:rPr>
          <w:rFonts w:hint="eastAsia" w:ascii="仿宋" w:hAnsi="仿宋" w:eastAsia="仿宋" w:cs="仿宋"/>
          <w:b/>
          <w:sz w:val="24"/>
          <w:szCs w:val="24"/>
          <w:highlight w:val="none"/>
        </w:rPr>
        <w:t>建立非遗课程考评机制</w:t>
      </w:r>
      <w:r>
        <w:rPr>
          <w:rFonts w:hint="eastAsia" w:ascii="仿宋" w:hAnsi="仿宋" w:eastAsia="仿宋" w:cs="仿宋"/>
          <w:b/>
          <w:sz w:val="24"/>
          <w:szCs w:val="24"/>
          <w:highlight w:val="none"/>
          <w:lang w:eastAsia="zh-CN"/>
        </w:rPr>
        <w:t>：</w:t>
      </w:r>
      <w:r>
        <w:rPr>
          <w:rFonts w:hint="eastAsia" w:ascii="仿宋" w:hAnsi="仿宋" w:eastAsia="仿宋" w:cs="仿宋"/>
          <w:sz w:val="24"/>
          <w:szCs w:val="24"/>
          <w:highlight w:val="none"/>
        </w:rPr>
        <w:t>从知识掌握、实践能力、创新表达等多维度评估教学效果，激励学生深入学习非遗文化，期末举办非遗成果展示活动，如非遗作品展览、技艺展演、文化沙龙等，增强学生的参与感和成就感，进一步激发他们对非遗文化的兴趣与热爱，促进校园非遗文化的传承创新。</w:t>
      </w:r>
    </w:p>
    <w:p w14:paraId="74471B05">
      <w:pPr>
        <w:rPr>
          <w:rFonts w:hint="eastAsia" w:ascii="仿宋" w:hAnsi="仿宋" w:eastAsia="仿宋" w:cs="仿宋"/>
          <w:color w:val="auto"/>
          <w:sz w:val="24"/>
          <w:szCs w:val="24"/>
          <w:highlight w:val="none"/>
        </w:rPr>
        <w:sectPr>
          <w:footerReference r:id="rId12" w:type="default"/>
          <w:pgSz w:w="11906" w:h="16838"/>
          <w:pgMar w:top="1417" w:right="1757" w:bottom="1417" w:left="1757" w:header="851" w:footer="1020" w:gutter="0"/>
          <w:cols w:space="720" w:num="1"/>
          <w:docGrid w:linePitch="290" w:charSpace="0"/>
        </w:sectPr>
      </w:pPr>
    </w:p>
    <w:p w14:paraId="7E8E8E3F">
      <w:pPr>
        <w:pStyle w:val="351"/>
        <w:rPr>
          <w:color w:val="auto"/>
          <w:highlight w:val="none"/>
        </w:rPr>
      </w:pPr>
    </w:p>
    <w:p w14:paraId="2224DC88">
      <w:pPr>
        <w:pStyle w:val="2"/>
        <w:numPr>
          <w:ilvl w:val="0"/>
          <w:numId w:val="6"/>
        </w:numPr>
        <w:tabs>
          <w:tab w:val="clear" w:pos="1440"/>
          <w:tab w:val="clear" w:pos="5670"/>
        </w:tabs>
        <w:spacing w:before="240" w:after="240"/>
        <w:ind w:firstLine="0" w:firstLineChars="0"/>
        <w:jc w:val="center"/>
        <w:rPr>
          <w:rFonts w:ascii="仿宋" w:hAnsi="仿宋" w:cs="仿宋"/>
          <w:color w:val="auto"/>
          <w:spacing w:val="-10"/>
          <w:sz w:val="36"/>
          <w:szCs w:val="36"/>
          <w:highlight w:val="none"/>
        </w:rPr>
      </w:pPr>
      <w:r>
        <w:rPr>
          <w:rFonts w:hint="eastAsia" w:ascii="仿宋" w:hAnsi="仿宋" w:cs="仿宋"/>
          <w:color w:val="auto"/>
          <w:spacing w:val="-10"/>
          <w:sz w:val="36"/>
          <w:szCs w:val="36"/>
          <w:highlight w:val="none"/>
        </w:rPr>
        <w:t>合同草案条款</w:t>
      </w:r>
    </w:p>
    <w:p w14:paraId="190C204D">
      <w:pPr>
        <w:numPr>
          <w:ilvl w:val="0"/>
          <w:numId w:val="7"/>
        </w:numPr>
        <w:spacing w:line="360" w:lineRule="auto"/>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注：本合同仅为合同的参考文本，若与项目需求书内容有冲突，以项目需求书为准，合同签订双方可根据项目的具体要求进行修订。</w:t>
      </w:r>
    </w:p>
    <w:p w14:paraId="5CDF2ADD">
      <w:pPr>
        <w:rPr>
          <w:color w:val="auto"/>
          <w:highlight w:val="none"/>
        </w:rPr>
        <w:sectPr>
          <w:pgSz w:w="11906" w:h="16838"/>
          <w:pgMar w:top="1417" w:right="1757" w:bottom="1417" w:left="1757" w:header="851" w:footer="1020" w:gutter="0"/>
          <w:cols w:space="720" w:num="1"/>
          <w:docGrid w:linePitch="290" w:charSpace="0"/>
        </w:sectPr>
      </w:pPr>
    </w:p>
    <w:p w14:paraId="092E4D1F">
      <w:pPr>
        <w:ind w:firstLine="1040"/>
        <w:jc w:val="center"/>
        <w:rPr>
          <w:rFonts w:ascii="Times New Roman" w:hAnsi="Times New Roman" w:eastAsia="仿宋" w:cs="Times New Roman"/>
          <w:color w:val="auto"/>
          <w:sz w:val="52"/>
          <w:highlight w:val="none"/>
        </w:rPr>
      </w:pPr>
      <w:bookmarkStart w:id="113" w:name="_Toc29800"/>
      <w:bookmarkStart w:id="114" w:name="_Toc17598"/>
      <w:bookmarkStart w:id="115" w:name="_Toc14225"/>
      <w:bookmarkStart w:id="116" w:name="_Toc19449"/>
      <w:bookmarkStart w:id="117" w:name="_Toc31380"/>
      <w:bookmarkStart w:id="118" w:name="_Toc14860"/>
      <w:bookmarkStart w:id="119" w:name="_Toc24282"/>
      <w:bookmarkStart w:id="120" w:name="_Toc6136"/>
    </w:p>
    <w:p w14:paraId="75EF92CF">
      <w:pPr>
        <w:pStyle w:val="419"/>
        <w:framePr w:wrap="auto" w:vAnchor="margin" w:hAnchor="text" w:yAlign="inline"/>
        <w:jc w:val="center"/>
        <w:rPr>
          <w:rFonts w:eastAsia="仿宋" w:cs="Times New Roman"/>
          <w:b/>
          <w:bCs/>
          <w:color w:val="auto"/>
          <w:sz w:val="52"/>
          <w:szCs w:val="52"/>
          <w:highlight w:val="none"/>
          <w:lang w:val="zh-TW"/>
        </w:rPr>
      </w:pPr>
    </w:p>
    <w:p w14:paraId="67134919">
      <w:pPr>
        <w:pStyle w:val="419"/>
        <w:framePr w:wrap="auto" w:vAnchor="margin" w:hAnchor="text" w:yAlign="inline"/>
        <w:jc w:val="center"/>
        <w:rPr>
          <w:rFonts w:eastAsia="仿宋" w:cs="Times New Roman"/>
          <w:b/>
          <w:bCs/>
          <w:color w:val="auto"/>
          <w:sz w:val="52"/>
          <w:szCs w:val="52"/>
          <w:highlight w:val="none"/>
          <w:lang w:val="zh-TW"/>
        </w:rPr>
      </w:pPr>
    </w:p>
    <w:p w14:paraId="4427C547">
      <w:pPr>
        <w:pStyle w:val="419"/>
        <w:framePr w:wrap="auto" w:vAnchor="margin" w:hAnchor="text" w:yAlign="inline"/>
        <w:jc w:val="center"/>
        <w:rPr>
          <w:rFonts w:eastAsia="仿宋" w:cs="Times New Roman"/>
          <w:b/>
          <w:bCs/>
          <w:color w:val="auto"/>
          <w:sz w:val="52"/>
          <w:szCs w:val="52"/>
          <w:highlight w:val="none"/>
          <w:lang w:val="zh-TW"/>
        </w:rPr>
      </w:pPr>
    </w:p>
    <w:p w14:paraId="11F4D266">
      <w:pPr>
        <w:pStyle w:val="419"/>
        <w:framePr w:wrap="auto" w:vAnchor="margin" w:hAnchor="text" w:yAlign="inline"/>
        <w:jc w:val="center"/>
        <w:rPr>
          <w:rFonts w:eastAsia="仿宋" w:cs="Times New Roman"/>
          <w:b/>
          <w:bCs/>
          <w:color w:val="auto"/>
          <w:sz w:val="52"/>
          <w:szCs w:val="52"/>
          <w:highlight w:val="none"/>
          <w:lang w:val="zh-TW"/>
        </w:rPr>
      </w:pPr>
      <w:r>
        <w:rPr>
          <w:rFonts w:eastAsia="仿宋" w:cs="Times New Roman"/>
          <w:b/>
          <w:bCs/>
          <w:color w:val="auto"/>
          <w:sz w:val="52"/>
          <w:szCs w:val="52"/>
          <w:highlight w:val="none"/>
          <w:lang w:val="zh-TW"/>
        </w:rPr>
        <w:t>采购合同</w:t>
      </w:r>
    </w:p>
    <w:p w14:paraId="460E67F2">
      <w:pPr>
        <w:pStyle w:val="419"/>
        <w:framePr w:wrap="auto" w:vAnchor="margin" w:hAnchor="text" w:yAlign="inline"/>
        <w:ind w:firstLine="315"/>
        <w:rPr>
          <w:rFonts w:eastAsia="仿宋" w:cs="Times New Roman"/>
          <w:b/>
          <w:bCs/>
          <w:color w:val="auto"/>
          <w:sz w:val="28"/>
          <w:szCs w:val="28"/>
          <w:highlight w:val="none"/>
        </w:rPr>
      </w:pPr>
      <w:r>
        <w:rPr>
          <w:rFonts w:eastAsia="仿宋" w:cs="Times New Roman"/>
          <w:b/>
          <w:bCs/>
          <w:color w:val="auto"/>
          <w:sz w:val="32"/>
          <w:szCs w:val="32"/>
          <w:highlight w:val="none"/>
        </w:rPr>
        <w:t xml:space="preserve">       </w:t>
      </w:r>
      <w:r>
        <w:rPr>
          <w:rFonts w:eastAsia="仿宋" w:cs="Times New Roman"/>
          <w:b/>
          <w:bCs/>
          <w:color w:val="auto"/>
          <w:highlight w:val="none"/>
        </w:rPr>
        <w:t xml:space="preserve">     </w:t>
      </w:r>
      <w:r>
        <w:rPr>
          <w:rFonts w:eastAsia="仿宋" w:cs="Times New Roman"/>
          <w:color w:val="auto"/>
          <w:highlight w:val="none"/>
        </w:rPr>
        <w:t xml:space="preserve">  </w:t>
      </w:r>
    </w:p>
    <w:p w14:paraId="4ABE25E3">
      <w:pPr>
        <w:pStyle w:val="419"/>
        <w:framePr w:wrap="auto" w:vAnchor="margin" w:hAnchor="text" w:yAlign="inline"/>
        <w:ind w:firstLine="1807"/>
        <w:rPr>
          <w:rFonts w:eastAsia="仿宋" w:cs="Times New Roman"/>
          <w:b/>
          <w:bCs/>
          <w:color w:val="auto"/>
          <w:sz w:val="28"/>
          <w:szCs w:val="28"/>
          <w:highlight w:val="none"/>
        </w:rPr>
      </w:pPr>
    </w:p>
    <w:p w14:paraId="368AB30D">
      <w:pPr>
        <w:pStyle w:val="419"/>
        <w:framePr w:wrap="auto" w:vAnchor="margin" w:hAnchor="text" w:yAlign="inline"/>
        <w:ind w:firstLine="1807"/>
        <w:rPr>
          <w:rFonts w:eastAsia="仿宋" w:cs="Times New Roman"/>
          <w:b/>
          <w:bCs/>
          <w:color w:val="auto"/>
          <w:highlight w:val="none"/>
        </w:rPr>
      </w:pPr>
    </w:p>
    <w:p w14:paraId="5835188E">
      <w:pPr>
        <w:pStyle w:val="420"/>
        <w:framePr w:wrap="auto" w:vAnchor="margin" w:hAnchor="text" w:yAlign="inline"/>
        <w:rPr>
          <w:rFonts w:eastAsia="仿宋" w:cs="Times New Roman"/>
          <w:b/>
          <w:bCs/>
          <w:color w:val="auto"/>
          <w:highlight w:val="none"/>
        </w:rPr>
      </w:pPr>
    </w:p>
    <w:p w14:paraId="420751E5">
      <w:pPr>
        <w:pStyle w:val="420"/>
        <w:framePr w:wrap="auto" w:vAnchor="margin" w:hAnchor="text" w:yAlign="inline"/>
        <w:rPr>
          <w:rFonts w:eastAsia="仿宋" w:cs="Times New Roman"/>
          <w:b/>
          <w:bCs/>
          <w:color w:val="auto"/>
          <w:highlight w:val="none"/>
        </w:rPr>
      </w:pPr>
    </w:p>
    <w:p w14:paraId="31C3E9D9">
      <w:pPr>
        <w:pStyle w:val="419"/>
        <w:framePr w:wrap="auto" w:vAnchor="margin" w:hAnchor="text" w:yAlign="inline"/>
        <w:ind w:firstLine="1918"/>
        <w:rPr>
          <w:rFonts w:eastAsia="仿宋" w:cs="Times New Roman"/>
          <w:b/>
          <w:bCs/>
          <w:color w:val="auto"/>
          <w:sz w:val="36"/>
          <w:szCs w:val="36"/>
          <w:highlight w:val="none"/>
        </w:rPr>
      </w:pPr>
      <w:r>
        <w:rPr>
          <w:rFonts w:eastAsia="仿宋" w:cs="Times New Roman"/>
          <w:b/>
          <w:bCs/>
          <w:color w:val="auto"/>
          <w:sz w:val="36"/>
          <w:szCs w:val="36"/>
          <w:highlight w:val="none"/>
          <w:lang w:val="zh-TW"/>
        </w:rPr>
        <w:t>合同编号</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rPr>
        <w:t>：</w:t>
      </w:r>
      <w:r>
        <w:rPr>
          <w:rFonts w:eastAsia="仿宋" w:cs="Times New Roman"/>
          <w:b/>
          <w:bCs/>
          <w:color w:val="auto"/>
          <w:sz w:val="36"/>
          <w:szCs w:val="36"/>
          <w:highlight w:val="none"/>
          <w:u w:val="single"/>
        </w:rPr>
        <w:t xml:space="preserve">                    </w:t>
      </w:r>
    </w:p>
    <w:p w14:paraId="17D17E5F">
      <w:pPr>
        <w:pStyle w:val="419"/>
        <w:framePr w:wrap="auto" w:vAnchor="margin" w:hAnchor="text" w:yAlign="inline"/>
        <w:ind w:firstLine="1918"/>
        <w:rPr>
          <w:rFonts w:eastAsia="仿宋" w:cs="Times New Roman"/>
          <w:b/>
          <w:bCs/>
          <w:color w:val="auto"/>
          <w:sz w:val="36"/>
          <w:szCs w:val="36"/>
          <w:highlight w:val="none"/>
          <w:u w:val="single"/>
        </w:rPr>
      </w:pPr>
      <w:r>
        <w:rPr>
          <w:rFonts w:eastAsia="仿宋" w:cs="Times New Roman"/>
          <w:b/>
          <w:bCs/>
          <w:color w:val="auto"/>
          <w:sz w:val="36"/>
          <w:szCs w:val="36"/>
          <w:highlight w:val="none"/>
          <w:lang w:val="zh-TW"/>
        </w:rPr>
        <w:t>项目名称</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rPr>
        <w:t>：</w:t>
      </w:r>
      <w:r>
        <w:rPr>
          <w:rFonts w:eastAsia="仿宋" w:cs="Times New Roman"/>
          <w:b/>
          <w:bCs/>
          <w:color w:val="auto"/>
          <w:sz w:val="36"/>
          <w:szCs w:val="36"/>
          <w:highlight w:val="none"/>
          <w:u w:val="single"/>
        </w:rPr>
        <w:t xml:space="preserve">                    </w:t>
      </w:r>
    </w:p>
    <w:p w14:paraId="127FC6B1">
      <w:pPr>
        <w:pStyle w:val="419"/>
        <w:framePr w:wrap="auto" w:vAnchor="margin" w:hAnchor="text" w:yAlign="inline"/>
        <w:ind w:firstLine="1918"/>
        <w:rPr>
          <w:rFonts w:eastAsia="仿宋" w:cs="Times New Roman"/>
          <w:b/>
          <w:bCs/>
          <w:color w:val="auto"/>
          <w:sz w:val="36"/>
          <w:szCs w:val="36"/>
          <w:highlight w:val="none"/>
          <w:u w:val="single"/>
        </w:rPr>
      </w:pPr>
      <w:r>
        <w:rPr>
          <w:rFonts w:hint="eastAsia" w:eastAsia="仿宋" w:cs="Times New Roman"/>
          <w:b/>
          <w:bCs/>
          <w:color w:val="auto"/>
          <w:sz w:val="36"/>
          <w:szCs w:val="36"/>
          <w:highlight w:val="none"/>
          <w:lang w:val="en-US" w:eastAsia="zh-CN"/>
        </w:rPr>
        <w:t>采购</w:t>
      </w:r>
      <w:r>
        <w:rPr>
          <w:rFonts w:eastAsia="仿宋" w:cs="Times New Roman"/>
          <w:b/>
          <w:bCs/>
          <w:color w:val="auto"/>
          <w:sz w:val="36"/>
          <w:szCs w:val="36"/>
          <w:highlight w:val="none"/>
          <w:lang w:val="zh-TW"/>
        </w:rPr>
        <w:t>单位</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rPr>
        <w:t>：</w:t>
      </w:r>
      <w:r>
        <w:rPr>
          <w:rFonts w:eastAsia="仿宋" w:cs="Times New Roman"/>
          <w:b/>
          <w:bCs/>
          <w:color w:val="auto"/>
          <w:sz w:val="36"/>
          <w:szCs w:val="36"/>
          <w:highlight w:val="none"/>
          <w:u w:val="single"/>
        </w:rPr>
        <w:t xml:space="preserve">                    </w:t>
      </w:r>
    </w:p>
    <w:p w14:paraId="7CC02C9D">
      <w:pPr>
        <w:pStyle w:val="419"/>
        <w:framePr w:wrap="auto" w:vAnchor="margin" w:hAnchor="text" w:yAlign="inline"/>
        <w:ind w:firstLine="1916"/>
        <w:rPr>
          <w:rFonts w:eastAsia="仿宋" w:cs="Times New Roman"/>
          <w:b/>
          <w:bCs/>
          <w:color w:val="auto"/>
          <w:sz w:val="36"/>
          <w:szCs w:val="36"/>
          <w:highlight w:val="none"/>
        </w:rPr>
      </w:pPr>
      <w:r>
        <w:rPr>
          <w:rFonts w:hint="eastAsia" w:eastAsia="仿宋" w:cs="Times New Roman"/>
          <w:b/>
          <w:bCs/>
          <w:color w:val="auto"/>
          <w:sz w:val="36"/>
          <w:szCs w:val="36"/>
          <w:highlight w:val="none"/>
          <w:lang w:val="en-US" w:eastAsia="zh-CN"/>
        </w:rPr>
        <w:t>服务</w:t>
      </w:r>
      <w:r>
        <w:rPr>
          <w:rFonts w:eastAsia="仿宋" w:cs="Times New Roman"/>
          <w:b/>
          <w:bCs/>
          <w:color w:val="auto"/>
          <w:sz w:val="36"/>
          <w:szCs w:val="36"/>
          <w:highlight w:val="none"/>
          <w:lang w:val="zh-TW"/>
        </w:rPr>
        <w:t>单位</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rPr>
        <w:t>：</w:t>
      </w:r>
      <w:r>
        <w:rPr>
          <w:rFonts w:eastAsia="仿宋" w:cs="Times New Roman"/>
          <w:b/>
          <w:bCs/>
          <w:color w:val="auto"/>
          <w:sz w:val="36"/>
          <w:szCs w:val="36"/>
          <w:highlight w:val="none"/>
          <w:u w:val="single"/>
        </w:rPr>
        <w:t xml:space="preserve">                    </w:t>
      </w:r>
    </w:p>
    <w:p w14:paraId="1D032E14">
      <w:pPr>
        <w:pStyle w:val="419"/>
        <w:framePr w:wrap="auto" w:vAnchor="margin" w:hAnchor="text" w:yAlign="inline"/>
        <w:ind w:firstLine="1916"/>
        <w:rPr>
          <w:rFonts w:eastAsia="仿宋" w:cs="Times New Roman"/>
          <w:b/>
          <w:bCs/>
          <w:color w:val="auto"/>
          <w:sz w:val="36"/>
          <w:szCs w:val="36"/>
          <w:highlight w:val="none"/>
        </w:rPr>
      </w:pPr>
      <w:r>
        <w:rPr>
          <w:rFonts w:eastAsia="仿宋" w:cs="Times New Roman"/>
          <w:b/>
          <w:bCs/>
          <w:color w:val="auto"/>
          <w:sz w:val="36"/>
          <w:szCs w:val="36"/>
          <w:highlight w:val="none"/>
          <w:lang w:val="zh-TW"/>
        </w:rPr>
        <w:t>签订日期</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rPr>
        <w:t>：</w:t>
      </w:r>
      <w:r>
        <w:rPr>
          <w:rFonts w:eastAsia="仿宋" w:cs="Times New Roman"/>
          <w:b/>
          <w:bCs/>
          <w:color w:val="auto"/>
          <w:sz w:val="36"/>
          <w:szCs w:val="36"/>
          <w:highlight w:val="none"/>
          <w:u w:val="single"/>
        </w:rPr>
        <w:t xml:space="preserve">                    </w:t>
      </w:r>
    </w:p>
    <w:p w14:paraId="4A393CEA">
      <w:pPr>
        <w:pStyle w:val="419"/>
        <w:framePr w:wrap="auto" w:vAnchor="margin" w:hAnchor="text" w:yAlign="inline"/>
        <w:rPr>
          <w:rFonts w:eastAsia="仿宋" w:cs="Times New Roman"/>
          <w:color w:val="auto"/>
          <w:sz w:val="36"/>
          <w:szCs w:val="36"/>
          <w:highlight w:val="none"/>
        </w:rPr>
      </w:pPr>
      <w:r>
        <w:rPr>
          <w:rFonts w:eastAsia="仿宋" w:cs="Times New Roman"/>
          <w:color w:val="auto"/>
          <w:sz w:val="36"/>
          <w:szCs w:val="36"/>
          <w:highlight w:val="none"/>
        </w:rPr>
        <w:t xml:space="preserve">       </w:t>
      </w:r>
    </w:p>
    <w:p w14:paraId="13AC43F4">
      <w:pPr>
        <w:pStyle w:val="419"/>
        <w:framePr w:wrap="auto" w:vAnchor="margin" w:hAnchor="text" w:yAlign="inline"/>
        <w:rPr>
          <w:rFonts w:eastAsia="仿宋" w:cs="Times New Roman"/>
          <w:color w:val="auto"/>
          <w:sz w:val="36"/>
          <w:szCs w:val="36"/>
          <w:highlight w:val="none"/>
        </w:rPr>
      </w:pPr>
    </w:p>
    <w:p w14:paraId="3C1F9BF4">
      <w:pPr>
        <w:pStyle w:val="419"/>
        <w:framePr w:wrap="auto" w:vAnchor="margin" w:hAnchor="text" w:yAlign="inline"/>
        <w:rPr>
          <w:rFonts w:eastAsia="仿宋" w:cs="Times New Roman"/>
          <w:color w:val="auto"/>
          <w:sz w:val="36"/>
          <w:szCs w:val="36"/>
          <w:highlight w:val="none"/>
        </w:rPr>
      </w:pPr>
    </w:p>
    <w:p w14:paraId="60B126B7">
      <w:pPr>
        <w:pStyle w:val="420"/>
        <w:framePr w:wrap="auto" w:vAnchor="margin" w:hAnchor="text" w:yAlign="inline"/>
        <w:rPr>
          <w:rFonts w:eastAsia="仿宋" w:cs="Times New Roman"/>
          <w:color w:val="auto"/>
          <w:sz w:val="36"/>
          <w:szCs w:val="36"/>
          <w:highlight w:val="none"/>
        </w:rPr>
      </w:pPr>
    </w:p>
    <w:p w14:paraId="13F58C3B">
      <w:pPr>
        <w:pStyle w:val="420"/>
        <w:framePr w:wrap="auto" w:vAnchor="margin" w:hAnchor="text" w:yAlign="inline"/>
        <w:rPr>
          <w:rFonts w:eastAsia="仿宋" w:cs="Times New Roman"/>
          <w:color w:val="auto"/>
          <w:sz w:val="36"/>
          <w:szCs w:val="36"/>
          <w:highlight w:val="none"/>
        </w:rPr>
      </w:pPr>
    </w:p>
    <w:p w14:paraId="7551B516">
      <w:pPr>
        <w:pStyle w:val="419"/>
        <w:framePr w:wrap="auto" w:vAnchor="margin" w:hAnchor="text" w:yAlign="inline"/>
        <w:rPr>
          <w:rFonts w:eastAsia="仿宋" w:cs="Times New Roman"/>
          <w:color w:val="auto"/>
          <w:sz w:val="36"/>
          <w:szCs w:val="36"/>
          <w:highlight w:val="none"/>
        </w:rPr>
      </w:pPr>
    </w:p>
    <w:p w14:paraId="76E88DBC">
      <w:pPr>
        <w:pStyle w:val="419"/>
        <w:framePr w:wrap="auto" w:vAnchor="margin" w:hAnchor="text" w:yAlign="inline"/>
        <w:jc w:val="center"/>
        <w:rPr>
          <w:rFonts w:eastAsia="仿宋" w:cs="Times New Roman"/>
          <w:b/>
          <w:bCs/>
          <w:color w:val="auto"/>
          <w:sz w:val="36"/>
          <w:szCs w:val="36"/>
          <w:highlight w:val="none"/>
        </w:rPr>
      </w:pPr>
      <w:r>
        <w:rPr>
          <w:rFonts w:eastAsia="仿宋" w:cs="Times New Roman"/>
          <w:b/>
          <w:bCs/>
          <w:color w:val="auto"/>
          <w:sz w:val="36"/>
          <w:szCs w:val="36"/>
          <w:highlight w:val="none"/>
          <w:lang w:val="zh-TW"/>
        </w:rPr>
        <w:t>南京市</w:t>
      </w:r>
      <w:r>
        <w:rPr>
          <w:rFonts w:eastAsia="仿宋" w:cs="Times New Roman"/>
          <w:b/>
          <w:bCs/>
          <w:color w:val="auto"/>
          <w:sz w:val="36"/>
          <w:szCs w:val="36"/>
          <w:highlight w:val="none"/>
        </w:rPr>
        <w:t>市场监督管理局</w:t>
      </w:r>
    </w:p>
    <w:p w14:paraId="26DA6FAF">
      <w:pPr>
        <w:pStyle w:val="419"/>
        <w:framePr w:wrap="auto" w:vAnchor="margin" w:hAnchor="text" w:yAlign="inline"/>
        <w:jc w:val="center"/>
        <w:rPr>
          <w:rFonts w:eastAsia="仿宋" w:cs="Times New Roman"/>
          <w:b/>
          <w:bCs/>
          <w:color w:val="auto"/>
          <w:sz w:val="36"/>
          <w:szCs w:val="36"/>
          <w:highlight w:val="none"/>
        </w:rPr>
      </w:pPr>
    </w:p>
    <w:p w14:paraId="7272286A">
      <w:pPr>
        <w:pStyle w:val="419"/>
        <w:framePr w:wrap="auto" w:vAnchor="margin" w:hAnchor="text" w:yAlign="inline"/>
        <w:jc w:val="center"/>
        <w:rPr>
          <w:rFonts w:eastAsia="仿宋" w:cs="Times New Roman"/>
          <w:b/>
          <w:bCs/>
          <w:color w:val="auto"/>
          <w:sz w:val="36"/>
          <w:szCs w:val="36"/>
          <w:highlight w:val="none"/>
        </w:rPr>
      </w:pPr>
      <w:r>
        <w:rPr>
          <w:rFonts w:eastAsia="仿宋" w:cs="Times New Roman"/>
          <w:b/>
          <w:bCs/>
          <w:color w:val="auto"/>
          <w:sz w:val="36"/>
          <w:szCs w:val="36"/>
          <w:highlight w:val="none"/>
          <w:lang w:val="zh-TW" w:eastAsia="zh-TW"/>
        </w:rPr>
        <w:t>南</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京</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市</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财</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政</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局</w:t>
      </w:r>
      <w:r>
        <w:rPr>
          <w:rFonts w:eastAsia="仿宋" w:cs="Times New Roman"/>
          <w:b/>
          <w:bCs/>
          <w:color w:val="auto"/>
          <w:sz w:val="36"/>
          <w:szCs w:val="36"/>
          <w:highlight w:val="none"/>
        </w:rPr>
        <w:t xml:space="preserve">  </w:t>
      </w:r>
      <w:r>
        <w:rPr>
          <w:rFonts w:eastAsia="仿宋" w:cs="Times New Roman"/>
          <w:b/>
          <w:bCs/>
          <w:color w:val="auto"/>
          <w:sz w:val="36"/>
          <w:szCs w:val="36"/>
          <w:highlight w:val="none"/>
          <w:lang w:val="zh-TW" w:eastAsia="zh-TW"/>
        </w:rPr>
        <w:t>监制</w:t>
      </w:r>
    </w:p>
    <w:p w14:paraId="2EC1AE68">
      <w:pPr>
        <w:pStyle w:val="419"/>
        <w:framePr w:wrap="auto" w:vAnchor="margin" w:hAnchor="text" w:yAlign="inline"/>
        <w:spacing w:line="348" w:lineRule="auto"/>
        <w:rPr>
          <w:rFonts w:eastAsia="仿宋" w:cs="Times New Roman"/>
          <w:color w:val="auto"/>
          <w:highlight w:val="none"/>
        </w:rPr>
      </w:pPr>
      <w:r>
        <w:rPr>
          <w:rFonts w:eastAsia="仿宋" w:cs="Times New Roman"/>
          <w:b/>
          <w:bCs/>
          <w:color w:val="auto"/>
          <w:sz w:val="36"/>
          <w:szCs w:val="36"/>
          <w:highlight w:val="none"/>
        </w:rPr>
        <w:br w:type="page"/>
      </w:r>
    </w:p>
    <w:tbl>
      <w:tblPr>
        <w:tblStyle w:val="61"/>
        <w:tblW w:w="0" w:type="auto"/>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643"/>
        <w:gridCol w:w="4643"/>
      </w:tblGrid>
      <w:tr w14:paraId="257F68FF">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643" w:type="dxa"/>
            <w:tcBorders>
              <w:top w:val="nil"/>
              <w:left w:val="nil"/>
              <w:bottom w:val="nil"/>
              <w:right w:val="nil"/>
            </w:tcBorders>
            <w:shd w:val="clear" w:color="auto" w:fill="auto"/>
            <w:tcMar>
              <w:top w:w="80" w:type="dxa"/>
              <w:left w:w="80" w:type="dxa"/>
              <w:bottom w:w="80" w:type="dxa"/>
              <w:right w:w="80" w:type="dxa"/>
            </w:tcMar>
          </w:tcPr>
          <w:p w14:paraId="060FFBF0">
            <w:pPr>
              <w:pStyle w:val="419"/>
              <w:framePr w:wrap="auto" w:vAnchor="margin" w:hAnchor="text" w:yAlign="inline"/>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lang w:val="zh-TW"/>
              </w:rPr>
              <w:t>采购人（以下称甲方）</w:t>
            </w:r>
          </w:p>
        </w:tc>
        <w:tc>
          <w:tcPr>
            <w:tcW w:w="4643" w:type="dxa"/>
            <w:tcBorders>
              <w:top w:val="nil"/>
              <w:left w:val="nil"/>
              <w:bottom w:val="nil"/>
              <w:right w:val="nil"/>
            </w:tcBorders>
            <w:shd w:val="clear" w:color="auto" w:fill="auto"/>
            <w:tcMar>
              <w:top w:w="80" w:type="dxa"/>
              <w:left w:w="80" w:type="dxa"/>
              <w:bottom w:w="80" w:type="dxa"/>
              <w:right w:w="80" w:type="dxa"/>
            </w:tcMar>
          </w:tcPr>
          <w:p w14:paraId="298E05EE">
            <w:pPr>
              <w:pStyle w:val="419"/>
              <w:framePr w:wrap="auto" w:vAnchor="margin" w:hAnchor="text" w:yAlign="inline"/>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lang w:val="zh-TW"/>
              </w:rPr>
              <w:t>供应商：（以下称乙方）</w:t>
            </w:r>
          </w:p>
        </w:tc>
      </w:tr>
      <w:tr w14:paraId="07042962">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643" w:type="dxa"/>
            <w:tcBorders>
              <w:top w:val="nil"/>
              <w:left w:val="nil"/>
              <w:bottom w:val="nil"/>
              <w:right w:val="nil"/>
            </w:tcBorders>
            <w:shd w:val="clear" w:color="auto" w:fill="auto"/>
            <w:tcMar>
              <w:top w:w="80" w:type="dxa"/>
              <w:left w:w="80" w:type="dxa"/>
              <w:bottom w:w="80" w:type="dxa"/>
              <w:right w:w="80" w:type="dxa"/>
            </w:tcMar>
          </w:tcPr>
          <w:p w14:paraId="509F39CC">
            <w:pPr>
              <w:pStyle w:val="419"/>
              <w:framePr w:wrap="auto" w:vAnchor="margin" w:hAnchor="text" w:yAlign="inline"/>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lang w:val="zh-TW" w:eastAsia="zh-TW"/>
              </w:rPr>
              <w:t>住所地：</w:t>
            </w:r>
          </w:p>
        </w:tc>
        <w:tc>
          <w:tcPr>
            <w:tcW w:w="4643" w:type="dxa"/>
            <w:tcBorders>
              <w:top w:val="nil"/>
              <w:left w:val="nil"/>
              <w:bottom w:val="nil"/>
              <w:right w:val="nil"/>
            </w:tcBorders>
            <w:shd w:val="clear" w:color="auto" w:fill="auto"/>
            <w:tcMar>
              <w:top w:w="80" w:type="dxa"/>
              <w:left w:w="80" w:type="dxa"/>
              <w:bottom w:w="80" w:type="dxa"/>
              <w:right w:w="80" w:type="dxa"/>
            </w:tcMar>
          </w:tcPr>
          <w:p w14:paraId="2D75E7C7">
            <w:pPr>
              <w:pStyle w:val="419"/>
              <w:framePr w:wrap="auto" w:vAnchor="margin" w:hAnchor="text" w:yAlign="inline"/>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lang w:val="zh-TW" w:eastAsia="zh-TW"/>
              </w:rPr>
              <w:t>住所地</w:t>
            </w:r>
          </w:p>
        </w:tc>
      </w:tr>
    </w:tbl>
    <w:p w14:paraId="029BBC3E">
      <w:pPr>
        <w:pStyle w:val="419"/>
        <w:framePr w:wrap="auto" w:vAnchor="margin" w:hAnchor="text" w:yAlign="inline"/>
        <w:spacing w:line="360" w:lineRule="auto"/>
        <w:ind w:firstLine="480" w:firstLineChars="200"/>
        <w:rPr>
          <w:rFonts w:eastAsia="仿宋" w:cs="Times New Roman"/>
          <w:color w:val="auto"/>
          <w:sz w:val="24"/>
          <w:szCs w:val="24"/>
          <w:highlight w:val="none"/>
          <w:lang w:val="zh-TW" w:eastAsia="zh-TW"/>
        </w:rPr>
      </w:pPr>
    </w:p>
    <w:p w14:paraId="3C065535">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根据《中华人民共和国政府采购法》、《中华人民共和国民法典》等法律法规的规定，甲乙双方按照采购代理机构的</w:t>
      </w:r>
      <w:r>
        <w:rPr>
          <w:rFonts w:eastAsia="仿宋" w:cs="Times New Roman"/>
          <w:color w:val="auto"/>
          <w:sz w:val="24"/>
          <w:szCs w:val="24"/>
          <w:highlight w:val="none"/>
        </w:rPr>
        <w:t>采购</w:t>
      </w:r>
      <w:r>
        <w:rPr>
          <w:rFonts w:eastAsia="仿宋" w:cs="Times New Roman"/>
          <w:color w:val="auto"/>
          <w:sz w:val="24"/>
          <w:szCs w:val="24"/>
          <w:highlight w:val="none"/>
          <w:lang w:val="zh-TW"/>
        </w:rPr>
        <w:t>结果签订本合同。</w:t>
      </w:r>
    </w:p>
    <w:p w14:paraId="66AE66B9">
      <w:pPr>
        <w:pStyle w:val="419"/>
        <w:framePr w:wrap="auto" w:vAnchor="margin" w:hAnchor="text" w:yAlign="inline"/>
        <w:spacing w:line="360" w:lineRule="auto"/>
        <w:ind w:firstLine="482" w:firstLineChars="200"/>
        <w:rPr>
          <w:rFonts w:eastAsia="仿宋" w:cs="Times New Roman"/>
          <w:b/>
          <w:bCs/>
          <w:color w:val="auto"/>
          <w:sz w:val="24"/>
          <w:szCs w:val="24"/>
          <w:highlight w:val="none"/>
          <w:lang w:val="zh-TW"/>
        </w:rPr>
      </w:pPr>
      <w:r>
        <w:rPr>
          <w:rFonts w:eastAsia="仿宋" w:cs="Times New Roman"/>
          <w:b/>
          <w:bCs/>
          <w:color w:val="auto"/>
          <w:sz w:val="24"/>
          <w:szCs w:val="24"/>
          <w:highlight w:val="none"/>
          <w:lang w:val="zh-TW"/>
        </w:rPr>
        <w:t>第一条 合同标的</w:t>
      </w:r>
      <w:r>
        <w:rPr>
          <w:rFonts w:eastAsia="仿宋" w:cs="Times New Roman"/>
          <w:color w:val="auto"/>
          <w:sz w:val="24"/>
          <w:szCs w:val="24"/>
          <w:highlight w:val="none"/>
        </w:rPr>
        <w:t xml:space="preserve">  </w:t>
      </w:r>
      <w:r>
        <w:rPr>
          <w:rFonts w:eastAsia="仿宋" w:cs="Times New Roman"/>
          <w:color w:val="auto"/>
          <w:sz w:val="24"/>
          <w:szCs w:val="24"/>
          <w:highlight w:val="none"/>
          <w:lang w:val="zh-TW"/>
        </w:rPr>
        <w:t>乙方根据甲方需求提供下列服务：</w:t>
      </w:r>
      <w:r>
        <w:rPr>
          <w:rFonts w:hint="eastAsia" w:eastAsia="仿宋" w:cs="Times New Roman"/>
          <w:color w:val="auto"/>
          <w:sz w:val="24"/>
          <w:szCs w:val="24"/>
          <w:highlight w:val="none"/>
          <w:u w:val="single"/>
        </w:rPr>
        <w:t xml:space="preserve">雨花台区文化和旅游局雨花非遗・艺启同行—雨花台区非遗推广项目 </w:t>
      </w:r>
      <w:r>
        <w:rPr>
          <w:rFonts w:hint="eastAsia" w:eastAsia="仿宋" w:cs="Times New Roman"/>
          <w:color w:val="auto"/>
          <w:sz w:val="24"/>
          <w:szCs w:val="24"/>
          <w:highlight w:val="none"/>
          <w:u w:val="single"/>
          <w:lang w:eastAsia="zh-CN"/>
        </w:rPr>
        <w:t>，</w:t>
      </w:r>
      <w:r>
        <w:rPr>
          <w:rFonts w:eastAsia="仿宋" w:cs="Times New Roman"/>
          <w:color w:val="auto"/>
          <w:sz w:val="24"/>
          <w:szCs w:val="24"/>
          <w:highlight w:val="none"/>
          <w:lang w:val="zh-CN"/>
        </w:rPr>
        <w:t>服务内容详见乙方响应文件。</w:t>
      </w:r>
    </w:p>
    <w:p w14:paraId="43114DEC">
      <w:pPr>
        <w:pStyle w:val="419"/>
        <w:framePr w:wrap="auto" w:vAnchor="margin" w:hAnchor="text" w:yAlign="inline"/>
        <w:spacing w:line="360" w:lineRule="auto"/>
        <w:ind w:firstLine="482" w:firstLineChars="200"/>
        <w:jc w:val="left"/>
        <w:rPr>
          <w:rFonts w:eastAsia="仿宋" w:cs="Times New Roman"/>
          <w:color w:val="auto"/>
          <w:sz w:val="24"/>
          <w:szCs w:val="24"/>
          <w:highlight w:val="none"/>
          <w:lang w:val="zh-TW"/>
        </w:rPr>
      </w:pPr>
      <w:r>
        <w:rPr>
          <w:rFonts w:eastAsia="仿宋" w:cs="Times New Roman"/>
          <w:b/>
          <w:bCs/>
          <w:color w:val="auto"/>
          <w:sz w:val="24"/>
          <w:szCs w:val="24"/>
          <w:highlight w:val="none"/>
          <w:lang w:val="zh-TW"/>
        </w:rPr>
        <w:t>第二条 合同总价款</w:t>
      </w:r>
      <w:r>
        <w:rPr>
          <w:rFonts w:eastAsia="仿宋" w:cs="Times New Roman"/>
          <w:color w:val="auto"/>
          <w:sz w:val="24"/>
          <w:szCs w:val="24"/>
          <w:highlight w:val="none"/>
          <w:lang w:val="zh-TW"/>
        </w:rPr>
        <w:t xml:space="preserve">  本合同项下总价款为___________（大写）人民币，分项价款详见 《报价表》。</w:t>
      </w:r>
    </w:p>
    <w:p w14:paraId="6365A8A0">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本合同总价款包含以下内容：</w:t>
      </w:r>
    </w:p>
    <w:p w14:paraId="184ECF8E">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（1）完成本服务项目发生的所有含税费用；</w:t>
      </w:r>
    </w:p>
    <w:p w14:paraId="623ED5B9">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（2）支付给员工的工资和国家强制缴纳的各种社会保障资金；</w:t>
      </w:r>
    </w:p>
    <w:p w14:paraId="2833E100">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（3）乙方应当提供的伴随服务/售后服务费用；</w:t>
      </w:r>
    </w:p>
    <w:p w14:paraId="0A5906A1">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（4）供应商认为需要的其他费用。</w:t>
      </w:r>
    </w:p>
    <w:p w14:paraId="0FE7A343">
      <w:pPr>
        <w:pStyle w:val="419"/>
        <w:framePr w:wrap="auto" w:vAnchor="margin" w:hAnchor="text" w:yAlign="inline"/>
        <w:spacing w:line="360" w:lineRule="auto"/>
        <w:ind w:firstLine="480" w:firstLineChars="200"/>
        <w:rPr>
          <w:rFonts w:eastAsia="仿宋" w:cs="Times New Roman"/>
          <w:color w:val="auto"/>
          <w:sz w:val="24"/>
          <w:szCs w:val="24"/>
          <w:highlight w:val="none"/>
          <w:lang w:val="zh-TW"/>
        </w:rPr>
      </w:pPr>
      <w:r>
        <w:rPr>
          <w:rFonts w:eastAsia="仿宋" w:cs="Times New Roman"/>
          <w:color w:val="auto"/>
          <w:sz w:val="24"/>
          <w:szCs w:val="24"/>
          <w:highlight w:val="none"/>
          <w:lang w:val="zh-TW"/>
        </w:rPr>
        <w:t>甲方除此费用外不再向乙方支付其他任何费用。</w:t>
      </w:r>
    </w:p>
    <w:p w14:paraId="5B5821B8">
      <w:pPr>
        <w:pStyle w:val="419"/>
        <w:framePr w:wrap="auto" w:vAnchor="margin" w:hAnchor="text" w:yAlign="inline"/>
        <w:spacing w:line="360" w:lineRule="auto"/>
        <w:ind w:firstLine="482" w:firstLineChars="200"/>
        <w:rPr>
          <w:rFonts w:eastAsia="仿宋" w:cs="Times New Roman"/>
          <w:color w:val="auto"/>
          <w:sz w:val="24"/>
          <w:szCs w:val="24"/>
          <w:highlight w:val="none"/>
        </w:rPr>
      </w:pPr>
      <w:r>
        <w:rPr>
          <w:rFonts w:eastAsia="仿宋" w:cs="Times New Roman"/>
          <w:b/>
          <w:bCs/>
          <w:color w:val="auto"/>
          <w:sz w:val="24"/>
          <w:szCs w:val="24"/>
          <w:highlight w:val="none"/>
          <w:lang w:val="zh-TW"/>
        </w:rPr>
        <w:t>第三条 合同期限</w:t>
      </w:r>
      <w:r>
        <w:rPr>
          <w:rFonts w:eastAsia="仿宋" w:cs="Times New Roman"/>
          <w:b/>
          <w:bCs/>
          <w:color w:val="auto"/>
          <w:sz w:val="24"/>
          <w:szCs w:val="24"/>
          <w:highlight w:val="none"/>
        </w:rPr>
        <w:t xml:space="preserve">  </w:t>
      </w:r>
      <w:r>
        <w:rPr>
          <w:rFonts w:hint="eastAsia" w:eastAsia="仿宋" w:cs="Times New Roman"/>
          <w:b w:val="0"/>
          <w:bCs w:val="0"/>
          <w:color w:val="auto"/>
          <w:sz w:val="24"/>
          <w:szCs w:val="24"/>
          <w:highlight w:val="none"/>
          <w:u w:val="none" w:color="auto"/>
          <w:lang w:val="en-US" w:eastAsia="zh-CN"/>
        </w:rPr>
        <w:t>2025年   月   月</w:t>
      </w:r>
      <w:r>
        <w:rPr>
          <w:rFonts w:eastAsia="仿宋" w:cs="Times New Roman"/>
          <w:color w:val="auto"/>
          <w:sz w:val="24"/>
          <w:szCs w:val="24"/>
          <w:highlight w:val="none"/>
        </w:rPr>
        <w:t>至</w:t>
      </w:r>
      <w:r>
        <w:rPr>
          <w:rFonts w:hint="eastAsia" w:eastAsia="仿宋" w:cs="Times New Roman"/>
          <w:color w:val="auto"/>
          <w:sz w:val="24"/>
          <w:szCs w:val="24"/>
          <w:highlight w:val="none"/>
        </w:rPr>
        <w:t>202</w:t>
      </w:r>
      <w:r>
        <w:rPr>
          <w:rFonts w:hint="eastAsia" w:eastAsia="仿宋" w:cs="Times New Roman"/>
          <w:color w:val="auto"/>
          <w:sz w:val="24"/>
          <w:szCs w:val="24"/>
          <w:highlight w:val="none"/>
          <w:lang w:val="en-US" w:eastAsia="zh-CN"/>
        </w:rPr>
        <w:t>6</w:t>
      </w:r>
      <w:r>
        <w:rPr>
          <w:rFonts w:hint="eastAsia" w:eastAsia="仿宋" w:cs="Times New Roman"/>
          <w:color w:val="auto"/>
          <w:sz w:val="24"/>
          <w:szCs w:val="24"/>
          <w:highlight w:val="none"/>
        </w:rPr>
        <w:t>年</w:t>
      </w:r>
      <w:r>
        <w:rPr>
          <w:rFonts w:hint="eastAsia" w:eastAsia="仿宋" w:cs="Times New Roman"/>
          <w:color w:val="auto"/>
          <w:sz w:val="24"/>
          <w:szCs w:val="24"/>
          <w:highlight w:val="none"/>
          <w:lang w:val="en-US" w:eastAsia="zh-CN"/>
        </w:rPr>
        <w:t xml:space="preserve"> </w:t>
      </w:r>
      <w:r>
        <w:rPr>
          <w:rFonts w:hint="eastAsia" w:eastAsia="仿宋" w:cs="Times New Roman"/>
          <w:color w:val="auto"/>
          <w:sz w:val="24"/>
          <w:szCs w:val="24"/>
          <w:highlight w:val="none"/>
        </w:rPr>
        <w:t>月</w:t>
      </w:r>
      <w:r>
        <w:rPr>
          <w:rFonts w:hint="eastAsia" w:eastAsia="仿宋" w:cs="Times New Roman"/>
          <w:color w:val="auto"/>
          <w:sz w:val="24"/>
          <w:szCs w:val="24"/>
          <w:highlight w:val="none"/>
          <w:lang w:val="en-US" w:eastAsia="zh-CN"/>
        </w:rPr>
        <w:t xml:space="preserve">   日止</w:t>
      </w:r>
      <w:r>
        <w:rPr>
          <w:rFonts w:eastAsia="仿宋" w:cs="Times New Roman"/>
          <w:color w:val="auto"/>
          <w:sz w:val="24"/>
          <w:szCs w:val="24"/>
          <w:highlight w:val="none"/>
        </w:rPr>
        <w:t>。</w:t>
      </w:r>
    </w:p>
    <w:p w14:paraId="7473CCC7">
      <w:pPr>
        <w:pStyle w:val="419"/>
        <w:framePr w:wrap="auto" w:vAnchor="margin" w:hAnchor="text" w:yAlign="inline"/>
        <w:spacing w:line="360" w:lineRule="auto"/>
        <w:ind w:firstLine="482" w:firstLineChars="200"/>
        <w:rPr>
          <w:rFonts w:eastAsia="仿宋" w:cs="Times New Roman"/>
          <w:color w:val="auto"/>
          <w:sz w:val="24"/>
          <w:szCs w:val="24"/>
          <w:highlight w:val="none"/>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四</w:t>
      </w:r>
      <w:r>
        <w:rPr>
          <w:rFonts w:eastAsia="仿宋" w:cs="Times New Roman"/>
          <w:b/>
          <w:bCs/>
          <w:color w:val="auto"/>
          <w:sz w:val="24"/>
          <w:szCs w:val="24"/>
          <w:highlight w:val="none"/>
          <w:lang w:val="zh-TW"/>
        </w:rPr>
        <w:t>条 组成本合同的有关文件</w:t>
      </w:r>
      <w:r>
        <w:rPr>
          <w:rFonts w:eastAsia="仿宋" w:cs="Times New Roman"/>
          <w:color w:val="auto"/>
          <w:sz w:val="24"/>
          <w:szCs w:val="24"/>
          <w:highlight w:val="none"/>
          <w:lang w:val="zh-TW"/>
        </w:rPr>
        <w:t xml:space="preserve">  采购、响应文件，以及与本次采购活动相关的文件及有关附件是本合同不可分割的组成部分，与本合同具有同等法律效力，这些文件包括但不限于：</w:t>
      </w:r>
    </w:p>
    <w:p w14:paraId="4D2D134F">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（1）响应文件和报价表；</w:t>
      </w:r>
    </w:p>
    <w:p w14:paraId="0542CCB2">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（2）服务一览表；</w:t>
      </w:r>
    </w:p>
    <w:p w14:paraId="0245AA0B">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（3）交付一览表；</w:t>
      </w:r>
    </w:p>
    <w:p w14:paraId="0633E076">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（4）技术规格响应表；</w:t>
      </w:r>
    </w:p>
    <w:p w14:paraId="5DF1A4B6">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（5）响应承诺；</w:t>
      </w:r>
    </w:p>
    <w:p w14:paraId="5CFE3E41">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（6）服务承诺；</w:t>
      </w:r>
    </w:p>
    <w:p w14:paraId="2332C53F">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（7）成交通知书；</w:t>
      </w:r>
    </w:p>
    <w:p w14:paraId="2183F5BB">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（8）甲乙双方商定的其它文件。</w:t>
      </w:r>
    </w:p>
    <w:p w14:paraId="00065B1E">
      <w:pPr>
        <w:pStyle w:val="420"/>
        <w:framePr w:wrap="auto" w:vAnchor="margin" w:hAnchor="text" w:yAlign="inline"/>
        <w:ind w:left="0" w:leftChars="0" w:firstLine="0" w:firstLineChars="0"/>
        <w:rPr>
          <w:rFonts w:ascii="Times New Roman" w:hAnsi="Times New Roman" w:eastAsia="仿宋" w:cs="Times New Roman"/>
          <w:color w:val="auto"/>
          <w:kern w:val="2"/>
          <w:sz w:val="24"/>
          <w:szCs w:val="24"/>
          <w:highlight w:val="none"/>
          <w:u w:color="000000"/>
          <w:lang w:val="zh-TW" w:eastAsia="zh-CN" w:bidi="ar-SA"/>
        </w:rPr>
      </w:pPr>
      <w:r>
        <w:rPr>
          <w:rFonts w:hint="eastAsia" w:ascii="Times New Roman" w:hAnsi="Times New Roman" w:eastAsia="仿宋" w:cs="Times New Roman"/>
          <w:color w:val="auto"/>
          <w:kern w:val="2"/>
          <w:sz w:val="24"/>
          <w:szCs w:val="24"/>
          <w:highlight w:val="none"/>
          <w:u w:color="000000"/>
          <w:lang w:val="zh-TW" w:eastAsia="zh-CN" w:bidi="ar-SA"/>
        </w:rPr>
        <w:t>上述组成本合同的文件如有不一致之处，以甲方指定为准</w:t>
      </w:r>
    </w:p>
    <w:p w14:paraId="3971247D">
      <w:pPr>
        <w:pStyle w:val="419"/>
        <w:framePr w:wrap="auto" w:vAnchor="margin" w:hAnchor="text" w:yAlign="inline"/>
        <w:spacing w:line="360" w:lineRule="auto"/>
        <w:ind w:firstLine="482" w:firstLineChars="200"/>
        <w:jc w:val="left"/>
        <w:rPr>
          <w:rFonts w:eastAsia="仿宋" w:cs="Times New Roman"/>
          <w:b/>
          <w:bCs/>
          <w:color w:val="auto"/>
          <w:sz w:val="24"/>
          <w:szCs w:val="24"/>
          <w:highlight w:val="none"/>
          <w:lang w:val="zh-TW"/>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五</w:t>
      </w:r>
      <w:r>
        <w:rPr>
          <w:rFonts w:eastAsia="仿宋" w:cs="Times New Roman"/>
          <w:b/>
          <w:bCs/>
          <w:color w:val="auto"/>
          <w:sz w:val="24"/>
          <w:szCs w:val="24"/>
          <w:highlight w:val="none"/>
          <w:lang w:val="zh-TW"/>
        </w:rPr>
        <w:t>条 权利保证</w:t>
      </w:r>
    </w:p>
    <w:p w14:paraId="488AA45E">
      <w:pPr>
        <w:pStyle w:val="419"/>
        <w:framePr w:wrap="auto" w:vAnchor="margin" w:hAnchor="text" w:yAlign="inline"/>
        <w:spacing w:line="360" w:lineRule="auto"/>
        <w:ind w:firstLine="480" w:firstLineChars="200"/>
        <w:jc w:val="left"/>
        <w:rPr>
          <w:rFonts w:hint="default" w:eastAsia="仿宋" w:cs="Times New Roman"/>
          <w:color w:val="auto"/>
          <w:sz w:val="24"/>
          <w:szCs w:val="24"/>
          <w:highlight w:val="none"/>
          <w:lang w:val="en-US" w:eastAsia="zh-CN"/>
        </w:rPr>
      </w:pPr>
      <w:r>
        <w:rPr>
          <w:rFonts w:eastAsia="仿宋" w:cs="Times New Roman"/>
          <w:color w:val="auto"/>
          <w:sz w:val="24"/>
          <w:szCs w:val="24"/>
          <w:highlight w:val="none"/>
          <w:lang w:val="zh-TW"/>
        </w:rPr>
        <w:t>乙方应保证向甲方提供的本合同项下服务任何一部分时不受第三方提出侵犯其专利权、版权、商标权或其他权利的起诉。一旦出现侵权，乙方应承担全部责任</w:t>
      </w:r>
      <w:r>
        <w:rPr>
          <w:rFonts w:hint="eastAsia" w:eastAsia="仿宋" w:cs="Times New Roman"/>
          <w:color w:val="auto"/>
          <w:sz w:val="24"/>
          <w:szCs w:val="24"/>
          <w:highlight w:val="none"/>
          <w:lang w:val="zh-TW" w:eastAsia="zh-CN"/>
        </w:rPr>
        <w:t>，同时乙方应承担合同总价款</w:t>
      </w:r>
      <w:r>
        <w:rPr>
          <w:rFonts w:hint="eastAsia" w:eastAsia="仿宋" w:cs="Times New Roman"/>
          <w:color w:val="auto"/>
          <w:sz w:val="24"/>
          <w:szCs w:val="24"/>
          <w:highlight w:val="none"/>
          <w:lang w:val="en-US" w:eastAsia="zh-CN"/>
        </w:rPr>
        <w:t>10</w:t>
      </w:r>
      <w:r>
        <w:rPr>
          <w:rFonts w:hint="eastAsia" w:eastAsia="仿宋" w:cs="Times New Roman"/>
          <w:color w:val="auto"/>
          <w:sz w:val="24"/>
          <w:szCs w:val="24"/>
          <w:highlight w:val="none"/>
          <w:lang w:val="zh-TW" w:eastAsia="zh-CN"/>
        </w:rPr>
        <w:t>%的违约责任，若违约责任无法弥补甲方全部损失的，乙方应足额赔偿。</w:t>
      </w:r>
    </w:p>
    <w:p w14:paraId="18346625">
      <w:pPr>
        <w:pStyle w:val="419"/>
        <w:framePr w:wrap="auto" w:vAnchor="margin" w:hAnchor="text" w:yAlign="inline"/>
        <w:spacing w:line="360" w:lineRule="auto"/>
        <w:ind w:firstLine="482" w:firstLineChars="200"/>
        <w:jc w:val="left"/>
        <w:rPr>
          <w:rFonts w:eastAsia="仿宋" w:cs="Times New Roman"/>
          <w:b/>
          <w:bCs/>
          <w:color w:val="auto"/>
          <w:sz w:val="24"/>
          <w:szCs w:val="24"/>
          <w:highlight w:val="none"/>
          <w:lang w:val="zh-TW"/>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六</w:t>
      </w:r>
      <w:r>
        <w:rPr>
          <w:rFonts w:eastAsia="仿宋" w:cs="Times New Roman"/>
          <w:b/>
          <w:bCs/>
          <w:color w:val="auto"/>
          <w:sz w:val="24"/>
          <w:szCs w:val="24"/>
          <w:highlight w:val="none"/>
          <w:lang w:val="zh-TW"/>
        </w:rPr>
        <w:t>条 质量保证</w:t>
      </w:r>
    </w:p>
    <w:p w14:paraId="4A14329B">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乙方所提供的服务的技术规格应与采购文件规定的技术规格相一致；若技术性能无特殊说明，则按国家有关部门最新颁布的标准及规范及甲方需求为准。</w:t>
      </w:r>
    </w:p>
    <w:p w14:paraId="6B72E843">
      <w:pPr>
        <w:pStyle w:val="419"/>
        <w:framePr w:wrap="auto" w:vAnchor="margin" w:hAnchor="text" w:yAlign="inline"/>
        <w:spacing w:line="360" w:lineRule="auto"/>
        <w:ind w:firstLine="482" w:firstLineChars="200"/>
        <w:jc w:val="left"/>
        <w:rPr>
          <w:rFonts w:hint="default" w:eastAsia="仿宋" w:cs="Times New Roman"/>
          <w:b/>
          <w:bCs/>
          <w:color w:val="auto"/>
          <w:sz w:val="24"/>
          <w:szCs w:val="24"/>
          <w:highlight w:val="none"/>
          <w:lang w:val="en-US" w:eastAsia="zh-CN"/>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七</w:t>
      </w:r>
      <w:r>
        <w:rPr>
          <w:rFonts w:eastAsia="仿宋" w:cs="Times New Roman"/>
          <w:b/>
          <w:bCs/>
          <w:color w:val="auto"/>
          <w:sz w:val="24"/>
          <w:szCs w:val="24"/>
          <w:highlight w:val="none"/>
          <w:lang w:val="zh-TW"/>
        </w:rPr>
        <w:t>条</w:t>
      </w:r>
      <w:r>
        <w:rPr>
          <w:rFonts w:hint="eastAsia" w:eastAsia="仿宋" w:cs="Times New Roman"/>
          <w:b/>
          <w:bCs/>
          <w:color w:val="auto"/>
          <w:sz w:val="24"/>
          <w:szCs w:val="24"/>
          <w:highlight w:val="none"/>
          <w:lang w:val="en-US" w:eastAsia="zh-CN"/>
        </w:rPr>
        <w:t xml:space="preserve"> 交付使用和验收</w:t>
      </w:r>
    </w:p>
    <w:p w14:paraId="3E0F61B9">
      <w:pPr>
        <w:pStyle w:val="419"/>
        <w:framePr w:wrap="auto" w:vAnchor="margin" w:hAnchor="text" w:yAlign="inline"/>
        <w:spacing w:line="360" w:lineRule="auto"/>
        <w:ind w:firstLine="480" w:firstLineChars="200"/>
        <w:jc w:val="left"/>
        <w:rPr>
          <w:rFonts w:hint="eastAsia" w:eastAsia="仿宋" w:cs="Times New Roman"/>
          <w:color w:val="auto"/>
          <w:sz w:val="24"/>
          <w:szCs w:val="24"/>
          <w:highlight w:val="none"/>
        </w:rPr>
      </w:pPr>
      <w:r>
        <w:rPr>
          <w:rFonts w:eastAsia="仿宋" w:cs="Times New Roman"/>
          <w:color w:val="auto"/>
          <w:sz w:val="24"/>
          <w:szCs w:val="24"/>
          <w:highlight w:val="none"/>
        </w:rPr>
        <w:t>1.</w:t>
      </w:r>
      <w:r>
        <w:rPr>
          <w:rFonts w:hint="eastAsia" w:eastAsia="仿宋" w:cs="Times New Roman"/>
          <w:color w:val="auto"/>
          <w:sz w:val="24"/>
          <w:szCs w:val="24"/>
          <w:highlight w:val="none"/>
        </w:rPr>
        <w:t>2025年   月   月至2026年 月   日止。</w:t>
      </w:r>
    </w:p>
    <w:p w14:paraId="745B69DF">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rPr>
        <w:t>甲方</w:t>
      </w:r>
      <w:r>
        <w:rPr>
          <w:rFonts w:eastAsia="仿宋" w:cs="Times New Roman"/>
          <w:color w:val="auto"/>
          <w:sz w:val="24"/>
          <w:szCs w:val="24"/>
          <w:highlight w:val="none"/>
          <w:lang w:val="zh-TW"/>
        </w:rPr>
        <w:t>严格按照响应文件与招标采购文件对比验收，保留邀请第三方质检部门验收的权利。</w:t>
      </w:r>
    </w:p>
    <w:p w14:paraId="64670BFB">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2</w:t>
      </w:r>
      <w:r>
        <w:rPr>
          <w:rFonts w:eastAsia="仿宋" w:cs="Times New Roman"/>
          <w:color w:val="auto"/>
          <w:sz w:val="24"/>
          <w:szCs w:val="24"/>
          <w:highlight w:val="none"/>
        </w:rPr>
        <w:t>.</w:t>
      </w:r>
      <w:r>
        <w:rPr>
          <w:rFonts w:eastAsia="仿宋" w:cs="Times New Roman"/>
          <w:color w:val="auto"/>
          <w:sz w:val="24"/>
          <w:szCs w:val="24"/>
          <w:highlight w:val="none"/>
          <w:lang w:val="zh-TW"/>
        </w:rPr>
        <w:t>验收标准：按行业通行标准、采购文件、甲方认可的设计制作方案和乙方响应文件的承诺（详见合同附件载明的标准，并不低于国家相关标准）。</w:t>
      </w:r>
    </w:p>
    <w:p w14:paraId="6506B85B">
      <w:pPr>
        <w:pStyle w:val="419"/>
        <w:framePr w:wrap="auto" w:vAnchor="margin" w:hAnchor="text" w:yAlign="inline"/>
        <w:spacing w:line="360" w:lineRule="auto"/>
        <w:ind w:firstLine="482" w:firstLineChars="200"/>
        <w:jc w:val="left"/>
        <w:rPr>
          <w:rFonts w:eastAsia="仿宋" w:cs="Times New Roman"/>
          <w:b/>
          <w:bCs/>
          <w:i/>
          <w:iCs/>
          <w:color w:val="auto"/>
          <w:sz w:val="24"/>
          <w:szCs w:val="24"/>
          <w:highlight w:val="none"/>
          <w:lang w:val="zh-TW"/>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八</w:t>
      </w:r>
      <w:r>
        <w:rPr>
          <w:rFonts w:eastAsia="仿宋" w:cs="Times New Roman"/>
          <w:b/>
          <w:bCs/>
          <w:color w:val="auto"/>
          <w:sz w:val="24"/>
          <w:szCs w:val="24"/>
          <w:highlight w:val="none"/>
          <w:lang w:val="zh-TW"/>
        </w:rPr>
        <w:t>条 合同款支付</w:t>
      </w:r>
    </w:p>
    <w:p w14:paraId="6843B7EA">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1.本合同项下所有款项均以人民币支付。</w:t>
      </w:r>
    </w:p>
    <w:p w14:paraId="3054EEF3">
      <w:pPr>
        <w:pStyle w:val="419"/>
        <w:framePr w:wrap="auto" w:vAnchor="margin" w:hAnchor="text" w:yAlign="inline"/>
        <w:spacing w:line="360" w:lineRule="auto"/>
        <w:ind w:firstLine="480" w:firstLineChars="200"/>
        <w:jc w:val="left"/>
        <w:rPr>
          <w:rFonts w:eastAsia="仿宋" w:cs="Times New Roman"/>
          <w:color w:val="auto"/>
          <w:sz w:val="24"/>
          <w:szCs w:val="24"/>
          <w:highlight w:val="none"/>
          <w:lang w:val="zh-TW"/>
        </w:rPr>
      </w:pPr>
      <w:r>
        <w:rPr>
          <w:rFonts w:eastAsia="仿宋" w:cs="Times New Roman"/>
          <w:color w:val="auto"/>
          <w:sz w:val="24"/>
          <w:szCs w:val="24"/>
          <w:highlight w:val="none"/>
          <w:lang w:val="zh-TW"/>
        </w:rPr>
        <w:t>2.本合同项下的采购资金由甲方自行支付，乙方向甲方开具发票。</w:t>
      </w:r>
    </w:p>
    <w:p w14:paraId="767DEBDA">
      <w:pPr>
        <w:pStyle w:val="419"/>
        <w:framePr w:wrap="auto" w:vAnchor="margin" w:hAnchor="text" w:yAlign="inline"/>
        <w:spacing w:line="360" w:lineRule="auto"/>
        <w:ind w:firstLine="482" w:firstLineChars="200"/>
        <w:jc w:val="left"/>
        <w:rPr>
          <w:rFonts w:eastAsia="仿宋" w:cs="Times New Roman"/>
          <w:b w:val="0"/>
          <w:bCs w:val="0"/>
          <w:color w:val="auto"/>
          <w:sz w:val="24"/>
          <w:szCs w:val="24"/>
          <w:highlight w:val="none"/>
          <w:lang w:val="zh-TW"/>
        </w:rPr>
      </w:pPr>
      <w:r>
        <w:rPr>
          <w:rFonts w:eastAsia="仿宋" w:cs="Times New Roman"/>
          <w:b/>
          <w:bCs/>
          <w:color w:val="auto"/>
          <w:sz w:val="24"/>
          <w:szCs w:val="24"/>
          <w:highlight w:val="none"/>
        </w:rPr>
        <w:t>3</w:t>
      </w:r>
      <w:r>
        <w:rPr>
          <w:rFonts w:eastAsia="仿宋" w:cs="Times New Roman"/>
          <w:b/>
          <w:bCs/>
          <w:color w:val="auto"/>
          <w:sz w:val="24"/>
          <w:szCs w:val="24"/>
          <w:highlight w:val="none"/>
          <w:lang w:val="zh-TW"/>
        </w:rPr>
        <w:t>.付款</w:t>
      </w:r>
      <w:r>
        <w:rPr>
          <w:rFonts w:eastAsia="仿宋" w:cs="Times New Roman"/>
          <w:b/>
          <w:bCs/>
          <w:color w:val="auto"/>
          <w:sz w:val="24"/>
          <w:szCs w:val="24"/>
          <w:highlight w:val="none"/>
        </w:rPr>
        <w:t>方式</w:t>
      </w:r>
      <w:r>
        <w:rPr>
          <w:rFonts w:eastAsia="仿宋" w:cs="Times New Roman"/>
          <w:b/>
          <w:bCs/>
          <w:color w:val="auto"/>
          <w:sz w:val="24"/>
          <w:szCs w:val="24"/>
          <w:highlight w:val="none"/>
          <w:lang w:val="zh-TW"/>
        </w:rPr>
        <w:t>：</w:t>
      </w:r>
      <w:r>
        <w:rPr>
          <w:rFonts w:eastAsia="仿宋" w:cs="Times New Roman"/>
          <w:b w:val="0"/>
          <w:bCs w:val="0"/>
          <w:color w:val="auto"/>
          <w:sz w:val="24"/>
          <w:szCs w:val="24"/>
          <w:highlight w:val="none"/>
          <w:lang w:val="zh-TW"/>
        </w:rPr>
        <w:t>合同签订后</w:t>
      </w:r>
      <w:r>
        <w:rPr>
          <w:rFonts w:hint="eastAsia" w:eastAsia="仿宋" w:cs="Times New Roman"/>
          <w:b w:val="0"/>
          <w:bCs w:val="0"/>
          <w:color w:val="auto"/>
          <w:sz w:val="24"/>
          <w:szCs w:val="24"/>
          <w:highlight w:val="none"/>
          <w:lang w:val="zh-TW"/>
        </w:rPr>
        <w:t>，</w:t>
      </w:r>
      <w:r>
        <w:rPr>
          <w:rFonts w:eastAsia="仿宋" w:cs="Times New Roman"/>
          <w:b w:val="0"/>
          <w:bCs w:val="0"/>
          <w:color w:val="auto"/>
          <w:sz w:val="24"/>
          <w:szCs w:val="24"/>
          <w:highlight w:val="none"/>
        </w:rPr>
        <w:t>甲方</w:t>
      </w:r>
      <w:r>
        <w:rPr>
          <w:rFonts w:eastAsia="仿宋" w:cs="Times New Roman"/>
          <w:b w:val="0"/>
          <w:bCs w:val="0"/>
          <w:color w:val="auto"/>
          <w:sz w:val="24"/>
          <w:szCs w:val="24"/>
          <w:highlight w:val="none"/>
          <w:lang w:val="zh-TW"/>
        </w:rPr>
        <w:t>向</w:t>
      </w:r>
      <w:r>
        <w:rPr>
          <w:rFonts w:eastAsia="仿宋" w:cs="Times New Roman"/>
          <w:b w:val="0"/>
          <w:bCs w:val="0"/>
          <w:color w:val="auto"/>
          <w:sz w:val="24"/>
          <w:szCs w:val="24"/>
          <w:highlight w:val="none"/>
        </w:rPr>
        <w:t>乙方</w:t>
      </w:r>
      <w:r>
        <w:rPr>
          <w:rFonts w:eastAsia="仿宋" w:cs="Times New Roman"/>
          <w:b w:val="0"/>
          <w:bCs w:val="0"/>
          <w:color w:val="auto"/>
          <w:sz w:val="24"/>
          <w:szCs w:val="24"/>
          <w:highlight w:val="none"/>
          <w:lang w:val="zh-TW"/>
        </w:rPr>
        <w:t>支付合同总额的</w:t>
      </w:r>
      <w:r>
        <w:rPr>
          <w:rFonts w:hint="eastAsia" w:eastAsia="仿宋" w:cs="Times New Roman"/>
          <w:b w:val="0"/>
          <w:bCs w:val="0"/>
          <w:color w:val="auto"/>
          <w:sz w:val="24"/>
          <w:szCs w:val="24"/>
          <w:highlight w:val="none"/>
        </w:rPr>
        <w:t>40</w:t>
      </w:r>
      <w:r>
        <w:rPr>
          <w:rFonts w:eastAsia="仿宋" w:cs="Times New Roman"/>
          <w:b w:val="0"/>
          <w:bCs w:val="0"/>
          <w:color w:val="auto"/>
          <w:sz w:val="24"/>
          <w:szCs w:val="24"/>
          <w:highlight w:val="none"/>
          <w:lang w:val="zh-TW"/>
        </w:rPr>
        <w:t>%</w:t>
      </w:r>
      <w:r>
        <w:rPr>
          <w:rFonts w:hint="eastAsia" w:eastAsia="仿宋" w:cs="Times New Roman"/>
          <w:b w:val="0"/>
          <w:bCs w:val="0"/>
          <w:color w:val="auto"/>
          <w:sz w:val="24"/>
          <w:szCs w:val="24"/>
          <w:highlight w:val="none"/>
          <w:lang w:val="zh-TW" w:eastAsia="zh-CN"/>
        </w:rPr>
        <w:t>，</w:t>
      </w:r>
      <w:r>
        <w:rPr>
          <w:rFonts w:hint="eastAsia" w:eastAsia="仿宋" w:cs="Times New Roman"/>
          <w:b w:val="0"/>
          <w:bCs w:val="0"/>
          <w:color w:val="auto"/>
          <w:sz w:val="24"/>
          <w:szCs w:val="24"/>
          <w:highlight w:val="none"/>
          <w:lang w:val="en-US" w:eastAsia="zh-CN"/>
        </w:rPr>
        <w:t>即</w:t>
      </w:r>
      <w:r>
        <w:rPr>
          <w:rFonts w:hint="eastAsia" w:eastAsia="仿宋" w:cs="Times New Roman"/>
          <w:b w:val="0"/>
          <w:bCs w:val="0"/>
          <w:color w:val="auto"/>
          <w:sz w:val="24"/>
          <w:szCs w:val="24"/>
          <w:highlight w:val="none"/>
          <w:u w:val="single" w:color="auto"/>
          <w:lang w:val="en-US" w:eastAsia="zh-CN"/>
        </w:rPr>
        <w:t xml:space="preserve">     元</w:t>
      </w:r>
      <w:r>
        <w:rPr>
          <w:rFonts w:eastAsia="仿宋" w:cs="Times New Roman"/>
          <w:b w:val="0"/>
          <w:bCs w:val="0"/>
          <w:color w:val="auto"/>
          <w:sz w:val="24"/>
          <w:szCs w:val="24"/>
          <w:highlight w:val="none"/>
          <w:lang w:val="zh-TW"/>
        </w:rPr>
        <w:t>，作为启动资金；</w:t>
      </w:r>
      <w:r>
        <w:rPr>
          <w:rFonts w:hint="eastAsia" w:eastAsia="仿宋" w:cs="Times New Roman"/>
          <w:b w:val="0"/>
          <w:bCs w:val="0"/>
          <w:color w:val="auto"/>
          <w:sz w:val="24"/>
          <w:szCs w:val="24"/>
          <w:highlight w:val="none"/>
        </w:rPr>
        <w:t>项目执行过半后</w:t>
      </w:r>
      <w:r>
        <w:rPr>
          <w:rFonts w:hint="eastAsia" w:eastAsia="仿宋" w:cs="Times New Roman"/>
          <w:b w:val="0"/>
          <w:bCs w:val="0"/>
          <w:color w:val="auto"/>
          <w:sz w:val="24"/>
          <w:szCs w:val="24"/>
          <w:highlight w:val="none"/>
          <w:lang w:eastAsia="zh-CN"/>
        </w:rPr>
        <w:t>、</w:t>
      </w:r>
      <w:r>
        <w:rPr>
          <w:rFonts w:hint="eastAsia" w:eastAsia="仿宋" w:cs="Times New Roman"/>
          <w:b w:val="0"/>
          <w:bCs w:val="0"/>
          <w:color w:val="auto"/>
          <w:sz w:val="24"/>
          <w:szCs w:val="24"/>
          <w:highlight w:val="none"/>
          <w:lang w:val="en-US" w:eastAsia="zh-CN"/>
        </w:rPr>
        <w:t>经甲方验收合同后</w:t>
      </w:r>
      <w:r>
        <w:rPr>
          <w:rFonts w:hint="eastAsia" w:eastAsia="仿宋" w:cs="Times New Roman"/>
          <w:b w:val="0"/>
          <w:bCs w:val="0"/>
          <w:color w:val="auto"/>
          <w:sz w:val="24"/>
          <w:szCs w:val="24"/>
          <w:highlight w:val="none"/>
        </w:rPr>
        <w:t>支付合同总额的</w:t>
      </w:r>
      <w:r>
        <w:rPr>
          <w:rFonts w:hint="eastAsia" w:eastAsia="仿宋" w:cs="Times New Roman"/>
          <w:b w:val="0"/>
          <w:bCs w:val="0"/>
          <w:color w:val="auto"/>
          <w:sz w:val="24"/>
          <w:szCs w:val="24"/>
          <w:highlight w:val="none"/>
          <w:lang w:val="en-US" w:eastAsia="zh-CN"/>
        </w:rPr>
        <w:t>3</w:t>
      </w:r>
      <w:r>
        <w:rPr>
          <w:rFonts w:hint="eastAsia" w:eastAsia="仿宋" w:cs="Times New Roman"/>
          <w:b w:val="0"/>
          <w:bCs w:val="0"/>
          <w:color w:val="auto"/>
          <w:sz w:val="24"/>
          <w:szCs w:val="24"/>
          <w:highlight w:val="none"/>
        </w:rPr>
        <w:t>0%</w:t>
      </w:r>
      <w:r>
        <w:rPr>
          <w:rFonts w:hint="eastAsia" w:eastAsia="仿宋" w:cs="Times New Roman"/>
          <w:b w:val="0"/>
          <w:bCs w:val="0"/>
          <w:color w:val="auto"/>
          <w:sz w:val="24"/>
          <w:szCs w:val="24"/>
          <w:highlight w:val="none"/>
          <w:lang w:eastAsia="zh-CN"/>
        </w:rPr>
        <w:t>，</w:t>
      </w:r>
      <w:r>
        <w:rPr>
          <w:rFonts w:hint="eastAsia" w:eastAsia="仿宋" w:cs="Times New Roman"/>
          <w:b w:val="0"/>
          <w:bCs w:val="0"/>
          <w:color w:val="auto"/>
          <w:sz w:val="24"/>
          <w:szCs w:val="24"/>
          <w:highlight w:val="none"/>
          <w:lang w:val="en-US" w:eastAsia="zh-CN"/>
        </w:rPr>
        <w:t>即</w:t>
      </w:r>
      <w:r>
        <w:rPr>
          <w:rFonts w:hint="eastAsia" w:eastAsia="仿宋" w:cs="Times New Roman"/>
          <w:b w:val="0"/>
          <w:bCs w:val="0"/>
          <w:color w:val="auto"/>
          <w:sz w:val="24"/>
          <w:szCs w:val="24"/>
          <w:highlight w:val="none"/>
          <w:u w:val="single" w:color="auto"/>
          <w:lang w:val="en-US" w:eastAsia="zh-CN"/>
        </w:rPr>
        <w:t xml:space="preserve">       元</w:t>
      </w:r>
      <w:r>
        <w:rPr>
          <w:rFonts w:hint="eastAsia" w:eastAsia="仿宋" w:cs="Times New Roman"/>
          <w:b w:val="0"/>
          <w:bCs w:val="0"/>
          <w:color w:val="auto"/>
          <w:sz w:val="24"/>
          <w:szCs w:val="24"/>
          <w:highlight w:val="none"/>
        </w:rPr>
        <w:t>；</w:t>
      </w:r>
      <w:r>
        <w:rPr>
          <w:rFonts w:eastAsia="仿宋" w:cs="Times New Roman"/>
          <w:b w:val="0"/>
          <w:bCs w:val="0"/>
          <w:color w:val="auto"/>
          <w:sz w:val="24"/>
          <w:szCs w:val="24"/>
          <w:highlight w:val="none"/>
          <w:lang w:val="zh-TW"/>
        </w:rPr>
        <w:t>项目结束</w:t>
      </w:r>
      <w:r>
        <w:rPr>
          <w:rFonts w:hint="eastAsia" w:eastAsia="仿宋" w:cs="Times New Roman"/>
          <w:b w:val="0"/>
          <w:bCs w:val="0"/>
          <w:color w:val="auto"/>
          <w:sz w:val="24"/>
          <w:szCs w:val="24"/>
          <w:highlight w:val="none"/>
          <w:lang w:val="zh-TW"/>
        </w:rPr>
        <w:t>，</w:t>
      </w:r>
      <w:r>
        <w:rPr>
          <w:rFonts w:hint="eastAsia" w:eastAsia="仿宋" w:cs="Times New Roman"/>
          <w:b w:val="0"/>
          <w:bCs w:val="0"/>
          <w:color w:val="auto"/>
          <w:sz w:val="24"/>
          <w:szCs w:val="24"/>
          <w:highlight w:val="none"/>
        </w:rPr>
        <w:t>经</w:t>
      </w:r>
      <w:r>
        <w:rPr>
          <w:rFonts w:hint="eastAsia" w:eastAsia="仿宋" w:cs="Times New Roman"/>
          <w:b w:val="0"/>
          <w:bCs w:val="0"/>
          <w:color w:val="auto"/>
          <w:sz w:val="24"/>
          <w:szCs w:val="24"/>
          <w:highlight w:val="none"/>
          <w:lang w:val="en-US" w:eastAsia="zh-CN"/>
        </w:rPr>
        <w:t>甲方</w:t>
      </w:r>
      <w:r>
        <w:rPr>
          <w:rFonts w:hint="eastAsia" w:eastAsia="仿宋" w:cs="Times New Roman"/>
          <w:b w:val="0"/>
          <w:bCs w:val="0"/>
          <w:color w:val="auto"/>
          <w:sz w:val="24"/>
          <w:szCs w:val="24"/>
          <w:highlight w:val="none"/>
        </w:rPr>
        <w:t>验收合格后，</w:t>
      </w:r>
      <w:r>
        <w:rPr>
          <w:rFonts w:eastAsia="仿宋" w:cs="Times New Roman"/>
          <w:b w:val="0"/>
          <w:bCs w:val="0"/>
          <w:color w:val="auto"/>
          <w:sz w:val="24"/>
          <w:szCs w:val="24"/>
          <w:highlight w:val="none"/>
        </w:rPr>
        <w:t>甲方</w:t>
      </w:r>
      <w:r>
        <w:rPr>
          <w:rFonts w:eastAsia="仿宋" w:cs="Times New Roman"/>
          <w:b w:val="0"/>
          <w:bCs w:val="0"/>
          <w:color w:val="auto"/>
          <w:sz w:val="24"/>
          <w:szCs w:val="24"/>
          <w:highlight w:val="none"/>
          <w:lang w:val="zh-TW"/>
        </w:rPr>
        <w:t>向</w:t>
      </w:r>
      <w:r>
        <w:rPr>
          <w:rFonts w:eastAsia="仿宋" w:cs="Times New Roman"/>
          <w:b w:val="0"/>
          <w:bCs w:val="0"/>
          <w:color w:val="auto"/>
          <w:sz w:val="24"/>
          <w:szCs w:val="24"/>
          <w:highlight w:val="none"/>
        </w:rPr>
        <w:t>乙方</w:t>
      </w:r>
      <w:r>
        <w:rPr>
          <w:rFonts w:eastAsia="仿宋" w:cs="Times New Roman"/>
          <w:b w:val="0"/>
          <w:bCs w:val="0"/>
          <w:color w:val="auto"/>
          <w:sz w:val="24"/>
          <w:szCs w:val="24"/>
          <w:highlight w:val="none"/>
          <w:lang w:val="zh-TW"/>
        </w:rPr>
        <w:t>支付剩余</w:t>
      </w:r>
      <w:r>
        <w:rPr>
          <w:rFonts w:hint="eastAsia" w:eastAsia="仿宋" w:cs="Times New Roman"/>
          <w:b w:val="0"/>
          <w:bCs w:val="0"/>
          <w:color w:val="auto"/>
          <w:sz w:val="24"/>
          <w:szCs w:val="24"/>
          <w:highlight w:val="none"/>
          <w:lang w:val="en-US" w:eastAsia="zh-CN"/>
        </w:rPr>
        <w:t>3</w:t>
      </w:r>
      <w:r>
        <w:rPr>
          <w:rFonts w:hint="eastAsia" w:eastAsia="仿宋" w:cs="Times New Roman"/>
          <w:b w:val="0"/>
          <w:bCs w:val="0"/>
          <w:color w:val="auto"/>
          <w:sz w:val="24"/>
          <w:szCs w:val="24"/>
          <w:highlight w:val="none"/>
        </w:rPr>
        <w:t>0</w:t>
      </w:r>
      <w:r>
        <w:rPr>
          <w:rFonts w:eastAsia="仿宋" w:cs="Times New Roman"/>
          <w:b w:val="0"/>
          <w:bCs w:val="0"/>
          <w:color w:val="auto"/>
          <w:sz w:val="24"/>
          <w:szCs w:val="24"/>
          <w:highlight w:val="none"/>
          <w:lang w:val="zh-TW"/>
        </w:rPr>
        <w:t>%合同款</w:t>
      </w:r>
      <w:r>
        <w:rPr>
          <w:rFonts w:hint="eastAsia" w:eastAsia="仿宋" w:cs="Times New Roman"/>
          <w:b w:val="0"/>
          <w:bCs w:val="0"/>
          <w:color w:val="auto"/>
          <w:sz w:val="24"/>
          <w:szCs w:val="24"/>
          <w:highlight w:val="none"/>
          <w:lang w:val="zh-TW" w:eastAsia="zh-CN"/>
        </w:rPr>
        <w:t>，</w:t>
      </w:r>
      <w:r>
        <w:rPr>
          <w:rFonts w:hint="eastAsia" w:eastAsia="仿宋" w:cs="Times New Roman"/>
          <w:b w:val="0"/>
          <w:bCs w:val="0"/>
          <w:color w:val="auto"/>
          <w:sz w:val="24"/>
          <w:szCs w:val="24"/>
          <w:highlight w:val="none"/>
          <w:lang w:val="en-US" w:eastAsia="zh-CN"/>
        </w:rPr>
        <w:t>即</w:t>
      </w:r>
      <w:r>
        <w:rPr>
          <w:rFonts w:hint="eastAsia" w:eastAsia="仿宋" w:cs="Times New Roman"/>
          <w:b w:val="0"/>
          <w:bCs w:val="0"/>
          <w:color w:val="auto"/>
          <w:sz w:val="24"/>
          <w:szCs w:val="24"/>
          <w:highlight w:val="none"/>
          <w:u w:val="single" w:color="auto"/>
          <w:lang w:val="en-US" w:eastAsia="zh-CN"/>
        </w:rPr>
        <w:t xml:space="preserve">     元</w:t>
      </w:r>
      <w:r>
        <w:rPr>
          <w:rFonts w:eastAsia="仿宋" w:cs="Times New Roman"/>
          <w:b w:val="0"/>
          <w:bCs w:val="0"/>
          <w:color w:val="auto"/>
          <w:sz w:val="24"/>
          <w:szCs w:val="24"/>
          <w:highlight w:val="none"/>
          <w:lang w:val="zh-TW"/>
        </w:rPr>
        <w:t>。</w:t>
      </w:r>
    </w:p>
    <w:p w14:paraId="6D8AFFF5">
      <w:pPr>
        <w:pStyle w:val="419"/>
        <w:framePr w:wrap="auto" w:vAnchor="margin" w:hAnchor="text" w:yAlign="inline"/>
        <w:spacing w:line="360" w:lineRule="auto"/>
        <w:ind w:firstLine="480" w:firstLineChars="200"/>
        <w:jc w:val="left"/>
        <w:rPr>
          <w:rFonts w:eastAsia="仿宋" w:cs="Times New Roman"/>
          <w:color w:val="auto"/>
          <w:sz w:val="24"/>
          <w:szCs w:val="32"/>
          <w:highlight w:val="none"/>
        </w:rPr>
      </w:pPr>
      <w:r>
        <w:rPr>
          <w:rFonts w:eastAsia="仿宋" w:cs="Times New Roman"/>
          <w:color w:val="auto"/>
          <w:sz w:val="24"/>
          <w:szCs w:val="24"/>
          <w:highlight w:val="none"/>
        </w:rPr>
        <w:t>每次付款前乙方</w:t>
      </w:r>
      <w:r>
        <w:rPr>
          <w:rFonts w:eastAsia="仿宋" w:cs="Times New Roman"/>
          <w:color w:val="auto"/>
          <w:sz w:val="24"/>
          <w:szCs w:val="24"/>
          <w:highlight w:val="none"/>
          <w:lang w:val="zh-TW"/>
        </w:rPr>
        <w:t>应先行向</w:t>
      </w:r>
      <w:r>
        <w:rPr>
          <w:rFonts w:eastAsia="仿宋" w:cs="Times New Roman"/>
          <w:color w:val="auto"/>
          <w:sz w:val="24"/>
          <w:szCs w:val="24"/>
          <w:highlight w:val="none"/>
        </w:rPr>
        <w:t>甲方</w:t>
      </w:r>
      <w:r>
        <w:rPr>
          <w:rFonts w:eastAsia="仿宋" w:cs="Times New Roman"/>
          <w:color w:val="auto"/>
          <w:sz w:val="24"/>
          <w:szCs w:val="24"/>
          <w:highlight w:val="none"/>
          <w:lang w:val="zh-TW"/>
        </w:rPr>
        <w:t>开具符合财务规定的正式发票，</w:t>
      </w:r>
      <w:r>
        <w:rPr>
          <w:rFonts w:eastAsia="仿宋" w:cs="Times New Roman"/>
          <w:color w:val="auto"/>
          <w:sz w:val="24"/>
          <w:szCs w:val="32"/>
          <w:highlight w:val="none"/>
        </w:rPr>
        <w:t>否则甲方有权拒绝付款。</w:t>
      </w:r>
    </w:p>
    <w:p w14:paraId="295918E7">
      <w:pPr>
        <w:pStyle w:val="419"/>
        <w:framePr w:wrap="auto" w:vAnchor="margin" w:hAnchor="text" w:yAlign="inline"/>
        <w:spacing w:line="360" w:lineRule="auto"/>
        <w:ind w:firstLine="482" w:firstLineChars="200"/>
        <w:jc w:val="left"/>
        <w:rPr>
          <w:rFonts w:eastAsia="仿宋" w:cs="Times New Roman"/>
          <w:b/>
          <w:bCs/>
          <w:color w:val="auto"/>
          <w:sz w:val="24"/>
          <w:szCs w:val="24"/>
          <w:highlight w:val="none"/>
          <w:lang w:val="zh-TW"/>
        </w:rPr>
      </w:pPr>
      <w:r>
        <w:rPr>
          <w:rFonts w:eastAsia="仿宋" w:cs="Times New Roman"/>
          <w:b/>
          <w:bCs/>
          <w:color w:val="auto"/>
          <w:sz w:val="24"/>
          <w:szCs w:val="24"/>
          <w:highlight w:val="none"/>
          <w:lang w:val="zh-TW"/>
        </w:rPr>
        <w:t>第</w:t>
      </w:r>
      <w:r>
        <w:rPr>
          <w:rFonts w:eastAsia="仿宋" w:cs="Times New Roman"/>
          <w:b/>
          <w:bCs/>
          <w:color w:val="auto"/>
          <w:sz w:val="24"/>
          <w:szCs w:val="24"/>
          <w:highlight w:val="none"/>
        </w:rPr>
        <w:t>九</w:t>
      </w:r>
      <w:r>
        <w:rPr>
          <w:rFonts w:eastAsia="仿宋" w:cs="Times New Roman"/>
          <w:b/>
          <w:bCs/>
          <w:color w:val="auto"/>
          <w:sz w:val="24"/>
          <w:szCs w:val="24"/>
          <w:highlight w:val="none"/>
          <w:lang w:val="zh-TW"/>
        </w:rPr>
        <w:t>条 违约责任</w:t>
      </w:r>
    </w:p>
    <w:p w14:paraId="6CC32845">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1.甲方无正当理由拒收服务、拒付服务款的，甲方向乙方偿付合同总价的5%违约金。</w:t>
      </w:r>
    </w:p>
    <w:p w14:paraId="5E3655E4">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2.甲方未按合同规定的期限向乙方支付服务款的，每逾期1天甲方向乙方偿付欠款总额的5‰</w:t>
      </w:r>
      <w:r>
        <w:rPr>
          <w:rFonts w:hint="eastAsia" w:eastAsia="仿宋" w:cs="Times New Roman"/>
          <w:color w:val="auto"/>
          <w:sz w:val="24"/>
          <w:szCs w:val="24"/>
          <w:highlight w:val="none"/>
        </w:rPr>
        <w:t>逾期违约金</w:t>
      </w:r>
      <w:r>
        <w:rPr>
          <w:rFonts w:eastAsia="仿宋" w:cs="Times New Roman"/>
          <w:color w:val="auto"/>
          <w:sz w:val="24"/>
          <w:szCs w:val="24"/>
          <w:highlight w:val="none"/>
        </w:rPr>
        <w:t>，但累计</w:t>
      </w:r>
      <w:r>
        <w:rPr>
          <w:rFonts w:hint="eastAsia" w:eastAsia="仿宋" w:cs="Times New Roman"/>
          <w:color w:val="auto"/>
          <w:sz w:val="24"/>
          <w:szCs w:val="24"/>
          <w:highlight w:val="none"/>
        </w:rPr>
        <w:t>逾期违约金</w:t>
      </w:r>
      <w:r>
        <w:rPr>
          <w:rFonts w:eastAsia="仿宋" w:cs="Times New Roman"/>
          <w:color w:val="auto"/>
          <w:sz w:val="24"/>
          <w:szCs w:val="24"/>
          <w:highlight w:val="none"/>
        </w:rPr>
        <w:t>总额不超过欠款总额的5%。</w:t>
      </w:r>
    </w:p>
    <w:p w14:paraId="04E6AF5F">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3.如乙方不能交付服务的；乙方应向甲方支付合同总价5%的违约金并赔偿因此给甲方造成的损失。</w:t>
      </w:r>
    </w:p>
    <w:p w14:paraId="64E2A241">
      <w:pPr>
        <w:pStyle w:val="419"/>
        <w:framePr w:wrap="auto" w:vAnchor="margin" w:hAnchor="text" w:yAlign="inline"/>
        <w:widowControl/>
        <w:spacing w:line="360" w:lineRule="auto"/>
        <w:ind w:firstLine="480" w:firstLineChars="200"/>
        <w:jc w:val="left"/>
        <w:rPr>
          <w:rFonts w:hint="eastAsia" w:eastAsia="仿宋" w:cs="Times New Roman"/>
          <w:color w:val="auto"/>
          <w:sz w:val="24"/>
          <w:szCs w:val="24"/>
          <w:highlight w:val="none"/>
          <w:lang w:eastAsia="zh-CN"/>
        </w:rPr>
      </w:pPr>
      <w:r>
        <w:rPr>
          <w:rFonts w:eastAsia="仿宋" w:cs="Times New Roman"/>
          <w:color w:val="auto"/>
          <w:sz w:val="24"/>
          <w:szCs w:val="24"/>
          <w:highlight w:val="none"/>
        </w:rPr>
        <w:t>4.乙方逾期通过甲方验收并交付甲方使用的，每逾期1天，乙方向甲方偿付合同总额的5‰的</w:t>
      </w:r>
      <w:r>
        <w:rPr>
          <w:rFonts w:hint="eastAsia" w:eastAsia="仿宋" w:cs="Times New Roman"/>
          <w:color w:val="auto"/>
          <w:sz w:val="24"/>
          <w:szCs w:val="24"/>
          <w:highlight w:val="none"/>
        </w:rPr>
        <w:t>逾期违约金</w:t>
      </w:r>
      <w:r>
        <w:rPr>
          <w:rFonts w:eastAsia="仿宋" w:cs="Times New Roman"/>
          <w:color w:val="auto"/>
          <w:sz w:val="24"/>
          <w:szCs w:val="24"/>
          <w:highlight w:val="none"/>
        </w:rPr>
        <w:t>。如乙方逾期交付达10天</w:t>
      </w:r>
      <w:r>
        <w:rPr>
          <w:rFonts w:hint="eastAsia" w:eastAsia="仿宋" w:cs="Times New Roman"/>
          <w:color w:val="auto"/>
          <w:sz w:val="24"/>
          <w:szCs w:val="24"/>
          <w:highlight w:val="none"/>
          <w:lang w:val="en-US" w:eastAsia="zh-CN"/>
        </w:rPr>
        <w:t>或逾期累计达3次，</w:t>
      </w:r>
      <w:r>
        <w:rPr>
          <w:rFonts w:eastAsia="仿宋" w:cs="Times New Roman"/>
          <w:color w:val="auto"/>
          <w:sz w:val="24"/>
          <w:szCs w:val="24"/>
          <w:highlight w:val="none"/>
        </w:rPr>
        <w:t>甲方有权解除合同，解除合同的通知自到达乙方时生效</w:t>
      </w:r>
      <w:r>
        <w:rPr>
          <w:rFonts w:hint="eastAsia" w:eastAsia="仿宋" w:cs="Times New Roman"/>
          <w:color w:val="auto"/>
          <w:sz w:val="24"/>
          <w:szCs w:val="24"/>
          <w:highlight w:val="none"/>
          <w:lang w:eastAsia="zh-CN"/>
        </w:rPr>
        <w:t>，</w:t>
      </w:r>
      <w:r>
        <w:rPr>
          <w:rFonts w:hint="eastAsia" w:eastAsia="仿宋" w:cs="Times New Roman"/>
          <w:color w:val="auto"/>
          <w:sz w:val="24"/>
          <w:szCs w:val="24"/>
          <w:highlight w:val="none"/>
          <w:lang w:val="en-US" w:eastAsia="zh-CN"/>
        </w:rPr>
        <w:t>同</w:t>
      </w:r>
      <w:r>
        <w:rPr>
          <w:rFonts w:hint="eastAsia" w:eastAsia="仿宋" w:cs="Times New Roman"/>
          <w:color w:val="auto"/>
          <w:sz w:val="24"/>
          <w:szCs w:val="24"/>
          <w:highlight w:val="none"/>
          <w:lang w:eastAsia="zh-CN"/>
        </w:rPr>
        <w:t>时乙方应向甲方支付合同总价5%的违约金，</w:t>
      </w:r>
    </w:p>
    <w:p w14:paraId="3FC9B4FE">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5.在乙方承诺的服务期内，如经乙方2次整改仍不能达到合同约定的质量标准，乙方应退回全部合同价款，并按本条第3款处理，同时，乙方还须赔偿甲方因此遭受的损失。</w:t>
      </w:r>
    </w:p>
    <w:p w14:paraId="02194D2C">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6.乙方未按本合同的规定和服务承诺提供伴随服务/售后服务的，甲方有权委托第三方提供伴随服务/售后服务，由此产生的费用由乙方承担，且乙方应按合同总价款的5%向甲方承担违约责任。</w:t>
      </w:r>
    </w:p>
    <w:p w14:paraId="6BBD619A">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7.乙方所交付的服务不符合合同规定的，甲方有权拒收。甲方拒收的，乙方应向甲方支付合同总款5%的违约金。</w:t>
      </w:r>
    </w:p>
    <w:p w14:paraId="359A1851">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8.乙方在承担上述一项或多项违约责任后，仍应继续履行合同规定的义务（甲方解除合同的除外）。甲方未能及时追究乙方的任何一项违约责任并不表明甲方放弃追究乙方该项或其他违约责任。</w:t>
      </w:r>
    </w:p>
    <w:p w14:paraId="3202F618">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sz w:val="24"/>
          <w:szCs w:val="24"/>
          <w:highlight w:val="none"/>
        </w:rPr>
        <w:t>9.乙方响应属虚假承诺，或服务不能满足响应文件要求，或是由于乙方的过错造成合同无法继续履行的，乙方应向甲方支付不少于合同总价 5%赔偿金。</w:t>
      </w:r>
    </w:p>
    <w:p w14:paraId="1A1CFE39">
      <w:pPr>
        <w:pStyle w:val="419"/>
        <w:framePr w:wrap="auto" w:vAnchor="margin" w:hAnchor="text" w:yAlign="inline"/>
        <w:widowControl/>
        <w:spacing w:line="360" w:lineRule="auto"/>
        <w:ind w:firstLine="480" w:firstLineChars="200"/>
        <w:jc w:val="left"/>
        <w:rPr>
          <w:rFonts w:hint="default" w:eastAsia="仿宋" w:cs="Times New Roman"/>
          <w:color w:val="auto"/>
          <w:sz w:val="24"/>
          <w:szCs w:val="24"/>
          <w:highlight w:val="none"/>
          <w:lang w:val="en-US" w:eastAsia="zh-CN"/>
        </w:rPr>
      </w:pPr>
      <w:r>
        <w:rPr>
          <w:rFonts w:hint="eastAsia" w:eastAsia="仿宋" w:cs="Times New Roman"/>
          <w:color w:val="auto"/>
          <w:sz w:val="24"/>
          <w:szCs w:val="24"/>
          <w:highlight w:val="none"/>
          <w:lang w:val="en-US" w:eastAsia="zh-CN"/>
        </w:rPr>
        <w:t>10.本合同约定的“违约、赔偿责任”包括但不限于守约方的实际损失，偿付第三方的违约金以及守约方为实现权利所支出的调查费、诉讼费、鉴定费、保全费、律师费、公证费、公告费等实际支出的一切费用。守约方因违约方违约而获得的权利与救济在本合同被解除、撤销、终止或完成后仍应有效。</w:t>
      </w:r>
    </w:p>
    <w:p w14:paraId="4D69C4AA">
      <w:pPr>
        <w:pStyle w:val="419"/>
        <w:framePr w:wrap="auto" w:vAnchor="margin" w:hAnchor="text" w:yAlign="inline"/>
        <w:widowControl/>
        <w:spacing w:line="360" w:lineRule="auto"/>
        <w:ind w:firstLine="482" w:firstLineChars="200"/>
        <w:jc w:val="left"/>
        <w:rPr>
          <w:rFonts w:eastAsia="仿宋" w:cs="Times New Roman"/>
          <w:b/>
          <w:bCs/>
          <w:color w:val="auto"/>
          <w:kern w:val="0"/>
          <w:sz w:val="24"/>
          <w:szCs w:val="24"/>
          <w:highlight w:val="none"/>
          <w:lang w:val="zh-TW"/>
        </w:rPr>
      </w:pPr>
      <w:r>
        <w:rPr>
          <w:rFonts w:eastAsia="仿宋" w:cs="Times New Roman"/>
          <w:b/>
          <w:bCs/>
          <w:color w:val="auto"/>
          <w:kern w:val="0"/>
          <w:sz w:val="24"/>
          <w:szCs w:val="24"/>
          <w:highlight w:val="none"/>
          <w:lang w:val="zh-TW"/>
        </w:rPr>
        <w:t>第十条 合同的变更和终止</w:t>
      </w:r>
    </w:p>
    <w:p w14:paraId="0FB63498">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1.除《政府采购法》第50条第二款规定的情形外，本合同一经签订，甲乙双方不得擅自变更、中止或终止合同。</w:t>
      </w:r>
    </w:p>
    <w:p w14:paraId="239E049E">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2.除发生法律规定的不能预见、不能避免并不能克服的客观情况外，甲乙双方不得放弃或拒绝履行合同。乙方放弃或拒绝履行合同，应向甲方支付合同总额5%的违约金并赔偿因此给甲方造成的损失。</w:t>
      </w:r>
    </w:p>
    <w:p w14:paraId="3B3316BD">
      <w:pPr>
        <w:pStyle w:val="419"/>
        <w:framePr w:wrap="auto" w:vAnchor="margin" w:hAnchor="text" w:yAlign="inline"/>
        <w:widowControl/>
        <w:spacing w:line="360" w:lineRule="auto"/>
        <w:ind w:firstLine="482" w:firstLineChars="200"/>
        <w:jc w:val="left"/>
        <w:rPr>
          <w:rFonts w:eastAsia="仿宋" w:cs="Times New Roman"/>
          <w:b/>
          <w:bCs/>
          <w:color w:val="auto"/>
          <w:kern w:val="0"/>
          <w:sz w:val="24"/>
          <w:szCs w:val="24"/>
          <w:highlight w:val="none"/>
          <w:lang w:val="zh-TW"/>
        </w:rPr>
      </w:pPr>
      <w:r>
        <w:rPr>
          <w:rFonts w:eastAsia="仿宋" w:cs="Times New Roman"/>
          <w:b/>
          <w:bCs/>
          <w:color w:val="auto"/>
          <w:kern w:val="0"/>
          <w:sz w:val="24"/>
          <w:szCs w:val="24"/>
          <w:highlight w:val="none"/>
          <w:lang w:val="zh-TW"/>
        </w:rPr>
        <w:t>第十</w:t>
      </w:r>
      <w:r>
        <w:rPr>
          <w:rFonts w:eastAsia="仿宋" w:cs="Times New Roman"/>
          <w:b/>
          <w:bCs/>
          <w:color w:val="auto"/>
          <w:kern w:val="0"/>
          <w:sz w:val="24"/>
          <w:szCs w:val="24"/>
          <w:highlight w:val="none"/>
        </w:rPr>
        <w:t>一</w:t>
      </w:r>
      <w:r>
        <w:rPr>
          <w:rFonts w:eastAsia="仿宋" w:cs="Times New Roman"/>
          <w:b/>
          <w:bCs/>
          <w:color w:val="auto"/>
          <w:kern w:val="0"/>
          <w:sz w:val="24"/>
          <w:szCs w:val="24"/>
          <w:highlight w:val="none"/>
          <w:lang w:val="zh-TW"/>
        </w:rPr>
        <w:t>条 合同的转让</w:t>
      </w:r>
    </w:p>
    <w:p w14:paraId="187DF451">
      <w:pPr>
        <w:pStyle w:val="419"/>
        <w:framePr w:wrap="auto" w:vAnchor="margin" w:hAnchor="text" w:yAlign="inline"/>
        <w:widowControl/>
        <w:spacing w:line="360" w:lineRule="auto"/>
        <w:ind w:firstLine="480" w:firstLineChars="200"/>
        <w:jc w:val="left"/>
        <w:rPr>
          <w:rFonts w:hint="eastAsia" w:eastAsia="仿宋" w:cs="Times New Roman"/>
          <w:color w:val="auto"/>
          <w:kern w:val="0"/>
          <w:sz w:val="24"/>
          <w:szCs w:val="24"/>
          <w:highlight w:val="none"/>
          <w:lang w:val="zh-TW" w:eastAsia="zh-CN"/>
        </w:rPr>
      </w:pPr>
      <w:r>
        <w:rPr>
          <w:rFonts w:eastAsia="仿宋" w:cs="Times New Roman"/>
          <w:color w:val="auto"/>
          <w:kern w:val="0"/>
          <w:sz w:val="24"/>
          <w:szCs w:val="24"/>
          <w:highlight w:val="none"/>
          <w:lang w:val="zh-TW"/>
        </w:rPr>
        <w:t>乙方不得擅自部分或全部转让其应履行的合同义务</w:t>
      </w:r>
      <w:r>
        <w:rPr>
          <w:rFonts w:hint="eastAsia" w:eastAsia="仿宋" w:cs="Times New Roman"/>
          <w:color w:val="auto"/>
          <w:kern w:val="0"/>
          <w:sz w:val="24"/>
          <w:szCs w:val="24"/>
          <w:highlight w:val="none"/>
          <w:lang w:val="zh-TW" w:eastAsia="zh-CN"/>
        </w:rPr>
        <w:t>，否则甲方有权解除合同，并要求乙方按照合同总价款的</w:t>
      </w:r>
      <w:r>
        <w:rPr>
          <w:rFonts w:hint="eastAsia" w:eastAsia="仿宋" w:cs="Times New Roman"/>
          <w:color w:val="auto"/>
          <w:kern w:val="0"/>
          <w:sz w:val="24"/>
          <w:szCs w:val="24"/>
          <w:highlight w:val="none"/>
          <w:lang w:val="en-US" w:eastAsia="zh-CN"/>
        </w:rPr>
        <w:t>10</w:t>
      </w:r>
      <w:r>
        <w:rPr>
          <w:rFonts w:hint="eastAsia" w:eastAsia="仿宋" w:cs="Times New Roman"/>
          <w:color w:val="auto"/>
          <w:kern w:val="0"/>
          <w:sz w:val="24"/>
          <w:szCs w:val="24"/>
          <w:highlight w:val="none"/>
          <w:lang w:val="zh-TW" w:eastAsia="zh-CN"/>
        </w:rPr>
        <w:t xml:space="preserve"> %承担违约责任。</w:t>
      </w:r>
    </w:p>
    <w:p w14:paraId="6685890F">
      <w:pPr>
        <w:pStyle w:val="419"/>
        <w:framePr w:wrap="auto" w:vAnchor="margin" w:hAnchor="text" w:yAlign="inline"/>
        <w:widowControl/>
        <w:spacing w:line="360" w:lineRule="auto"/>
        <w:ind w:firstLine="482" w:firstLineChars="200"/>
        <w:jc w:val="left"/>
        <w:rPr>
          <w:rFonts w:eastAsia="仿宋" w:cs="Times New Roman"/>
          <w:b/>
          <w:bCs/>
          <w:color w:val="auto"/>
          <w:kern w:val="0"/>
          <w:sz w:val="24"/>
          <w:szCs w:val="24"/>
          <w:highlight w:val="none"/>
          <w:lang w:val="zh-TW"/>
        </w:rPr>
      </w:pPr>
      <w:r>
        <w:rPr>
          <w:rFonts w:eastAsia="仿宋" w:cs="Times New Roman"/>
          <w:b/>
          <w:bCs/>
          <w:color w:val="auto"/>
          <w:kern w:val="0"/>
          <w:sz w:val="24"/>
          <w:szCs w:val="24"/>
          <w:highlight w:val="none"/>
          <w:lang w:val="zh-TW"/>
        </w:rPr>
        <w:t>第十</w:t>
      </w:r>
      <w:r>
        <w:rPr>
          <w:rFonts w:eastAsia="仿宋" w:cs="Times New Roman"/>
          <w:b/>
          <w:bCs/>
          <w:color w:val="auto"/>
          <w:kern w:val="0"/>
          <w:sz w:val="24"/>
          <w:szCs w:val="24"/>
          <w:highlight w:val="none"/>
        </w:rPr>
        <w:t>二</w:t>
      </w:r>
      <w:r>
        <w:rPr>
          <w:rFonts w:eastAsia="仿宋" w:cs="Times New Roman"/>
          <w:b/>
          <w:bCs/>
          <w:color w:val="auto"/>
          <w:kern w:val="0"/>
          <w:sz w:val="24"/>
          <w:szCs w:val="24"/>
          <w:highlight w:val="none"/>
          <w:lang w:val="zh-TW"/>
        </w:rPr>
        <w:t>条 争议的解决</w:t>
      </w:r>
    </w:p>
    <w:p w14:paraId="5E76FD39">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rPr>
      </w:pPr>
      <w:r>
        <w:rPr>
          <w:rFonts w:eastAsia="仿宋" w:cs="Times New Roman"/>
          <w:color w:val="auto"/>
          <w:kern w:val="0"/>
          <w:sz w:val="24"/>
          <w:szCs w:val="24"/>
          <w:highlight w:val="none"/>
        </w:rPr>
        <w:t>1.因履行本合同引起的或与本合同有关的争议，甲、乙双方应首先通过友好协商解决，如果协商不能解决争议，则采取以下第（1）种方式解决争议：</w:t>
      </w:r>
    </w:p>
    <w:p w14:paraId="429A989F">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rPr>
      </w:pPr>
      <w:r>
        <w:rPr>
          <w:rFonts w:eastAsia="仿宋" w:cs="Times New Roman"/>
          <w:color w:val="auto"/>
          <w:kern w:val="0"/>
          <w:sz w:val="24"/>
          <w:szCs w:val="24"/>
          <w:highlight w:val="none"/>
        </w:rPr>
        <w:t>（1）向甲方所在地有管辖权的人民法院提起诉讼；</w:t>
      </w:r>
    </w:p>
    <w:p w14:paraId="24CA2F09">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rPr>
      </w:pPr>
      <w:r>
        <w:rPr>
          <w:rFonts w:eastAsia="仿宋" w:cs="Times New Roman"/>
          <w:color w:val="auto"/>
          <w:kern w:val="0"/>
          <w:sz w:val="24"/>
          <w:szCs w:val="24"/>
          <w:highlight w:val="none"/>
        </w:rPr>
        <w:t>（2）向南京仲裁委员会按其仲裁规则申请仲裁。</w:t>
      </w:r>
    </w:p>
    <w:p w14:paraId="499061F2">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rPr>
      </w:pPr>
      <w:r>
        <w:rPr>
          <w:rFonts w:eastAsia="仿宋" w:cs="Times New Roman"/>
          <w:color w:val="auto"/>
          <w:kern w:val="0"/>
          <w:sz w:val="24"/>
          <w:szCs w:val="24"/>
          <w:highlight w:val="none"/>
        </w:rPr>
        <w:t>如没有约定，默认采取第1种方式解决争议。</w:t>
      </w:r>
    </w:p>
    <w:p w14:paraId="2ED9AF07">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rPr>
      </w:pPr>
      <w:r>
        <w:rPr>
          <w:rFonts w:eastAsia="仿宋" w:cs="Times New Roman"/>
          <w:color w:val="auto"/>
          <w:kern w:val="0"/>
          <w:sz w:val="24"/>
          <w:szCs w:val="24"/>
          <w:highlight w:val="none"/>
        </w:rPr>
        <w:t>2.在诉讼或仲裁期间，本合同应继续履行。</w:t>
      </w:r>
    </w:p>
    <w:p w14:paraId="28438814">
      <w:pPr>
        <w:pStyle w:val="419"/>
        <w:framePr w:wrap="auto" w:vAnchor="margin" w:hAnchor="text" w:yAlign="inline"/>
        <w:widowControl/>
        <w:spacing w:line="360" w:lineRule="auto"/>
        <w:ind w:firstLine="482" w:firstLineChars="200"/>
        <w:jc w:val="left"/>
        <w:rPr>
          <w:rFonts w:eastAsia="仿宋" w:cs="Times New Roman"/>
          <w:b/>
          <w:bCs/>
          <w:color w:val="auto"/>
          <w:kern w:val="0"/>
          <w:sz w:val="24"/>
          <w:szCs w:val="24"/>
          <w:highlight w:val="none"/>
          <w:lang w:val="zh-TW"/>
        </w:rPr>
      </w:pPr>
      <w:r>
        <w:rPr>
          <w:rFonts w:eastAsia="仿宋" w:cs="Times New Roman"/>
          <w:b/>
          <w:bCs/>
          <w:color w:val="auto"/>
          <w:kern w:val="0"/>
          <w:sz w:val="24"/>
          <w:szCs w:val="24"/>
          <w:highlight w:val="none"/>
          <w:lang w:val="zh-TW"/>
        </w:rPr>
        <w:t>第十</w:t>
      </w:r>
      <w:r>
        <w:rPr>
          <w:rFonts w:eastAsia="仿宋" w:cs="Times New Roman"/>
          <w:b/>
          <w:bCs/>
          <w:color w:val="auto"/>
          <w:kern w:val="0"/>
          <w:sz w:val="24"/>
          <w:szCs w:val="24"/>
          <w:highlight w:val="none"/>
        </w:rPr>
        <w:t>三条</w:t>
      </w:r>
      <w:r>
        <w:rPr>
          <w:rFonts w:eastAsia="仿宋" w:cs="Times New Roman"/>
          <w:b/>
          <w:bCs/>
          <w:color w:val="auto"/>
          <w:kern w:val="0"/>
          <w:sz w:val="24"/>
          <w:szCs w:val="24"/>
          <w:highlight w:val="none"/>
          <w:lang w:val="zh-TW"/>
        </w:rPr>
        <w:t xml:space="preserve"> 诚实信用 </w:t>
      </w:r>
    </w:p>
    <w:p w14:paraId="2EF59A83">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乙方应诚实信用，严格按照</w:t>
      </w:r>
      <w:r>
        <w:rPr>
          <w:rFonts w:eastAsia="仿宋" w:cs="Times New Roman"/>
          <w:color w:val="auto"/>
          <w:kern w:val="0"/>
          <w:sz w:val="24"/>
          <w:szCs w:val="24"/>
          <w:highlight w:val="none"/>
        </w:rPr>
        <w:t>采购</w:t>
      </w:r>
      <w:r>
        <w:rPr>
          <w:rFonts w:eastAsia="仿宋" w:cs="Times New Roman"/>
          <w:color w:val="auto"/>
          <w:kern w:val="0"/>
          <w:sz w:val="24"/>
          <w:szCs w:val="24"/>
          <w:highlight w:val="none"/>
          <w:lang w:val="zh-TW"/>
        </w:rPr>
        <w:t>文件要求和乙方承诺履行合同，不向甲方进行商业贿赂或者提供不正当利益。</w:t>
      </w:r>
    </w:p>
    <w:p w14:paraId="68A408E7">
      <w:pPr>
        <w:pStyle w:val="419"/>
        <w:framePr w:wrap="auto" w:vAnchor="margin" w:hAnchor="text" w:yAlign="inline"/>
        <w:widowControl/>
        <w:spacing w:line="360" w:lineRule="auto"/>
        <w:ind w:firstLine="482" w:firstLineChars="200"/>
        <w:jc w:val="left"/>
        <w:rPr>
          <w:rFonts w:eastAsia="仿宋" w:cs="Times New Roman"/>
          <w:b/>
          <w:bCs/>
          <w:color w:val="auto"/>
          <w:kern w:val="0"/>
          <w:sz w:val="24"/>
          <w:szCs w:val="24"/>
          <w:highlight w:val="none"/>
          <w:lang w:val="zh-TW"/>
        </w:rPr>
      </w:pPr>
      <w:r>
        <w:rPr>
          <w:rFonts w:eastAsia="仿宋" w:cs="Times New Roman"/>
          <w:b/>
          <w:bCs/>
          <w:color w:val="auto"/>
          <w:kern w:val="0"/>
          <w:sz w:val="24"/>
          <w:szCs w:val="24"/>
          <w:highlight w:val="none"/>
          <w:lang w:val="zh-TW"/>
        </w:rPr>
        <w:t>第十</w:t>
      </w:r>
      <w:r>
        <w:rPr>
          <w:rFonts w:eastAsia="仿宋" w:cs="Times New Roman"/>
          <w:b/>
          <w:bCs/>
          <w:color w:val="auto"/>
          <w:kern w:val="0"/>
          <w:sz w:val="24"/>
          <w:szCs w:val="24"/>
          <w:highlight w:val="none"/>
        </w:rPr>
        <w:t>四</w:t>
      </w:r>
      <w:r>
        <w:rPr>
          <w:rFonts w:eastAsia="仿宋" w:cs="Times New Roman"/>
          <w:b/>
          <w:bCs/>
          <w:color w:val="auto"/>
          <w:kern w:val="0"/>
          <w:sz w:val="24"/>
          <w:szCs w:val="24"/>
          <w:highlight w:val="none"/>
          <w:lang w:val="zh-TW"/>
        </w:rPr>
        <w:t>条 合同生效及其他</w:t>
      </w:r>
    </w:p>
    <w:p w14:paraId="1259CA23">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1.本合同自签订之日起生效。</w:t>
      </w:r>
    </w:p>
    <w:p w14:paraId="276389DB">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2.本合同一式4份，甲乙双方各执2份。</w:t>
      </w:r>
    </w:p>
    <w:p w14:paraId="76626161">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r>
        <w:rPr>
          <w:rFonts w:eastAsia="仿宋" w:cs="Times New Roman"/>
          <w:color w:val="auto"/>
          <w:kern w:val="0"/>
          <w:sz w:val="24"/>
          <w:szCs w:val="24"/>
          <w:highlight w:val="none"/>
          <w:lang w:val="zh-TW"/>
        </w:rPr>
        <w:t>3.本合同应按照中华人民共和国的现行法律进行解释。</w:t>
      </w:r>
    </w:p>
    <w:p w14:paraId="14F059AA">
      <w:pPr>
        <w:pStyle w:val="419"/>
        <w:framePr w:wrap="auto" w:vAnchor="margin" w:hAnchor="text" w:yAlign="inline"/>
        <w:widowControl/>
        <w:spacing w:line="360" w:lineRule="auto"/>
        <w:ind w:firstLine="480" w:firstLineChars="200"/>
        <w:jc w:val="left"/>
        <w:rPr>
          <w:rFonts w:hint="eastAsia"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4.合同履行期内，乙方应承担用人单位责任，因乙方与员工间产生的劳资、工伤等纠纷均由乙方自行解决，与甲方无关;如给甲方造成损失的，乙方应全额赔偿。</w:t>
      </w:r>
    </w:p>
    <w:p w14:paraId="4F859065">
      <w:pPr>
        <w:pStyle w:val="419"/>
        <w:framePr w:wrap="auto" w:vAnchor="margin" w:hAnchor="text" w:yAlign="inline"/>
        <w:widowControl/>
        <w:spacing w:line="360" w:lineRule="auto"/>
        <w:ind w:firstLine="480" w:firstLineChars="200"/>
        <w:jc w:val="left"/>
        <w:rPr>
          <w:rFonts w:hint="eastAsia"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5.项目负责人：</w:t>
      </w:r>
      <w:r>
        <w:rPr>
          <w:rFonts w:hint="eastAsia" w:eastAsia="仿宋" w:cs="Times New Roman"/>
          <w:color w:val="auto"/>
          <w:kern w:val="0"/>
          <w:sz w:val="24"/>
          <w:szCs w:val="24"/>
          <w:highlight w:val="none"/>
          <w:u w:val="single" w:color="auto"/>
          <w:lang w:val="en-US" w:eastAsia="zh-CN"/>
        </w:rPr>
        <w:t xml:space="preserve">      </w:t>
      </w:r>
      <w:r>
        <w:rPr>
          <w:rFonts w:hint="eastAsia" w:eastAsia="仿宋" w:cs="Times New Roman"/>
          <w:color w:val="auto"/>
          <w:kern w:val="0"/>
          <w:sz w:val="24"/>
          <w:szCs w:val="24"/>
          <w:highlight w:val="none"/>
          <w:u w:val="none" w:color="auto"/>
          <w:lang w:val="en-US" w:eastAsia="zh-CN"/>
        </w:rPr>
        <w:t>；</w:t>
      </w:r>
      <w:r>
        <w:rPr>
          <w:rFonts w:hint="eastAsia" w:eastAsia="仿宋" w:cs="Times New Roman"/>
          <w:color w:val="auto"/>
          <w:kern w:val="0"/>
          <w:sz w:val="24"/>
          <w:szCs w:val="24"/>
          <w:highlight w:val="none"/>
          <w:lang w:val="en-US" w:eastAsia="zh-CN"/>
        </w:rPr>
        <w:t>未经甲方书面同意，乙方不得擅自更换项目负责人，否则应按合同总价的5 %向甲方支付违约金;甲方有权要求乙方更换不能胜任的项目负责人，乙方无正当理由不得拒绝，否则应按合同总价的5%向甲方支付违约金。</w:t>
      </w:r>
    </w:p>
    <w:p w14:paraId="1D7C5C0C">
      <w:pPr>
        <w:pStyle w:val="419"/>
        <w:framePr w:wrap="auto" w:vAnchor="margin" w:hAnchor="text" w:yAlign="inline"/>
        <w:widowControl/>
        <w:spacing w:line="360" w:lineRule="auto"/>
        <w:ind w:firstLine="480" w:firstLineChars="200"/>
        <w:jc w:val="left"/>
        <w:rPr>
          <w:rFonts w:hint="eastAsia"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6.乙方应保持项目团队人员的相对稳定未经甲方书面同意，乙方不得擅自更换人员，否则应按200元/人次向甲方支付违约金;甲方有权要求乙方更换不能胜任的项目人员，乙方无正当理由不得拒绝，否则应按200元/人次向甲方支付违约金。</w:t>
      </w:r>
    </w:p>
    <w:p w14:paraId="1AE2550A">
      <w:pPr>
        <w:pStyle w:val="419"/>
        <w:framePr w:wrap="auto" w:vAnchor="margin" w:hAnchor="text" w:yAlign="inline"/>
        <w:widowControl/>
        <w:spacing w:line="360" w:lineRule="auto"/>
        <w:ind w:firstLine="480" w:firstLineChars="200"/>
        <w:jc w:val="left"/>
        <w:rPr>
          <w:rFonts w:hint="default" w:eastAsia="仿宋" w:cs="Times New Roman"/>
          <w:color w:val="auto"/>
          <w:kern w:val="0"/>
          <w:sz w:val="24"/>
          <w:szCs w:val="24"/>
          <w:highlight w:val="none"/>
          <w:lang w:val="en-US" w:eastAsia="zh-CN"/>
        </w:rPr>
      </w:pPr>
      <w:r>
        <w:rPr>
          <w:rFonts w:hint="eastAsia" w:eastAsia="仿宋" w:cs="Times New Roman"/>
          <w:color w:val="auto"/>
          <w:kern w:val="0"/>
          <w:sz w:val="24"/>
          <w:szCs w:val="24"/>
          <w:highlight w:val="none"/>
          <w:lang w:val="en-US" w:eastAsia="zh-CN"/>
        </w:rPr>
        <w:t>7.乙方需加强安全防护，承担合同履行期间一切安全责任。</w:t>
      </w:r>
    </w:p>
    <w:p w14:paraId="3F156027">
      <w:pPr>
        <w:pStyle w:val="419"/>
        <w:framePr w:wrap="auto" w:vAnchor="margin" w:hAnchor="text" w:yAlign="inline"/>
        <w:widowControl/>
        <w:spacing w:line="360" w:lineRule="auto"/>
        <w:ind w:firstLine="480" w:firstLineChars="200"/>
        <w:jc w:val="left"/>
        <w:rPr>
          <w:rFonts w:eastAsia="仿宋" w:cs="Times New Roman"/>
          <w:color w:val="auto"/>
          <w:kern w:val="0"/>
          <w:sz w:val="24"/>
          <w:szCs w:val="24"/>
          <w:highlight w:val="none"/>
          <w:lang w:val="zh-TW"/>
        </w:rPr>
      </w:pPr>
    </w:p>
    <w:tbl>
      <w:tblPr>
        <w:tblStyle w:val="61"/>
        <w:tblW w:w="8288" w:type="dxa"/>
        <w:tblInd w:w="108" w:type="dxa"/>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Layout w:type="fixed"/>
        <w:tblCellMar>
          <w:top w:w="0" w:type="dxa"/>
          <w:left w:w="10" w:type="dxa"/>
          <w:bottom w:w="0" w:type="dxa"/>
          <w:right w:w="10" w:type="dxa"/>
        </w:tblCellMar>
      </w:tblPr>
      <w:tblGrid>
        <w:gridCol w:w="4238"/>
        <w:gridCol w:w="4050"/>
      </w:tblGrid>
      <w:tr w14:paraId="1BFBCC3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66D791C1">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rPr>
              <w:t>甲方（采购人）：（盖章）</w:t>
            </w:r>
          </w:p>
        </w:tc>
        <w:tc>
          <w:tcPr>
            <w:tcW w:w="4050" w:type="dxa"/>
            <w:tcBorders>
              <w:top w:val="nil"/>
              <w:left w:val="nil"/>
              <w:bottom w:val="nil"/>
              <w:right w:val="nil"/>
            </w:tcBorders>
            <w:shd w:val="clear" w:color="auto" w:fill="auto"/>
            <w:tcMar>
              <w:top w:w="80" w:type="dxa"/>
              <w:left w:w="80" w:type="dxa"/>
              <w:bottom w:w="80" w:type="dxa"/>
              <w:right w:w="80" w:type="dxa"/>
            </w:tcMar>
          </w:tcPr>
          <w:p w14:paraId="0701B72E">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rPr>
              <w:t>乙方（供应商）：（盖章）</w:t>
            </w:r>
          </w:p>
        </w:tc>
      </w:tr>
      <w:tr w14:paraId="6036A9EB">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5EAF90EC">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代表人：</w:t>
            </w:r>
          </w:p>
        </w:tc>
        <w:tc>
          <w:tcPr>
            <w:tcW w:w="4050" w:type="dxa"/>
            <w:tcBorders>
              <w:top w:val="nil"/>
              <w:left w:val="nil"/>
              <w:bottom w:val="nil"/>
              <w:right w:val="nil"/>
            </w:tcBorders>
            <w:shd w:val="clear" w:color="auto" w:fill="auto"/>
            <w:tcMar>
              <w:top w:w="80" w:type="dxa"/>
              <w:left w:w="80" w:type="dxa"/>
              <w:bottom w:w="80" w:type="dxa"/>
              <w:right w:w="80" w:type="dxa"/>
            </w:tcMar>
          </w:tcPr>
          <w:p w14:paraId="785DBFE3">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代表人：</w:t>
            </w:r>
          </w:p>
        </w:tc>
      </w:tr>
      <w:tr w14:paraId="76D1F7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068D2442">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电</w:t>
            </w:r>
            <w:r>
              <w:rPr>
                <w:rFonts w:eastAsia="仿宋" w:cs="Times New Roman"/>
                <w:color w:val="auto"/>
                <w:kern w:val="0"/>
                <w:sz w:val="24"/>
                <w:szCs w:val="24"/>
                <w:highlight w:val="none"/>
              </w:rPr>
              <w:t xml:space="preserve">    </w:t>
            </w:r>
            <w:r>
              <w:rPr>
                <w:rFonts w:eastAsia="仿宋" w:cs="Times New Roman"/>
                <w:color w:val="auto"/>
                <w:kern w:val="0"/>
                <w:sz w:val="24"/>
                <w:szCs w:val="24"/>
                <w:highlight w:val="none"/>
                <w:lang w:val="zh-TW" w:eastAsia="zh-TW"/>
              </w:rPr>
              <w:t>话：</w:t>
            </w:r>
          </w:p>
        </w:tc>
        <w:tc>
          <w:tcPr>
            <w:tcW w:w="4050" w:type="dxa"/>
            <w:tcBorders>
              <w:top w:val="nil"/>
              <w:left w:val="nil"/>
              <w:bottom w:val="nil"/>
              <w:right w:val="nil"/>
            </w:tcBorders>
            <w:shd w:val="clear" w:color="auto" w:fill="auto"/>
            <w:tcMar>
              <w:top w:w="80" w:type="dxa"/>
              <w:left w:w="80" w:type="dxa"/>
              <w:bottom w:w="80" w:type="dxa"/>
              <w:right w:w="80" w:type="dxa"/>
            </w:tcMar>
          </w:tcPr>
          <w:p w14:paraId="49892836">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电</w:t>
            </w:r>
            <w:r>
              <w:rPr>
                <w:rFonts w:eastAsia="仿宋" w:cs="Times New Roman"/>
                <w:color w:val="auto"/>
                <w:kern w:val="0"/>
                <w:sz w:val="24"/>
                <w:szCs w:val="24"/>
                <w:highlight w:val="none"/>
              </w:rPr>
              <w:t xml:space="preserve">    </w:t>
            </w:r>
            <w:r>
              <w:rPr>
                <w:rFonts w:eastAsia="仿宋" w:cs="Times New Roman"/>
                <w:color w:val="auto"/>
                <w:kern w:val="0"/>
                <w:sz w:val="24"/>
                <w:szCs w:val="24"/>
                <w:highlight w:val="none"/>
                <w:lang w:val="zh-TW" w:eastAsia="zh-TW"/>
              </w:rPr>
              <w:t>话：</w:t>
            </w:r>
          </w:p>
        </w:tc>
      </w:tr>
      <w:tr w14:paraId="100D308E">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41F902C2">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开户银行：</w:t>
            </w:r>
          </w:p>
        </w:tc>
        <w:tc>
          <w:tcPr>
            <w:tcW w:w="4050" w:type="dxa"/>
            <w:tcBorders>
              <w:top w:val="nil"/>
              <w:left w:val="nil"/>
              <w:bottom w:val="nil"/>
              <w:right w:val="nil"/>
            </w:tcBorders>
            <w:shd w:val="clear" w:color="auto" w:fill="auto"/>
            <w:tcMar>
              <w:top w:w="80" w:type="dxa"/>
              <w:left w:w="80" w:type="dxa"/>
              <w:bottom w:w="80" w:type="dxa"/>
              <w:right w:w="80" w:type="dxa"/>
            </w:tcMar>
          </w:tcPr>
          <w:p w14:paraId="2C8EC316">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开户银行：</w:t>
            </w:r>
          </w:p>
        </w:tc>
      </w:tr>
      <w:tr w14:paraId="5B1EF04D">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555"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2183AB11">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帐</w:t>
            </w:r>
            <w:r>
              <w:rPr>
                <w:rFonts w:eastAsia="仿宋" w:cs="Times New Roman"/>
                <w:color w:val="auto"/>
                <w:kern w:val="0"/>
                <w:sz w:val="24"/>
                <w:szCs w:val="24"/>
                <w:highlight w:val="none"/>
              </w:rPr>
              <w:t xml:space="preserve">    </w:t>
            </w:r>
            <w:r>
              <w:rPr>
                <w:rFonts w:eastAsia="仿宋" w:cs="Times New Roman"/>
                <w:color w:val="auto"/>
                <w:kern w:val="0"/>
                <w:sz w:val="24"/>
                <w:szCs w:val="24"/>
                <w:highlight w:val="none"/>
                <w:lang w:val="zh-TW" w:eastAsia="zh-TW"/>
              </w:rPr>
              <w:t>号：</w:t>
            </w:r>
          </w:p>
        </w:tc>
        <w:tc>
          <w:tcPr>
            <w:tcW w:w="4050" w:type="dxa"/>
            <w:tcBorders>
              <w:top w:val="nil"/>
              <w:left w:val="nil"/>
              <w:bottom w:val="nil"/>
              <w:right w:val="nil"/>
            </w:tcBorders>
            <w:shd w:val="clear" w:color="auto" w:fill="auto"/>
            <w:tcMar>
              <w:top w:w="80" w:type="dxa"/>
              <w:left w:w="80" w:type="dxa"/>
              <w:bottom w:w="80" w:type="dxa"/>
              <w:right w:w="80" w:type="dxa"/>
            </w:tcMar>
          </w:tcPr>
          <w:p w14:paraId="12D68452">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帐</w:t>
            </w:r>
            <w:r>
              <w:rPr>
                <w:rFonts w:eastAsia="仿宋" w:cs="Times New Roman"/>
                <w:color w:val="auto"/>
                <w:kern w:val="0"/>
                <w:sz w:val="24"/>
                <w:szCs w:val="24"/>
                <w:highlight w:val="none"/>
              </w:rPr>
              <w:t xml:space="preserve">    </w:t>
            </w:r>
            <w:r>
              <w:rPr>
                <w:rFonts w:eastAsia="仿宋" w:cs="Times New Roman"/>
                <w:color w:val="auto"/>
                <w:kern w:val="0"/>
                <w:sz w:val="24"/>
                <w:szCs w:val="24"/>
                <w:highlight w:val="none"/>
                <w:lang w:val="zh-TW" w:eastAsia="zh-TW"/>
              </w:rPr>
              <w:t>号：</w:t>
            </w:r>
          </w:p>
        </w:tc>
      </w:tr>
      <w:tr w14:paraId="59BD310C">
        <w:tblPrEx>
          <w:tblBorders>
            <w:top w:val="single" w:color="FFFFFF" w:sz="8" w:space="0"/>
            <w:left w:val="single" w:color="FFFFFF" w:sz="8" w:space="0"/>
            <w:bottom w:val="single" w:color="FFFFFF" w:sz="8" w:space="0"/>
            <w:right w:val="single" w:color="FFFFFF" w:sz="8" w:space="0"/>
            <w:insideH w:val="single" w:color="FFFFFF" w:sz="8" w:space="0"/>
            <w:insideV w:val="single" w:color="FFFFFF" w:sz="8" w:space="0"/>
          </w:tblBorders>
          <w:shd w:val="clear" w:color="auto" w:fill="CED7E7"/>
          <w:tblCellMar>
            <w:top w:w="0" w:type="dxa"/>
            <w:left w:w="10" w:type="dxa"/>
            <w:bottom w:w="0" w:type="dxa"/>
            <w:right w:w="10" w:type="dxa"/>
          </w:tblCellMar>
        </w:tblPrEx>
        <w:trPr>
          <w:trHeight w:val="320" w:hRule="atLeast"/>
        </w:trPr>
        <w:tc>
          <w:tcPr>
            <w:tcW w:w="4238" w:type="dxa"/>
            <w:tcBorders>
              <w:top w:val="nil"/>
              <w:left w:val="nil"/>
              <w:bottom w:val="nil"/>
              <w:right w:val="nil"/>
            </w:tcBorders>
            <w:shd w:val="clear" w:color="auto" w:fill="auto"/>
            <w:tcMar>
              <w:top w:w="80" w:type="dxa"/>
              <w:left w:w="80" w:type="dxa"/>
              <w:bottom w:w="80" w:type="dxa"/>
              <w:right w:w="80" w:type="dxa"/>
            </w:tcMar>
          </w:tcPr>
          <w:p w14:paraId="53264C8F">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 xml:space="preserve">   </w:t>
            </w:r>
            <w:r>
              <w:rPr>
                <w:rFonts w:eastAsia="仿宋" w:cs="Times New Roman"/>
                <w:color w:val="auto"/>
                <w:kern w:val="0"/>
                <w:sz w:val="24"/>
                <w:szCs w:val="24"/>
                <w:highlight w:val="none"/>
              </w:rPr>
              <w:t xml:space="preserve">   </w:t>
            </w:r>
            <w:r>
              <w:rPr>
                <w:rFonts w:eastAsia="仿宋" w:cs="Times New Roman"/>
                <w:color w:val="auto"/>
                <w:kern w:val="0"/>
                <w:sz w:val="24"/>
                <w:szCs w:val="24"/>
                <w:highlight w:val="none"/>
                <w:lang w:val="zh-TW" w:eastAsia="zh-TW"/>
              </w:rPr>
              <w:t>年    月    日</w:t>
            </w:r>
          </w:p>
        </w:tc>
        <w:tc>
          <w:tcPr>
            <w:tcW w:w="4050" w:type="dxa"/>
            <w:tcBorders>
              <w:top w:val="nil"/>
              <w:left w:val="nil"/>
              <w:bottom w:val="nil"/>
              <w:right w:val="nil"/>
            </w:tcBorders>
            <w:shd w:val="clear" w:color="auto" w:fill="auto"/>
            <w:tcMar>
              <w:top w:w="80" w:type="dxa"/>
              <w:left w:w="80" w:type="dxa"/>
              <w:bottom w:w="80" w:type="dxa"/>
              <w:right w:w="80" w:type="dxa"/>
            </w:tcMar>
          </w:tcPr>
          <w:p w14:paraId="486E2AD8">
            <w:pPr>
              <w:pStyle w:val="419"/>
              <w:framePr w:wrap="auto" w:vAnchor="margin" w:hAnchor="text" w:yAlign="inline"/>
              <w:widowControl/>
              <w:spacing w:line="360" w:lineRule="auto"/>
              <w:ind w:firstLine="480" w:firstLineChars="200"/>
              <w:jc w:val="left"/>
              <w:rPr>
                <w:rFonts w:eastAsia="仿宋" w:cs="Times New Roman"/>
                <w:color w:val="auto"/>
                <w:sz w:val="24"/>
                <w:szCs w:val="24"/>
                <w:highlight w:val="none"/>
              </w:rPr>
            </w:pPr>
            <w:r>
              <w:rPr>
                <w:rFonts w:eastAsia="仿宋" w:cs="Times New Roman"/>
                <w:color w:val="auto"/>
                <w:kern w:val="0"/>
                <w:sz w:val="24"/>
                <w:szCs w:val="24"/>
                <w:highlight w:val="none"/>
                <w:lang w:val="zh-TW" w:eastAsia="zh-TW"/>
              </w:rPr>
              <w:t>年    月    日</w:t>
            </w:r>
          </w:p>
        </w:tc>
      </w:tr>
    </w:tbl>
    <w:p w14:paraId="42FE0FA5">
      <w:pPr>
        <w:ind w:firstLine="482"/>
        <w:rPr>
          <w:rFonts w:ascii="Times New Roman" w:hAnsi="Times New Roman" w:eastAsia="仿宋" w:cs="Times New Roman"/>
          <w:b/>
          <w:bCs/>
          <w:color w:val="auto"/>
          <w:sz w:val="28"/>
          <w:szCs w:val="32"/>
          <w:highlight w:val="none"/>
        </w:rPr>
      </w:pPr>
      <w:r>
        <w:rPr>
          <w:rFonts w:ascii="Times New Roman" w:hAnsi="Times New Roman" w:eastAsia="仿宋" w:cs="Times New Roman"/>
          <w:b/>
          <w:bCs/>
          <w:color w:val="auto"/>
          <w:sz w:val="24"/>
          <w:szCs w:val="24"/>
          <w:highlight w:val="none"/>
        </w:rPr>
        <w:br w:type="page"/>
      </w:r>
    </w:p>
    <w:p w14:paraId="1D56472C">
      <w:pPr>
        <w:spacing w:beforeLines="100" w:afterLines="100"/>
        <w:jc w:val="center"/>
        <w:outlineLvl w:val="0"/>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第六章 响应文件格式及附件</w:t>
      </w:r>
      <w:bookmarkEnd w:id="113"/>
      <w:bookmarkEnd w:id="114"/>
      <w:bookmarkEnd w:id="115"/>
      <w:bookmarkEnd w:id="116"/>
      <w:bookmarkEnd w:id="117"/>
      <w:bookmarkEnd w:id="118"/>
      <w:bookmarkEnd w:id="119"/>
      <w:bookmarkEnd w:id="120"/>
    </w:p>
    <w:p w14:paraId="79D125A1">
      <w:pPr>
        <w:pStyle w:val="27"/>
        <w:ind w:firstLine="880"/>
        <w:rPr>
          <w:rFonts w:ascii="仿宋" w:hAnsi="仿宋" w:eastAsia="仿宋" w:cs="仿宋"/>
          <w:color w:val="auto"/>
          <w:highlight w:val="none"/>
        </w:rPr>
      </w:pPr>
    </w:p>
    <w:p w14:paraId="27952651">
      <w:pPr>
        <w:spacing w:before="55"/>
        <w:ind w:right="616"/>
        <w:jc w:val="right"/>
        <w:rPr>
          <w:rFonts w:ascii="仿宋" w:hAnsi="仿宋" w:eastAsia="仿宋" w:cs="仿宋"/>
          <w:color w:val="auto"/>
          <w:w w:val="95"/>
          <w:sz w:val="32"/>
          <w:highlight w:val="none"/>
        </w:rPr>
      </w:pPr>
    </w:p>
    <w:p w14:paraId="584CFAE5">
      <w:pPr>
        <w:pStyle w:val="23"/>
        <w:rPr>
          <w:rFonts w:ascii="仿宋" w:hAnsi="仿宋" w:eastAsia="仿宋" w:cs="仿宋"/>
          <w:color w:val="auto"/>
          <w:sz w:val="32"/>
          <w:highlight w:val="none"/>
        </w:rPr>
      </w:pPr>
    </w:p>
    <w:p w14:paraId="6543A8FC">
      <w:pPr>
        <w:pStyle w:val="23"/>
        <w:rPr>
          <w:rFonts w:ascii="仿宋" w:hAnsi="仿宋" w:eastAsia="仿宋" w:cs="仿宋"/>
          <w:color w:val="auto"/>
          <w:sz w:val="33"/>
          <w:highlight w:val="none"/>
        </w:rPr>
      </w:pPr>
    </w:p>
    <w:p w14:paraId="41E42D25">
      <w:pPr>
        <w:spacing w:line="480" w:lineRule="auto"/>
        <w:jc w:val="center"/>
        <w:rPr>
          <w:rFonts w:ascii="仿宋" w:hAnsi="仿宋" w:eastAsia="仿宋" w:cs="仿宋"/>
          <w:b/>
          <w:bCs/>
          <w:color w:val="auto"/>
          <w:sz w:val="52"/>
          <w:szCs w:val="52"/>
          <w:highlight w:val="none"/>
        </w:rPr>
      </w:pPr>
    </w:p>
    <w:p w14:paraId="2D9227CF">
      <w:pPr>
        <w:spacing w:line="480" w:lineRule="auto"/>
        <w:jc w:val="center"/>
        <w:rPr>
          <w:rFonts w:ascii="仿宋" w:hAnsi="仿宋" w:eastAsia="仿宋" w:cs="仿宋"/>
          <w:b/>
          <w:bCs/>
          <w:color w:val="auto"/>
          <w:sz w:val="52"/>
          <w:szCs w:val="52"/>
          <w:highlight w:val="none"/>
        </w:rPr>
      </w:pPr>
      <w:r>
        <w:rPr>
          <w:rFonts w:hint="eastAsia" w:ascii="仿宋" w:hAnsi="仿宋" w:eastAsia="仿宋" w:cs="仿宋"/>
          <w:b/>
          <w:bCs/>
          <w:color w:val="auto"/>
          <w:sz w:val="52"/>
          <w:szCs w:val="52"/>
          <w:highlight w:val="none"/>
        </w:rPr>
        <w:t>竞争性磋商响应文件</w:t>
      </w:r>
    </w:p>
    <w:p w14:paraId="643230EB">
      <w:pPr>
        <w:spacing w:line="480" w:lineRule="auto"/>
        <w:rPr>
          <w:rFonts w:ascii="仿宋" w:hAnsi="仿宋" w:eastAsia="仿宋" w:cs="仿宋"/>
          <w:color w:val="auto"/>
          <w:sz w:val="32"/>
          <w:szCs w:val="32"/>
          <w:highlight w:val="none"/>
        </w:rPr>
      </w:pPr>
    </w:p>
    <w:p w14:paraId="5B765E87">
      <w:pPr>
        <w:spacing w:line="480" w:lineRule="auto"/>
        <w:rPr>
          <w:rFonts w:hint="eastAsia" w:ascii="仿宋" w:hAnsi="仿宋" w:eastAsia="仿宋" w:cs="仿宋"/>
          <w:color w:val="auto"/>
          <w:szCs w:val="21"/>
          <w:highlight w:val="none"/>
          <w:lang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eastAsia="zh-CN"/>
        </w:rPr>
        <w:t>雨花台区文化和旅游局雨花非遗・艺启同行—雨花台区非遗推广项目</w:t>
      </w:r>
    </w:p>
    <w:p w14:paraId="7D4D1540">
      <w:pPr>
        <w:spacing w:line="480" w:lineRule="auto"/>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项目编号：</w:t>
      </w:r>
      <w:r>
        <w:rPr>
          <w:rFonts w:hint="eastAsia" w:ascii="仿宋" w:hAnsi="仿宋" w:eastAsia="仿宋" w:cs="仿宋"/>
          <w:color w:val="auto"/>
          <w:sz w:val="28"/>
          <w:szCs w:val="28"/>
          <w:highlight w:val="none"/>
          <w:lang w:eastAsia="zh-CN"/>
        </w:rPr>
        <w:t>YCZX-CS-202501081</w:t>
      </w:r>
    </w:p>
    <w:p w14:paraId="6D5E5DCB">
      <w:pPr>
        <w:spacing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项目负责人：</w:t>
      </w:r>
    </w:p>
    <w:p w14:paraId="4EF498BB">
      <w:pPr>
        <w:spacing w:line="48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p>
    <w:p w14:paraId="634548F0">
      <w:pPr>
        <w:widowControl/>
        <w:jc w:val="left"/>
        <w:rPr>
          <w:rFonts w:ascii="仿宋" w:hAnsi="仿宋" w:eastAsia="仿宋" w:cs="仿宋"/>
          <w:color w:val="auto"/>
          <w:sz w:val="32"/>
          <w:szCs w:val="32"/>
          <w:highlight w:val="none"/>
        </w:rPr>
      </w:pPr>
    </w:p>
    <w:p w14:paraId="776EEB00">
      <w:pPr>
        <w:widowControl/>
        <w:jc w:val="left"/>
        <w:rPr>
          <w:rFonts w:ascii="仿宋" w:hAnsi="仿宋" w:eastAsia="仿宋" w:cs="仿宋"/>
          <w:color w:val="auto"/>
          <w:sz w:val="32"/>
          <w:szCs w:val="32"/>
          <w:highlight w:val="none"/>
        </w:rPr>
      </w:pPr>
    </w:p>
    <w:p w14:paraId="4B6255CC">
      <w:pPr>
        <w:widowControl/>
        <w:jc w:val="left"/>
        <w:rPr>
          <w:rFonts w:ascii="仿宋" w:hAnsi="仿宋" w:eastAsia="仿宋" w:cs="仿宋"/>
          <w:color w:val="auto"/>
          <w:sz w:val="32"/>
          <w:szCs w:val="32"/>
          <w:highlight w:val="none"/>
        </w:rPr>
      </w:pPr>
    </w:p>
    <w:p w14:paraId="5EDD58B4">
      <w:pPr>
        <w:widowControl/>
        <w:jc w:val="left"/>
        <w:rPr>
          <w:rFonts w:ascii="仿宋" w:hAnsi="仿宋" w:eastAsia="仿宋" w:cs="仿宋"/>
          <w:color w:val="auto"/>
          <w:sz w:val="32"/>
          <w:szCs w:val="32"/>
          <w:highlight w:val="none"/>
        </w:rPr>
      </w:pPr>
    </w:p>
    <w:p w14:paraId="3A2C1866">
      <w:pPr>
        <w:widowControl/>
        <w:jc w:val="left"/>
        <w:rPr>
          <w:rFonts w:ascii="仿宋" w:hAnsi="仿宋" w:eastAsia="仿宋" w:cs="仿宋"/>
          <w:color w:val="auto"/>
          <w:sz w:val="32"/>
          <w:szCs w:val="32"/>
          <w:highlight w:val="none"/>
        </w:rPr>
      </w:pPr>
    </w:p>
    <w:p w14:paraId="0B61493F">
      <w:pPr>
        <w:widowControl/>
        <w:jc w:val="center"/>
        <w:rPr>
          <w:rFonts w:ascii="仿宋" w:hAnsi="仿宋" w:eastAsia="仿宋" w:cs="仿宋"/>
          <w:color w:val="auto"/>
          <w:sz w:val="32"/>
          <w:szCs w:val="32"/>
          <w:highlight w:val="none"/>
        </w:rPr>
      </w:pPr>
    </w:p>
    <w:p w14:paraId="24A27CC5">
      <w:pPr>
        <w:widowControl/>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供应商名称 ：（加盖公章）</w:t>
      </w:r>
    </w:p>
    <w:p w14:paraId="29F92363">
      <w:pPr>
        <w:widowControl/>
        <w:jc w:val="center"/>
        <w:rPr>
          <w:rFonts w:ascii="仿宋" w:hAnsi="仿宋" w:eastAsia="仿宋" w:cs="仿宋"/>
          <w:b/>
          <w:bCs/>
          <w:color w:val="auto"/>
          <w:sz w:val="32"/>
          <w:szCs w:val="32"/>
          <w:highlight w:val="none"/>
        </w:rPr>
      </w:pPr>
    </w:p>
    <w:p w14:paraId="2CBFD4CA">
      <w:pPr>
        <w:widowControl/>
        <w:jc w:val="center"/>
        <w:rPr>
          <w:rFonts w:ascii="仿宋" w:hAnsi="仿宋" w:eastAsia="仿宋" w:cs="仿宋"/>
          <w:b/>
          <w:bCs/>
          <w:color w:val="auto"/>
          <w:szCs w:val="21"/>
          <w:highlight w:val="none"/>
        </w:rPr>
      </w:pPr>
      <w:r>
        <w:rPr>
          <w:rFonts w:hint="eastAsia" w:ascii="仿宋" w:hAnsi="仿宋" w:eastAsia="仿宋" w:cs="仿宋"/>
          <w:b/>
          <w:bCs/>
          <w:color w:val="auto"/>
          <w:sz w:val="32"/>
          <w:szCs w:val="32"/>
          <w:highlight w:val="none"/>
        </w:rPr>
        <w:t xml:space="preserve">日      期 ：       </w:t>
      </w:r>
      <w:r>
        <w:rPr>
          <w:rFonts w:hint="eastAsia" w:ascii="仿宋" w:hAnsi="仿宋" w:eastAsia="仿宋" w:cs="仿宋"/>
          <w:b/>
          <w:bCs/>
          <w:color w:val="auto"/>
          <w:szCs w:val="21"/>
          <w:highlight w:val="none"/>
        </w:rPr>
        <w:br w:type="page"/>
      </w:r>
    </w:p>
    <w:p w14:paraId="6911D77B">
      <w:pPr>
        <w:pStyle w:val="3"/>
        <w:keepLines w:val="0"/>
        <w:tabs>
          <w:tab w:val="left" w:pos="1440"/>
          <w:tab w:val="left" w:pos="5670"/>
        </w:tabs>
        <w:rPr>
          <w:rFonts w:ascii="仿宋" w:hAnsi="仿宋" w:eastAsia="仿宋" w:cs="仿宋"/>
          <w:color w:val="auto"/>
          <w:sz w:val="24"/>
          <w:highlight w:val="none"/>
        </w:rPr>
      </w:pPr>
      <w:bookmarkStart w:id="121" w:name="_Toc5429"/>
      <w:bookmarkStart w:id="122" w:name="_Toc13994"/>
      <w:bookmarkStart w:id="123" w:name="_Toc11566"/>
      <w:r>
        <w:rPr>
          <w:rFonts w:hint="eastAsia" w:ascii="仿宋" w:hAnsi="仿宋" w:eastAsia="仿宋" w:cs="仿宋"/>
          <w:color w:val="auto"/>
          <w:sz w:val="24"/>
          <w:highlight w:val="none"/>
        </w:rPr>
        <w:t>一、基本目录</w:t>
      </w:r>
      <w:bookmarkEnd w:id="121"/>
      <w:bookmarkEnd w:id="122"/>
      <w:bookmarkEnd w:id="123"/>
    </w:p>
    <w:p w14:paraId="7BC8EBBE">
      <w:pPr>
        <w:outlineLvl w:val="2"/>
        <w:rPr>
          <w:rFonts w:ascii="仿宋" w:hAnsi="仿宋" w:eastAsia="仿宋" w:cs="仿宋"/>
          <w:color w:val="auto"/>
          <w:sz w:val="28"/>
          <w:szCs w:val="28"/>
          <w:highlight w:val="none"/>
        </w:rPr>
      </w:pPr>
    </w:p>
    <w:p w14:paraId="5493A15A">
      <w:pPr>
        <w:pStyle w:val="4"/>
        <w:keepLines w:val="0"/>
        <w:tabs>
          <w:tab w:val="left" w:pos="1440"/>
          <w:tab w:val="left" w:pos="5670"/>
        </w:tabs>
        <w:wordWrap/>
        <w:spacing w:line="360" w:lineRule="auto"/>
        <w:rPr>
          <w:rFonts w:ascii="仿宋" w:hAnsi="仿宋" w:eastAsia="仿宋" w:cs="仿宋"/>
          <w:color w:val="auto"/>
          <w:sz w:val="24"/>
          <w:szCs w:val="24"/>
          <w:highlight w:val="none"/>
        </w:rPr>
      </w:pPr>
      <w:bookmarkStart w:id="124" w:name="_Toc26897"/>
      <w:bookmarkStart w:id="125" w:name="_Toc23408"/>
      <w:bookmarkStart w:id="126" w:name="_Toc28338"/>
      <w:r>
        <w:rPr>
          <w:rFonts w:hint="eastAsia" w:ascii="仿宋" w:hAnsi="仿宋" w:eastAsia="仿宋" w:cs="仿宋"/>
          <w:color w:val="auto"/>
          <w:sz w:val="24"/>
          <w:szCs w:val="24"/>
          <w:highlight w:val="none"/>
        </w:rPr>
        <w:t>1、磋商报价表</w:t>
      </w:r>
      <w:bookmarkEnd w:id="124"/>
      <w:bookmarkEnd w:id="125"/>
      <w:bookmarkEnd w:id="126"/>
    </w:p>
    <w:p w14:paraId="14CB7345">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磋商报价表</w:t>
      </w:r>
    </w:p>
    <w:p w14:paraId="1584D423">
      <w:pPr>
        <w:pStyle w:val="55"/>
        <w:rPr>
          <w:rFonts w:ascii="仿宋" w:hAnsi="仿宋" w:eastAsia="仿宋" w:cs="仿宋"/>
          <w:color w:val="auto"/>
          <w:highlight w:val="none"/>
        </w:rPr>
      </w:pPr>
      <w:r>
        <w:rPr>
          <w:rFonts w:hint="eastAsia" w:ascii="仿宋" w:hAnsi="仿宋" w:eastAsia="仿宋" w:cs="仿宋"/>
          <w:color w:val="auto"/>
          <w:highlight w:val="none"/>
        </w:rPr>
        <w:t>本次为首次报价                                  货币单位：人民币元</w:t>
      </w:r>
    </w:p>
    <w:p w14:paraId="58B0EA4A">
      <w:pPr>
        <w:pStyle w:val="55"/>
        <w:rPr>
          <w:rFonts w:ascii="仿宋" w:hAnsi="仿宋" w:eastAsia="仿宋" w:cs="仿宋"/>
          <w:color w:val="auto"/>
          <w:highlight w:val="none"/>
          <w:lang w:bidi="zh-CN"/>
        </w:rPr>
      </w:pPr>
      <w:r>
        <w:rPr>
          <w:rFonts w:hint="eastAsia" w:ascii="仿宋" w:hAnsi="仿宋" w:eastAsia="仿宋" w:cs="仿宋"/>
          <w:color w:val="auto"/>
          <w:highlight w:val="none"/>
        </w:rPr>
        <w:t>项目名称：</w:t>
      </w:r>
      <w:r>
        <w:rPr>
          <w:rFonts w:hint="eastAsia" w:ascii="仿宋" w:hAnsi="仿宋" w:eastAsia="仿宋" w:cs="仿宋"/>
          <w:color w:val="auto"/>
          <w:highlight w:val="none"/>
          <w:lang w:bidi="zh-CN"/>
        </w:rPr>
        <w:t>雨花台区文化和旅游局雨花非遗・艺启同行—雨花台区非遗推广项目</w:t>
      </w:r>
    </w:p>
    <w:p w14:paraId="7006D570">
      <w:pPr>
        <w:pStyle w:val="55"/>
        <w:rPr>
          <w:rFonts w:hint="eastAsia" w:ascii="仿宋" w:hAnsi="仿宋" w:eastAsia="仿宋" w:cs="仿宋"/>
          <w:color w:val="auto"/>
          <w:highlight w:val="none"/>
          <w:lang w:eastAsia="zh-CN" w:bidi="zh-CN"/>
        </w:rPr>
      </w:pPr>
      <w:r>
        <w:rPr>
          <w:rFonts w:hint="eastAsia" w:ascii="仿宋" w:hAnsi="仿宋" w:eastAsia="仿宋" w:cs="仿宋"/>
          <w:color w:val="auto"/>
          <w:highlight w:val="none"/>
        </w:rPr>
        <w:t>项目编号：</w:t>
      </w:r>
      <w:r>
        <w:rPr>
          <w:rFonts w:hint="eastAsia" w:ascii="仿宋" w:hAnsi="仿宋" w:eastAsia="仿宋" w:cs="仿宋"/>
          <w:color w:val="auto"/>
          <w:highlight w:val="none"/>
          <w:lang w:eastAsia="zh-CN"/>
        </w:rPr>
        <w:t>YCZX-CS-202501081</w:t>
      </w:r>
    </w:p>
    <w:tbl>
      <w:tblPr>
        <w:tblStyle w:val="61"/>
        <w:tblW w:w="0" w:type="auto"/>
        <w:tblCellSpacing w:w="1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15" w:type="dxa"/>
          <w:left w:w="15" w:type="dxa"/>
          <w:bottom w:w="15" w:type="dxa"/>
          <w:right w:w="15" w:type="dxa"/>
        </w:tblCellMar>
      </w:tblPr>
      <w:tblGrid>
        <w:gridCol w:w="4060"/>
        <w:gridCol w:w="1573"/>
        <w:gridCol w:w="2879"/>
      </w:tblGrid>
      <w:tr w14:paraId="50AB04D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0" w:hRule="atLeast"/>
          <w:tblCellSpacing w:w="15" w:type="dxa"/>
        </w:trPr>
        <w:tc>
          <w:tcPr>
            <w:tcW w:w="4088" w:type="dxa"/>
            <w:shd w:val="clear" w:color="auto" w:fill="auto"/>
            <w:vAlign w:val="center"/>
          </w:tcPr>
          <w:p w14:paraId="621C66C8">
            <w:pPr>
              <w:pStyle w:val="55"/>
              <w:rPr>
                <w:rFonts w:ascii="仿宋" w:hAnsi="仿宋" w:eastAsia="仿宋" w:cs="仿宋"/>
                <w:color w:val="auto"/>
                <w:highlight w:val="none"/>
              </w:rPr>
            </w:pPr>
            <w:r>
              <w:rPr>
                <w:rFonts w:hint="eastAsia" w:ascii="仿宋" w:hAnsi="仿宋" w:eastAsia="仿宋" w:cs="仿宋"/>
                <w:color w:val="auto"/>
                <w:highlight w:val="none"/>
                <w:lang w:bidi="zh-CN"/>
              </w:rPr>
              <w:t>项目名称</w:t>
            </w:r>
          </w:p>
        </w:tc>
        <w:tc>
          <w:tcPr>
            <w:tcW w:w="1556" w:type="dxa"/>
            <w:shd w:val="clear" w:color="auto" w:fill="auto"/>
            <w:vAlign w:val="center"/>
          </w:tcPr>
          <w:p w14:paraId="6F6F57B5">
            <w:pPr>
              <w:pStyle w:val="55"/>
              <w:rPr>
                <w:rFonts w:ascii="仿宋" w:hAnsi="仿宋" w:eastAsia="仿宋" w:cs="仿宋"/>
                <w:color w:val="auto"/>
                <w:highlight w:val="none"/>
              </w:rPr>
            </w:pPr>
            <w:r>
              <w:rPr>
                <w:rFonts w:hint="eastAsia" w:ascii="仿宋" w:hAnsi="仿宋" w:eastAsia="仿宋" w:cs="仿宋"/>
                <w:color w:val="auto"/>
                <w:highlight w:val="none"/>
              </w:rPr>
              <w:t>项目内容</w:t>
            </w:r>
          </w:p>
        </w:tc>
        <w:tc>
          <w:tcPr>
            <w:tcW w:w="2868" w:type="dxa"/>
            <w:shd w:val="clear" w:color="auto" w:fill="auto"/>
            <w:vAlign w:val="center"/>
          </w:tcPr>
          <w:p w14:paraId="29432964">
            <w:pPr>
              <w:pStyle w:val="55"/>
              <w:rPr>
                <w:rFonts w:ascii="仿宋" w:hAnsi="仿宋" w:eastAsia="仿宋" w:cs="仿宋"/>
                <w:color w:val="auto"/>
                <w:highlight w:val="none"/>
              </w:rPr>
            </w:pPr>
            <w:r>
              <w:rPr>
                <w:rFonts w:hint="eastAsia" w:ascii="仿宋" w:hAnsi="仿宋" w:eastAsia="仿宋" w:cs="仿宋"/>
                <w:color w:val="auto"/>
                <w:highlight w:val="none"/>
              </w:rPr>
              <w:t>总价（小写）</w:t>
            </w:r>
          </w:p>
        </w:tc>
      </w:tr>
      <w:tr w14:paraId="513CD54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0" w:hRule="atLeast"/>
          <w:tblCellSpacing w:w="15" w:type="dxa"/>
        </w:trPr>
        <w:tc>
          <w:tcPr>
            <w:tcW w:w="4088" w:type="dxa"/>
            <w:shd w:val="clear" w:color="auto" w:fill="auto"/>
            <w:vAlign w:val="center"/>
          </w:tcPr>
          <w:p w14:paraId="046654D9">
            <w:pPr>
              <w:pStyle w:val="55"/>
              <w:spacing w:line="360" w:lineRule="auto"/>
              <w:rPr>
                <w:rFonts w:ascii="仿宋" w:hAnsi="仿宋" w:eastAsia="仿宋" w:cs="仿宋"/>
                <w:color w:val="auto"/>
                <w:highlight w:val="none"/>
              </w:rPr>
            </w:pPr>
            <w:r>
              <w:rPr>
                <w:rFonts w:hint="eastAsia" w:ascii="仿宋" w:hAnsi="仿宋" w:eastAsia="仿宋" w:cs="仿宋"/>
                <w:color w:val="auto"/>
                <w:highlight w:val="none"/>
                <w:lang w:bidi="zh-CN"/>
              </w:rPr>
              <w:t>雨花台区文化和旅游局雨花非遗・艺启同行—雨花台区非遗推广项目</w:t>
            </w:r>
          </w:p>
        </w:tc>
        <w:tc>
          <w:tcPr>
            <w:tcW w:w="1556" w:type="dxa"/>
            <w:shd w:val="clear" w:color="auto" w:fill="auto"/>
            <w:vAlign w:val="center"/>
          </w:tcPr>
          <w:p w14:paraId="25B9D0E9">
            <w:pPr>
              <w:pStyle w:val="55"/>
              <w:rPr>
                <w:rFonts w:ascii="仿宋" w:hAnsi="仿宋" w:eastAsia="仿宋" w:cs="仿宋"/>
                <w:color w:val="auto"/>
                <w:highlight w:val="none"/>
              </w:rPr>
            </w:pPr>
            <w:r>
              <w:rPr>
                <w:rFonts w:hint="eastAsia" w:ascii="仿宋" w:hAnsi="仿宋" w:eastAsia="仿宋" w:cs="仿宋"/>
                <w:color w:val="auto"/>
                <w:highlight w:val="none"/>
              </w:rPr>
              <w:t>详见响应文件</w:t>
            </w:r>
          </w:p>
        </w:tc>
        <w:tc>
          <w:tcPr>
            <w:tcW w:w="2868" w:type="dxa"/>
            <w:shd w:val="clear" w:color="auto" w:fill="auto"/>
            <w:vAlign w:val="center"/>
          </w:tcPr>
          <w:p w14:paraId="06FC3129">
            <w:pPr>
              <w:pStyle w:val="55"/>
              <w:rPr>
                <w:rFonts w:ascii="仿宋" w:hAnsi="仿宋" w:eastAsia="仿宋" w:cs="仿宋"/>
                <w:color w:val="auto"/>
                <w:highlight w:val="none"/>
              </w:rPr>
            </w:pPr>
            <w:r>
              <w:rPr>
                <w:rFonts w:hint="eastAsia" w:ascii="仿宋" w:hAnsi="仿宋" w:eastAsia="仿宋" w:cs="仿宋"/>
                <w:color w:val="auto"/>
                <w:highlight w:val="none"/>
              </w:rPr>
              <w:t> </w:t>
            </w:r>
            <w:r>
              <w:rPr>
                <w:rFonts w:ascii="仿宋" w:hAnsi="仿宋" w:eastAsia="仿宋" w:cs="仿宋"/>
                <w:color w:val="auto"/>
                <w:highlight w:val="none"/>
              </w:rPr>
              <w:pict>
                <v:rect id="矩形 12" o:spid="_x0000_s1026" o:spt="1" style="height:0pt;width:0.05pt;" filled="f" coordsize="21600,21600">
                  <v:path/>
                  <v:fill on="f" focussize="0,0"/>
                  <v:stroke/>
                  <v:imagedata o:title=""/>
                  <o:lock v:ext="edit"/>
                  <v:textbox>
                    <w:txbxContent>
                      <w:p w14:paraId="6A6ABCDC"/>
                    </w:txbxContent>
                  </v:textbox>
                  <w10:wrap type="none"/>
                  <w10:anchorlock/>
                </v:rect>
              </w:pict>
            </w:r>
            <w:r>
              <w:rPr>
                <w:rFonts w:hint="eastAsia" w:ascii="仿宋" w:hAnsi="仿宋" w:eastAsia="仿宋" w:cs="仿宋"/>
                <w:color w:val="auto"/>
                <w:highlight w:val="none"/>
              </w:rPr>
              <w:t> 元</w:t>
            </w:r>
          </w:p>
        </w:tc>
      </w:tr>
      <w:tr w14:paraId="2B832A4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15" w:type="dxa"/>
            <w:left w:w="15" w:type="dxa"/>
            <w:bottom w:w="15" w:type="dxa"/>
            <w:right w:w="15" w:type="dxa"/>
          </w:tblCellMar>
        </w:tblPrEx>
        <w:trPr>
          <w:trHeight w:val="0" w:hRule="atLeast"/>
          <w:tblCellSpacing w:w="15" w:type="dxa"/>
        </w:trPr>
        <w:tc>
          <w:tcPr>
            <w:tcW w:w="4088" w:type="dxa"/>
            <w:shd w:val="clear" w:color="auto" w:fill="auto"/>
            <w:vAlign w:val="center"/>
          </w:tcPr>
          <w:p w14:paraId="3480908C">
            <w:pPr>
              <w:pStyle w:val="55"/>
              <w:rPr>
                <w:rFonts w:ascii="仿宋" w:hAnsi="仿宋" w:eastAsia="仿宋" w:cs="仿宋"/>
                <w:color w:val="auto"/>
                <w:highlight w:val="none"/>
              </w:rPr>
            </w:pPr>
            <w:r>
              <w:rPr>
                <w:rFonts w:hint="eastAsia" w:ascii="仿宋" w:hAnsi="仿宋" w:eastAsia="仿宋" w:cs="仿宋"/>
                <w:color w:val="auto"/>
                <w:highlight w:val="none"/>
              </w:rPr>
              <w:t>总价（大写）</w:t>
            </w:r>
          </w:p>
        </w:tc>
        <w:tc>
          <w:tcPr>
            <w:tcW w:w="4424" w:type="dxa"/>
            <w:gridSpan w:val="2"/>
            <w:shd w:val="clear" w:color="auto" w:fill="auto"/>
            <w:vAlign w:val="center"/>
          </w:tcPr>
          <w:p w14:paraId="55F5056F">
            <w:pPr>
              <w:pStyle w:val="55"/>
              <w:rPr>
                <w:rFonts w:ascii="仿宋" w:hAnsi="仿宋" w:eastAsia="仿宋" w:cs="仿宋"/>
                <w:color w:val="auto"/>
                <w:highlight w:val="none"/>
              </w:rPr>
            </w:pPr>
            <w:r>
              <w:rPr>
                <w:rFonts w:hint="eastAsia" w:ascii="仿宋" w:hAnsi="仿宋" w:eastAsia="仿宋" w:cs="仿宋"/>
                <w:color w:val="auto"/>
                <w:highlight w:val="none"/>
              </w:rPr>
              <w:t>金额大写：            元</w:t>
            </w:r>
          </w:p>
        </w:tc>
      </w:tr>
    </w:tbl>
    <w:p w14:paraId="0F30C8C5">
      <w:pPr>
        <w:pStyle w:val="55"/>
        <w:rPr>
          <w:rFonts w:ascii="仿宋" w:hAnsi="仿宋" w:eastAsia="仿宋" w:cs="仿宋"/>
          <w:color w:val="auto"/>
          <w:highlight w:val="none"/>
        </w:rPr>
      </w:pPr>
      <w:r>
        <w:rPr>
          <w:rFonts w:hint="eastAsia" w:ascii="仿宋" w:hAnsi="仿宋" w:eastAsia="仿宋" w:cs="仿宋"/>
          <w:color w:val="auto"/>
          <w:highlight w:val="none"/>
        </w:rPr>
        <w:t>报价说明：</w:t>
      </w:r>
    </w:p>
    <w:p w14:paraId="5BB787C4">
      <w:pPr>
        <w:pStyle w:val="5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1、报价包括完成项目的所有费用。采购人不再支付报价以外的任何费用。</w:t>
      </w:r>
    </w:p>
    <w:p w14:paraId="492463D3">
      <w:pPr>
        <w:pStyle w:val="5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2、报价以总价为准，大小写不一致以大写为准；</w:t>
      </w:r>
    </w:p>
    <w:p w14:paraId="7FC1A684">
      <w:pPr>
        <w:pStyle w:val="5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3、偏离说明：详见《偏离表》；</w:t>
      </w:r>
    </w:p>
    <w:p w14:paraId="146C32AC">
      <w:pPr>
        <w:pStyle w:val="55"/>
        <w:spacing w:before="0" w:beforeAutospacing="0" w:after="0" w:afterAutospacing="0" w:line="360" w:lineRule="auto"/>
        <w:rPr>
          <w:rFonts w:ascii="仿宋" w:hAnsi="仿宋" w:eastAsia="仿宋" w:cs="仿宋"/>
          <w:color w:val="auto"/>
          <w:highlight w:val="none"/>
        </w:rPr>
      </w:pPr>
      <w:r>
        <w:rPr>
          <w:rFonts w:hint="eastAsia" w:ascii="仿宋" w:hAnsi="仿宋" w:eastAsia="仿宋" w:cs="仿宋"/>
          <w:color w:val="auto"/>
          <w:highlight w:val="none"/>
        </w:rPr>
        <w:t>供应商（盖章）：</w:t>
      </w:r>
    </w:p>
    <w:p w14:paraId="4E9255DA">
      <w:pPr>
        <w:pStyle w:val="55"/>
        <w:rPr>
          <w:rFonts w:ascii="仿宋" w:hAnsi="仿宋" w:eastAsia="仿宋" w:cs="仿宋"/>
          <w:color w:val="auto"/>
          <w:highlight w:val="none"/>
        </w:rPr>
      </w:pPr>
    </w:p>
    <w:p w14:paraId="4787DBFD">
      <w:pPr>
        <w:pStyle w:val="55"/>
        <w:rPr>
          <w:rFonts w:ascii="仿宋" w:hAnsi="仿宋" w:eastAsia="仿宋" w:cs="仿宋"/>
          <w:color w:val="auto"/>
          <w:highlight w:val="none"/>
        </w:rPr>
      </w:pPr>
    </w:p>
    <w:p w14:paraId="5F928224">
      <w:pPr>
        <w:pStyle w:val="55"/>
        <w:rPr>
          <w:rFonts w:ascii="仿宋" w:hAnsi="仿宋" w:eastAsia="仿宋" w:cs="仿宋"/>
          <w:color w:val="auto"/>
          <w:highlight w:val="none"/>
        </w:rPr>
      </w:pPr>
    </w:p>
    <w:p w14:paraId="5913A145">
      <w:pPr>
        <w:pStyle w:val="55"/>
        <w:rPr>
          <w:rFonts w:ascii="仿宋" w:hAnsi="仿宋" w:eastAsia="仿宋" w:cs="仿宋"/>
          <w:color w:val="auto"/>
          <w:highlight w:val="none"/>
        </w:rPr>
      </w:pPr>
    </w:p>
    <w:p w14:paraId="243DAA80">
      <w:pPr>
        <w:pStyle w:val="55"/>
        <w:rPr>
          <w:rFonts w:ascii="仿宋" w:hAnsi="仿宋" w:eastAsia="仿宋" w:cs="仿宋"/>
          <w:color w:val="auto"/>
          <w:highlight w:val="none"/>
        </w:rPr>
      </w:pPr>
    </w:p>
    <w:p w14:paraId="710DB891">
      <w:pPr>
        <w:pStyle w:val="268"/>
        <w:rPr>
          <w:rFonts w:ascii="仿宋" w:hAnsi="仿宋" w:eastAsia="仿宋" w:cs="仿宋"/>
          <w:color w:val="auto"/>
          <w:highlight w:val="none"/>
        </w:rPr>
      </w:pPr>
    </w:p>
    <w:p w14:paraId="10D42E74">
      <w:pPr>
        <w:rPr>
          <w:rFonts w:ascii="仿宋" w:hAnsi="仿宋" w:eastAsia="仿宋" w:cs="仿宋"/>
          <w:color w:val="auto"/>
          <w:highlight w:val="none"/>
        </w:rPr>
      </w:pPr>
    </w:p>
    <w:p w14:paraId="11B63F59">
      <w:pPr>
        <w:rPr>
          <w:rFonts w:ascii="仿宋" w:hAnsi="仿宋" w:eastAsia="仿宋" w:cs="仿宋"/>
          <w:color w:val="auto"/>
          <w:sz w:val="24"/>
          <w:szCs w:val="24"/>
          <w:highlight w:val="none"/>
        </w:rPr>
      </w:pPr>
      <w:bookmarkStart w:id="127" w:name="_Toc26677"/>
      <w:bookmarkStart w:id="128" w:name="_Toc18789"/>
      <w:bookmarkStart w:id="129" w:name="_Toc22439"/>
      <w:bookmarkStart w:id="130" w:name="_Toc21641"/>
      <w:bookmarkStart w:id="131" w:name="_Toc2940"/>
      <w:r>
        <w:rPr>
          <w:rFonts w:hint="eastAsia" w:ascii="仿宋" w:hAnsi="仿宋" w:eastAsia="仿宋" w:cs="仿宋"/>
          <w:color w:val="auto"/>
          <w:sz w:val="24"/>
          <w:szCs w:val="24"/>
          <w:highlight w:val="none"/>
        </w:rPr>
        <w:br w:type="page"/>
      </w:r>
    </w:p>
    <w:p w14:paraId="4E29BC49">
      <w:pPr>
        <w:pStyle w:val="4"/>
        <w:keepLines w:val="0"/>
        <w:tabs>
          <w:tab w:val="left" w:pos="1440"/>
          <w:tab w:val="left" w:pos="5670"/>
        </w:tabs>
        <w:wordWrap/>
        <w:spacing w:line="360" w:lineRule="auto"/>
        <w:rPr>
          <w:rFonts w:ascii="仿宋" w:hAnsi="仿宋" w:eastAsia="仿宋" w:cs="仿宋"/>
          <w:color w:val="auto"/>
          <w:sz w:val="24"/>
          <w:szCs w:val="24"/>
          <w:highlight w:val="none"/>
        </w:rPr>
      </w:pPr>
      <w:bookmarkStart w:id="132" w:name="_Toc16001"/>
      <w:r>
        <w:rPr>
          <w:rFonts w:hint="eastAsia" w:ascii="仿宋" w:hAnsi="仿宋" w:eastAsia="仿宋" w:cs="仿宋"/>
          <w:color w:val="auto"/>
          <w:sz w:val="24"/>
          <w:szCs w:val="24"/>
          <w:highlight w:val="none"/>
        </w:rPr>
        <w:t>2、竞争性磋商申请及声明</w:t>
      </w:r>
      <w:bookmarkEnd w:id="127"/>
      <w:bookmarkEnd w:id="128"/>
      <w:bookmarkEnd w:id="129"/>
      <w:bookmarkEnd w:id="130"/>
      <w:bookmarkEnd w:id="131"/>
      <w:bookmarkEnd w:id="132"/>
    </w:p>
    <w:p w14:paraId="7149FF43">
      <w:pPr>
        <w:jc w:val="center"/>
        <w:rPr>
          <w:rFonts w:ascii="仿宋" w:hAnsi="仿宋" w:eastAsia="仿宋" w:cs="仿宋"/>
          <w:b/>
          <w:color w:val="auto"/>
          <w:sz w:val="36"/>
          <w:szCs w:val="36"/>
          <w:highlight w:val="none"/>
        </w:rPr>
      </w:pPr>
      <w:r>
        <w:rPr>
          <w:rFonts w:hint="eastAsia" w:ascii="仿宋" w:hAnsi="仿宋" w:eastAsia="仿宋" w:cs="仿宋"/>
          <w:b/>
          <w:color w:val="auto"/>
          <w:sz w:val="36"/>
          <w:szCs w:val="36"/>
          <w:highlight w:val="none"/>
        </w:rPr>
        <w:t>竞争性磋商申请及声明</w:t>
      </w:r>
    </w:p>
    <w:p w14:paraId="4D30F705">
      <w:pPr>
        <w:jc w:val="center"/>
        <w:rPr>
          <w:rFonts w:ascii="仿宋" w:hAnsi="仿宋" w:eastAsia="仿宋" w:cs="仿宋"/>
          <w:color w:val="auto"/>
          <w:szCs w:val="21"/>
          <w:highlight w:val="none"/>
        </w:rPr>
      </w:pPr>
    </w:p>
    <w:p w14:paraId="1C885CEE">
      <w:pPr>
        <w:spacing w:line="360" w:lineRule="auto"/>
        <w:ind w:firstLine="428"/>
        <w:rPr>
          <w:rFonts w:ascii="仿宋" w:hAnsi="仿宋" w:eastAsia="仿宋" w:cs="仿宋"/>
          <w:color w:val="auto"/>
          <w:kern w:val="0"/>
          <w:sz w:val="24"/>
          <w:szCs w:val="24"/>
          <w:highlight w:val="none"/>
          <w:lang w:bidi="zh-CN"/>
        </w:rPr>
      </w:pPr>
      <w:r>
        <w:rPr>
          <w:rFonts w:hint="eastAsia" w:ascii="仿宋" w:hAnsi="仿宋" w:eastAsia="仿宋" w:cs="仿宋"/>
          <w:color w:val="auto"/>
          <w:sz w:val="24"/>
          <w:szCs w:val="24"/>
          <w:highlight w:val="none"/>
          <w:lang w:val="zh-CN"/>
        </w:rPr>
        <w:t>致：</w:t>
      </w:r>
      <w:r>
        <w:rPr>
          <w:rFonts w:hint="eastAsia" w:ascii="仿宋" w:hAnsi="仿宋" w:eastAsia="仿宋" w:cs="仿宋"/>
          <w:color w:val="auto"/>
          <w:kern w:val="0"/>
          <w:sz w:val="24"/>
          <w:szCs w:val="24"/>
          <w:highlight w:val="none"/>
          <w:lang w:bidi="zh-CN"/>
        </w:rPr>
        <w:t>南京市雨花台区文化和旅游局(采购人)</w:t>
      </w:r>
    </w:p>
    <w:p w14:paraId="37D7F184">
      <w:pPr>
        <w:spacing w:line="360" w:lineRule="auto"/>
        <w:ind w:firstLine="964" w:firstLineChars="402"/>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源成工程咨询（江苏南京）有限责任公司</w:t>
      </w:r>
    </w:p>
    <w:p w14:paraId="5A02E488">
      <w:pPr>
        <w:wordWrap w:val="0"/>
        <w:spacing w:line="440" w:lineRule="exact"/>
        <w:ind w:firstLine="420"/>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根据贵方</w:t>
      </w:r>
      <w:r>
        <w:rPr>
          <w:rFonts w:hint="eastAsia" w:ascii="仿宋" w:hAnsi="仿宋" w:eastAsia="仿宋" w:cs="仿宋"/>
          <w:color w:val="auto"/>
          <w:sz w:val="24"/>
          <w:szCs w:val="24"/>
          <w:highlight w:val="none"/>
          <w:u w:val="single"/>
          <w:lang w:val="zh-CN"/>
        </w:rPr>
        <w:t>雨花台区文化和旅游局雨花非遗・艺启同行—雨花台区非遗推广项目</w:t>
      </w:r>
      <w:r>
        <w:rPr>
          <w:rFonts w:hint="eastAsia" w:ascii="仿宋" w:hAnsi="仿宋" w:eastAsia="仿宋" w:cs="仿宋"/>
          <w:color w:val="auto"/>
          <w:sz w:val="24"/>
          <w:szCs w:val="24"/>
          <w:highlight w:val="none"/>
          <w:lang w:val="zh-CN"/>
        </w:rPr>
        <w:t>（项目名称）</w:t>
      </w:r>
      <w:r>
        <w:rPr>
          <w:rFonts w:hint="eastAsia" w:ascii="仿宋" w:hAnsi="仿宋" w:eastAsia="仿宋" w:cs="仿宋"/>
          <w:color w:val="auto"/>
          <w:sz w:val="24"/>
          <w:szCs w:val="24"/>
          <w:highlight w:val="none"/>
          <w:u w:val="single"/>
          <w:lang w:val="zh-CN"/>
        </w:rPr>
        <w:t>YCZX-CS-202501081</w:t>
      </w:r>
      <w:r>
        <w:rPr>
          <w:rFonts w:hint="eastAsia" w:ascii="仿宋" w:hAnsi="仿宋" w:eastAsia="仿宋" w:cs="仿宋"/>
          <w:color w:val="auto"/>
          <w:sz w:val="24"/>
          <w:szCs w:val="24"/>
          <w:highlight w:val="none"/>
          <w:lang w:val="zh-CN"/>
        </w:rPr>
        <w:t>（项目编号）竞争性磋商公告，（供应商名称），提交响应性文件并参加磋商。</w:t>
      </w:r>
    </w:p>
    <w:p w14:paraId="4CAF14CD">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据此函，本公司兹宣布同意如下：</w:t>
      </w:r>
    </w:p>
    <w:p w14:paraId="73A134E1">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zh-CN"/>
        </w:rPr>
        <w:t>我们的资格条件完全符合政府采购法和本次采购要求，</w:t>
      </w:r>
      <w:r>
        <w:rPr>
          <w:rFonts w:hint="eastAsia" w:ascii="仿宋" w:hAnsi="仿宋" w:eastAsia="仿宋" w:cs="仿宋"/>
          <w:color w:val="auto"/>
          <w:sz w:val="24"/>
          <w:szCs w:val="24"/>
          <w:highlight w:val="none"/>
        </w:rPr>
        <w:t>我们</w:t>
      </w:r>
      <w:r>
        <w:rPr>
          <w:rFonts w:hint="eastAsia" w:ascii="仿宋" w:hAnsi="仿宋" w:eastAsia="仿宋" w:cs="仿宋"/>
          <w:color w:val="auto"/>
          <w:sz w:val="24"/>
          <w:szCs w:val="24"/>
          <w:highlight w:val="none"/>
          <w:lang w:val="zh-CN"/>
        </w:rPr>
        <w:t>同意并向贵方提供了与本次采购活动有关的所有证据和资料</w:t>
      </w:r>
      <w:r>
        <w:rPr>
          <w:rFonts w:hint="eastAsia" w:ascii="仿宋" w:hAnsi="仿宋" w:eastAsia="仿宋" w:cs="仿宋"/>
          <w:color w:val="auto"/>
          <w:sz w:val="24"/>
          <w:szCs w:val="24"/>
          <w:highlight w:val="none"/>
        </w:rPr>
        <w:t>。</w:t>
      </w:r>
    </w:p>
    <w:p w14:paraId="22892936">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2、按磋商文件要求，我们的报价</w:t>
      </w:r>
      <w:r>
        <w:rPr>
          <w:rFonts w:hint="eastAsia" w:ascii="仿宋" w:hAnsi="仿宋" w:eastAsia="仿宋" w:cs="仿宋"/>
          <w:color w:val="auto"/>
          <w:sz w:val="24"/>
          <w:szCs w:val="24"/>
          <w:highlight w:val="none"/>
          <w:u w:val="single"/>
        </w:rPr>
        <w:t>详见磋商报价表</w:t>
      </w:r>
      <w:r>
        <w:rPr>
          <w:rFonts w:hint="eastAsia" w:ascii="仿宋" w:hAnsi="仿宋" w:eastAsia="仿宋" w:cs="仿宋"/>
          <w:color w:val="auto"/>
          <w:sz w:val="24"/>
          <w:szCs w:val="24"/>
          <w:highlight w:val="none"/>
        </w:rPr>
        <w:t>。</w:t>
      </w:r>
    </w:p>
    <w:p w14:paraId="0D11AB2B">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3、本项目服务时间为：</w:t>
      </w:r>
      <w:r>
        <w:rPr>
          <w:rFonts w:hint="eastAsia" w:ascii="仿宋" w:hAnsi="仿宋" w:eastAsia="仿宋" w:cs="仿宋"/>
          <w:color w:val="auto"/>
          <w:sz w:val="24"/>
          <w:szCs w:val="24"/>
          <w:highlight w:val="none"/>
          <w:u w:val="single"/>
        </w:rPr>
        <w:t>满足磋商文件要求</w:t>
      </w:r>
      <w:r>
        <w:rPr>
          <w:rFonts w:hint="eastAsia" w:ascii="仿宋" w:hAnsi="仿宋" w:eastAsia="仿宋" w:cs="仿宋"/>
          <w:color w:val="auto"/>
          <w:sz w:val="24"/>
          <w:szCs w:val="24"/>
          <w:highlight w:val="none"/>
        </w:rPr>
        <w:t>。</w:t>
      </w:r>
    </w:p>
    <w:p w14:paraId="1E129C8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r>
        <w:rPr>
          <w:rFonts w:hint="eastAsia" w:ascii="仿宋" w:hAnsi="仿宋" w:eastAsia="仿宋" w:cs="仿宋"/>
          <w:color w:val="auto"/>
          <w:sz w:val="24"/>
          <w:szCs w:val="24"/>
          <w:highlight w:val="none"/>
          <w:lang w:val="zh-CN"/>
        </w:rPr>
        <w:t>我们已详细阅读全部磋商文件及其有效补充文件，我们放弃对磋商文件任何误解的权利，提交响应文件后，</w:t>
      </w:r>
      <w:r>
        <w:rPr>
          <w:rFonts w:hint="eastAsia" w:ascii="仿宋" w:hAnsi="仿宋" w:eastAsia="仿宋" w:cs="仿宋"/>
          <w:b/>
          <w:color w:val="auto"/>
          <w:sz w:val="24"/>
          <w:szCs w:val="24"/>
          <w:highlight w:val="none"/>
          <w:lang w:val="zh-CN"/>
        </w:rPr>
        <w:t>不对磋商文件本身提出质疑</w:t>
      </w:r>
      <w:r>
        <w:rPr>
          <w:rFonts w:hint="eastAsia" w:ascii="仿宋" w:hAnsi="仿宋" w:eastAsia="仿宋" w:cs="仿宋"/>
          <w:color w:val="auto"/>
          <w:sz w:val="24"/>
          <w:szCs w:val="24"/>
          <w:highlight w:val="none"/>
          <w:lang w:val="zh-CN"/>
        </w:rPr>
        <w:t>。</w:t>
      </w:r>
    </w:p>
    <w:p w14:paraId="3564EB0E">
      <w:pPr>
        <w:widowControl/>
        <w:shd w:val="clear" w:color="auto" w:fill="FFFFFF"/>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5、一旦我方成交，我方将根据磋商文件的规定及我方响应承诺严格履行合同。</w:t>
      </w:r>
    </w:p>
    <w:p w14:paraId="53451130">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我方决不提供虚假材料谋取成交、决不采取不正当手段诋毁、排挤其他供应商、决不与采购人、其它供应商或者采购代理机构恶意串通、决不向采购人、采购代理机构工作人员和磋商小组进行商业贿赂、决不拒绝有关部门监督检查或提供虚假情况，如有违反，无条件接受贵方及相关管理部门的处罚。</w:t>
      </w:r>
    </w:p>
    <w:p w14:paraId="3723B93B">
      <w:pPr>
        <w:pStyle w:val="75"/>
        <w:rPr>
          <w:rFonts w:ascii="仿宋" w:hAnsi="仿宋" w:eastAsia="仿宋" w:cs="仿宋"/>
          <w:color w:val="auto"/>
          <w:highlight w:val="none"/>
        </w:rPr>
      </w:pPr>
      <w:r>
        <w:rPr>
          <w:rFonts w:hint="eastAsia" w:ascii="仿宋" w:hAnsi="仿宋" w:eastAsia="仿宋" w:cs="仿宋"/>
          <w:color w:val="auto"/>
          <w:highlight w:val="none"/>
        </w:rPr>
        <w:t xml:space="preserve">7、项目负责人： </w:t>
      </w:r>
      <w:r>
        <w:rPr>
          <w:rFonts w:hint="eastAsia" w:ascii="仿宋" w:hAnsi="仿宋" w:eastAsia="仿宋" w:cs="仿宋"/>
          <w:color w:val="auto"/>
          <w:highlight w:val="none"/>
          <w:lang w:val="en-US" w:eastAsia="zh-CN"/>
        </w:rPr>
        <w:t xml:space="preserve">      </w:t>
      </w:r>
      <w:r>
        <w:rPr>
          <w:rFonts w:hint="eastAsia" w:ascii="仿宋" w:hAnsi="仿宋" w:eastAsia="仿宋" w:cs="仿宋"/>
          <w:color w:val="auto"/>
          <w:highlight w:val="none"/>
        </w:rPr>
        <w:t>联系电话：</w:t>
      </w:r>
    </w:p>
    <w:p w14:paraId="042DC389">
      <w:pPr>
        <w:spacing w:line="360" w:lineRule="auto"/>
        <w:ind w:firstLine="480" w:firstLineChars="20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8、我方正式通讯方式为：</w:t>
      </w:r>
    </w:p>
    <w:p w14:paraId="0E2E2FF2">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地   址：</w:t>
      </w:r>
    </w:p>
    <w:p w14:paraId="25C0A0FA">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   话：</w:t>
      </w:r>
    </w:p>
    <w:p w14:paraId="44C67A25">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传   真：</w:t>
      </w:r>
    </w:p>
    <w:p w14:paraId="5960D1F6">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8、我方正式开户银行和账号为：</w:t>
      </w:r>
    </w:p>
    <w:p w14:paraId="4C322515">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开户银行：</w:t>
      </w:r>
    </w:p>
    <w:p w14:paraId="7451AA80">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账    号：</w:t>
      </w:r>
    </w:p>
    <w:p w14:paraId="249D20C2">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供应商名称（加盖公章）：</w:t>
      </w:r>
    </w:p>
    <w:p w14:paraId="6B92DF1F">
      <w:pPr>
        <w:spacing w:line="440" w:lineRule="exact"/>
        <w:ind w:firstLine="428"/>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5E93ED2">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clear="all"/>
      </w:r>
    </w:p>
    <w:p w14:paraId="59BCBB97">
      <w:pPr>
        <w:pStyle w:val="4"/>
        <w:keepLines w:val="0"/>
        <w:tabs>
          <w:tab w:val="left" w:pos="1440"/>
          <w:tab w:val="left" w:pos="5670"/>
        </w:tabs>
        <w:wordWrap/>
        <w:spacing w:line="360" w:lineRule="auto"/>
        <w:rPr>
          <w:rFonts w:ascii="仿宋" w:hAnsi="仿宋" w:eastAsia="仿宋" w:cs="仿宋"/>
          <w:color w:val="auto"/>
          <w:sz w:val="24"/>
          <w:szCs w:val="24"/>
          <w:highlight w:val="none"/>
          <w:lang w:val="zh-CN"/>
        </w:rPr>
      </w:pPr>
      <w:bookmarkStart w:id="133" w:name="_Toc5046"/>
      <w:bookmarkStart w:id="134" w:name="_Toc8362"/>
      <w:bookmarkStart w:id="135" w:name="_Toc18755"/>
      <w:bookmarkStart w:id="136" w:name="_Toc6320"/>
      <w:bookmarkStart w:id="137" w:name="_Toc30902"/>
      <w:bookmarkStart w:id="138" w:name="_Toc19056"/>
      <w:r>
        <w:rPr>
          <w:rFonts w:hint="eastAsia" w:ascii="仿宋" w:hAnsi="仿宋" w:eastAsia="仿宋" w:cs="仿宋"/>
          <w:color w:val="auto"/>
          <w:sz w:val="24"/>
          <w:szCs w:val="24"/>
          <w:highlight w:val="none"/>
        </w:rPr>
        <w:t>3、法定代表人授权书或法定代表人身份证明书</w:t>
      </w:r>
      <w:bookmarkEnd w:id="133"/>
      <w:bookmarkEnd w:id="134"/>
      <w:bookmarkEnd w:id="135"/>
      <w:bookmarkEnd w:id="136"/>
      <w:bookmarkEnd w:id="137"/>
      <w:bookmarkEnd w:id="138"/>
    </w:p>
    <w:p w14:paraId="29A1F97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法定代表人授权委托书</w:t>
      </w:r>
    </w:p>
    <w:p w14:paraId="4FA346D0">
      <w:pPr>
        <w:pStyle w:val="23"/>
        <w:tabs>
          <w:tab w:val="left" w:pos="5401"/>
          <w:tab w:val="left" w:pos="7458"/>
          <w:tab w:val="left" w:pos="8727"/>
        </w:tabs>
        <w:spacing w:line="360" w:lineRule="auto"/>
        <w:ind w:firstLine="480" w:firstLineChars="200"/>
        <w:rPr>
          <w:rFonts w:ascii="仿宋" w:hAnsi="仿宋" w:eastAsia="仿宋" w:cs="仿宋"/>
          <w:color w:val="auto"/>
          <w:kern w:val="0"/>
          <w:sz w:val="24"/>
          <w:szCs w:val="24"/>
          <w:highlight w:val="none"/>
          <w:lang w:bidi="zh-CN"/>
        </w:rPr>
      </w:pPr>
      <w:r>
        <w:rPr>
          <w:rFonts w:hint="eastAsia" w:ascii="仿宋" w:hAnsi="仿宋" w:eastAsia="仿宋" w:cs="仿宋"/>
          <w:color w:val="auto"/>
          <w:kern w:val="0"/>
          <w:sz w:val="24"/>
          <w:szCs w:val="24"/>
          <w:highlight w:val="none"/>
          <w:lang w:bidi="zh-CN"/>
        </w:rPr>
        <w:t>致：南京市雨花台区文化和旅游局(采购人)</w:t>
      </w:r>
    </w:p>
    <w:p w14:paraId="04EC9FDC">
      <w:pPr>
        <w:pStyle w:val="23"/>
        <w:tabs>
          <w:tab w:val="left" w:pos="5401"/>
          <w:tab w:val="left" w:pos="7458"/>
          <w:tab w:val="left" w:pos="8727"/>
        </w:tabs>
        <w:spacing w:line="360" w:lineRule="auto"/>
        <w:ind w:firstLine="960" w:firstLineChars="400"/>
        <w:rPr>
          <w:rFonts w:ascii="仿宋" w:hAnsi="仿宋" w:eastAsia="仿宋" w:cs="仿宋"/>
          <w:color w:val="auto"/>
          <w:kern w:val="0"/>
          <w:sz w:val="24"/>
          <w:szCs w:val="24"/>
          <w:highlight w:val="none"/>
          <w:lang w:val="zh-CN" w:bidi="zh-CN"/>
        </w:rPr>
      </w:pPr>
      <w:r>
        <w:rPr>
          <w:rFonts w:hint="eastAsia" w:ascii="仿宋" w:hAnsi="仿宋" w:eastAsia="仿宋" w:cs="仿宋"/>
          <w:color w:val="auto"/>
          <w:kern w:val="0"/>
          <w:sz w:val="24"/>
          <w:szCs w:val="24"/>
          <w:highlight w:val="none"/>
          <w:lang w:bidi="zh-CN"/>
        </w:rPr>
        <w:t xml:space="preserve">源成工程咨询（江苏南京）有限责任公司  </w:t>
      </w:r>
    </w:p>
    <w:p w14:paraId="36BAE337">
      <w:pPr>
        <w:rPr>
          <w:rFonts w:ascii="仿宋" w:hAnsi="仿宋" w:eastAsia="仿宋" w:cs="仿宋"/>
          <w:color w:val="auto"/>
          <w:sz w:val="24"/>
          <w:szCs w:val="24"/>
          <w:highlight w:val="none"/>
        </w:rPr>
      </w:pPr>
    </w:p>
    <w:p w14:paraId="4952775E">
      <w:pPr>
        <w:spacing w:line="360" w:lineRule="auto"/>
        <w:ind w:firstLine="484"/>
        <w:rPr>
          <w:rFonts w:ascii="仿宋" w:hAnsi="仿宋" w:eastAsia="仿宋" w:cs="仿宋"/>
          <w:color w:val="auto"/>
          <w:sz w:val="24"/>
          <w:szCs w:val="24"/>
          <w:highlight w:val="none"/>
          <w:lang w:val="zh-CN"/>
        </w:rPr>
      </w:pPr>
      <w:bookmarkStart w:id="139" w:name="_Toc3769"/>
      <w:bookmarkStart w:id="140" w:name="_Toc25958"/>
      <w:bookmarkStart w:id="141" w:name="_Toc12931"/>
      <w:r>
        <w:rPr>
          <w:rFonts w:hint="eastAsia" w:ascii="仿宋" w:hAnsi="仿宋" w:eastAsia="仿宋" w:cs="仿宋"/>
          <w:color w:val="auto"/>
          <w:sz w:val="24"/>
          <w:szCs w:val="24"/>
          <w:highlight w:val="none"/>
          <w:lang w:val="zh-CN"/>
        </w:rPr>
        <w:t>本授权书声明：注册于＿＿＿＿＿（供应商住址）的＿＿＿＿（供应商名称）法定代表人＿＿＿＿（法定代表人姓名、职务）代表本公司授权＿＿＿＿（供应商代表姓名、职务）为本公司的合法代理人，就贵方组织的</w:t>
      </w:r>
      <w:r>
        <w:rPr>
          <w:rFonts w:hint="eastAsia" w:ascii="仿宋" w:hAnsi="仿宋" w:eastAsia="仿宋" w:cs="仿宋"/>
          <w:color w:val="auto"/>
          <w:sz w:val="24"/>
          <w:szCs w:val="24"/>
          <w:highlight w:val="none"/>
          <w:u w:val="single"/>
          <w:lang w:val="zh-CN"/>
        </w:rPr>
        <w:t>雨花台区文化和旅游局雨花非遗・艺启同行—雨花台区非遗推广项目</w:t>
      </w:r>
      <w:r>
        <w:rPr>
          <w:rFonts w:hint="eastAsia" w:ascii="仿宋" w:hAnsi="仿宋" w:eastAsia="仿宋" w:cs="仿宋"/>
          <w:color w:val="auto"/>
          <w:sz w:val="24"/>
          <w:szCs w:val="24"/>
          <w:highlight w:val="none"/>
          <w:lang w:val="zh-CN"/>
        </w:rPr>
        <w:t>（项目名称），</w:t>
      </w:r>
      <w:r>
        <w:rPr>
          <w:rFonts w:hint="eastAsia" w:ascii="仿宋" w:hAnsi="仿宋" w:eastAsia="仿宋" w:cs="仿宋"/>
          <w:color w:val="auto"/>
          <w:sz w:val="24"/>
          <w:szCs w:val="24"/>
          <w:highlight w:val="none"/>
          <w:u w:val="single"/>
          <w:lang w:val="zh-CN"/>
        </w:rPr>
        <w:t>YCZX-CS-202501081</w:t>
      </w:r>
      <w:r>
        <w:rPr>
          <w:rFonts w:hint="eastAsia" w:ascii="仿宋" w:hAnsi="仿宋" w:eastAsia="仿宋" w:cs="仿宋"/>
          <w:color w:val="auto"/>
          <w:sz w:val="24"/>
          <w:szCs w:val="24"/>
          <w:highlight w:val="none"/>
          <w:lang w:val="zh-CN"/>
        </w:rPr>
        <w:t>（项目编号）投标，以本公司名义处理一切与之有关的事务。</w:t>
      </w:r>
    </w:p>
    <w:p w14:paraId="24574BC1">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本授权书于</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日盖章生效，特此声明。</w:t>
      </w:r>
    </w:p>
    <w:p w14:paraId="51812C1C">
      <w:pPr>
        <w:spacing w:line="360" w:lineRule="auto"/>
        <w:ind w:firstLine="480"/>
        <w:rPr>
          <w:rFonts w:ascii="仿宋" w:hAnsi="仿宋" w:eastAsia="仿宋" w:cs="仿宋"/>
          <w:color w:val="auto"/>
          <w:sz w:val="24"/>
          <w:szCs w:val="24"/>
          <w:highlight w:val="none"/>
        </w:rPr>
      </w:pPr>
    </w:p>
    <w:p w14:paraId="26002C2A">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被授权代表人姓名：            </w:t>
      </w:r>
    </w:p>
    <w:p w14:paraId="402F8907">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年龄：              </w:t>
      </w:r>
    </w:p>
    <w:p w14:paraId="69EFCAAB">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职务：</w:t>
      </w:r>
    </w:p>
    <w:p w14:paraId="2409B4D9">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身份证：                      </w:t>
      </w:r>
    </w:p>
    <w:p w14:paraId="046E9295">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联系电话：</w:t>
      </w:r>
    </w:p>
    <w:p w14:paraId="48C5949F">
      <w:pPr>
        <w:spacing w:line="360" w:lineRule="auto"/>
        <w:ind w:firstLine="480"/>
        <w:rPr>
          <w:rFonts w:ascii="仿宋" w:hAnsi="仿宋" w:eastAsia="仿宋" w:cs="仿宋"/>
          <w:color w:val="auto"/>
          <w:sz w:val="24"/>
          <w:szCs w:val="24"/>
          <w:highlight w:val="none"/>
        </w:rPr>
      </w:pPr>
    </w:p>
    <w:p w14:paraId="1159F7C1">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p w14:paraId="63331280">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年</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月</w:t>
      </w:r>
      <w:r>
        <w:rPr>
          <w:rFonts w:hint="eastAsia" w:ascii="仿宋" w:hAnsi="仿宋" w:eastAsia="仿宋" w:cs="仿宋"/>
          <w:color w:val="auto"/>
          <w:sz w:val="24"/>
          <w:szCs w:val="24"/>
          <w:highlight w:val="none"/>
          <w:lang w:val="en-US" w:eastAsia="zh-CN"/>
        </w:rPr>
        <w:t xml:space="preserve">  </w:t>
      </w:r>
      <w:r>
        <w:rPr>
          <w:rFonts w:hint="eastAsia" w:ascii="仿宋" w:hAnsi="仿宋" w:eastAsia="仿宋" w:cs="仿宋"/>
          <w:color w:val="auto"/>
          <w:sz w:val="24"/>
          <w:szCs w:val="24"/>
          <w:highlight w:val="none"/>
        </w:rPr>
        <w:t>日</w:t>
      </w:r>
    </w:p>
    <w:p w14:paraId="20EC2884">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（注：后附被授权委托人身份证正反面扫描件）</w:t>
      </w:r>
    </w:p>
    <w:p w14:paraId="1E825FD4">
      <w:pPr>
        <w:rPr>
          <w:color w:val="auto"/>
          <w:highlight w:val="none"/>
        </w:rPr>
        <w:sectPr>
          <w:headerReference r:id="rId13" w:type="default"/>
          <w:footerReference r:id="rId14" w:type="default"/>
          <w:pgSz w:w="11906" w:h="16838"/>
          <w:pgMar w:top="1417" w:right="1757" w:bottom="1417" w:left="1757" w:header="851" w:footer="1020" w:gutter="0"/>
          <w:cols w:space="720" w:num="1"/>
          <w:docGrid w:linePitch="290" w:charSpace="0"/>
        </w:sectPr>
      </w:pPr>
      <w:bookmarkStart w:id="142" w:name="_Toc4730"/>
      <w:bookmarkStart w:id="143" w:name="_Toc5249"/>
      <w:bookmarkStart w:id="144" w:name="_Toc17108"/>
      <w:bookmarkStart w:id="145" w:name="_Toc14545"/>
    </w:p>
    <w:p w14:paraId="2D1944CC">
      <w:pPr>
        <w:keepNext/>
        <w:keepLines/>
        <w:pBdr>
          <w:top w:val="none" w:color="000000" w:sz="0" w:space="0"/>
          <w:left w:val="none" w:color="000000" w:sz="0" w:space="0"/>
          <w:bottom w:val="none" w:color="000000" w:sz="0" w:space="0"/>
          <w:right w:val="none" w:color="000000" w:sz="0" w:space="0"/>
        </w:pBdr>
        <w:wordWrap w:val="0"/>
        <w:spacing w:line="85" w:lineRule="atLeast"/>
        <w:ind w:firstLine="641"/>
        <w:jc w:val="center"/>
        <w:rPr>
          <w:rFonts w:ascii="仿宋" w:hAnsi="仿宋" w:eastAsia="仿宋" w:cs="仿宋"/>
          <w:color w:val="auto"/>
          <w:sz w:val="44"/>
          <w:szCs w:val="44"/>
          <w:highlight w:val="none"/>
        </w:rPr>
      </w:pPr>
      <w:r>
        <w:rPr>
          <w:rFonts w:hint="eastAsia" w:ascii="仿宋" w:hAnsi="仿宋" w:eastAsia="仿宋" w:cs="仿宋"/>
          <w:b/>
          <w:color w:val="auto"/>
          <w:sz w:val="32"/>
          <w:szCs w:val="36"/>
          <w:highlight w:val="none"/>
        </w:rPr>
        <w:t>法定代表人身份证明书</w:t>
      </w:r>
      <w:bookmarkEnd w:id="142"/>
      <w:bookmarkEnd w:id="143"/>
      <w:bookmarkEnd w:id="144"/>
      <w:bookmarkEnd w:id="145"/>
    </w:p>
    <w:p w14:paraId="2BB0B66C">
      <w:pPr>
        <w:pBdr>
          <w:top w:val="none" w:color="000000" w:sz="0" w:space="0"/>
          <w:left w:val="none" w:color="000000" w:sz="0" w:space="0"/>
          <w:bottom w:val="none" w:color="000000" w:sz="0" w:space="0"/>
          <w:right w:val="none" w:color="000000" w:sz="0" w:space="0"/>
        </w:pBdr>
        <w:spacing w:line="85" w:lineRule="atLeast"/>
        <w:ind w:firstLine="560"/>
        <w:rPr>
          <w:rFonts w:ascii="仿宋" w:hAnsi="仿宋" w:eastAsia="仿宋" w:cs="仿宋"/>
          <w:color w:val="auto"/>
          <w:sz w:val="20"/>
          <w:szCs w:val="21"/>
          <w:highlight w:val="none"/>
        </w:rPr>
      </w:pPr>
      <w:r>
        <w:rPr>
          <w:rFonts w:hint="eastAsia" w:ascii="仿宋" w:hAnsi="仿宋" w:eastAsia="仿宋" w:cs="仿宋"/>
          <w:color w:val="auto"/>
          <w:sz w:val="24"/>
          <w:szCs w:val="21"/>
          <w:highlight w:val="none"/>
        </w:rPr>
        <w:t> </w:t>
      </w:r>
    </w:p>
    <w:p w14:paraId="36C15123">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兹证明</w:t>
      </w:r>
      <w:r>
        <w:rPr>
          <w:rFonts w:hint="eastAsia" w:ascii="仿宋" w:hAnsi="仿宋" w:eastAsia="仿宋" w:cs="仿宋"/>
          <w:b/>
          <w:color w:val="auto"/>
          <w:sz w:val="24"/>
          <w:szCs w:val="24"/>
          <w:highlight w:val="none"/>
          <w:u w:val="single"/>
        </w:rPr>
        <w:t>×××（）姓名</w:t>
      </w:r>
      <w:r>
        <w:rPr>
          <w:rFonts w:hint="eastAsia" w:ascii="仿宋" w:hAnsi="仿宋" w:eastAsia="仿宋" w:cs="仿宋"/>
          <w:color w:val="auto"/>
          <w:sz w:val="24"/>
          <w:szCs w:val="24"/>
          <w:highlight w:val="none"/>
        </w:rPr>
        <w:t>同志，性别</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，居民身份证号</w:t>
      </w:r>
      <w:r>
        <w:rPr>
          <w:rFonts w:hint="eastAsia" w:ascii="仿宋" w:hAnsi="仿宋" w:eastAsia="仿宋" w:cs="仿宋"/>
          <w:b/>
          <w:color w:val="auto"/>
          <w:sz w:val="24"/>
          <w:szCs w:val="24"/>
          <w:highlight w:val="none"/>
          <w:u w:val="single"/>
        </w:rPr>
        <w:t>×××</w:t>
      </w:r>
      <w:r>
        <w:rPr>
          <w:rFonts w:hint="eastAsia" w:ascii="仿宋" w:hAnsi="仿宋" w:eastAsia="仿宋" w:cs="仿宋"/>
          <w:color w:val="auto"/>
          <w:sz w:val="24"/>
          <w:szCs w:val="24"/>
          <w:highlight w:val="none"/>
        </w:rPr>
        <w:t>，在我单位任</w:t>
      </w:r>
      <w:r>
        <w:rPr>
          <w:rFonts w:hint="eastAsia" w:ascii="仿宋" w:hAnsi="仿宋" w:eastAsia="仿宋" w:cs="仿宋"/>
          <w:color w:val="auto"/>
          <w:sz w:val="24"/>
          <w:szCs w:val="24"/>
          <w:highlight w:val="none"/>
          <w:u w:val="single"/>
        </w:rPr>
        <w:t>               </w:t>
      </w:r>
      <w:r>
        <w:rPr>
          <w:rFonts w:hint="eastAsia" w:ascii="仿宋" w:hAnsi="仿宋" w:eastAsia="仿宋" w:cs="仿宋"/>
          <w:color w:val="auto"/>
          <w:sz w:val="24"/>
          <w:szCs w:val="24"/>
          <w:highlight w:val="none"/>
        </w:rPr>
        <w:t>职务，系我单位主要负责人即法定代表人。</w:t>
      </w:r>
    </w:p>
    <w:p w14:paraId="130407A8">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23316717">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单位地址：</w:t>
      </w:r>
    </w:p>
    <w:p w14:paraId="3083C8C1">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1DFDC561">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电话：</w:t>
      </w:r>
    </w:p>
    <w:p w14:paraId="1675B03E">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w:t>
      </w:r>
    </w:p>
    <w:p w14:paraId="4F791023">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单位全称： （加盖公章）</w:t>
      </w:r>
    </w:p>
    <w:p w14:paraId="6BFD4231">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0"/>
          <w:szCs w:val="21"/>
          <w:highlight w:val="none"/>
        </w:rPr>
      </w:pPr>
    </w:p>
    <w:p w14:paraId="6CBD0654">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0"/>
          <w:szCs w:val="21"/>
          <w:highlight w:val="none"/>
        </w:rPr>
      </w:pPr>
      <w:r>
        <w:rPr>
          <w:rFonts w:hint="eastAsia" w:ascii="仿宋" w:hAnsi="仿宋" w:eastAsia="仿宋" w:cs="仿宋"/>
          <w:color w:val="auto"/>
          <w:sz w:val="24"/>
          <w:szCs w:val="21"/>
          <w:highlight w:val="none"/>
        </w:rPr>
        <w:t>  </w:t>
      </w:r>
    </w:p>
    <w:p w14:paraId="32885994">
      <w:pPr>
        <w:pBdr>
          <w:top w:val="none" w:color="000000" w:sz="0" w:space="0"/>
          <w:left w:val="none" w:color="000000" w:sz="0" w:space="0"/>
          <w:bottom w:val="none" w:color="000000" w:sz="0" w:space="0"/>
          <w:right w:val="none" w:color="000000" w:sz="0" w:space="0"/>
        </w:pBdr>
        <w:spacing w:line="85" w:lineRule="atLeast"/>
        <w:ind w:firstLine="560"/>
        <w:jc w:val="right"/>
        <w:rPr>
          <w:rFonts w:ascii="仿宋" w:hAnsi="仿宋" w:eastAsia="仿宋" w:cs="仿宋"/>
          <w:color w:val="auto"/>
          <w:sz w:val="20"/>
          <w:szCs w:val="21"/>
          <w:highlight w:val="none"/>
        </w:rPr>
      </w:pPr>
      <w:r>
        <w:rPr>
          <w:rFonts w:hint="eastAsia" w:ascii="仿宋" w:hAnsi="仿宋" w:eastAsia="仿宋" w:cs="仿宋"/>
          <w:color w:val="auto"/>
          <w:sz w:val="24"/>
          <w:szCs w:val="21"/>
          <w:highlight w:val="none"/>
        </w:rPr>
        <w:t>  年月日</w:t>
      </w:r>
    </w:p>
    <w:p w14:paraId="5D87C824">
      <w:pPr>
        <w:pBdr>
          <w:top w:val="none" w:color="000000" w:sz="0" w:space="0"/>
          <w:left w:val="none" w:color="000000" w:sz="0" w:space="0"/>
          <w:bottom w:val="none" w:color="000000" w:sz="0" w:space="0"/>
          <w:right w:val="none" w:color="000000" w:sz="0" w:space="0"/>
        </w:pBdr>
        <w:spacing w:line="85" w:lineRule="atLeast"/>
        <w:ind w:firstLine="643"/>
        <w:rPr>
          <w:rFonts w:ascii="仿宋" w:hAnsi="仿宋" w:eastAsia="仿宋" w:cs="仿宋"/>
          <w:b/>
          <w:color w:val="auto"/>
          <w:sz w:val="28"/>
          <w:szCs w:val="21"/>
          <w:highlight w:val="none"/>
        </w:rPr>
      </w:pPr>
      <w:r>
        <w:rPr>
          <w:rFonts w:hint="eastAsia" w:ascii="仿宋" w:hAnsi="仿宋" w:eastAsia="仿宋" w:cs="仿宋"/>
          <w:b/>
          <w:color w:val="auto"/>
          <w:sz w:val="28"/>
          <w:szCs w:val="21"/>
          <w:highlight w:val="none"/>
        </w:rPr>
        <w:t> </w:t>
      </w:r>
    </w:p>
    <w:p w14:paraId="36C1C32F">
      <w:pPr>
        <w:pBdr>
          <w:top w:val="none" w:color="000000" w:sz="0" w:space="0"/>
          <w:left w:val="none" w:color="000000" w:sz="0" w:space="0"/>
          <w:bottom w:val="none" w:color="000000" w:sz="0" w:space="0"/>
          <w:right w:val="none" w:color="000000" w:sz="0" w:space="0"/>
        </w:pBdr>
        <w:spacing w:line="360" w:lineRule="auto"/>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rPr>
        <w:t>附：法定代表人居民身份证复印件</w:t>
      </w:r>
    </w:p>
    <w:p w14:paraId="0F47B6EB">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u w:val="single"/>
        </w:rPr>
      </w:pPr>
    </w:p>
    <w:p w14:paraId="691D574F">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u w:val="single"/>
        </w:rPr>
      </w:pPr>
    </w:p>
    <w:p w14:paraId="5DDB5DBE">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u w:val="single"/>
        </w:rPr>
      </w:pPr>
    </w:p>
    <w:p w14:paraId="0FA620E4">
      <w:pPr>
        <w:pBdr>
          <w:top w:val="none" w:color="000000" w:sz="0" w:space="0"/>
          <w:left w:val="none" w:color="000000" w:sz="0" w:space="0"/>
          <w:bottom w:val="none" w:color="000000" w:sz="0" w:space="0"/>
          <w:right w:val="none" w:color="000000" w:sz="0" w:space="0"/>
        </w:pBdr>
        <w:spacing w:line="360" w:lineRule="auto"/>
        <w:ind w:firstLine="56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u w:val="single"/>
        </w:rPr>
        <w:t>注：1.“法定代表人”直接参加投标响应活动的仅需填写本身份证明</w:t>
      </w:r>
      <w:r>
        <w:rPr>
          <w:rFonts w:hint="eastAsia" w:ascii="仿宋" w:hAnsi="仿宋" w:eastAsia="仿宋" w:cs="仿宋"/>
          <w:color w:val="auto"/>
          <w:sz w:val="24"/>
          <w:szCs w:val="24"/>
          <w:highlight w:val="none"/>
        </w:rPr>
        <w:t>。</w:t>
      </w:r>
    </w:p>
    <w:p w14:paraId="725B97E5">
      <w:pPr>
        <w:pBdr>
          <w:top w:val="none" w:color="000000" w:sz="0" w:space="0"/>
          <w:left w:val="none" w:color="000000" w:sz="0" w:space="0"/>
          <w:bottom w:val="none" w:color="000000" w:sz="0" w:space="0"/>
          <w:right w:val="none" w:color="000000" w:sz="0" w:space="0"/>
        </w:pBdr>
        <w:spacing w:line="360" w:lineRule="auto"/>
        <w:ind w:firstLine="964" w:firstLineChars="400"/>
        <w:rPr>
          <w:rFonts w:ascii="仿宋" w:hAnsi="仿宋" w:eastAsia="仿宋" w:cs="仿宋"/>
          <w:color w:val="auto"/>
          <w:sz w:val="24"/>
          <w:szCs w:val="24"/>
          <w:highlight w:val="none"/>
        </w:rPr>
      </w:pPr>
      <w:r>
        <w:rPr>
          <w:rFonts w:hint="eastAsia" w:ascii="仿宋" w:hAnsi="仿宋" w:eastAsia="仿宋" w:cs="仿宋"/>
          <w:b/>
          <w:color w:val="auto"/>
          <w:sz w:val="24"/>
          <w:szCs w:val="24"/>
          <w:highlight w:val="none"/>
          <w:u w:val="single"/>
        </w:rPr>
        <w:t>2.供应商属于非法人组织的，按照法律、行政法规规定能够对外代表其从事民事活动的主要负责人，视同法定代表人。</w:t>
      </w:r>
    </w:p>
    <w:p w14:paraId="7AF75459">
      <w:pPr>
        <w:pBdr>
          <w:top w:val="none" w:color="000000" w:sz="0" w:space="0"/>
          <w:left w:val="none" w:color="000000" w:sz="0" w:space="0"/>
          <w:bottom w:val="none" w:color="000000" w:sz="0" w:space="0"/>
          <w:right w:val="none" w:color="000000" w:sz="0" w:space="0"/>
        </w:pBdr>
        <w:spacing w:line="85" w:lineRule="atLeast"/>
        <w:rPr>
          <w:rFonts w:ascii="仿宋" w:hAnsi="仿宋" w:eastAsia="仿宋" w:cs="仿宋"/>
          <w:color w:val="auto"/>
          <w:sz w:val="22"/>
          <w:szCs w:val="24"/>
          <w:highlight w:val="none"/>
        </w:rPr>
      </w:pPr>
      <w:r>
        <w:rPr>
          <w:rFonts w:hint="eastAsia" w:ascii="仿宋" w:hAnsi="仿宋" w:eastAsia="仿宋" w:cs="仿宋"/>
          <w:color w:val="auto"/>
          <w:sz w:val="22"/>
          <w:szCs w:val="24"/>
          <w:highlight w:val="none"/>
        </w:rPr>
        <w:br w:type="page" w:clear="all"/>
      </w:r>
    </w:p>
    <w:p w14:paraId="0C3D3C02">
      <w:pPr>
        <w:rPr>
          <w:color w:val="auto"/>
          <w:highlight w:val="none"/>
        </w:rPr>
        <w:sectPr>
          <w:pgSz w:w="11906" w:h="16838"/>
          <w:pgMar w:top="1417" w:right="1757" w:bottom="1417" w:left="1757" w:header="851" w:footer="964" w:gutter="0"/>
          <w:cols w:space="720" w:num="1"/>
          <w:docGrid w:linePitch="290" w:charSpace="0"/>
        </w:sectPr>
      </w:pPr>
    </w:p>
    <w:bookmarkEnd w:id="139"/>
    <w:bookmarkEnd w:id="140"/>
    <w:bookmarkEnd w:id="141"/>
    <w:p w14:paraId="3F1AFADD">
      <w:pPr>
        <w:pStyle w:val="4"/>
        <w:keepLines w:val="0"/>
        <w:tabs>
          <w:tab w:val="left" w:pos="1440"/>
          <w:tab w:val="left" w:pos="5670"/>
        </w:tabs>
        <w:wordWrap/>
        <w:spacing w:line="360" w:lineRule="auto"/>
        <w:rPr>
          <w:rFonts w:ascii="仿宋" w:hAnsi="仿宋" w:eastAsia="仿宋" w:cs="仿宋"/>
          <w:color w:val="auto"/>
          <w:sz w:val="24"/>
          <w:szCs w:val="24"/>
          <w:highlight w:val="none"/>
        </w:rPr>
      </w:pPr>
      <w:bookmarkStart w:id="146" w:name="_Toc1387"/>
      <w:bookmarkStart w:id="147" w:name="_Toc33266155"/>
      <w:bookmarkStart w:id="148" w:name="_Toc17405"/>
      <w:bookmarkStart w:id="149" w:name="_Toc28236"/>
      <w:bookmarkStart w:id="150" w:name="_Toc32431"/>
      <w:r>
        <w:rPr>
          <w:rFonts w:hint="eastAsia" w:ascii="仿宋" w:hAnsi="仿宋" w:eastAsia="仿宋" w:cs="仿宋"/>
          <w:color w:val="auto"/>
          <w:sz w:val="24"/>
          <w:szCs w:val="24"/>
          <w:highlight w:val="none"/>
        </w:rPr>
        <w:t>4、分项报价表</w:t>
      </w:r>
      <w:bookmarkEnd w:id="146"/>
      <w:bookmarkEnd w:id="147"/>
      <w:bookmarkEnd w:id="148"/>
    </w:p>
    <w:bookmarkEnd w:id="149"/>
    <w:bookmarkEnd w:id="150"/>
    <w:p w14:paraId="7DCA9CC2">
      <w:pPr>
        <w:spacing w:line="360" w:lineRule="auto"/>
        <w:jc w:val="center"/>
        <w:rPr>
          <w:rFonts w:ascii="仿宋" w:hAnsi="仿宋" w:eastAsia="仿宋" w:cs="仿宋"/>
          <w:b/>
          <w:bCs/>
          <w:color w:val="auto"/>
          <w:kern w:val="0"/>
          <w:sz w:val="32"/>
          <w:szCs w:val="32"/>
          <w:highlight w:val="none"/>
        </w:rPr>
      </w:pPr>
      <w:r>
        <w:rPr>
          <w:rStyle w:val="173"/>
          <w:rFonts w:hint="eastAsia" w:ascii="仿宋" w:hAnsi="仿宋" w:eastAsia="仿宋" w:cs="仿宋"/>
          <w:b/>
          <w:bCs/>
          <w:color w:val="auto"/>
          <w:kern w:val="0"/>
          <w:sz w:val="32"/>
          <w:szCs w:val="32"/>
          <w:highlight w:val="none"/>
          <w:lang w:val="zh-CN"/>
        </w:rPr>
        <w:t>分项报价表</w:t>
      </w:r>
    </w:p>
    <w:p w14:paraId="40CE4E05">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项目名称：</w:t>
      </w:r>
      <w:r>
        <w:rPr>
          <w:rFonts w:hint="eastAsia" w:ascii="仿宋" w:hAnsi="仿宋" w:eastAsia="仿宋" w:cs="仿宋"/>
          <w:color w:val="auto"/>
          <w:sz w:val="24"/>
          <w:szCs w:val="24"/>
          <w:highlight w:val="none"/>
          <w:lang w:eastAsia="zh-CN"/>
        </w:rPr>
        <w:t>雨花台区文化和旅游局雨花非遗・艺启同行—雨花台区非遗推广项目</w:t>
      </w:r>
    </w:p>
    <w:p w14:paraId="218CDC2D">
      <w:pPr>
        <w:spacing w:line="360" w:lineRule="auto"/>
        <w:jc w:val="left"/>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项目编号：</w:t>
      </w:r>
      <w:r>
        <w:rPr>
          <w:rFonts w:hint="eastAsia" w:ascii="仿宋" w:hAnsi="仿宋" w:eastAsia="仿宋" w:cs="仿宋"/>
          <w:color w:val="auto"/>
          <w:sz w:val="24"/>
          <w:szCs w:val="24"/>
          <w:highlight w:val="none"/>
          <w:lang w:eastAsia="zh-CN"/>
        </w:rPr>
        <w:t>YCZX-CS-202501081</w:t>
      </w:r>
    </w:p>
    <w:tbl>
      <w:tblPr>
        <w:tblStyle w:val="61"/>
        <w:tblW w:w="14357"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09"/>
        <w:gridCol w:w="1313"/>
        <w:gridCol w:w="1479"/>
        <w:gridCol w:w="1054"/>
        <w:gridCol w:w="998"/>
        <w:gridCol w:w="1245"/>
        <w:gridCol w:w="739"/>
        <w:gridCol w:w="985"/>
        <w:gridCol w:w="989"/>
        <w:gridCol w:w="4746"/>
      </w:tblGrid>
      <w:tr w14:paraId="026AD4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67" w:hRule="atLeast"/>
        </w:trPr>
        <w:tc>
          <w:tcPr>
            <w:tcW w:w="809" w:type="dxa"/>
            <w:tcBorders>
              <w:top w:val="single" w:color="000000" w:sz="8" w:space="0"/>
              <w:left w:val="single" w:color="000000" w:sz="8" w:space="0"/>
              <w:bottom w:val="single" w:color="000000" w:sz="8" w:space="0"/>
              <w:right w:val="single" w:color="000000" w:sz="4" w:space="0"/>
            </w:tcBorders>
            <w:shd w:val="clear" w:color="auto" w:fill="auto"/>
            <w:vAlign w:val="center"/>
          </w:tcPr>
          <w:p w14:paraId="308790E6">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序号</w:t>
            </w:r>
          </w:p>
        </w:tc>
        <w:tc>
          <w:tcPr>
            <w:tcW w:w="1313"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4826A81">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板块</w:t>
            </w:r>
          </w:p>
        </w:tc>
        <w:tc>
          <w:tcPr>
            <w:tcW w:w="1479" w:type="dxa"/>
            <w:tcBorders>
              <w:top w:val="single" w:color="000000" w:sz="8" w:space="0"/>
              <w:left w:val="single" w:color="000000" w:sz="4" w:space="0"/>
              <w:bottom w:val="single" w:color="000000" w:sz="8" w:space="0"/>
              <w:right w:val="single" w:color="000000" w:sz="4" w:space="0"/>
            </w:tcBorders>
            <w:shd w:val="clear" w:color="auto" w:fill="auto"/>
            <w:vAlign w:val="center"/>
          </w:tcPr>
          <w:p w14:paraId="09F73190">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形式</w:t>
            </w:r>
          </w:p>
        </w:tc>
        <w:tc>
          <w:tcPr>
            <w:tcW w:w="1054" w:type="dxa"/>
            <w:tcBorders>
              <w:top w:val="single" w:color="000000" w:sz="8" w:space="0"/>
              <w:left w:val="single" w:color="000000" w:sz="4" w:space="0"/>
              <w:bottom w:val="single" w:color="000000" w:sz="8" w:space="0"/>
              <w:right w:val="single" w:color="000000" w:sz="4" w:space="0"/>
            </w:tcBorders>
            <w:shd w:val="clear" w:color="auto" w:fill="auto"/>
            <w:vAlign w:val="center"/>
          </w:tcPr>
          <w:p w14:paraId="700AA04A">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场次</w:t>
            </w:r>
          </w:p>
        </w:tc>
        <w:tc>
          <w:tcPr>
            <w:tcW w:w="4956" w:type="dxa"/>
            <w:gridSpan w:val="5"/>
            <w:tcBorders>
              <w:top w:val="single" w:color="000000" w:sz="8" w:space="0"/>
              <w:left w:val="nil"/>
              <w:bottom w:val="single" w:color="000000" w:sz="8" w:space="0"/>
              <w:right w:val="single" w:color="000000" w:sz="4" w:space="0"/>
            </w:tcBorders>
            <w:shd w:val="clear" w:color="auto" w:fill="auto"/>
            <w:vAlign w:val="center"/>
          </w:tcPr>
          <w:p w14:paraId="23FB1C24">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明细</w:t>
            </w:r>
          </w:p>
        </w:tc>
        <w:tc>
          <w:tcPr>
            <w:tcW w:w="4746" w:type="dxa"/>
            <w:tcBorders>
              <w:top w:val="single" w:color="000000" w:sz="8" w:space="0"/>
              <w:left w:val="single" w:color="000000" w:sz="4" w:space="0"/>
              <w:bottom w:val="single" w:color="000000" w:sz="8" w:space="0"/>
              <w:right w:val="single" w:color="000000" w:sz="8" w:space="0"/>
            </w:tcBorders>
            <w:shd w:val="clear" w:color="auto" w:fill="auto"/>
            <w:vAlign w:val="center"/>
          </w:tcPr>
          <w:p w14:paraId="56C00E8E">
            <w:pPr>
              <w:keepNext w:val="0"/>
              <w:keepLines w:val="0"/>
              <w:widowControl/>
              <w:suppressLineNumbers w:val="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备注</w:t>
            </w:r>
          </w:p>
        </w:tc>
      </w:tr>
      <w:tr w14:paraId="7CF9AA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56" w:hRule="atLeast"/>
        </w:trPr>
        <w:tc>
          <w:tcPr>
            <w:tcW w:w="809" w:type="dxa"/>
            <w:vMerge w:val="restart"/>
            <w:tcBorders>
              <w:top w:val="nil"/>
              <w:left w:val="single" w:color="000000" w:sz="8" w:space="0"/>
              <w:bottom w:val="single" w:color="000000" w:sz="4" w:space="0"/>
              <w:right w:val="nil"/>
            </w:tcBorders>
            <w:shd w:val="clear" w:color="auto" w:fill="auto"/>
            <w:vAlign w:val="center"/>
          </w:tcPr>
          <w:p w14:paraId="658AF45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1313" w:type="dxa"/>
            <w:vMerge w:val="restart"/>
            <w:tcBorders>
              <w:top w:val="nil"/>
              <w:left w:val="single" w:color="000000" w:sz="4" w:space="0"/>
              <w:bottom w:val="single" w:color="000000" w:sz="4" w:space="0"/>
              <w:right w:val="single" w:color="000000" w:sz="4" w:space="0"/>
            </w:tcBorders>
            <w:shd w:val="clear" w:color="auto" w:fill="auto"/>
            <w:vAlign w:val="center"/>
          </w:tcPr>
          <w:p w14:paraId="72203B6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非遗进社区进企业、进景区</w:t>
            </w:r>
          </w:p>
        </w:tc>
        <w:tc>
          <w:tcPr>
            <w:tcW w:w="1479" w:type="dxa"/>
            <w:vMerge w:val="restart"/>
            <w:tcBorders>
              <w:top w:val="nil"/>
              <w:left w:val="single" w:color="000000" w:sz="4" w:space="0"/>
              <w:bottom w:val="single" w:color="000000" w:sz="4" w:space="0"/>
              <w:right w:val="single" w:color="000000" w:sz="4" w:space="0"/>
            </w:tcBorders>
            <w:shd w:val="clear" w:color="auto" w:fill="auto"/>
            <w:vAlign w:val="center"/>
          </w:tcPr>
          <w:p w14:paraId="61EF91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非遗表演/非遗课堂/非遗体验课堂/非遗作品成果展</w:t>
            </w:r>
          </w:p>
        </w:tc>
        <w:tc>
          <w:tcPr>
            <w:tcW w:w="1054" w:type="dxa"/>
            <w:vMerge w:val="restart"/>
            <w:tcBorders>
              <w:top w:val="nil"/>
              <w:left w:val="single" w:color="000000" w:sz="4" w:space="0"/>
              <w:bottom w:val="single" w:color="000000" w:sz="4" w:space="0"/>
              <w:right w:val="single" w:color="000000" w:sz="4" w:space="0"/>
            </w:tcBorders>
            <w:shd w:val="clear" w:color="auto" w:fill="auto"/>
            <w:vAlign w:val="center"/>
          </w:tcPr>
          <w:p w14:paraId="240301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预计每年开展20场</w:t>
            </w:r>
          </w:p>
        </w:tc>
        <w:tc>
          <w:tcPr>
            <w:tcW w:w="998" w:type="dxa"/>
            <w:tcBorders>
              <w:top w:val="nil"/>
              <w:left w:val="nil"/>
              <w:bottom w:val="single" w:color="000000" w:sz="4" w:space="0"/>
              <w:right w:val="single" w:color="000000" w:sz="4" w:space="0"/>
            </w:tcBorders>
            <w:shd w:val="clear" w:color="auto" w:fill="auto"/>
            <w:vAlign w:val="center"/>
          </w:tcPr>
          <w:p w14:paraId="50B471E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内容</w:t>
            </w:r>
          </w:p>
        </w:tc>
        <w:tc>
          <w:tcPr>
            <w:tcW w:w="1245" w:type="dxa"/>
            <w:tcBorders>
              <w:top w:val="nil"/>
              <w:left w:val="single" w:color="000000" w:sz="4" w:space="0"/>
              <w:bottom w:val="single" w:color="000000" w:sz="4" w:space="0"/>
              <w:right w:val="single" w:color="000000" w:sz="4" w:space="0"/>
            </w:tcBorders>
            <w:shd w:val="clear" w:color="auto" w:fill="auto"/>
            <w:vAlign w:val="center"/>
          </w:tcPr>
          <w:p w14:paraId="1FD5E42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0B93294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单价（位/场）</w:t>
            </w:r>
          </w:p>
        </w:tc>
        <w:tc>
          <w:tcPr>
            <w:tcW w:w="985" w:type="dxa"/>
            <w:tcBorders>
              <w:top w:val="nil"/>
              <w:left w:val="single" w:color="000000" w:sz="4" w:space="0"/>
              <w:bottom w:val="single" w:color="000000" w:sz="4" w:space="0"/>
              <w:right w:val="single" w:color="000000" w:sz="4" w:space="0"/>
            </w:tcBorders>
            <w:shd w:val="clear" w:color="auto" w:fill="auto"/>
            <w:vAlign w:val="center"/>
          </w:tcPr>
          <w:p w14:paraId="495D4CE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场次/人数</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1AA5F5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4746" w:type="dxa"/>
            <w:tcBorders>
              <w:top w:val="nil"/>
              <w:left w:val="single" w:color="000000" w:sz="4" w:space="0"/>
              <w:bottom w:val="single" w:color="000000" w:sz="4" w:space="0"/>
              <w:right w:val="single" w:color="000000" w:sz="8" w:space="0"/>
            </w:tcBorders>
            <w:shd w:val="clear" w:color="auto" w:fill="auto"/>
            <w:vAlign w:val="center"/>
          </w:tcPr>
          <w:p w14:paraId="40F35BE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p>
        </w:tc>
      </w:tr>
      <w:tr w14:paraId="3A0556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3"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0238F1A4">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007A17D9">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4895D889">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6B38DBA9">
            <w:pPr>
              <w:jc w:val="center"/>
              <w:rPr>
                <w:rFonts w:hint="eastAsia" w:ascii="仿宋" w:hAnsi="仿宋" w:eastAsia="仿宋" w:cs="仿宋"/>
                <w:i w:val="0"/>
                <w:iCs w:val="0"/>
                <w:color w:val="auto"/>
                <w:sz w:val="24"/>
                <w:szCs w:val="24"/>
                <w:highlight w:val="none"/>
                <w:u w:val="none"/>
              </w:rPr>
            </w:pPr>
          </w:p>
        </w:tc>
        <w:tc>
          <w:tcPr>
            <w:tcW w:w="998" w:type="dxa"/>
            <w:vMerge w:val="restart"/>
            <w:tcBorders>
              <w:top w:val="single" w:color="000000" w:sz="4" w:space="0"/>
              <w:left w:val="nil"/>
              <w:bottom w:val="single" w:color="000000" w:sz="4" w:space="0"/>
              <w:right w:val="single" w:color="000000" w:sz="4" w:space="0"/>
            </w:tcBorders>
            <w:shd w:val="clear" w:color="auto" w:fill="auto"/>
            <w:vAlign w:val="center"/>
          </w:tcPr>
          <w:p w14:paraId="246FD40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非遗进社区组织与开展19场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AC95F0">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非遗老师课时费/小时</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7E76FF">
            <w:pPr>
              <w:jc w:val="center"/>
              <w:rPr>
                <w:rFonts w:hint="eastAsia" w:ascii="仿宋" w:hAnsi="仿宋" w:eastAsia="仿宋" w:cs="仿宋"/>
                <w:i w:val="0"/>
                <w:iCs w:val="0"/>
                <w:color w:val="auto"/>
                <w:sz w:val="24"/>
                <w:szCs w:val="24"/>
                <w:highlight w:val="none"/>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A79D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19</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5C8DB">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F1ED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含老师课程课件制作、辅导设计、修改，内容把关。</w:t>
            </w:r>
          </w:p>
        </w:tc>
      </w:tr>
      <w:tr w14:paraId="79FD16C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12"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68EB970F">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71E8A516">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3D26A55A">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56145EB6">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7E393AE1">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436D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活动策划方案、组织实施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D8BF9">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5AD9F2">
            <w:pPr>
              <w:jc w:val="center"/>
              <w:rPr>
                <w:rFonts w:hint="eastAsia" w:ascii="仿宋" w:hAnsi="仿宋" w:eastAsia="仿宋" w:cs="仿宋"/>
                <w:i w:val="0"/>
                <w:iCs w:val="0"/>
                <w:color w:val="auto"/>
                <w:sz w:val="24"/>
                <w:szCs w:val="24"/>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34841">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A82B1B">
            <w:pPr>
              <w:keepNext w:val="0"/>
              <w:keepLines w:val="0"/>
              <w:widowControl/>
              <w:suppressLineNumbers w:val="0"/>
              <w:jc w:val="left"/>
              <w:textAlignment w:val="center"/>
              <w:rPr>
                <w:rFonts w:hint="eastAsia" w:ascii="仿宋" w:hAnsi="仿宋" w:eastAsia="仿宋" w:cs="仿宋"/>
                <w:i w:val="0"/>
                <w:iCs w:val="0"/>
                <w:color w:val="auto"/>
                <w:sz w:val="22"/>
                <w:szCs w:val="22"/>
                <w:highlight w:val="none"/>
                <w:u w:val="none"/>
              </w:rPr>
            </w:pPr>
            <w:r>
              <w:rPr>
                <w:rFonts w:hint="eastAsia" w:ascii="仿宋" w:hAnsi="仿宋" w:eastAsia="仿宋" w:cs="仿宋"/>
                <w:i w:val="0"/>
                <w:iCs w:val="0"/>
                <w:color w:val="auto"/>
                <w:kern w:val="0"/>
                <w:sz w:val="22"/>
                <w:szCs w:val="22"/>
                <w:highlight w:val="none"/>
                <w:u w:val="none"/>
                <w:lang w:val="en-US" w:eastAsia="zh-CN" w:bidi="ar"/>
              </w:rPr>
              <w:t>含活动组织策划、收集整理各街道、社区需求及时间统筹、现场背景设计（投影背景及横幅）及制作费用、现场配备不低于一名工作人员辅助活动开展及手机拍照活动记录留存。</w:t>
            </w:r>
          </w:p>
        </w:tc>
      </w:tr>
      <w:tr w14:paraId="6DC29E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65"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6BF81AF2">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15023F82">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5F957CC2">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749E87AC">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16C024F3">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0CE4B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活动材料费</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39B113">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11EA0E">
            <w:pPr>
              <w:jc w:val="center"/>
              <w:rPr>
                <w:rFonts w:hint="eastAsia" w:ascii="仿宋" w:hAnsi="仿宋" w:eastAsia="仿宋" w:cs="仿宋"/>
                <w:i w:val="0"/>
                <w:iCs w:val="0"/>
                <w:color w:val="auto"/>
                <w:sz w:val="24"/>
                <w:szCs w:val="24"/>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74237">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3B3390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每场活动上限30人，每堂课大约1小时左右，每人活动非遗材料费不高于40元。</w:t>
            </w:r>
          </w:p>
        </w:tc>
      </w:tr>
      <w:tr w14:paraId="37737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4"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65DF443E">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2C12691F">
            <w:pPr>
              <w:jc w:val="center"/>
              <w:rPr>
                <w:rFonts w:hint="eastAsia" w:ascii="仿宋" w:hAnsi="仿宋" w:eastAsia="仿宋" w:cs="仿宋"/>
                <w:i w:val="0"/>
                <w:iCs w:val="0"/>
                <w:color w:val="auto"/>
                <w:sz w:val="24"/>
                <w:szCs w:val="24"/>
                <w:highlight w:val="none"/>
                <w:u w:val="none"/>
              </w:rPr>
            </w:pP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117B55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非遗集市等进景区活动</w:t>
            </w: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7ABEAC0E">
            <w:pPr>
              <w:jc w:val="center"/>
              <w:rPr>
                <w:rFonts w:hint="eastAsia" w:ascii="仿宋" w:hAnsi="仿宋" w:eastAsia="仿宋" w:cs="仿宋"/>
                <w:i w:val="0"/>
                <w:iCs w:val="0"/>
                <w:color w:val="auto"/>
                <w:sz w:val="24"/>
                <w:szCs w:val="24"/>
                <w:highlight w:val="none"/>
                <w:u w:val="none"/>
              </w:rPr>
            </w:pPr>
          </w:p>
        </w:tc>
        <w:tc>
          <w:tcPr>
            <w:tcW w:w="998" w:type="dxa"/>
            <w:vMerge w:val="restart"/>
            <w:tcBorders>
              <w:top w:val="single" w:color="000000" w:sz="4" w:space="0"/>
              <w:left w:val="nil"/>
              <w:bottom w:val="single" w:color="000000" w:sz="4" w:space="0"/>
              <w:right w:val="single" w:color="000000" w:sz="4" w:space="0"/>
            </w:tcBorders>
            <w:shd w:val="clear" w:color="auto" w:fill="auto"/>
            <w:vAlign w:val="center"/>
          </w:tcPr>
          <w:p w14:paraId="506329E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非遗进景区组织与开展1场</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58A65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非遗老师驻场费</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B5ECA">
            <w:pPr>
              <w:jc w:val="center"/>
              <w:rPr>
                <w:rFonts w:hint="eastAsia" w:ascii="仿宋" w:hAnsi="仿宋" w:eastAsia="仿宋" w:cs="仿宋"/>
                <w:i w:val="0"/>
                <w:iCs w:val="0"/>
                <w:color w:val="auto"/>
                <w:sz w:val="24"/>
                <w:szCs w:val="24"/>
                <w:highlight w:val="none"/>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4457EB4">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A6B81">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CB1C9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每场邀请</w:t>
            </w:r>
            <w:r>
              <w:rPr>
                <w:rStyle w:val="422"/>
                <w:rFonts w:hint="eastAsia" w:ascii="仿宋" w:hAnsi="仿宋" w:eastAsia="仿宋" w:cs="仿宋"/>
                <w:color w:val="auto"/>
                <w:highlight w:val="none"/>
                <w:lang w:val="en-US" w:eastAsia="zh-CN" w:bidi="ar"/>
              </w:rPr>
              <w:t>10名</w:t>
            </w:r>
            <w:r>
              <w:rPr>
                <w:rFonts w:hint="eastAsia" w:ascii="仿宋" w:hAnsi="仿宋" w:eastAsia="仿宋" w:cs="仿宋"/>
                <w:i w:val="0"/>
                <w:iCs w:val="0"/>
                <w:color w:val="auto"/>
                <w:kern w:val="0"/>
                <w:sz w:val="24"/>
                <w:szCs w:val="24"/>
                <w:highlight w:val="none"/>
                <w:u w:val="none"/>
                <w:lang w:val="en-US" w:eastAsia="zh-CN" w:bidi="ar"/>
              </w:rPr>
              <w:t>非遗老师参加</w:t>
            </w:r>
          </w:p>
        </w:tc>
      </w:tr>
      <w:tr w14:paraId="57DB7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44842920">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51864E13">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8217A55">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57B21E60">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465541E3">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B5D3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活动策划方案、组织实施</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6143EB">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EF50B">
            <w:pPr>
              <w:jc w:val="center"/>
              <w:rPr>
                <w:rFonts w:hint="eastAsia" w:ascii="仿宋" w:hAnsi="仿宋" w:eastAsia="仿宋" w:cs="仿宋"/>
                <w:i w:val="0"/>
                <w:iCs w:val="0"/>
                <w:color w:val="auto"/>
                <w:sz w:val="24"/>
                <w:szCs w:val="24"/>
                <w:highlight w:val="none"/>
                <w:u w:val="none"/>
              </w:rPr>
            </w:pP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47048">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50AF70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单场活动（活动内容开展不低于三小时）策划方案、活动组织：现场需要有控场、组织人员若干。</w:t>
            </w:r>
          </w:p>
        </w:tc>
      </w:tr>
      <w:tr w14:paraId="38217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7" w:hRule="atLeast"/>
        </w:trPr>
        <w:tc>
          <w:tcPr>
            <w:tcW w:w="809" w:type="dxa"/>
            <w:vMerge w:val="continue"/>
            <w:tcBorders>
              <w:top w:val="nil"/>
              <w:left w:val="single" w:color="000000" w:sz="8" w:space="0"/>
              <w:bottom w:val="single" w:color="000000" w:sz="4" w:space="0"/>
              <w:right w:val="nil"/>
            </w:tcBorders>
            <w:shd w:val="clear" w:color="auto" w:fill="auto"/>
            <w:vAlign w:val="center"/>
          </w:tcPr>
          <w:p w14:paraId="07D40F88">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04E1BD92">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043DA1">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067C97F9">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4BB446B8">
            <w:pPr>
              <w:jc w:val="center"/>
              <w:rPr>
                <w:rFonts w:hint="eastAsia" w:ascii="仿宋" w:hAnsi="仿宋" w:eastAsia="仿宋" w:cs="仿宋"/>
                <w:i w:val="0"/>
                <w:iCs w:val="0"/>
                <w:color w:val="auto"/>
                <w:sz w:val="24"/>
                <w:szCs w:val="24"/>
                <w:highlight w:val="none"/>
                <w:u w:val="none"/>
              </w:rPr>
            </w:pPr>
          </w:p>
        </w:tc>
        <w:tc>
          <w:tcPr>
            <w:tcW w:w="1245" w:type="dxa"/>
            <w:tcBorders>
              <w:top w:val="nil"/>
              <w:left w:val="single" w:color="000000" w:sz="4" w:space="0"/>
              <w:bottom w:val="single" w:color="000000" w:sz="4" w:space="0"/>
              <w:right w:val="single" w:color="000000" w:sz="4" w:space="0"/>
            </w:tcBorders>
            <w:shd w:val="clear" w:color="auto" w:fill="auto"/>
            <w:vAlign w:val="center"/>
          </w:tcPr>
          <w:p w14:paraId="52D643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现场布景、搭建</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5BD9A100">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BE92709">
            <w:pPr>
              <w:jc w:val="center"/>
              <w:rPr>
                <w:rFonts w:hint="eastAsia" w:ascii="仿宋" w:hAnsi="仿宋" w:eastAsia="仿宋" w:cs="仿宋"/>
                <w:i w:val="0"/>
                <w:iCs w:val="0"/>
                <w:color w:val="auto"/>
                <w:sz w:val="24"/>
                <w:szCs w:val="24"/>
                <w:highlight w:val="none"/>
                <w:u w:val="none"/>
              </w:rPr>
            </w:pPr>
          </w:p>
        </w:tc>
        <w:tc>
          <w:tcPr>
            <w:tcW w:w="989" w:type="dxa"/>
            <w:tcBorders>
              <w:top w:val="nil"/>
              <w:left w:val="single" w:color="000000" w:sz="4" w:space="0"/>
              <w:bottom w:val="single" w:color="000000" w:sz="4" w:space="0"/>
              <w:right w:val="single" w:color="000000" w:sz="4" w:space="0"/>
            </w:tcBorders>
            <w:shd w:val="clear" w:color="auto" w:fill="auto"/>
            <w:vAlign w:val="center"/>
          </w:tcPr>
          <w:p w14:paraId="5EBCAF98">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E2A6C47">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活动现场背景搭建、集市小车（10个）租赁、布置。</w:t>
            </w:r>
          </w:p>
        </w:tc>
      </w:tr>
      <w:tr w14:paraId="76799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80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FFE5C2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2</w:t>
            </w:r>
          </w:p>
        </w:tc>
        <w:tc>
          <w:tcPr>
            <w:tcW w:w="1313" w:type="dxa"/>
            <w:vMerge w:val="restart"/>
            <w:tcBorders>
              <w:top w:val="nil"/>
              <w:left w:val="single" w:color="000000" w:sz="4" w:space="0"/>
              <w:bottom w:val="single" w:color="000000" w:sz="4" w:space="0"/>
              <w:right w:val="single" w:color="000000" w:sz="4" w:space="0"/>
            </w:tcBorders>
            <w:shd w:val="clear" w:color="auto" w:fill="auto"/>
            <w:vAlign w:val="center"/>
          </w:tcPr>
          <w:p w14:paraId="28147A2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非遗进学校</w:t>
            </w:r>
          </w:p>
        </w:tc>
        <w:tc>
          <w:tcPr>
            <w:tcW w:w="1479" w:type="dxa"/>
            <w:vMerge w:val="restart"/>
            <w:tcBorders>
              <w:top w:val="nil"/>
              <w:left w:val="single" w:color="000000" w:sz="4" w:space="0"/>
              <w:bottom w:val="single" w:color="000000" w:sz="4" w:space="0"/>
              <w:right w:val="single" w:color="000000" w:sz="4" w:space="0"/>
            </w:tcBorders>
            <w:shd w:val="clear" w:color="auto" w:fill="auto"/>
            <w:vAlign w:val="center"/>
          </w:tcPr>
          <w:p w14:paraId="66806E8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非遗课后服务兴趣班</w:t>
            </w:r>
          </w:p>
        </w:tc>
        <w:tc>
          <w:tcPr>
            <w:tcW w:w="1054" w:type="dxa"/>
            <w:vMerge w:val="restart"/>
            <w:tcBorders>
              <w:top w:val="nil"/>
              <w:left w:val="single" w:color="000000" w:sz="4" w:space="0"/>
              <w:bottom w:val="single" w:color="000000" w:sz="4" w:space="0"/>
              <w:right w:val="single" w:color="000000" w:sz="4" w:space="0"/>
            </w:tcBorders>
            <w:shd w:val="clear" w:color="auto" w:fill="auto"/>
            <w:vAlign w:val="center"/>
          </w:tcPr>
          <w:p w14:paraId="5CA226F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每年预计开展90场</w:t>
            </w:r>
          </w:p>
        </w:tc>
        <w:tc>
          <w:tcPr>
            <w:tcW w:w="998" w:type="dxa"/>
            <w:vMerge w:val="restart"/>
            <w:tcBorders>
              <w:top w:val="nil"/>
              <w:left w:val="nil"/>
              <w:bottom w:val="single" w:color="000000" w:sz="4" w:space="0"/>
              <w:right w:val="single" w:color="000000" w:sz="4" w:space="0"/>
            </w:tcBorders>
            <w:shd w:val="clear" w:color="auto" w:fill="auto"/>
            <w:vAlign w:val="center"/>
          </w:tcPr>
          <w:p w14:paraId="7D120B3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非遗课后服务兴趣班组织与开展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8DBC4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非遗老师课时费（空竹）/课时</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558A20D1">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B37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433BA45D">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579CE8D5">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空竹老师一般课程</w:t>
            </w:r>
            <w:r>
              <w:rPr>
                <w:rStyle w:val="422"/>
                <w:rFonts w:hint="eastAsia" w:ascii="仿宋" w:hAnsi="仿宋" w:eastAsia="仿宋" w:cs="仿宋"/>
                <w:color w:val="auto"/>
                <w:highlight w:val="none"/>
                <w:lang w:val="en-US" w:eastAsia="zh-CN" w:bidi="ar"/>
              </w:rPr>
              <w:t>不能低于2名老师</w:t>
            </w:r>
          </w:p>
        </w:tc>
      </w:tr>
      <w:tr w14:paraId="6BD9D4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58A1271">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24D9A0B4">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54D2230F">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2964E203">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nil"/>
              <w:left w:val="nil"/>
              <w:bottom w:val="single" w:color="000000" w:sz="4" w:space="0"/>
              <w:right w:val="single" w:color="000000" w:sz="4" w:space="0"/>
            </w:tcBorders>
            <w:shd w:val="clear" w:color="auto" w:fill="auto"/>
            <w:vAlign w:val="center"/>
          </w:tcPr>
          <w:p w14:paraId="35DE4835">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1AC75">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非遗老师课时费（面塑）/课时</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12295755">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3CF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0547F27C">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DAC06BC">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一名授课非遗老师，此外需含老师课程课件制作、辅导设计、修改，内容把关。</w:t>
            </w:r>
          </w:p>
        </w:tc>
      </w:tr>
      <w:tr w14:paraId="22EE8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41"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89D787">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7649AB42">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0FB9384E">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2FC96AE9">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nil"/>
              <w:left w:val="nil"/>
              <w:bottom w:val="single" w:color="000000" w:sz="4" w:space="0"/>
              <w:right w:val="single" w:color="000000" w:sz="4" w:space="0"/>
            </w:tcBorders>
            <w:shd w:val="clear" w:color="auto" w:fill="auto"/>
            <w:vAlign w:val="center"/>
          </w:tcPr>
          <w:p w14:paraId="62E7CD7D">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9E9B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非遗老师课时费（皮影）/课时</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4CC79258">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CEF26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30</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37696E0E">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F070953">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一名授课非遗老师，含老师课程课件制作、辅导设计、修改，内容把关。</w:t>
            </w:r>
          </w:p>
        </w:tc>
      </w:tr>
      <w:tr w14:paraId="05E5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41"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20AB10E">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nil"/>
              <w:left w:val="single" w:color="000000" w:sz="4" w:space="0"/>
              <w:bottom w:val="single" w:color="000000" w:sz="4" w:space="0"/>
              <w:right w:val="single" w:color="000000" w:sz="4" w:space="0"/>
            </w:tcBorders>
            <w:shd w:val="clear" w:color="auto" w:fill="auto"/>
            <w:vAlign w:val="center"/>
          </w:tcPr>
          <w:p w14:paraId="69EF27FC">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single" w:color="000000" w:sz="4" w:space="0"/>
              <w:bottom w:val="single" w:color="000000" w:sz="4" w:space="0"/>
              <w:right w:val="single" w:color="000000" w:sz="4" w:space="0"/>
            </w:tcBorders>
            <w:shd w:val="clear" w:color="auto" w:fill="auto"/>
            <w:vAlign w:val="center"/>
          </w:tcPr>
          <w:p w14:paraId="7A901020">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nil"/>
              <w:left w:val="single" w:color="000000" w:sz="4" w:space="0"/>
              <w:bottom w:val="single" w:color="000000" w:sz="4" w:space="0"/>
              <w:right w:val="single" w:color="000000" w:sz="4" w:space="0"/>
            </w:tcBorders>
            <w:shd w:val="clear" w:color="auto" w:fill="auto"/>
            <w:vAlign w:val="center"/>
          </w:tcPr>
          <w:p w14:paraId="29E3EC14">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nil"/>
              <w:left w:val="nil"/>
              <w:bottom w:val="single" w:color="000000" w:sz="4" w:space="0"/>
              <w:right w:val="single" w:color="000000" w:sz="4" w:space="0"/>
            </w:tcBorders>
            <w:shd w:val="clear" w:color="auto" w:fill="auto"/>
            <w:vAlign w:val="center"/>
          </w:tcPr>
          <w:p w14:paraId="368DD541">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B4E6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非遗成果汇演</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7A6150D8">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2C9B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4E472E90">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B17FB2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策划、筹备非遗成果汇演，演出校内举行不低于2小时，含非遗老师邀约评比。</w:t>
            </w:r>
          </w:p>
        </w:tc>
      </w:tr>
      <w:tr w14:paraId="1BDF187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22" w:hRule="atLeast"/>
        </w:trPr>
        <w:tc>
          <w:tcPr>
            <w:tcW w:w="80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EE740F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3</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EC2EA4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非遗进商圈</w:t>
            </w:r>
          </w:p>
        </w:tc>
        <w:tc>
          <w:tcPr>
            <w:tcW w:w="1479" w:type="dxa"/>
            <w:vMerge w:val="restart"/>
            <w:tcBorders>
              <w:top w:val="nil"/>
              <w:left w:val="nil"/>
              <w:bottom w:val="nil"/>
              <w:right w:val="nil"/>
            </w:tcBorders>
            <w:shd w:val="clear" w:color="auto" w:fill="auto"/>
            <w:vAlign w:val="center"/>
          </w:tcPr>
          <w:p w14:paraId="1EBC81E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非遗市集+快闪店等沉浸式体验活动。走近雨花热门商圈：如：万象天地、雨花客厅、宜悦城等。</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C24AA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 xml:space="preserve">每年预计开展1-2场 </w:t>
            </w:r>
          </w:p>
        </w:tc>
        <w:tc>
          <w:tcPr>
            <w:tcW w:w="998" w:type="dxa"/>
            <w:vMerge w:val="restart"/>
            <w:tcBorders>
              <w:top w:val="single" w:color="000000" w:sz="4" w:space="0"/>
              <w:left w:val="nil"/>
              <w:bottom w:val="single" w:color="000000" w:sz="4" w:space="0"/>
              <w:right w:val="single" w:color="000000" w:sz="4" w:space="0"/>
            </w:tcBorders>
            <w:shd w:val="clear" w:color="auto" w:fill="auto"/>
            <w:vAlign w:val="center"/>
          </w:tcPr>
          <w:p w14:paraId="73CE1FA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进商圈活动开展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77AC6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活动方案策划及落地</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2A1AC03C">
            <w:pPr>
              <w:jc w:val="center"/>
              <w:rPr>
                <w:rFonts w:hint="eastAsia" w:ascii="仿宋" w:hAnsi="仿宋" w:eastAsia="仿宋" w:cs="仿宋"/>
                <w:i w:val="0"/>
                <w:iCs w:val="0"/>
                <w:color w:val="auto"/>
                <w:sz w:val="24"/>
                <w:szCs w:val="24"/>
                <w:highlight w:val="none"/>
                <w:u w:val="none"/>
              </w:rPr>
            </w:pPr>
          </w:p>
        </w:tc>
        <w:tc>
          <w:tcPr>
            <w:tcW w:w="9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45A8D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nil"/>
              <w:left w:val="single" w:color="000000" w:sz="4" w:space="0"/>
              <w:bottom w:val="single" w:color="000000" w:sz="4" w:space="0"/>
              <w:right w:val="single" w:color="000000" w:sz="4" w:space="0"/>
            </w:tcBorders>
            <w:shd w:val="clear" w:color="auto" w:fill="auto"/>
            <w:vAlign w:val="center"/>
          </w:tcPr>
          <w:p w14:paraId="24405875">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4B3CFBB3">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非遗老师邀请、活动方案策划，现场活动工作人员不低于2名保障落地。</w:t>
            </w:r>
          </w:p>
        </w:tc>
      </w:tr>
      <w:tr w14:paraId="014C8A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F9451C3">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8EE118">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nil"/>
              <w:bottom w:val="nil"/>
              <w:right w:val="nil"/>
            </w:tcBorders>
            <w:shd w:val="clear" w:color="auto" w:fill="auto"/>
            <w:vAlign w:val="center"/>
          </w:tcPr>
          <w:p w14:paraId="43D2B139">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D6C755">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27D26A64">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A1A39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活动布展</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32CA324C">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A9B737">
            <w:pPr>
              <w:jc w:val="center"/>
              <w:rPr>
                <w:rFonts w:hint="eastAsia" w:ascii="仿宋" w:hAnsi="仿宋" w:eastAsia="仿宋" w:cs="仿宋"/>
                <w:i w:val="0"/>
                <w:iCs w:val="0"/>
                <w:color w:val="auto"/>
                <w:sz w:val="24"/>
                <w:szCs w:val="24"/>
                <w:highlight w:val="none"/>
                <w:u w:val="none"/>
              </w:rPr>
            </w:pPr>
          </w:p>
        </w:tc>
        <w:tc>
          <w:tcPr>
            <w:tcW w:w="989" w:type="dxa"/>
            <w:tcBorders>
              <w:top w:val="nil"/>
              <w:left w:val="single" w:color="000000" w:sz="4" w:space="0"/>
              <w:bottom w:val="single" w:color="000000" w:sz="4" w:space="0"/>
              <w:right w:val="single" w:color="000000" w:sz="4" w:space="0"/>
            </w:tcBorders>
            <w:shd w:val="clear" w:color="auto" w:fill="auto"/>
            <w:vAlign w:val="center"/>
          </w:tcPr>
          <w:p w14:paraId="7A611FBE">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79CBD74">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场景设计、相关视觉相关设计、布展搭建费用。</w:t>
            </w:r>
          </w:p>
        </w:tc>
      </w:tr>
      <w:tr w14:paraId="031B09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2"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9F85E45">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200134">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nil"/>
              <w:left w:val="nil"/>
              <w:bottom w:val="nil"/>
              <w:right w:val="nil"/>
            </w:tcBorders>
            <w:shd w:val="clear" w:color="auto" w:fill="auto"/>
            <w:vAlign w:val="center"/>
          </w:tcPr>
          <w:p w14:paraId="7962CF41">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0AE88D">
            <w:pPr>
              <w:jc w:val="center"/>
              <w:rPr>
                <w:rFonts w:hint="eastAsia" w:ascii="仿宋" w:hAnsi="仿宋" w:eastAsia="仿宋" w:cs="仿宋"/>
                <w:i w:val="0"/>
                <w:iCs w:val="0"/>
                <w:color w:val="auto"/>
                <w:sz w:val="24"/>
                <w:szCs w:val="24"/>
                <w:highlight w:val="none"/>
                <w:u w:val="none"/>
              </w:rPr>
            </w:pPr>
          </w:p>
        </w:tc>
        <w:tc>
          <w:tcPr>
            <w:tcW w:w="998" w:type="dxa"/>
            <w:vMerge w:val="continue"/>
            <w:tcBorders>
              <w:top w:val="single" w:color="000000" w:sz="4" w:space="0"/>
              <w:left w:val="nil"/>
              <w:bottom w:val="single" w:color="000000" w:sz="4" w:space="0"/>
              <w:right w:val="single" w:color="000000" w:sz="4" w:space="0"/>
            </w:tcBorders>
            <w:shd w:val="clear" w:color="auto" w:fill="auto"/>
            <w:vAlign w:val="center"/>
          </w:tcPr>
          <w:p w14:paraId="5C401D82">
            <w:pPr>
              <w:jc w:val="center"/>
              <w:rPr>
                <w:rFonts w:hint="eastAsia" w:ascii="仿宋" w:hAnsi="仿宋" w:eastAsia="仿宋" w:cs="仿宋"/>
                <w:i w:val="0"/>
                <w:iCs w:val="0"/>
                <w:color w:val="auto"/>
                <w:sz w:val="24"/>
                <w:szCs w:val="24"/>
                <w:highlight w:val="none"/>
                <w:u w:val="none"/>
              </w:rPr>
            </w:pP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CE68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非遗老师邀约参与</w:t>
            </w:r>
          </w:p>
        </w:tc>
        <w:tc>
          <w:tcPr>
            <w:tcW w:w="739" w:type="dxa"/>
            <w:tcBorders>
              <w:top w:val="nil"/>
              <w:left w:val="single" w:color="000000" w:sz="4" w:space="0"/>
              <w:bottom w:val="single" w:color="000000" w:sz="4" w:space="0"/>
              <w:right w:val="single" w:color="000000" w:sz="4" w:space="0"/>
            </w:tcBorders>
            <w:shd w:val="clear" w:color="auto" w:fill="auto"/>
            <w:vAlign w:val="center"/>
          </w:tcPr>
          <w:p w14:paraId="2494937D">
            <w:pPr>
              <w:jc w:val="center"/>
              <w:rPr>
                <w:rFonts w:hint="eastAsia" w:ascii="仿宋" w:hAnsi="仿宋" w:eastAsia="仿宋" w:cs="仿宋"/>
                <w:i w:val="0"/>
                <w:iCs w:val="0"/>
                <w:color w:val="auto"/>
                <w:sz w:val="24"/>
                <w:szCs w:val="24"/>
                <w:highlight w:val="none"/>
                <w:u w:val="none"/>
              </w:rPr>
            </w:pPr>
          </w:p>
        </w:tc>
        <w:tc>
          <w:tcPr>
            <w:tcW w:w="9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53CF56">
            <w:pPr>
              <w:jc w:val="center"/>
              <w:rPr>
                <w:rFonts w:hint="eastAsia" w:ascii="仿宋" w:hAnsi="仿宋" w:eastAsia="仿宋" w:cs="仿宋"/>
                <w:i w:val="0"/>
                <w:iCs w:val="0"/>
                <w:color w:val="auto"/>
                <w:sz w:val="24"/>
                <w:szCs w:val="24"/>
                <w:highlight w:val="none"/>
                <w:u w:val="none"/>
              </w:rPr>
            </w:pPr>
          </w:p>
        </w:tc>
        <w:tc>
          <w:tcPr>
            <w:tcW w:w="989" w:type="dxa"/>
            <w:tcBorders>
              <w:top w:val="nil"/>
              <w:left w:val="single" w:color="000000" w:sz="4" w:space="0"/>
              <w:bottom w:val="single" w:color="000000" w:sz="4" w:space="0"/>
              <w:right w:val="single" w:color="000000" w:sz="4" w:space="0"/>
            </w:tcBorders>
            <w:shd w:val="clear" w:color="auto" w:fill="auto"/>
            <w:vAlign w:val="center"/>
          </w:tcPr>
          <w:p w14:paraId="51D50337">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6ADAB8AE">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每场邀约10名非遗老师</w:t>
            </w:r>
          </w:p>
        </w:tc>
      </w:tr>
      <w:tr w14:paraId="776C6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14" w:hRule="atLeast"/>
        </w:trPr>
        <w:tc>
          <w:tcPr>
            <w:tcW w:w="80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1F197E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4</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0A1BC">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非遗品牌打造</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942CF2E">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非遗展演日及非遗文化衍生品设计相关工作</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88558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每年度1场/若干</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02F2A199">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非遗展演日活动保障</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AD5AD">
            <w:pPr>
              <w:keepNext w:val="0"/>
              <w:keepLines w:val="0"/>
              <w:widowControl/>
              <w:suppressLineNumbers w:val="0"/>
              <w:jc w:val="left"/>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活动策划、组织与开展，授牌、等议程策划沟通与对接。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93C77">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72C4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F9E18D">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E55C09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非遗展演日前期传承人、传承项目授牌议程撰写与当日现场会务保障，现场需有工作人员机动保障。</w:t>
            </w:r>
          </w:p>
        </w:tc>
      </w:tr>
      <w:tr w14:paraId="04E53E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90"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5EB2797">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9BACB4">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CD75A6">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A702357">
            <w:pPr>
              <w:jc w:val="center"/>
              <w:rPr>
                <w:rFonts w:hint="eastAsia" w:ascii="仿宋" w:hAnsi="仿宋" w:eastAsia="仿宋" w:cs="仿宋"/>
                <w:i w:val="0"/>
                <w:iCs w:val="0"/>
                <w:color w:val="auto"/>
                <w:sz w:val="24"/>
                <w:szCs w:val="24"/>
                <w:highlight w:val="none"/>
                <w:u w:val="none"/>
              </w:rPr>
            </w:pPr>
          </w:p>
        </w:tc>
        <w:tc>
          <w:tcPr>
            <w:tcW w:w="998" w:type="dxa"/>
            <w:tcBorders>
              <w:top w:val="single" w:color="000000" w:sz="4" w:space="0"/>
              <w:left w:val="nil"/>
              <w:bottom w:val="single" w:color="000000" w:sz="4" w:space="0"/>
              <w:right w:val="single" w:color="000000" w:sz="4" w:space="0"/>
            </w:tcBorders>
            <w:shd w:val="clear" w:color="auto" w:fill="auto"/>
            <w:vAlign w:val="center"/>
          </w:tcPr>
          <w:p w14:paraId="0E0F46B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文化衍生品开发</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254D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设计与产品成形</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E449E">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3A5A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2BCD4">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044CB27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文化衍生产品设计与开发。</w:t>
            </w:r>
          </w:p>
        </w:tc>
      </w:tr>
      <w:tr w14:paraId="3DF2AB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06" w:hRule="atLeast"/>
        </w:trPr>
        <w:tc>
          <w:tcPr>
            <w:tcW w:w="80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7C7FDE7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01086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非遗项目普查</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5C655">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在全区范围内发对传承人、项目、基地掘等调查走访</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95CF6">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全年进行，争取逐年进行公布</w:t>
            </w:r>
          </w:p>
        </w:tc>
        <w:tc>
          <w:tcPr>
            <w:tcW w:w="998" w:type="dxa"/>
            <w:tcBorders>
              <w:top w:val="single" w:color="000000" w:sz="4" w:space="0"/>
              <w:left w:val="nil"/>
              <w:bottom w:val="single" w:color="000000" w:sz="4" w:space="0"/>
              <w:right w:val="single" w:color="000000" w:sz="4" w:space="0"/>
            </w:tcBorders>
            <w:shd w:val="clear" w:color="auto" w:fill="auto"/>
            <w:vAlign w:val="center"/>
          </w:tcPr>
          <w:p w14:paraId="3A7FD8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形成完善的可供检索的普查文档</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491AD">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项目挖掘及普查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D735EC">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71550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A7BA1">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A8AA51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普查材料形成文字材料、归档完善，配合完成传承人及基地等征集公告/通知发布。需有1位及以上专职跟进人员。</w:t>
            </w:r>
          </w:p>
        </w:tc>
      </w:tr>
      <w:tr w14:paraId="2D48E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16" w:hRule="atLeast"/>
        </w:trPr>
        <w:tc>
          <w:tcPr>
            <w:tcW w:w="80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5C9D95E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6</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C08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传承人专项培优班</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27802">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专项培优班，形式包括但不限于授课、参观、交流等。</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9AA3A">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每年不低于5场</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4634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传承人培优班举办</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BD28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培训项目策划与落地</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AC72B">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E6B55A">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5</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4F3CE">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31B413DB">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含活动场地租赁、策划、讲师邀约、课程开发沟通，现场布置等。</w:t>
            </w:r>
          </w:p>
        </w:tc>
      </w:tr>
      <w:tr w14:paraId="42D17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61" w:hRule="atLeast"/>
        </w:trPr>
        <w:tc>
          <w:tcPr>
            <w:tcW w:w="809" w:type="dxa"/>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52B814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7</w:t>
            </w:r>
          </w:p>
        </w:tc>
        <w:tc>
          <w:tcPr>
            <w:tcW w:w="1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9FCFF9D">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非遗数字档案影像记录</w:t>
            </w:r>
          </w:p>
        </w:tc>
        <w:tc>
          <w:tcPr>
            <w:tcW w:w="1479"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2302D18B">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全年重点活动摄影+摄像</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FFFFFF"/>
            <w:vAlign w:val="center"/>
          </w:tcPr>
          <w:p w14:paraId="10FA8F67">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每年新增传承人、基地活动数字影像不低于10大项</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5F0F0F">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专业摄影影像记录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5C952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专业摄影师1位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2CFA0">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F2B2">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8F601">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FFFFFF"/>
            <w:vAlign w:val="center"/>
          </w:tcPr>
          <w:p w14:paraId="6A49825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专业摄影记录+部分需宣传图片精修。所涉及活动全程跟进。</w:t>
            </w:r>
          </w:p>
        </w:tc>
      </w:tr>
      <w:tr w14:paraId="00ACC0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91" w:hRule="atLeast"/>
        </w:trPr>
        <w:tc>
          <w:tcPr>
            <w:tcW w:w="809" w:type="dxa"/>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C43465D">
            <w:pPr>
              <w:jc w:val="center"/>
              <w:rPr>
                <w:rFonts w:hint="eastAsia" w:ascii="仿宋" w:hAnsi="仿宋" w:eastAsia="仿宋" w:cs="仿宋"/>
                <w:i w:val="0"/>
                <w:iCs w:val="0"/>
                <w:color w:val="auto"/>
                <w:sz w:val="24"/>
                <w:szCs w:val="24"/>
                <w:highlight w:val="none"/>
                <w:u w:val="none"/>
              </w:rPr>
            </w:pPr>
          </w:p>
        </w:tc>
        <w:tc>
          <w:tcPr>
            <w:tcW w:w="1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B3FC6">
            <w:pPr>
              <w:jc w:val="center"/>
              <w:rPr>
                <w:rFonts w:hint="eastAsia" w:ascii="仿宋" w:hAnsi="仿宋" w:eastAsia="仿宋" w:cs="仿宋"/>
                <w:i w:val="0"/>
                <w:iCs w:val="0"/>
                <w:color w:val="auto"/>
                <w:sz w:val="24"/>
                <w:szCs w:val="24"/>
                <w:highlight w:val="none"/>
                <w:u w:val="none"/>
              </w:rPr>
            </w:pPr>
          </w:p>
        </w:tc>
        <w:tc>
          <w:tcPr>
            <w:tcW w:w="1479"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96F2904">
            <w:pPr>
              <w:jc w:val="center"/>
              <w:rPr>
                <w:rFonts w:hint="eastAsia" w:ascii="仿宋" w:hAnsi="仿宋" w:eastAsia="仿宋" w:cs="仿宋"/>
                <w:i w:val="0"/>
                <w:iCs w:val="0"/>
                <w:color w:val="auto"/>
                <w:sz w:val="24"/>
                <w:szCs w:val="24"/>
                <w:highlight w:val="none"/>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FFFFFF"/>
            <w:vAlign w:val="center"/>
          </w:tcPr>
          <w:p w14:paraId="4491E7BA">
            <w:pPr>
              <w:jc w:val="center"/>
              <w:rPr>
                <w:rFonts w:hint="eastAsia" w:ascii="仿宋" w:hAnsi="仿宋" w:eastAsia="仿宋" w:cs="仿宋"/>
                <w:i w:val="0"/>
                <w:iCs w:val="0"/>
                <w:color w:val="auto"/>
                <w:sz w:val="24"/>
                <w:szCs w:val="24"/>
                <w:highlight w:val="none"/>
                <w:u w:val="none"/>
              </w:rPr>
            </w:pP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54A1E">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专业摄像影像记录</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FB3497">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专业摄像师1位</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0DF833">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BCD88">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AB1ACA">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160C9160">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专业摄像师1名，部分需求剪辑（如快剪），所涉及活动全程跟进。</w:t>
            </w:r>
          </w:p>
        </w:tc>
      </w:tr>
      <w:tr w14:paraId="43819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414" w:hRule="atLeast"/>
        </w:trPr>
        <w:tc>
          <w:tcPr>
            <w:tcW w:w="809" w:type="dxa"/>
            <w:tcBorders>
              <w:top w:val="single" w:color="000000" w:sz="4" w:space="0"/>
              <w:left w:val="single" w:color="000000" w:sz="8" w:space="0"/>
              <w:bottom w:val="single" w:color="000000" w:sz="4" w:space="0"/>
              <w:right w:val="single" w:color="000000" w:sz="4" w:space="0"/>
            </w:tcBorders>
            <w:shd w:val="clear" w:color="auto" w:fill="auto"/>
            <w:vAlign w:val="center"/>
          </w:tcPr>
          <w:p w14:paraId="2EE18C71">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8</w:t>
            </w:r>
          </w:p>
        </w:tc>
        <w:tc>
          <w:tcPr>
            <w:tcW w:w="13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F2AD16">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媒体宣传</w:t>
            </w:r>
          </w:p>
        </w:tc>
        <w:tc>
          <w:tcPr>
            <w:tcW w:w="147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6C148">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媒体通稿撰写、发布</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4CC71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每年在省、市、区重要媒体平台发布新闻宣传不低于10篇。</w:t>
            </w:r>
          </w:p>
        </w:tc>
        <w:tc>
          <w:tcPr>
            <w:tcW w:w="99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8D8CE9">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新闻稿撰写与发布平台对接</w:t>
            </w:r>
          </w:p>
        </w:tc>
        <w:tc>
          <w:tcPr>
            <w:tcW w:w="124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8AB7C">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新闻稿撰写与发布平台对接</w:t>
            </w:r>
          </w:p>
        </w:tc>
        <w:tc>
          <w:tcPr>
            <w:tcW w:w="73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FB7A6">
            <w:pPr>
              <w:jc w:val="center"/>
              <w:rPr>
                <w:rFonts w:hint="eastAsia" w:ascii="仿宋" w:hAnsi="仿宋" w:eastAsia="仿宋" w:cs="仿宋"/>
                <w:i w:val="0"/>
                <w:iCs w:val="0"/>
                <w:color w:val="auto"/>
                <w:sz w:val="24"/>
                <w:szCs w:val="24"/>
                <w:highlight w:val="none"/>
                <w:u w:val="none"/>
              </w:rPr>
            </w:pPr>
          </w:p>
        </w:tc>
        <w:tc>
          <w:tcPr>
            <w:tcW w:w="98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0FE53">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10</w:t>
            </w:r>
          </w:p>
        </w:tc>
        <w:tc>
          <w:tcPr>
            <w:tcW w:w="98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8E551">
            <w:pPr>
              <w:jc w:val="center"/>
              <w:rPr>
                <w:rFonts w:hint="eastAsia" w:ascii="仿宋" w:hAnsi="仿宋" w:eastAsia="仿宋" w:cs="仿宋"/>
                <w:i w:val="0"/>
                <w:iCs w:val="0"/>
                <w:color w:val="auto"/>
                <w:sz w:val="24"/>
                <w:szCs w:val="24"/>
                <w:highlight w:val="none"/>
                <w:u w:val="none"/>
              </w:rPr>
            </w:pPr>
          </w:p>
        </w:tc>
        <w:tc>
          <w:tcPr>
            <w:tcW w:w="4746" w:type="dxa"/>
            <w:tcBorders>
              <w:top w:val="single" w:color="000000" w:sz="4" w:space="0"/>
              <w:left w:val="single" w:color="000000" w:sz="4" w:space="0"/>
              <w:bottom w:val="single" w:color="000000" w:sz="4" w:space="0"/>
              <w:right w:val="single" w:color="000000" w:sz="8" w:space="0"/>
            </w:tcBorders>
            <w:shd w:val="clear" w:color="auto" w:fill="auto"/>
            <w:vAlign w:val="center"/>
          </w:tcPr>
          <w:p w14:paraId="274406A5">
            <w:pPr>
              <w:keepNext w:val="0"/>
              <w:keepLines w:val="0"/>
              <w:widowControl/>
              <w:suppressLineNumbers w:val="0"/>
              <w:jc w:val="both"/>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邀约媒体：江苏新闻网、荔枝新闻、龙虎网等。</w:t>
            </w:r>
          </w:p>
        </w:tc>
      </w:tr>
      <w:tr w14:paraId="574BA9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99" w:hRule="atLeast"/>
        </w:trPr>
        <w:tc>
          <w:tcPr>
            <w:tcW w:w="809" w:type="dxa"/>
            <w:tcBorders>
              <w:top w:val="single" w:color="000000" w:sz="4" w:space="0"/>
              <w:left w:val="single" w:color="000000" w:sz="8" w:space="0"/>
              <w:bottom w:val="single" w:color="000000" w:sz="8" w:space="0"/>
              <w:right w:val="single" w:color="000000" w:sz="4" w:space="0"/>
            </w:tcBorders>
            <w:shd w:val="clear" w:color="auto" w:fill="auto"/>
            <w:vAlign w:val="center"/>
          </w:tcPr>
          <w:p w14:paraId="3C1503C9">
            <w:pPr>
              <w:jc w:val="center"/>
              <w:rPr>
                <w:rFonts w:hint="eastAsia" w:ascii="仿宋" w:hAnsi="仿宋" w:eastAsia="仿宋" w:cs="仿宋"/>
                <w:i w:val="0"/>
                <w:iCs w:val="0"/>
                <w:color w:val="auto"/>
                <w:sz w:val="24"/>
                <w:szCs w:val="24"/>
                <w:highlight w:val="none"/>
                <w:u w:val="none"/>
              </w:rPr>
            </w:pPr>
          </w:p>
        </w:tc>
        <w:tc>
          <w:tcPr>
            <w:tcW w:w="3846" w:type="dxa"/>
            <w:gridSpan w:val="3"/>
            <w:tcBorders>
              <w:top w:val="single" w:color="000000" w:sz="4" w:space="0"/>
              <w:left w:val="single" w:color="000000" w:sz="4" w:space="0"/>
              <w:bottom w:val="single" w:color="000000" w:sz="8" w:space="0"/>
              <w:right w:val="nil"/>
            </w:tcBorders>
            <w:shd w:val="clear" w:color="auto" w:fill="auto"/>
            <w:vAlign w:val="center"/>
          </w:tcPr>
          <w:p w14:paraId="1B686C4F">
            <w:pPr>
              <w:keepNext w:val="0"/>
              <w:keepLines w:val="0"/>
              <w:widowControl/>
              <w:suppressLineNumbers w:val="0"/>
              <w:jc w:val="center"/>
              <w:textAlignment w:val="center"/>
              <w:rPr>
                <w:rFonts w:hint="eastAsia" w:ascii="仿宋" w:hAnsi="仿宋" w:eastAsia="仿宋" w:cs="仿宋"/>
                <w:i w:val="0"/>
                <w:iCs w:val="0"/>
                <w:color w:val="auto"/>
                <w:sz w:val="24"/>
                <w:szCs w:val="24"/>
                <w:highlight w:val="none"/>
                <w:u w:val="none"/>
              </w:rPr>
            </w:pPr>
            <w:r>
              <w:rPr>
                <w:rFonts w:hint="eastAsia" w:ascii="仿宋" w:hAnsi="仿宋" w:eastAsia="仿宋" w:cs="仿宋"/>
                <w:i w:val="0"/>
                <w:iCs w:val="0"/>
                <w:color w:val="auto"/>
                <w:kern w:val="0"/>
                <w:sz w:val="24"/>
                <w:szCs w:val="24"/>
                <w:highlight w:val="none"/>
                <w:u w:val="none"/>
                <w:lang w:val="en-US" w:eastAsia="zh-CN" w:bidi="ar"/>
              </w:rPr>
              <w:t>合计</w:t>
            </w:r>
          </w:p>
        </w:tc>
        <w:tc>
          <w:tcPr>
            <w:tcW w:w="998" w:type="dxa"/>
            <w:tcBorders>
              <w:top w:val="single" w:color="000000" w:sz="4" w:space="0"/>
              <w:left w:val="nil"/>
              <w:bottom w:val="single" w:color="000000" w:sz="8" w:space="0"/>
              <w:right w:val="single" w:color="000000" w:sz="4" w:space="0"/>
            </w:tcBorders>
            <w:shd w:val="clear" w:color="auto" w:fill="auto"/>
            <w:vAlign w:val="center"/>
          </w:tcPr>
          <w:p w14:paraId="7C91CD97">
            <w:pPr>
              <w:jc w:val="center"/>
              <w:rPr>
                <w:rFonts w:hint="eastAsia" w:ascii="仿宋" w:hAnsi="仿宋" w:eastAsia="仿宋" w:cs="仿宋"/>
                <w:i w:val="0"/>
                <w:iCs w:val="0"/>
                <w:color w:val="auto"/>
                <w:sz w:val="24"/>
                <w:szCs w:val="24"/>
                <w:highlight w:val="none"/>
                <w:u w:val="none"/>
              </w:rPr>
            </w:pPr>
          </w:p>
        </w:tc>
        <w:tc>
          <w:tcPr>
            <w:tcW w:w="8704" w:type="dxa"/>
            <w:gridSpan w:val="5"/>
            <w:tcBorders>
              <w:top w:val="single" w:color="000000" w:sz="4" w:space="0"/>
              <w:left w:val="single" w:color="000000" w:sz="4" w:space="0"/>
              <w:bottom w:val="single" w:color="000000" w:sz="8" w:space="0"/>
              <w:right w:val="single" w:color="000000" w:sz="8" w:space="0"/>
            </w:tcBorders>
            <w:shd w:val="clear" w:color="auto" w:fill="auto"/>
            <w:vAlign w:val="center"/>
          </w:tcPr>
          <w:p w14:paraId="397FEBFA">
            <w:pPr>
              <w:ind w:firstLine="2200" w:firstLineChars="1000"/>
              <w:rPr>
                <w:rFonts w:hint="eastAsia" w:ascii="仿宋" w:hAnsi="仿宋" w:eastAsia="仿宋" w:cs="仿宋"/>
                <w:i w:val="0"/>
                <w:iCs w:val="0"/>
                <w:color w:val="auto"/>
                <w:sz w:val="22"/>
                <w:szCs w:val="22"/>
                <w:highlight w:val="none"/>
                <w:u w:val="none"/>
                <w:lang w:val="en-US" w:eastAsia="zh-CN"/>
              </w:rPr>
            </w:pPr>
            <w:r>
              <w:rPr>
                <w:rFonts w:hint="eastAsia" w:ascii="仿宋" w:hAnsi="仿宋" w:eastAsia="仿宋" w:cs="仿宋"/>
                <w:i w:val="0"/>
                <w:iCs w:val="0"/>
                <w:color w:val="auto"/>
                <w:sz w:val="22"/>
                <w:szCs w:val="22"/>
                <w:highlight w:val="none"/>
                <w:u w:val="none"/>
                <w:lang w:val="en-US" w:eastAsia="zh-CN"/>
              </w:rPr>
              <w:t>元</w:t>
            </w:r>
          </w:p>
        </w:tc>
      </w:tr>
    </w:tbl>
    <w:p w14:paraId="242F714B">
      <w:pPr>
        <w:spacing w:line="360" w:lineRule="auto"/>
        <w:jc w:val="left"/>
        <w:rPr>
          <w:rFonts w:hint="eastAsia" w:ascii="仿宋" w:hAnsi="仿宋" w:eastAsia="仿宋" w:cs="仿宋"/>
          <w:color w:val="auto"/>
          <w:sz w:val="24"/>
          <w:szCs w:val="24"/>
          <w:highlight w:val="none"/>
        </w:rPr>
      </w:pPr>
    </w:p>
    <w:p w14:paraId="190B5477">
      <w:pPr>
        <w:spacing w:line="360" w:lineRule="auto"/>
        <w:jc w:val="right"/>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供应商名称：</w:t>
      </w:r>
      <w:r>
        <w:rPr>
          <w:rFonts w:hint="eastAsia" w:ascii="仿宋" w:hAnsi="仿宋" w:eastAsia="仿宋" w:cs="仿宋"/>
          <w:color w:val="auto"/>
          <w:sz w:val="24"/>
          <w:szCs w:val="24"/>
          <w:highlight w:val="none"/>
          <w:u w:val="single"/>
          <w:lang w:val="en-US" w:eastAsia="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p w14:paraId="72EF6969">
      <w:pPr>
        <w:spacing w:line="360" w:lineRule="auto"/>
        <w:jc w:val="righ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日期：年月日</w:t>
      </w:r>
    </w:p>
    <w:p w14:paraId="52FC03C6">
      <w:pPr>
        <w:pStyle w:val="27"/>
        <w:rPr>
          <w:rFonts w:ascii="仿宋" w:hAnsi="仿宋" w:eastAsia="仿宋" w:cs="仿宋"/>
          <w:color w:val="auto"/>
          <w:highlight w:val="none"/>
          <w:lang w:val="zh-CN"/>
        </w:rPr>
      </w:pPr>
    </w:p>
    <w:p w14:paraId="1765A4D1">
      <w:pPr>
        <w:spacing w:line="360" w:lineRule="auto"/>
        <w:ind w:firstLine="480" w:firstLineChars="200"/>
        <w:rPr>
          <w:rFonts w:ascii="仿宋" w:hAnsi="仿宋" w:eastAsia="仿宋" w:cs="仿宋"/>
          <w:color w:val="auto"/>
          <w:kern w:val="0"/>
          <w:sz w:val="24"/>
          <w:highlight w:val="none"/>
          <w:lang w:val="zh-CN"/>
        </w:rPr>
      </w:pPr>
      <w:r>
        <w:rPr>
          <w:rStyle w:val="173"/>
          <w:rFonts w:hint="eastAsia" w:ascii="仿宋" w:hAnsi="仿宋" w:eastAsia="仿宋" w:cs="仿宋"/>
          <w:color w:val="auto"/>
          <w:kern w:val="0"/>
          <w:sz w:val="24"/>
          <w:highlight w:val="none"/>
          <w:lang w:val="zh-CN"/>
        </w:rPr>
        <w:t>说明：</w:t>
      </w:r>
    </w:p>
    <w:p w14:paraId="04FF85B3">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1、供应商的磋商报价应充分考虑服务期间各项市场风险和国家政策性调整风险，其成交总价一旦确定，一律不作调整。</w:t>
      </w:r>
    </w:p>
    <w:p w14:paraId="1FAD8DF1">
      <w:pPr>
        <w:spacing w:line="360" w:lineRule="auto"/>
        <w:ind w:firstLine="480"/>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2、供应商的任何错漏、优惠、竞争性报价不得作为减轻责任、减少服务、增加收费、降低质量的理由。</w:t>
      </w:r>
    </w:p>
    <w:p w14:paraId="689665A1">
      <w:pPr>
        <w:rPr>
          <w:color w:val="auto"/>
          <w:highlight w:val="none"/>
        </w:rPr>
      </w:pPr>
    </w:p>
    <w:p w14:paraId="6388139B">
      <w:pPr>
        <w:rPr>
          <w:color w:val="auto"/>
          <w:highlight w:val="none"/>
        </w:rPr>
      </w:pPr>
    </w:p>
    <w:p w14:paraId="35BF7178">
      <w:pPr>
        <w:rPr>
          <w:color w:val="auto"/>
          <w:highlight w:val="none"/>
        </w:rPr>
      </w:pPr>
    </w:p>
    <w:p w14:paraId="204D72BB">
      <w:pPr>
        <w:rPr>
          <w:color w:val="auto"/>
          <w:highlight w:val="none"/>
        </w:rPr>
      </w:pPr>
    </w:p>
    <w:p w14:paraId="09999FAE">
      <w:pPr>
        <w:rPr>
          <w:color w:val="auto"/>
          <w:highlight w:val="none"/>
        </w:rPr>
        <w:sectPr>
          <w:pgSz w:w="16838" w:h="11906" w:orient="landscape"/>
          <w:pgMar w:top="1757" w:right="1417" w:bottom="1757" w:left="1417" w:header="851" w:footer="964" w:gutter="0"/>
          <w:cols w:space="720" w:num="1"/>
          <w:docGrid w:linePitch="290" w:charSpace="0"/>
        </w:sectPr>
      </w:pPr>
    </w:p>
    <w:p w14:paraId="0FF9C1DB">
      <w:pPr>
        <w:pStyle w:val="4"/>
        <w:keepLines w:val="0"/>
        <w:tabs>
          <w:tab w:val="left" w:pos="1440"/>
          <w:tab w:val="left" w:pos="5670"/>
        </w:tabs>
        <w:wordWrap/>
        <w:spacing w:line="360" w:lineRule="auto"/>
        <w:rPr>
          <w:rFonts w:ascii="仿宋" w:hAnsi="仿宋" w:eastAsia="仿宋" w:cs="仿宋"/>
          <w:color w:val="auto"/>
          <w:sz w:val="24"/>
          <w:szCs w:val="24"/>
          <w:highlight w:val="none"/>
        </w:rPr>
      </w:pPr>
      <w:bookmarkStart w:id="151" w:name="_Toc4346"/>
      <w:bookmarkStart w:id="152" w:name="_Toc25221"/>
      <w:bookmarkStart w:id="153" w:name="_Toc7532"/>
      <w:r>
        <w:rPr>
          <w:rFonts w:hint="eastAsia" w:ascii="仿宋" w:hAnsi="仿宋" w:eastAsia="仿宋" w:cs="仿宋"/>
          <w:color w:val="auto"/>
          <w:sz w:val="24"/>
          <w:szCs w:val="24"/>
          <w:highlight w:val="none"/>
        </w:rPr>
        <w:t>5、技术条款偏离表</w:t>
      </w:r>
      <w:bookmarkEnd w:id="151"/>
      <w:bookmarkEnd w:id="152"/>
      <w:bookmarkEnd w:id="153"/>
    </w:p>
    <w:p w14:paraId="70C8A3CC">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技术条款偏离表</w:t>
      </w:r>
    </w:p>
    <w:tbl>
      <w:tblPr>
        <w:tblStyle w:val="61"/>
        <w:tblW w:w="0" w:type="auto"/>
        <w:jc w:val="center"/>
        <w:tblLayout w:type="fixed"/>
        <w:tblCellMar>
          <w:top w:w="0" w:type="dxa"/>
          <w:left w:w="0" w:type="dxa"/>
          <w:bottom w:w="0" w:type="dxa"/>
          <w:right w:w="0" w:type="dxa"/>
        </w:tblCellMar>
      </w:tblPr>
      <w:tblGrid>
        <w:gridCol w:w="869"/>
        <w:gridCol w:w="1701"/>
        <w:gridCol w:w="2021"/>
        <w:gridCol w:w="1239"/>
        <w:gridCol w:w="1417"/>
        <w:gridCol w:w="1767"/>
      </w:tblGrid>
      <w:tr w14:paraId="5B3D7665">
        <w:tblPrEx>
          <w:tblCellMar>
            <w:top w:w="0" w:type="dxa"/>
            <w:left w:w="0" w:type="dxa"/>
            <w:bottom w:w="0" w:type="dxa"/>
            <w:right w:w="0" w:type="dxa"/>
          </w:tblCellMar>
        </w:tblPrEx>
        <w:trPr>
          <w:trHeight w:val="680" w:hRule="atLeast"/>
          <w:jc w:val="center"/>
        </w:trPr>
        <w:tc>
          <w:tcPr>
            <w:tcW w:w="9014" w:type="dxa"/>
            <w:gridSpan w:val="6"/>
            <w:tcBorders>
              <w:top w:val="nil"/>
              <w:left w:val="nil"/>
              <w:bottom w:val="single" w:color="auto" w:sz="6" w:space="0"/>
              <w:right w:val="nil"/>
            </w:tcBorders>
            <w:vAlign w:val="center"/>
          </w:tcPr>
          <w:p w14:paraId="74F2300F">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项目名称：雨花台区文化和旅游局雨花非遗・艺启同行—雨花台区非遗推广项目 </w:t>
            </w:r>
          </w:p>
          <w:p w14:paraId="4F862EF8">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项目编号：YCZX-CS-202501081</w:t>
            </w:r>
          </w:p>
        </w:tc>
      </w:tr>
      <w:tr w14:paraId="78652703">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71D10217">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701" w:type="dxa"/>
            <w:tcBorders>
              <w:top w:val="single" w:color="auto" w:sz="6" w:space="0"/>
              <w:left w:val="single" w:color="auto" w:sz="6" w:space="0"/>
              <w:bottom w:val="single" w:color="auto" w:sz="6" w:space="0"/>
              <w:right w:val="single" w:color="auto" w:sz="6" w:space="0"/>
            </w:tcBorders>
            <w:vAlign w:val="center"/>
          </w:tcPr>
          <w:p w14:paraId="65443507">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竞争性磋商文件条目号</w:t>
            </w:r>
          </w:p>
        </w:tc>
        <w:tc>
          <w:tcPr>
            <w:tcW w:w="2021" w:type="dxa"/>
            <w:tcBorders>
              <w:top w:val="single" w:color="auto" w:sz="6" w:space="0"/>
              <w:left w:val="single" w:color="auto" w:sz="6" w:space="0"/>
              <w:bottom w:val="single" w:color="auto" w:sz="6" w:space="0"/>
              <w:right w:val="single" w:color="auto" w:sz="6" w:space="0"/>
            </w:tcBorders>
            <w:vAlign w:val="center"/>
          </w:tcPr>
          <w:p w14:paraId="0BE7243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lang w:val="zh-CN"/>
              </w:rPr>
              <w:t>竞争性磋商</w:t>
            </w:r>
            <w:r>
              <w:rPr>
                <w:rFonts w:hint="eastAsia" w:ascii="仿宋" w:hAnsi="仿宋" w:eastAsia="仿宋" w:cs="仿宋"/>
                <w:color w:val="auto"/>
                <w:sz w:val="24"/>
                <w:szCs w:val="24"/>
                <w:highlight w:val="none"/>
              </w:rPr>
              <w:t>文件的</w:t>
            </w:r>
          </w:p>
          <w:p w14:paraId="31193F11">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要求规格</w:t>
            </w:r>
          </w:p>
        </w:tc>
        <w:tc>
          <w:tcPr>
            <w:tcW w:w="1239" w:type="dxa"/>
            <w:tcBorders>
              <w:top w:val="single" w:color="auto" w:sz="6" w:space="0"/>
              <w:left w:val="single" w:color="auto" w:sz="6" w:space="0"/>
              <w:bottom w:val="single" w:color="auto" w:sz="6" w:space="0"/>
              <w:right w:val="single" w:color="auto" w:sz="6" w:space="0"/>
            </w:tcBorders>
            <w:vAlign w:val="center"/>
          </w:tcPr>
          <w:p w14:paraId="07C39137">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参与投标的</w:t>
            </w:r>
          </w:p>
          <w:p w14:paraId="01BDBAA7">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技术响应</w:t>
            </w:r>
          </w:p>
        </w:tc>
        <w:tc>
          <w:tcPr>
            <w:tcW w:w="1417" w:type="dxa"/>
            <w:tcBorders>
              <w:top w:val="single" w:color="auto" w:sz="6" w:space="0"/>
              <w:left w:val="single" w:color="auto" w:sz="6" w:space="0"/>
              <w:bottom w:val="single" w:color="auto" w:sz="6" w:space="0"/>
              <w:right w:val="single" w:color="auto" w:sz="6" w:space="0"/>
            </w:tcBorders>
            <w:vAlign w:val="center"/>
          </w:tcPr>
          <w:p w14:paraId="294634B1">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有无偏离</w:t>
            </w:r>
          </w:p>
        </w:tc>
        <w:tc>
          <w:tcPr>
            <w:tcW w:w="1767" w:type="dxa"/>
            <w:tcBorders>
              <w:top w:val="single" w:color="auto" w:sz="6" w:space="0"/>
              <w:left w:val="single" w:color="auto" w:sz="6" w:space="0"/>
              <w:bottom w:val="single" w:color="auto" w:sz="6" w:space="0"/>
              <w:right w:val="single" w:color="auto" w:sz="6" w:space="0"/>
            </w:tcBorders>
            <w:vAlign w:val="center"/>
          </w:tcPr>
          <w:p w14:paraId="36F63129">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偏离内容及原因</w:t>
            </w:r>
          </w:p>
        </w:tc>
      </w:tr>
      <w:tr w14:paraId="335419FB">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447D6BCB">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7888BFDD">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7D1EB914">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3344F184">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13CF4FB1">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36455007">
            <w:pPr>
              <w:jc w:val="center"/>
              <w:rPr>
                <w:rFonts w:ascii="仿宋" w:hAnsi="仿宋" w:eastAsia="仿宋" w:cs="仿宋"/>
                <w:color w:val="auto"/>
                <w:sz w:val="24"/>
                <w:szCs w:val="24"/>
                <w:highlight w:val="none"/>
                <w:lang w:val="zh-CN"/>
              </w:rPr>
            </w:pPr>
          </w:p>
        </w:tc>
      </w:tr>
      <w:tr w14:paraId="614D4ADE">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0D5F46CA">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3CF453EB">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4394882A">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140261EE">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6336BCD9">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146E180C">
            <w:pPr>
              <w:jc w:val="center"/>
              <w:rPr>
                <w:rFonts w:ascii="仿宋" w:hAnsi="仿宋" w:eastAsia="仿宋" w:cs="仿宋"/>
                <w:color w:val="auto"/>
                <w:sz w:val="24"/>
                <w:szCs w:val="24"/>
                <w:highlight w:val="none"/>
                <w:lang w:val="zh-CN"/>
              </w:rPr>
            </w:pPr>
          </w:p>
        </w:tc>
      </w:tr>
      <w:tr w14:paraId="0E94B8D7">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75394EDF">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126E3E0D">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3E12A8EF">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6A27AD8E">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49F5A406">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56080A00">
            <w:pPr>
              <w:jc w:val="center"/>
              <w:rPr>
                <w:rFonts w:ascii="仿宋" w:hAnsi="仿宋" w:eastAsia="仿宋" w:cs="仿宋"/>
                <w:color w:val="auto"/>
                <w:sz w:val="24"/>
                <w:szCs w:val="24"/>
                <w:highlight w:val="none"/>
                <w:lang w:val="zh-CN"/>
              </w:rPr>
            </w:pPr>
          </w:p>
        </w:tc>
      </w:tr>
      <w:tr w14:paraId="37B14A5E">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4C146B8D">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6B56322C">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0028932F">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32FA5D95">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08E26D42">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760311EB">
            <w:pPr>
              <w:jc w:val="center"/>
              <w:rPr>
                <w:rFonts w:ascii="仿宋" w:hAnsi="仿宋" w:eastAsia="仿宋" w:cs="仿宋"/>
                <w:color w:val="auto"/>
                <w:sz w:val="24"/>
                <w:szCs w:val="24"/>
                <w:highlight w:val="none"/>
                <w:lang w:val="zh-CN"/>
              </w:rPr>
            </w:pPr>
          </w:p>
        </w:tc>
      </w:tr>
      <w:tr w14:paraId="14A03228">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4703801D">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73C401A6">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150BBA33">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4F2154F3">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464556FA">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7293E269">
            <w:pPr>
              <w:jc w:val="center"/>
              <w:rPr>
                <w:rFonts w:ascii="仿宋" w:hAnsi="仿宋" w:eastAsia="仿宋" w:cs="仿宋"/>
                <w:color w:val="auto"/>
                <w:sz w:val="24"/>
                <w:szCs w:val="24"/>
                <w:highlight w:val="none"/>
                <w:lang w:val="zh-CN"/>
              </w:rPr>
            </w:pPr>
          </w:p>
        </w:tc>
      </w:tr>
      <w:tr w14:paraId="57F3F283">
        <w:tblPrEx>
          <w:tblCellMar>
            <w:top w:w="0" w:type="dxa"/>
            <w:left w:w="0" w:type="dxa"/>
            <w:bottom w:w="0" w:type="dxa"/>
            <w:right w:w="0" w:type="dxa"/>
          </w:tblCellMar>
        </w:tblPrEx>
        <w:trPr>
          <w:trHeight w:val="680" w:hRule="atLeast"/>
          <w:jc w:val="center"/>
        </w:trPr>
        <w:tc>
          <w:tcPr>
            <w:tcW w:w="869" w:type="dxa"/>
            <w:tcBorders>
              <w:top w:val="single" w:color="auto" w:sz="6" w:space="0"/>
              <w:left w:val="single" w:color="auto" w:sz="6" w:space="0"/>
              <w:bottom w:val="single" w:color="auto" w:sz="6" w:space="0"/>
              <w:right w:val="single" w:color="auto" w:sz="6" w:space="0"/>
            </w:tcBorders>
            <w:vAlign w:val="center"/>
          </w:tcPr>
          <w:p w14:paraId="77A28F80">
            <w:pPr>
              <w:jc w:val="center"/>
              <w:rPr>
                <w:rFonts w:ascii="仿宋" w:hAnsi="仿宋" w:eastAsia="仿宋" w:cs="仿宋"/>
                <w:color w:val="auto"/>
                <w:sz w:val="24"/>
                <w:szCs w:val="24"/>
                <w:highlight w:val="none"/>
                <w:lang w:val="zh-CN"/>
              </w:rPr>
            </w:pPr>
          </w:p>
        </w:tc>
        <w:tc>
          <w:tcPr>
            <w:tcW w:w="1701" w:type="dxa"/>
            <w:tcBorders>
              <w:top w:val="single" w:color="auto" w:sz="6" w:space="0"/>
              <w:left w:val="single" w:color="auto" w:sz="6" w:space="0"/>
              <w:bottom w:val="single" w:color="auto" w:sz="6" w:space="0"/>
              <w:right w:val="single" w:color="auto" w:sz="6" w:space="0"/>
            </w:tcBorders>
            <w:vAlign w:val="center"/>
          </w:tcPr>
          <w:p w14:paraId="6CD8DAB9">
            <w:pPr>
              <w:jc w:val="center"/>
              <w:rPr>
                <w:rFonts w:ascii="仿宋" w:hAnsi="仿宋" w:eastAsia="仿宋" w:cs="仿宋"/>
                <w:color w:val="auto"/>
                <w:sz w:val="24"/>
                <w:szCs w:val="24"/>
                <w:highlight w:val="none"/>
                <w:lang w:val="zh-CN"/>
              </w:rPr>
            </w:pPr>
          </w:p>
        </w:tc>
        <w:tc>
          <w:tcPr>
            <w:tcW w:w="2021" w:type="dxa"/>
            <w:tcBorders>
              <w:top w:val="single" w:color="auto" w:sz="6" w:space="0"/>
              <w:left w:val="single" w:color="auto" w:sz="6" w:space="0"/>
              <w:bottom w:val="single" w:color="auto" w:sz="6" w:space="0"/>
              <w:right w:val="single" w:color="auto" w:sz="6" w:space="0"/>
            </w:tcBorders>
            <w:vAlign w:val="center"/>
          </w:tcPr>
          <w:p w14:paraId="7CB9FB52">
            <w:pPr>
              <w:jc w:val="center"/>
              <w:rPr>
                <w:rFonts w:ascii="仿宋" w:hAnsi="仿宋" w:eastAsia="仿宋" w:cs="仿宋"/>
                <w:color w:val="auto"/>
                <w:sz w:val="24"/>
                <w:szCs w:val="24"/>
                <w:highlight w:val="none"/>
                <w:lang w:val="zh-CN"/>
              </w:rPr>
            </w:pPr>
          </w:p>
        </w:tc>
        <w:tc>
          <w:tcPr>
            <w:tcW w:w="1239" w:type="dxa"/>
            <w:tcBorders>
              <w:top w:val="single" w:color="auto" w:sz="6" w:space="0"/>
              <w:left w:val="single" w:color="auto" w:sz="6" w:space="0"/>
              <w:bottom w:val="single" w:color="auto" w:sz="6" w:space="0"/>
              <w:right w:val="single" w:color="auto" w:sz="6" w:space="0"/>
            </w:tcBorders>
            <w:vAlign w:val="center"/>
          </w:tcPr>
          <w:p w14:paraId="01ABE6F7">
            <w:pPr>
              <w:jc w:val="center"/>
              <w:rPr>
                <w:rFonts w:ascii="仿宋" w:hAnsi="仿宋" w:eastAsia="仿宋" w:cs="仿宋"/>
                <w:color w:val="auto"/>
                <w:sz w:val="24"/>
                <w:szCs w:val="24"/>
                <w:highlight w:val="none"/>
                <w:lang w:val="zh-CN"/>
              </w:rPr>
            </w:pPr>
          </w:p>
        </w:tc>
        <w:tc>
          <w:tcPr>
            <w:tcW w:w="1417" w:type="dxa"/>
            <w:tcBorders>
              <w:top w:val="single" w:color="auto" w:sz="6" w:space="0"/>
              <w:left w:val="single" w:color="auto" w:sz="6" w:space="0"/>
              <w:bottom w:val="single" w:color="auto" w:sz="6" w:space="0"/>
              <w:right w:val="single" w:color="auto" w:sz="6" w:space="0"/>
            </w:tcBorders>
          </w:tcPr>
          <w:p w14:paraId="778A3A8B">
            <w:pPr>
              <w:jc w:val="center"/>
              <w:rPr>
                <w:rFonts w:ascii="仿宋" w:hAnsi="仿宋" w:eastAsia="仿宋" w:cs="仿宋"/>
                <w:color w:val="auto"/>
                <w:sz w:val="24"/>
                <w:szCs w:val="24"/>
                <w:highlight w:val="none"/>
                <w:lang w:val="zh-CN"/>
              </w:rPr>
            </w:pPr>
          </w:p>
        </w:tc>
        <w:tc>
          <w:tcPr>
            <w:tcW w:w="1767" w:type="dxa"/>
            <w:tcBorders>
              <w:top w:val="single" w:color="auto" w:sz="6" w:space="0"/>
              <w:left w:val="single" w:color="auto" w:sz="6" w:space="0"/>
              <w:bottom w:val="single" w:color="auto" w:sz="6" w:space="0"/>
              <w:right w:val="single" w:color="auto" w:sz="6" w:space="0"/>
            </w:tcBorders>
            <w:vAlign w:val="center"/>
          </w:tcPr>
          <w:p w14:paraId="44D71853">
            <w:pPr>
              <w:jc w:val="center"/>
              <w:rPr>
                <w:rFonts w:ascii="仿宋" w:hAnsi="仿宋" w:eastAsia="仿宋" w:cs="仿宋"/>
                <w:color w:val="auto"/>
                <w:sz w:val="24"/>
                <w:szCs w:val="24"/>
                <w:highlight w:val="none"/>
                <w:lang w:val="zh-CN"/>
              </w:rPr>
            </w:pPr>
          </w:p>
        </w:tc>
      </w:tr>
    </w:tbl>
    <w:p w14:paraId="2B73DBB2">
      <w:pPr>
        <w:spacing w:line="360" w:lineRule="auto"/>
        <w:jc w:val="righ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p w14:paraId="4B323080">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说明：</w:t>
      </w:r>
    </w:p>
    <w:p w14:paraId="40B563E2">
      <w:pPr>
        <w:spacing w:line="360" w:lineRule="auto"/>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rPr>
        <w:t>1</w:t>
      </w:r>
      <w:r>
        <w:rPr>
          <w:rFonts w:hint="eastAsia" w:ascii="仿宋" w:hAnsi="仿宋" w:eastAsia="仿宋" w:cs="仿宋"/>
          <w:color w:val="auto"/>
          <w:kern w:val="0"/>
          <w:sz w:val="24"/>
          <w:highlight w:val="none"/>
          <w:lang w:val="zh-CN"/>
        </w:rPr>
        <w:t>、如果行数不够，请自行增加。</w:t>
      </w:r>
    </w:p>
    <w:p w14:paraId="64A2B12D">
      <w:pPr>
        <w:rPr>
          <w:color w:val="auto"/>
          <w:highlight w:val="none"/>
        </w:rPr>
        <w:sectPr>
          <w:pgSz w:w="11906" w:h="16838"/>
          <w:pgMar w:top="1417" w:right="1757" w:bottom="1417" w:left="1757" w:header="851" w:footer="964" w:gutter="0"/>
          <w:cols w:space="720" w:num="1"/>
          <w:docGrid w:linePitch="290" w:charSpace="0"/>
        </w:sectPr>
      </w:pPr>
      <w:bookmarkStart w:id="154" w:name="_Toc5151"/>
      <w:bookmarkStart w:id="155" w:name="_Toc24366"/>
      <w:bookmarkStart w:id="156" w:name="_Toc2051"/>
    </w:p>
    <w:p w14:paraId="3BB34975">
      <w:pPr>
        <w:pStyle w:val="4"/>
        <w:keepLines w:val="0"/>
        <w:tabs>
          <w:tab w:val="left" w:pos="1440"/>
          <w:tab w:val="left" w:pos="5670"/>
        </w:tabs>
        <w:wordWrap/>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6、商务条款偏离表</w:t>
      </w:r>
      <w:bookmarkEnd w:id="154"/>
      <w:bookmarkEnd w:id="155"/>
      <w:bookmarkEnd w:id="156"/>
    </w:p>
    <w:p w14:paraId="36AA554C">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商务条款偏离表</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51"/>
        <w:gridCol w:w="1843"/>
        <w:gridCol w:w="2268"/>
        <w:gridCol w:w="1417"/>
        <w:gridCol w:w="1259"/>
        <w:gridCol w:w="1372"/>
      </w:tblGrid>
      <w:tr w14:paraId="1B68B0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tblHeader/>
          <w:jc w:val="center"/>
        </w:trPr>
        <w:tc>
          <w:tcPr>
            <w:tcW w:w="9010" w:type="dxa"/>
            <w:gridSpan w:val="6"/>
            <w:tcBorders>
              <w:top w:val="nil"/>
              <w:left w:val="nil"/>
              <w:right w:val="nil"/>
            </w:tcBorders>
            <w:vAlign w:val="center"/>
          </w:tcPr>
          <w:p w14:paraId="2AB30B30">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 xml:space="preserve">项目名称：雨花台区文化和旅游局雨花非遗・艺启同行—雨花台区非遗推广项目 </w:t>
            </w:r>
          </w:p>
          <w:p w14:paraId="2243CACB">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项目编号：YCZX-CS-202501081</w:t>
            </w:r>
          </w:p>
        </w:tc>
      </w:tr>
      <w:tr w14:paraId="1EAEF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5C1B7B9F">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序号</w:t>
            </w:r>
          </w:p>
        </w:tc>
        <w:tc>
          <w:tcPr>
            <w:tcW w:w="1843" w:type="dxa"/>
            <w:vAlign w:val="center"/>
          </w:tcPr>
          <w:p w14:paraId="0351E718">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竞争性磋商文件</w:t>
            </w:r>
          </w:p>
          <w:p w14:paraId="7FC27FB3">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条目号</w:t>
            </w:r>
          </w:p>
        </w:tc>
        <w:tc>
          <w:tcPr>
            <w:tcW w:w="2268" w:type="dxa"/>
            <w:vAlign w:val="center"/>
          </w:tcPr>
          <w:p w14:paraId="79D672F7">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竞争性磋商文件要求的商务条款</w:t>
            </w:r>
          </w:p>
        </w:tc>
        <w:tc>
          <w:tcPr>
            <w:tcW w:w="1417" w:type="dxa"/>
            <w:vAlign w:val="center"/>
          </w:tcPr>
          <w:p w14:paraId="6A77908C">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参与投标的</w:t>
            </w:r>
          </w:p>
          <w:p w14:paraId="48EDE533">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商务响应</w:t>
            </w:r>
          </w:p>
        </w:tc>
        <w:tc>
          <w:tcPr>
            <w:tcW w:w="1259" w:type="dxa"/>
            <w:vAlign w:val="center"/>
          </w:tcPr>
          <w:p w14:paraId="2403C16D">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是否偏离</w:t>
            </w:r>
          </w:p>
        </w:tc>
        <w:tc>
          <w:tcPr>
            <w:tcW w:w="1372" w:type="dxa"/>
            <w:vAlign w:val="center"/>
          </w:tcPr>
          <w:p w14:paraId="25668399">
            <w:pPr>
              <w:jc w:val="center"/>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供应商的承诺或说明</w:t>
            </w:r>
          </w:p>
        </w:tc>
      </w:tr>
      <w:tr w14:paraId="6ACFE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5F9C5B4E">
            <w:pPr>
              <w:jc w:val="center"/>
              <w:rPr>
                <w:rFonts w:ascii="仿宋" w:hAnsi="仿宋" w:eastAsia="仿宋" w:cs="仿宋"/>
                <w:color w:val="auto"/>
                <w:sz w:val="24"/>
                <w:szCs w:val="24"/>
                <w:highlight w:val="none"/>
                <w:lang w:val="zh-CN"/>
              </w:rPr>
            </w:pPr>
          </w:p>
        </w:tc>
        <w:tc>
          <w:tcPr>
            <w:tcW w:w="1843" w:type="dxa"/>
            <w:vAlign w:val="center"/>
          </w:tcPr>
          <w:p w14:paraId="40048F61">
            <w:pPr>
              <w:jc w:val="center"/>
              <w:rPr>
                <w:rFonts w:ascii="仿宋" w:hAnsi="仿宋" w:eastAsia="仿宋" w:cs="仿宋"/>
                <w:color w:val="auto"/>
                <w:sz w:val="24"/>
                <w:szCs w:val="24"/>
                <w:highlight w:val="none"/>
                <w:lang w:val="zh-CN"/>
              </w:rPr>
            </w:pPr>
          </w:p>
        </w:tc>
        <w:tc>
          <w:tcPr>
            <w:tcW w:w="2268" w:type="dxa"/>
            <w:vAlign w:val="center"/>
          </w:tcPr>
          <w:p w14:paraId="1F5051CC">
            <w:pPr>
              <w:jc w:val="center"/>
              <w:rPr>
                <w:rFonts w:ascii="仿宋" w:hAnsi="仿宋" w:eastAsia="仿宋" w:cs="仿宋"/>
                <w:color w:val="auto"/>
                <w:sz w:val="24"/>
                <w:szCs w:val="24"/>
                <w:highlight w:val="none"/>
                <w:lang w:val="zh-CN"/>
              </w:rPr>
            </w:pPr>
          </w:p>
        </w:tc>
        <w:tc>
          <w:tcPr>
            <w:tcW w:w="1417" w:type="dxa"/>
            <w:vAlign w:val="center"/>
          </w:tcPr>
          <w:p w14:paraId="151E3FE7">
            <w:pPr>
              <w:jc w:val="center"/>
              <w:rPr>
                <w:rFonts w:ascii="仿宋" w:hAnsi="仿宋" w:eastAsia="仿宋" w:cs="仿宋"/>
                <w:color w:val="auto"/>
                <w:sz w:val="24"/>
                <w:szCs w:val="24"/>
                <w:highlight w:val="none"/>
                <w:lang w:val="zh-CN"/>
              </w:rPr>
            </w:pPr>
          </w:p>
        </w:tc>
        <w:tc>
          <w:tcPr>
            <w:tcW w:w="1259" w:type="dxa"/>
          </w:tcPr>
          <w:p w14:paraId="25CC8C42">
            <w:pPr>
              <w:jc w:val="center"/>
              <w:rPr>
                <w:rFonts w:ascii="仿宋" w:hAnsi="仿宋" w:eastAsia="仿宋" w:cs="仿宋"/>
                <w:color w:val="auto"/>
                <w:sz w:val="24"/>
                <w:szCs w:val="24"/>
                <w:highlight w:val="none"/>
                <w:lang w:val="zh-CN"/>
              </w:rPr>
            </w:pPr>
          </w:p>
        </w:tc>
        <w:tc>
          <w:tcPr>
            <w:tcW w:w="1372" w:type="dxa"/>
            <w:vAlign w:val="center"/>
          </w:tcPr>
          <w:p w14:paraId="5D6B8512">
            <w:pPr>
              <w:jc w:val="center"/>
              <w:rPr>
                <w:rFonts w:ascii="仿宋" w:hAnsi="仿宋" w:eastAsia="仿宋" w:cs="仿宋"/>
                <w:color w:val="auto"/>
                <w:sz w:val="24"/>
                <w:szCs w:val="24"/>
                <w:highlight w:val="none"/>
                <w:lang w:val="zh-CN"/>
              </w:rPr>
            </w:pPr>
          </w:p>
        </w:tc>
      </w:tr>
      <w:tr w14:paraId="04DEA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0B61756C">
            <w:pPr>
              <w:jc w:val="center"/>
              <w:rPr>
                <w:rFonts w:ascii="仿宋" w:hAnsi="仿宋" w:eastAsia="仿宋" w:cs="仿宋"/>
                <w:color w:val="auto"/>
                <w:sz w:val="24"/>
                <w:szCs w:val="24"/>
                <w:highlight w:val="none"/>
                <w:lang w:val="zh-CN"/>
              </w:rPr>
            </w:pPr>
          </w:p>
        </w:tc>
        <w:tc>
          <w:tcPr>
            <w:tcW w:w="1843" w:type="dxa"/>
            <w:vAlign w:val="center"/>
          </w:tcPr>
          <w:p w14:paraId="57FB216D">
            <w:pPr>
              <w:jc w:val="center"/>
              <w:rPr>
                <w:rFonts w:ascii="仿宋" w:hAnsi="仿宋" w:eastAsia="仿宋" w:cs="仿宋"/>
                <w:color w:val="auto"/>
                <w:sz w:val="24"/>
                <w:szCs w:val="24"/>
                <w:highlight w:val="none"/>
                <w:lang w:val="zh-CN"/>
              </w:rPr>
            </w:pPr>
          </w:p>
        </w:tc>
        <w:tc>
          <w:tcPr>
            <w:tcW w:w="2268" w:type="dxa"/>
            <w:vAlign w:val="center"/>
          </w:tcPr>
          <w:p w14:paraId="3C9D7EB7">
            <w:pPr>
              <w:jc w:val="center"/>
              <w:rPr>
                <w:rFonts w:ascii="仿宋" w:hAnsi="仿宋" w:eastAsia="仿宋" w:cs="仿宋"/>
                <w:color w:val="auto"/>
                <w:sz w:val="24"/>
                <w:szCs w:val="24"/>
                <w:highlight w:val="none"/>
                <w:lang w:val="zh-CN"/>
              </w:rPr>
            </w:pPr>
          </w:p>
        </w:tc>
        <w:tc>
          <w:tcPr>
            <w:tcW w:w="1417" w:type="dxa"/>
            <w:vAlign w:val="center"/>
          </w:tcPr>
          <w:p w14:paraId="05633068">
            <w:pPr>
              <w:jc w:val="center"/>
              <w:rPr>
                <w:rFonts w:ascii="仿宋" w:hAnsi="仿宋" w:eastAsia="仿宋" w:cs="仿宋"/>
                <w:color w:val="auto"/>
                <w:sz w:val="24"/>
                <w:szCs w:val="24"/>
                <w:highlight w:val="none"/>
                <w:lang w:val="zh-CN"/>
              </w:rPr>
            </w:pPr>
          </w:p>
        </w:tc>
        <w:tc>
          <w:tcPr>
            <w:tcW w:w="1259" w:type="dxa"/>
          </w:tcPr>
          <w:p w14:paraId="6D796657">
            <w:pPr>
              <w:jc w:val="center"/>
              <w:rPr>
                <w:rFonts w:ascii="仿宋" w:hAnsi="仿宋" w:eastAsia="仿宋" w:cs="仿宋"/>
                <w:color w:val="auto"/>
                <w:sz w:val="24"/>
                <w:szCs w:val="24"/>
                <w:highlight w:val="none"/>
                <w:lang w:val="zh-CN"/>
              </w:rPr>
            </w:pPr>
          </w:p>
        </w:tc>
        <w:tc>
          <w:tcPr>
            <w:tcW w:w="1372" w:type="dxa"/>
            <w:vAlign w:val="center"/>
          </w:tcPr>
          <w:p w14:paraId="07268430">
            <w:pPr>
              <w:jc w:val="center"/>
              <w:rPr>
                <w:rFonts w:ascii="仿宋" w:hAnsi="仿宋" w:eastAsia="仿宋" w:cs="仿宋"/>
                <w:color w:val="auto"/>
                <w:sz w:val="24"/>
                <w:szCs w:val="24"/>
                <w:highlight w:val="none"/>
                <w:lang w:val="zh-CN"/>
              </w:rPr>
            </w:pPr>
          </w:p>
        </w:tc>
      </w:tr>
      <w:tr w14:paraId="54F8C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0354209B">
            <w:pPr>
              <w:jc w:val="center"/>
              <w:rPr>
                <w:rFonts w:ascii="仿宋" w:hAnsi="仿宋" w:eastAsia="仿宋" w:cs="仿宋"/>
                <w:color w:val="auto"/>
                <w:sz w:val="24"/>
                <w:szCs w:val="24"/>
                <w:highlight w:val="none"/>
                <w:lang w:val="zh-CN"/>
              </w:rPr>
            </w:pPr>
          </w:p>
        </w:tc>
        <w:tc>
          <w:tcPr>
            <w:tcW w:w="1843" w:type="dxa"/>
            <w:vAlign w:val="center"/>
          </w:tcPr>
          <w:p w14:paraId="5E9381A1">
            <w:pPr>
              <w:jc w:val="center"/>
              <w:rPr>
                <w:rFonts w:ascii="仿宋" w:hAnsi="仿宋" w:eastAsia="仿宋" w:cs="仿宋"/>
                <w:color w:val="auto"/>
                <w:sz w:val="24"/>
                <w:szCs w:val="24"/>
                <w:highlight w:val="none"/>
                <w:lang w:val="zh-CN"/>
              </w:rPr>
            </w:pPr>
          </w:p>
        </w:tc>
        <w:tc>
          <w:tcPr>
            <w:tcW w:w="2268" w:type="dxa"/>
            <w:vAlign w:val="center"/>
          </w:tcPr>
          <w:p w14:paraId="7E997A66">
            <w:pPr>
              <w:jc w:val="center"/>
              <w:rPr>
                <w:rFonts w:ascii="仿宋" w:hAnsi="仿宋" w:eastAsia="仿宋" w:cs="仿宋"/>
                <w:color w:val="auto"/>
                <w:sz w:val="24"/>
                <w:szCs w:val="24"/>
                <w:highlight w:val="none"/>
                <w:lang w:val="zh-CN"/>
              </w:rPr>
            </w:pPr>
          </w:p>
        </w:tc>
        <w:tc>
          <w:tcPr>
            <w:tcW w:w="1417" w:type="dxa"/>
            <w:vAlign w:val="center"/>
          </w:tcPr>
          <w:p w14:paraId="78F69220">
            <w:pPr>
              <w:jc w:val="center"/>
              <w:rPr>
                <w:rFonts w:ascii="仿宋" w:hAnsi="仿宋" w:eastAsia="仿宋" w:cs="仿宋"/>
                <w:color w:val="auto"/>
                <w:sz w:val="24"/>
                <w:szCs w:val="24"/>
                <w:highlight w:val="none"/>
                <w:lang w:val="zh-CN"/>
              </w:rPr>
            </w:pPr>
          </w:p>
        </w:tc>
        <w:tc>
          <w:tcPr>
            <w:tcW w:w="1259" w:type="dxa"/>
          </w:tcPr>
          <w:p w14:paraId="73837091">
            <w:pPr>
              <w:jc w:val="center"/>
              <w:rPr>
                <w:rFonts w:ascii="仿宋" w:hAnsi="仿宋" w:eastAsia="仿宋" w:cs="仿宋"/>
                <w:color w:val="auto"/>
                <w:sz w:val="24"/>
                <w:szCs w:val="24"/>
                <w:highlight w:val="none"/>
                <w:lang w:val="zh-CN"/>
              </w:rPr>
            </w:pPr>
          </w:p>
        </w:tc>
        <w:tc>
          <w:tcPr>
            <w:tcW w:w="1372" w:type="dxa"/>
            <w:vAlign w:val="center"/>
          </w:tcPr>
          <w:p w14:paraId="5C712E50">
            <w:pPr>
              <w:jc w:val="center"/>
              <w:rPr>
                <w:rFonts w:ascii="仿宋" w:hAnsi="仿宋" w:eastAsia="仿宋" w:cs="仿宋"/>
                <w:color w:val="auto"/>
                <w:sz w:val="24"/>
                <w:szCs w:val="24"/>
                <w:highlight w:val="none"/>
                <w:lang w:val="zh-CN"/>
              </w:rPr>
            </w:pPr>
          </w:p>
        </w:tc>
      </w:tr>
      <w:tr w14:paraId="49C59C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0DC1D19A">
            <w:pPr>
              <w:jc w:val="center"/>
              <w:rPr>
                <w:rFonts w:ascii="仿宋" w:hAnsi="仿宋" w:eastAsia="仿宋" w:cs="仿宋"/>
                <w:color w:val="auto"/>
                <w:sz w:val="24"/>
                <w:szCs w:val="24"/>
                <w:highlight w:val="none"/>
                <w:lang w:val="zh-CN"/>
              </w:rPr>
            </w:pPr>
          </w:p>
        </w:tc>
        <w:tc>
          <w:tcPr>
            <w:tcW w:w="1843" w:type="dxa"/>
            <w:vAlign w:val="center"/>
          </w:tcPr>
          <w:p w14:paraId="2C4D8AF6">
            <w:pPr>
              <w:jc w:val="center"/>
              <w:rPr>
                <w:rFonts w:ascii="仿宋" w:hAnsi="仿宋" w:eastAsia="仿宋" w:cs="仿宋"/>
                <w:color w:val="auto"/>
                <w:sz w:val="24"/>
                <w:szCs w:val="24"/>
                <w:highlight w:val="none"/>
                <w:lang w:val="zh-CN"/>
              </w:rPr>
            </w:pPr>
          </w:p>
        </w:tc>
        <w:tc>
          <w:tcPr>
            <w:tcW w:w="2268" w:type="dxa"/>
            <w:vAlign w:val="center"/>
          </w:tcPr>
          <w:p w14:paraId="0EB71469">
            <w:pPr>
              <w:jc w:val="center"/>
              <w:rPr>
                <w:rFonts w:ascii="仿宋" w:hAnsi="仿宋" w:eastAsia="仿宋" w:cs="仿宋"/>
                <w:color w:val="auto"/>
                <w:sz w:val="24"/>
                <w:szCs w:val="24"/>
                <w:highlight w:val="none"/>
                <w:lang w:val="zh-CN"/>
              </w:rPr>
            </w:pPr>
          </w:p>
        </w:tc>
        <w:tc>
          <w:tcPr>
            <w:tcW w:w="1417" w:type="dxa"/>
            <w:vAlign w:val="center"/>
          </w:tcPr>
          <w:p w14:paraId="0ADA78FD">
            <w:pPr>
              <w:jc w:val="center"/>
              <w:rPr>
                <w:rFonts w:ascii="仿宋" w:hAnsi="仿宋" w:eastAsia="仿宋" w:cs="仿宋"/>
                <w:color w:val="auto"/>
                <w:sz w:val="24"/>
                <w:szCs w:val="24"/>
                <w:highlight w:val="none"/>
                <w:lang w:val="zh-CN"/>
              </w:rPr>
            </w:pPr>
          </w:p>
        </w:tc>
        <w:tc>
          <w:tcPr>
            <w:tcW w:w="1259" w:type="dxa"/>
          </w:tcPr>
          <w:p w14:paraId="34510237">
            <w:pPr>
              <w:jc w:val="center"/>
              <w:rPr>
                <w:rFonts w:ascii="仿宋" w:hAnsi="仿宋" w:eastAsia="仿宋" w:cs="仿宋"/>
                <w:color w:val="auto"/>
                <w:sz w:val="24"/>
                <w:szCs w:val="24"/>
                <w:highlight w:val="none"/>
                <w:lang w:val="zh-CN"/>
              </w:rPr>
            </w:pPr>
          </w:p>
        </w:tc>
        <w:tc>
          <w:tcPr>
            <w:tcW w:w="1372" w:type="dxa"/>
            <w:vAlign w:val="center"/>
          </w:tcPr>
          <w:p w14:paraId="767AB9E6">
            <w:pPr>
              <w:jc w:val="center"/>
              <w:rPr>
                <w:rFonts w:ascii="仿宋" w:hAnsi="仿宋" w:eastAsia="仿宋" w:cs="仿宋"/>
                <w:color w:val="auto"/>
                <w:sz w:val="24"/>
                <w:szCs w:val="24"/>
                <w:highlight w:val="none"/>
                <w:lang w:val="zh-CN"/>
              </w:rPr>
            </w:pPr>
          </w:p>
        </w:tc>
      </w:tr>
      <w:tr w14:paraId="7D210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0C244275">
            <w:pPr>
              <w:jc w:val="center"/>
              <w:rPr>
                <w:rFonts w:ascii="仿宋" w:hAnsi="仿宋" w:eastAsia="仿宋" w:cs="仿宋"/>
                <w:color w:val="auto"/>
                <w:sz w:val="24"/>
                <w:szCs w:val="24"/>
                <w:highlight w:val="none"/>
                <w:lang w:val="zh-CN"/>
              </w:rPr>
            </w:pPr>
          </w:p>
        </w:tc>
        <w:tc>
          <w:tcPr>
            <w:tcW w:w="1843" w:type="dxa"/>
            <w:vAlign w:val="center"/>
          </w:tcPr>
          <w:p w14:paraId="553C1C12">
            <w:pPr>
              <w:jc w:val="center"/>
              <w:rPr>
                <w:rFonts w:ascii="仿宋" w:hAnsi="仿宋" w:eastAsia="仿宋" w:cs="仿宋"/>
                <w:color w:val="auto"/>
                <w:sz w:val="24"/>
                <w:szCs w:val="24"/>
                <w:highlight w:val="none"/>
                <w:lang w:val="zh-CN"/>
              </w:rPr>
            </w:pPr>
          </w:p>
        </w:tc>
        <w:tc>
          <w:tcPr>
            <w:tcW w:w="2268" w:type="dxa"/>
            <w:vAlign w:val="center"/>
          </w:tcPr>
          <w:p w14:paraId="5389CDD1">
            <w:pPr>
              <w:jc w:val="center"/>
              <w:rPr>
                <w:rFonts w:ascii="仿宋" w:hAnsi="仿宋" w:eastAsia="仿宋" w:cs="仿宋"/>
                <w:color w:val="auto"/>
                <w:sz w:val="24"/>
                <w:szCs w:val="24"/>
                <w:highlight w:val="none"/>
                <w:lang w:val="zh-CN"/>
              </w:rPr>
            </w:pPr>
          </w:p>
        </w:tc>
        <w:tc>
          <w:tcPr>
            <w:tcW w:w="1417" w:type="dxa"/>
            <w:vAlign w:val="center"/>
          </w:tcPr>
          <w:p w14:paraId="0215C720">
            <w:pPr>
              <w:jc w:val="center"/>
              <w:rPr>
                <w:rFonts w:ascii="仿宋" w:hAnsi="仿宋" w:eastAsia="仿宋" w:cs="仿宋"/>
                <w:color w:val="auto"/>
                <w:sz w:val="24"/>
                <w:szCs w:val="24"/>
                <w:highlight w:val="none"/>
                <w:lang w:val="zh-CN"/>
              </w:rPr>
            </w:pPr>
          </w:p>
        </w:tc>
        <w:tc>
          <w:tcPr>
            <w:tcW w:w="1259" w:type="dxa"/>
          </w:tcPr>
          <w:p w14:paraId="1FE42317">
            <w:pPr>
              <w:jc w:val="center"/>
              <w:rPr>
                <w:rFonts w:ascii="仿宋" w:hAnsi="仿宋" w:eastAsia="仿宋" w:cs="仿宋"/>
                <w:color w:val="auto"/>
                <w:sz w:val="24"/>
                <w:szCs w:val="24"/>
                <w:highlight w:val="none"/>
                <w:lang w:val="zh-CN"/>
              </w:rPr>
            </w:pPr>
          </w:p>
        </w:tc>
        <w:tc>
          <w:tcPr>
            <w:tcW w:w="1372" w:type="dxa"/>
            <w:vAlign w:val="center"/>
          </w:tcPr>
          <w:p w14:paraId="6733CBB2">
            <w:pPr>
              <w:jc w:val="center"/>
              <w:rPr>
                <w:rFonts w:ascii="仿宋" w:hAnsi="仿宋" w:eastAsia="仿宋" w:cs="仿宋"/>
                <w:color w:val="auto"/>
                <w:sz w:val="24"/>
                <w:szCs w:val="24"/>
                <w:highlight w:val="none"/>
                <w:lang w:val="zh-CN"/>
              </w:rPr>
            </w:pPr>
          </w:p>
        </w:tc>
      </w:tr>
      <w:tr w14:paraId="48C9D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4FD63563">
            <w:pPr>
              <w:jc w:val="center"/>
              <w:rPr>
                <w:rFonts w:ascii="仿宋" w:hAnsi="仿宋" w:eastAsia="仿宋" w:cs="仿宋"/>
                <w:color w:val="auto"/>
                <w:sz w:val="24"/>
                <w:szCs w:val="24"/>
                <w:highlight w:val="none"/>
                <w:lang w:val="zh-CN"/>
              </w:rPr>
            </w:pPr>
          </w:p>
        </w:tc>
        <w:tc>
          <w:tcPr>
            <w:tcW w:w="1843" w:type="dxa"/>
            <w:vAlign w:val="center"/>
          </w:tcPr>
          <w:p w14:paraId="3F140AFA">
            <w:pPr>
              <w:jc w:val="center"/>
              <w:rPr>
                <w:rFonts w:ascii="仿宋" w:hAnsi="仿宋" w:eastAsia="仿宋" w:cs="仿宋"/>
                <w:color w:val="auto"/>
                <w:sz w:val="24"/>
                <w:szCs w:val="24"/>
                <w:highlight w:val="none"/>
                <w:lang w:val="zh-CN"/>
              </w:rPr>
            </w:pPr>
          </w:p>
        </w:tc>
        <w:tc>
          <w:tcPr>
            <w:tcW w:w="2268" w:type="dxa"/>
            <w:vAlign w:val="center"/>
          </w:tcPr>
          <w:p w14:paraId="2A56F851">
            <w:pPr>
              <w:jc w:val="center"/>
              <w:rPr>
                <w:rFonts w:ascii="仿宋" w:hAnsi="仿宋" w:eastAsia="仿宋" w:cs="仿宋"/>
                <w:color w:val="auto"/>
                <w:sz w:val="24"/>
                <w:szCs w:val="24"/>
                <w:highlight w:val="none"/>
                <w:lang w:val="zh-CN"/>
              </w:rPr>
            </w:pPr>
          </w:p>
        </w:tc>
        <w:tc>
          <w:tcPr>
            <w:tcW w:w="1417" w:type="dxa"/>
            <w:vAlign w:val="center"/>
          </w:tcPr>
          <w:p w14:paraId="08E1386E">
            <w:pPr>
              <w:jc w:val="center"/>
              <w:rPr>
                <w:rFonts w:ascii="仿宋" w:hAnsi="仿宋" w:eastAsia="仿宋" w:cs="仿宋"/>
                <w:color w:val="auto"/>
                <w:sz w:val="24"/>
                <w:szCs w:val="24"/>
                <w:highlight w:val="none"/>
                <w:lang w:val="zh-CN"/>
              </w:rPr>
            </w:pPr>
          </w:p>
        </w:tc>
        <w:tc>
          <w:tcPr>
            <w:tcW w:w="1259" w:type="dxa"/>
          </w:tcPr>
          <w:p w14:paraId="44B467CF">
            <w:pPr>
              <w:jc w:val="center"/>
              <w:rPr>
                <w:rFonts w:ascii="仿宋" w:hAnsi="仿宋" w:eastAsia="仿宋" w:cs="仿宋"/>
                <w:color w:val="auto"/>
                <w:sz w:val="24"/>
                <w:szCs w:val="24"/>
                <w:highlight w:val="none"/>
                <w:lang w:val="zh-CN"/>
              </w:rPr>
            </w:pPr>
          </w:p>
        </w:tc>
        <w:tc>
          <w:tcPr>
            <w:tcW w:w="1372" w:type="dxa"/>
            <w:vAlign w:val="center"/>
          </w:tcPr>
          <w:p w14:paraId="4C391896">
            <w:pPr>
              <w:jc w:val="center"/>
              <w:rPr>
                <w:rFonts w:ascii="仿宋" w:hAnsi="仿宋" w:eastAsia="仿宋" w:cs="仿宋"/>
                <w:color w:val="auto"/>
                <w:sz w:val="24"/>
                <w:szCs w:val="24"/>
                <w:highlight w:val="none"/>
                <w:lang w:val="zh-CN"/>
              </w:rPr>
            </w:pPr>
          </w:p>
        </w:tc>
      </w:tr>
      <w:tr w14:paraId="2ECF33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atLeast"/>
          <w:jc w:val="center"/>
        </w:trPr>
        <w:tc>
          <w:tcPr>
            <w:tcW w:w="851" w:type="dxa"/>
            <w:vAlign w:val="center"/>
          </w:tcPr>
          <w:p w14:paraId="2DF331F5">
            <w:pPr>
              <w:jc w:val="center"/>
              <w:rPr>
                <w:rFonts w:ascii="仿宋" w:hAnsi="仿宋" w:eastAsia="仿宋" w:cs="仿宋"/>
                <w:color w:val="auto"/>
                <w:sz w:val="24"/>
                <w:szCs w:val="24"/>
                <w:highlight w:val="none"/>
              </w:rPr>
            </w:pPr>
          </w:p>
        </w:tc>
        <w:tc>
          <w:tcPr>
            <w:tcW w:w="1843" w:type="dxa"/>
            <w:vAlign w:val="center"/>
          </w:tcPr>
          <w:p w14:paraId="09365EAC">
            <w:pPr>
              <w:jc w:val="center"/>
              <w:rPr>
                <w:rFonts w:ascii="仿宋" w:hAnsi="仿宋" w:eastAsia="仿宋" w:cs="仿宋"/>
                <w:color w:val="auto"/>
                <w:sz w:val="24"/>
                <w:szCs w:val="24"/>
                <w:highlight w:val="none"/>
              </w:rPr>
            </w:pPr>
          </w:p>
        </w:tc>
        <w:tc>
          <w:tcPr>
            <w:tcW w:w="2268" w:type="dxa"/>
            <w:vAlign w:val="center"/>
          </w:tcPr>
          <w:p w14:paraId="2341F953">
            <w:pPr>
              <w:jc w:val="center"/>
              <w:rPr>
                <w:rFonts w:ascii="仿宋" w:hAnsi="仿宋" w:eastAsia="仿宋" w:cs="仿宋"/>
                <w:color w:val="auto"/>
                <w:sz w:val="24"/>
                <w:szCs w:val="24"/>
                <w:highlight w:val="none"/>
              </w:rPr>
            </w:pPr>
          </w:p>
        </w:tc>
        <w:tc>
          <w:tcPr>
            <w:tcW w:w="1417" w:type="dxa"/>
            <w:vAlign w:val="center"/>
          </w:tcPr>
          <w:p w14:paraId="620C59CE">
            <w:pPr>
              <w:jc w:val="center"/>
              <w:rPr>
                <w:rFonts w:ascii="仿宋" w:hAnsi="仿宋" w:eastAsia="仿宋" w:cs="仿宋"/>
                <w:color w:val="auto"/>
                <w:sz w:val="24"/>
                <w:szCs w:val="24"/>
                <w:highlight w:val="none"/>
              </w:rPr>
            </w:pPr>
          </w:p>
        </w:tc>
        <w:tc>
          <w:tcPr>
            <w:tcW w:w="1259" w:type="dxa"/>
          </w:tcPr>
          <w:p w14:paraId="6A6D4ED8">
            <w:pPr>
              <w:jc w:val="center"/>
              <w:rPr>
                <w:rFonts w:ascii="仿宋" w:hAnsi="仿宋" w:eastAsia="仿宋" w:cs="仿宋"/>
                <w:color w:val="auto"/>
                <w:sz w:val="24"/>
                <w:szCs w:val="24"/>
                <w:highlight w:val="none"/>
              </w:rPr>
            </w:pPr>
          </w:p>
        </w:tc>
        <w:tc>
          <w:tcPr>
            <w:tcW w:w="1372" w:type="dxa"/>
            <w:vAlign w:val="center"/>
          </w:tcPr>
          <w:p w14:paraId="4133DD04">
            <w:pPr>
              <w:jc w:val="center"/>
              <w:rPr>
                <w:rFonts w:ascii="仿宋" w:hAnsi="仿宋" w:eastAsia="仿宋" w:cs="仿宋"/>
                <w:color w:val="auto"/>
                <w:sz w:val="24"/>
                <w:szCs w:val="24"/>
                <w:highlight w:val="none"/>
              </w:rPr>
            </w:pPr>
          </w:p>
        </w:tc>
      </w:tr>
    </w:tbl>
    <w:p w14:paraId="69546FCE">
      <w:pPr>
        <w:spacing w:line="360" w:lineRule="auto"/>
        <w:jc w:val="right"/>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p w14:paraId="72AB6C83">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说明：</w:t>
      </w:r>
    </w:p>
    <w:p w14:paraId="7B7B12C6">
      <w:pPr>
        <w:spacing w:line="360" w:lineRule="auto"/>
        <w:rPr>
          <w:rFonts w:ascii="仿宋" w:hAnsi="仿宋" w:eastAsia="仿宋" w:cs="仿宋"/>
          <w:color w:val="auto"/>
          <w:sz w:val="24"/>
          <w:szCs w:val="24"/>
          <w:highlight w:val="none"/>
          <w:lang w:val="zh-CN"/>
        </w:rPr>
      </w:pPr>
      <w:r>
        <w:rPr>
          <w:rFonts w:hint="eastAsia" w:ascii="仿宋" w:hAnsi="仿宋" w:eastAsia="仿宋" w:cs="仿宋"/>
          <w:color w:val="auto"/>
          <w:sz w:val="24"/>
          <w:szCs w:val="24"/>
          <w:highlight w:val="none"/>
          <w:lang w:val="zh-CN"/>
        </w:rPr>
        <w:t>1、如果行数不够，请自行增加。</w:t>
      </w:r>
    </w:p>
    <w:p w14:paraId="62E58178">
      <w:pPr>
        <w:spacing w:line="360" w:lineRule="auto"/>
        <w:rPr>
          <w:rFonts w:ascii="仿宋" w:hAnsi="仿宋" w:eastAsia="仿宋" w:cs="仿宋"/>
          <w:bCs/>
          <w:color w:val="auto"/>
          <w:sz w:val="24"/>
          <w:highlight w:val="none"/>
          <w:lang w:val="zh-CN"/>
        </w:rPr>
      </w:pPr>
      <w:r>
        <w:rPr>
          <w:rFonts w:hint="eastAsia" w:ascii="仿宋" w:hAnsi="仿宋" w:eastAsia="仿宋" w:cs="仿宋"/>
          <w:bCs/>
          <w:color w:val="auto"/>
          <w:sz w:val="24"/>
          <w:highlight w:val="none"/>
        </w:rPr>
        <w:t>2</w:t>
      </w:r>
      <w:r>
        <w:rPr>
          <w:rFonts w:hint="eastAsia" w:ascii="仿宋" w:hAnsi="仿宋" w:eastAsia="仿宋" w:cs="仿宋"/>
          <w:bCs/>
          <w:color w:val="auto"/>
          <w:sz w:val="24"/>
          <w:highlight w:val="none"/>
          <w:lang w:val="zh-CN"/>
        </w:rPr>
        <w:t>、供应商应逐一说明</w:t>
      </w:r>
      <w:r>
        <w:rPr>
          <w:rFonts w:hint="eastAsia" w:ascii="仿宋" w:hAnsi="仿宋" w:eastAsia="仿宋" w:cs="仿宋"/>
          <w:bCs/>
          <w:color w:val="auto"/>
          <w:sz w:val="24"/>
          <w:highlight w:val="none"/>
        </w:rPr>
        <w:t>商务</w:t>
      </w:r>
      <w:r>
        <w:rPr>
          <w:rFonts w:hint="eastAsia" w:ascii="仿宋" w:hAnsi="仿宋" w:eastAsia="仿宋" w:cs="仿宋"/>
          <w:bCs/>
          <w:color w:val="auto"/>
          <w:sz w:val="24"/>
          <w:highlight w:val="none"/>
          <w:lang w:val="zh-CN"/>
        </w:rPr>
        <w:t>要求并填写</w:t>
      </w:r>
      <w:r>
        <w:rPr>
          <w:rFonts w:hint="eastAsia" w:ascii="仿宋" w:hAnsi="仿宋" w:eastAsia="仿宋" w:cs="仿宋"/>
          <w:color w:val="auto"/>
          <w:sz w:val="24"/>
          <w:highlight w:val="none"/>
          <w:lang w:val="zh-CN"/>
        </w:rPr>
        <w:t>响应</w:t>
      </w:r>
      <w:r>
        <w:rPr>
          <w:rFonts w:hint="eastAsia" w:ascii="仿宋" w:hAnsi="仿宋" w:eastAsia="仿宋" w:cs="仿宋"/>
          <w:bCs/>
          <w:color w:val="auto"/>
          <w:sz w:val="24"/>
          <w:highlight w:val="none"/>
          <w:lang w:val="zh-CN"/>
        </w:rPr>
        <w:t>程度。</w:t>
      </w:r>
    </w:p>
    <w:p w14:paraId="07230AE3">
      <w:pPr>
        <w:rPr>
          <w:color w:val="auto"/>
          <w:highlight w:val="none"/>
        </w:rPr>
        <w:sectPr>
          <w:pgSz w:w="11906" w:h="16838"/>
          <w:pgMar w:top="1417" w:right="1757" w:bottom="1417" w:left="1757" w:header="851" w:footer="964" w:gutter="0"/>
          <w:cols w:space="720" w:num="1"/>
          <w:docGrid w:linePitch="290" w:charSpace="0"/>
        </w:sectPr>
      </w:pPr>
    </w:p>
    <w:p w14:paraId="039AADCA">
      <w:pPr>
        <w:pStyle w:val="4"/>
        <w:keepLines w:val="0"/>
        <w:tabs>
          <w:tab w:val="left" w:pos="1440"/>
          <w:tab w:val="left" w:pos="5670"/>
        </w:tabs>
        <w:wordWrap/>
        <w:spacing w:line="360" w:lineRule="auto"/>
        <w:rPr>
          <w:rFonts w:ascii="仿宋" w:hAnsi="仿宋" w:eastAsia="仿宋" w:cs="仿宋"/>
          <w:color w:val="auto"/>
          <w:sz w:val="24"/>
          <w:szCs w:val="24"/>
          <w:highlight w:val="none"/>
        </w:rPr>
      </w:pPr>
      <w:bookmarkStart w:id="157" w:name="_Toc10270"/>
      <w:r>
        <w:rPr>
          <w:rFonts w:hint="eastAsia" w:ascii="仿宋" w:hAnsi="仿宋" w:eastAsia="仿宋" w:cs="仿宋"/>
          <w:color w:val="auto"/>
          <w:sz w:val="24"/>
          <w:szCs w:val="24"/>
          <w:highlight w:val="none"/>
        </w:rPr>
        <w:t>7、竞争性磋商文件要求及供应商认为需要提供的其他证明文件及材料</w:t>
      </w:r>
      <w:bookmarkEnd w:id="157"/>
    </w:p>
    <w:p w14:paraId="3EE01271">
      <w:pPr>
        <w:rPr>
          <w:color w:val="auto"/>
          <w:highlight w:val="none"/>
        </w:rPr>
        <w:sectPr>
          <w:pgSz w:w="11906" w:h="16838"/>
          <w:pgMar w:top="1417" w:right="1757" w:bottom="1417" w:left="1757" w:header="851" w:footer="964" w:gutter="0"/>
          <w:cols w:space="720" w:num="1"/>
          <w:docGrid w:linePitch="290" w:charSpace="0"/>
        </w:sectPr>
      </w:pPr>
      <w:bookmarkStart w:id="158" w:name="_Toc11054"/>
      <w:bookmarkStart w:id="159" w:name="_Toc22252"/>
      <w:bookmarkStart w:id="160" w:name="_Toc6810"/>
      <w:bookmarkStart w:id="161" w:name="_Toc489655335"/>
    </w:p>
    <w:p w14:paraId="5D0C4BF4">
      <w:pPr>
        <w:pStyle w:val="3"/>
        <w:keepLines w:val="0"/>
        <w:tabs>
          <w:tab w:val="left" w:pos="1440"/>
          <w:tab w:val="left" w:pos="5670"/>
        </w:tabs>
        <w:rPr>
          <w:rFonts w:ascii="仿宋" w:hAnsi="仿宋" w:eastAsia="仿宋" w:cs="仿宋"/>
          <w:color w:val="auto"/>
          <w:sz w:val="24"/>
          <w:highlight w:val="none"/>
        </w:rPr>
      </w:pPr>
      <w:r>
        <w:rPr>
          <w:rFonts w:hint="eastAsia" w:ascii="仿宋" w:hAnsi="仿宋" w:eastAsia="仿宋" w:cs="仿宋"/>
          <w:color w:val="auto"/>
          <w:sz w:val="24"/>
          <w:highlight w:val="none"/>
        </w:rPr>
        <w:t>二、资格文件</w:t>
      </w:r>
      <w:bookmarkEnd w:id="158"/>
      <w:bookmarkEnd w:id="159"/>
      <w:bookmarkEnd w:id="160"/>
    </w:p>
    <w:p w14:paraId="010E0736">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资格证明文件</w:t>
      </w:r>
      <w:bookmarkEnd w:id="161"/>
    </w:p>
    <w:p w14:paraId="55CCB4BB">
      <w:pPr>
        <w:rPr>
          <w:rFonts w:ascii="仿宋" w:hAnsi="仿宋" w:eastAsia="仿宋" w:cs="仿宋"/>
          <w:color w:val="auto"/>
          <w:highlight w:val="none"/>
        </w:rPr>
      </w:pPr>
    </w:p>
    <w:p w14:paraId="70524FF8">
      <w:pPr>
        <w:numPr>
          <w:ilvl w:val="0"/>
          <w:numId w:val="0"/>
        </w:numPr>
        <w:spacing w:line="360" w:lineRule="auto"/>
        <w:ind w:left="-270" w:leftChars="0" w:firstLine="480" w:firstLineChars="0"/>
        <w:rPr>
          <w:rFonts w:ascii="仿宋" w:hAnsi="仿宋" w:eastAsia="仿宋" w:cs="仿宋"/>
          <w:color w:val="auto"/>
          <w:sz w:val="24"/>
          <w:highlight w:val="none"/>
        </w:rPr>
      </w:pPr>
      <w:bookmarkStart w:id="162" w:name="_Toc19376"/>
      <w:bookmarkStart w:id="163" w:name="_Toc1390"/>
      <w:bookmarkStart w:id="164" w:name="_Toc7902"/>
      <w:bookmarkStart w:id="165" w:name="_Toc7768"/>
      <w:r>
        <w:rPr>
          <w:rFonts w:ascii="仿宋" w:hAnsi="仿宋" w:eastAsia="仿宋" w:cs="仿宋"/>
          <w:color w:val="auto"/>
          <w:kern w:val="2"/>
          <w:sz w:val="24"/>
          <w:szCs w:val="22"/>
          <w:lang w:val="en-US" w:eastAsia="zh-CN" w:bidi="ar-SA"/>
        </w:rPr>
        <w:t>（1）</w:t>
      </w:r>
      <w:r>
        <w:rPr>
          <w:rFonts w:hint="eastAsia" w:ascii="仿宋" w:hAnsi="仿宋" w:eastAsia="仿宋" w:cs="仿宋"/>
          <w:color w:val="auto"/>
          <w:kern w:val="0"/>
          <w:sz w:val="24"/>
          <w:highlight w:val="none"/>
        </w:rPr>
        <w:t>具有独立承担民事责任的能力（法人或者其他组织提供营业执照或法人证书或组织机构代码证，自然人提供身份证，扫描件</w:t>
      </w:r>
      <w:r>
        <w:rPr>
          <w:rFonts w:hint="eastAsia" w:ascii="仿宋" w:hAnsi="仿宋" w:eastAsia="仿宋" w:cs="仿宋"/>
          <w:color w:val="auto"/>
          <w:kern w:val="0"/>
          <w:sz w:val="24"/>
          <w:highlight w:val="none"/>
          <w:lang w:val="zh-CN"/>
        </w:rPr>
        <w:t>加盖公章）；</w:t>
      </w:r>
    </w:p>
    <w:p w14:paraId="6508FC61">
      <w:pPr>
        <w:numPr>
          <w:ilvl w:val="0"/>
          <w:numId w:val="0"/>
        </w:numPr>
        <w:spacing w:line="360" w:lineRule="auto"/>
        <w:ind w:left="-270" w:leftChars="0" w:firstLine="480" w:firstLineChars="0"/>
        <w:rPr>
          <w:rFonts w:ascii="仿宋" w:hAnsi="仿宋" w:eastAsia="仿宋" w:cs="仿宋"/>
          <w:color w:val="auto"/>
          <w:sz w:val="24"/>
          <w:highlight w:val="none"/>
        </w:rPr>
      </w:pPr>
      <w:r>
        <w:rPr>
          <w:rFonts w:ascii="仿宋" w:hAnsi="仿宋" w:eastAsia="仿宋" w:cs="仿宋"/>
          <w:color w:val="auto"/>
          <w:kern w:val="2"/>
          <w:sz w:val="24"/>
          <w:szCs w:val="22"/>
          <w:lang w:val="en-US" w:eastAsia="zh-CN" w:bidi="ar-SA"/>
        </w:rPr>
        <w:t>（2）</w:t>
      </w:r>
      <w:r>
        <w:rPr>
          <w:rFonts w:hint="eastAsia" w:ascii="仿宋" w:hAnsi="仿宋" w:eastAsia="仿宋" w:cs="仿宋"/>
          <w:color w:val="auto"/>
          <w:sz w:val="24"/>
          <w:highlight w:val="none"/>
        </w:rPr>
        <w:t>具有良好的商业信誉和健全的财务会计制度（提供参加本次政府采购活动前6个月内至少一个月份的会计报表（至少包括资产负债表和利润表）或银行出具的投标截止时间前六个月内银行出具的资信证明或其上一年度经审计的财务报告的扫描件加盖公章)；</w:t>
      </w:r>
    </w:p>
    <w:p w14:paraId="4C32C1F5">
      <w:pPr>
        <w:numPr>
          <w:ilvl w:val="0"/>
          <w:numId w:val="0"/>
        </w:numPr>
        <w:spacing w:line="360" w:lineRule="auto"/>
        <w:ind w:left="-270" w:leftChars="0" w:firstLine="480" w:firstLineChars="0"/>
        <w:rPr>
          <w:rFonts w:ascii="仿宋" w:hAnsi="仿宋" w:eastAsia="仿宋" w:cs="仿宋"/>
          <w:color w:val="auto"/>
          <w:sz w:val="24"/>
          <w:highlight w:val="none"/>
        </w:rPr>
      </w:pPr>
      <w:r>
        <w:rPr>
          <w:rFonts w:ascii="仿宋" w:hAnsi="仿宋" w:eastAsia="仿宋" w:cs="仿宋"/>
          <w:color w:val="auto"/>
          <w:kern w:val="2"/>
          <w:sz w:val="24"/>
          <w:szCs w:val="22"/>
          <w:lang w:val="en-US" w:eastAsia="zh-CN" w:bidi="ar-SA"/>
        </w:rPr>
        <w:t>（3）</w:t>
      </w:r>
      <w:r>
        <w:rPr>
          <w:rFonts w:hint="eastAsia" w:ascii="仿宋" w:hAnsi="仿宋" w:eastAsia="仿宋" w:cs="仿宋"/>
          <w:color w:val="auto"/>
          <w:sz w:val="24"/>
          <w:highlight w:val="none"/>
        </w:rPr>
        <w:t>有依法缴纳税收和社会保障资金的良好记录（提供参加本次政府采购活动前半年内（至少一个月）依法缴纳税收和社会保障资金的相关材料的扫描件加盖公章，依法享受免缴、缓缴的，提供证明材料扫描件加盖公章)；</w:t>
      </w:r>
    </w:p>
    <w:p w14:paraId="004ACB3E">
      <w:pPr>
        <w:numPr>
          <w:ilvl w:val="0"/>
          <w:numId w:val="0"/>
        </w:numPr>
        <w:spacing w:line="360" w:lineRule="auto"/>
        <w:ind w:left="-270" w:leftChars="0" w:firstLine="480" w:firstLineChars="0"/>
        <w:rPr>
          <w:rFonts w:ascii="仿宋" w:hAnsi="仿宋" w:eastAsia="仿宋" w:cs="仿宋"/>
          <w:color w:val="auto"/>
          <w:sz w:val="24"/>
          <w:highlight w:val="none"/>
        </w:rPr>
      </w:pPr>
      <w:r>
        <w:rPr>
          <w:rFonts w:ascii="仿宋" w:hAnsi="仿宋" w:eastAsia="仿宋" w:cs="仿宋"/>
          <w:color w:val="auto"/>
          <w:kern w:val="2"/>
          <w:sz w:val="24"/>
          <w:szCs w:val="22"/>
          <w:lang w:val="en-US" w:eastAsia="zh-CN" w:bidi="ar-SA"/>
        </w:rPr>
        <w:t>（4）</w:t>
      </w:r>
      <w:r>
        <w:rPr>
          <w:rFonts w:hint="eastAsia" w:ascii="仿宋" w:hAnsi="仿宋" w:eastAsia="仿宋" w:cs="仿宋"/>
          <w:color w:val="auto"/>
          <w:sz w:val="24"/>
          <w:highlight w:val="none"/>
        </w:rPr>
        <w:t>具有履行合同所必需的设备和专业技术能力（根据项目需求提供履行合同所必需的设备和专业技术能力的声明或证明材料，提供承诺书(格式见附件）加盖公章)；</w:t>
      </w:r>
    </w:p>
    <w:p w14:paraId="5BB3B783">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（5）参加本项目政府采购活动前三年内，在经营活动中没有重大违法记录（提供参加本次政府采购活动前3年内在经营活动中没有重大违法记录的声明(格式见附件）加盖公章)；</w:t>
      </w:r>
    </w:p>
    <w:p w14:paraId="51A18A0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（6）未被列入失信被执行人、重大税收违法案件当事人名单、政府采购严重违法失信行为记录名单的证明材料（分别提供信用中国网站查询截图加盖公章）。</w:t>
      </w:r>
    </w:p>
    <w:p w14:paraId="0938930E">
      <w:pPr>
        <w:spacing w:line="360" w:lineRule="auto"/>
        <w:ind w:firstLine="484" w:firstLineChars="202"/>
        <w:rPr>
          <w:rFonts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7</w:t>
      </w:r>
      <w:r>
        <w:rPr>
          <w:rFonts w:hint="eastAsia" w:ascii="仿宋" w:hAnsi="仿宋" w:eastAsia="仿宋" w:cs="仿宋"/>
          <w:color w:val="auto"/>
          <w:kern w:val="0"/>
          <w:sz w:val="24"/>
          <w:highlight w:val="none"/>
          <w:lang w:val="zh-CN"/>
        </w:rPr>
        <w:t>）本次采购项目实施所必</w:t>
      </w:r>
      <w:r>
        <w:rPr>
          <w:rFonts w:hint="eastAsia" w:ascii="仿宋" w:hAnsi="仿宋" w:eastAsia="仿宋" w:cs="仿宋"/>
          <w:color w:val="auto"/>
          <w:kern w:val="0"/>
          <w:sz w:val="24"/>
          <w:highlight w:val="none"/>
        </w:rPr>
        <w:t>需</w:t>
      </w:r>
      <w:r>
        <w:rPr>
          <w:rFonts w:hint="eastAsia" w:ascii="仿宋" w:hAnsi="仿宋" w:eastAsia="仿宋" w:cs="仿宋"/>
          <w:color w:val="auto"/>
          <w:kern w:val="0"/>
          <w:sz w:val="24"/>
          <w:highlight w:val="none"/>
          <w:lang w:val="zh-CN"/>
        </w:rPr>
        <w:t>的许可资质证明材料（若有）。</w:t>
      </w:r>
    </w:p>
    <w:p w14:paraId="7B6FD6CC">
      <w:pPr>
        <w:spacing w:line="360" w:lineRule="auto"/>
        <w:ind w:firstLine="484" w:firstLineChars="202"/>
        <w:rPr>
          <w:rFonts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8</w:t>
      </w:r>
      <w:r>
        <w:rPr>
          <w:rFonts w:hint="eastAsia" w:ascii="仿宋" w:hAnsi="仿宋" w:eastAsia="仿宋" w:cs="仿宋"/>
          <w:color w:val="auto"/>
          <w:kern w:val="0"/>
          <w:sz w:val="24"/>
          <w:highlight w:val="none"/>
          <w:lang w:val="zh-CN"/>
        </w:rPr>
        <w:t>）</w:t>
      </w:r>
      <w:r>
        <w:rPr>
          <w:rFonts w:hint="eastAsia" w:ascii="仿宋" w:hAnsi="仿宋" w:eastAsia="仿宋" w:cs="仿宋"/>
          <w:color w:val="auto"/>
          <w:kern w:val="0"/>
          <w:sz w:val="24"/>
          <w:highlight w:val="none"/>
        </w:rPr>
        <w:t>中小企业声明函（格式详见附件，加盖公章）</w:t>
      </w:r>
    </w:p>
    <w:p w14:paraId="16CCB2BF">
      <w:pPr>
        <w:pStyle w:val="351"/>
        <w:spacing w:line="360" w:lineRule="auto"/>
        <w:ind w:firstLine="480"/>
        <w:rPr>
          <w:rFonts w:ascii="仿宋" w:hAnsi="仿宋" w:eastAsia="仿宋" w:cs="仿宋"/>
          <w:color w:val="auto"/>
          <w:sz w:val="24"/>
          <w:highlight w:val="none"/>
        </w:rPr>
      </w:pPr>
      <w:r>
        <w:rPr>
          <w:rFonts w:hint="eastAsia" w:ascii="仿宋" w:hAnsi="仿宋" w:eastAsia="仿宋" w:cs="仿宋"/>
          <w:color w:val="auto"/>
          <w:sz w:val="24"/>
          <w:highlight w:val="none"/>
        </w:rPr>
        <w:t>注：第（5）条重大违法记录，是指供应商因违法经营受到刑事处罚或者责令停产停业、吊销许可证或者执照、较大数额罚款等行政处罚。</w:t>
      </w:r>
      <w:bookmarkEnd w:id="162"/>
      <w:bookmarkEnd w:id="163"/>
      <w:bookmarkEnd w:id="164"/>
    </w:p>
    <w:p w14:paraId="49986B27">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szCs w:val="24"/>
          <w:highlight w:val="none"/>
        </w:rPr>
        <w:t>根据《关于在政府采购活动中推行信用承诺制的通知》宁财购通〔2021〕5号规定，</w:t>
      </w:r>
      <w:r>
        <w:rPr>
          <w:rFonts w:hint="eastAsia" w:ascii="仿宋" w:hAnsi="仿宋" w:eastAsia="仿宋" w:cs="仿宋"/>
          <w:color w:val="auto"/>
          <w:kern w:val="0"/>
          <w:sz w:val="24"/>
          <w:highlight w:val="none"/>
        </w:rPr>
        <w:t>以上（2）-（6）条可以以在线下载的由</w:t>
      </w:r>
      <w:r>
        <w:rPr>
          <w:rFonts w:hint="eastAsia" w:ascii="仿宋" w:hAnsi="仿宋" w:eastAsia="仿宋" w:cs="仿宋"/>
          <w:color w:val="auto"/>
          <w:sz w:val="24"/>
          <w:szCs w:val="24"/>
          <w:highlight w:val="none"/>
        </w:rPr>
        <w:t>法定代表人签字并盖单位公章的</w:t>
      </w:r>
      <w:r>
        <w:rPr>
          <w:rFonts w:hint="eastAsia" w:ascii="仿宋" w:hAnsi="仿宋" w:eastAsia="仿宋" w:cs="仿宋"/>
          <w:color w:val="auto"/>
          <w:sz w:val="24"/>
          <w:highlight w:val="none"/>
        </w:rPr>
        <w:t>《南京市政府采购供应商信用记录表暨信用承诺书》替代。</w:t>
      </w:r>
    </w:p>
    <w:p w14:paraId="7BFA7D69">
      <w:pPr>
        <w:spacing w:line="360" w:lineRule="auto"/>
        <w:ind w:firstLine="482" w:firstLineChars="200"/>
        <w:rPr>
          <w:rFonts w:ascii="仿宋" w:hAnsi="仿宋" w:eastAsia="仿宋" w:cs="仿宋"/>
          <w:color w:val="auto"/>
          <w:sz w:val="24"/>
          <w:highlight w:val="none"/>
        </w:rPr>
      </w:pPr>
      <w:r>
        <w:rPr>
          <w:rFonts w:hint="eastAsia" w:ascii="仿宋" w:hAnsi="仿宋" w:eastAsia="仿宋" w:cs="仿宋"/>
          <w:b/>
          <w:bCs/>
          <w:color w:val="auto"/>
          <w:kern w:val="0"/>
          <w:sz w:val="24"/>
          <w:highlight w:val="none"/>
          <w:lang w:val="zh-CN"/>
        </w:rPr>
        <w:t>不得以信用承诺书替代</w:t>
      </w:r>
      <w:r>
        <w:rPr>
          <w:rFonts w:hint="eastAsia" w:ascii="仿宋" w:hAnsi="仿宋" w:eastAsia="仿宋" w:cs="仿宋"/>
          <w:b/>
          <w:bCs/>
          <w:color w:val="auto"/>
          <w:kern w:val="0"/>
          <w:sz w:val="24"/>
          <w:highlight w:val="none"/>
        </w:rPr>
        <w:t>的供应商资格证明文件须提供《中华人民共和国政府采购法》第二十二条规定的（2）-（6）条按要求提供证明材料扫描件加盖公章。</w:t>
      </w:r>
    </w:p>
    <w:p w14:paraId="1F03242D">
      <w:pPr>
        <w:rPr>
          <w:color w:val="auto"/>
          <w:highlight w:val="none"/>
        </w:rPr>
        <w:sectPr>
          <w:pgSz w:w="11906" w:h="16838"/>
          <w:pgMar w:top="1417" w:right="1757" w:bottom="1417" w:left="1757" w:header="851" w:footer="964" w:gutter="0"/>
          <w:cols w:space="720" w:num="1"/>
          <w:docGrid w:linePitch="290" w:charSpace="0"/>
        </w:sectPr>
      </w:pPr>
      <w:bookmarkStart w:id="166" w:name="_Toc25452"/>
    </w:p>
    <w:p w14:paraId="5EB69BEC">
      <w:pPr>
        <w:pStyle w:val="3"/>
        <w:keepLines w:val="0"/>
        <w:tabs>
          <w:tab w:val="left" w:pos="1440"/>
          <w:tab w:val="left" w:pos="5670"/>
        </w:tabs>
        <w:rPr>
          <w:rFonts w:ascii="仿宋" w:hAnsi="仿宋" w:eastAsia="仿宋" w:cs="仿宋"/>
          <w:color w:val="auto"/>
          <w:sz w:val="24"/>
          <w:highlight w:val="none"/>
        </w:rPr>
      </w:pPr>
      <w:r>
        <w:rPr>
          <w:rFonts w:hint="eastAsia" w:ascii="仿宋" w:hAnsi="仿宋" w:eastAsia="仿宋" w:cs="仿宋"/>
          <w:color w:val="auto"/>
          <w:sz w:val="24"/>
          <w:highlight w:val="none"/>
        </w:rPr>
        <w:t>三、符合条件</w:t>
      </w:r>
      <w:bookmarkEnd w:id="166"/>
    </w:p>
    <w:p w14:paraId="7959FED4">
      <w:pPr>
        <w:pStyle w:val="60"/>
        <w:ind w:firstLine="0" w:firstLineChars="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项目名称：雨花台区文化和旅游局雨花非遗・艺启同行—雨花台区非遗推广项目</w:t>
      </w:r>
    </w:p>
    <w:p w14:paraId="6FD0F015">
      <w:pPr>
        <w:pStyle w:val="60"/>
        <w:ind w:firstLine="0" w:firstLineChars="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项目编号：YCZX-CS-202501081 </w:t>
      </w:r>
    </w:p>
    <w:bookmarkEnd w:id="165"/>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50"/>
        <w:gridCol w:w="4602"/>
        <w:gridCol w:w="2339"/>
      </w:tblGrid>
      <w:tr w14:paraId="5F991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6575A2EF">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序号</w:t>
            </w:r>
          </w:p>
        </w:tc>
        <w:tc>
          <w:tcPr>
            <w:tcW w:w="4602" w:type="dxa"/>
            <w:vAlign w:val="center"/>
          </w:tcPr>
          <w:p w14:paraId="426FF7F9">
            <w:pPr>
              <w:jc w:val="cente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符合性审查响应内容</w:t>
            </w:r>
          </w:p>
        </w:tc>
        <w:tc>
          <w:tcPr>
            <w:tcW w:w="2339" w:type="dxa"/>
            <w:vAlign w:val="center"/>
          </w:tcPr>
          <w:p w14:paraId="0373B3F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是否响应</w:t>
            </w:r>
          </w:p>
          <w:p w14:paraId="12F6326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（填是或者否）</w:t>
            </w:r>
          </w:p>
        </w:tc>
      </w:tr>
      <w:tr w14:paraId="0FAFE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556CB921">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p>
        </w:tc>
        <w:tc>
          <w:tcPr>
            <w:tcW w:w="4602" w:type="dxa"/>
            <w:vAlign w:val="center"/>
          </w:tcPr>
          <w:p w14:paraId="2B9EE3D3">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响应文件的有效性</w:t>
            </w:r>
          </w:p>
          <w:p w14:paraId="2722116B">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（是否签字盖章）</w:t>
            </w:r>
          </w:p>
        </w:tc>
        <w:tc>
          <w:tcPr>
            <w:tcW w:w="2339" w:type="dxa"/>
            <w:vAlign w:val="center"/>
          </w:tcPr>
          <w:p w14:paraId="07581CA6">
            <w:pPr>
              <w:keepNext/>
              <w:tabs>
                <w:tab w:val="left" w:pos="1440"/>
                <w:tab w:val="left" w:pos="5670"/>
              </w:tabs>
              <w:spacing w:before="240" w:after="240"/>
              <w:ind w:firstLine="2887"/>
              <w:outlineLvl w:val="0"/>
              <w:rPr>
                <w:rFonts w:ascii="仿宋" w:hAnsi="仿宋" w:eastAsia="仿宋" w:cs="仿宋"/>
                <w:color w:val="auto"/>
                <w:sz w:val="24"/>
                <w:szCs w:val="24"/>
                <w:highlight w:val="none"/>
              </w:rPr>
            </w:pPr>
          </w:p>
        </w:tc>
      </w:tr>
      <w:tr w14:paraId="630A74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35F405C3">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w:t>
            </w:r>
          </w:p>
        </w:tc>
        <w:tc>
          <w:tcPr>
            <w:tcW w:w="4602" w:type="dxa"/>
            <w:vAlign w:val="center"/>
          </w:tcPr>
          <w:p w14:paraId="4A1376D6">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响应文件的完整性</w:t>
            </w:r>
          </w:p>
        </w:tc>
        <w:tc>
          <w:tcPr>
            <w:tcW w:w="2339" w:type="dxa"/>
            <w:vAlign w:val="center"/>
          </w:tcPr>
          <w:p w14:paraId="7C3B1A44">
            <w:pPr>
              <w:keepNext/>
              <w:tabs>
                <w:tab w:val="left" w:pos="1440"/>
                <w:tab w:val="left" w:pos="5670"/>
              </w:tabs>
              <w:spacing w:before="240" w:after="240"/>
              <w:ind w:firstLine="2887"/>
              <w:outlineLvl w:val="0"/>
              <w:rPr>
                <w:rFonts w:ascii="仿宋" w:hAnsi="仿宋" w:eastAsia="仿宋" w:cs="仿宋"/>
                <w:color w:val="auto"/>
                <w:sz w:val="24"/>
                <w:szCs w:val="24"/>
                <w:highlight w:val="none"/>
              </w:rPr>
            </w:pPr>
          </w:p>
        </w:tc>
      </w:tr>
      <w:tr w14:paraId="4C6D7D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053B93B9">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w:t>
            </w:r>
          </w:p>
        </w:tc>
        <w:tc>
          <w:tcPr>
            <w:tcW w:w="4602" w:type="dxa"/>
            <w:vAlign w:val="center"/>
          </w:tcPr>
          <w:p w14:paraId="2E8004AC">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磋商报价未超过预算或最高限价</w:t>
            </w:r>
          </w:p>
        </w:tc>
        <w:tc>
          <w:tcPr>
            <w:tcW w:w="2339" w:type="dxa"/>
            <w:vAlign w:val="center"/>
          </w:tcPr>
          <w:p w14:paraId="01260032">
            <w:pPr>
              <w:keepNext/>
              <w:tabs>
                <w:tab w:val="left" w:pos="1440"/>
                <w:tab w:val="left" w:pos="5670"/>
              </w:tabs>
              <w:spacing w:before="240" w:after="240"/>
              <w:ind w:firstLine="2887"/>
              <w:outlineLvl w:val="0"/>
              <w:rPr>
                <w:rFonts w:ascii="仿宋" w:hAnsi="仿宋" w:eastAsia="仿宋" w:cs="仿宋"/>
                <w:color w:val="auto"/>
                <w:sz w:val="24"/>
                <w:szCs w:val="24"/>
                <w:highlight w:val="none"/>
              </w:rPr>
            </w:pPr>
          </w:p>
        </w:tc>
      </w:tr>
      <w:tr w14:paraId="30085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349CEF52">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4602" w:type="dxa"/>
            <w:vAlign w:val="center"/>
          </w:tcPr>
          <w:p w14:paraId="4352B463">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未</w:t>
            </w:r>
            <w:r>
              <w:rPr>
                <w:rFonts w:hint="eastAsia" w:ascii="仿宋" w:hAnsi="仿宋" w:eastAsia="仿宋" w:cs="仿宋"/>
                <w:color w:val="auto"/>
                <w:sz w:val="24"/>
                <w:szCs w:val="24"/>
                <w:highlight w:val="none"/>
                <w:lang w:val="zh-CN"/>
              </w:rPr>
              <w:t>提交两个（含两个）以上不同的响应文件或者最后报价</w:t>
            </w:r>
          </w:p>
        </w:tc>
        <w:tc>
          <w:tcPr>
            <w:tcW w:w="2339" w:type="dxa"/>
            <w:vAlign w:val="center"/>
          </w:tcPr>
          <w:p w14:paraId="061BEA1C">
            <w:pPr>
              <w:keepNext/>
              <w:tabs>
                <w:tab w:val="left" w:pos="1440"/>
                <w:tab w:val="left" w:pos="5670"/>
              </w:tabs>
              <w:spacing w:before="240" w:after="240"/>
              <w:ind w:firstLine="2887"/>
              <w:outlineLvl w:val="0"/>
              <w:rPr>
                <w:rFonts w:ascii="仿宋" w:hAnsi="仿宋" w:eastAsia="仿宋" w:cs="仿宋"/>
                <w:color w:val="auto"/>
                <w:sz w:val="24"/>
                <w:szCs w:val="24"/>
                <w:highlight w:val="none"/>
              </w:rPr>
            </w:pPr>
          </w:p>
        </w:tc>
      </w:tr>
      <w:tr w14:paraId="7607F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53E654A6">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5</w:t>
            </w:r>
          </w:p>
        </w:tc>
        <w:tc>
          <w:tcPr>
            <w:tcW w:w="4602" w:type="dxa"/>
            <w:vAlign w:val="center"/>
          </w:tcPr>
          <w:p w14:paraId="52615668">
            <w:pPr>
              <w:spacing w:line="440" w:lineRule="exact"/>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不存在重大负偏</w:t>
            </w:r>
          </w:p>
        </w:tc>
        <w:tc>
          <w:tcPr>
            <w:tcW w:w="2339" w:type="dxa"/>
            <w:vAlign w:val="center"/>
          </w:tcPr>
          <w:p w14:paraId="47800503">
            <w:pPr>
              <w:keepNext/>
              <w:tabs>
                <w:tab w:val="left" w:pos="1440"/>
                <w:tab w:val="left" w:pos="5670"/>
              </w:tabs>
              <w:spacing w:before="240" w:after="240"/>
              <w:ind w:firstLine="2887"/>
              <w:outlineLvl w:val="0"/>
              <w:rPr>
                <w:rFonts w:ascii="仿宋" w:hAnsi="仿宋" w:eastAsia="仿宋" w:cs="仿宋"/>
                <w:color w:val="auto"/>
                <w:sz w:val="24"/>
                <w:szCs w:val="24"/>
                <w:highlight w:val="none"/>
              </w:rPr>
            </w:pPr>
          </w:p>
        </w:tc>
      </w:tr>
      <w:tr w14:paraId="60BA56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250" w:type="dxa"/>
            <w:vAlign w:val="center"/>
          </w:tcPr>
          <w:p w14:paraId="3E52697A">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w:t>
            </w:r>
          </w:p>
        </w:tc>
        <w:tc>
          <w:tcPr>
            <w:tcW w:w="4602" w:type="dxa"/>
            <w:vAlign w:val="center"/>
          </w:tcPr>
          <w:p w14:paraId="663108CE">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竞争性磋商文件中的其他实质性要求</w:t>
            </w:r>
          </w:p>
        </w:tc>
        <w:tc>
          <w:tcPr>
            <w:tcW w:w="2339" w:type="dxa"/>
            <w:vAlign w:val="center"/>
          </w:tcPr>
          <w:p w14:paraId="63E064E3">
            <w:pPr>
              <w:keepNext/>
              <w:keepLines/>
              <w:shd w:val="clear" w:color="auto" w:fill="FFFFFF"/>
              <w:spacing w:line="390" w:lineRule="atLeast"/>
              <w:outlineLvl w:val="2"/>
              <w:rPr>
                <w:rFonts w:ascii="仿宋" w:hAnsi="仿宋" w:eastAsia="仿宋" w:cs="仿宋"/>
                <w:color w:val="auto"/>
                <w:sz w:val="24"/>
                <w:szCs w:val="24"/>
                <w:highlight w:val="none"/>
              </w:rPr>
            </w:pPr>
          </w:p>
        </w:tc>
      </w:tr>
    </w:tbl>
    <w:p w14:paraId="3C7F0BB4">
      <w:pPr>
        <w:spacing w:line="360" w:lineRule="auto"/>
        <w:rPr>
          <w:rFonts w:ascii="仿宋" w:hAnsi="仿宋" w:cs="仿宋"/>
          <w:color w:val="auto"/>
          <w:highlight w:val="none"/>
        </w:rPr>
      </w:pPr>
      <w:r>
        <w:rPr>
          <w:rFonts w:hint="eastAsia" w:ascii="仿宋" w:hAnsi="仿宋" w:eastAsia="仿宋" w:cs="仿宋"/>
          <w:color w:val="auto"/>
          <w:sz w:val="24"/>
          <w:szCs w:val="24"/>
          <w:highlight w:val="none"/>
          <w:lang w:val="zh-CN"/>
        </w:rPr>
        <w:t>供应商名称：</w:t>
      </w:r>
      <w:r>
        <w:rPr>
          <w:rFonts w:hint="eastAsia" w:ascii="仿宋" w:hAnsi="仿宋" w:eastAsia="仿宋" w:cs="仿宋"/>
          <w:color w:val="auto"/>
          <w:sz w:val="24"/>
          <w:szCs w:val="22"/>
          <w:highlight w:val="none"/>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2"/>
          <w:highlight w:val="none"/>
        </w:rPr>
        <w:t>）</w:t>
      </w:r>
    </w:p>
    <w:p w14:paraId="399D31B4">
      <w:pPr>
        <w:spacing w:line="360" w:lineRule="auto"/>
        <w:rPr>
          <w:rFonts w:ascii="仿宋" w:hAnsi="仿宋" w:cs="仿宋"/>
          <w:color w:val="auto"/>
          <w:highlight w:val="none"/>
        </w:rPr>
      </w:pPr>
      <w:bookmarkStart w:id="167" w:name="_Toc1040"/>
      <w:bookmarkStart w:id="168" w:name="_Toc13260"/>
      <w:bookmarkStart w:id="169" w:name="_Toc10251"/>
      <w:bookmarkStart w:id="170" w:name="_Toc13268"/>
      <w:bookmarkStart w:id="171" w:name="_Toc3857"/>
      <w:bookmarkStart w:id="172" w:name="_Toc25321"/>
      <w:bookmarkStart w:id="173" w:name="_Toc7703"/>
      <w:r>
        <w:rPr>
          <w:rStyle w:val="214"/>
          <w:rFonts w:hint="eastAsia" w:ascii="仿宋" w:hAnsi="仿宋" w:cs="仿宋"/>
          <w:color w:val="auto"/>
          <w:highlight w:val="none"/>
        </w:rPr>
        <w:t>（注：满足采购文件要求，详见竞争性磋商须知。）</w:t>
      </w:r>
    </w:p>
    <w:bookmarkEnd w:id="167"/>
    <w:bookmarkEnd w:id="168"/>
    <w:bookmarkEnd w:id="169"/>
    <w:bookmarkEnd w:id="170"/>
    <w:bookmarkEnd w:id="171"/>
    <w:bookmarkEnd w:id="172"/>
    <w:bookmarkEnd w:id="173"/>
    <w:p w14:paraId="2EEABB7F">
      <w:pPr>
        <w:rPr>
          <w:rFonts w:ascii="仿宋" w:hAnsi="仿宋" w:eastAsia="仿宋" w:cs="仿宋"/>
          <w:color w:val="auto"/>
          <w:highlight w:val="none"/>
        </w:rPr>
      </w:pPr>
    </w:p>
    <w:p w14:paraId="3A4CBB0E">
      <w:pPr>
        <w:rPr>
          <w:rFonts w:ascii="仿宋" w:hAnsi="仿宋" w:eastAsia="仿宋" w:cs="仿宋"/>
          <w:color w:val="auto"/>
          <w:highlight w:val="none"/>
        </w:rPr>
      </w:pPr>
    </w:p>
    <w:p w14:paraId="018029A5">
      <w:pPr>
        <w:rPr>
          <w:rFonts w:ascii="仿宋" w:hAnsi="仿宋" w:eastAsia="仿宋" w:cs="仿宋"/>
          <w:color w:val="auto"/>
          <w:highlight w:val="none"/>
        </w:rPr>
      </w:pPr>
    </w:p>
    <w:p w14:paraId="5B8710C1">
      <w:pPr>
        <w:rPr>
          <w:rFonts w:ascii="仿宋" w:hAnsi="仿宋" w:eastAsia="仿宋" w:cs="仿宋"/>
          <w:color w:val="auto"/>
          <w:highlight w:val="none"/>
        </w:rPr>
      </w:pPr>
    </w:p>
    <w:p w14:paraId="14ABFCF8">
      <w:pPr>
        <w:rPr>
          <w:rFonts w:ascii="仿宋" w:hAnsi="仿宋" w:eastAsia="仿宋" w:cs="仿宋"/>
          <w:color w:val="auto"/>
          <w:highlight w:val="none"/>
        </w:rPr>
      </w:pPr>
    </w:p>
    <w:p w14:paraId="18D3CE75">
      <w:pPr>
        <w:rPr>
          <w:color w:val="auto"/>
          <w:highlight w:val="none"/>
        </w:rPr>
        <w:sectPr>
          <w:pgSz w:w="11906" w:h="16838"/>
          <w:pgMar w:top="1417" w:right="1757" w:bottom="1417" w:left="1757" w:header="851" w:footer="964" w:gutter="0"/>
          <w:cols w:space="720" w:num="1"/>
          <w:docGrid w:linePitch="290" w:charSpace="0"/>
        </w:sectPr>
      </w:pPr>
    </w:p>
    <w:p w14:paraId="0D17D7C3">
      <w:pPr>
        <w:pStyle w:val="3"/>
        <w:keepLines w:val="0"/>
        <w:tabs>
          <w:tab w:val="left" w:pos="1440"/>
          <w:tab w:val="left" w:pos="5670"/>
        </w:tabs>
        <w:rPr>
          <w:rFonts w:ascii="仿宋" w:hAnsi="仿宋" w:eastAsia="仿宋" w:cs="仿宋"/>
          <w:color w:val="auto"/>
          <w:sz w:val="24"/>
          <w:highlight w:val="none"/>
        </w:rPr>
      </w:pPr>
      <w:bookmarkStart w:id="174" w:name="_Toc3298"/>
      <w:bookmarkStart w:id="175" w:name="_Toc31952"/>
      <w:bookmarkStart w:id="176" w:name="_Toc7976"/>
      <w:r>
        <w:rPr>
          <w:rFonts w:hint="eastAsia" w:ascii="仿宋" w:hAnsi="仿宋" w:eastAsia="仿宋" w:cs="仿宋"/>
          <w:color w:val="auto"/>
          <w:sz w:val="24"/>
          <w:highlight w:val="none"/>
        </w:rPr>
        <w:t>四、综合评审评分项</w:t>
      </w:r>
      <w:bookmarkEnd w:id="174"/>
    </w:p>
    <w:bookmarkEnd w:id="175"/>
    <w:bookmarkEnd w:id="176"/>
    <w:p w14:paraId="237C8047">
      <w:pPr>
        <w:spacing w:line="360" w:lineRule="auto"/>
        <w:rPr>
          <w:rFonts w:ascii="仿宋" w:hAnsi="仿宋" w:cs="仿宋"/>
          <w:color w:val="auto"/>
          <w:highlight w:val="none"/>
        </w:rPr>
      </w:pPr>
      <w:bookmarkStart w:id="177" w:name="_Toc24265"/>
      <w:bookmarkStart w:id="178" w:name="_Toc25002"/>
      <w:bookmarkStart w:id="179" w:name="_Toc27526"/>
      <w:bookmarkStart w:id="180" w:name="_Toc32221"/>
      <w:bookmarkStart w:id="181" w:name="_Toc2449"/>
      <w:bookmarkStart w:id="182" w:name="_Toc32704"/>
      <w:bookmarkStart w:id="183" w:name="_Toc5779"/>
      <w:bookmarkStart w:id="184" w:name="_Toc11187"/>
      <w:r>
        <w:rPr>
          <w:rStyle w:val="214"/>
          <w:rFonts w:hint="eastAsia" w:ascii="仿宋" w:hAnsi="仿宋" w:cs="仿宋"/>
          <w:color w:val="auto"/>
          <w:highlight w:val="none"/>
        </w:rPr>
        <w:t>（注：详见第三章 评审标准。）</w:t>
      </w:r>
    </w:p>
    <w:bookmarkEnd w:id="177"/>
    <w:bookmarkEnd w:id="178"/>
    <w:bookmarkEnd w:id="179"/>
    <w:bookmarkEnd w:id="180"/>
    <w:bookmarkEnd w:id="181"/>
    <w:bookmarkEnd w:id="182"/>
    <w:bookmarkEnd w:id="183"/>
    <w:bookmarkEnd w:id="184"/>
    <w:p w14:paraId="09C478DD">
      <w:pPr>
        <w:rPr>
          <w:color w:val="auto"/>
          <w:highlight w:val="none"/>
        </w:rPr>
        <w:sectPr>
          <w:pgSz w:w="11906" w:h="16838"/>
          <w:pgMar w:top="1417" w:right="1757" w:bottom="1417" w:left="1757" w:header="851" w:footer="964" w:gutter="0"/>
          <w:cols w:space="720" w:num="1"/>
          <w:docGrid w:linePitch="290" w:charSpace="0"/>
        </w:sectPr>
      </w:pPr>
      <w:bookmarkStart w:id="185" w:name="_Toc2050"/>
    </w:p>
    <w:p w14:paraId="34207399">
      <w:pPr>
        <w:pStyle w:val="3"/>
        <w:keepLines w:val="0"/>
        <w:tabs>
          <w:tab w:val="left" w:pos="1440"/>
          <w:tab w:val="left" w:pos="5670"/>
        </w:tabs>
        <w:rPr>
          <w:rFonts w:ascii="仿宋" w:hAnsi="仿宋" w:eastAsia="仿宋" w:cs="仿宋"/>
          <w:color w:val="auto"/>
          <w:sz w:val="24"/>
          <w:highlight w:val="none"/>
        </w:rPr>
      </w:pPr>
      <w:r>
        <w:rPr>
          <w:rFonts w:hint="eastAsia" w:ascii="仿宋" w:hAnsi="仿宋" w:eastAsia="仿宋" w:cs="仿宋"/>
          <w:color w:val="auto"/>
          <w:sz w:val="24"/>
          <w:highlight w:val="none"/>
        </w:rPr>
        <w:t>五、价格折扣文件格式</w:t>
      </w:r>
      <w:bookmarkEnd w:id="185"/>
    </w:p>
    <w:p w14:paraId="627DE3FB">
      <w:pPr>
        <w:spacing w:line="360" w:lineRule="auto"/>
        <w:outlineLvl w:val="2"/>
        <w:rPr>
          <w:rFonts w:ascii="仿宋" w:hAnsi="仿宋" w:eastAsia="仿宋" w:cs="仿宋"/>
          <w:b/>
          <w:bCs/>
          <w:color w:val="auto"/>
          <w:sz w:val="24"/>
          <w:szCs w:val="22"/>
          <w:highlight w:val="none"/>
        </w:rPr>
      </w:pPr>
      <w:bookmarkStart w:id="186" w:name="_Toc34"/>
      <w:r>
        <w:rPr>
          <w:rFonts w:hint="eastAsia" w:ascii="仿宋" w:hAnsi="仿宋" w:eastAsia="仿宋" w:cs="仿宋"/>
          <w:b/>
          <w:bCs/>
          <w:color w:val="auto"/>
          <w:sz w:val="24"/>
          <w:szCs w:val="22"/>
          <w:highlight w:val="none"/>
        </w:rPr>
        <w:t>1、中小企业声明函</w:t>
      </w:r>
      <w:bookmarkEnd w:id="186"/>
    </w:p>
    <w:p w14:paraId="1B62BFBC">
      <w:pPr>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中小企业声明函（服务）</w:t>
      </w:r>
    </w:p>
    <w:p w14:paraId="27262007">
      <w:pPr>
        <w:spacing w:line="360" w:lineRule="auto"/>
        <w:ind w:firstLine="482" w:firstLineChars="200"/>
        <w:rPr>
          <w:rFonts w:ascii="仿宋" w:hAnsi="仿宋" w:eastAsia="仿宋" w:cs="仿宋"/>
          <w:b/>
          <w:bCs/>
          <w:color w:val="auto"/>
          <w:sz w:val="24"/>
          <w:szCs w:val="22"/>
          <w:highlight w:val="none"/>
        </w:rPr>
      </w:pPr>
    </w:p>
    <w:p w14:paraId="77E45F29">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本公司郑重声明，根据《政府采购促进中小企业发展管理办法》（财库〔2020〕 46号）的规定，本公司参加</w:t>
      </w:r>
      <w:r>
        <w:rPr>
          <w:rFonts w:hint="eastAsia" w:ascii="仿宋" w:hAnsi="仿宋" w:eastAsia="仿宋" w:cs="仿宋"/>
          <w:color w:val="auto"/>
          <w:sz w:val="24"/>
          <w:szCs w:val="22"/>
          <w:highlight w:val="none"/>
          <w:u w:val="single"/>
        </w:rPr>
        <w:t>南京市雨花台区文化和旅游局</w:t>
      </w:r>
      <w:r>
        <w:rPr>
          <w:rFonts w:hint="eastAsia" w:ascii="仿宋" w:hAnsi="仿宋" w:eastAsia="仿宋" w:cs="仿宋"/>
          <w:color w:val="auto"/>
          <w:sz w:val="24"/>
          <w:szCs w:val="22"/>
          <w:highlight w:val="none"/>
        </w:rPr>
        <w:t>的</w:t>
      </w:r>
      <w:r>
        <w:rPr>
          <w:rFonts w:hint="eastAsia" w:ascii="仿宋" w:hAnsi="仿宋" w:eastAsia="仿宋" w:cs="仿宋"/>
          <w:color w:val="auto"/>
          <w:sz w:val="24"/>
          <w:szCs w:val="22"/>
          <w:highlight w:val="none"/>
          <w:u w:val="single"/>
          <w:lang w:eastAsia="zh-CN"/>
        </w:rPr>
        <w:t>雨花台区文化和旅游局雨花非遗・艺启同行—雨花台区非遗推广项目</w:t>
      </w:r>
      <w:r>
        <w:rPr>
          <w:rFonts w:hint="eastAsia" w:ascii="仿宋" w:hAnsi="仿宋" w:eastAsia="仿宋" w:cs="仿宋"/>
          <w:color w:val="auto"/>
          <w:sz w:val="24"/>
          <w:szCs w:val="22"/>
          <w:highlight w:val="none"/>
        </w:rPr>
        <w:t>采购活动，服务全部由符合政策要求的中小企业承接。相关企业的具体情况如下：</w:t>
      </w:r>
    </w:p>
    <w:p w14:paraId="35735F5B">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2"/>
          <w:highlight w:val="none"/>
        </w:rPr>
      </w:pPr>
      <w:r>
        <w:rPr>
          <w:rFonts w:hint="eastAsia" w:ascii="仿宋" w:hAnsi="仿宋" w:eastAsia="仿宋" w:cs="仿宋"/>
          <w:color w:val="auto"/>
          <w:sz w:val="24"/>
          <w:szCs w:val="22"/>
          <w:highlight w:val="none"/>
          <w:u w:val="single"/>
          <w:lang w:eastAsia="zh-CN"/>
        </w:rPr>
        <w:t>雨花台区文化和旅游局雨花非遗・艺启同行—雨花台区非遗推广项目</w:t>
      </w:r>
      <w:r>
        <w:rPr>
          <w:rFonts w:hint="eastAsia" w:ascii="仿宋" w:hAnsi="仿宋" w:eastAsia="仿宋" w:cs="仿宋"/>
          <w:color w:val="auto"/>
          <w:sz w:val="24"/>
          <w:szCs w:val="22"/>
          <w:highlight w:val="none"/>
        </w:rPr>
        <w:t>,属于</w:t>
      </w:r>
      <w:r>
        <w:rPr>
          <w:rFonts w:hint="eastAsia" w:ascii="仿宋" w:hAnsi="仿宋" w:eastAsia="仿宋" w:cs="仿宋"/>
          <w:color w:val="auto"/>
          <w:sz w:val="24"/>
          <w:szCs w:val="22"/>
          <w:highlight w:val="none"/>
          <w:u w:val="single"/>
        </w:rPr>
        <w:t>其他未列明行业</w:t>
      </w:r>
      <w:r>
        <w:rPr>
          <w:rFonts w:hint="eastAsia" w:ascii="仿宋" w:hAnsi="仿宋" w:eastAsia="仿宋" w:cs="仿宋"/>
          <w:color w:val="auto"/>
          <w:sz w:val="24"/>
          <w:szCs w:val="22"/>
          <w:highlight w:val="none"/>
        </w:rPr>
        <w:t>。承接企业为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rPr>
        <w:t xml:space="preserve"> （企业名称）,从业人员 </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ab/>
      </w:r>
      <w:r>
        <w:rPr>
          <w:rFonts w:hint="eastAsia" w:ascii="仿宋" w:hAnsi="仿宋" w:eastAsia="仿宋" w:cs="仿宋"/>
          <w:color w:val="auto"/>
          <w:sz w:val="24"/>
          <w:szCs w:val="22"/>
          <w:highlight w:val="none"/>
        </w:rPr>
        <w:t>人，营业收入为</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rPr>
        <w:t>万元，资产总额为万元，属于</w:t>
      </w:r>
      <w:r>
        <w:rPr>
          <w:rFonts w:hint="eastAsia" w:ascii="仿宋" w:hAnsi="仿宋" w:eastAsia="仿宋" w:cs="仿宋"/>
          <w:color w:val="auto"/>
          <w:sz w:val="24"/>
          <w:szCs w:val="22"/>
          <w:highlight w:val="none"/>
          <w:u w:val="single"/>
          <w:lang w:val="en-US" w:eastAsia="zh-CN"/>
        </w:rPr>
        <w:t xml:space="preserve">    </w:t>
      </w:r>
      <w:r>
        <w:rPr>
          <w:rFonts w:hint="eastAsia" w:ascii="仿宋" w:hAnsi="仿宋" w:eastAsia="仿宋" w:cs="仿宋"/>
          <w:color w:val="auto"/>
          <w:sz w:val="24"/>
          <w:szCs w:val="22"/>
          <w:highlight w:val="none"/>
          <w:u w:val="single"/>
        </w:rPr>
        <w:t>（中型企业、小型企业、微型企业）</w:t>
      </w:r>
      <w:r>
        <w:rPr>
          <w:rFonts w:hint="eastAsia" w:ascii="仿宋" w:hAnsi="仿宋" w:eastAsia="仿宋" w:cs="仿宋"/>
          <w:color w:val="auto"/>
          <w:sz w:val="24"/>
          <w:szCs w:val="22"/>
          <w:highlight w:val="none"/>
        </w:rPr>
        <w:t>；</w:t>
      </w:r>
    </w:p>
    <w:p w14:paraId="1C7DE4F0">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以上企业，不属于大企业的分支机构，不存在控股股东为大企业的情形，也不存在与大企业的负责人为同一人的情形。</w:t>
      </w:r>
    </w:p>
    <w:p w14:paraId="6CBAAF0E">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本企业对上述声明内容的真实性负责。如有虚假，将依法承担相应责任。</w:t>
      </w:r>
    </w:p>
    <w:p w14:paraId="6895CFA4">
      <w:pPr>
        <w:wordWrap w:val="0"/>
        <w:spacing w:line="360" w:lineRule="auto"/>
        <w:ind w:firstLine="480" w:firstLineChars="200"/>
        <w:jc w:val="right"/>
        <w:rPr>
          <w:rFonts w:ascii="仿宋" w:hAnsi="仿宋" w:eastAsia="仿宋" w:cs="仿宋"/>
          <w:color w:val="auto"/>
          <w:sz w:val="24"/>
          <w:szCs w:val="22"/>
          <w:highlight w:val="none"/>
          <w:u w:val="single"/>
        </w:rPr>
      </w:pPr>
      <w:r>
        <w:rPr>
          <w:rFonts w:hint="eastAsia" w:ascii="仿宋" w:hAnsi="仿宋" w:eastAsia="仿宋" w:cs="仿宋"/>
          <w:color w:val="auto"/>
          <w:sz w:val="24"/>
          <w:szCs w:val="22"/>
          <w:highlight w:val="none"/>
        </w:rPr>
        <w:t>企业名称:（</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2"/>
          <w:highlight w:val="none"/>
        </w:rPr>
        <w:t>）</w:t>
      </w:r>
    </w:p>
    <w:p w14:paraId="604A2B67">
      <w:pPr>
        <w:spacing w:line="360" w:lineRule="auto"/>
        <w:ind w:firstLine="480" w:firstLineChars="200"/>
        <w:jc w:val="right"/>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日期：  年  月  日</w:t>
      </w:r>
    </w:p>
    <w:p w14:paraId="735CF438">
      <w:pPr>
        <w:spacing w:line="360" w:lineRule="auto"/>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ab/>
      </w:r>
    </w:p>
    <w:p w14:paraId="5F19D482">
      <w:pPr>
        <w:spacing w:line="360" w:lineRule="auto"/>
        <w:ind w:firstLine="480" w:firstLineChars="200"/>
        <w:rPr>
          <w:rFonts w:ascii="仿宋" w:hAnsi="仿宋" w:eastAsia="仿宋" w:cs="仿宋"/>
          <w:color w:val="auto"/>
          <w:sz w:val="24"/>
          <w:szCs w:val="22"/>
          <w:highlight w:val="none"/>
        </w:rPr>
      </w:pPr>
      <w:r>
        <w:rPr>
          <w:rFonts w:hint="eastAsia" w:ascii="仿宋" w:hAnsi="仿宋" w:eastAsia="仿宋" w:cs="仿宋"/>
          <w:color w:val="auto"/>
          <w:sz w:val="24"/>
          <w:szCs w:val="22"/>
          <w:highlight w:val="none"/>
        </w:rPr>
        <w:t>注：从业人员、营业收入、资产总额填报上一年度数据，无上一年度数据的新成立企业可不填报。</w:t>
      </w:r>
    </w:p>
    <w:p w14:paraId="52281E98">
      <w:pPr>
        <w:pStyle w:val="5"/>
        <w:rPr>
          <w:rFonts w:ascii="仿宋" w:hAnsi="仿宋" w:eastAsia="仿宋" w:cs="仿宋"/>
          <w:color w:val="auto"/>
          <w:highlight w:val="none"/>
        </w:rPr>
      </w:pPr>
    </w:p>
    <w:p w14:paraId="7B4B0F16">
      <w:pPr>
        <w:spacing w:line="360" w:lineRule="auto"/>
        <w:rPr>
          <w:rFonts w:ascii="仿宋" w:hAnsi="仿宋" w:eastAsia="仿宋" w:cs="仿宋"/>
          <w:color w:val="auto"/>
          <w:sz w:val="24"/>
          <w:highlight w:val="none"/>
        </w:rPr>
      </w:pPr>
    </w:p>
    <w:p w14:paraId="086FE0D5">
      <w:pPr>
        <w:rPr>
          <w:rFonts w:ascii="仿宋" w:hAnsi="仿宋" w:eastAsia="仿宋" w:cs="仿宋"/>
          <w:b/>
          <w:bCs/>
          <w:color w:val="auto"/>
          <w:sz w:val="22"/>
          <w:highlight w:val="none"/>
        </w:rPr>
      </w:pPr>
      <w:r>
        <w:rPr>
          <w:rFonts w:hint="eastAsia" w:ascii="仿宋" w:hAnsi="仿宋" w:eastAsia="仿宋" w:cs="仿宋"/>
          <w:b/>
          <w:bCs/>
          <w:color w:val="auto"/>
          <w:sz w:val="22"/>
          <w:highlight w:val="none"/>
        </w:rPr>
        <w:br w:type="page"/>
      </w:r>
    </w:p>
    <w:p w14:paraId="0C64EA87">
      <w:pPr>
        <w:spacing w:line="360" w:lineRule="auto"/>
        <w:outlineLvl w:val="2"/>
        <w:rPr>
          <w:rFonts w:ascii="仿宋" w:hAnsi="仿宋" w:eastAsia="仿宋" w:cs="仿宋"/>
          <w:b/>
          <w:bCs/>
          <w:color w:val="auto"/>
          <w:sz w:val="24"/>
          <w:szCs w:val="22"/>
          <w:highlight w:val="none"/>
        </w:rPr>
      </w:pPr>
      <w:bookmarkStart w:id="187" w:name="_Toc2715"/>
      <w:r>
        <w:rPr>
          <w:rFonts w:hint="eastAsia" w:ascii="仿宋" w:hAnsi="仿宋" w:eastAsia="仿宋" w:cs="仿宋"/>
          <w:b/>
          <w:bCs/>
          <w:color w:val="auto"/>
          <w:sz w:val="24"/>
          <w:szCs w:val="22"/>
          <w:highlight w:val="none"/>
        </w:rPr>
        <w:t>2、残疾人福利性单位声明函</w:t>
      </w:r>
      <w:bookmarkEnd w:id="187"/>
    </w:p>
    <w:p w14:paraId="16F9F1D4">
      <w:pPr>
        <w:spacing w:line="360" w:lineRule="auto"/>
        <w:ind w:firstLine="602" w:firstLineChars="200"/>
        <w:jc w:val="center"/>
        <w:rPr>
          <w:rFonts w:ascii="仿宋" w:hAnsi="仿宋" w:eastAsia="仿宋" w:cs="仿宋"/>
          <w:b/>
          <w:bCs/>
          <w:color w:val="auto"/>
          <w:sz w:val="30"/>
          <w:szCs w:val="30"/>
          <w:highlight w:val="none"/>
        </w:rPr>
      </w:pPr>
      <w:r>
        <w:rPr>
          <w:rFonts w:hint="eastAsia" w:ascii="仿宋" w:hAnsi="仿宋" w:eastAsia="仿宋" w:cs="仿宋"/>
          <w:b/>
          <w:bCs/>
          <w:color w:val="auto"/>
          <w:sz w:val="30"/>
          <w:szCs w:val="30"/>
          <w:highlight w:val="none"/>
        </w:rPr>
        <w:t>残疾人福利性单位声明函</w:t>
      </w:r>
    </w:p>
    <w:p w14:paraId="7662F290">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810D6E3">
      <w:pPr>
        <w:widowControl/>
        <w:spacing w:line="360" w:lineRule="auto"/>
        <w:ind w:firstLine="480" w:firstLineChars="200"/>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本单位对上述声明的真实性负责。如有虚假，将依法承担相应责任。</w:t>
      </w:r>
    </w:p>
    <w:p w14:paraId="2ECB31D6">
      <w:pPr>
        <w:widowControl/>
        <w:spacing w:line="440" w:lineRule="exact"/>
        <w:ind w:firstLine="5136"/>
        <w:jc w:val="left"/>
        <w:rPr>
          <w:rFonts w:ascii="仿宋" w:hAnsi="仿宋" w:eastAsia="仿宋" w:cs="仿宋"/>
          <w:color w:val="auto"/>
          <w:sz w:val="24"/>
          <w:szCs w:val="24"/>
          <w:highlight w:val="none"/>
        </w:rPr>
      </w:pPr>
    </w:p>
    <w:p w14:paraId="0C72C550">
      <w:pPr>
        <w:widowControl/>
        <w:spacing w:line="440" w:lineRule="exact"/>
        <w:ind w:firstLine="5136"/>
        <w:jc w:val="left"/>
        <w:rPr>
          <w:rFonts w:ascii="仿宋" w:hAnsi="仿宋" w:eastAsia="仿宋" w:cs="仿宋"/>
          <w:color w:val="auto"/>
          <w:sz w:val="24"/>
          <w:szCs w:val="24"/>
          <w:highlight w:val="none"/>
        </w:rPr>
      </w:pPr>
    </w:p>
    <w:p w14:paraId="21BBB586">
      <w:pPr>
        <w:widowControl/>
        <w:shd w:val="clear" w:color="auto" w:fill="FFFFFF"/>
        <w:spacing w:line="360" w:lineRule="auto"/>
        <w:ind w:firstLine="406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供应商名称（加盖公章）：</w:t>
      </w:r>
      <w:r>
        <w:rPr>
          <w:rFonts w:hint="eastAsia" w:ascii="仿宋" w:hAnsi="仿宋" w:eastAsia="仿宋" w:cs="仿宋"/>
          <w:color w:val="auto"/>
          <w:sz w:val="24"/>
          <w:szCs w:val="24"/>
          <w:highlight w:val="none"/>
          <w:u w:val="single"/>
        </w:rPr>
        <w:t xml:space="preserve">            </w:t>
      </w:r>
    </w:p>
    <w:p w14:paraId="5222F9D7">
      <w:pPr>
        <w:widowControl/>
        <w:shd w:val="clear" w:color="auto" w:fill="FFFFFF"/>
        <w:spacing w:line="360" w:lineRule="auto"/>
        <w:ind w:firstLine="4066"/>
        <w:jc w:val="left"/>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日    期：   年    月    日</w:t>
      </w:r>
    </w:p>
    <w:p w14:paraId="5E96E8C2">
      <w:pPr>
        <w:spacing w:line="360" w:lineRule="auto"/>
        <w:rPr>
          <w:rFonts w:ascii="仿宋" w:hAnsi="仿宋" w:eastAsia="仿宋" w:cs="仿宋"/>
          <w:b/>
          <w:bCs/>
          <w:color w:val="auto"/>
          <w:sz w:val="24"/>
          <w:szCs w:val="22"/>
          <w:highlight w:val="none"/>
        </w:rPr>
      </w:pPr>
    </w:p>
    <w:p w14:paraId="2B7B8FF1">
      <w:pPr>
        <w:spacing w:line="360" w:lineRule="auto"/>
        <w:rPr>
          <w:rFonts w:ascii="仿宋" w:hAnsi="仿宋" w:eastAsia="仿宋" w:cs="仿宋"/>
          <w:b/>
          <w:bCs/>
          <w:color w:val="auto"/>
          <w:sz w:val="24"/>
          <w:szCs w:val="22"/>
          <w:highlight w:val="none"/>
        </w:rPr>
      </w:pPr>
    </w:p>
    <w:p w14:paraId="20716737">
      <w:pPr>
        <w:spacing w:line="360" w:lineRule="auto"/>
        <w:outlineLvl w:val="2"/>
        <w:rPr>
          <w:rFonts w:ascii="仿宋" w:hAnsi="仿宋" w:eastAsia="仿宋" w:cs="仿宋"/>
          <w:b/>
          <w:bCs/>
          <w:color w:val="auto"/>
          <w:sz w:val="24"/>
          <w:szCs w:val="22"/>
          <w:highlight w:val="none"/>
        </w:rPr>
      </w:pPr>
      <w:bookmarkStart w:id="188" w:name="_Toc27407"/>
      <w:r>
        <w:rPr>
          <w:rFonts w:hint="eastAsia" w:ascii="仿宋" w:hAnsi="仿宋" w:eastAsia="仿宋" w:cs="仿宋"/>
          <w:b/>
          <w:bCs/>
          <w:color w:val="auto"/>
          <w:sz w:val="24"/>
          <w:szCs w:val="22"/>
          <w:highlight w:val="none"/>
        </w:rPr>
        <w:t>3、属于监狱企业的证明文件</w:t>
      </w:r>
      <w:bookmarkEnd w:id="188"/>
    </w:p>
    <w:p w14:paraId="1DE13613">
      <w:pPr>
        <w:spacing w:line="360" w:lineRule="auto"/>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（提供由省级以上监狱管理局、戒毒管理局(含新疆生产建设兵团)出具的属于监狱企业的证明文件）</w:t>
      </w:r>
    </w:p>
    <w:p w14:paraId="2362585D">
      <w:pPr>
        <w:spacing w:line="360" w:lineRule="auto"/>
        <w:rPr>
          <w:rFonts w:ascii="仿宋" w:hAnsi="仿宋" w:eastAsia="仿宋" w:cs="仿宋"/>
          <w:b/>
          <w:bCs/>
          <w:color w:val="auto"/>
          <w:sz w:val="24"/>
          <w:szCs w:val="22"/>
          <w:highlight w:val="none"/>
        </w:rPr>
      </w:pPr>
    </w:p>
    <w:p w14:paraId="1C98E829">
      <w:pPr>
        <w:spacing w:line="360" w:lineRule="auto"/>
        <w:outlineLvl w:val="2"/>
        <w:rPr>
          <w:rFonts w:ascii="仿宋" w:hAnsi="仿宋" w:eastAsia="仿宋" w:cs="仿宋"/>
          <w:b/>
          <w:bCs/>
          <w:color w:val="auto"/>
          <w:sz w:val="24"/>
          <w:szCs w:val="22"/>
          <w:highlight w:val="none"/>
        </w:rPr>
      </w:pPr>
      <w:bookmarkStart w:id="189" w:name="_Toc201"/>
      <w:r>
        <w:rPr>
          <w:rFonts w:hint="eastAsia" w:ascii="仿宋" w:hAnsi="仿宋" w:eastAsia="仿宋" w:cs="仿宋"/>
          <w:b/>
          <w:bCs/>
          <w:color w:val="auto"/>
          <w:sz w:val="24"/>
          <w:szCs w:val="22"/>
          <w:highlight w:val="none"/>
        </w:rPr>
        <w:t>4、节能产品认证证书</w:t>
      </w:r>
      <w:bookmarkEnd w:id="189"/>
    </w:p>
    <w:p w14:paraId="50589BB6">
      <w:pPr>
        <w:widowControl/>
        <w:shd w:val="clear" w:color="auto" w:fill="FFFFFF"/>
        <w:spacing w:before="24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（提供国家确定的认证机构出具的、处于有效期之内的产品认证证书）</w:t>
      </w:r>
    </w:p>
    <w:p w14:paraId="09FD7156">
      <w:pPr>
        <w:spacing w:line="360" w:lineRule="auto"/>
        <w:rPr>
          <w:rFonts w:ascii="仿宋" w:hAnsi="仿宋" w:eastAsia="仿宋" w:cs="仿宋"/>
          <w:b/>
          <w:bCs/>
          <w:color w:val="auto"/>
          <w:szCs w:val="21"/>
          <w:highlight w:val="none"/>
        </w:rPr>
      </w:pPr>
    </w:p>
    <w:p w14:paraId="2AFC7FBA">
      <w:pPr>
        <w:spacing w:line="360" w:lineRule="auto"/>
        <w:outlineLvl w:val="2"/>
        <w:rPr>
          <w:rFonts w:ascii="仿宋" w:hAnsi="仿宋" w:eastAsia="仿宋" w:cs="仿宋"/>
          <w:b/>
          <w:bCs/>
          <w:color w:val="auto"/>
          <w:sz w:val="24"/>
          <w:szCs w:val="22"/>
          <w:highlight w:val="none"/>
        </w:rPr>
      </w:pPr>
      <w:bookmarkStart w:id="190" w:name="_Toc13896"/>
      <w:r>
        <w:rPr>
          <w:rFonts w:hint="eastAsia" w:ascii="仿宋" w:hAnsi="仿宋" w:eastAsia="仿宋" w:cs="仿宋"/>
          <w:b/>
          <w:bCs/>
          <w:color w:val="auto"/>
          <w:sz w:val="24"/>
          <w:szCs w:val="22"/>
          <w:highlight w:val="none"/>
        </w:rPr>
        <w:t>5、环境标志产品认证证书</w:t>
      </w:r>
      <w:bookmarkEnd w:id="190"/>
    </w:p>
    <w:p w14:paraId="1B2EF229">
      <w:pPr>
        <w:widowControl/>
        <w:shd w:val="clear" w:color="auto" w:fill="FFFFFF"/>
        <w:spacing w:before="24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（提供国家确定的认证机构出具的、处于有效期之内的产品认证证书）</w:t>
      </w:r>
    </w:p>
    <w:p w14:paraId="06461956">
      <w:pPr>
        <w:spacing w:line="360" w:lineRule="auto"/>
        <w:rPr>
          <w:rFonts w:ascii="仿宋" w:hAnsi="仿宋" w:eastAsia="仿宋" w:cs="仿宋"/>
          <w:b/>
          <w:bCs/>
          <w:color w:val="auto"/>
          <w:szCs w:val="21"/>
          <w:highlight w:val="none"/>
        </w:rPr>
      </w:pPr>
    </w:p>
    <w:p w14:paraId="33A2BBE5">
      <w:pPr>
        <w:spacing w:line="360" w:lineRule="auto"/>
        <w:outlineLvl w:val="2"/>
        <w:rPr>
          <w:rFonts w:ascii="仿宋" w:hAnsi="仿宋" w:eastAsia="仿宋" w:cs="仿宋"/>
          <w:b/>
          <w:bCs/>
          <w:color w:val="auto"/>
          <w:sz w:val="24"/>
          <w:szCs w:val="22"/>
          <w:highlight w:val="none"/>
        </w:rPr>
      </w:pPr>
      <w:bookmarkStart w:id="191" w:name="_Toc7669"/>
      <w:r>
        <w:rPr>
          <w:rFonts w:hint="eastAsia" w:ascii="仿宋" w:hAnsi="仿宋" w:eastAsia="仿宋" w:cs="仿宋"/>
          <w:b/>
          <w:bCs/>
          <w:color w:val="auto"/>
          <w:sz w:val="24"/>
          <w:szCs w:val="22"/>
          <w:highlight w:val="none"/>
        </w:rPr>
        <w:t>6、进口产品转让技术、消化吸收再创新方案</w:t>
      </w:r>
      <w:bookmarkEnd w:id="191"/>
    </w:p>
    <w:p w14:paraId="56A7080F">
      <w:pPr>
        <w:widowControl/>
        <w:shd w:val="clear" w:color="auto" w:fill="FFFFFF"/>
        <w:spacing w:before="240" w:line="360" w:lineRule="auto"/>
        <w:rPr>
          <w:rFonts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（对于允许进口产品参加的项目）</w:t>
      </w:r>
    </w:p>
    <w:p w14:paraId="2D906C8D">
      <w:pPr>
        <w:rPr>
          <w:color w:val="auto"/>
          <w:highlight w:val="none"/>
        </w:rPr>
        <w:sectPr>
          <w:pgSz w:w="11906" w:h="16838"/>
          <w:pgMar w:top="1417" w:right="1757" w:bottom="1417" w:left="1757" w:header="851" w:footer="964" w:gutter="0"/>
          <w:cols w:space="720" w:num="1"/>
          <w:docGrid w:linePitch="290" w:charSpace="0"/>
        </w:sectPr>
      </w:pPr>
      <w:bookmarkStart w:id="192" w:name="_Toc18917"/>
    </w:p>
    <w:p w14:paraId="33CB1D8C">
      <w:pPr>
        <w:pStyle w:val="3"/>
        <w:keepLines w:val="0"/>
        <w:tabs>
          <w:tab w:val="left" w:pos="1440"/>
          <w:tab w:val="left" w:pos="5670"/>
        </w:tabs>
        <w:rPr>
          <w:rFonts w:ascii="仿宋" w:hAnsi="仿宋" w:eastAsia="仿宋" w:cs="仿宋"/>
          <w:color w:val="auto"/>
          <w:sz w:val="24"/>
          <w:highlight w:val="none"/>
        </w:rPr>
      </w:pPr>
      <w:r>
        <w:rPr>
          <w:rFonts w:hint="eastAsia" w:ascii="仿宋" w:hAnsi="仿宋" w:eastAsia="仿宋" w:cs="仿宋"/>
          <w:color w:val="auto"/>
          <w:sz w:val="24"/>
          <w:highlight w:val="none"/>
        </w:rPr>
        <w:t>六、附件</w:t>
      </w:r>
      <w:bookmarkEnd w:id="192"/>
    </w:p>
    <w:p w14:paraId="50EFBC8D">
      <w:pPr>
        <w:spacing w:line="360" w:lineRule="auto"/>
        <w:outlineLvl w:val="2"/>
        <w:rPr>
          <w:rFonts w:ascii="仿宋" w:hAnsi="仿宋" w:eastAsia="仿宋" w:cs="仿宋"/>
          <w:b/>
          <w:bCs/>
          <w:color w:val="auto"/>
          <w:sz w:val="24"/>
          <w:szCs w:val="22"/>
          <w:highlight w:val="none"/>
        </w:rPr>
      </w:pPr>
      <w:bookmarkStart w:id="193" w:name="_Toc32362"/>
      <w:bookmarkStart w:id="194" w:name="_Toc30726"/>
      <w:bookmarkStart w:id="195" w:name="_Toc30560"/>
      <w:bookmarkStart w:id="196" w:name="_Toc23658"/>
      <w:bookmarkStart w:id="197" w:name="_Toc27357"/>
      <w:bookmarkStart w:id="198" w:name="_Toc4666"/>
      <w:r>
        <w:rPr>
          <w:rFonts w:hint="eastAsia" w:ascii="仿宋" w:hAnsi="仿宋" w:eastAsia="仿宋" w:cs="仿宋"/>
          <w:b/>
          <w:bCs/>
          <w:color w:val="auto"/>
          <w:sz w:val="24"/>
          <w:szCs w:val="22"/>
          <w:highlight w:val="none"/>
        </w:rPr>
        <w:t>附件一、供应商拟投入本项目服务人员一览表</w:t>
      </w:r>
      <w:bookmarkEnd w:id="193"/>
      <w:bookmarkEnd w:id="194"/>
      <w:bookmarkEnd w:id="195"/>
      <w:bookmarkEnd w:id="196"/>
      <w:bookmarkEnd w:id="197"/>
      <w:bookmarkEnd w:id="198"/>
    </w:p>
    <w:p w14:paraId="543E862B">
      <w:pPr>
        <w:jc w:val="center"/>
        <w:rPr>
          <w:rFonts w:ascii="仿宋" w:hAnsi="仿宋" w:eastAsia="仿宋" w:cs="仿宋"/>
          <w:b/>
          <w:bCs/>
          <w:color w:val="auto"/>
          <w:sz w:val="32"/>
          <w:szCs w:val="32"/>
          <w:highlight w:val="none"/>
        </w:rPr>
      </w:pPr>
      <w:bookmarkStart w:id="199" w:name="_Toc22477"/>
      <w:r>
        <w:rPr>
          <w:rFonts w:hint="eastAsia" w:ascii="仿宋" w:hAnsi="仿宋" w:eastAsia="仿宋" w:cs="仿宋"/>
          <w:b/>
          <w:bCs/>
          <w:color w:val="auto"/>
          <w:sz w:val="32"/>
          <w:szCs w:val="32"/>
          <w:highlight w:val="none"/>
        </w:rPr>
        <w:t>供应商拟投入本项目服务人员一览表</w:t>
      </w:r>
      <w:bookmarkEnd w:id="199"/>
    </w:p>
    <w:p w14:paraId="76479885">
      <w:pPr>
        <w:pStyle w:val="351"/>
        <w:rPr>
          <w:rFonts w:ascii="仿宋" w:hAnsi="仿宋" w:eastAsia="仿宋" w:cs="仿宋"/>
          <w:color w:val="auto"/>
          <w:highlight w:val="none"/>
        </w:rPr>
      </w:pPr>
    </w:p>
    <w:p w14:paraId="43C4C67B">
      <w:pPr>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项目名称：雨花台区文化和旅游局雨花非遗・艺启同行—雨花台区非遗推广项目    </w:t>
      </w:r>
    </w:p>
    <w:p w14:paraId="6AC74DDD">
      <w:pPr>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项目编号：YCZX-CS-202501081 </w:t>
      </w:r>
    </w:p>
    <w:tbl>
      <w:tblPr>
        <w:tblStyle w:val="6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810"/>
        <w:gridCol w:w="795"/>
        <w:gridCol w:w="645"/>
        <w:gridCol w:w="675"/>
        <w:gridCol w:w="645"/>
        <w:gridCol w:w="975"/>
        <w:gridCol w:w="750"/>
        <w:gridCol w:w="1033"/>
        <w:gridCol w:w="975"/>
        <w:gridCol w:w="846"/>
      </w:tblGrid>
      <w:tr w14:paraId="719F04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6" w:hRule="atLeast"/>
          <w:jc w:val="center"/>
        </w:trPr>
        <w:tc>
          <w:tcPr>
            <w:tcW w:w="610" w:type="dxa"/>
            <w:vAlign w:val="center"/>
          </w:tcPr>
          <w:p w14:paraId="26E77B48">
            <w:pPr>
              <w:jc w:val="center"/>
              <w:rPr>
                <w:rFonts w:ascii="仿宋" w:hAnsi="仿宋" w:eastAsia="仿宋" w:cs="仿宋"/>
                <w:b/>
                <w:color w:val="auto"/>
                <w:highlight w:val="none"/>
              </w:rPr>
            </w:pPr>
            <w:r>
              <w:rPr>
                <w:rFonts w:hint="eastAsia" w:ascii="仿宋" w:hAnsi="仿宋" w:eastAsia="仿宋" w:cs="仿宋"/>
                <w:b/>
                <w:color w:val="auto"/>
                <w:highlight w:val="none"/>
              </w:rPr>
              <w:t>序号</w:t>
            </w:r>
          </w:p>
        </w:tc>
        <w:tc>
          <w:tcPr>
            <w:tcW w:w="810" w:type="dxa"/>
            <w:vAlign w:val="center"/>
          </w:tcPr>
          <w:p w14:paraId="4AA93631">
            <w:pPr>
              <w:jc w:val="center"/>
              <w:rPr>
                <w:rFonts w:ascii="仿宋" w:hAnsi="仿宋" w:eastAsia="仿宋" w:cs="仿宋"/>
                <w:b/>
                <w:color w:val="auto"/>
                <w:highlight w:val="none"/>
              </w:rPr>
            </w:pPr>
            <w:r>
              <w:rPr>
                <w:rFonts w:hint="eastAsia" w:ascii="仿宋" w:hAnsi="仿宋" w:eastAsia="仿宋" w:cs="仿宋"/>
                <w:b/>
                <w:color w:val="auto"/>
                <w:highlight w:val="none"/>
              </w:rPr>
              <w:t>姓名</w:t>
            </w:r>
          </w:p>
        </w:tc>
        <w:tc>
          <w:tcPr>
            <w:tcW w:w="795" w:type="dxa"/>
            <w:vAlign w:val="center"/>
          </w:tcPr>
          <w:p w14:paraId="04F23DAB">
            <w:pPr>
              <w:jc w:val="center"/>
              <w:rPr>
                <w:rFonts w:ascii="仿宋" w:hAnsi="仿宋" w:eastAsia="仿宋" w:cs="仿宋"/>
                <w:b/>
                <w:color w:val="auto"/>
                <w:highlight w:val="none"/>
              </w:rPr>
            </w:pPr>
            <w:r>
              <w:rPr>
                <w:rFonts w:hint="eastAsia" w:ascii="仿宋" w:hAnsi="仿宋" w:eastAsia="仿宋" w:cs="仿宋"/>
                <w:b/>
                <w:color w:val="auto"/>
                <w:highlight w:val="none"/>
              </w:rPr>
              <w:t>性别</w:t>
            </w:r>
          </w:p>
        </w:tc>
        <w:tc>
          <w:tcPr>
            <w:tcW w:w="645" w:type="dxa"/>
            <w:vAlign w:val="center"/>
          </w:tcPr>
          <w:p w14:paraId="5DCD9CD7">
            <w:pPr>
              <w:jc w:val="center"/>
              <w:rPr>
                <w:rFonts w:ascii="仿宋" w:hAnsi="仿宋" w:eastAsia="仿宋" w:cs="仿宋"/>
                <w:b/>
                <w:color w:val="auto"/>
                <w:highlight w:val="none"/>
              </w:rPr>
            </w:pPr>
            <w:r>
              <w:rPr>
                <w:rFonts w:hint="eastAsia" w:ascii="仿宋" w:hAnsi="仿宋" w:eastAsia="仿宋" w:cs="仿宋"/>
                <w:b/>
                <w:color w:val="auto"/>
                <w:highlight w:val="none"/>
              </w:rPr>
              <w:t>年龄</w:t>
            </w:r>
          </w:p>
        </w:tc>
        <w:tc>
          <w:tcPr>
            <w:tcW w:w="675" w:type="dxa"/>
            <w:vAlign w:val="center"/>
          </w:tcPr>
          <w:p w14:paraId="5D57F08D">
            <w:pPr>
              <w:jc w:val="center"/>
              <w:rPr>
                <w:rFonts w:ascii="仿宋" w:hAnsi="仿宋" w:eastAsia="仿宋" w:cs="仿宋"/>
                <w:b/>
                <w:color w:val="auto"/>
                <w:highlight w:val="none"/>
              </w:rPr>
            </w:pPr>
            <w:r>
              <w:rPr>
                <w:rFonts w:hint="eastAsia" w:ascii="仿宋" w:hAnsi="仿宋" w:eastAsia="仿宋" w:cs="仿宋"/>
                <w:b/>
                <w:color w:val="auto"/>
                <w:highlight w:val="none"/>
              </w:rPr>
              <w:t>专业</w:t>
            </w:r>
          </w:p>
        </w:tc>
        <w:tc>
          <w:tcPr>
            <w:tcW w:w="645" w:type="dxa"/>
            <w:vAlign w:val="center"/>
          </w:tcPr>
          <w:p w14:paraId="2F81A1A8">
            <w:pPr>
              <w:jc w:val="center"/>
              <w:rPr>
                <w:rFonts w:ascii="仿宋" w:hAnsi="仿宋" w:eastAsia="仿宋" w:cs="仿宋"/>
                <w:b/>
                <w:color w:val="auto"/>
                <w:highlight w:val="none"/>
              </w:rPr>
            </w:pPr>
            <w:r>
              <w:rPr>
                <w:rFonts w:hint="eastAsia" w:ascii="仿宋" w:hAnsi="仿宋" w:eastAsia="仿宋" w:cs="仿宋"/>
                <w:b/>
                <w:color w:val="auto"/>
                <w:highlight w:val="none"/>
              </w:rPr>
              <w:t>学历</w:t>
            </w:r>
          </w:p>
        </w:tc>
        <w:tc>
          <w:tcPr>
            <w:tcW w:w="975" w:type="dxa"/>
            <w:vAlign w:val="center"/>
          </w:tcPr>
          <w:p w14:paraId="71ABC127">
            <w:pPr>
              <w:jc w:val="center"/>
              <w:rPr>
                <w:rFonts w:ascii="仿宋" w:hAnsi="仿宋" w:eastAsia="仿宋" w:cs="仿宋"/>
                <w:b/>
                <w:color w:val="auto"/>
                <w:highlight w:val="none"/>
              </w:rPr>
            </w:pPr>
            <w:r>
              <w:rPr>
                <w:rFonts w:hint="eastAsia" w:ascii="仿宋" w:hAnsi="仿宋" w:eastAsia="仿宋" w:cs="仿宋"/>
                <w:b/>
                <w:color w:val="auto"/>
                <w:highlight w:val="none"/>
              </w:rPr>
              <w:t>执业资格及证书号</w:t>
            </w:r>
          </w:p>
        </w:tc>
        <w:tc>
          <w:tcPr>
            <w:tcW w:w="750" w:type="dxa"/>
            <w:vAlign w:val="center"/>
          </w:tcPr>
          <w:p w14:paraId="2E919CD0">
            <w:pPr>
              <w:jc w:val="center"/>
              <w:rPr>
                <w:rFonts w:ascii="仿宋" w:hAnsi="仿宋" w:eastAsia="仿宋" w:cs="仿宋"/>
                <w:b/>
                <w:color w:val="auto"/>
                <w:highlight w:val="none"/>
              </w:rPr>
            </w:pPr>
            <w:r>
              <w:rPr>
                <w:rFonts w:hint="eastAsia" w:ascii="仿宋" w:hAnsi="仿宋" w:eastAsia="仿宋" w:cs="仿宋"/>
                <w:b/>
                <w:color w:val="auto"/>
                <w:highlight w:val="none"/>
              </w:rPr>
              <w:t>技术职称</w:t>
            </w:r>
          </w:p>
        </w:tc>
        <w:tc>
          <w:tcPr>
            <w:tcW w:w="1033" w:type="dxa"/>
            <w:vAlign w:val="center"/>
          </w:tcPr>
          <w:p w14:paraId="6F8F5EBD">
            <w:pPr>
              <w:jc w:val="center"/>
              <w:rPr>
                <w:rFonts w:ascii="仿宋" w:hAnsi="仿宋" w:eastAsia="仿宋" w:cs="仿宋"/>
                <w:b/>
                <w:color w:val="auto"/>
                <w:highlight w:val="none"/>
              </w:rPr>
            </w:pPr>
            <w:r>
              <w:rPr>
                <w:rFonts w:hint="eastAsia" w:ascii="仿宋" w:hAnsi="仿宋" w:eastAsia="仿宋" w:cs="仿宋"/>
                <w:b/>
                <w:color w:val="auto"/>
                <w:highlight w:val="none"/>
              </w:rPr>
              <w:t>相关工作年限而及工</w:t>
            </w:r>
            <w:r>
              <w:rPr>
                <w:rFonts w:hint="eastAsia" w:ascii="仿宋" w:hAnsi="仿宋" w:eastAsia="仿宋" w:cs="仿宋"/>
                <w:b/>
                <w:color w:val="auto"/>
                <w:szCs w:val="22"/>
                <w:highlight w:val="none"/>
              </w:rPr>
              <w:t>作经历</w:t>
            </w:r>
          </w:p>
        </w:tc>
        <w:tc>
          <w:tcPr>
            <w:tcW w:w="975" w:type="dxa"/>
            <w:vAlign w:val="center"/>
          </w:tcPr>
          <w:p w14:paraId="21C6365E">
            <w:pPr>
              <w:jc w:val="center"/>
              <w:rPr>
                <w:rFonts w:ascii="仿宋" w:hAnsi="仿宋" w:eastAsia="仿宋" w:cs="仿宋"/>
                <w:b/>
                <w:color w:val="auto"/>
                <w:highlight w:val="none"/>
              </w:rPr>
            </w:pPr>
            <w:r>
              <w:rPr>
                <w:rFonts w:hint="eastAsia" w:ascii="仿宋" w:hAnsi="仿宋" w:eastAsia="仿宋" w:cs="仿宋"/>
                <w:b/>
                <w:color w:val="auto"/>
                <w:szCs w:val="21"/>
                <w:highlight w:val="none"/>
                <w:lang w:val="zh-CN"/>
              </w:rPr>
              <w:t>拟担任本项目何种工作</w:t>
            </w:r>
          </w:p>
        </w:tc>
        <w:tc>
          <w:tcPr>
            <w:tcW w:w="846" w:type="dxa"/>
            <w:vAlign w:val="center"/>
          </w:tcPr>
          <w:p w14:paraId="51930B2D">
            <w:pPr>
              <w:jc w:val="center"/>
              <w:rPr>
                <w:rFonts w:ascii="仿宋" w:hAnsi="仿宋" w:eastAsia="仿宋" w:cs="仿宋"/>
                <w:b/>
                <w:color w:val="auto"/>
                <w:highlight w:val="none"/>
              </w:rPr>
            </w:pPr>
            <w:r>
              <w:rPr>
                <w:rFonts w:hint="eastAsia" w:ascii="仿宋" w:hAnsi="仿宋" w:eastAsia="仿宋" w:cs="仿宋"/>
                <w:b/>
                <w:color w:val="auto"/>
                <w:highlight w:val="none"/>
              </w:rPr>
              <w:t>备注</w:t>
            </w:r>
          </w:p>
        </w:tc>
      </w:tr>
      <w:tr w14:paraId="728E4F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389A4ED1">
            <w:pPr>
              <w:rPr>
                <w:rFonts w:ascii="仿宋" w:hAnsi="仿宋" w:eastAsia="仿宋" w:cs="仿宋"/>
                <w:color w:val="auto"/>
                <w:highlight w:val="none"/>
              </w:rPr>
            </w:pPr>
          </w:p>
        </w:tc>
        <w:tc>
          <w:tcPr>
            <w:tcW w:w="810" w:type="dxa"/>
          </w:tcPr>
          <w:p w14:paraId="7FDFA9EA">
            <w:pPr>
              <w:rPr>
                <w:rFonts w:ascii="仿宋" w:hAnsi="仿宋" w:eastAsia="仿宋" w:cs="仿宋"/>
                <w:color w:val="auto"/>
                <w:highlight w:val="none"/>
              </w:rPr>
            </w:pPr>
          </w:p>
        </w:tc>
        <w:tc>
          <w:tcPr>
            <w:tcW w:w="795" w:type="dxa"/>
          </w:tcPr>
          <w:p w14:paraId="26C38BC8">
            <w:pPr>
              <w:rPr>
                <w:rFonts w:ascii="仿宋" w:hAnsi="仿宋" w:eastAsia="仿宋" w:cs="仿宋"/>
                <w:color w:val="auto"/>
                <w:highlight w:val="none"/>
              </w:rPr>
            </w:pPr>
          </w:p>
        </w:tc>
        <w:tc>
          <w:tcPr>
            <w:tcW w:w="645" w:type="dxa"/>
          </w:tcPr>
          <w:p w14:paraId="364A32DB">
            <w:pPr>
              <w:rPr>
                <w:rFonts w:ascii="仿宋" w:hAnsi="仿宋" w:eastAsia="仿宋" w:cs="仿宋"/>
                <w:color w:val="auto"/>
                <w:highlight w:val="none"/>
              </w:rPr>
            </w:pPr>
          </w:p>
        </w:tc>
        <w:tc>
          <w:tcPr>
            <w:tcW w:w="675" w:type="dxa"/>
          </w:tcPr>
          <w:p w14:paraId="07A5B778">
            <w:pPr>
              <w:rPr>
                <w:rFonts w:ascii="仿宋" w:hAnsi="仿宋" w:eastAsia="仿宋" w:cs="仿宋"/>
                <w:color w:val="auto"/>
                <w:highlight w:val="none"/>
              </w:rPr>
            </w:pPr>
          </w:p>
        </w:tc>
        <w:tc>
          <w:tcPr>
            <w:tcW w:w="645" w:type="dxa"/>
          </w:tcPr>
          <w:p w14:paraId="1EB4E945">
            <w:pPr>
              <w:rPr>
                <w:rFonts w:ascii="仿宋" w:hAnsi="仿宋" w:eastAsia="仿宋" w:cs="仿宋"/>
                <w:color w:val="auto"/>
                <w:highlight w:val="none"/>
              </w:rPr>
            </w:pPr>
          </w:p>
        </w:tc>
        <w:tc>
          <w:tcPr>
            <w:tcW w:w="975" w:type="dxa"/>
          </w:tcPr>
          <w:p w14:paraId="2E474AB7">
            <w:pPr>
              <w:rPr>
                <w:rFonts w:ascii="仿宋" w:hAnsi="仿宋" w:eastAsia="仿宋" w:cs="仿宋"/>
                <w:color w:val="auto"/>
                <w:highlight w:val="none"/>
              </w:rPr>
            </w:pPr>
          </w:p>
        </w:tc>
        <w:tc>
          <w:tcPr>
            <w:tcW w:w="750" w:type="dxa"/>
          </w:tcPr>
          <w:p w14:paraId="10FD45A1">
            <w:pPr>
              <w:rPr>
                <w:rFonts w:ascii="仿宋" w:hAnsi="仿宋" w:eastAsia="仿宋" w:cs="仿宋"/>
                <w:color w:val="auto"/>
                <w:highlight w:val="none"/>
              </w:rPr>
            </w:pPr>
          </w:p>
        </w:tc>
        <w:tc>
          <w:tcPr>
            <w:tcW w:w="1033" w:type="dxa"/>
          </w:tcPr>
          <w:p w14:paraId="31B90CB9">
            <w:pPr>
              <w:rPr>
                <w:rFonts w:ascii="仿宋" w:hAnsi="仿宋" w:eastAsia="仿宋" w:cs="仿宋"/>
                <w:color w:val="auto"/>
                <w:highlight w:val="none"/>
              </w:rPr>
            </w:pPr>
          </w:p>
        </w:tc>
        <w:tc>
          <w:tcPr>
            <w:tcW w:w="975" w:type="dxa"/>
          </w:tcPr>
          <w:p w14:paraId="3984E49A">
            <w:pPr>
              <w:rPr>
                <w:rFonts w:ascii="仿宋" w:hAnsi="仿宋" w:eastAsia="仿宋" w:cs="仿宋"/>
                <w:color w:val="auto"/>
                <w:highlight w:val="none"/>
              </w:rPr>
            </w:pPr>
          </w:p>
        </w:tc>
        <w:tc>
          <w:tcPr>
            <w:tcW w:w="846" w:type="dxa"/>
          </w:tcPr>
          <w:p w14:paraId="0E4E8B4B">
            <w:pPr>
              <w:rPr>
                <w:rFonts w:ascii="仿宋" w:hAnsi="仿宋" w:eastAsia="仿宋" w:cs="仿宋"/>
                <w:color w:val="auto"/>
                <w:highlight w:val="none"/>
              </w:rPr>
            </w:pPr>
          </w:p>
        </w:tc>
      </w:tr>
      <w:tr w14:paraId="0F322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236E365">
            <w:pPr>
              <w:rPr>
                <w:rFonts w:ascii="仿宋" w:hAnsi="仿宋" w:eastAsia="仿宋" w:cs="仿宋"/>
                <w:color w:val="auto"/>
                <w:highlight w:val="none"/>
              </w:rPr>
            </w:pPr>
          </w:p>
        </w:tc>
        <w:tc>
          <w:tcPr>
            <w:tcW w:w="810" w:type="dxa"/>
          </w:tcPr>
          <w:p w14:paraId="5B2AA4DE">
            <w:pPr>
              <w:rPr>
                <w:rFonts w:ascii="仿宋" w:hAnsi="仿宋" w:eastAsia="仿宋" w:cs="仿宋"/>
                <w:color w:val="auto"/>
                <w:highlight w:val="none"/>
              </w:rPr>
            </w:pPr>
          </w:p>
        </w:tc>
        <w:tc>
          <w:tcPr>
            <w:tcW w:w="795" w:type="dxa"/>
          </w:tcPr>
          <w:p w14:paraId="49B7C911">
            <w:pPr>
              <w:rPr>
                <w:rFonts w:ascii="仿宋" w:hAnsi="仿宋" w:eastAsia="仿宋" w:cs="仿宋"/>
                <w:color w:val="auto"/>
                <w:highlight w:val="none"/>
              </w:rPr>
            </w:pPr>
          </w:p>
        </w:tc>
        <w:tc>
          <w:tcPr>
            <w:tcW w:w="645" w:type="dxa"/>
          </w:tcPr>
          <w:p w14:paraId="7AC81E9C">
            <w:pPr>
              <w:rPr>
                <w:rFonts w:ascii="仿宋" w:hAnsi="仿宋" w:eastAsia="仿宋" w:cs="仿宋"/>
                <w:color w:val="auto"/>
                <w:highlight w:val="none"/>
              </w:rPr>
            </w:pPr>
          </w:p>
        </w:tc>
        <w:tc>
          <w:tcPr>
            <w:tcW w:w="675" w:type="dxa"/>
          </w:tcPr>
          <w:p w14:paraId="10DA44C5">
            <w:pPr>
              <w:rPr>
                <w:rFonts w:ascii="仿宋" w:hAnsi="仿宋" w:eastAsia="仿宋" w:cs="仿宋"/>
                <w:color w:val="auto"/>
                <w:highlight w:val="none"/>
              </w:rPr>
            </w:pPr>
          </w:p>
        </w:tc>
        <w:tc>
          <w:tcPr>
            <w:tcW w:w="645" w:type="dxa"/>
          </w:tcPr>
          <w:p w14:paraId="4FBCA1DE">
            <w:pPr>
              <w:rPr>
                <w:rFonts w:ascii="仿宋" w:hAnsi="仿宋" w:eastAsia="仿宋" w:cs="仿宋"/>
                <w:color w:val="auto"/>
                <w:highlight w:val="none"/>
              </w:rPr>
            </w:pPr>
          </w:p>
        </w:tc>
        <w:tc>
          <w:tcPr>
            <w:tcW w:w="975" w:type="dxa"/>
          </w:tcPr>
          <w:p w14:paraId="1234FB9E">
            <w:pPr>
              <w:rPr>
                <w:rFonts w:ascii="仿宋" w:hAnsi="仿宋" w:eastAsia="仿宋" w:cs="仿宋"/>
                <w:color w:val="auto"/>
                <w:highlight w:val="none"/>
              </w:rPr>
            </w:pPr>
          </w:p>
        </w:tc>
        <w:tc>
          <w:tcPr>
            <w:tcW w:w="750" w:type="dxa"/>
          </w:tcPr>
          <w:p w14:paraId="07978FBB">
            <w:pPr>
              <w:rPr>
                <w:rFonts w:ascii="仿宋" w:hAnsi="仿宋" w:eastAsia="仿宋" w:cs="仿宋"/>
                <w:color w:val="auto"/>
                <w:highlight w:val="none"/>
              </w:rPr>
            </w:pPr>
          </w:p>
        </w:tc>
        <w:tc>
          <w:tcPr>
            <w:tcW w:w="1033" w:type="dxa"/>
          </w:tcPr>
          <w:p w14:paraId="54C1CBAD">
            <w:pPr>
              <w:rPr>
                <w:rFonts w:ascii="仿宋" w:hAnsi="仿宋" w:eastAsia="仿宋" w:cs="仿宋"/>
                <w:color w:val="auto"/>
                <w:highlight w:val="none"/>
              </w:rPr>
            </w:pPr>
          </w:p>
        </w:tc>
        <w:tc>
          <w:tcPr>
            <w:tcW w:w="975" w:type="dxa"/>
          </w:tcPr>
          <w:p w14:paraId="69F73EA8">
            <w:pPr>
              <w:rPr>
                <w:rFonts w:ascii="仿宋" w:hAnsi="仿宋" w:eastAsia="仿宋" w:cs="仿宋"/>
                <w:color w:val="auto"/>
                <w:highlight w:val="none"/>
              </w:rPr>
            </w:pPr>
          </w:p>
        </w:tc>
        <w:tc>
          <w:tcPr>
            <w:tcW w:w="846" w:type="dxa"/>
          </w:tcPr>
          <w:p w14:paraId="6F0561D2">
            <w:pPr>
              <w:rPr>
                <w:rFonts w:ascii="仿宋" w:hAnsi="仿宋" w:eastAsia="仿宋" w:cs="仿宋"/>
                <w:color w:val="auto"/>
                <w:highlight w:val="none"/>
              </w:rPr>
            </w:pPr>
          </w:p>
        </w:tc>
      </w:tr>
      <w:tr w14:paraId="57EB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D686CB6">
            <w:pPr>
              <w:rPr>
                <w:rFonts w:ascii="仿宋" w:hAnsi="仿宋" w:eastAsia="仿宋" w:cs="仿宋"/>
                <w:color w:val="auto"/>
                <w:highlight w:val="none"/>
              </w:rPr>
            </w:pPr>
          </w:p>
        </w:tc>
        <w:tc>
          <w:tcPr>
            <w:tcW w:w="810" w:type="dxa"/>
          </w:tcPr>
          <w:p w14:paraId="384A3F36">
            <w:pPr>
              <w:rPr>
                <w:rFonts w:ascii="仿宋" w:hAnsi="仿宋" w:eastAsia="仿宋" w:cs="仿宋"/>
                <w:color w:val="auto"/>
                <w:highlight w:val="none"/>
              </w:rPr>
            </w:pPr>
          </w:p>
        </w:tc>
        <w:tc>
          <w:tcPr>
            <w:tcW w:w="795" w:type="dxa"/>
          </w:tcPr>
          <w:p w14:paraId="362E1337">
            <w:pPr>
              <w:rPr>
                <w:rFonts w:ascii="仿宋" w:hAnsi="仿宋" w:eastAsia="仿宋" w:cs="仿宋"/>
                <w:color w:val="auto"/>
                <w:highlight w:val="none"/>
              </w:rPr>
            </w:pPr>
          </w:p>
        </w:tc>
        <w:tc>
          <w:tcPr>
            <w:tcW w:w="645" w:type="dxa"/>
          </w:tcPr>
          <w:p w14:paraId="1DC27FFB">
            <w:pPr>
              <w:rPr>
                <w:rFonts w:ascii="仿宋" w:hAnsi="仿宋" w:eastAsia="仿宋" w:cs="仿宋"/>
                <w:color w:val="auto"/>
                <w:highlight w:val="none"/>
              </w:rPr>
            </w:pPr>
          </w:p>
        </w:tc>
        <w:tc>
          <w:tcPr>
            <w:tcW w:w="675" w:type="dxa"/>
          </w:tcPr>
          <w:p w14:paraId="7DBD0858">
            <w:pPr>
              <w:rPr>
                <w:rFonts w:ascii="仿宋" w:hAnsi="仿宋" w:eastAsia="仿宋" w:cs="仿宋"/>
                <w:color w:val="auto"/>
                <w:highlight w:val="none"/>
              </w:rPr>
            </w:pPr>
          </w:p>
        </w:tc>
        <w:tc>
          <w:tcPr>
            <w:tcW w:w="645" w:type="dxa"/>
          </w:tcPr>
          <w:p w14:paraId="5F02FF59">
            <w:pPr>
              <w:rPr>
                <w:rFonts w:ascii="仿宋" w:hAnsi="仿宋" w:eastAsia="仿宋" w:cs="仿宋"/>
                <w:color w:val="auto"/>
                <w:highlight w:val="none"/>
              </w:rPr>
            </w:pPr>
          </w:p>
        </w:tc>
        <w:tc>
          <w:tcPr>
            <w:tcW w:w="975" w:type="dxa"/>
          </w:tcPr>
          <w:p w14:paraId="618D4C6D">
            <w:pPr>
              <w:rPr>
                <w:rFonts w:ascii="仿宋" w:hAnsi="仿宋" w:eastAsia="仿宋" w:cs="仿宋"/>
                <w:color w:val="auto"/>
                <w:highlight w:val="none"/>
              </w:rPr>
            </w:pPr>
          </w:p>
        </w:tc>
        <w:tc>
          <w:tcPr>
            <w:tcW w:w="750" w:type="dxa"/>
          </w:tcPr>
          <w:p w14:paraId="48FF4C2F">
            <w:pPr>
              <w:rPr>
                <w:rFonts w:ascii="仿宋" w:hAnsi="仿宋" w:eastAsia="仿宋" w:cs="仿宋"/>
                <w:color w:val="auto"/>
                <w:highlight w:val="none"/>
              </w:rPr>
            </w:pPr>
          </w:p>
        </w:tc>
        <w:tc>
          <w:tcPr>
            <w:tcW w:w="1033" w:type="dxa"/>
          </w:tcPr>
          <w:p w14:paraId="51FEC4C1">
            <w:pPr>
              <w:rPr>
                <w:rFonts w:ascii="仿宋" w:hAnsi="仿宋" w:eastAsia="仿宋" w:cs="仿宋"/>
                <w:color w:val="auto"/>
                <w:highlight w:val="none"/>
              </w:rPr>
            </w:pPr>
          </w:p>
        </w:tc>
        <w:tc>
          <w:tcPr>
            <w:tcW w:w="975" w:type="dxa"/>
          </w:tcPr>
          <w:p w14:paraId="4DB24421">
            <w:pPr>
              <w:rPr>
                <w:rFonts w:ascii="仿宋" w:hAnsi="仿宋" w:eastAsia="仿宋" w:cs="仿宋"/>
                <w:color w:val="auto"/>
                <w:highlight w:val="none"/>
              </w:rPr>
            </w:pPr>
          </w:p>
        </w:tc>
        <w:tc>
          <w:tcPr>
            <w:tcW w:w="846" w:type="dxa"/>
          </w:tcPr>
          <w:p w14:paraId="5F3AA59F">
            <w:pPr>
              <w:rPr>
                <w:rFonts w:ascii="仿宋" w:hAnsi="仿宋" w:eastAsia="仿宋" w:cs="仿宋"/>
                <w:color w:val="auto"/>
                <w:highlight w:val="none"/>
              </w:rPr>
            </w:pPr>
          </w:p>
        </w:tc>
      </w:tr>
      <w:tr w14:paraId="1B9F8E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52F79D60">
            <w:pPr>
              <w:rPr>
                <w:rFonts w:ascii="仿宋" w:hAnsi="仿宋" w:eastAsia="仿宋" w:cs="仿宋"/>
                <w:color w:val="auto"/>
                <w:highlight w:val="none"/>
              </w:rPr>
            </w:pPr>
          </w:p>
        </w:tc>
        <w:tc>
          <w:tcPr>
            <w:tcW w:w="810" w:type="dxa"/>
          </w:tcPr>
          <w:p w14:paraId="2C351192">
            <w:pPr>
              <w:rPr>
                <w:rFonts w:ascii="仿宋" w:hAnsi="仿宋" w:eastAsia="仿宋" w:cs="仿宋"/>
                <w:color w:val="auto"/>
                <w:highlight w:val="none"/>
              </w:rPr>
            </w:pPr>
          </w:p>
        </w:tc>
        <w:tc>
          <w:tcPr>
            <w:tcW w:w="795" w:type="dxa"/>
          </w:tcPr>
          <w:p w14:paraId="0F5F6640">
            <w:pPr>
              <w:rPr>
                <w:rFonts w:ascii="仿宋" w:hAnsi="仿宋" w:eastAsia="仿宋" w:cs="仿宋"/>
                <w:color w:val="auto"/>
                <w:highlight w:val="none"/>
              </w:rPr>
            </w:pPr>
          </w:p>
        </w:tc>
        <w:tc>
          <w:tcPr>
            <w:tcW w:w="645" w:type="dxa"/>
          </w:tcPr>
          <w:p w14:paraId="69FE8D15">
            <w:pPr>
              <w:rPr>
                <w:rFonts w:ascii="仿宋" w:hAnsi="仿宋" w:eastAsia="仿宋" w:cs="仿宋"/>
                <w:color w:val="auto"/>
                <w:highlight w:val="none"/>
              </w:rPr>
            </w:pPr>
          </w:p>
        </w:tc>
        <w:tc>
          <w:tcPr>
            <w:tcW w:w="675" w:type="dxa"/>
          </w:tcPr>
          <w:p w14:paraId="6EACA2BF">
            <w:pPr>
              <w:rPr>
                <w:rFonts w:ascii="仿宋" w:hAnsi="仿宋" w:eastAsia="仿宋" w:cs="仿宋"/>
                <w:color w:val="auto"/>
                <w:highlight w:val="none"/>
              </w:rPr>
            </w:pPr>
          </w:p>
        </w:tc>
        <w:tc>
          <w:tcPr>
            <w:tcW w:w="645" w:type="dxa"/>
          </w:tcPr>
          <w:p w14:paraId="4C7D869F">
            <w:pPr>
              <w:rPr>
                <w:rFonts w:ascii="仿宋" w:hAnsi="仿宋" w:eastAsia="仿宋" w:cs="仿宋"/>
                <w:color w:val="auto"/>
                <w:highlight w:val="none"/>
              </w:rPr>
            </w:pPr>
          </w:p>
        </w:tc>
        <w:tc>
          <w:tcPr>
            <w:tcW w:w="975" w:type="dxa"/>
          </w:tcPr>
          <w:p w14:paraId="7E01DAF8">
            <w:pPr>
              <w:rPr>
                <w:rFonts w:ascii="仿宋" w:hAnsi="仿宋" w:eastAsia="仿宋" w:cs="仿宋"/>
                <w:color w:val="auto"/>
                <w:highlight w:val="none"/>
              </w:rPr>
            </w:pPr>
          </w:p>
        </w:tc>
        <w:tc>
          <w:tcPr>
            <w:tcW w:w="750" w:type="dxa"/>
          </w:tcPr>
          <w:p w14:paraId="7454CA8D">
            <w:pPr>
              <w:rPr>
                <w:rFonts w:ascii="仿宋" w:hAnsi="仿宋" w:eastAsia="仿宋" w:cs="仿宋"/>
                <w:color w:val="auto"/>
                <w:highlight w:val="none"/>
              </w:rPr>
            </w:pPr>
          </w:p>
        </w:tc>
        <w:tc>
          <w:tcPr>
            <w:tcW w:w="1033" w:type="dxa"/>
          </w:tcPr>
          <w:p w14:paraId="49D3C6DA">
            <w:pPr>
              <w:rPr>
                <w:rFonts w:ascii="仿宋" w:hAnsi="仿宋" w:eastAsia="仿宋" w:cs="仿宋"/>
                <w:color w:val="auto"/>
                <w:highlight w:val="none"/>
              </w:rPr>
            </w:pPr>
          </w:p>
        </w:tc>
        <w:tc>
          <w:tcPr>
            <w:tcW w:w="975" w:type="dxa"/>
          </w:tcPr>
          <w:p w14:paraId="5931C163">
            <w:pPr>
              <w:rPr>
                <w:rFonts w:ascii="仿宋" w:hAnsi="仿宋" w:eastAsia="仿宋" w:cs="仿宋"/>
                <w:color w:val="auto"/>
                <w:highlight w:val="none"/>
              </w:rPr>
            </w:pPr>
          </w:p>
        </w:tc>
        <w:tc>
          <w:tcPr>
            <w:tcW w:w="846" w:type="dxa"/>
          </w:tcPr>
          <w:p w14:paraId="020EEBB0">
            <w:pPr>
              <w:rPr>
                <w:rFonts w:ascii="仿宋" w:hAnsi="仿宋" w:eastAsia="仿宋" w:cs="仿宋"/>
                <w:color w:val="auto"/>
                <w:highlight w:val="none"/>
              </w:rPr>
            </w:pPr>
          </w:p>
        </w:tc>
      </w:tr>
      <w:tr w14:paraId="11316E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475AA4D5">
            <w:pPr>
              <w:rPr>
                <w:rFonts w:ascii="仿宋" w:hAnsi="仿宋" w:eastAsia="仿宋" w:cs="仿宋"/>
                <w:color w:val="auto"/>
                <w:highlight w:val="none"/>
              </w:rPr>
            </w:pPr>
          </w:p>
        </w:tc>
        <w:tc>
          <w:tcPr>
            <w:tcW w:w="810" w:type="dxa"/>
          </w:tcPr>
          <w:p w14:paraId="0CAAD562">
            <w:pPr>
              <w:rPr>
                <w:rFonts w:ascii="仿宋" w:hAnsi="仿宋" w:eastAsia="仿宋" w:cs="仿宋"/>
                <w:color w:val="auto"/>
                <w:highlight w:val="none"/>
              </w:rPr>
            </w:pPr>
          </w:p>
        </w:tc>
        <w:tc>
          <w:tcPr>
            <w:tcW w:w="795" w:type="dxa"/>
          </w:tcPr>
          <w:p w14:paraId="59BCBBDC">
            <w:pPr>
              <w:rPr>
                <w:rFonts w:ascii="仿宋" w:hAnsi="仿宋" w:eastAsia="仿宋" w:cs="仿宋"/>
                <w:color w:val="auto"/>
                <w:highlight w:val="none"/>
              </w:rPr>
            </w:pPr>
          </w:p>
        </w:tc>
        <w:tc>
          <w:tcPr>
            <w:tcW w:w="645" w:type="dxa"/>
          </w:tcPr>
          <w:p w14:paraId="76C7C7D0">
            <w:pPr>
              <w:rPr>
                <w:rFonts w:ascii="仿宋" w:hAnsi="仿宋" w:eastAsia="仿宋" w:cs="仿宋"/>
                <w:color w:val="auto"/>
                <w:highlight w:val="none"/>
              </w:rPr>
            </w:pPr>
          </w:p>
        </w:tc>
        <w:tc>
          <w:tcPr>
            <w:tcW w:w="675" w:type="dxa"/>
          </w:tcPr>
          <w:p w14:paraId="7688A3A9">
            <w:pPr>
              <w:rPr>
                <w:rFonts w:ascii="仿宋" w:hAnsi="仿宋" w:eastAsia="仿宋" w:cs="仿宋"/>
                <w:color w:val="auto"/>
                <w:highlight w:val="none"/>
              </w:rPr>
            </w:pPr>
          </w:p>
        </w:tc>
        <w:tc>
          <w:tcPr>
            <w:tcW w:w="645" w:type="dxa"/>
          </w:tcPr>
          <w:p w14:paraId="660038BC">
            <w:pPr>
              <w:rPr>
                <w:rFonts w:ascii="仿宋" w:hAnsi="仿宋" w:eastAsia="仿宋" w:cs="仿宋"/>
                <w:color w:val="auto"/>
                <w:highlight w:val="none"/>
              </w:rPr>
            </w:pPr>
          </w:p>
        </w:tc>
        <w:tc>
          <w:tcPr>
            <w:tcW w:w="975" w:type="dxa"/>
          </w:tcPr>
          <w:p w14:paraId="3A3A0CDC">
            <w:pPr>
              <w:rPr>
                <w:rFonts w:ascii="仿宋" w:hAnsi="仿宋" w:eastAsia="仿宋" w:cs="仿宋"/>
                <w:color w:val="auto"/>
                <w:highlight w:val="none"/>
              </w:rPr>
            </w:pPr>
          </w:p>
        </w:tc>
        <w:tc>
          <w:tcPr>
            <w:tcW w:w="750" w:type="dxa"/>
          </w:tcPr>
          <w:p w14:paraId="37D6100F">
            <w:pPr>
              <w:rPr>
                <w:rFonts w:ascii="仿宋" w:hAnsi="仿宋" w:eastAsia="仿宋" w:cs="仿宋"/>
                <w:color w:val="auto"/>
                <w:highlight w:val="none"/>
              </w:rPr>
            </w:pPr>
          </w:p>
        </w:tc>
        <w:tc>
          <w:tcPr>
            <w:tcW w:w="1033" w:type="dxa"/>
          </w:tcPr>
          <w:p w14:paraId="3260A788">
            <w:pPr>
              <w:rPr>
                <w:rFonts w:ascii="仿宋" w:hAnsi="仿宋" w:eastAsia="仿宋" w:cs="仿宋"/>
                <w:color w:val="auto"/>
                <w:highlight w:val="none"/>
              </w:rPr>
            </w:pPr>
          </w:p>
        </w:tc>
        <w:tc>
          <w:tcPr>
            <w:tcW w:w="975" w:type="dxa"/>
          </w:tcPr>
          <w:p w14:paraId="2CA48ED1">
            <w:pPr>
              <w:rPr>
                <w:rFonts w:ascii="仿宋" w:hAnsi="仿宋" w:eastAsia="仿宋" w:cs="仿宋"/>
                <w:color w:val="auto"/>
                <w:highlight w:val="none"/>
              </w:rPr>
            </w:pPr>
          </w:p>
        </w:tc>
        <w:tc>
          <w:tcPr>
            <w:tcW w:w="846" w:type="dxa"/>
          </w:tcPr>
          <w:p w14:paraId="16E63F9B">
            <w:pPr>
              <w:rPr>
                <w:rFonts w:ascii="仿宋" w:hAnsi="仿宋" w:eastAsia="仿宋" w:cs="仿宋"/>
                <w:color w:val="auto"/>
                <w:highlight w:val="none"/>
              </w:rPr>
            </w:pPr>
          </w:p>
        </w:tc>
      </w:tr>
      <w:tr w14:paraId="453C4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1" w:hRule="atLeast"/>
          <w:jc w:val="center"/>
        </w:trPr>
        <w:tc>
          <w:tcPr>
            <w:tcW w:w="610" w:type="dxa"/>
          </w:tcPr>
          <w:p w14:paraId="1211295F">
            <w:pPr>
              <w:rPr>
                <w:rFonts w:ascii="仿宋" w:hAnsi="仿宋" w:eastAsia="仿宋" w:cs="仿宋"/>
                <w:color w:val="auto"/>
                <w:highlight w:val="none"/>
              </w:rPr>
            </w:pPr>
          </w:p>
        </w:tc>
        <w:tc>
          <w:tcPr>
            <w:tcW w:w="810" w:type="dxa"/>
          </w:tcPr>
          <w:p w14:paraId="336E5C14">
            <w:pPr>
              <w:rPr>
                <w:rFonts w:ascii="仿宋" w:hAnsi="仿宋" w:eastAsia="仿宋" w:cs="仿宋"/>
                <w:color w:val="auto"/>
                <w:highlight w:val="none"/>
              </w:rPr>
            </w:pPr>
          </w:p>
        </w:tc>
        <w:tc>
          <w:tcPr>
            <w:tcW w:w="795" w:type="dxa"/>
          </w:tcPr>
          <w:p w14:paraId="16876FAE">
            <w:pPr>
              <w:rPr>
                <w:rFonts w:ascii="仿宋" w:hAnsi="仿宋" w:eastAsia="仿宋" w:cs="仿宋"/>
                <w:color w:val="auto"/>
                <w:highlight w:val="none"/>
              </w:rPr>
            </w:pPr>
          </w:p>
        </w:tc>
        <w:tc>
          <w:tcPr>
            <w:tcW w:w="645" w:type="dxa"/>
          </w:tcPr>
          <w:p w14:paraId="144F49D3">
            <w:pPr>
              <w:rPr>
                <w:rFonts w:ascii="仿宋" w:hAnsi="仿宋" w:eastAsia="仿宋" w:cs="仿宋"/>
                <w:color w:val="auto"/>
                <w:highlight w:val="none"/>
              </w:rPr>
            </w:pPr>
          </w:p>
        </w:tc>
        <w:tc>
          <w:tcPr>
            <w:tcW w:w="675" w:type="dxa"/>
          </w:tcPr>
          <w:p w14:paraId="0E7D490A">
            <w:pPr>
              <w:rPr>
                <w:rFonts w:ascii="仿宋" w:hAnsi="仿宋" w:eastAsia="仿宋" w:cs="仿宋"/>
                <w:color w:val="auto"/>
                <w:highlight w:val="none"/>
              </w:rPr>
            </w:pPr>
          </w:p>
        </w:tc>
        <w:tc>
          <w:tcPr>
            <w:tcW w:w="645" w:type="dxa"/>
          </w:tcPr>
          <w:p w14:paraId="4B6F6248">
            <w:pPr>
              <w:rPr>
                <w:rFonts w:ascii="仿宋" w:hAnsi="仿宋" w:eastAsia="仿宋" w:cs="仿宋"/>
                <w:color w:val="auto"/>
                <w:highlight w:val="none"/>
              </w:rPr>
            </w:pPr>
          </w:p>
        </w:tc>
        <w:tc>
          <w:tcPr>
            <w:tcW w:w="975" w:type="dxa"/>
          </w:tcPr>
          <w:p w14:paraId="36ADDBD1">
            <w:pPr>
              <w:rPr>
                <w:rFonts w:ascii="仿宋" w:hAnsi="仿宋" w:eastAsia="仿宋" w:cs="仿宋"/>
                <w:color w:val="auto"/>
                <w:highlight w:val="none"/>
              </w:rPr>
            </w:pPr>
          </w:p>
        </w:tc>
        <w:tc>
          <w:tcPr>
            <w:tcW w:w="750" w:type="dxa"/>
          </w:tcPr>
          <w:p w14:paraId="0031CA9C">
            <w:pPr>
              <w:rPr>
                <w:rFonts w:ascii="仿宋" w:hAnsi="仿宋" w:eastAsia="仿宋" w:cs="仿宋"/>
                <w:color w:val="auto"/>
                <w:highlight w:val="none"/>
              </w:rPr>
            </w:pPr>
          </w:p>
        </w:tc>
        <w:tc>
          <w:tcPr>
            <w:tcW w:w="1033" w:type="dxa"/>
          </w:tcPr>
          <w:p w14:paraId="1CE30F03">
            <w:pPr>
              <w:rPr>
                <w:rFonts w:ascii="仿宋" w:hAnsi="仿宋" w:eastAsia="仿宋" w:cs="仿宋"/>
                <w:color w:val="auto"/>
                <w:highlight w:val="none"/>
              </w:rPr>
            </w:pPr>
          </w:p>
        </w:tc>
        <w:tc>
          <w:tcPr>
            <w:tcW w:w="975" w:type="dxa"/>
          </w:tcPr>
          <w:p w14:paraId="675E34B6">
            <w:pPr>
              <w:rPr>
                <w:rFonts w:ascii="仿宋" w:hAnsi="仿宋" w:eastAsia="仿宋" w:cs="仿宋"/>
                <w:color w:val="auto"/>
                <w:highlight w:val="none"/>
              </w:rPr>
            </w:pPr>
          </w:p>
        </w:tc>
        <w:tc>
          <w:tcPr>
            <w:tcW w:w="846" w:type="dxa"/>
          </w:tcPr>
          <w:p w14:paraId="5D90266D">
            <w:pPr>
              <w:rPr>
                <w:rFonts w:ascii="仿宋" w:hAnsi="仿宋" w:eastAsia="仿宋" w:cs="仿宋"/>
                <w:color w:val="auto"/>
                <w:highlight w:val="none"/>
              </w:rPr>
            </w:pPr>
          </w:p>
        </w:tc>
      </w:tr>
    </w:tbl>
    <w:p w14:paraId="51682A4B">
      <w:pPr>
        <w:spacing w:line="360" w:lineRule="auto"/>
        <w:rPr>
          <w:rFonts w:ascii="仿宋" w:hAnsi="仿宋" w:eastAsia="仿宋" w:cs="仿宋"/>
          <w:color w:val="auto"/>
          <w:sz w:val="24"/>
          <w:highlight w:val="none"/>
          <w:lang w:val="zh-CN"/>
        </w:rPr>
      </w:pPr>
      <w:r>
        <w:rPr>
          <w:rFonts w:hint="eastAsia" w:ascii="仿宋" w:hAnsi="仿宋" w:eastAsia="仿宋" w:cs="仿宋"/>
          <w:color w:val="auto"/>
          <w:sz w:val="24"/>
          <w:highlight w:val="none"/>
          <w:lang w:val="zh-CN"/>
        </w:rPr>
        <w:t>供应商名称：</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szCs w:val="24"/>
          <w:highlight w:val="none"/>
          <w:lang w:val="zh-CN"/>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szCs w:val="24"/>
          <w:highlight w:val="none"/>
          <w:lang w:val="zh-CN"/>
        </w:rPr>
        <w:t>）</w:t>
      </w:r>
    </w:p>
    <w:p w14:paraId="16F2DC18">
      <w:pPr>
        <w:rPr>
          <w:rFonts w:ascii="仿宋" w:hAnsi="仿宋" w:eastAsia="仿宋" w:cs="仿宋"/>
          <w:color w:val="auto"/>
          <w:highlight w:val="none"/>
        </w:rPr>
      </w:pPr>
    </w:p>
    <w:p w14:paraId="610F16C7">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说明</w:t>
      </w:r>
    </w:p>
    <w:p w14:paraId="545459EC">
      <w:pPr>
        <w:rPr>
          <w:rFonts w:ascii="仿宋" w:hAnsi="仿宋" w:eastAsia="仿宋" w:cs="仿宋"/>
          <w:b/>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b/>
          <w:color w:val="auto"/>
          <w:sz w:val="24"/>
          <w:szCs w:val="24"/>
          <w:highlight w:val="none"/>
        </w:rPr>
        <w:t>“备注”栏，可填写该人员擅长的工作种类；</w:t>
      </w:r>
    </w:p>
    <w:p w14:paraId="5E4B4ED1">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2、如果行数不够，请自行增加。</w:t>
      </w:r>
    </w:p>
    <w:p w14:paraId="46A17D32">
      <w:pP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3、所有职称、证明均需要提供有效的复印件（扫描件）。</w:t>
      </w:r>
    </w:p>
    <w:p w14:paraId="532D1B46">
      <w:pPr>
        <w:rPr>
          <w:rFonts w:ascii="仿宋" w:hAnsi="仿宋" w:eastAsia="仿宋" w:cs="仿宋"/>
          <w:color w:val="auto"/>
          <w:sz w:val="24"/>
          <w:szCs w:val="24"/>
          <w:highlight w:val="none"/>
        </w:rPr>
      </w:pPr>
    </w:p>
    <w:p w14:paraId="14DAEFF6">
      <w:pPr>
        <w:pStyle w:val="24"/>
        <w:rPr>
          <w:rFonts w:ascii="仿宋" w:hAnsi="仿宋" w:eastAsia="仿宋" w:cs="仿宋"/>
          <w:color w:val="auto"/>
          <w:highlight w:val="none"/>
        </w:rPr>
      </w:pPr>
    </w:p>
    <w:p w14:paraId="2CE6853B">
      <w:pPr>
        <w:pStyle w:val="24"/>
        <w:rPr>
          <w:rFonts w:ascii="仿宋" w:hAnsi="仿宋" w:eastAsia="仿宋" w:cs="仿宋"/>
          <w:color w:val="auto"/>
          <w:highlight w:val="none"/>
        </w:rPr>
      </w:pPr>
    </w:p>
    <w:p w14:paraId="6739CBFF">
      <w:pPr>
        <w:pStyle w:val="24"/>
        <w:rPr>
          <w:rFonts w:ascii="仿宋" w:hAnsi="仿宋" w:eastAsia="仿宋" w:cs="仿宋"/>
          <w:color w:val="auto"/>
          <w:highlight w:val="none"/>
        </w:rPr>
      </w:pPr>
    </w:p>
    <w:p w14:paraId="7B02B3D1">
      <w:pPr>
        <w:pStyle w:val="24"/>
        <w:rPr>
          <w:rFonts w:ascii="仿宋" w:hAnsi="仿宋" w:eastAsia="仿宋" w:cs="仿宋"/>
          <w:color w:val="auto"/>
          <w:highlight w:val="none"/>
        </w:rPr>
      </w:pPr>
    </w:p>
    <w:p w14:paraId="0AD01B72">
      <w:pPr>
        <w:pStyle w:val="24"/>
        <w:rPr>
          <w:rFonts w:ascii="仿宋" w:hAnsi="仿宋" w:eastAsia="仿宋" w:cs="仿宋"/>
          <w:color w:val="auto"/>
          <w:highlight w:val="none"/>
        </w:rPr>
      </w:pPr>
    </w:p>
    <w:p w14:paraId="2D8F0532">
      <w:pPr>
        <w:pStyle w:val="24"/>
        <w:rPr>
          <w:rFonts w:ascii="仿宋" w:hAnsi="仿宋" w:eastAsia="仿宋" w:cs="仿宋"/>
          <w:color w:val="auto"/>
          <w:highlight w:val="none"/>
        </w:rPr>
      </w:pPr>
    </w:p>
    <w:p w14:paraId="4B65A3FD">
      <w:pPr>
        <w:pStyle w:val="24"/>
        <w:rPr>
          <w:rFonts w:ascii="仿宋" w:hAnsi="仿宋" w:eastAsia="仿宋" w:cs="仿宋"/>
          <w:color w:val="auto"/>
          <w:highlight w:val="none"/>
        </w:rPr>
      </w:pPr>
    </w:p>
    <w:p w14:paraId="4FC971C9">
      <w:pPr>
        <w:pStyle w:val="24"/>
        <w:rPr>
          <w:rFonts w:ascii="仿宋" w:hAnsi="仿宋" w:eastAsia="仿宋" w:cs="仿宋"/>
          <w:color w:val="auto"/>
          <w:highlight w:val="none"/>
        </w:rPr>
      </w:pPr>
    </w:p>
    <w:p w14:paraId="3E368640">
      <w:pPr>
        <w:pStyle w:val="24"/>
        <w:rPr>
          <w:rFonts w:ascii="仿宋" w:hAnsi="仿宋" w:eastAsia="仿宋" w:cs="仿宋"/>
          <w:color w:val="auto"/>
          <w:highlight w:val="none"/>
        </w:rPr>
      </w:pPr>
    </w:p>
    <w:p w14:paraId="4EE7CA0C">
      <w:pPr>
        <w:pStyle w:val="24"/>
        <w:rPr>
          <w:rFonts w:ascii="仿宋" w:hAnsi="仿宋" w:eastAsia="仿宋" w:cs="仿宋"/>
          <w:color w:val="auto"/>
          <w:highlight w:val="none"/>
        </w:rPr>
      </w:pPr>
    </w:p>
    <w:p w14:paraId="60DDF584">
      <w:pPr>
        <w:pStyle w:val="24"/>
        <w:rPr>
          <w:rFonts w:ascii="仿宋" w:hAnsi="仿宋" w:eastAsia="仿宋" w:cs="仿宋"/>
          <w:color w:val="auto"/>
          <w:highlight w:val="none"/>
        </w:rPr>
      </w:pPr>
    </w:p>
    <w:p w14:paraId="1AFAB892">
      <w:pPr>
        <w:pStyle w:val="24"/>
        <w:rPr>
          <w:rFonts w:ascii="仿宋" w:hAnsi="仿宋" w:eastAsia="仿宋" w:cs="仿宋"/>
          <w:color w:val="auto"/>
          <w:highlight w:val="none"/>
        </w:rPr>
      </w:pPr>
    </w:p>
    <w:p w14:paraId="2F206D87">
      <w:pPr>
        <w:rPr>
          <w:rFonts w:ascii="仿宋" w:hAnsi="仿宋" w:eastAsia="仿宋" w:cs="仿宋"/>
          <w:color w:val="auto"/>
          <w:highlight w:val="none"/>
        </w:rPr>
      </w:pPr>
    </w:p>
    <w:p w14:paraId="3E61F994">
      <w:pPr>
        <w:rPr>
          <w:rFonts w:ascii="仿宋" w:hAnsi="仿宋" w:eastAsia="仿宋" w:cs="仿宋"/>
          <w:color w:val="auto"/>
          <w:highlight w:val="none"/>
        </w:rPr>
      </w:pPr>
      <w:bookmarkStart w:id="200" w:name="_Toc11246"/>
      <w:bookmarkStart w:id="201" w:name="_Toc4601"/>
      <w:bookmarkStart w:id="202" w:name="_Toc8872"/>
      <w:bookmarkStart w:id="203" w:name="_Toc16747"/>
      <w:bookmarkStart w:id="204" w:name="_Toc18085"/>
      <w:bookmarkStart w:id="205" w:name="_Toc5567"/>
      <w:r>
        <w:rPr>
          <w:rFonts w:hint="eastAsia" w:ascii="仿宋" w:hAnsi="仿宋" w:eastAsia="仿宋" w:cs="仿宋"/>
          <w:color w:val="auto"/>
          <w:highlight w:val="none"/>
        </w:rPr>
        <w:br w:type="page"/>
      </w:r>
    </w:p>
    <w:p w14:paraId="39A0068D">
      <w:pPr>
        <w:spacing w:line="360" w:lineRule="auto"/>
        <w:outlineLvl w:val="2"/>
        <w:rPr>
          <w:rFonts w:ascii="仿宋" w:hAnsi="仿宋" w:eastAsia="仿宋" w:cs="仿宋"/>
          <w:b/>
          <w:bCs/>
          <w:color w:val="auto"/>
          <w:sz w:val="24"/>
          <w:szCs w:val="22"/>
          <w:highlight w:val="none"/>
        </w:rPr>
      </w:pPr>
      <w:bookmarkStart w:id="206" w:name="_Toc28810"/>
      <w:r>
        <w:rPr>
          <w:rFonts w:hint="eastAsia" w:ascii="仿宋" w:hAnsi="仿宋" w:eastAsia="仿宋" w:cs="仿宋"/>
          <w:b/>
          <w:bCs/>
          <w:color w:val="auto"/>
          <w:sz w:val="24"/>
          <w:szCs w:val="22"/>
          <w:highlight w:val="none"/>
        </w:rPr>
        <w:t>附件二、供应商类似业绩一览表</w:t>
      </w:r>
      <w:bookmarkEnd w:id="200"/>
      <w:bookmarkEnd w:id="201"/>
      <w:bookmarkEnd w:id="202"/>
      <w:bookmarkEnd w:id="203"/>
      <w:bookmarkEnd w:id="206"/>
    </w:p>
    <w:p w14:paraId="1436E261">
      <w:pPr>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供应商类似业绩情况表</w:t>
      </w:r>
    </w:p>
    <w:p w14:paraId="3FA7395C">
      <w:pPr>
        <w:pStyle w:val="60"/>
        <w:ind w:firstLine="0" w:firstLineChars="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项目名称：雨花台区文化和旅游局雨花非遗・艺启同行—雨花台区非遗推广项目</w:t>
      </w:r>
    </w:p>
    <w:p w14:paraId="051945B9">
      <w:pPr>
        <w:pStyle w:val="60"/>
        <w:ind w:firstLine="0" w:firstLineChars="0"/>
        <w:jc w:val="left"/>
        <w:rPr>
          <w:rFonts w:ascii="仿宋" w:hAnsi="仿宋" w:eastAsia="仿宋" w:cs="仿宋"/>
          <w:color w:val="auto"/>
          <w:kern w:val="0"/>
          <w:sz w:val="24"/>
          <w:szCs w:val="24"/>
          <w:highlight w:val="none"/>
          <w:lang w:val="zh-CN"/>
        </w:rPr>
      </w:pPr>
      <w:r>
        <w:rPr>
          <w:rFonts w:hint="eastAsia" w:ascii="仿宋" w:hAnsi="仿宋" w:eastAsia="仿宋" w:cs="仿宋"/>
          <w:color w:val="auto"/>
          <w:kern w:val="0"/>
          <w:sz w:val="24"/>
          <w:szCs w:val="24"/>
          <w:highlight w:val="none"/>
          <w:lang w:val="zh-CN"/>
        </w:rPr>
        <w:t xml:space="preserve">项目编号：YCZX-CS-202501081 </w:t>
      </w:r>
    </w:p>
    <w:tbl>
      <w:tblPr>
        <w:tblStyle w:val="6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8"/>
        <w:gridCol w:w="1394"/>
        <w:gridCol w:w="1076"/>
        <w:gridCol w:w="1076"/>
        <w:gridCol w:w="1786"/>
        <w:gridCol w:w="1500"/>
        <w:gridCol w:w="1016"/>
      </w:tblGrid>
      <w:tr w14:paraId="1A8C6D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vAlign w:val="center"/>
          </w:tcPr>
          <w:p w14:paraId="7061A890">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序号</w:t>
            </w:r>
          </w:p>
        </w:tc>
        <w:tc>
          <w:tcPr>
            <w:tcW w:w="1394" w:type="dxa"/>
            <w:vAlign w:val="center"/>
          </w:tcPr>
          <w:p w14:paraId="5D0EE482">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项目名称</w:t>
            </w:r>
          </w:p>
        </w:tc>
        <w:tc>
          <w:tcPr>
            <w:tcW w:w="1076" w:type="dxa"/>
            <w:vAlign w:val="center"/>
          </w:tcPr>
          <w:p w14:paraId="1E5A0F10">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业主单位</w:t>
            </w:r>
          </w:p>
        </w:tc>
        <w:tc>
          <w:tcPr>
            <w:tcW w:w="1076" w:type="dxa"/>
            <w:vAlign w:val="center"/>
          </w:tcPr>
          <w:p w14:paraId="6BC70E37">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项目概况</w:t>
            </w:r>
          </w:p>
        </w:tc>
        <w:tc>
          <w:tcPr>
            <w:tcW w:w="1786" w:type="dxa"/>
            <w:vAlign w:val="center"/>
          </w:tcPr>
          <w:p w14:paraId="7140FEA2">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签约及服务时间</w:t>
            </w:r>
          </w:p>
        </w:tc>
        <w:tc>
          <w:tcPr>
            <w:tcW w:w="1500" w:type="dxa"/>
            <w:vAlign w:val="center"/>
          </w:tcPr>
          <w:p w14:paraId="4818DEC2">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联系人及电话</w:t>
            </w:r>
          </w:p>
        </w:tc>
        <w:tc>
          <w:tcPr>
            <w:tcW w:w="1016" w:type="dxa"/>
            <w:vAlign w:val="center"/>
          </w:tcPr>
          <w:p w14:paraId="4536E9C1">
            <w:pPr>
              <w:pStyle w:val="60"/>
              <w:spacing w:line="240" w:lineRule="auto"/>
              <w:ind w:firstLine="0" w:firstLineChars="0"/>
              <w:jc w:val="center"/>
              <w:rPr>
                <w:rFonts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备注</w:t>
            </w:r>
          </w:p>
        </w:tc>
      </w:tr>
      <w:tr w14:paraId="1D8E2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322FEAFA">
            <w:pPr>
              <w:autoSpaceDE w:val="0"/>
              <w:autoSpaceDN w:val="0"/>
              <w:adjustRightInd w:val="0"/>
              <w:rPr>
                <w:rFonts w:ascii="仿宋" w:hAnsi="仿宋" w:eastAsia="仿宋" w:cs="仿宋"/>
                <w:color w:val="auto"/>
                <w:sz w:val="24"/>
                <w:highlight w:val="none"/>
              </w:rPr>
            </w:pPr>
          </w:p>
        </w:tc>
        <w:tc>
          <w:tcPr>
            <w:tcW w:w="1394" w:type="dxa"/>
          </w:tcPr>
          <w:p w14:paraId="2F0EA38A">
            <w:pPr>
              <w:autoSpaceDE w:val="0"/>
              <w:autoSpaceDN w:val="0"/>
              <w:adjustRightInd w:val="0"/>
              <w:rPr>
                <w:rFonts w:ascii="仿宋" w:hAnsi="仿宋" w:eastAsia="仿宋" w:cs="仿宋"/>
                <w:color w:val="auto"/>
                <w:sz w:val="24"/>
                <w:highlight w:val="none"/>
              </w:rPr>
            </w:pPr>
          </w:p>
        </w:tc>
        <w:tc>
          <w:tcPr>
            <w:tcW w:w="1076" w:type="dxa"/>
          </w:tcPr>
          <w:p w14:paraId="510CE4C9">
            <w:pPr>
              <w:autoSpaceDE w:val="0"/>
              <w:autoSpaceDN w:val="0"/>
              <w:adjustRightInd w:val="0"/>
              <w:rPr>
                <w:rFonts w:ascii="仿宋" w:hAnsi="仿宋" w:eastAsia="仿宋" w:cs="仿宋"/>
                <w:color w:val="auto"/>
                <w:sz w:val="24"/>
                <w:highlight w:val="none"/>
              </w:rPr>
            </w:pPr>
          </w:p>
        </w:tc>
        <w:tc>
          <w:tcPr>
            <w:tcW w:w="1076" w:type="dxa"/>
          </w:tcPr>
          <w:p w14:paraId="72E583D9">
            <w:pPr>
              <w:autoSpaceDE w:val="0"/>
              <w:autoSpaceDN w:val="0"/>
              <w:adjustRightInd w:val="0"/>
              <w:rPr>
                <w:rFonts w:ascii="仿宋" w:hAnsi="仿宋" w:eastAsia="仿宋" w:cs="仿宋"/>
                <w:color w:val="auto"/>
                <w:sz w:val="24"/>
                <w:highlight w:val="none"/>
              </w:rPr>
            </w:pPr>
          </w:p>
        </w:tc>
        <w:tc>
          <w:tcPr>
            <w:tcW w:w="1786" w:type="dxa"/>
          </w:tcPr>
          <w:p w14:paraId="1B9E0F41">
            <w:pPr>
              <w:autoSpaceDE w:val="0"/>
              <w:autoSpaceDN w:val="0"/>
              <w:adjustRightInd w:val="0"/>
              <w:rPr>
                <w:rFonts w:ascii="仿宋" w:hAnsi="仿宋" w:eastAsia="仿宋" w:cs="仿宋"/>
                <w:color w:val="auto"/>
                <w:sz w:val="24"/>
                <w:highlight w:val="none"/>
              </w:rPr>
            </w:pPr>
          </w:p>
        </w:tc>
        <w:tc>
          <w:tcPr>
            <w:tcW w:w="1500" w:type="dxa"/>
          </w:tcPr>
          <w:p w14:paraId="14BAF678">
            <w:pPr>
              <w:autoSpaceDE w:val="0"/>
              <w:autoSpaceDN w:val="0"/>
              <w:adjustRightInd w:val="0"/>
              <w:rPr>
                <w:rFonts w:ascii="仿宋" w:hAnsi="仿宋" w:eastAsia="仿宋" w:cs="仿宋"/>
                <w:color w:val="auto"/>
                <w:sz w:val="24"/>
                <w:highlight w:val="none"/>
              </w:rPr>
            </w:pPr>
          </w:p>
        </w:tc>
        <w:tc>
          <w:tcPr>
            <w:tcW w:w="1016" w:type="dxa"/>
          </w:tcPr>
          <w:p w14:paraId="148C0FDB">
            <w:pPr>
              <w:autoSpaceDE w:val="0"/>
              <w:autoSpaceDN w:val="0"/>
              <w:adjustRightInd w:val="0"/>
              <w:rPr>
                <w:rFonts w:ascii="仿宋" w:hAnsi="仿宋" w:eastAsia="仿宋" w:cs="仿宋"/>
                <w:color w:val="auto"/>
                <w:sz w:val="24"/>
                <w:highlight w:val="none"/>
              </w:rPr>
            </w:pPr>
          </w:p>
        </w:tc>
      </w:tr>
      <w:tr w14:paraId="4281A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10ED9FF5">
            <w:pPr>
              <w:autoSpaceDE w:val="0"/>
              <w:autoSpaceDN w:val="0"/>
              <w:adjustRightInd w:val="0"/>
              <w:rPr>
                <w:rFonts w:ascii="仿宋" w:hAnsi="仿宋" w:eastAsia="仿宋" w:cs="仿宋"/>
                <w:color w:val="auto"/>
                <w:sz w:val="24"/>
                <w:highlight w:val="none"/>
              </w:rPr>
            </w:pPr>
          </w:p>
        </w:tc>
        <w:tc>
          <w:tcPr>
            <w:tcW w:w="1394" w:type="dxa"/>
          </w:tcPr>
          <w:p w14:paraId="104835D0">
            <w:pPr>
              <w:autoSpaceDE w:val="0"/>
              <w:autoSpaceDN w:val="0"/>
              <w:adjustRightInd w:val="0"/>
              <w:rPr>
                <w:rFonts w:ascii="仿宋" w:hAnsi="仿宋" w:eastAsia="仿宋" w:cs="仿宋"/>
                <w:color w:val="auto"/>
                <w:sz w:val="24"/>
                <w:highlight w:val="none"/>
              </w:rPr>
            </w:pPr>
          </w:p>
        </w:tc>
        <w:tc>
          <w:tcPr>
            <w:tcW w:w="1076" w:type="dxa"/>
          </w:tcPr>
          <w:p w14:paraId="5A37D627">
            <w:pPr>
              <w:autoSpaceDE w:val="0"/>
              <w:autoSpaceDN w:val="0"/>
              <w:adjustRightInd w:val="0"/>
              <w:rPr>
                <w:rFonts w:ascii="仿宋" w:hAnsi="仿宋" w:eastAsia="仿宋" w:cs="仿宋"/>
                <w:color w:val="auto"/>
                <w:sz w:val="24"/>
                <w:highlight w:val="none"/>
              </w:rPr>
            </w:pPr>
          </w:p>
        </w:tc>
        <w:tc>
          <w:tcPr>
            <w:tcW w:w="1076" w:type="dxa"/>
          </w:tcPr>
          <w:p w14:paraId="31642C71">
            <w:pPr>
              <w:autoSpaceDE w:val="0"/>
              <w:autoSpaceDN w:val="0"/>
              <w:adjustRightInd w:val="0"/>
              <w:rPr>
                <w:rFonts w:ascii="仿宋" w:hAnsi="仿宋" w:eastAsia="仿宋" w:cs="仿宋"/>
                <w:color w:val="auto"/>
                <w:sz w:val="24"/>
                <w:highlight w:val="none"/>
              </w:rPr>
            </w:pPr>
          </w:p>
        </w:tc>
        <w:tc>
          <w:tcPr>
            <w:tcW w:w="1786" w:type="dxa"/>
          </w:tcPr>
          <w:p w14:paraId="1186E000">
            <w:pPr>
              <w:autoSpaceDE w:val="0"/>
              <w:autoSpaceDN w:val="0"/>
              <w:adjustRightInd w:val="0"/>
              <w:rPr>
                <w:rFonts w:ascii="仿宋" w:hAnsi="仿宋" w:eastAsia="仿宋" w:cs="仿宋"/>
                <w:color w:val="auto"/>
                <w:sz w:val="24"/>
                <w:highlight w:val="none"/>
              </w:rPr>
            </w:pPr>
          </w:p>
        </w:tc>
        <w:tc>
          <w:tcPr>
            <w:tcW w:w="1500" w:type="dxa"/>
          </w:tcPr>
          <w:p w14:paraId="1F5BFC1F">
            <w:pPr>
              <w:autoSpaceDE w:val="0"/>
              <w:autoSpaceDN w:val="0"/>
              <w:adjustRightInd w:val="0"/>
              <w:rPr>
                <w:rFonts w:ascii="仿宋" w:hAnsi="仿宋" w:eastAsia="仿宋" w:cs="仿宋"/>
                <w:color w:val="auto"/>
                <w:sz w:val="24"/>
                <w:highlight w:val="none"/>
              </w:rPr>
            </w:pPr>
          </w:p>
        </w:tc>
        <w:tc>
          <w:tcPr>
            <w:tcW w:w="1016" w:type="dxa"/>
          </w:tcPr>
          <w:p w14:paraId="6CEC1D03">
            <w:pPr>
              <w:autoSpaceDE w:val="0"/>
              <w:autoSpaceDN w:val="0"/>
              <w:adjustRightInd w:val="0"/>
              <w:rPr>
                <w:rFonts w:ascii="仿宋" w:hAnsi="仿宋" w:eastAsia="仿宋" w:cs="仿宋"/>
                <w:color w:val="auto"/>
                <w:sz w:val="24"/>
                <w:highlight w:val="none"/>
              </w:rPr>
            </w:pPr>
          </w:p>
        </w:tc>
      </w:tr>
      <w:tr w14:paraId="22CBD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77F2961E">
            <w:pPr>
              <w:autoSpaceDE w:val="0"/>
              <w:autoSpaceDN w:val="0"/>
              <w:adjustRightInd w:val="0"/>
              <w:rPr>
                <w:rFonts w:ascii="仿宋" w:hAnsi="仿宋" w:eastAsia="仿宋" w:cs="仿宋"/>
                <w:color w:val="auto"/>
                <w:sz w:val="24"/>
                <w:highlight w:val="none"/>
              </w:rPr>
            </w:pPr>
          </w:p>
        </w:tc>
        <w:tc>
          <w:tcPr>
            <w:tcW w:w="1394" w:type="dxa"/>
          </w:tcPr>
          <w:p w14:paraId="58561F22">
            <w:pPr>
              <w:autoSpaceDE w:val="0"/>
              <w:autoSpaceDN w:val="0"/>
              <w:adjustRightInd w:val="0"/>
              <w:rPr>
                <w:rFonts w:ascii="仿宋" w:hAnsi="仿宋" w:eastAsia="仿宋" w:cs="仿宋"/>
                <w:color w:val="auto"/>
                <w:sz w:val="24"/>
                <w:highlight w:val="none"/>
              </w:rPr>
            </w:pPr>
          </w:p>
        </w:tc>
        <w:tc>
          <w:tcPr>
            <w:tcW w:w="1076" w:type="dxa"/>
          </w:tcPr>
          <w:p w14:paraId="5E34BA55">
            <w:pPr>
              <w:autoSpaceDE w:val="0"/>
              <w:autoSpaceDN w:val="0"/>
              <w:adjustRightInd w:val="0"/>
              <w:rPr>
                <w:rFonts w:ascii="仿宋" w:hAnsi="仿宋" w:eastAsia="仿宋" w:cs="仿宋"/>
                <w:color w:val="auto"/>
                <w:sz w:val="24"/>
                <w:highlight w:val="none"/>
              </w:rPr>
            </w:pPr>
          </w:p>
        </w:tc>
        <w:tc>
          <w:tcPr>
            <w:tcW w:w="1076" w:type="dxa"/>
          </w:tcPr>
          <w:p w14:paraId="666BB227">
            <w:pPr>
              <w:autoSpaceDE w:val="0"/>
              <w:autoSpaceDN w:val="0"/>
              <w:adjustRightInd w:val="0"/>
              <w:rPr>
                <w:rFonts w:ascii="仿宋" w:hAnsi="仿宋" w:eastAsia="仿宋" w:cs="仿宋"/>
                <w:color w:val="auto"/>
                <w:sz w:val="24"/>
                <w:highlight w:val="none"/>
              </w:rPr>
            </w:pPr>
          </w:p>
        </w:tc>
        <w:tc>
          <w:tcPr>
            <w:tcW w:w="1786" w:type="dxa"/>
          </w:tcPr>
          <w:p w14:paraId="4A237D72">
            <w:pPr>
              <w:autoSpaceDE w:val="0"/>
              <w:autoSpaceDN w:val="0"/>
              <w:adjustRightInd w:val="0"/>
              <w:rPr>
                <w:rFonts w:ascii="仿宋" w:hAnsi="仿宋" w:eastAsia="仿宋" w:cs="仿宋"/>
                <w:color w:val="auto"/>
                <w:sz w:val="24"/>
                <w:highlight w:val="none"/>
              </w:rPr>
            </w:pPr>
          </w:p>
        </w:tc>
        <w:tc>
          <w:tcPr>
            <w:tcW w:w="1500" w:type="dxa"/>
          </w:tcPr>
          <w:p w14:paraId="20F76F18">
            <w:pPr>
              <w:autoSpaceDE w:val="0"/>
              <w:autoSpaceDN w:val="0"/>
              <w:adjustRightInd w:val="0"/>
              <w:rPr>
                <w:rFonts w:ascii="仿宋" w:hAnsi="仿宋" w:eastAsia="仿宋" w:cs="仿宋"/>
                <w:color w:val="auto"/>
                <w:sz w:val="24"/>
                <w:highlight w:val="none"/>
              </w:rPr>
            </w:pPr>
          </w:p>
        </w:tc>
        <w:tc>
          <w:tcPr>
            <w:tcW w:w="1016" w:type="dxa"/>
          </w:tcPr>
          <w:p w14:paraId="4A3666F8">
            <w:pPr>
              <w:autoSpaceDE w:val="0"/>
              <w:autoSpaceDN w:val="0"/>
              <w:adjustRightInd w:val="0"/>
              <w:rPr>
                <w:rFonts w:ascii="仿宋" w:hAnsi="仿宋" w:eastAsia="仿宋" w:cs="仿宋"/>
                <w:color w:val="auto"/>
                <w:sz w:val="24"/>
                <w:highlight w:val="none"/>
              </w:rPr>
            </w:pPr>
          </w:p>
        </w:tc>
      </w:tr>
      <w:tr w14:paraId="6C1773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72999DD0">
            <w:pPr>
              <w:autoSpaceDE w:val="0"/>
              <w:autoSpaceDN w:val="0"/>
              <w:adjustRightInd w:val="0"/>
              <w:rPr>
                <w:rFonts w:ascii="仿宋" w:hAnsi="仿宋" w:eastAsia="仿宋" w:cs="仿宋"/>
                <w:color w:val="auto"/>
                <w:sz w:val="24"/>
                <w:highlight w:val="none"/>
              </w:rPr>
            </w:pPr>
          </w:p>
        </w:tc>
        <w:tc>
          <w:tcPr>
            <w:tcW w:w="1394" w:type="dxa"/>
          </w:tcPr>
          <w:p w14:paraId="4D1C9705">
            <w:pPr>
              <w:autoSpaceDE w:val="0"/>
              <w:autoSpaceDN w:val="0"/>
              <w:adjustRightInd w:val="0"/>
              <w:rPr>
                <w:rFonts w:ascii="仿宋" w:hAnsi="仿宋" w:eastAsia="仿宋" w:cs="仿宋"/>
                <w:color w:val="auto"/>
                <w:sz w:val="24"/>
                <w:highlight w:val="none"/>
              </w:rPr>
            </w:pPr>
          </w:p>
        </w:tc>
        <w:tc>
          <w:tcPr>
            <w:tcW w:w="1076" w:type="dxa"/>
          </w:tcPr>
          <w:p w14:paraId="4772242F">
            <w:pPr>
              <w:autoSpaceDE w:val="0"/>
              <w:autoSpaceDN w:val="0"/>
              <w:adjustRightInd w:val="0"/>
              <w:rPr>
                <w:rFonts w:ascii="仿宋" w:hAnsi="仿宋" w:eastAsia="仿宋" w:cs="仿宋"/>
                <w:color w:val="auto"/>
                <w:sz w:val="24"/>
                <w:highlight w:val="none"/>
              </w:rPr>
            </w:pPr>
          </w:p>
        </w:tc>
        <w:tc>
          <w:tcPr>
            <w:tcW w:w="1076" w:type="dxa"/>
          </w:tcPr>
          <w:p w14:paraId="4D487C6E">
            <w:pPr>
              <w:autoSpaceDE w:val="0"/>
              <w:autoSpaceDN w:val="0"/>
              <w:adjustRightInd w:val="0"/>
              <w:rPr>
                <w:rFonts w:ascii="仿宋" w:hAnsi="仿宋" w:eastAsia="仿宋" w:cs="仿宋"/>
                <w:color w:val="auto"/>
                <w:sz w:val="24"/>
                <w:highlight w:val="none"/>
              </w:rPr>
            </w:pPr>
          </w:p>
        </w:tc>
        <w:tc>
          <w:tcPr>
            <w:tcW w:w="1786" w:type="dxa"/>
          </w:tcPr>
          <w:p w14:paraId="415B791C">
            <w:pPr>
              <w:autoSpaceDE w:val="0"/>
              <w:autoSpaceDN w:val="0"/>
              <w:adjustRightInd w:val="0"/>
              <w:rPr>
                <w:rFonts w:ascii="仿宋" w:hAnsi="仿宋" w:eastAsia="仿宋" w:cs="仿宋"/>
                <w:color w:val="auto"/>
                <w:sz w:val="24"/>
                <w:highlight w:val="none"/>
              </w:rPr>
            </w:pPr>
          </w:p>
        </w:tc>
        <w:tc>
          <w:tcPr>
            <w:tcW w:w="1500" w:type="dxa"/>
          </w:tcPr>
          <w:p w14:paraId="343A9A90">
            <w:pPr>
              <w:autoSpaceDE w:val="0"/>
              <w:autoSpaceDN w:val="0"/>
              <w:adjustRightInd w:val="0"/>
              <w:rPr>
                <w:rFonts w:ascii="仿宋" w:hAnsi="仿宋" w:eastAsia="仿宋" w:cs="仿宋"/>
                <w:color w:val="auto"/>
                <w:sz w:val="24"/>
                <w:highlight w:val="none"/>
              </w:rPr>
            </w:pPr>
          </w:p>
        </w:tc>
        <w:tc>
          <w:tcPr>
            <w:tcW w:w="1016" w:type="dxa"/>
          </w:tcPr>
          <w:p w14:paraId="1A5F2F91">
            <w:pPr>
              <w:autoSpaceDE w:val="0"/>
              <w:autoSpaceDN w:val="0"/>
              <w:adjustRightInd w:val="0"/>
              <w:rPr>
                <w:rFonts w:ascii="仿宋" w:hAnsi="仿宋" w:eastAsia="仿宋" w:cs="仿宋"/>
                <w:color w:val="auto"/>
                <w:sz w:val="24"/>
                <w:highlight w:val="none"/>
              </w:rPr>
            </w:pPr>
          </w:p>
        </w:tc>
      </w:tr>
      <w:tr w14:paraId="323BF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0ED8488D">
            <w:pPr>
              <w:autoSpaceDE w:val="0"/>
              <w:autoSpaceDN w:val="0"/>
              <w:adjustRightInd w:val="0"/>
              <w:rPr>
                <w:rFonts w:ascii="仿宋" w:hAnsi="仿宋" w:eastAsia="仿宋" w:cs="仿宋"/>
                <w:color w:val="auto"/>
                <w:sz w:val="24"/>
                <w:highlight w:val="none"/>
              </w:rPr>
            </w:pPr>
          </w:p>
        </w:tc>
        <w:tc>
          <w:tcPr>
            <w:tcW w:w="1394" w:type="dxa"/>
          </w:tcPr>
          <w:p w14:paraId="777E6D53">
            <w:pPr>
              <w:autoSpaceDE w:val="0"/>
              <w:autoSpaceDN w:val="0"/>
              <w:adjustRightInd w:val="0"/>
              <w:rPr>
                <w:rFonts w:ascii="仿宋" w:hAnsi="仿宋" w:eastAsia="仿宋" w:cs="仿宋"/>
                <w:color w:val="auto"/>
                <w:sz w:val="24"/>
                <w:highlight w:val="none"/>
              </w:rPr>
            </w:pPr>
          </w:p>
        </w:tc>
        <w:tc>
          <w:tcPr>
            <w:tcW w:w="1076" w:type="dxa"/>
          </w:tcPr>
          <w:p w14:paraId="4B4055B5">
            <w:pPr>
              <w:autoSpaceDE w:val="0"/>
              <w:autoSpaceDN w:val="0"/>
              <w:adjustRightInd w:val="0"/>
              <w:rPr>
                <w:rFonts w:ascii="仿宋" w:hAnsi="仿宋" w:eastAsia="仿宋" w:cs="仿宋"/>
                <w:color w:val="auto"/>
                <w:sz w:val="24"/>
                <w:highlight w:val="none"/>
              </w:rPr>
            </w:pPr>
          </w:p>
        </w:tc>
        <w:tc>
          <w:tcPr>
            <w:tcW w:w="1076" w:type="dxa"/>
          </w:tcPr>
          <w:p w14:paraId="176510BC">
            <w:pPr>
              <w:autoSpaceDE w:val="0"/>
              <w:autoSpaceDN w:val="0"/>
              <w:adjustRightInd w:val="0"/>
              <w:rPr>
                <w:rFonts w:ascii="仿宋" w:hAnsi="仿宋" w:eastAsia="仿宋" w:cs="仿宋"/>
                <w:color w:val="auto"/>
                <w:sz w:val="24"/>
                <w:highlight w:val="none"/>
              </w:rPr>
            </w:pPr>
          </w:p>
        </w:tc>
        <w:tc>
          <w:tcPr>
            <w:tcW w:w="1786" w:type="dxa"/>
          </w:tcPr>
          <w:p w14:paraId="190A171A">
            <w:pPr>
              <w:autoSpaceDE w:val="0"/>
              <w:autoSpaceDN w:val="0"/>
              <w:adjustRightInd w:val="0"/>
              <w:rPr>
                <w:rFonts w:ascii="仿宋" w:hAnsi="仿宋" w:eastAsia="仿宋" w:cs="仿宋"/>
                <w:color w:val="auto"/>
                <w:sz w:val="24"/>
                <w:highlight w:val="none"/>
              </w:rPr>
            </w:pPr>
          </w:p>
        </w:tc>
        <w:tc>
          <w:tcPr>
            <w:tcW w:w="1500" w:type="dxa"/>
          </w:tcPr>
          <w:p w14:paraId="53106962">
            <w:pPr>
              <w:autoSpaceDE w:val="0"/>
              <w:autoSpaceDN w:val="0"/>
              <w:adjustRightInd w:val="0"/>
              <w:rPr>
                <w:rFonts w:ascii="仿宋" w:hAnsi="仿宋" w:eastAsia="仿宋" w:cs="仿宋"/>
                <w:color w:val="auto"/>
                <w:sz w:val="24"/>
                <w:highlight w:val="none"/>
              </w:rPr>
            </w:pPr>
          </w:p>
        </w:tc>
        <w:tc>
          <w:tcPr>
            <w:tcW w:w="1016" w:type="dxa"/>
          </w:tcPr>
          <w:p w14:paraId="31670495">
            <w:pPr>
              <w:autoSpaceDE w:val="0"/>
              <w:autoSpaceDN w:val="0"/>
              <w:adjustRightInd w:val="0"/>
              <w:rPr>
                <w:rFonts w:ascii="仿宋" w:hAnsi="仿宋" w:eastAsia="仿宋" w:cs="仿宋"/>
                <w:color w:val="auto"/>
                <w:sz w:val="24"/>
                <w:highlight w:val="none"/>
              </w:rPr>
            </w:pPr>
          </w:p>
        </w:tc>
      </w:tr>
      <w:tr w14:paraId="5FA392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758" w:type="dxa"/>
          </w:tcPr>
          <w:p w14:paraId="16DC07AF">
            <w:pPr>
              <w:autoSpaceDE w:val="0"/>
              <w:autoSpaceDN w:val="0"/>
              <w:adjustRightInd w:val="0"/>
              <w:rPr>
                <w:rFonts w:ascii="仿宋" w:hAnsi="仿宋" w:eastAsia="仿宋" w:cs="仿宋"/>
                <w:color w:val="auto"/>
                <w:sz w:val="24"/>
                <w:highlight w:val="none"/>
              </w:rPr>
            </w:pPr>
          </w:p>
        </w:tc>
        <w:tc>
          <w:tcPr>
            <w:tcW w:w="1394" w:type="dxa"/>
          </w:tcPr>
          <w:p w14:paraId="59EF3BCB">
            <w:pPr>
              <w:autoSpaceDE w:val="0"/>
              <w:autoSpaceDN w:val="0"/>
              <w:adjustRightInd w:val="0"/>
              <w:rPr>
                <w:rFonts w:ascii="仿宋" w:hAnsi="仿宋" w:eastAsia="仿宋" w:cs="仿宋"/>
                <w:color w:val="auto"/>
                <w:sz w:val="24"/>
                <w:highlight w:val="none"/>
              </w:rPr>
            </w:pPr>
          </w:p>
        </w:tc>
        <w:tc>
          <w:tcPr>
            <w:tcW w:w="1076" w:type="dxa"/>
          </w:tcPr>
          <w:p w14:paraId="53B5A1B7">
            <w:pPr>
              <w:autoSpaceDE w:val="0"/>
              <w:autoSpaceDN w:val="0"/>
              <w:adjustRightInd w:val="0"/>
              <w:rPr>
                <w:rFonts w:ascii="仿宋" w:hAnsi="仿宋" w:eastAsia="仿宋" w:cs="仿宋"/>
                <w:color w:val="auto"/>
                <w:sz w:val="24"/>
                <w:highlight w:val="none"/>
              </w:rPr>
            </w:pPr>
          </w:p>
        </w:tc>
        <w:tc>
          <w:tcPr>
            <w:tcW w:w="1076" w:type="dxa"/>
          </w:tcPr>
          <w:p w14:paraId="3E4A12B9">
            <w:pPr>
              <w:autoSpaceDE w:val="0"/>
              <w:autoSpaceDN w:val="0"/>
              <w:adjustRightInd w:val="0"/>
              <w:rPr>
                <w:rFonts w:ascii="仿宋" w:hAnsi="仿宋" w:eastAsia="仿宋" w:cs="仿宋"/>
                <w:color w:val="auto"/>
                <w:sz w:val="24"/>
                <w:highlight w:val="none"/>
              </w:rPr>
            </w:pPr>
          </w:p>
        </w:tc>
        <w:tc>
          <w:tcPr>
            <w:tcW w:w="1786" w:type="dxa"/>
          </w:tcPr>
          <w:p w14:paraId="4CE2FE63">
            <w:pPr>
              <w:autoSpaceDE w:val="0"/>
              <w:autoSpaceDN w:val="0"/>
              <w:adjustRightInd w:val="0"/>
              <w:rPr>
                <w:rFonts w:ascii="仿宋" w:hAnsi="仿宋" w:eastAsia="仿宋" w:cs="仿宋"/>
                <w:color w:val="auto"/>
                <w:sz w:val="24"/>
                <w:highlight w:val="none"/>
              </w:rPr>
            </w:pPr>
          </w:p>
        </w:tc>
        <w:tc>
          <w:tcPr>
            <w:tcW w:w="1500" w:type="dxa"/>
          </w:tcPr>
          <w:p w14:paraId="24707274">
            <w:pPr>
              <w:autoSpaceDE w:val="0"/>
              <w:autoSpaceDN w:val="0"/>
              <w:adjustRightInd w:val="0"/>
              <w:rPr>
                <w:rFonts w:ascii="仿宋" w:hAnsi="仿宋" w:eastAsia="仿宋" w:cs="仿宋"/>
                <w:color w:val="auto"/>
                <w:sz w:val="24"/>
                <w:highlight w:val="none"/>
              </w:rPr>
            </w:pPr>
          </w:p>
        </w:tc>
        <w:tc>
          <w:tcPr>
            <w:tcW w:w="1016" w:type="dxa"/>
          </w:tcPr>
          <w:p w14:paraId="1D9DB11D">
            <w:pPr>
              <w:autoSpaceDE w:val="0"/>
              <w:autoSpaceDN w:val="0"/>
              <w:adjustRightInd w:val="0"/>
              <w:rPr>
                <w:rFonts w:ascii="仿宋" w:hAnsi="仿宋" w:eastAsia="仿宋" w:cs="仿宋"/>
                <w:color w:val="auto"/>
                <w:sz w:val="24"/>
                <w:highlight w:val="none"/>
              </w:rPr>
            </w:pPr>
          </w:p>
        </w:tc>
      </w:tr>
    </w:tbl>
    <w:p w14:paraId="488E4EBD">
      <w:pPr>
        <w:rPr>
          <w:rFonts w:ascii="仿宋" w:hAnsi="仿宋" w:eastAsia="仿宋" w:cs="仿宋"/>
          <w:b/>
          <w:color w:val="auto"/>
          <w:sz w:val="24"/>
          <w:highlight w:val="none"/>
        </w:rPr>
      </w:pPr>
      <w:r>
        <w:rPr>
          <w:rFonts w:hint="eastAsia" w:ascii="仿宋" w:hAnsi="仿宋" w:eastAsia="仿宋" w:cs="仿宋"/>
          <w:color w:val="auto"/>
          <w:sz w:val="24"/>
          <w:highlight w:val="none"/>
        </w:rPr>
        <w:t>供应商名称：</w:t>
      </w:r>
      <w:r>
        <w:rPr>
          <w:rFonts w:hint="eastAsia" w:ascii="仿宋" w:hAnsi="仿宋" w:eastAsia="仿宋" w:cs="仿宋"/>
          <w:color w:val="auto"/>
          <w:sz w:val="24"/>
          <w:highlight w:val="none"/>
          <w:u w:val="single"/>
        </w:rPr>
        <w:t>                               </w:t>
      </w:r>
      <w:r>
        <w:rPr>
          <w:rFonts w:hint="eastAsia" w:ascii="仿宋" w:hAnsi="仿宋" w:eastAsia="仿宋" w:cs="仿宋"/>
          <w:color w:val="auto"/>
          <w:sz w:val="24"/>
          <w:highlight w:val="none"/>
        </w:rPr>
        <w:t>（</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highlight w:val="none"/>
        </w:rPr>
        <w:t>）</w:t>
      </w:r>
    </w:p>
    <w:p w14:paraId="77B21DBD">
      <w:pPr>
        <w:rPr>
          <w:rFonts w:ascii="仿宋" w:hAnsi="仿宋" w:eastAsia="仿宋" w:cs="仿宋"/>
          <w:color w:val="auto"/>
          <w:sz w:val="24"/>
          <w:highlight w:val="none"/>
        </w:rPr>
      </w:pPr>
    </w:p>
    <w:p w14:paraId="4F7C9646">
      <w:pPr>
        <w:rPr>
          <w:rFonts w:ascii="仿宋" w:hAnsi="仿宋" w:eastAsia="仿宋" w:cs="仿宋"/>
          <w:color w:val="auto"/>
          <w:sz w:val="24"/>
          <w:highlight w:val="none"/>
        </w:rPr>
      </w:pPr>
      <w:r>
        <w:rPr>
          <w:rFonts w:hint="eastAsia" w:ascii="仿宋" w:hAnsi="仿宋" w:eastAsia="仿宋" w:cs="仿宋"/>
          <w:color w:val="auto"/>
          <w:sz w:val="24"/>
          <w:highlight w:val="none"/>
        </w:rPr>
        <w:t>说明：</w:t>
      </w:r>
    </w:p>
    <w:p w14:paraId="484D4100">
      <w:pPr>
        <w:rPr>
          <w:rFonts w:ascii="仿宋" w:hAnsi="仿宋" w:eastAsia="仿宋" w:cs="仿宋"/>
          <w:color w:val="auto"/>
          <w:sz w:val="24"/>
          <w:highlight w:val="none"/>
        </w:rPr>
      </w:pPr>
      <w:r>
        <w:rPr>
          <w:rFonts w:hint="eastAsia" w:ascii="仿宋" w:hAnsi="仿宋" w:eastAsia="仿宋" w:cs="仿宋"/>
          <w:color w:val="auto"/>
          <w:sz w:val="24"/>
          <w:highlight w:val="none"/>
        </w:rPr>
        <w:t>1、如果行数不够，请自行增加。</w:t>
      </w:r>
    </w:p>
    <w:p w14:paraId="67064C1C">
      <w:pPr>
        <w:rPr>
          <w:rFonts w:ascii="仿宋" w:hAnsi="仿宋" w:eastAsia="仿宋" w:cs="仿宋"/>
          <w:color w:val="auto"/>
          <w:sz w:val="24"/>
          <w:highlight w:val="none"/>
        </w:rPr>
      </w:pPr>
      <w:r>
        <w:rPr>
          <w:rFonts w:hint="eastAsia" w:ascii="仿宋" w:hAnsi="仿宋" w:eastAsia="仿宋" w:cs="仿宋"/>
          <w:color w:val="auto"/>
          <w:sz w:val="24"/>
          <w:highlight w:val="none"/>
        </w:rPr>
        <w:t>2、所有业绩均需要提供有效的复印件（扫描件）。</w:t>
      </w:r>
    </w:p>
    <w:p w14:paraId="266EEE9A">
      <w:pPr>
        <w:pStyle w:val="2"/>
        <w:spacing w:before="240" w:after="240"/>
        <w:ind w:firstLine="0" w:firstLineChars="0"/>
        <w:rPr>
          <w:rFonts w:ascii="仿宋" w:hAnsi="仿宋" w:cs="仿宋"/>
          <w:color w:val="auto"/>
          <w:highlight w:val="none"/>
        </w:rPr>
      </w:pPr>
    </w:p>
    <w:p w14:paraId="18422A45">
      <w:pPr>
        <w:rPr>
          <w:rFonts w:ascii="仿宋" w:hAnsi="仿宋" w:eastAsia="仿宋" w:cs="仿宋"/>
          <w:color w:val="auto"/>
          <w:highlight w:val="none"/>
        </w:rPr>
      </w:pPr>
    </w:p>
    <w:p w14:paraId="45937819">
      <w:pPr>
        <w:pStyle w:val="351"/>
        <w:rPr>
          <w:rFonts w:ascii="仿宋" w:hAnsi="仿宋" w:eastAsia="仿宋" w:cs="仿宋"/>
          <w:color w:val="auto"/>
          <w:highlight w:val="none"/>
        </w:rPr>
      </w:pPr>
    </w:p>
    <w:p w14:paraId="52EF019E">
      <w:pPr>
        <w:rPr>
          <w:rFonts w:ascii="仿宋" w:hAnsi="仿宋" w:eastAsia="仿宋" w:cs="仿宋"/>
          <w:color w:val="auto"/>
          <w:highlight w:val="none"/>
        </w:rPr>
      </w:pPr>
    </w:p>
    <w:p w14:paraId="0D4EC40D">
      <w:pPr>
        <w:pStyle w:val="351"/>
        <w:rPr>
          <w:rFonts w:ascii="仿宋" w:hAnsi="仿宋" w:eastAsia="仿宋" w:cs="仿宋"/>
          <w:color w:val="auto"/>
          <w:highlight w:val="none"/>
        </w:rPr>
      </w:pPr>
    </w:p>
    <w:p w14:paraId="362F26B8">
      <w:pPr>
        <w:rPr>
          <w:rFonts w:ascii="仿宋" w:hAnsi="仿宋" w:eastAsia="仿宋" w:cs="仿宋"/>
          <w:color w:val="auto"/>
          <w:highlight w:val="none"/>
        </w:rPr>
      </w:pPr>
    </w:p>
    <w:p w14:paraId="15BC1B25">
      <w:pPr>
        <w:pStyle w:val="351"/>
        <w:rPr>
          <w:rFonts w:ascii="仿宋" w:hAnsi="仿宋" w:eastAsia="仿宋" w:cs="仿宋"/>
          <w:color w:val="auto"/>
          <w:highlight w:val="none"/>
        </w:rPr>
      </w:pPr>
    </w:p>
    <w:p w14:paraId="0561BF19">
      <w:pPr>
        <w:rPr>
          <w:rFonts w:ascii="仿宋" w:hAnsi="仿宋" w:eastAsia="仿宋" w:cs="仿宋"/>
          <w:color w:val="auto"/>
          <w:highlight w:val="none"/>
        </w:rPr>
      </w:pPr>
    </w:p>
    <w:p w14:paraId="7BB7B783">
      <w:pPr>
        <w:pStyle w:val="351"/>
        <w:rPr>
          <w:rFonts w:ascii="仿宋" w:hAnsi="仿宋" w:eastAsia="仿宋" w:cs="仿宋"/>
          <w:color w:val="auto"/>
          <w:highlight w:val="none"/>
        </w:rPr>
      </w:pPr>
    </w:p>
    <w:p w14:paraId="5D952BE5">
      <w:pPr>
        <w:rPr>
          <w:rFonts w:ascii="仿宋" w:hAnsi="仿宋" w:eastAsia="仿宋" w:cs="仿宋"/>
          <w:color w:val="auto"/>
          <w:highlight w:val="none"/>
        </w:rPr>
      </w:pPr>
    </w:p>
    <w:p w14:paraId="2B9C32EB">
      <w:pPr>
        <w:pStyle w:val="351"/>
        <w:rPr>
          <w:rFonts w:ascii="仿宋" w:hAnsi="仿宋" w:eastAsia="仿宋" w:cs="仿宋"/>
          <w:color w:val="auto"/>
          <w:highlight w:val="none"/>
        </w:rPr>
      </w:pPr>
    </w:p>
    <w:p w14:paraId="55AE253F">
      <w:pPr>
        <w:rPr>
          <w:rFonts w:ascii="仿宋" w:hAnsi="仿宋" w:eastAsia="仿宋" w:cs="仿宋"/>
          <w:color w:val="auto"/>
          <w:highlight w:val="none"/>
        </w:rPr>
      </w:pPr>
    </w:p>
    <w:p w14:paraId="76FF0573">
      <w:pPr>
        <w:pStyle w:val="351"/>
        <w:rPr>
          <w:rFonts w:ascii="仿宋" w:hAnsi="仿宋" w:eastAsia="仿宋" w:cs="仿宋"/>
          <w:color w:val="auto"/>
          <w:highlight w:val="none"/>
        </w:rPr>
      </w:pPr>
    </w:p>
    <w:p w14:paraId="6D906EC4">
      <w:pPr>
        <w:rPr>
          <w:rFonts w:ascii="仿宋" w:hAnsi="仿宋" w:eastAsia="仿宋" w:cs="仿宋"/>
          <w:color w:val="auto"/>
          <w:highlight w:val="none"/>
        </w:rPr>
      </w:pPr>
    </w:p>
    <w:p w14:paraId="26F9C74C">
      <w:pPr>
        <w:pStyle w:val="351"/>
        <w:rPr>
          <w:rFonts w:ascii="仿宋" w:hAnsi="仿宋" w:eastAsia="仿宋" w:cs="仿宋"/>
          <w:color w:val="auto"/>
          <w:highlight w:val="none"/>
        </w:rPr>
      </w:pPr>
    </w:p>
    <w:p w14:paraId="42255760">
      <w:pPr>
        <w:rPr>
          <w:rFonts w:ascii="仿宋" w:hAnsi="仿宋" w:eastAsia="仿宋" w:cs="仿宋"/>
          <w:color w:val="auto"/>
          <w:highlight w:val="none"/>
        </w:rPr>
      </w:pPr>
    </w:p>
    <w:p w14:paraId="2E028675">
      <w:pPr>
        <w:pStyle w:val="351"/>
        <w:rPr>
          <w:rFonts w:ascii="仿宋" w:hAnsi="仿宋" w:eastAsia="仿宋" w:cs="仿宋"/>
          <w:color w:val="auto"/>
          <w:highlight w:val="none"/>
        </w:rPr>
      </w:pPr>
    </w:p>
    <w:p w14:paraId="26BD18BB">
      <w:pPr>
        <w:rPr>
          <w:rFonts w:ascii="仿宋" w:hAnsi="仿宋" w:eastAsia="仿宋" w:cs="仿宋"/>
          <w:color w:val="auto"/>
          <w:highlight w:val="none"/>
        </w:rPr>
      </w:pPr>
    </w:p>
    <w:p w14:paraId="4DC3077E">
      <w:pPr>
        <w:pStyle w:val="351"/>
        <w:rPr>
          <w:rFonts w:ascii="仿宋" w:hAnsi="仿宋" w:eastAsia="仿宋" w:cs="仿宋"/>
          <w:color w:val="auto"/>
          <w:highlight w:val="none"/>
        </w:rPr>
      </w:pPr>
    </w:p>
    <w:p w14:paraId="6A7E76ED">
      <w:pPr>
        <w:rPr>
          <w:rFonts w:ascii="仿宋" w:hAnsi="仿宋" w:eastAsia="仿宋" w:cs="仿宋"/>
          <w:color w:val="auto"/>
          <w:highlight w:val="none"/>
        </w:rPr>
      </w:pPr>
    </w:p>
    <w:p w14:paraId="4E4E79B6">
      <w:pPr>
        <w:pStyle w:val="351"/>
        <w:rPr>
          <w:rFonts w:ascii="仿宋" w:hAnsi="仿宋" w:eastAsia="仿宋" w:cs="仿宋"/>
          <w:color w:val="auto"/>
          <w:highlight w:val="none"/>
        </w:rPr>
      </w:pPr>
    </w:p>
    <w:p w14:paraId="7E5D6B64">
      <w:pPr>
        <w:rPr>
          <w:rFonts w:ascii="仿宋" w:hAnsi="仿宋" w:eastAsia="仿宋" w:cs="仿宋"/>
          <w:color w:val="auto"/>
          <w:highlight w:val="none"/>
        </w:rPr>
      </w:pPr>
    </w:p>
    <w:bookmarkEnd w:id="204"/>
    <w:bookmarkEnd w:id="205"/>
    <w:p w14:paraId="0730B66C">
      <w:pPr>
        <w:spacing w:line="360" w:lineRule="auto"/>
        <w:rPr>
          <w:rFonts w:ascii="仿宋" w:hAnsi="仿宋" w:eastAsia="仿宋" w:cs="仿宋"/>
          <w:b/>
          <w:bCs/>
          <w:color w:val="auto"/>
          <w:sz w:val="24"/>
          <w:szCs w:val="24"/>
          <w:highlight w:val="none"/>
        </w:rPr>
      </w:pPr>
      <w:r>
        <w:rPr>
          <w:rFonts w:hint="eastAsia" w:ascii="仿宋" w:hAnsi="仿宋" w:eastAsia="仿宋" w:cs="仿宋"/>
          <w:color w:val="auto"/>
          <w:highlight w:val="none"/>
        </w:rPr>
        <w:br w:type="page"/>
      </w:r>
    </w:p>
    <w:p w14:paraId="57756203">
      <w:pPr>
        <w:spacing w:line="360" w:lineRule="auto"/>
        <w:outlineLvl w:val="2"/>
        <w:rPr>
          <w:rFonts w:ascii="仿宋" w:hAnsi="仿宋" w:eastAsia="仿宋" w:cs="仿宋"/>
          <w:b/>
          <w:bCs/>
          <w:color w:val="auto"/>
          <w:sz w:val="24"/>
          <w:szCs w:val="22"/>
          <w:highlight w:val="none"/>
        </w:rPr>
      </w:pPr>
      <w:bookmarkStart w:id="207" w:name="_Toc15614"/>
      <w:bookmarkStart w:id="208" w:name="_Toc25671"/>
      <w:bookmarkStart w:id="209" w:name="_Toc24821"/>
      <w:bookmarkStart w:id="210" w:name="_Toc10884"/>
      <w:bookmarkStart w:id="211" w:name="_Toc32360"/>
      <w:bookmarkStart w:id="212" w:name="_Toc28447"/>
      <w:r>
        <w:rPr>
          <w:rFonts w:hint="eastAsia" w:ascii="仿宋" w:hAnsi="仿宋" w:eastAsia="仿宋" w:cs="仿宋"/>
          <w:b/>
          <w:bCs/>
          <w:color w:val="auto"/>
          <w:sz w:val="24"/>
          <w:szCs w:val="22"/>
          <w:highlight w:val="none"/>
        </w:rPr>
        <w:t>附件三、无重大违法记录声明格式</w:t>
      </w:r>
      <w:bookmarkEnd w:id="207"/>
      <w:bookmarkEnd w:id="208"/>
      <w:bookmarkEnd w:id="209"/>
      <w:bookmarkEnd w:id="210"/>
      <w:bookmarkEnd w:id="211"/>
      <w:bookmarkEnd w:id="212"/>
    </w:p>
    <w:p w14:paraId="16F11128">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无重大违法记录声明</w:t>
      </w:r>
    </w:p>
    <w:p w14:paraId="5900F4AB">
      <w:pPr>
        <w:spacing w:line="360" w:lineRule="auto"/>
        <w:rPr>
          <w:rFonts w:ascii="仿宋" w:hAnsi="仿宋" w:eastAsia="仿宋" w:cs="仿宋"/>
          <w:color w:val="auto"/>
          <w:sz w:val="24"/>
          <w:highlight w:val="none"/>
        </w:rPr>
      </w:pPr>
      <w:r>
        <w:rPr>
          <w:rFonts w:hint="eastAsia" w:ascii="仿宋" w:hAnsi="仿宋" w:eastAsia="仿宋" w:cs="仿宋"/>
          <w:b/>
          <w:color w:val="auto"/>
          <w:sz w:val="24"/>
          <w:szCs w:val="21"/>
          <w:highlight w:val="none"/>
          <w:lang w:val="zh-CN"/>
        </w:rPr>
        <w:t>南京市雨花台区文化和旅游局</w:t>
      </w:r>
      <w:r>
        <w:rPr>
          <w:rFonts w:hint="eastAsia" w:ascii="仿宋" w:hAnsi="仿宋" w:eastAsia="仿宋" w:cs="仿宋"/>
          <w:color w:val="auto"/>
          <w:sz w:val="24"/>
          <w:highlight w:val="none"/>
        </w:rPr>
        <w:t>：</w:t>
      </w:r>
    </w:p>
    <w:p w14:paraId="4BC19083">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（供应商名称）郑重声明：</w:t>
      </w:r>
    </w:p>
    <w:p w14:paraId="73C6E28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参加政府采购活动前3年内在经营活动中</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（在下划线上如实填写：</w:t>
      </w:r>
      <w:r>
        <w:rPr>
          <w:rFonts w:hint="eastAsia" w:ascii="仿宋" w:hAnsi="仿宋" w:eastAsia="仿宋" w:cs="仿宋"/>
          <w:b/>
          <w:bCs/>
          <w:color w:val="auto"/>
          <w:sz w:val="24"/>
          <w:highlight w:val="none"/>
        </w:rPr>
        <w:t>有或没有</w:t>
      </w:r>
      <w:r>
        <w:rPr>
          <w:rFonts w:hint="eastAsia" w:ascii="仿宋" w:hAnsi="仿宋" w:eastAsia="仿宋" w:cs="仿宋"/>
          <w:color w:val="auto"/>
          <w:sz w:val="24"/>
          <w:highlight w:val="none"/>
        </w:rPr>
        <w:t>）重大违法记录。</w:t>
      </w:r>
    </w:p>
    <w:p w14:paraId="291D0BD3">
      <w:pPr>
        <w:spacing w:line="360" w:lineRule="auto"/>
        <w:ind w:firstLine="484" w:firstLineChars="202"/>
        <w:rPr>
          <w:rFonts w:ascii="仿宋" w:hAnsi="仿宋" w:eastAsia="仿宋" w:cs="仿宋"/>
          <w:color w:val="auto"/>
          <w:sz w:val="24"/>
          <w:highlight w:val="none"/>
        </w:rPr>
      </w:pPr>
      <w:r>
        <w:rPr>
          <w:rFonts w:hint="eastAsia" w:ascii="仿宋" w:hAnsi="仿宋" w:eastAsia="仿宋" w:cs="仿宋"/>
          <w:color w:val="auto"/>
          <w:sz w:val="24"/>
          <w:highlight w:val="none"/>
        </w:rPr>
        <w:t>（说明：政府采购法第二十二条第一款第五项所称重大违法记录，是指供应商因违法经营受到刑事处罚或者责令停产停业、吊销许可证或者执照、较大数额罚款等行政处罚。）</w:t>
      </w:r>
    </w:p>
    <w:p w14:paraId="667A13D4">
      <w:pPr>
        <w:spacing w:line="360" w:lineRule="auto"/>
        <w:rPr>
          <w:rFonts w:ascii="仿宋" w:hAnsi="仿宋" w:eastAsia="仿宋" w:cs="仿宋"/>
          <w:color w:val="auto"/>
          <w:sz w:val="24"/>
          <w:highlight w:val="none"/>
        </w:rPr>
      </w:pPr>
    </w:p>
    <w:p w14:paraId="5A743E57">
      <w:pPr>
        <w:spacing w:line="360" w:lineRule="auto"/>
        <w:rPr>
          <w:rFonts w:ascii="仿宋" w:hAnsi="仿宋" w:eastAsia="仿宋" w:cs="仿宋"/>
          <w:color w:val="auto"/>
          <w:sz w:val="24"/>
          <w:highlight w:val="none"/>
        </w:rPr>
      </w:pPr>
    </w:p>
    <w:p w14:paraId="1FC1FBD8">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声明人</w:t>
      </w:r>
      <w:r>
        <w:rPr>
          <w:rFonts w:hint="eastAsia" w:ascii="仿宋" w:hAnsi="仿宋" w:eastAsia="仿宋" w:cs="仿宋"/>
          <w:color w:val="auto"/>
          <w:sz w:val="24"/>
          <w:szCs w:val="24"/>
          <w:highlight w:val="none"/>
        </w:rPr>
        <w:t>（加盖公章）</w:t>
      </w:r>
      <w:r>
        <w:rPr>
          <w:rFonts w:hint="eastAsia" w:ascii="仿宋" w:hAnsi="仿宋" w:eastAsia="仿宋" w:cs="仿宋"/>
          <w:color w:val="auto"/>
          <w:sz w:val="24"/>
          <w:highlight w:val="none"/>
        </w:rPr>
        <w:t>：</w:t>
      </w:r>
    </w:p>
    <w:p w14:paraId="7797C7FE">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09C11905">
      <w:pPr>
        <w:pStyle w:val="5"/>
        <w:rPr>
          <w:rFonts w:ascii="仿宋" w:hAnsi="仿宋" w:eastAsia="仿宋" w:cs="仿宋"/>
          <w:color w:val="auto"/>
          <w:sz w:val="24"/>
          <w:highlight w:val="none"/>
        </w:rPr>
      </w:pPr>
    </w:p>
    <w:p w14:paraId="0ADE7E7F">
      <w:pPr>
        <w:rPr>
          <w:rFonts w:ascii="仿宋" w:hAnsi="仿宋" w:eastAsia="仿宋" w:cs="仿宋"/>
          <w:color w:val="auto"/>
          <w:sz w:val="24"/>
          <w:highlight w:val="none"/>
        </w:rPr>
      </w:pPr>
    </w:p>
    <w:p w14:paraId="7B127CAB">
      <w:pPr>
        <w:pStyle w:val="5"/>
        <w:rPr>
          <w:rFonts w:ascii="仿宋" w:hAnsi="仿宋" w:eastAsia="仿宋" w:cs="仿宋"/>
          <w:color w:val="auto"/>
          <w:sz w:val="24"/>
          <w:highlight w:val="none"/>
        </w:rPr>
      </w:pPr>
    </w:p>
    <w:p w14:paraId="21845BC2">
      <w:pPr>
        <w:rPr>
          <w:rFonts w:ascii="仿宋" w:hAnsi="仿宋" w:eastAsia="仿宋" w:cs="仿宋"/>
          <w:color w:val="auto"/>
          <w:sz w:val="24"/>
          <w:highlight w:val="none"/>
        </w:rPr>
      </w:pPr>
    </w:p>
    <w:p w14:paraId="7179B9CB">
      <w:pPr>
        <w:pStyle w:val="5"/>
        <w:rPr>
          <w:rFonts w:ascii="仿宋" w:hAnsi="仿宋" w:eastAsia="仿宋" w:cs="仿宋"/>
          <w:color w:val="auto"/>
          <w:sz w:val="24"/>
          <w:highlight w:val="none"/>
        </w:rPr>
      </w:pPr>
    </w:p>
    <w:p w14:paraId="491E3FA1">
      <w:pPr>
        <w:rPr>
          <w:rFonts w:ascii="仿宋" w:hAnsi="仿宋" w:eastAsia="仿宋" w:cs="仿宋"/>
          <w:color w:val="auto"/>
          <w:sz w:val="24"/>
          <w:highlight w:val="none"/>
        </w:rPr>
      </w:pPr>
    </w:p>
    <w:p w14:paraId="29BE7682">
      <w:pPr>
        <w:pStyle w:val="5"/>
        <w:rPr>
          <w:rFonts w:ascii="仿宋" w:hAnsi="仿宋" w:eastAsia="仿宋" w:cs="仿宋"/>
          <w:color w:val="auto"/>
          <w:sz w:val="24"/>
          <w:highlight w:val="none"/>
        </w:rPr>
      </w:pPr>
    </w:p>
    <w:p w14:paraId="4CD6D9BA">
      <w:pPr>
        <w:rPr>
          <w:rFonts w:ascii="仿宋" w:hAnsi="仿宋" w:eastAsia="仿宋" w:cs="仿宋"/>
          <w:color w:val="auto"/>
          <w:sz w:val="24"/>
          <w:highlight w:val="none"/>
        </w:rPr>
      </w:pPr>
    </w:p>
    <w:p w14:paraId="074DA209">
      <w:pPr>
        <w:pStyle w:val="5"/>
        <w:rPr>
          <w:rFonts w:ascii="仿宋" w:hAnsi="仿宋" w:eastAsia="仿宋" w:cs="仿宋"/>
          <w:color w:val="auto"/>
          <w:sz w:val="24"/>
          <w:highlight w:val="none"/>
        </w:rPr>
      </w:pPr>
    </w:p>
    <w:p w14:paraId="461535D4">
      <w:pPr>
        <w:rPr>
          <w:rFonts w:ascii="仿宋" w:hAnsi="仿宋" w:eastAsia="仿宋" w:cs="仿宋"/>
          <w:color w:val="auto"/>
          <w:sz w:val="24"/>
          <w:highlight w:val="none"/>
        </w:rPr>
      </w:pPr>
    </w:p>
    <w:p w14:paraId="580186EE">
      <w:pPr>
        <w:pStyle w:val="5"/>
        <w:rPr>
          <w:rFonts w:ascii="仿宋" w:hAnsi="仿宋" w:eastAsia="仿宋" w:cs="仿宋"/>
          <w:color w:val="auto"/>
          <w:sz w:val="24"/>
          <w:highlight w:val="none"/>
        </w:rPr>
      </w:pPr>
    </w:p>
    <w:p w14:paraId="23979C0D">
      <w:pPr>
        <w:rPr>
          <w:rFonts w:ascii="仿宋" w:hAnsi="仿宋" w:eastAsia="仿宋" w:cs="仿宋"/>
          <w:color w:val="auto"/>
          <w:sz w:val="24"/>
          <w:highlight w:val="none"/>
        </w:rPr>
      </w:pPr>
    </w:p>
    <w:p w14:paraId="1873C2B4">
      <w:pPr>
        <w:pStyle w:val="2"/>
        <w:spacing w:before="240" w:after="240"/>
        <w:ind w:firstLine="0" w:firstLineChars="0"/>
        <w:rPr>
          <w:rFonts w:ascii="仿宋" w:hAnsi="仿宋" w:cs="仿宋"/>
          <w:color w:val="auto"/>
          <w:kern w:val="0"/>
          <w:highlight w:val="none"/>
          <w:lang w:val="zh-CN"/>
        </w:rPr>
      </w:pPr>
      <w:bookmarkStart w:id="213" w:name="_Toc20172"/>
      <w:bookmarkStart w:id="214" w:name="_Toc12676"/>
    </w:p>
    <w:p w14:paraId="5EE9945A">
      <w:pPr>
        <w:rPr>
          <w:rFonts w:ascii="仿宋" w:hAnsi="仿宋" w:eastAsia="仿宋" w:cs="仿宋"/>
          <w:color w:val="auto"/>
          <w:highlight w:val="none"/>
          <w:lang w:val="zh-CN"/>
        </w:rPr>
      </w:pPr>
    </w:p>
    <w:p w14:paraId="563C4A72">
      <w:pPr>
        <w:rPr>
          <w:color w:val="auto"/>
          <w:highlight w:val="none"/>
        </w:rPr>
        <w:sectPr>
          <w:pgSz w:w="11906" w:h="16838"/>
          <w:pgMar w:top="1417" w:right="1757" w:bottom="1417" w:left="1757" w:header="851" w:footer="964" w:gutter="0"/>
          <w:cols w:space="720" w:num="1"/>
          <w:docGrid w:linePitch="290" w:charSpace="0"/>
        </w:sectPr>
      </w:pPr>
      <w:bookmarkStart w:id="215" w:name="_Toc27737"/>
    </w:p>
    <w:p w14:paraId="5EE70C24">
      <w:pPr>
        <w:spacing w:line="360" w:lineRule="auto"/>
        <w:outlineLvl w:val="2"/>
        <w:rPr>
          <w:rFonts w:ascii="仿宋" w:hAnsi="仿宋" w:eastAsia="仿宋" w:cs="仿宋"/>
          <w:b/>
          <w:bCs/>
          <w:color w:val="auto"/>
          <w:sz w:val="24"/>
          <w:szCs w:val="22"/>
          <w:highlight w:val="none"/>
        </w:rPr>
      </w:pPr>
      <w:bookmarkStart w:id="216" w:name="_Toc3976"/>
      <w:bookmarkStart w:id="217" w:name="_Toc20260"/>
      <w:bookmarkStart w:id="218" w:name="_Toc16688"/>
      <w:bookmarkStart w:id="219" w:name="_Toc6609"/>
      <w:r>
        <w:rPr>
          <w:rFonts w:hint="eastAsia" w:ascii="仿宋" w:hAnsi="仿宋" w:eastAsia="仿宋" w:cs="仿宋"/>
          <w:b/>
          <w:bCs/>
          <w:color w:val="auto"/>
          <w:sz w:val="24"/>
          <w:szCs w:val="22"/>
          <w:highlight w:val="none"/>
        </w:rPr>
        <w:t>附件四、具备履行合同所必需的设备和专业技术能力的声明格式</w:t>
      </w:r>
      <w:bookmarkEnd w:id="215"/>
      <w:bookmarkEnd w:id="216"/>
      <w:bookmarkEnd w:id="217"/>
      <w:bookmarkEnd w:id="218"/>
      <w:bookmarkEnd w:id="219"/>
    </w:p>
    <w:p w14:paraId="340E0315">
      <w:pPr>
        <w:spacing w:line="360" w:lineRule="auto"/>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具备履行合同所必需的设备和专业技术能力的声明</w:t>
      </w:r>
    </w:p>
    <w:p w14:paraId="167547BA">
      <w:pPr>
        <w:spacing w:line="360" w:lineRule="auto"/>
        <w:rPr>
          <w:rFonts w:ascii="仿宋" w:hAnsi="仿宋" w:eastAsia="仿宋" w:cs="仿宋"/>
          <w:b/>
          <w:color w:val="auto"/>
          <w:sz w:val="24"/>
          <w:szCs w:val="21"/>
          <w:highlight w:val="none"/>
          <w:lang w:val="zh-CN"/>
        </w:rPr>
      </w:pPr>
    </w:p>
    <w:p w14:paraId="401BADD4">
      <w:pPr>
        <w:spacing w:line="360" w:lineRule="auto"/>
        <w:rPr>
          <w:rFonts w:ascii="仿宋" w:hAnsi="仿宋" w:eastAsia="仿宋" w:cs="仿宋"/>
          <w:b/>
          <w:color w:val="auto"/>
          <w:sz w:val="24"/>
          <w:szCs w:val="21"/>
          <w:highlight w:val="none"/>
          <w:lang w:val="zh-CN"/>
        </w:rPr>
      </w:pPr>
      <w:r>
        <w:rPr>
          <w:rFonts w:hint="eastAsia" w:ascii="仿宋" w:hAnsi="仿宋" w:eastAsia="仿宋" w:cs="仿宋"/>
          <w:b/>
          <w:color w:val="auto"/>
          <w:sz w:val="24"/>
          <w:szCs w:val="21"/>
          <w:highlight w:val="none"/>
          <w:lang w:val="zh-CN"/>
        </w:rPr>
        <w:t>南京市雨花台区文化和旅游局：</w:t>
      </w:r>
    </w:p>
    <w:p w14:paraId="52CC028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我单位</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rPr>
        <w:t>（供应商名称）郑重声明：我公司具备履行本项采购合同所必需的设备和专业技术能力，为履行本项采购合同我单位具备如下主要设备和主要专业技术能力：</w:t>
      </w:r>
    </w:p>
    <w:p w14:paraId="5F122365">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主要设备有： 。( 若有 )</w:t>
      </w:r>
    </w:p>
    <w:p w14:paraId="73FDDE16">
      <w:pPr>
        <w:spacing w:line="360" w:lineRule="auto"/>
        <w:rPr>
          <w:rFonts w:ascii="仿宋" w:hAnsi="仿宋" w:eastAsia="仿宋" w:cs="仿宋"/>
          <w:color w:val="auto"/>
          <w:sz w:val="24"/>
          <w:highlight w:val="none"/>
        </w:rPr>
      </w:pPr>
      <w:r>
        <w:rPr>
          <w:rFonts w:hint="eastAsia" w:ascii="仿宋" w:hAnsi="仿宋" w:eastAsia="仿宋" w:cs="仿宋"/>
          <w:color w:val="auto"/>
          <w:sz w:val="24"/>
          <w:highlight w:val="none"/>
        </w:rPr>
        <w:t>主要专业技术能力有：。( 若有 )</w:t>
      </w:r>
    </w:p>
    <w:p w14:paraId="2814EBCA">
      <w:pPr>
        <w:spacing w:line="360" w:lineRule="auto"/>
        <w:rPr>
          <w:rFonts w:ascii="仿宋" w:hAnsi="仿宋" w:eastAsia="仿宋" w:cs="仿宋"/>
          <w:color w:val="auto"/>
          <w:highlight w:val="none"/>
        </w:rPr>
      </w:pPr>
    </w:p>
    <w:p w14:paraId="44F829C6">
      <w:pPr>
        <w:spacing w:line="360" w:lineRule="auto"/>
        <w:rPr>
          <w:rFonts w:ascii="仿宋" w:hAnsi="仿宋" w:eastAsia="仿宋" w:cs="仿宋"/>
          <w:color w:val="auto"/>
          <w:highlight w:val="none"/>
        </w:rPr>
      </w:pPr>
    </w:p>
    <w:p w14:paraId="16342F6F">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声明人：</w:t>
      </w:r>
      <w:r>
        <w:rPr>
          <w:rFonts w:hint="eastAsia" w:ascii="仿宋" w:hAnsi="仿宋" w:eastAsia="仿宋" w:cs="仿宋"/>
          <w:color w:val="auto"/>
          <w:sz w:val="24"/>
          <w:szCs w:val="24"/>
          <w:highlight w:val="none"/>
        </w:rPr>
        <w:t>（加盖公章）</w:t>
      </w:r>
    </w:p>
    <w:p w14:paraId="69E63912">
      <w:pPr>
        <w:spacing w:line="360" w:lineRule="auto"/>
        <w:jc w:val="right"/>
        <w:rPr>
          <w:rFonts w:ascii="仿宋" w:hAnsi="仿宋" w:eastAsia="仿宋" w:cs="仿宋"/>
          <w:color w:val="auto"/>
          <w:sz w:val="24"/>
          <w:highlight w:val="none"/>
        </w:rPr>
      </w:pPr>
      <w:r>
        <w:rPr>
          <w:rFonts w:hint="eastAsia" w:ascii="仿宋" w:hAnsi="仿宋" w:eastAsia="仿宋" w:cs="仿宋"/>
          <w:color w:val="auto"/>
          <w:sz w:val="24"/>
          <w:highlight w:val="none"/>
        </w:rPr>
        <w:t>日期： 年   月   日</w:t>
      </w:r>
    </w:p>
    <w:p w14:paraId="11B0B9DA">
      <w:pPr>
        <w:spacing w:line="360" w:lineRule="auto"/>
        <w:rPr>
          <w:rFonts w:ascii="仿宋" w:hAnsi="仿宋" w:eastAsia="仿宋" w:cs="仿宋"/>
          <w:color w:val="auto"/>
          <w:highlight w:val="none"/>
        </w:rPr>
      </w:pPr>
    </w:p>
    <w:p w14:paraId="5D21845C">
      <w:pPr>
        <w:pStyle w:val="2"/>
        <w:spacing w:before="240" w:after="240"/>
        <w:ind w:firstLine="0" w:firstLineChars="0"/>
        <w:rPr>
          <w:rFonts w:ascii="仿宋" w:hAnsi="仿宋" w:cs="仿宋"/>
          <w:color w:val="auto"/>
          <w:kern w:val="0"/>
          <w:highlight w:val="none"/>
          <w:lang w:val="zh-CN"/>
        </w:rPr>
      </w:pPr>
    </w:p>
    <w:p w14:paraId="76F36FAE">
      <w:pPr>
        <w:rPr>
          <w:color w:val="auto"/>
          <w:highlight w:val="none"/>
        </w:rPr>
        <w:sectPr>
          <w:pgSz w:w="11906" w:h="16838"/>
          <w:pgMar w:top="1417" w:right="1757" w:bottom="1417" w:left="1757" w:header="851" w:footer="964" w:gutter="0"/>
          <w:cols w:space="720" w:num="1"/>
          <w:docGrid w:linePitch="290" w:charSpace="0"/>
        </w:sectPr>
      </w:pPr>
    </w:p>
    <w:p w14:paraId="0C17C3B5">
      <w:pPr>
        <w:spacing w:line="360" w:lineRule="auto"/>
        <w:outlineLvl w:val="2"/>
        <w:rPr>
          <w:rFonts w:ascii="仿宋" w:hAnsi="仿宋" w:eastAsia="仿宋" w:cs="仿宋"/>
          <w:b/>
          <w:bCs/>
          <w:color w:val="auto"/>
          <w:sz w:val="24"/>
          <w:szCs w:val="22"/>
          <w:highlight w:val="none"/>
          <w:lang w:val="zh-CN"/>
        </w:rPr>
      </w:pPr>
      <w:bookmarkStart w:id="220" w:name="_Toc26005"/>
      <w:bookmarkStart w:id="221" w:name="_Toc17077"/>
      <w:bookmarkStart w:id="222" w:name="_Toc8905"/>
      <w:bookmarkStart w:id="223" w:name="_Toc24407"/>
      <w:r>
        <w:rPr>
          <w:rFonts w:hint="eastAsia" w:ascii="仿宋" w:hAnsi="仿宋" w:eastAsia="仿宋" w:cs="仿宋"/>
          <w:b/>
          <w:bCs/>
          <w:color w:val="auto"/>
          <w:sz w:val="24"/>
          <w:szCs w:val="22"/>
          <w:highlight w:val="none"/>
        </w:rPr>
        <w:t>附件五</w:t>
      </w:r>
      <w:r>
        <w:rPr>
          <w:rFonts w:hint="eastAsia" w:ascii="仿宋" w:hAnsi="仿宋" w:eastAsia="仿宋" w:cs="仿宋"/>
          <w:b/>
          <w:bCs/>
          <w:color w:val="auto"/>
          <w:sz w:val="24"/>
          <w:szCs w:val="22"/>
          <w:highlight w:val="none"/>
          <w:lang w:val="zh-CN"/>
        </w:rPr>
        <w:t>、</w:t>
      </w:r>
      <w:bookmarkEnd w:id="213"/>
      <w:bookmarkEnd w:id="214"/>
      <w:r>
        <w:rPr>
          <w:rFonts w:hint="eastAsia" w:ascii="仿宋" w:hAnsi="仿宋" w:eastAsia="仿宋" w:cs="仿宋"/>
          <w:b/>
          <w:bCs/>
          <w:color w:val="auto"/>
          <w:sz w:val="24"/>
          <w:szCs w:val="22"/>
          <w:highlight w:val="none"/>
          <w:lang w:val="zh-CN"/>
        </w:rPr>
        <w:t>南京市政府采购供应商信用记录表暨信用承诺书</w:t>
      </w:r>
      <w:bookmarkEnd w:id="220"/>
      <w:bookmarkEnd w:id="221"/>
      <w:bookmarkEnd w:id="222"/>
      <w:bookmarkEnd w:id="223"/>
    </w:p>
    <w:p w14:paraId="57F1DDD3">
      <w:pPr>
        <w:pStyle w:val="351"/>
        <w:spacing w:line="360" w:lineRule="auto"/>
        <w:ind w:firstLine="643"/>
        <w:jc w:val="center"/>
        <w:rPr>
          <w:rFonts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南京市政府采购供应商信用记录表暨信用承诺书</w:t>
      </w:r>
    </w:p>
    <w:p w14:paraId="28150B7D">
      <w:pPr>
        <w:spacing w:line="360" w:lineRule="auto"/>
        <w:jc w:val="center"/>
        <w:rPr>
          <w:rFonts w:ascii="仿宋" w:hAnsi="仿宋" w:eastAsia="仿宋" w:cs="仿宋"/>
          <w:color w:val="auto"/>
          <w:sz w:val="20"/>
          <w:highlight w:val="none"/>
        </w:rPr>
      </w:pPr>
      <w:r>
        <w:rPr>
          <w:rFonts w:hint="eastAsia" w:ascii="仿宋" w:hAnsi="仿宋" w:eastAsia="仿宋" w:cs="仿宋"/>
          <w:color w:val="auto"/>
          <w:szCs w:val="21"/>
          <w:highlight w:val="none"/>
        </w:rPr>
        <w:t>（仅为示范格式，直接填写无效，需至“南京政府采购供应商诚信档案管理系统”在线打印）</w:t>
      </w:r>
    </w:p>
    <w:p w14:paraId="5FA82C60">
      <w:pPr>
        <w:jc w:val="center"/>
        <w:rPr>
          <w:rFonts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20  年  月  日</w:t>
      </w:r>
    </w:p>
    <w:tbl>
      <w:tblPr>
        <w:tblStyle w:val="61"/>
        <w:tblpPr w:leftFromText="180" w:rightFromText="180" w:vertAnchor="text" w:horzAnchor="page" w:tblpX="1755" w:tblpY="4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33"/>
        <w:gridCol w:w="2052"/>
        <w:gridCol w:w="2298"/>
        <w:gridCol w:w="2125"/>
      </w:tblGrid>
      <w:tr w14:paraId="2BC4B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68D34176">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单位名称</w:t>
            </w:r>
          </w:p>
        </w:tc>
        <w:tc>
          <w:tcPr>
            <w:tcW w:w="2052" w:type="dxa"/>
            <w:vAlign w:val="center"/>
          </w:tcPr>
          <w:p w14:paraId="02775166">
            <w:pPr>
              <w:spacing w:line="251" w:lineRule="exact"/>
              <w:ind w:left="20"/>
              <w:jc w:val="center"/>
              <w:rPr>
                <w:rFonts w:ascii="仿宋" w:hAnsi="仿宋" w:eastAsia="仿宋" w:cs="仿宋"/>
                <w:b/>
                <w:bCs/>
                <w:color w:val="auto"/>
                <w:sz w:val="24"/>
                <w:highlight w:val="none"/>
              </w:rPr>
            </w:pPr>
          </w:p>
        </w:tc>
        <w:tc>
          <w:tcPr>
            <w:tcW w:w="2298" w:type="dxa"/>
            <w:vAlign w:val="center"/>
          </w:tcPr>
          <w:p w14:paraId="057B4002">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统一社会信用代码</w:t>
            </w:r>
          </w:p>
        </w:tc>
        <w:tc>
          <w:tcPr>
            <w:tcW w:w="2125" w:type="dxa"/>
            <w:vAlign w:val="center"/>
          </w:tcPr>
          <w:p w14:paraId="1BEBA20C">
            <w:pPr>
              <w:spacing w:line="251" w:lineRule="exact"/>
              <w:ind w:left="20"/>
              <w:jc w:val="center"/>
              <w:rPr>
                <w:rFonts w:ascii="仿宋" w:hAnsi="仿宋" w:eastAsia="仿宋" w:cs="仿宋"/>
                <w:b/>
                <w:bCs/>
                <w:color w:val="auto"/>
                <w:sz w:val="24"/>
                <w:highlight w:val="none"/>
              </w:rPr>
            </w:pPr>
          </w:p>
        </w:tc>
      </w:tr>
      <w:tr w14:paraId="7F1D1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14DD4E20">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法定代表人</w:t>
            </w:r>
          </w:p>
        </w:tc>
        <w:tc>
          <w:tcPr>
            <w:tcW w:w="2052" w:type="dxa"/>
            <w:vAlign w:val="center"/>
          </w:tcPr>
          <w:p w14:paraId="0B065591">
            <w:pPr>
              <w:spacing w:line="251" w:lineRule="exact"/>
              <w:ind w:left="20"/>
              <w:jc w:val="center"/>
              <w:rPr>
                <w:rFonts w:ascii="仿宋" w:hAnsi="仿宋" w:eastAsia="仿宋" w:cs="仿宋"/>
                <w:b/>
                <w:bCs/>
                <w:color w:val="auto"/>
                <w:sz w:val="24"/>
                <w:highlight w:val="none"/>
              </w:rPr>
            </w:pPr>
          </w:p>
        </w:tc>
        <w:tc>
          <w:tcPr>
            <w:tcW w:w="2298" w:type="dxa"/>
            <w:vAlign w:val="center"/>
          </w:tcPr>
          <w:p w14:paraId="31A3AF02">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联系人</w:t>
            </w:r>
          </w:p>
        </w:tc>
        <w:tc>
          <w:tcPr>
            <w:tcW w:w="2125" w:type="dxa"/>
            <w:vAlign w:val="center"/>
          </w:tcPr>
          <w:p w14:paraId="2E9A6EFD">
            <w:pPr>
              <w:spacing w:line="251" w:lineRule="exact"/>
              <w:ind w:left="20"/>
              <w:jc w:val="center"/>
              <w:rPr>
                <w:rFonts w:ascii="仿宋" w:hAnsi="仿宋" w:eastAsia="仿宋" w:cs="仿宋"/>
                <w:b/>
                <w:bCs/>
                <w:color w:val="auto"/>
                <w:sz w:val="24"/>
                <w:highlight w:val="none"/>
              </w:rPr>
            </w:pPr>
          </w:p>
        </w:tc>
      </w:tr>
      <w:tr w14:paraId="03D4AB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33" w:type="dxa"/>
            <w:vAlign w:val="center"/>
          </w:tcPr>
          <w:p w14:paraId="6004FDDA">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联系地址</w:t>
            </w:r>
          </w:p>
        </w:tc>
        <w:tc>
          <w:tcPr>
            <w:tcW w:w="2052" w:type="dxa"/>
            <w:vAlign w:val="center"/>
          </w:tcPr>
          <w:p w14:paraId="77BF2920">
            <w:pPr>
              <w:spacing w:line="251" w:lineRule="exact"/>
              <w:ind w:left="20"/>
              <w:jc w:val="center"/>
              <w:rPr>
                <w:rFonts w:ascii="仿宋" w:hAnsi="仿宋" w:eastAsia="仿宋" w:cs="仿宋"/>
                <w:b/>
                <w:bCs/>
                <w:color w:val="auto"/>
                <w:sz w:val="24"/>
                <w:highlight w:val="none"/>
              </w:rPr>
            </w:pPr>
          </w:p>
        </w:tc>
        <w:tc>
          <w:tcPr>
            <w:tcW w:w="2298" w:type="dxa"/>
            <w:vAlign w:val="center"/>
          </w:tcPr>
          <w:p w14:paraId="0E7C981E">
            <w:pPr>
              <w:spacing w:line="251" w:lineRule="exact"/>
              <w:ind w:left="20"/>
              <w:jc w:val="center"/>
              <w:rPr>
                <w:rFonts w:ascii="仿宋" w:hAnsi="仿宋" w:eastAsia="仿宋" w:cs="仿宋"/>
                <w:b/>
                <w:bCs/>
                <w:color w:val="auto"/>
                <w:sz w:val="24"/>
                <w:highlight w:val="none"/>
              </w:rPr>
            </w:pPr>
            <w:r>
              <w:rPr>
                <w:rFonts w:hint="eastAsia" w:ascii="仿宋" w:hAnsi="仿宋" w:eastAsia="仿宋" w:cs="仿宋"/>
                <w:b/>
                <w:bCs/>
                <w:color w:val="auto"/>
                <w:sz w:val="24"/>
                <w:highlight w:val="none"/>
              </w:rPr>
              <w:t>联系电话</w:t>
            </w:r>
          </w:p>
        </w:tc>
        <w:tc>
          <w:tcPr>
            <w:tcW w:w="2125" w:type="dxa"/>
            <w:vAlign w:val="center"/>
          </w:tcPr>
          <w:p w14:paraId="3E11E145">
            <w:pPr>
              <w:spacing w:line="251" w:lineRule="exact"/>
              <w:ind w:left="20"/>
              <w:jc w:val="center"/>
              <w:rPr>
                <w:rFonts w:ascii="仿宋" w:hAnsi="仿宋" w:eastAsia="仿宋" w:cs="仿宋"/>
                <w:b/>
                <w:bCs/>
                <w:color w:val="auto"/>
                <w:sz w:val="24"/>
                <w:highlight w:val="none"/>
              </w:rPr>
            </w:pPr>
          </w:p>
        </w:tc>
      </w:tr>
      <w:tr w14:paraId="44120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2133" w:type="dxa"/>
            <w:vAlign w:val="center"/>
          </w:tcPr>
          <w:p w14:paraId="5DFEE190">
            <w:pPr>
              <w:spacing w:line="251" w:lineRule="exact"/>
              <w:ind w:left="20"/>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诚信档案记录情况</w:t>
            </w:r>
          </w:p>
        </w:tc>
        <w:tc>
          <w:tcPr>
            <w:tcW w:w="6475" w:type="dxa"/>
            <w:gridSpan w:val="3"/>
            <w:vAlign w:val="center"/>
          </w:tcPr>
          <w:p w14:paraId="3CDF8A93">
            <w:pPr>
              <w:spacing w:line="251" w:lineRule="exact"/>
              <w:ind w:left="20"/>
              <w:jc w:val="center"/>
              <w:rPr>
                <w:rFonts w:ascii="仿宋" w:hAnsi="仿宋" w:eastAsia="仿宋" w:cs="仿宋"/>
                <w:color w:val="auto"/>
                <w:sz w:val="24"/>
                <w:highlight w:val="none"/>
              </w:rPr>
            </w:pPr>
          </w:p>
        </w:tc>
      </w:tr>
      <w:tr w14:paraId="14EFA4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2" w:hRule="atLeast"/>
        </w:trPr>
        <w:tc>
          <w:tcPr>
            <w:tcW w:w="2133" w:type="dxa"/>
            <w:vAlign w:val="center"/>
          </w:tcPr>
          <w:p w14:paraId="0616F4E6">
            <w:pPr>
              <w:spacing w:line="251" w:lineRule="exact"/>
              <w:ind w:left="20"/>
              <w:jc w:val="center"/>
              <w:rPr>
                <w:rFonts w:ascii="仿宋" w:hAnsi="仿宋" w:eastAsia="仿宋" w:cs="仿宋"/>
                <w:color w:val="auto"/>
                <w:sz w:val="24"/>
                <w:highlight w:val="none"/>
              </w:rPr>
            </w:pPr>
            <w:r>
              <w:rPr>
                <w:rFonts w:hint="eastAsia" w:ascii="仿宋" w:hAnsi="仿宋" w:eastAsia="仿宋" w:cs="仿宋"/>
                <w:b/>
                <w:bCs/>
                <w:color w:val="auto"/>
                <w:sz w:val="24"/>
                <w:highlight w:val="none"/>
              </w:rPr>
              <w:t>信用承诺</w:t>
            </w:r>
          </w:p>
        </w:tc>
        <w:tc>
          <w:tcPr>
            <w:tcW w:w="6475" w:type="dxa"/>
            <w:gridSpan w:val="3"/>
            <w:vAlign w:val="center"/>
          </w:tcPr>
          <w:p w14:paraId="47F3D4A5">
            <w:pPr>
              <w:spacing w:line="274" w:lineRule="exact"/>
              <w:ind w:right="60" w:firstLine="474" w:firstLineChars="200"/>
              <w:jc w:val="left"/>
              <w:rPr>
                <w:rFonts w:ascii="仿宋" w:hAnsi="仿宋" w:eastAsia="仿宋" w:cs="仿宋"/>
                <w:color w:val="auto"/>
                <w:w w:val="99"/>
                <w:sz w:val="24"/>
                <w:highlight w:val="none"/>
              </w:rPr>
            </w:pPr>
            <w:r>
              <w:rPr>
                <w:rFonts w:hint="eastAsia" w:ascii="仿宋" w:hAnsi="仿宋" w:eastAsia="仿宋" w:cs="仿宋"/>
                <w:color w:val="auto"/>
                <w:w w:val="99"/>
                <w:sz w:val="24"/>
                <w:highlight w:val="none"/>
              </w:rPr>
              <w:t>我公司自愿参加贵中心（公司）组织的本次采购活动，严格遵守《中华人民政府采购法》及相关法律法规，坚守公开、公平、公正和诚实信用的原则，依法诚信经营，无条件遵守本次政府采购活动的各项规定。我们郑重承诺，本公司符合《政府采购法》第二十二条规定的条件，包括：具有独立承担民事责任的能力；具有良好的商业信誉和健全的财务会计制度；有履行合同所必需的设备和专业技术能力；有依法缴纳税收和社会保障资金的良好记录；参加政府采购活动前三年内，在经营活动中没有重大违法记录；符合法律、行政法规和采购文件规定的其他条件。如有弄虚作假或其他违法违规行为，愿承担一切法律责任，接受各级政府采购监管部门和有权机关的审查和处罚。</w:t>
            </w:r>
          </w:p>
          <w:p w14:paraId="6BEDE37B">
            <w:pPr>
              <w:spacing w:line="251" w:lineRule="exact"/>
              <w:ind w:left="20"/>
              <w:jc w:val="center"/>
              <w:rPr>
                <w:rFonts w:ascii="仿宋" w:hAnsi="仿宋" w:eastAsia="仿宋" w:cs="仿宋"/>
                <w:color w:val="auto"/>
                <w:sz w:val="24"/>
                <w:highlight w:val="none"/>
              </w:rPr>
            </w:pPr>
          </w:p>
          <w:p w14:paraId="0FDED46C">
            <w:pPr>
              <w:spacing w:line="251" w:lineRule="exact"/>
              <w:ind w:left="20"/>
              <w:jc w:val="center"/>
              <w:rPr>
                <w:rFonts w:ascii="仿宋" w:hAnsi="仿宋" w:eastAsia="仿宋" w:cs="仿宋"/>
                <w:color w:val="auto"/>
                <w:sz w:val="24"/>
                <w:highlight w:val="none"/>
              </w:rPr>
            </w:pPr>
          </w:p>
          <w:p w14:paraId="4ABBF082">
            <w:pPr>
              <w:spacing w:line="251" w:lineRule="exact"/>
              <w:ind w:left="20"/>
              <w:jc w:val="center"/>
              <w:rPr>
                <w:rFonts w:ascii="仿宋" w:hAnsi="仿宋" w:eastAsia="仿宋" w:cs="仿宋"/>
                <w:color w:val="auto"/>
                <w:sz w:val="24"/>
                <w:highlight w:val="none"/>
              </w:rPr>
            </w:pPr>
          </w:p>
          <w:p w14:paraId="4C8640CE">
            <w:pPr>
              <w:spacing w:line="251" w:lineRule="exact"/>
              <w:ind w:left="20"/>
              <w:jc w:val="center"/>
              <w:rPr>
                <w:rFonts w:ascii="仿宋" w:hAnsi="仿宋" w:eastAsia="仿宋" w:cs="仿宋"/>
                <w:color w:val="auto"/>
                <w:sz w:val="24"/>
                <w:highlight w:val="none"/>
              </w:rPr>
            </w:pPr>
          </w:p>
          <w:p w14:paraId="6B5955D1">
            <w:pPr>
              <w:spacing w:line="274" w:lineRule="exact"/>
              <w:ind w:left="23"/>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供应商名称（公章）：</w:t>
            </w:r>
          </w:p>
          <w:p w14:paraId="3904B3F4">
            <w:pPr>
              <w:spacing w:line="274" w:lineRule="exact"/>
              <w:ind w:left="23"/>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法定代表人（签字）：</w:t>
            </w:r>
          </w:p>
          <w:p w14:paraId="43A12B2E">
            <w:pPr>
              <w:spacing w:line="274" w:lineRule="exact"/>
              <w:ind w:left="23"/>
              <w:jc w:val="center"/>
              <w:rPr>
                <w:rFonts w:ascii="仿宋" w:hAnsi="仿宋" w:eastAsia="仿宋" w:cs="仿宋"/>
                <w:color w:val="auto"/>
                <w:sz w:val="24"/>
                <w:highlight w:val="none"/>
              </w:rPr>
            </w:pPr>
            <w:r>
              <w:rPr>
                <w:rFonts w:hint="eastAsia" w:ascii="仿宋" w:hAnsi="仿宋" w:eastAsia="仿宋" w:cs="仿宋"/>
                <w:color w:val="auto"/>
                <w:sz w:val="24"/>
                <w:highlight w:val="none"/>
              </w:rPr>
              <w:t xml:space="preserve">        二〇   年  月    日</w:t>
            </w:r>
          </w:p>
        </w:tc>
      </w:tr>
    </w:tbl>
    <w:p w14:paraId="3C1FCCF0">
      <w:pPr>
        <w:rPr>
          <w:rFonts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br w:type="page"/>
      </w:r>
    </w:p>
    <w:p w14:paraId="53D19F9A">
      <w:pPr>
        <w:spacing w:line="360" w:lineRule="auto"/>
        <w:rPr>
          <w:rFonts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特别说明：</w:t>
      </w:r>
    </w:p>
    <w:p w14:paraId="27A609DF">
      <w:pPr>
        <w:pStyle w:val="351"/>
        <w:spacing w:line="360" w:lineRule="auto"/>
        <w:ind w:firstLine="482"/>
        <w:rPr>
          <w:rFonts w:ascii="仿宋" w:hAnsi="仿宋" w:eastAsia="仿宋" w:cs="仿宋"/>
          <w:b/>
          <w:color w:val="auto"/>
          <w:sz w:val="24"/>
          <w:highlight w:val="none"/>
        </w:rPr>
      </w:pPr>
      <w:r>
        <w:rPr>
          <w:rFonts w:hint="eastAsia" w:ascii="仿宋" w:hAnsi="仿宋" w:eastAsia="仿宋" w:cs="仿宋"/>
          <w:b/>
          <w:color w:val="auto"/>
          <w:sz w:val="24"/>
          <w:highlight w:val="none"/>
        </w:rPr>
        <w:t>根据《关于在政府采购活动中推行信用承诺制的通知》（宁财购通[2021]5号）的规定，本项目磋商邀请中“二、申请人的资格要求 1.条”及“二、申请人的资格要求 9.条”中涉及的证明材料，供应商可以在电子响应文件中一次性提交，也可以在电子响应文件中提供满足相应条件的书面承诺书（南京市政府采购供应商信用记录表暨信用承诺书），不再需要提供上述涉及的证明材料。</w:t>
      </w:r>
    </w:p>
    <w:p w14:paraId="78A7BF58">
      <w:pPr>
        <w:spacing w:line="360" w:lineRule="auto"/>
        <w:ind w:firstLine="480" w:firstLineChars="200"/>
        <w:rPr>
          <w:rFonts w:ascii="仿宋" w:hAnsi="仿宋" w:eastAsia="仿宋" w:cs="仿宋"/>
          <w:bCs/>
          <w:color w:val="auto"/>
          <w:sz w:val="24"/>
          <w:highlight w:val="none"/>
        </w:rPr>
      </w:pPr>
      <w:r>
        <w:rPr>
          <w:rFonts w:hint="eastAsia" w:ascii="仿宋" w:hAnsi="仿宋" w:eastAsia="仿宋" w:cs="仿宋"/>
          <w:bCs/>
          <w:color w:val="auto"/>
          <w:sz w:val="24"/>
          <w:highlight w:val="none"/>
        </w:rPr>
        <w:t>在政府采购资格审查环节，供应商只需提供书面《南京市政府采购供应商信用记录表暨信用承诺书》，即可替代以下证明材料：（1）符合国家相关规定的财务状况报告；（2）依法缴纳税收的证明材料；（3）依法缴纳社会保障资金的证明材料；（4）具备履行政府采购合同所必需的设备和专业技术能力的证明材料；（5）参加政府采购活动前三年内在经营活动中没有重大违法记录的证明材料；（6）未被列入失信被执行人、重大税收违法失信主体、政府采购严重违法失信行为记录名单的证明材料。</w:t>
      </w:r>
    </w:p>
    <w:p w14:paraId="057CB72C">
      <w:pPr>
        <w:spacing w:line="360" w:lineRule="auto"/>
        <w:ind w:firstLine="480" w:firstLineChars="200"/>
        <w:rPr>
          <w:rFonts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供应商在中标（成交）后，应按采购文件要求，将上述由信用承诺书替代的证明材料提交采购人或采购代理机构核验。经核验无误后，由采购人或采购代理机构发出中标（成交）通知书。</w:t>
      </w:r>
    </w:p>
    <w:p w14:paraId="3463ACD2">
      <w:pPr>
        <w:spacing w:line="360" w:lineRule="auto"/>
        <w:ind w:firstLine="480" w:firstLineChars="200"/>
        <w:rPr>
          <w:rFonts w:hint="eastAsia" w:ascii="仿宋" w:hAnsi="仿宋" w:eastAsia="仿宋" w:cs="仿宋"/>
          <w:bCs/>
          <w:color w:val="auto"/>
          <w:sz w:val="24"/>
          <w:highlight w:val="none"/>
          <w:lang w:val="zh-CN"/>
        </w:rPr>
      </w:pPr>
      <w:r>
        <w:rPr>
          <w:rFonts w:hint="eastAsia" w:ascii="仿宋" w:hAnsi="仿宋" w:eastAsia="仿宋" w:cs="仿宋"/>
          <w:bCs/>
          <w:color w:val="auto"/>
          <w:sz w:val="24"/>
          <w:highlight w:val="none"/>
          <w:lang w:val="zh-CN"/>
        </w:rPr>
        <w:t>供应商对信用承诺内容的真实性、合法性、有效性负责。如作出虚假信用承诺，视同为“提供虚假材料谋取中标、成交”的违法行为。</w:t>
      </w:r>
    </w:p>
    <w:p w14:paraId="00100505">
      <w:pPr>
        <w:pStyle w:val="351"/>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供应商涉及以下情形的，不适用信用承诺，仍须提供上述证明材料：</w:t>
      </w:r>
    </w:p>
    <w:p w14:paraId="5FDD2E13">
      <w:pPr>
        <w:pStyle w:val="351"/>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（1）供应商被列入严重失信主体名单；</w:t>
      </w:r>
    </w:p>
    <w:p w14:paraId="7AB191D6">
      <w:pPr>
        <w:pStyle w:val="351"/>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（2）被相关监管部门作出行政处罚且尚在处罚有效期内；</w:t>
      </w:r>
    </w:p>
    <w:p w14:paraId="0E46A0E9">
      <w:pPr>
        <w:pStyle w:val="351"/>
        <w:spacing w:line="360" w:lineRule="auto"/>
        <w:ind w:firstLine="482"/>
        <w:rPr>
          <w:rFonts w:hint="eastAsia" w:ascii="仿宋" w:hAnsi="仿宋" w:eastAsia="仿宋" w:cs="仿宋"/>
          <w:b/>
          <w:color w:val="auto"/>
          <w:sz w:val="24"/>
          <w:highlight w:val="none"/>
        </w:rPr>
      </w:pPr>
      <w:r>
        <w:rPr>
          <w:rFonts w:hint="eastAsia" w:ascii="仿宋" w:hAnsi="仿宋" w:eastAsia="仿宋" w:cs="仿宋"/>
          <w:b/>
          <w:color w:val="auto"/>
          <w:sz w:val="24"/>
          <w:highlight w:val="none"/>
        </w:rPr>
        <w:t>（3）其他法律、行政法规规定的不适用信用承诺的情形。</w:t>
      </w:r>
    </w:p>
    <w:p w14:paraId="6B615048">
      <w:pPr>
        <w:pStyle w:val="351"/>
        <w:rPr>
          <w:color w:val="auto"/>
          <w:highlight w:val="none"/>
        </w:rPr>
      </w:pPr>
    </w:p>
    <w:sectPr>
      <w:pgSz w:w="11906" w:h="16838"/>
      <w:pgMar w:top="1417" w:right="1757" w:bottom="1417" w:left="1757" w:header="851" w:footer="964" w:gutter="0"/>
      <w:cols w:space="720" w:num="1"/>
      <w:docGrid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HYDaHeiJ">
    <w:altName w:val="宋体"/>
    <w:panose1 w:val="00000000000000000000"/>
    <w:charset w:val="86"/>
    <w:family w:val="auto"/>
    <w:pitch w:val="default"/>
    <w:sig w:usb0="00000000" w:usb1="00000000" w:usb2="00000010" w:usb3="00000000" w:csb0="00040000" w:csb1="00000000"/>
  </w:font>
  <w:font w:name="ˎ̥">
    <w:altName w:val="Times New Roman"/>
    <w:panose1 w:val="00000000000000000000"/>
    <w:charset w:val="00"/>
    <w:family w:val="auto"/>
    <w:pitch w:val="default"/>
    <w:sig w:usb0="00000000" w:usb1="00000000" w:usb2="00000000" w:usb3="00000000" w:csb0="00040001" w:csb1="00000000"/>
  </w:font>
  <w:font w:name="华文细黑">
    <w:panose1 w:val="02010600040101010101"/>
    <w:charset w:val="86"/>
    <w:family w:val="auto"/>
    <w:pitch w:val="default"/>
    <w:sig w:usb0="00000287" w:usb1="080F0000" w:usb2="00000000" w:usb3="00000000" w:csb0="0004009F" w:csb1="DFD70000"/>
  </w:font>
  <w:font w:name="Verdana">
    <w:panose1 w:val="020B0604030504040204"/>
    <w:charset w:val="00"/>
    <w:family w:val="swiss"/>
    <w:pitch w:val="default"/>
    <w:sig w:usb0="A00006FF" w:usb1="4000205B" w:usb2="00000010" w:usb3="00000000" w:csb0="2000019F" w:csb1="00000000"/>
  </w:font>
  <w:font w:name="等线">
    <w:panose1 w:val="02010600030101010101"/>
    <w:charset w:val="86"/>
    <w:family w:val="auto"/>
    <w:pitch w:val="default"/>
    <w:sig w:usb0="A00002BF" w:usb1="38CF7CFA" w:usb2="00000016" w:usb3="00000000" w:csb0="0004000F" w:csb1="00000000"/>
  </w:font>
  <w:font w:name="华文楷体">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微软雅黑">
    <w:panose1 w:val="020B0503020204020204"/>
    <w:charset w:val="86"/>
    <w:family w:val="swiss"/>
    <w:pitch w:val="default"/>
    <w:sig w:usb0="80000287" w:usb1="2ACF3C50" w:usb2="00000016" w:usb3="00000000" w:csb0="0004001F" w:csb1="00000000"/>
  </w:font>
  <w:font w:name="方正大黑简体">
    <w:altName w:val="黑体"/>
    <w:panose1 w:val="00000000000000000000"/>
    <w:charset w:val="00"/>
    <w:family w:val="auto"/>
    <w:pitch w:val="default"/>
    <w:sig w:usb0="00000000" w:usb1="00000000" w:usb2="00000000" w:usb3="00000000" w:csb0="00000000" w:csb1="00000000"/>
  </w:font>
  <w:font w:name="Georgia">
    <w:panose1 w:val="02040502050405020303"/>
    <w:charset w:val="00"/>
    <w:family w:val="roman"/>
    <w:pitch w:val="default"/>
    <w:sig w:usb0="00000287" w:usb1="00000000" w:usb2="00000000" w:usb3="00000000" w:csb0="2000009F" w:csb1="0000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EB0A6E">
    <w:pPr>
      <w:pStyle w:val="37"/>
    </w:pPr>
    <w:r>
      <w:rPr>
        <w:rFonts w:hint="eastAsia" w:ascii="仿宋" w:hAnsi="仿宋" w:eastAsia="仿宋" w:cs="仿宋"/>
        <w:b/>
        <w:bCs/>
      </w:rPr>
      <w:t>源成工程咨询（江苏南京）有限责任公司 电话：02</w:t>
    </w:r>
    <w:r>
      <w:rPr>
        <w:rFonts w:hint="eastAsia"/>
        <w:b/>
        <w:bCs/>
      </w:rPr>
      <w:t>5-86803150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824A57">
    <w:pPr>
      <w:pStyle w:val="3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8E7918">
    <w:pPr>
      <w:pStyle w:val="37"/>
      <w:jc w:val="center"/>
    </w:pPr>
  </w:p>
  <w:p w14:paraId="61814641">
    <w:pPr>
      <w:pStyle w:val="37"/>
      <w:rPr>
        <w:rFonts w:ascii="仿宋" w:hAnsi="仿宋" w:eastAsia="仿宋"/>
        <w:b/>
        <w:bCs/>
      </w:rPr>
    </w:pPr>
    <w:r>
      <w:pict>
        <v:shape id="000031" o:spid="_x0000_s2051" o:spt="202" type="#_x0000_t202" style="position:absolute;left:0pt;margin-left:207.3pt;margin-top:3.95pt;height:144pt;width:144pt;mso-position-horizontal-relative:margin;mso-wrap-style:none;z-index:251662336;mso-width-relative:page;mso-height-relative:page;" filled="f" stroked="f" coordsize="21600,21600" o:gfxdata="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DQycpG1gAAAAkBAAAPAAAAAAAAAAEAIAAAACIAAABkcnMvZG93bnJldi54bWxQ&#10;SwECFAAUAAAACACHTuJA4YDTjjICAABhBAAADgAAAAAAAAABACAAAAAlAQAAZHJzL2Uyb0RvYy54&#10;bWxQSwUGAAAAAAYABgBZAQAAyQUAAAAA&#10;">
          <v:path/>
          <v:fill on="f" focussize="0,0"/>
          <v:stroke on="f" weight="0.5pt" joinstyle="miter"/>
          <v:imagedata o:title=""/>
          <o:lock v:ext="edit"/>
          <v:textbox inset="0mm,0mm,0mm,0mm" style="mso-fit-shape-to-text:t;">
            <w:txbxContent>
              <w:p w14:paraId="26E8C4D8">
                <w:pPr>
                  <w:pStyle w:val="37"/>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BDA123">
    <w:pPr>
      <w:pStyle w:val="37"/>
      <w:framePr w:wrap="around" w:vAnchor="text" w:hAnchor="margin" w:xAlign="center" w:y="1"/>
    </w:pPr>
    <w:r>
      <w:fldChar w:fldCharType="begin"/>
    </w:r>
    <w:r>
      <w:rPr>
        <w:rStyle w:val="66"/>
      </w:rPr>
      <w:instrText xml:space="preserve">PAGE  </w:instrText>
    </w:r>
    <w:r>
      <w:fldChar w:fldCharType="separate"/>
    </w:r>
    <w:r>
      <w:rPr>
        <w:rStyle w:val="66"/>
      </w:rPr>
      <w:t>1</w:t>
    </w:r>
    <w:r>
      <w:fldChar w:fldCharType="end"/>
    </w:r>
  </w:p>
  <w:p w14:paraId="73DB02F0">
    <w:pPr>
      <w:pStyle w:val="37"/>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085895">
    <w:pPr>
      <w:pStyle w:val="37"/>
    </w:pPr>
    <w:r>
      <w:pict>
        <v:rect id="文本框 3" o:spid="_x0000_s2049" o:spt="1" style="position:absolute;left:0pt;margin-top:0pt;height:10.35pt;width:9.05pt;mso-position-horizontal:center;mso-position-horizontal-relative:margin;mso-wrap-style:none;z-index:251660288;mso-width-relative:page;mso-height-relative:page;" filled="f" stroked="f" coordsize="21600,21600">
          <v:path/>
          <v:fill on="f" focussize="0,0"/>
          <v:stroke on="f"/>
          <v:imagedata o:title=""/>
          <o:lock v:ext="edit"/>
          <v:textbox inset="0mm,0mm,0mm,0mm" style="mso-fit-shape-to-text:t;">
            <w:txbxContent>
              <w:p w14:paraId="187EB143">
                <w:pPr>
                  <w:pStyle w:val="37"/>
                </w:pPr>
              </w:p>
            </w:txbxContent>
          </v:textbox>
        </v:rect>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09FE6C2">
    <w:pPr>
      <w:pStyle w:val="37"/>
      <w:jc w:val="center"/>
    </w:pPr>
    <w:r>
      <w:pict>
        <v:shape id="00002b" o:spid="_x0000_s2050"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path/>
          <v:fill on="f" focussize="0,0"/>
          <v:stroke on="f" weight="0.5pt" joinstyle="miter"/>
          <v:imagedata o:title=""/>
          <o:lock v:ext="edit"/>
          <v:textbox inset="0mm,0mm,0mm,0mm" style="mso-fit-shape-to-text:t;">
            <w:txbxContent>
              <w:p w14:paraId="42770304">
                <w:pPr>
                  <w:pStyle w:val="37"/>
                  <w:jc w:val="center"/>
                </w:pP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CD357B">
    <w:pPr>
      <w:pStyle w:val="37"/>
    </w:pPr>
    <w:r>
      <w:pict>
        <v:shape id="000028" o:spid="_x0000_s2052"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UX5QmyQEAAJkDAAAOAAAAAAAAAAEAIAAAAB4BAABkcnMvZTJvRG9j&#10;LnhtbFBLBQYAAAAABgAGAFkBAABZBQAAAAA=&#10;">
          <v:path/>
          <v:fill on="f" focussize="0,0"/>
          <v:stroke on="f" joinstyle="miter"/>
          <v:imagedata o:title=""/>
          <o:lock v:ext="edit"/>
          <v:textbox inset="0mm,0mm,0mm,0mm" style="mso-fit-shape-to-text:t;">
            <w:txbxContent>
              <w:p w14:paraId="462B9409">
                <w:pPr>
                  <w:pStyle w:val="37"/>
                  <w:rPr>
                    <w:rFonts w:ascii="宋体" w:hAnsi="宋体"/>
                    <w:sz w:val="28"/>
                  </w:rPr>
                </w:pPr>
                <w:r>
                  <w:rPr>
                    <w:rFonts w:ascii="宋体" w:hAnsi="宋体"/>
                    <w:sz w:val="28"/>
                  </w:rPr>
                  <w:t>—</w:t>
                </w:r>
                <w:r>
                  <w:rPr>
                    <w:rFonts w:ascii="宋体" w:hAnsi="宋体"/>
                    <w:sz w:val="24"/>
                  </w:rPr>
                  <w:t>　　</w:t>
                </w:r>
                <w:r>
                  <w:rPr>
                    <w:rFonts w:ascii="宋体" w:hAnsi="宋体"/>
                    <w:sz w:val="28"/>
                  </w:rPr>
                  <w:t>—</w:t>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A18E47">
    <w:pPr>
      <w:pStyle w:val="38"/>
      <w:pBdr>
        <w:bottom w:val="single" w:color="auto" w:sz="4" w:space="0"/>
      </w:pBdr>
      <w:rPr>
        <w:b/>
        <w:bCs/>
        <w:szCs w:val="18"/>
      </w:rPr>
    </w:pPr>
    <w:r>
      <w:rPr>
        <w:rFonts w:hint="eastAsia" w:ascii="仿宋" w:hAnsi="仿宋" w:eastAsia="仿宋"/>
        <w:color w:val="000000"/>
        <w:szCs w:val="18"/>
        <w:lang w:val="zh-CN"/>
      </w:rPr>
      <w:t>雨花台区文化和旅游局雨花非遗・艺启同行—雨花台区非遗推广项目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3C8C21">
    <w:pPr>
      <w:pStyle w:val="3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B58DE">
    <w:pPr>
      <w:pStyle w:val="38"/>
      <w:pBdr>
        <w:bottom w:val="none" w:color="auto" w:sz="0" w:space="1"/>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8931C2">
    <w:pPr>
      <w:pStyle w:val="38"/>
      <w:rPr>
        <w:rFonts w:hint="eastAsia" w:eastAsia="宋体"/>
        <w:b/>
        <w:bCs/>
        <w:lang w:eastAsia="zh-CN"/>
      </w:rPr>
    </w:pPr>
    <w:r>
      <w:rPr>
        <w:rFonts w:hint="eastAsia" w:eastAsia="仿宋"/>
        <w:szCs w:val="18"/>
        <w:lang w:eastAsia="zh-CN"/>
      </w:rPr>
      <w:t>雨花台区文化和旅游局雨花非遗・艺启同行—雨花台区非遗推广项目</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2A826">
    <w:pPr>
      <w:pStyle w:val="38"/>
      <w:rPr>
        <w:rFonts w:hint="eastAsia" w:eastAsia="宋体"/>
        <w:lang w:eastAsia="zh-CN"/>
      </w:rPr>
    </w:pPr>
    <w:r>
      <w:rPr>
        <w:rFonts w:hint="eastAsia" w:eastAsia="仿宋"/>
        <w:szCs w:val="18"/>
        <w:lang w:eastAsia="zh-CN"/>
      </w:rPr>
      <w:t>雨花台区文化和旅游局雨花非遗・艺启同行—雨花台区非遗推广项目</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84651DC"/>
    <w:multiLevelType w:val="singleLevel"/>
    <w:tmpl w:val="B84651DC"/>
    <w:lvl w:ilvl="0" w:tentative="0">
      <w:start w:val="4"/>
      <w:numFmt w:val="chineseCounting"/>
      <w:suff w:val="space"/>
      <w:lvlText w:val="第%1章"/>
      <w:lvlJc w:val="left"/>
      <w:pPr>
        <w:ind w:firstLine="2890" w:firstLineChars="1203"/>
      </w:pPr>
      <w:rPr>
        <w:rFonts w:hint="eastAsia"/>
      </w:rPr>
    </w:lvl>
  </w:abstractNum>
  <w:abstractNum w:abstractNumId="1">
    <w:nsid w:val="C11B0751"/>
    <w:multiLevelType w:val="singleLevel"/>
    <w:tmpl w:val="C11B0751"/>
    <w:lvl w:ilvl="0" w:tentative="0">
      <w:start w:val="5"/>
      <w:numFmt w:val="chineseCounting"/>
      <w:suff w:val="space"/>
      <w:lvlText w:val="第%1章"/>
      <w:lvlJc w:val="left"/>
      <w:rPr>
        <w:rFonts w:hint="eastAsia"/>
      </w:rPr>
    </w:lvl>
  </w:abstractNum>
  <w:abstractNum w:abstractNumId="2">
    <w:nsid w:val="FA466234"/>
    <w:multiLevelType w:val="singleLevel"/>
    <w:tmpl w:val="FA466234"/>
    <w:lvl w:ilvl="0" w:tentative="0">
      <w:start w:val="3"/>
      <w:numFmt w:val="chineseCounting"/>
      <w:suff w:val="nothing"/>
      <w:lvlText w:val="%1、"/>
      <w:lvlJc w:val="left"/>
      <w:rPr>
        <w:rFonts w:hint="eastAsia"/>
      </w:rPr>
    </w:lvl>
  </w:abstractNum>
  <w:abstractNum w:abstractNumId="3">
    <w:nsid w:val="00000006"/>
    <w:multiLevelType w:val="multilevel"/>
    <w:tmpl w:val="00000006"/>
    <w:lvl w:ilvl="0" w:tentative="0">
      <w:start w:val="1"/>
      <w:numFmt w:val="bullet"/>
      <w:pStyle w:val="410"/>
      <w:lvlText w:val=""/>
      <w:lvlJc w:val="left"/>
      <w:pPr>
        <w:tabs>
          <w:tab w:val="left" w:pos="420"/>
        </w:tabs>
        <w:ind w:left="420" w:hanging="420"/>
      </w:pPr>
      <w:rPr>
        <w:rFonts w:hint="default" w:ascii="Wingdings" w:hAnsi="Wingdings"/>
      </w:rPr>
    </w:lvl>
    <w:lvl w:ilvl="1" w:tentative="0">
      <w:start w:val="1"/>
      <w:numFmt w:val="decimal"/>
      <w:lvlText w:val="（%2）"/>
      <w:lvlJc w:val="left"/>
      <w:pPr>
        <w:tabs>
          <w:tab w:val="left" w:pos="1500"/>
        </w:tabs>
        <w:ind w:left="1500" w:hanging="1080"/>
      </w:pPr>
      <w:rPr>
        <w:rFonts w:hint="eastAsia"/>
      </w:rPr>
    </w:lvl>
    <w:lvl w:ilvl="2" w:tentative="0">
      <w:start w:val="1"/>
      <w:numFmt w:val="decimal"/>
      <w:lvlText w:val="（%3）"/>
      <w:lvlJc w:val="left"/>
      <w:pPr>
        <w:tabs>
          <w:tab w:val="left" w:pos="1560"/>
        </w:tabs>
        <w:ind w:left="1560" w:hanging="7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
    <w:nsid w:val="00000009"/>
    <w:multiLevelType w:val="multilevel"/>
    <w:tmpl w:val="00000009"/>
    <w:lvl w:ilvl="0" w:tentative="0">
      <w:start w:val="1"/>
      <w:numFmt w:val="decimal"/>
      <w:pStyle w:val="216"/>
      <w:lvlText w:val="(%1)"/>
      <w:lvlJc w:val="left"/>
      <w:pPr>
        <w:tabs>
          <w:tab w:val="left" w:pos="397"/>
        </w:tabs>
        <w:ind w:left="397" w:hanging="397"/>
      </w:pPr>
      <w:rPr>
        <w:rFonts w:hint="default" w:ascii="Arial" w:hAnsi="Arial" w:eastAsia="宋体"/>
        <w:b w:val="0"/>
        <w:i w:val="0"/>
        <w:color w:val="auto"/>
        <w:sz w:val="18"/>
        <w:szCs w:val="18"/>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pStyle w:val="158"/>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0000000A"/>
    <w:multiLevelType w:val="singleLevel"/>
    <w:tmpl w:val="0000000A"/>
    <w:lvl w:ilvl="0" w:tentative="0">
      <w:start w:val="1"/>
      <w:numFmt w:val="bullet"/>
      <w:pStyle w:val="374"/>
      <w:lvlText w:val=""/>
      <w:lvlJc w:val="left"/>
      <w:pPr>
        <w:tabs>
          <w:tab w:val="left" w:pos="360"/>
        </w:tabs>
        <w:ind w:left="360" w:hanging="360"/>
      </w:pPr>
      <w:rPr>
        <w:rFonts w:hint="default" w:ascii="Symbol" w:hAnsi="Symbol"/>
      </w:rPr>
    </w:lvl>
  </w:abstractNum>
  <w:abstractNum w:abstractNumId="6">
    <w:nsid w:val="0000000B"/>
    <w:multiLevelType w:val="multilevel"/>
    <w:tmpl w:val="0000000B"/>
    <w:lvl w:ilvl="0" w:tentative="0">
      <w:start w:val="1"/>
      <w:numFmt w:val="decimal"/>
      <w:pStyle w:val="413"/>
      <w:lvlText w:val="%1"/>
      <w:lvlJc w:val="left"/>
      <w:pPr>
        <w:tabs>
          <w:tab w:val="left" w:pos="567"/>
        </w:tabs>
        <w:ind w:left="567" w:hanging="567"/>
      </w:pPr>
      <w:rPr>
        <w:rFonts w:hint="eastAsia"/>
      </w:rPr>
    </w:lvl>
    <w:lvl w:ilvl="1" w:tentative="0">
      <w:start w:val="1"/>
      <w:numFmt w:val="decimal"/>
      <w:pStyle w:val="378"/>
      <w:lvlText w:val="%1.%2"/>
      <w:lvlJc w:val="left"/>
      <w:pPr>
        <w:tabs>
          <w:tab w:val="left" w:pos="1004"/>
        </w:tabs>
        <w:ind w:left="567" w:hanging="283"/>
      </w:pPr>
      <w:rPr>
        <w:rFonts w:hint="eastAsia"/>
      </w:rPr>
    </w:lvl>
    <w:lvl w:ilvl="2" w:tentative="0">
      <w:start w:val="1"/>
      <w:numFmt w:val="decimal"/>
      <w:lvlText w:val="%1.%2.%3"/>
      <w:lvlJc w:val="left"/>
      <w:pPr>
        <w:tabs>
          <w:tab w:val="left" w:pos="1647"/>
        </w:tabs>
        <w:ind w:left="1134" w:hanging="567"/>
      </w:pPr>
      <w:rPr>
        <w:rFonts w:hint="eastAsia"/>
      </w:rPr>
    </w:lvl>
    <w:lvl w:ilvl="3" w:tentative="0">
      <w:start w:val="1"/>
      <w:numFmt w:val="decimal"/>
      <w:lvlText w:val="%1.%2.%3.%4"/>
      <w:lvlJc w:val="left"/>
      <w:pPr>
        <w:tabs>
          <w:tab w:val="left" w:pos="3223"/>
        </w:tabs>
        <w:ind w:left="2851" w:hanging="708"/>
      </w:pPr>
      <w:rPr>
        <w:rFonts w:hint="eastAsia"/>
      </w:rPr>
    </w:lvl>
    <w:lvl w:ilvl="4" w:tentative="0">
      <w:start w:val="1"/>
      <w:numFmt w:val="decimal"/>
      <w:lvlText w:val="%1.%2.%3.%4.%5"/>
      <w:lvlJc w:val="left"/>
      <w:pPr>
        <w:tabs>
          <w:tab w:val="left" w:pos="3648"/>
        </w:tabs>
        <w:ind w:left="3418" w:hanging="850"/>
      </w:pPr>
      <w:rPr>
        <w:rFonts w:hint="eastAsia"/>
      </w:rPr>
    </w:lvl>
    <w:lvl w:ilvl="5" w:tentative="0">
      <w:start w:val="1"/>
      <w:numFmt w:val="decimal"/>
      <w:lvlText w:val="%1.%2.%3.%4.%5.%6"/>
      <w:lvlJc w:val="left"/>
      <w:pPr>
        <w:tabs>
          <w:tab w:val="left" w:pos="4433"/>
        </w:tabs>
        <w:ind w:left="4127" w:hanging="1134"/>
      </w:pPr>
      <w:rPr>
        <w:rFonts w:hint="eastAsia"/>
      </w:rPr>
    </w:lvl>
    <w:lvl w:ilvl="6" w:tentative="0">
      <w:start w:val="1"/>
      <w:numFmt w:val="decimal"/>
      <w:lvlText w:val="%1.%2.%3.%4.%5.%6.%7"/>
      <w:lvlJc w:val="left"/>
      <w:pPr>
        <w:tabs>
          <w:tab w:val="left" w:pos="4858"/>
        </w:tabs>
        <w:ind w:left="4694" w:hanging="1276"/>
      </w:pPr>
      <w:rPr>
        <w:rFonts w:hint="eastAsia"/>
      </w:rPr>
    </w:lvl>
    <w:lvl w:ilvl="7" w:tentative="0">
      <w:start w:val="1"/>
      <w:numFmt w:val="decimal"/>
      <w:lvlText w:val="%1.%2.%3.%4.%5.%6.%7.%8"/>
      <w:lvlJc w:val="left"/>
      <w:pPr>
        <w:tabs>
          <w:tab w:val="left" w:pos="5643"/>
        </w:tabs>
        <w:ind w:left="5261" w:hanging="1418"/>
      </w:pPr>
      <w:rPr>
        <w:rFonts w:hint="eastAsia"/>
      </w:rPr>
    </w:lvl>
    <w:lvl w:ilvl="8" w:tentative="0">
      <w:start w:val="1"/>
      <w:numFmt w:val="decimal"/>
      <w:lvlText w:val="%1.%2.%3.%4.%5.%6.%7.%8.%9"/>
      <w:lvlJc w:val="left"/>
      <w:pPr>
        <w:tabs>
          <w:tab w:val="left" w:pos="6429"/>
        </w:tabs>
        <w:ind w:left="5969" w:hanging="1700"/>
      </w:pPr>
      <w:rPr>
        <w:rFonts w:hint="eastAsia"/>
      </w:rPr>
    </w:lvl>
  </w:abstractNum>
  <w:num w:numId="1">
    <w:abstractNumId w:val="4"/>
  </w:num>
  <w:num w:numId="2">
    <w:abstractNumId w:val="5"/>
  </w:num>
  <w:num w:numId="3">
    <w:abstractNumId w:val="6"/>
  </w:num>
  <w:num w:numId="4">
    <w:abstractNumId w:val="3"/>
  </w:num>
  <w:num w:numId="5">
    <w:abstractNumId w:val="2"/>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5"/>
  <w:drawingGridHorizontalSpacing w:val="95"/>
  <w:drawingGridVerticalSpacing w:val="163"/>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2"/>
  </w:compat>
  <w:docVars>
    <w:docVar w:name="commondata" w:val="eyJoZGlkIjoiMGVjMTE1MDc1N2Q3OGIzYzJkNmZlZTkxZGZiMzQ4NmEifQ=="/>
  </w:docVars>
  <w:rsids>
    <w:rsidRoot w:val="008C082B"/>
    <w:rsid w:val="001B4F94"/>
    <w:rsid w:val="0038360A"/>
    <w:rsid w:val="004478E3"/>
    <w:rsid w:val="00675374"/>
    <w:rsid w:val="00677D80"/>
    <w:rsid w:val="00691363"/>
    <w:rsid w:val="0089307E"/>
    <w:rsid w:val="008C082B"/>
    <w:rsid w:val="00981E00"/>
    <w:rsid w:val="00AC4C3A"/>
    <w:rsid w:val="00B272CB"/>
    <w:rsid w:val="00BF52BD"/>
    <w:rsid w:val="00DE3276"/>
    <w:rsid w:val="00E75E51"/>
    <w:rsid w:val="00EF3361"/>
    <w:rsid w:val="0167398B"/>
    <w:rsid w:val="018F4393"/>
    <w:rsid w:val="01997294"/>
    <w:rsid w:val="028971C5"/>
    <w:rsid w:val="02B514E0"/>
    <w:rsid w:val="02E96621"/>
    <w:rsid w:val="035937A7"/>
    <w:rsid w:val="040E4592"/>
    <w:rsid w:val="047D5273"/>
    <w:rsid w:val="04A66578"/>
    <w:rsid w:val="04D76F43"/>
    <w:rsid w:val="0596483F"/>
    <w:rsid w:val="064A387B"/>
    <w:rsid w:val="06A912EE"/>
    <w:rsid w:val="073A38EF"/>
    <w:rsid w:val="076F17EB"/>
    <w:rsid w:val="077A050E"/>
    <w:rsid w:val="08900D84"/>
    <w:rsid w:val="08DB0558"/>
    <w:rsid w:val="0A4463A1"/>
    <w:rsid w:val="0AD7015E"/>
    <w:rsid w:val="0BE65DF4"/>
    <w:rsid w:val="0C2E5542"/>
    <w:rsid w:val="0C7B29E0"/>
    <w:rsid w:val="0CCC55CF"/>
    <w:rsid w:val="0CEF0DC9"/>
    <w:rsid w:val="0D070A3C"/>
    <w:rsid w:val="0DFE11D3"/>
    <w:rsid w:val="0E8E6351"/>
    <w:rsid w:val="0E983A01"/>
    <w:rsid w:val="0EE26D46"/>
    <w:rsid w:val="0F5337A0"/>
    <w:rsid w:val="0F5B4403"/>
    <w:rsid w:val="10173C1F"/>
    <w:rsid w:val="10465BD8"/>
    <w:rsid w:val="10CA1840"/>
    <w:rsid w:val="11561ADA"/>
    <w:rsid w:val="11AA0D92"/>
    <w:rsid w:val="13EB044B"/>
    <w:rsid w:val="14465682"/>
    <w:rsid w:val="14466612"/>
    <w:rsid w:val="14B313AE"/>
    <w:rsid w:val="15192241"/>
    <w:rsid w:val="159266A5"/>
    <w:rsid w:val="159D6CF6"/>
    <w:rsid w:val="15C076B6"/>
    <w:rsid w:val="16125FAB"/>
    <w:rsid w:val="16267932"/>
    <w:rsid w:val="1638549E"/>
    <w:rsid w:val="1647748F"/>
    <w:rsid w:val="16C76318"/>
    <w:rsid w:val="177644D0"/>
    <w:rsid w:val="180B5673"/>
    <w:rsid w:val="182E0907"/>
    <w:rsid w:val="183323C1"/>
    <w:rsid w:val="18337AF0"/>
    <w:rsid w:val="18736C61"/>
    <w:rsid w:val="18D72D4C"/>
    <w:rsid w:val="193C3203"/>
    <w:rsid w:val="196E20BE"/>
    <w:rsid w:val="19C92FDD"/>
    <w:rsid w:val="19CA1593"/>
    <w:rsid w:val="19E349C9"/>
    <w:rsid w:val="1A38556A"/>
    <w:rsid w:val="1A3B555D"/>
    <w:rsid w:val="1A8C401B"/>
    <w:rsid w:val="1AAD645B"/>
    <w:rsid w:val="1AED22AB"/>
    <w:rsid w:val="1B1E2CB6"/>
    <w:rsid w:val="1B917B2A"/>
    <w:rsid w:val="1BCE4B6B"/>
    <w:rsid w:val="1C2D7127"/>
    <w:rsid w:val="1C791BE0"/>
    <w:rsid w:val="1CDF6673"/>
    <w:rsid w:val="1D437FEC"/>
    <w:rsid w:val="1D57445C"/>
    <w:rsid w:val="1D6C1275"/>
    <w:rsid w:val="1DEA52D0"/>
    <w:rsid w:val="1E46766D"/>
    <w:rsid w:val="1F0625DD"/>
    <w:rsid w:val="1F114ADE"/>
    <w:rsid w:val="1FD835F2"/>
    <w:rsid w:val="20F042E7"/>
    <w:rsid w:val="21E84AE2"/>
    <w:rsid w:val="232B2612"/>
    <w:rsid w:val="23641680"/>
    <w:rsid w:val="238178FA"/>
    <w:rsid w:val="24A31581"/>
    <w:rsid w:val="24C10F67"/>
    <w:rsid w:val="25112FDF"/>
    <w:rsid w:val="25896B74"/>
    <w:rsid w:val="25C26B32"/>
    <w:rsid w:val="25C82E47"/>
    <w:rsid w:val="25F82A07"/>
    <w:rsid w:val="262775F9"/>
    <w:rsid w:val="26DF3E05"/>
    <w:rsid w:val="27610DC3"/>
    <w:rsid w:val="27796C51"/>
    <w:rsid w:val="27D56FF1"/>
    <w:rsid w:val="286F11F3"/>
    <w:rsid w:val="288E0F4E"/>
    <w:rsid w:val="28B17D05"/>
    <w:rsid w:val="28CA602F"/>
    <w:rsid w:val="28E345CD"/>
    <w:rsid w:val="28F25980"/>
    <w:rsid w:val="29CC4E38"/>
    <w:rsid w:val="2A1007D5"/>
    <w:rsid w:val="2A2D3EE6"/>
    <w:rsid w:val="2A4C491D"/>
    <w:rsid w:val="2AA77A11"/>
    <w:rsid w:val="2B9F188A"/>
    <w:rsid w:val="2C0C4FAB"/>
    <w:rsid w:val="2C271DE5"/>
    <w:rsid w:val="2D067C4C"/>
    <w:rsid w:val="2D5B1D46"/>
    <w:rsid w:val="2D88240F"/>
    <w:rsid w:val="2D93312D"/>
    <w:rsid w:val="2DBB27E5"/>
    <w:rsid w:val="2DCC46F8"/>
    <w:rsid w:val="2E8B0409"/>
    <w:rsid w:val="2EB23BE8"/>
    <w:rsid w:val="2EB6515B"/>
    <w:rsid w:val="2ED55B28"/>
    <w:rsid w:val="2F071DB4"/>
    <w:rsid w:val="309061AB"/>
    <w:rsid w:val="30DE20DF"/>
    <w:rsid w:val="31BD2FCF"/>
    <w:rsid w:val="31CE7C6F"/>
    <w:rsid w:val="3216623C"/>
    <w:rsid w:val="326276D3"/>
    <w:rsid w:val="3303775D"/>
    <w:rsid w:val="33435756"/>
    <w:rsid w:val="33D20888"/>
    <w:rsid w:val="33EC534F"/>
    <w:rsid w:val="341B6468"/>
    <w:rsid w:val="3434509F"/>
    <w:rsid w:val="34545741"/>
    <w:rsid w:val="34991891"/>
    <w:rsid w:val="34AF21AE"/>
    <w:rsid w:val="34D2191B"/>
    <w:rsid w:val="34D34E1B"/>
    <w:rsid w:val="35066A3B"/>
    <w:rsid w:val="3515300D"/>
    <w:rsid w:val="357B3B55"/>
    <w:rsid w:val="360A255B"/>
    <w:rsid w:val="363475D8"/>
    <w:rsid w:val="36605C95"/>
    <w:rsid w:val="366A3222"/>
    <w:rsid w:val="367D2D2D"/>
    <w:rsid w:val="36941E25"/>
    <w:rsid w:val="37215DAE"/>
    <w:rsid w:val="373A29CC"/>
    <w:rsid w:val="37AE67D6"/>
    <w:rsid w:val="37E30B3F"/>
    <w:rsid w:val="38E12E37"/>
    <w:rsid w:val="39184F8F"/>
    <w:rsid w:val="39311BAD"/>
    <w:rsid w:val="396E1053"/>
    <w:rsid w:val="398D772B"/>
    <w:rsid w:val="3A1379D5"/>
    <w:rsid w:val="3A6366DE"/>
    <w:rsid w:val="3A706705"/>
    <w:rsid w:val="3A7723B6"/>
    <w:rsid w:val="3B126233"/>
    <w:rsid w:val="3BC93FB9"/>
    <w:rsid w:val="3BF770DE"/>
    <w:rsid w:val="3D31729A"/>
    <w:rsid w:val="3E247F32"/>
    <w:rsid w:val="3ED01E68"/>
    <w:rsid w:val="3EE55913"/>
    <w:rsid w:val="3F070F76"/>
    <w:rsid w:val="40D269B2"/>
    <w:rsid w:val="413F0A01"/>
    <w:rsid w:val="419D09E9"/>
    <w:rsid w:val="42050FD2"/>
    <w:rsid w:val="420C03C5"/>
    <w:rsid w:val="42CD6DEA"/>
    <w:rsid w:val="432B58B9"/>
    <w:rsid w:val="435105CA"/>
    <w:rsid w:val="437A5B0C"/>
    <w:rsid w:val="43805C0B"/>
    <w:rsid w:val="43C81360"/>
    <w:rsid w:val="43CD6976"/>
    <w:rsid w:val="441D16AC"/>
    <w:rsid w:val="446B0669"/>
    <w:rsid w:val="44DB78D1"/>
    <w:rsid w:val="44EE3048"/>
    <w:rsid w:val="45091C30"/>
    <w:rsid w:val="45440ADD"/>
    <w:rsid w:val="45A57BAB"/>
    <w:rsid w:val="469F0A9E"/>
    <w:rsid w:val="46F425C9"/>
    <w:rsid w:val="488E5AE2"/>
    <w:rsid w:val="48C77E38"/>
    <w:rsid w:val="493B5704"/>
    <w:rsid w:val="49B760FE"/>
    <w:rsid w:val="49E842A1"/>
    <w:rsid w:val="4A0C177C"/>
    <w:rsid w:val="4A3C480F"/>
    <w:rsid w:val="4AA77F21"/>
    <w:rsid w:val="4BA1602C"/>
    <w:rsid w:val="4C6F0F12"/>
    <w:rsid w:val="4CBA03DF"/>
    <w:rsid w:val="4D0258E3"/>
    <w:rsid w:val="4D164F68"/>
    <w:rsid w:val="4D6D36A4"/>
    <w:rsid w:val="4D9F75D5"/>
    <w:rsid w:val="4E712D20"/>
    <w:rsid w:val="4ED228E5"/>
    <w:rsid w:val="4F12213F"/>
    <w:rsid w:val="4F5C39D0"/>
    <w:rsid w:val="4F665F25"/>
    <w:rsid w:val="4FD93F42"/>
    <w:rsid w:val="4FE51AA4"/>
    <w:rsid w:val="50381957"/>
    <w:rsid w:val="506762FC"/>
    <w:rsid w:val="50A666F9"/>
    <w:rsid w:val="510B27CD"/>
    <w:rsid w:val="51AF1158"/>
    <w:rsid w:val="52624241"/>
    <w:rsid w:val="53B042EA"/>
    <w:rsid w:val="53F1045F"/>
    <w:rsid w:val="550E0512"/>
    <w:rsid w:val="557B26D6"/>
    <w:rsid w:val="557E14FF"/>
    <w:rsid w:val="55823A64"/>
    <w:rsid w:val="55E2030D"/>
    <w:rsid w:val="560E52F8"/>
    <w:rsid w:val="564725B8"/>
    <w:rsid w:val="567C04B4"/>
    <w:rsid w:val="568410FF"/>
    <w:rsid w:val="56B20379"/>
    <w:rsid w:val="57C835E7"/>
    <w:rsid w:val="57DB3900"/>
    <w:rsid w:val="58574D15"/>
    <w:rsid w:val="586631C9"/>
    <w:rsid w:val="59224C02"/>
    <w:rsid w:val="5989003B"/>
    <w:rsid w:val="59E57F21"/>
    <w:rsid w:val="5AC365AB"/>
    <w:rsid w:val="5B24463F"/>
    <w:rsid w:val="5B9C33A6"/>
    <w:rsid w:val="5BC528FD"/>
    <w:rsid w:val="5C7560D1"/>
    <w:rsid w:val="5CDD21DD"/>
    <w:rsid w:val="5D3C274B"/>
    <w:rsid w:val="5D734CD9"/>
    <w:rsid w:val="5E2356B9"/>
    <w:rsid w:val="5E267E72"/>
    <w:rsid w:val="5E6F6B50"/>
    <w:rsid w:val="5E84084D"/>
    <w:rsid w:val="5EB32EE1"/>
    <w:rsid w:val="5F1448CF"/>
    <w:rsid w:val="5F3626CB"/>
    <w:rsid w:val="5FB96D2A"/>
    <w:rsid w:val="604F44B7"/>
    <w:rsid w:val="615B6083"/>
    <w:rsid w:val="61AB4AFE"/>
    <w:rsid w:val="62347E94"/>
    <w:rsid w:val="62C21944"/>
    <w:rsid w:val="630E6DBF"/>
    <w:rsid w:val="631A352E"/>
    <w:rsid w:val="633F4D43"/>
    <w:rsid w:val="637D1D0F"/>
    <w:rsid w:val="645C36D2"/>
    <w:rsid w:val="6599745D"/>
    <w:rsid w:val="65C25F57"/>
    <w:rsid w:val="665E1984"/>
    <w:rsid w:val="671F2DAF"/>
    <w:rsid w:val="675D3BAF"/>
    <w:rsid w:val="67660CA3"/>
    <w:rsid w:val="67B32EBE"/>
    <w:rsid w:val="67BB3B99"/>
    <w:rsid w:val="688B0A2A"/>
    <w:rsid w:val="689A14B5"/>
    <w:rsid w:val="696D44B5"/>
    <w:rsid w:val="69D106BF"/>
    <w:rsid w:val="69E76134"/>
    <w:rsid w:val="69FF27F5"/>
    <w:rsid w:val="6B32518D"/>
    <w:rsid w:val="6BDD159D"/>
    <w:rsid w:val="6C022DB1"/>
    <w:rsid w:val="6CDF1345"/>
    <w:rsid w:val="6CFC5A53"/>
    <w:rsid w:val="6E9028F6"/>
    <w:rsid w:val="6F0F4163"/>
    <w:rsid w:val="6F89280C"/>
    <w:rsid w:val="6FDF71E9"/>
    <w:rsid w:val="70501D42"/>
    <w:rsid w:val="705A7660"/>
    <w:rsid w:val="707B75D6"/>
    <w:rsid w:val="70F058CE"/>
    <w:rsid w:val="71A843FB"/>
    <w:rsid w:val="71B25A66"/>
    <w:rsid w:val="71BC3A02"/>
    <w:rsid w:val="72116D31"/>
    <w:rsid w:val="74251D33"/>
    <w:rsid w:val="74C0782F"/>
    <w:rsid w:val="74C65A2E"/>
    <w:rsid w:val="74FA7BC9"/>
    <w:rsid w:val="751C1388"/>
    <w:rsid w:val="753366D1"/>
    <w:rsid w:val="75842A89"/>
    <w:rsid w:val="75AE7B06"/>
    <w:rsid w:val="762D1373"/>
    <w:rsid w:val="770505EE"/>
    <w:rsid w:val="773B361B"/>
    <w:rsid w:val="78085BF3"/>
    <w:rsid w:val="78EA354B"/>
    <w:rsid w:val="78FD6DDA"/>
    <w:rsid w:val="791D122B"/>
    <w:rsid w:val="79C9788C"/>
    <w:rsid w:val="79E012E2"/>
    <w:rsid w:val="7A5D4D7E"/>
    <w:rsid w:val="7B037667"/>
    <w:rsid w:val="7B1B3E90"/>
    <w:rsid w:val="7B8E4662"/>
    <w:rsid w:val="7BB07F8B"/>
    <w:rsid w:val="7BBA7205"/>
    <w:rsid w:val="7BE2675B"/>
    <w:rsid w:val="7C55517F"/>
    <w:rsid w:val="7C6158D2"/>
    <w:rsid w:val="7C8810B1"/>
    <w:rsid w:val="7D5E7904"/>
    <w:rsid w:val="7D65176C"/>
    <w:rsid w:val="7D711B45"/>
    <w:rsid w:val="7DAA32A9"/>
    <w:rsid w:val="7DDB5C70"/>
    <w:rsid w:val="7E0B3DE4"/>
    <w:rsid w:val="7E977CD1"/>
    <w:rsid w:val="7E9A5404"/>
    <w:rsid w:val="7EBA44CA"/>
    <w:rsid w:val="7F160BF6"/>
    <w:rsid w:val="7FF30F3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qFormat="1"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qFormat="1"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iPriority="99"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214"/>
    <w:qFormat/>
    <w:uiPriority w:val="0"/>
    <w:pPr>
      <w:keepNext/>
      <w:tabs>
        <w:tab w:val="left" w:pos="1440"/>
        <w:tab w:val="left" w:pos="5670"/>
      </w:tabs>
      <w:spacing w:beforeLines="100" w:afterLines="100"/>
      <w:ind w:firstLine="2890" w:firstLineChars="1203"/>
      <w:jc w:val="left"/>
      <w:outlineLvl w:val="0"/>
    </w:pPr>
    <w:rPr>
      <w:rFonts w:ascii="黑体" w:eastAsia="仿宋"/>
      <w:b/>
      <w:kern w:val="44"/>
      <w:sz w:val="24"/>
      <w:szCs w:val="28"/>
    </w:rPr>
  </w:style>
  <w:style w:type="paragraph" w:styleId="3">
    <w:name w:val="heading 2"/>
    <w:basedOn w:val="1"/>
    <w:next w:val="1"/>
    <w:link w:val="156"/>
    <w:qFormat/>
    <w:uiPriority w:val="0"/>
    <w:pPr>
      <w:keepNext/>
      <w:keepLines/>
      <w:spacing w:before="120" w:after="120"/>
      <w:jc w:val="left"/>
      <w:outlineLvl w:val="1"/>
    </w:pPr>
    <w:rPr>
      <w:rFonts w:ascii="宋体" w:hAnsi="宋体"/>
      <w:b/>
      <w:szCs w:val="24"/>
    </w:rPr>
  </w:style>
  <w:style w:type="paragraph" w:styleId="4">
    <w:name w:val="heading 3"/>
    <w:basedOn w:val="1"/>
    <w:next w:val="1"/>
    <w:link w:val="417"/>
    <w:qFormat/>
    <w:uiPriority w:val="0"/>
    <w:pPr>
      <w:keepNext/>
      <w:keepLines/>
      <w:shd w:val="clear" w:color="auto" w:fill="FFFFFF"/>
      <w:wordWrap w:val="0"/>
      <w:spacing w:line="390" w:lineRule="atLeast"/>
      <w:outlineLvl w:val="2"/>
    </w:pPr>
    <w:rPr>
      <w:rFonts w:ascii="宋体" w:hAnsi="宋体"/>
      <w:b/>
      <w:szCs w:val="21"/>
    </w:rPr>
  </w:style>
  <w:style w:type="paragraph" w:styleId="5">
    <w:name w:val="heading 4"/>
    <w:basedOn w:val="1"/>
    <w:next w:val="1"/>
    <w:link w:val="165"/>
    <w:qFormat/>
    <w:uiPriority w:val="0"/>
    <w:pPr>
      <w:keepNext/>
      <w:keepLines/>
      <w:spacing w:before="120" w:after="120"/>
      <w:outlineLvl w:val="3"/>
    </w:pPr>
    <w:rPr>
      <w:rFonts w:ascii="Arial" w:hAnsi="Arial" w:eastAsia="黑体"/>
      <w:b/>
      <w:sz w:val="28"/>
    </w:rPr>
  </w:style>
  <w:style w:type="paragraph" w:styleId="6">
    <w:name w:val="heading 5"/>
    <w:basedOn w:val="1"/>
    <w:next w:val="1"/>
    <w:link w:val="242"/>
    <w:qFormat/>
    <w:uiPriority w:val="0"/>
    <w:pPr>
      <w:keepNext/>
      <w:autoSpaceDE w:val="0"/>
      <w:autoSpaceDN w:val="0"/>
      <w:adjustRightInd w:val="0"/>
      <w:spacing w:beforeLines="50" w:afterLines="50"/>
      <w:outlineLvl w:val="4"/>
    </w:pPr>
    <w:rPr>
      <w:rFonts w:ascii="黑体" w:eastAsia="黑体"/>
      <w:b/>
      <w:color w:val="000000"/>
      <w:kern w:val="0"/>
      <w:sz w:val="28"/>
    </w:rPr>
  </w:style>
  <w:style w:type="paragraph" w:styleId="7">
    <w:name w:val="heading 6"/>
    <w:basedOn w:val="1"/>
    <w:next w:val="1"/>
    <w:link w:val="110"/>
    <w:qFormat/>
    <w:uiPriority w:val="0"/>
    <w:pPr>
      <w:keepNext/>
      <w:keepLines/>
      <w:spacing w:before="240" w:after="64" w:line="320" w:lineRule="auto"/>
      <w:outlineLvl w:val="5"/>
    </w:pPr>
    <w:rPr>
      <w:rFonts w:ascii="Arial" w:hAnsi="Arial" w:eastAsia="黑体"/>
      <w:b/>
      <w:bCs/>
      <w:sz w:val="24"/>
      <w:szCs w:val="24"/>
    </w:rPr>
  </w:style>
  <w:style w:type="paragraph" w:styleId="8">
    <w:name w:val="heading 7"/>
    <w:basedOn w:val="1"/>
    <w:next w:val="1"/>
    <w:link w:val="311"/>
    <w:qFormat/>
    <w:uiPriority w:val="0"/>
    <w:pPr>
      <w:keepNext/>
      <w:keepLines/>
      <w:spacing w:before="240" w:after="64" w:line="320" w:lineRule="auto"/>
      <w:outlineLvl w:val="6"/>
    </w:pPr>
    <w:rPr>
      <w:b/>
      <w:bCs/>
      <w:sz w:val="24"/>
      <w:szCs w:val="24"/>
    </w:rPr>
  </w:style>
  <w:style w:type="paragraph" w:styleId="9">
    <w:name w:val="heading 8"/>
    <w:basedOn w:val="1"/>
    <w:next w:val="1"/>
    <w:link w:val="109"/>
    <w:qFormat/>
    <w:uiPriority w:val="0"/>
    <w:pPr>
      <w:keepNext/>
      <w:keepLines/>
      <w:spacing w:before="240" w:after="64" w:line="320" w:lineRule="auto"/>
      <w:outlineLvl w:val="7"/>
    </w:pPr>
    <w:rPr>
      <w:rFonts w:ascii="Arial" w:hAnsi="Arial" w:eastAsia="黑体"/>
      <w:sz w:val="24"/>
      <w:szCs w:val="24"/>
    </w:rPr>
  </w:style>
  <w:style w:type="paragraph" w:styleId="10">
    <w:name w:val="heading 9"/>
    <w:basedOn w:val="1"/>
    <w:next w:val="1"/>
    <w:link w:val="192"/>
    <w:qFormat/>
    <w:uiPriority w:val="0"/>
    <w:pPr>
      <w:keepNext/>
      <w:keepLines/>
      <w:spacing w:before="240" w:after="64" w:line="320" w:lineRule="auto"/>
      <w:outlineLvl w:val="8"/>
    </w:pPr>
    <w:rPr>
      <w:rFonts w:ascii="Arial" w:hAnsi="Arial" w:eastAsia="黑体"/>
      <w:szCs w:val="21"/>
    </w:rPr>
  </w:style>
  <w:style w:type="character" w:default="1" w:styleId="63">
    <w:name w:val="Default Paragraph Font"/>
    <w:semiHidden/>
    <w:unhideWhenUsed/>
    <w:qFormat/>
    <w:uiPriority w:val="1"/>
  </w:style>
  <w:style w:type="table" w:default="1" w:styleId="61">
    <w:name w:val="Normal Table"/>
    <w:semiHidden/>
    <w:unhideWhenUsed/>
    <w:qFormat/>
    <w:uiPriority w:val="99"/>
    <w:tblPr>
      <w:tblCellMar>
        <w:top w:w="0" w:type="dxa"/>
        <w:left w:w="108" w:type="dxa"/>
        <w:bottom w:w="0" w:type="dxa"/>
        <w:right w:w="108" w:type="dxa"/>
      </w:tblCellMar>
    </w:tblPr>
  </w:style>
  <w:style w:type="paragraph" w:styleId="11">
    <w:name w:val="List 3"/>
    <w:basedOn w:val="1"/>
    <w:qFormat/>
    <w:uiPriority w:val="0"/>
    <w:pPr>
      <w:ind w:left="1260" w:hanging="420"/>
    </w:pPr>
  </w:style>
  <w:style w:type="paragraph" w:styleId="12">
    <w:name w:val="toc 7"/>
    <w:basedOn w:val="1"/>
    <w:next w:val="1"/>
    <w:qFormat/>
    <w:uiPriority w:val="0"/>
    <w:pPr>
      <w:ind w:left="1260"/>
      <w:jc w:val="left"/>
    </w:pPr>
    <w:rPr>
      <w:sz w:val="18"/>
    </w:rPr>
  </w:style>
  <w:style w:type="paragraph" w:styleId="13">
    <w:name w:val="List Number 2"/>
    <w:basedOn w:val="1"/>
    <w:qFormat/>
    <w:uiPriority w:val="0"/>
    <w:pPr>
      <w:tabs>
        <w:tab w:val="left" w:pos="1440"/>
      </w:tabs>
      <w:spacing w:line="360" w:lineRule="auto"/>
      <w:ind w:left="1440" w:hanging="1440"/>
    </w:pPr>
    <w:rPr>
      <w:sz w:val="24"/>
      <w:szCs w:val="24"/>
    </w:rPr>
  </w:style>
  <w:style w:type="paragraph" w:styleId="14">
    <w:name w:val="index 8"/>
    <w:basedOn w:val="1"/>
    <w:next w:val="1"/>
    <w:qFormat/>
    <w:uiPriority w:val="0"/>
    <w:pPr>
      <w:ind w:left="2940"/>
    </w:pPr>
  </w:style>
  <w:style w:type="paragraph" w:styleId="15">
    <w:name w:val="List Number"/>
    <w:basedOn w:val="1"/>
    <w:qFormat/>
    <w:uiPriority w:val="0"/>
    <w:pPr>
      <w:tabs>
        <w:tab w:val="left" w:pos="2952"/>
      </w:tabs>
      <w:ind w:left="2952" w:hanging="432"/>
    </w:pPr>
    <w:rPr>
      <w:szCs w:val="24"/>
    </w:rPr>
  </w:style>
  <w:style w:type="paragraph" w:styleId="16">
    <w:name w:val="Normal Indent"/>
    <w:basedOn w:val="1"/>
    <w:qFormat/>
    <w:uiPriority w:val="0"/>
    <w:pPr>
      <w:ind w:firstLine="420"/>
    </w:pPr>
  </w:style>
  <w:style w:type="paragraph" w:styleId="17">
    <w:name w:val="index 5"/>
    <w:basedOn w:val="1"/>
    <w:next w:val="1"/>
    <w:qFormat/>
    <w:uiPriority w:val="0"/>
    <w:pPr>
      <w:ind w:left="1680"/>
    </w:pPr>
  </w:style>
  <w:style w:type="paragraph" w:styleId="18">
    <w:name w:val="Document Map"/>
    <w:basedOn w:val="1"/>
    <w:link w:val="340"/>
    <w:qFormat/>
    <w:uiPriority w:val="0"/>
    <w:pPr>
      <w:shd w:val="clear" w:color="auto" w:fill="000080"/>
    </w:pPr>
  </w:style>
  <w:style w:type="paragraph" w:styleId="19">
    <w:name w:val="annotation text"/>
    <w:basedOn w:val="1"/>
    <w:link w:val="179"/>
    <w:qFormat/>
    <w:uiPriority w:val="99"/>
    <w:pPr>
      <w:jc w:val="left"/>
    </w:pPr>
  </w:style>
  <w:style w:type="paragraph" w:styleId="20">
    <w:name w:val="index 6"/>
    <w:basedOn w:val="1"/>
    <w:next w:val="1"/>
    <w:qFormat/>
    <w:uiPriority w:val="0"/>
    <w:pPr>
      <w:ind w:left="2100"/>
    </w:pPr>
  </w:style>
  <w:style w:type="paragraph" w:styleId="21">
    <w:name w:val="Salutation"/>
    <w:basedOn w:val="1"/>
    <w:next w:val="1"/>
    <w:qFormat/>
    <w:uiPriority w:val="0"/>
    <w:rPr>
      <w:rFonts w:ascii="仿宋_GB2312" w:eastAsia="仿宋_GB2312"/>
      <w:sz w:val="28"/>
    </w:rPr>
  </w:style>
  <w:style w:type="paragraph" w:styleId="22">
    <w:name w:val="Body Text 3"/>
    <w:basedOn w:val="1"/>
    <w:qFormat/>
    <w:uiPriority w:val="0"/>
    <w:rPr>
      <w:rFonts w:ascii="仿宋_GB2312" w:hAnsi="Arial" w:eastAsia="仿宋_GB2312"/>
      <w:sz w:val="32"/>
    </w:rPr>
  </w:style>
  <w:style w:type="paragraph" w:styleId="23">
    <w:name w:val="Body Text"/>
    <w:basedOn w:val="1"/>
    <w:link w:val="361"/>
    <w:qFormat/>
    <w:uiPriority w:val="0"/>
    <w:rPr>
      <w:rFonts w:ascii="楷体_GB2312" w:hAnsi="Arial" w:eastAsia="楷体_GB2312"/>
      <w:sz w:val="28"/>
    </w:rPr>
  </w:style>
  <w:style w:type="paragraph" w:styleId="24">
    <w:name w:val="Body Text Indent"/>
    <w:basedOn w:val="1"/>
    <w:next w:val="25"/>
    <w:link w:val="140"/>
    <w:qFormat/>
    <w:uiPriority w:val="0"/>
    <w:pPr>
      <w:ind w:firstLine="645"/>
    </w:pPr>
    <w:rPr>
      <w:rFonts w:ascii="楷体_GB2312" w:eastAsia="楷体_GB2312"/>
      <w:sz w:val="32"/>
    </w:rPr>
  </w:style>
  <w:style w:type="paragraph" w:styleId="25">
    <w:name w:val="envelope return"/>
    <w:basedOn w:val="1"/>
    <w:qFormat/>
    <w:uiPriority w:val="99"/>
    <w:pPr>
      <w:snapToGrid w:val="0"/>
    </w:pPr>
    <w:rPr>
      <w:rFonts w:ascii="Arial" w:hAnsi="Arial"/>
    </w:rPr>
  </w:style>
  <w:style w:type="paragraph" w:styleId="26">
    <w:name w:val="Block Text"/>
    <w:basedOn w:val="1"/>
    <w:unhideWhenUsed/>
    <w:qFormat/>
    <w:uiPriority w:val="99"/>
    <w:pPr>
      <w:spacing w:after="120"/>
      <w:ind w:left="1440" w:leftChars="700" w:right="1440" w:rightChars="700"/>
    </w:pPr>
  </w:style>
  <w:style w:type="paragraph" w:styleId="27">
    <w:name w:val="index 4"/>
    <w:basedOn w:val="1"/>
    <w:next w:val="1"/>
    <w:qFormat/>
    <w:uiPriority w:val="0"/>
    <w:pPr>
      <w:ind w:left="1260"/>
    </w:pPr>
  </w:style>
  <w:style w:type="paragraph" w:styleId="28">
    <w:name w:val="toc 5"/>
    <w:basedOn w:val="1"/>
    <w:next w:val="1"/>
    <w:qFormat/>
    <w:uiPriority w:val="0"/>
    <w:pPr>
      <w:ind w:left="840"/>
      <w:jc w:val="left"/>
    </w:pPr>
    <w:rPr>
      <w:sz w:val="18"/>
    </w:rPr>
  </w:style>
  <w:style w:type="paragraph" w:styleId="29">
    <w:name w:val="toc 3"/>
    <w:basedOn w:val="1"/>
    <w:next w:val="1"/>
    <w:qFormat/>
    <w:uiPriority w:val="39"/>
    <w:pPr>
      <w:ind w:left="420"/>
      <w:jc w:val="left"/>
    </w:pPr>
    <w:rPr>
      <w:i/>
      <w:sz w:val="20"/>
    </w:rPr>
  </w:style>
  <w:style w:type="paragraph" w:styleId="30">
    <w:name w:val="Plain Text"/>
    <w:basedOn w:val="1"/>
    <w:link w:val="119"/>
    <w:qFormat/>
    <w:uiPriority w:val="0"/>
    <w:rPr>
      <w:rFonts w:ascii="宋体" w:hAnsi="Courier New"/>
    </w:rPr>
  </w:style>
  <w:style w:type="paragraph" w:styleId="31">
    <w:name w:val="toc 8"/>
    <w:basedOn w:val="1"/>
    <w:next w:val="1"/>
    <w:qFormat/>
    <w:uiPriority w:val="0"/>
    <w:pPr>
      <w:ind w:left="1470"/>
      <w:jc w:val="left"/>
    </w:pPr>
    <w:rPr>
      <w:sz w:val="18"/>
    </w:rPr>
  </w:style>
  <w:style w:type="paragraph" w:styleId="32">
    <w:name w:val="index 3"/>
    <w:basedOn w:val="1"/>
    <w:next w:val="1"/>
    <w:qFormat/>
    <w:uiPriority w:val="0"/>
    <w:pPr>
      <w:ind w:left="840"/>
    </w:pPr>
  </w:style>
  <w:style w:type="paragraph" w:styleId="33">
    <w:name w:val="Date"/>
    <w:basedOn w:val="1"/>
    <w:next w:val="1"/>
    <w:qFormat/>
    <w:uiPriority w:val="0"/>
    <w:pPr>
      <w:ind w:left="100" w:leftChars="2500"/>
    </w:pPr>
    <w:rPr>
      <w:sz w:val="28"/>
    </w:rPr>
  </w:style>
  <w:style w:type="paragraph" w:styleId="34">
    <w:name w:val="Body Text Indent 2"/>
    <w:basedOn w:val="1"/>
    <w:link w:val="253"/>
    <w:qFormat/>
    <w:uiPriority w:val="0"/>
    <w:pPr>
      <w:ind w:left="630" w:firstLine="645"/>
    </w:pPr>
    <w:rPr>
      <w:rFonts w:ascii="Arial" w:hAnsi="Arial" w:eastAsia="仿宋_GB2312"/>
      <w:sz w:val="32"/>
    </w:rPr>
  </w:style>
  <w:style w:type="paragraph" w:styleId="35">
    <w:name w:val="endnote text"/>
    <w:basedOn w:val="1"/>
    <w:qFormat/>
    <w:uiPriority w:val="0"/>
    <w:pPr>
      <w:snapToGrid w:val="0"/>
      <w:jc w:val="left"/>
    </w:pPr>
    <w:rPr>
      <w:kern w:val="0"/>
      <w:sz w:val="20"/>
      <w:szCs w:val="24"/>
    </w:rPr>
  </w:style>
  <w:style w:type="paragraph" w:styleId="36">
    <w:name w:val="Balloon Text"/>
    <w:basedOn w:val="1"/>
    <w:qFormat/>
    <w:uiPriority w:val="0"/>
    <w:rPr>
      <w:sz w:val="18"/>
      <w:szCs w:val="18"/>
    </w:rPr>
  </w:style>
  <w:style w:type="paragraph" w:styleId="37">
    <w:name w:val="footer"/>
    <w:basedOn w:val="1"/>
    <w:link w:val="295"/>
    <w:qFormat/>
    <w:uiPriority w:val="99"/>
    <w:pPr>
      <w:tabs>
        <w:tab w:val="center" w:pos="4153"/>
        <w:tab w:val="right" w:pos="8306"/>
      </w:tabs>
      <w:snapToGrid w:val="0"/>
      <w:jc w:val="left"/>
    </w:pPr>
    <w:rPr>
      <w:sz w:val="18"/>
    </w:rPr>
  </w:style>
  <w:style w:type="paragraph" w:styleId="38">
    <w:name w:val="header"/>
    <w:basedOn w:val="1"/>
    <w:qFormat/>
    <w:uiPriority w:val="0"/>
    <w:pPr>
      <w:pBdr>
        <w:bottom w:val="single" w:color="auto" w:sz="6" w:space="1"/>
      </w:pBdr>
      <w:tabs>
        <w:tab w:val="center" w:pos="4153"/>
        <w:tab w:val="right" w:pos="8306"/>
      </w:tabs>
      <w:snapToGrid w:val="0"/>
      <w:jc w:val="center"/>
    </w:pPr>
    <w:rPr>
      <w:sz w:val="18"/>
    </w:rPr>
  </w:style>
  <w:style w:type="paragraph" w:styleId="39">
    <w:name w:val="Signature"/>
    <w:basedOn w:val="1"/>
    <w:qFormat/>
    <w:uiPriority w:val="0"/>
    <w:pPr>
      <w:adjustRightInd w:val="0"/>
      <w:spacing w:after="600" w:line="312" w:lineRule="atLeast"/>
      <w:jc w:val="center"/>
      <w:textAlignment w:val="baseline"/>
    </w:pPr>
    <w:rPr>
      <w:rFonts w:eastAsia="仿宋_GB2312"/>
      <w:kern w:val="0"/>
      <w:sz w:val="24"/>
    </w:rPr>
  </w:style>
  <w:style w:type="paragraph" w:styleId="40">
    <w:name w:val="toc 1"/>
    <w:basedOn w:val="1"/>
    <w:next w:val="1"/>
    <w:qFormat/>
    <w:uiPriority w:val="39"/>
    <w:pPr>
      <w:spacing w:before="120" w:after="120"/>
      <w:jc w:val="left"/>
    </w:pPr>
    <w:rPr>
      <w:b/>
      <w:caps/>
      <w:sz w:val="20"/>
    </w:rPr>
  </w:style>
  <w:style w:type="paragraph" w:styleId="41">
    <w:name w:val="toc 4"/>
    <w:basedOn w:val="1"/>
    <w:next w:val="1"/>
    <w:qFormat/>
    <w:uiPriority w:val="0"/>
    <w:pPr>
      <w:ind w:left="630"/>
      <w:jc w:val="left"/>
    </w:pPr>
    <w:rPr>
      <w:sz w:val="18"/>
    </w:rPr>
  </w:style>
  <w:style w:type="paragraph" w:styleId="42">
    <w:name w:val="index heading"/>
    <w:basedOn w:val="1"/>
    <w:next w:val="43"/>
    <w:qFormat/>
    <w:uiPriority w:val="0"/>
  </w:style>
  <w:style w:type="paragraph" w:styleId="43">
    <w:name w:val="index 1"/>
    <w:basedOn w:val="1"/>
    <w:next w:val="1"/>
    <w:qFormat/>
    <w:uiPriority w:val="0"/>
    <w:rPr>
      <w:rFonts w:ascii="仿宋_GB2312" w:hAnsi="宋体" w:eastAsia="仿宋_GB2312"/>
      <w:sz w:val="30"/>
      <w:szCs w:val="24"/>
    </w:rPr>
  </w:style>
  <w:style w:type="paragraph" w:styleId="44">
    <w:name w:val="Subtitle"/>
    <w:basedOn w:val="1"/>
    <w:next w:val="1"/>
    <w:qFormat/>
    <w:uiPriority w:val="0"/>
    <w:pPr>
      <w:widowControl/>
      <w:spacing w:after="600" w:line="276" w:lineRule="auto"/>
      <w:jc w:val="left"/>
    </w:pPr>
    <w:rPr>
      <w:rFonts w:ascii="Cambria" w:hAnsi="Cambria"/>
      <w:i/>
      <w:iCs/>
      <w:spacing w:val="13"/>
      <w:kern w:val="0"/>
      <w:sz w:val="24"/>
      <w:szCs w:val="24"/>
      <w:lang w:eastAsia="en-US" w:bidi="en-US"/>
    </w:rPr>
  </w:style>
  <w:style w:type="paragraph" w:styleId="45">
    <w:name w:val="footnote text"/>
    <w:basedOn w:val="1"/>
    <w:qFormat/>
    <w:uiPriority w:val="0"/>
    <w:pPr>
      <w:snapToGrid w:val="0"/>
      <w:jc w:val="left"/>
    </w:pPr>
    <w:rPr>
      <w:sz w:val="18"/>
      <w:szCs w:val="18"/>
    </w:rPr>
  </w:style>
  <w:style w:type="paragraph" w:styleId="46">
    <w:name w:val="toc 6"/>
    <w:basedOn w:val="1"/>
    <w:next w:val="1"/>
    <w:qFormat/>
    <w:uiPriority w:val="0"/>
    <w:pPr>
      <w:ind w:left="1050"/>
      <w:jc w:val="left"/>
    </w:pPr>
    <w:rPr>
      <w:sz w:val="18"/>
    </w:rPr>
  </w:style>
  <w:style w:type="paragraph" w:styleId="47">
    <w:name w:val="Body Text Indent 3"/>
    <w:basedOn w:val="1"/>
    <w:link w:val="251"/>
    <w:qFormat/>
    <w:uiPriority w:val="0"/>
    <w:pPr>
      <w:ind w:left="645" w:firstLine="645"/>
    </w:pPr>
    <w:rPr>
      <w:rFonts w:ascii="Arial" w:hAnsi="Arial" w:eastAsia="仿宋_GB2312"/>
      <w:color w:val="FFFF00"/>
      <w:sz w:val="32"/>
    </w:rPr>
  </w:style>
  <w:style w:type="paragraph" w:styleId="48">
    <w:name w:val="index 7"/>
    <w:basedOn w:val="1"/>
    <w:next w:val="1"/>
    <w:qFormat/>
    <w:uiPriority w:val="0"/>
    <w:pPr>
      <w:ind w:left="2520"/>
    </w:pPr>
  </w:style>
  <w:style w:type="paragraph" w:styleId="49">
    <w:name w:val="index 9"/>
    <w:basedOn w:val="1"/>
    <w:next w:val="1"/>
    <w:qFormat/>
    <w:uiPriority w:val="0"/>
    <w:pPr>
      <w:ind w:left="3360"/>
    </w:pPr>
  </w:style>
  <w:style w:type="paragraph" w:styleId="50">
    <w:name w:val="table of figures"/>
    <w:basedOn w:val="1"/>
    <w:next w:val="1"/>
    <w:qFormat/>
    <w:uiPriority w:val="0"/>
    <w:pPr>
      <w:ind w:left="840" w:hanging="420"/>
    </w:pPr>
  </w:style>
  <w:style w:type="paragraph" w:styleId="51">
    <w:name w:val="toc 2"/>
    <w:basedOn w:val="1"/>
    <w:next w:val="1"/>
    <w:qFormat/>
    <w:uiPriority w:val="39"/>
    <w:pPr>
      <w:ind w:left="210"/>
      <w:jc w:val="left"/>
    </w:pPr>
    <w:rPr>
      <w:smallCaps/>
      <w:sz w:val="20"/>
    </w:rPr>
  </w:style>
  <w:style w:type="paragraph" w:styleId="52">
    <w:name w:val="toc 9"/>
    <w:basedOn w:val="1"/>
    <w:next w:val="1"/>
    <w:qFormat/>
    <w:uiPriority w:val="0"/>
    <w:pPr>
      <w:ind w:left="1680"/>
      <w:jc w:val="left"/>
    </w:pPr>
    <w:rPr>
      <w:sz w:val="18"/>
    </w:rPr>
  </w:style>
  <w:style w:type="paragraph" w:styleId="53">
    <w:name w:val="Body Text 2"/>
    <w:basedOn w:val="1"/>
    <w:qFormat/>
    <w:uiPriority w:val="0"/>
    <w:pPr>
      <w:widowControl/>
      <w:jc w:val="center"/>
    </w:pPr>
    <w:rPr>
      <w:rFonts w:ascii="楷体_GB2312" w:eastAsia="楷体_GB2312"/>
      <w:sz w:val="28"/>
    </w:rPr>
  </w:style>
  <w:style w:type="paragraph" w:styleId="54">
    <w:name w:val="HTML Preformatted"/>
    <w:basedOn w:val="1"/>
    <w:link w:val="3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Courier New"/>
      <w:kern w:val="0"/>
      <w:sz w:val="20"/>
    </w:rPr>
  </w:style>
  <w:style w:type="paragraph" w:styleId="55">
    <w:name w:val="Normal (Web)"/>
    <w:basedOn w:val="1"/>
    <w:qFormat/>
    <w:uiPriority w:val="0"/>
    <w:pPr>
      <w:widowControl/>
      <w:spacing w:before="100" w:beforeAutospacing="1" w:after="100" w:afterAutospacing="1"/>
      <w:jc w:val="left"/>
    </w:pPr>
    <w:rPr>
      <w:rFonts w:ascii="Arial" w:hAnsi="Arial" w:eastAsia="Arial Unicode MS" w:cs="Arial"/>
      <w:kern w:val="0"/>
      <w:sz w:val="24"/>
      <w:szCs w:val="24"/>
    </w:rPr>
  </w:style>
  <w:style w:type="paragraph" w:styleId="56">
    <w:name w:val="index 2"/>
    <w:basedOn w:val="1"/>
    <w:next w:val="1"/>
    <w:qFormat/>
    <w:uiPriority w:val="0"/>
    <w:pPr>
      <w:ind w:left="420"/>
    </w:pPr>
  </w:style>
  <w:style w:type="paragraph" w:styleId="57">
    <w:name w:val="Title"/>
    <w:basedOn w:val="1"/>
    <w:link w:val="416"/>
    <w:qFormat/>
    <w:uiPriority w:val="0"/>
    <w:pPr>
      <w:widowControl/>
      <w:overflowPunct w:val="0"/>
      <w:autoSpaceDE w:val="0"/>
      <w:autoSpaceDN w:val="0"/>
      <w:adjustRightInd w:val="0"/>
      <w:spacing w:line="420" w:lineRule="exact"/>
      <w:jc w:val="center"/>
      <w:textAlignment w:val="baseline"/>
    </w:pPr>
    <w:rPr>
      <w:rFonts w:eastAsia="黑体"/>
      <w:b/>
      <w:kern w:val="0"/>
      <w:sz w:val="28"/>
      <w:lang w:val="en-GB"/>
    </w:rPr>
  </w:style>
  <w:style w:type="paragraph" w:styleId="58">
    <w:name w:val="annotation subject"/>
    <w:basedOn w:val="19"/>
    <w:next w:val="19"/>
    <w:link w:val="325"/>
    <w:qFormat/>
    <w:uiPriority w:val="0"/>
    <w:rPr>
      <w:b/>
      <w:bCs/>
    </w:rPr>
  </w:style>
  <w:style w:type="paragraph" w:styleId="59">
    <w:name w:val="Body Text First Indent"/>
    <w:basedOn w:val="23"/>
    <w:next w:val="1"/>
    <w:qFormat/>
    <w:uiPriority w:val="0"/>
    <w:pPr>
      <w:spacing w:after="120"/>
      <w:ind w:firstLine="420" w:firstLineChars="100"/>
    </w:pPr>
    <w:rPr>
      <w:rFonts w:ascii="Times New Roman" w:hAnsi="Times New Roman" w:eastAsia="宋体"/>
      <w:sz w:val="21"/>
      <w:szCs w:val="24"/>
    </w:rPr>
  </w:style>
  <w:style w:type="paragraph" w:styleId="60">
    <w:name w:val="Body Text First Indent 2"/>
    <w:basedOn w:val="24"/>
    <w:qFormat/>
    <w:uiPriority w:val="99"/>
    <w:pPr>
      <w:spacing w:line="360" w:lineRule="auto"/>
      <w:ind w:firstLine="420" w:firstLineChars="200"/>
    </w:pPr>
    <w:rPr>
      <w:rFonts w:ascii="宋体" w:hAnsi="宋体"/>
      <w:sz w:val="20"/>
    </w:rPr>
  </w:style>
  <w:style w:type="table" w:styleId="62">
    <w:name w:val="Table Grid"/>
    <w:basedOn w:val="61"/>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64">
    <w:name w:val="Strong"/>
    <w:qFormat/>
    <w:uiPriority w:val="0"/>
    <w:rPr>
      <w:b/>
      <w:bCs/>
    </w:rPr>
  </w:style>
  <w:style w:type="character" w:styleId="65">
    <w:name w:val="endnote reference"/>
    <w:qFormat/>
    <w:uiPriority w:val="0"/>
    <w:rPr>
      <w:vertAlign w:val="superscript"/>
    </w:rPr>
  </w:style>
  <w:style w:type="character" w:styleId="66">
    <w:name w:val="page number"/>
    <w:qFormat/>
    <w:uiPriority w:val="0"/>
  </w:style>
  <w:style w:type="character" w:styleId="67">
    <w:name w:val="FollowedHyperlink"/>
    <w:qFormat/>
    <w:uiPriority w:val="99"/>
    <w:rPr>
      <w:color w:val="800080"/>
      <w:u w:val="single"/>
    </w:rPr>
  </w:style>
  <w:style w:type="character" w:styleId="68">
    <w:name w:val="Emphasis"/>
    <w:qFormat/>
    <w:uiPriority w:val="0"/>
    <w:rPr>
      <w:b/>
      <w:bCs/>
      <w:i/>
      <w:iCs/>
      <w:spacing w:val="10"/>
      <w:shd w:val="clear" w:color="auto" w:fill="auto"/>
    </w:rPr>
  </w:style>
  <w:style w:type="character" w:styleId="69">
    <w:name w:val="line number"/>
    <w:qFormat/>
    <w:uiPriority w:val="0"/>
  </w:style>
  <w:style w:type="character" w:styleId="70">
    <w:name w:val="HTML Typewriter"/>
    <w:qFormat/>
    <w:uiPriority w:val="0"/>
    <w:rPr>
      <w:rFonts w:ascii="宋体" w:hAnsi="宋体" w:eastAsia="宋体" w:cs="宋体"/>
      <w:sz w:val="24"/>
      <w:szCs w:val="24"/>
    </w:rPr>
  </w:style>
  <w:style w:type="character" w:styleId="71">
    <w:name w:val="Hyperlink"/>
    <w:qFormat/>
    <w:uiPriority w:val="99"/>
    <w:rPr>
      <w:color w:val="0000FF"/>
      <w:u w:val="single"/>
    </w:rPr>
  </w:style>
  <w:style w:type="character" w:styleId="72">
    <w:name w:val="annotation reference"/>
    <w:qFormat/>
    <w:uiPriority w:val="0"/>
    <w:rPr>
      <w:sz w:val="21"/>
    </w:rPr>
  </w:style>
  <w:style w:type="character" w:styleId="73">
    <w:name w:val="footnote reference"/>
    <w:qFormat/>
    <w:uiPriority w:val="0"/>
    <w:rPr>
      <w:vertAlign w:val="superscript"/>
    </w:rPr>
  </w:style>
  <w:style w:type="character" w:styleId="74">
    <w:name w:val="HTML Sample"/>
    <w:qFormat/>
    <w:uiPriority w:val="0"/>
    <w:rPr>
      <w:rFonts w:ascii="Courier New" w:hAnsi="宋体" w:eastAsia="宋体" w:cs="Courier New"/>
    </w:rPr>
  </w:style>
  <w:style w:type="paragraph" w:customStyle="1" w:styleId="75">
    <w:name w:val="首行缩进"/>
    <w:basedOn w:val="1"/>
    <w:qFormat/>
    <w:uiPriority w:val="0"/>
    <w:pPr>
      <w:spacing w:line="360" w:lineRule="auto"/>
      <w:ind w:firstLine="480" w:firstLineChars="200"/>
      <w:jc w:val="left"/>
    </w:pPr>
    <w:rPr>
      <w:rFonts w:ascii="宋体" w:hAnsi="宋体"/>
      <w:sz w:val="24"/>
      <w:szCs w:val="24"/>
    </w:rPr>
  </w:style>
  <w:style w:type="paragraph" w:customStyle="1" w:styleId="76">
    <w:name w:val="xl4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character" w:customStyle="1" w:styleId="77">
    <w:name w:val="Char Char21"/>
    <w:qFormat/>
    <w:uiPriority w:val="0"/>
    <w:rPr>
      <w:rFonts w:ascii="Arial" w:hAnsi="Arial" w:eastAsia="黑体"/>
      <w:kern w:val="2"/>
      <w:sz w:val="24"/>
      <w:szCs w:val="24"/>
    </w:rPr>
  </w:style>
  <w:style w:type="paragraph" w:customStyle="1" w:styleId="78">
    <w:name w:val="a"/>
    <w:basedOn w:val="1"/>
    <w:qFormat/>
    <w:uiPriority w:val="0"/>
    <w:pPr>
      <w:widowControl/>
      <w:spacing w:before="100" w:beforeAutospacing="1" w:after="100" w:afterAutospacing="1"/>
    </w:pPr>
    <w:rPr>
      <w:rFonts w:ascii="宋体" w:hAnsi="宋体" w:cs="宋体"/>
      <w:kern w:val="0"/>
      <w:sz w:val="24"/>
      <w:szCs w:val="24"/>
    </w:rPr>
  </w:style>
  <w:style w:type="paragraph" w:customStyle="1" w:styleId="79">
    <w:name w:val="_Style 42"/>
    <w:basedOn w:val="1"/>
    <w:next w:val="23"/>
    <w:qFormat/>
    <w:uiPriority w:val="0"/>
    <w:rPr>
      <w:rFonts w:ascii="楷体_GB2312" w:hAnsi="Arial" w:eastAsia="楷体_GB2312"/>
      <w:sz w:val="28"/>
    </w:rPr>
  </w:style>
  <w:style w:type="paragraph" w:customStyle="1" w:styleId="80">
    <w:name w:val="Char Char Char Char Char Char Char Char Char Char Char Char Char Char Char Char Char Char Char Char Char Char Char1"/>
    <w:basedOn w:val="1"/>
    <w:qFormat/>
    <w:uiPriority w:val="0"/>
    <w:rPr>
      <w:rFonts w:ascii="Tahoma" w:hAnsi="Tahoma" w:cs="Tahoma"/>
      <w:sz w:val="24"/>
    </w:rPr>
  </w:style>
  <w:style w:type="paragraph" w:customStyle="1" w:styleId="81">
    <w:name w:val="段落"/>
    <w:basedOn w:val="1"/>
    <w:qFormat/>
    <w:uiPriority w:val="0"/>
    <w:pPr>
      <w:spacing w:line="460" w:lineRule="exact"/>
      <w:ind w:firstLine="480"/>
    </w:pPr>
    <w:rPr>
      <w:sz w:val="24"/>
    </w:rPr>
  </w:style>
  <w:style w:type="paragraph" w:customStyle="1" w:styleId="82">
    <w:name w:val="Char1 Char Char Char"/>
    <w:basedOn w:val="1"/>
    <w:qFormat/>
    <w:uiPriority w:val="0"/>
    <w:rPr>
      <w:rFonts w:ascii="Tahoma" w:hAnsi="Tahoma" w:cs="Tahoma"/>
      <w:sz w:val="24"/>
    </w:rPr>
  </w:style>
  <w:style w:type="character" w:customStyle="1" w:styleId="83">
    <w:name w:val="小四 段落 宋体 Char Char Char1"/>
    <w:qFormat/>
    <w:uiPriority w:val="0"/>
    <w:rPr>
      <w:rFonts w:ascii="宋体" w:hAnsi="宋体" w:eastAsia="宋体"/>
      <w:kern w:val="2"/>
      <w:sz w:val="24"/>
      <w:szCs w:val="24"/>
      <w:lang w:val="en-US" w:eastAsia="zh-CN" w:bidi="ar-SA"/>
    </w:rPr>
  </w:style>
  <w:style w:type="paragraph" w:customStyle="1" w:styleId="84">
    <w:name w:val="项目符号，二级"/>
    <w:basedOn w:val="85"/>
    <w:next w:val="85"/>
    <w:qFormat/>
    <w:uiPriority w:val="0"/>
    <w:pPr>
      <w:tabs>
        <w:tab w:val="left" w:pos="567"/>
        <w:tab w:val="left" w:pos="1211"/>
        <w:tab w:val="left" w:pos="1337"/>
      </w:tabs>
      <w:ind w:left="1337" w:right="-27" w:firstLine="480"/>
    </w:pPr>
    <w:rPr>
      <w:bCs w:val="0"/>
      <w:color w:val="000000"/>
      <w:sz w:val="24"/>
      <w:szCs w:val="24"/>
    </w:rPr>
  </w:style>
  <w:style w:type="paragraph" w:customStyle="1" w:styleId="85">
    <w:name w:val="正文格式"/>
    <w:basedOn w:val="1"/>
    <w:qFormat/>
    <w:uiPriority w:val="0"/>
    <w:pPr>
      <w:widowControl/>
      <w:adjustRightInd w:val="0"/>
      <w:snapToGrid w:val="0"/>
      <w:spacing w:beforeLines="25" w:line="360" w:lineRule="auto"/>
      <w:ind w:left="178" w:right="44" w:rightChars="21" w:hanging="178" w:hangingChars="85"/>
      <w:jc w:val="left"/>
      <w:textAlignment w:val="baseline"/>
    </w:pPr>
    <w:rPr>
      <w:rFonts w:ascii="宋体" w:hAnsi="宋体"/>
      <w:bCs/>
      <w:kern w:val="0"/>
      <w:szCs w:val="21"/>
    </w:rPr>
  </w:style>
  <w:style w:type="character" w:customStyle="1" w:styleId="86">
    <w:name w:val="param-value"/>
    <w:qFormat/>
    <w:uiPriority w:val="0"/>
  </w:style>
  <w:style w:type="paragraph" w:customStyle="1" w:styleId="87">
    <w:name w:val="样式"/>
    <w:basedOn w:val="1"/>
    <w:qFormat/>
    <w:uiPriority w:val="0"/>
    <w:pPr>
      <w:autoSpaceDE w:val="0"/>
      <w:autoSpaceDN w:val="0"/>
      <w:snapToGrid w:val="0"/>
      <w:spacing w:before="120" w:after="120" w:line="360" w:lineRule="auto"/>
    </w:pPr>
    <w:rPr>
      <w:rFonts w:ascii="宋体"/>
      <w:sz w:val="24"/>
    </w:rPr>
  </w:style>
  <w:style w:type="paragraph" w:customStyle="1" w:styleId="8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89">
    <w:name w:val="font5"/>
    <w:basedOn w:val="1"/>
    <w:qFormat/>
    <w:uiPriority w:val="0"/>
    <w:pPr>
      <w:widowControl/>
      <w:spacing w:before="100" w:beforeAutospacing="1" w:after="100" w:afterAutospacing="1"/>
      <w:jc w:val="left"/>
    </w:pPr>
    <w:rPr>
      <w:rFonts w:ascii="宋体" w:hAnsi="宋体" w:cs="宋体"/>
      <w:kern w:val="0"/>
      <w:sz w:val="18"/>
      <w:szCs w:val="18"/>
    </w:rPr>
  </w:style>
  <w:style w:type="character" w:customStyle="1" w:styleId="90">
    <w:name w:val="Char Char17"/>
    <w:qFormat/>
    <w:uiPriority w:val="0"/>
    <w:rPr>
      <w:rFonts w:ascii="宋体" w:hAnsi="Courier New"/>
      <w:kern w:val="2"/>
      <w:sz w:val="21"/>
      <w:szCs w:val="21"/>
    </w:rPr>
  </w:style>
  <w:style w:type="paragraph" w:customStyle="1" w:styleId="91">
    <w:name w:val="表蕊"/>
    <w:basedOn w:val="1"/>
    <w:qFormat/>
    <w:uiPriority w:val="0"/>
    <w:pPr>
      <w:adjustRightInd w:val="0"/>
      <w:spacing w:line="320" w:lineRule="atLeast"/>
      <w:jc w:val="left"/>
      <w:textAlignment w:val="baseline"/>
    </w:pPr>
    <w:rPr>
      <w:rFonts w:eastAsia="楷体_GB2312"/>
      <w:spacing w:val="-10"/>
      <w:kern w:val="0"/>
    </w:rPr>
  </w:style>
  <w:style w:type="paragraph" w:customStyle="1" w:styleId="92">
    <w:name w:val="项目符号，一级"/>
    <w:basedOn w:val="85"/>
    <w:next w:val="85"/>
    <w:qFormat/>
    <w:uiPriority w:val="0"/>
    <w:pPr>
      <w:tabs>
        <w:tab w:val="left" w:pos="1320"/>
      </w:tabs>
      <w:spacing w:line="240" w:lineRule="atLeast"/>
      <w:ind w:left="376" w:leftChars="179" w:firstLine="0"/>
    </w:pPr>
    <w:rPr>
      <w:bCs w:val="0"/>
      <w:color w:val="000000"/>
      <w:szCs w:val="24"/>
    </w:rPr>
  </w:style>
  <w:style w:type="paragraph" w:customStyle="1" w:styleId="93">
    <w:name w:val="xl4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94">
    <w:name w:val="font8"/>
    <w:basedOn w:val="1"/>
    <w:qFormat/>
    <w:uiPriority w:val="0"/>
    <w:pPr>
      <w:widowControl/>
      <w:spacing w:before="100" w:beforeAutospacing="1" w:after="100" w:afterAutospacing="1"/>
      <w:jc w:val="left"/>
    </w:pPr>
    <w:rPr>
      <w:rFonts w:ascii="宋体" w:hAnsi="宋体" w:cs="宋体"/>
      <w:b/>
      <w:bCs/>
      <w:i/>
      <w:iCs/>
      <w:kern w:val="0"/>
      <w:sz w:val="20"/>
    </w:rPr>
  </w:style>
  <w:style w:type="paragraph" w:customStyle="1" w:styleId="95">
    <w:name w:val="font7"/>
    <w:basedOn w:val="1"/>
    <w:qFormat/>
    <w:uiPriority w:val="0"/>
    <w:pPr>
      <w:widowControl/>
      <w:spacing w:before="100" w:beforeAutospacing="1" w:after="100" w:afterAutospacing="1"/>
      <w:jc w:val="left"/>
    </w:pPr>
    <w:rPr>
      <w:rFonts w:hint="eastAsia" w:ascii="宋体" w:hAnsi="宋体"/>
      <w:b/>
      <w:bCs/>
      <w:kern w:val="0"/>
      <w:sz w:val="24"/>
      <w:szCs w:val="24"/>
    </w:rPr>
  </w:style>
  <w:style w:type="paragraph" w:customStyle="1" w:styleId="96">
    <w:name w:val="正文 New New New New New New New New New New New New New New"/>
    <w:qFormat/>
    <w:uiPriority w:val="0"/>
    <w:pPr>
      <w:widowControl w:val="0"/>
      <w:autoSpaceDE/>
      <w:autoSpaceDN/>
      <w:snapToGrid/>
      <w:jc w:val="both"/>
    </w:pPr>
    <w:rPr>
      <w:rFonts w:hint="eastAsia" w:ascii="Times New Roman" w:hAnsi="Times New Roman" w:eastAsia="宋体" w:cs="Times New Roman"/>
      <w:kern w:val="2"/>
      <w:sz w:val="21"/>
      <w:szCs w:val="22"/>
      <w:lang w:val="en-US" w:eastAsia="zh-CN" w:bidi="ar-SA"/>
    </w:rPr>
  </w:style>
  <w:style w:type="paragraph" w:customStyle="1" w:styleId="9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rPr>
  </w:style>
  <w:style w:type="paragraph" w:customStyle="1" w:styleId="98">
    <w:name w:val="二级条标题"/>
    <w:basedOn w:val="1"/>
    <w:next w:val="99"/>
    <w:qFormat/>
    <w:uiPriority w:val="0"/>
    <w:pPr>
      <w:widowControl/>
      <w:tabs>
        <w:tab w:val="left" w:pos="2240"/>
      </w:tabs>
      <w:ind w:hanging="420"/>
      <w:outlineLvl w:val="3"/>
    </w:pPr>
    <w:rPr>
      <w:rFonts w:eastAsia="黑体"/>
      <w:kern w:val="0"/>
    </w:rPr>
  </w:style>
  <w:style w:type="paragraph" w:customStyle="1" w:styleId="99">
    <w:name w:val="段"/>
    <w:qFormat/>
    <w:uiPriority w:val="0"/>
    <w:pPr>
      <w:autoSpaceDE w:val="0"/>
      <w:autoSpaceDN w:val="0"/>
      <w:snapToGrid/>
      <w:ind w:firstLine="200" w:firstLineChars="200"/>
      <w:jc w:val="both"/>
    </w:pPr>
    <w:rPr>
      <w:rFonts w:ascii="宋体" w:hAnsi="Times New Roman" w:eastAsia="宋体" w:cs="Times New Roman"/>
      <w:kern w:val="2"/>
      <w:sz w:val="21"/>
      <w:szCs w:val="22"/>
      <w:lang w:val="en-US" w:eastAsia="zh-CN" w:bidi="ar-SA"/>
    </w:rPr>
  </w:style>
  <w:style w:type="character" w:customStyle="1" w:styleId="100">
    <w:name w:val="style13"/>
    <w:qFormat/>
    <w:uiPriority w:val="0"/>
    <w:rPr>
      <w:sz w:val="18"/>
      <w:szCs w:val="18"/>
    </w:rPr>
  </w:style>
  <w:style w:type="paragraph" w:customStyle="1" w:styleId="101">
    <w:name w:val="7"/>
    <w:basedOn w:val="1"/>
    <w:next w:val="55"/>
    <w:qFormat/>
    <w:uiPriority w:val="0"/>
    <w:pPr>
      <w:widowControl/>
      <w:spacing w:before="100" w:beforeAutospacing="1" w:after="100" w:afterAutospacing="1"/>
      <w:jc w:val="left"/>
    </w:pPr>
    <w:rPr>
      <w:rFonts w:ascii="宋体" w:hAnsi="宋体"/>
      <w:kern w:val="0"/>
      <w:sz w:val="24"/>
    </w:rPr>
  </w:style>
  <w:style w:type="paragraph" w:customStyle="1" w:styleId="102">
    <w:name w:val="Pa5"/>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03">
    <w:name w:val="Test2"/>
    <w:basedOn w:val="3"/>
    <w:qFormat/>
    <w:uiPriority w:val="0"/>
    <w:pPr>
      <w:widowControl/>
      <w:adjustRightInd w:val="0"/>
      <w:snapToGrid w:val="0"/>
      <w:spacing w:beforeLines="50" w:afterLines="50" w:line="480" w:lineRule="exact"/>
      <w:jc w:val="center"/>
    </w:pPr>
    <w:rPr>
      <w:rFonts w:ascii="黑体" w:hAnsi="Arial" w:eastAsia="黑体"/>
      <w:bCs/>
      <w:snapToGrid w:val="0"/>
      <w:kern w:val="0"/>
      <w:sz w:val="24"/>
    </w:rPr>
  </w:style>
  <w:style w:type="paragraph" w:customStyle="1" w:styleId="104">
    <w:name w:val="Char Char1"/>
    <w:basedOn w:val="1"/>
    <w:qFormat/>
    <w:uiPriority w:val="0"/>
    <w:rPr>
      <w:rFonts w:ascii="Tahoma" w:hAnsi="Tahoma"/>
      <w:sz w:val="24"/>
    </w:rPr>
  </w:style>
  <w:style w:type="character" w:customStyle="1" w:styleId="105">
    <w:name w:val="标准小四 Char"/>
    <w:qFormat/>
    <w:uiPriority w:val="0"/>
    <w:rPr>
      <w:rFonts w:ascii="Arial" w:hAnsi="Arial" w:eastAsia="宋体"/>
      <w:kern w:val="2"/>
      <w:sz w:val="24"/>
      <w:szCs w:val="21"/>
      <w:lang w:val="en-US" w:eastAsia="zh-CN" w:bidi="ar-SA"/>
    </w:rPr>
  </w:style>
  <w:style w:type="paragraph" w:customStyle="1" w:styleId="106">
    <w:name w:val="马刚标题4"/>
    <w:basedOn w:val="107"/>
    <w:next w:val="1"/>
    <w:qFormat/>
    <w:uiPriority w:val="0"/>
    <w:pPr>
      <w:tabs>
        <w:tab w:val="left" w:pos="567"/>
        <w:tab w:val="left" w:pos="735"/>
      </w:tabs>
      <w:spacing w:before="100" w:after="40"/>
      <w:outlineLvl w:val="3"/>
    </w:pPr>
    <w:rPr>
      <w:b w:val="0"/>
    </w:rPr>
  </w:style>
  <w:style w:type="paragraph" w:customStyle="1" w:styleId="107">
    <w:name w:val="马刚标题3"/>
    <w:basedOn w:val="1"/>
    <w:next w:val="1"/>
    <w:qFormat/>
    <w:uiPriority w:val="0"/>
    <w:pPr>
      <w:keepNext/>
      <w:keepLines/>
      <w:tabs>
        <w:tab w:val="left" w:pos="567"/>
        <w:tab w:val="left" w:pos="735"/>
      </w:tabs>
      <w:spacing w:before="120" w:after="60" w:line="413" w:lineRule="auto"/>
      <w:ind w:left="567" w:hanging="567"/>
      <w:jc w:val="left"/>
      <w:outlineLvl w:val="2"/>
    </w:pPr>
    <w:rPr>
      <w:rFonts w:ascii="黑体" w:hAnsi="Arial" w:eastAsia="黑体"/>
      <w:b/>
      <w:bCs/>
      <w:sz w:val="24"/>
    </w:rPr>
  </w:style>
  <w:style w:type="paragraph" w:customStyle="1" w:styleId="10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character" w:customStyle="1" w:styleId="109">
    <w:name w:val="标题 8 Char"/>
    <w:link w:val="9"/>
    <w:qFormat/>
    <w:uiPriority w:val="0"/>
    <w:rPr>
      <w:rFonts w:ascii="Arial" w:hAnsi="Arial" w:eastAsia="黑体"/>
      <w:kern w:val="2"/>
      <w:sz w:val="24"/>
      <w:szCs w:val="24"/>
      <w:lang w:val="en-US" w:eastAsia="zh-CN" w:bidi="ar-SA"/>
    </w:rPr>
  </w:style>
  <w:style w:type="character" w:customStyle="1" w:styleId="110">
    <w:name w:val="标题 6 Char"/>
    <w:link w:val="7"/>
    <w:qFormat/>
    <w:uiPriority w:val="0"/>
    <w:rPr>
      <w:rFonts w:ascii="Arial" w:hAnsi="Arial" w:eastAsia="黑体"/>
      <w:b/>
      <w:bCs/>
      <w:kern w:val="2"/>
      <w:sz w:val="24"/>
      <w:szCs w:val="24"/>
      <w:lang w:val="en-US" w:eastAsia="zh-CN" w:bidi="ar-SA"/>
    </w:rPr>
  </w:style>
  <w:style w:type="character" w:customStyle="1" w:styleId="111">
    <w:name w:val="listbenefit"/>
    <w:qFormat/>
    <w:uiPriority w:val="0"/>
  </w:style>
  <w:style w:type="paragraph" w:customStyle="1" w:styleId="112">
    <w:name w:val="Pa6"/>
    <w:basedOn w:val="1"/>
    <w:next w:val="1"/>
    <w:qFormat/>
    <w:uiPriority w:val="0"/>
    <w:pPr>
      <w:autoSpaceDE w:val="0"/>
      <w:autoSpaceDN w:val="0"/>
      <w:adjustRightInd w:val="0"/>
      <w:spacing w:line="241" w:lineRule="atLeast"/>
      <w:jc w:val="left"/>
    </w:pPr>
    <w:rPr>
      <w:rFonts w:ascii="HYDaHeiJ" w:eastAsia="HYDaHeiJ"/>
      <w:kern w:val="0"/>
      <w:sz w:val="24"/>
      <w:szCs w:val="24"/>
    </w:rPr>
  </w:style>
  <w:style w:type="paragraph" w:customStyle="1" w:styleId="113">
    <w:name w:val="Char Char11"/>
    <w:basedOn w:val="1"/>
    <w:qFormat/>
    <w:uiPriority w:val="0"/>
    <w:rPr>
      <w:rFonts w:ascii="Tahoma" w:hAnsi="Tahoma" w:cs="Tahoma"/>
      <w:sz w:val="24"/>
    </w:rPr>
  </w:style>
  <w:style w:type="paragraph" w:customStyle="1" w:styleId="114">
    <w:name w:val="Char Char Char Char Char Char Char Char Char Char Char Char Char1"/>
    <w:basedOn w:val="18"/>
    <w:qFormat/>
    <w:uiPriority w:val="0"/>
    <w:rPr>
      <w:rFonts w:ascii="Tahoma" w:hAnsi="Tahoma"/>
      <w:sz w:val="24"/>
      <w:szCs w:val="24"/>
    </w:rPr>
  </w:style>
  <w:style w:type="paragraph" w:customStyle="1" w:styleId="115">
    <w:name w:val="Char Char Char Char Char Char Char Char Char Char Char Char Char Char"/>
    <w:basedOn w:val="1"/>
    <w:qFormat/>
    <w:uiPriority w:val="0"/>
    <w:rPr>
      <w:rFonts w:ascii="Tahoma" w:hAnsi="Tahoma" w:cs="Tahoma"/>
      <w:sz w:val="24"/>
    </w:rPr>
  </w:style>
  <w:style w:type="character" w:customStyle="1" w:styleId="116">
    <w:name w:val="Char Char29"/>
    <w:qFormat/>
    <w:uiPriority w:val="0"/>
    <w:rPr>
      <w:rFonts w:ascii="Times New Roman" w:hAnsi="Times New Roman" w:eastAsia="宋体" w:cs="Times New Roman"/>
      <w:b/>
      <w:bCs/>
      <w:kern w:val="44"/>
      <w:sz w:val="44"/>
      <w:szCs w:val="44"/>
    </w:rPr>
  </w:style>
  <w:style w:type="character" w:customStyle="1" w:styleId="117">
    <w:name w:val="t1"/>
    <w:qFormat/>
    <w:uiPriority w:val="0"/>
  </w:style>
  <w:style w:type="paragraph" w:customStyle="1" w:styleId="118">
    <w:name w:val="正文文本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119">
    <w:name w:val="纯文本 Char"/>
    <w:link w:val="30"/>
    <w:qFormat/>
    <w:uiPriority w:val="0"/>
    <w:rPr>
      <w:rFonts w:ascii="宋体" w:hAnsi="Courier New" w:eastAsia="宋体"/>
      <w:kern w:val="2"/>
      <w:sz w:val="21"/>
      <w:lang w:val="en-US" w:eastAsia="zh-CN" w:bidi="ar-SA"/>
    </w:rPr>
  </w:style>
  <w:style w:type="paragraph" w:customStyle="1" w:styleId="120">
    <w:name w:val="小四 段落 宋体 Char Char Char"/>
    <w:basedOn w:val="15"/>
    <w:qFormat/>
    <w:uiPriority w:val="0"/>
    <w:pPr>
      <w:tabs>
        <w:tab w:val="clear" w:pos="2952"/>
      </w:tabs>
      <w:spacing w:line="360" w:lineRule="auto"/>
      <w:ind w:left="0" w:right="-33" w:firstLine="545" w:firstLineChars="227"/>
      <w:jc w:val="left"/>
    </w:pPr>
    <w:rPr>
      <w:sz w:val="24"/>
    </w:rPr>
  </w:style>
  <w:style w:type="character" w:customStyle="1" w:styleId="121">
    <w:name w:val="normalfont1"/>
    <w:qFormat/>
    <w:uiPriority w:val="0"/>
    <w:rPr>
      <w:rFonts w:hint="default" w:ascii="ˎ̥" w:hAnsi="ˎ̥"/>
      <w:sz w:val="18"/>
      <w:szCs w:val="18"/>
      <w:u w:val="none"/>
    </w:rPr>
  </w:style>
  <w:style w:type="paragraph" w:customStyle="1" w:styleId="122">
    <w:name w:val="Char Char Char Char Char Char Char Char1"/>
    <w:basedOn w:val="1"/>
    <w:qFormat/>
    <w:uiPriority w:val="0"/>
    <w:rPr>
      <w:rFonts w:ascii="Tahoma" w:hAnsi="Tahoma" w:cs="Tahoma"/>
      <w:sz w:val="24"/>
    </w:rPr>
  </w:style>
  <w:style w:type="paragraph" w:customStyle="1" w:styleId="123">
    <w:name w:val="标准小四"/>
    <w:basedOn w:val="1"/>
    <w:qFormat/>
    <w:uiPriority w:val="0"/>
    <w:pPr>
      <w:spacing w:line="360" w:lineRule="auto"/>
      <w:ind w:firstLine="480" w:firstLineChars="200"/>
    </w:pPr>
    <w:rPr>
      <w:rFonts w:ascii="Arial" w:hAnsi="Arial"/>
      <w:sz w:val="24"/>
      <w:szCs w:val="21"/>
    </w:rPr>
  </w:style>
  <w:style w:type="paragraph" w:customStyle="1" w:styleId="124">
    <w:name w:val="标题5，章节第五层"/>
    <w:basedOn w:val="1"/>
    <w:next w:val="1"/>
    <w:qFormat/>
    <w:uiPriority w:val="0"/>
    <w:pPr>
      <w:tabs>
        <w:tab w:val="left" w:pos="1050"/>
        <w:tab w:val="left" w:pos="2100"/>
      </w:tabs>
      <w:spacing w:before="78"/>
      <w:ind w:left="2100" w:hanging="420"/>
      <w:outlineLvl w:val="4"/>
    </w:pPr>
    <w:rPr>
      <w:rFonts w:ascii="Arial" w:hAnsi="Arial" w:eastAsia="华文细黑"/>
      <w:sz w:val="30"/>
      <w:szCs w:val="24"/>
    </w:rPr>
  </w:style>
  <w:style w:type="paragraph" w:customStyle="1" w:styleId="125">
    <w:name w:val="论文正文"/>
    <w:basedOn w:val="34"/>
    <w:qFormat/>
    <w:uiPriority w:val="0"/>
    <w:pPr>
      <w:spacing w:line="360" w:lineRule="auto"/>
      <w:ind w:left="0" w:firstLine="200" w:firstLineChars="200"/>
      <w:jc w:val="left"/>
    </w:pPr>
    <w:rPr>
      <w:rFonts w:ascii="Times New Roman" w:hAnsi="Times New Roman"/>
      <w:sz w:val="28"/>
      <w:szCs w:val="24"/>
    </w:rPr>
  </w:style>
  <w:style w:type="paragraph" w:customStyle="1" w:styleId="126">
    <w:name w:val="正文 首行缩进:  2 字符 Char Char"/>
    <w:basedOn w:val="1"/>
    <w:qFormat/>
    <w:uiPriority w:val="0"/>
    <w:pPr>
      <w:spacing w:line="360" w:lineRule="auto"/>
      <w:ind w:firstLine="480"/>
    </w:pPr>
    <w:rPr>
      <w:rFonts w:ascii="楷体_GB2312" w:eastAsia="楷体_GB2312"/>
      <w:bCs/>
      <w:sz w:val="24"/>
      <w:szCs w:val="24"/>
    </w:rPr>
  </w:style>
  <w:style w:type="paragraph" w:customStyle="1" w:styleId="127">
    <w:name w:val="Char Char Char Char Char Char Char Char Char Char Char1"/>
    <w:basedOn w:val="1"/>
    <w:qFormat/>
    <w:uiPriority w:val="0"/>
    <w:rPr>
      <w:rFonts w:ascii="Tahoma" w:hAnsi="Tahoma"/>
      <w:sz w:val="24"/>
    </w:rPr>
  </w:style>
  <w:style w:type="paragraph" w:customStyle="1" w:styleId="128">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i/>
      <w:iCs/>
      <w:kern w:val="0"/>
      <w:sz w:val="20"/>
    </w:rPr>
  </w:style>
  <w:style w:type="paragraph" w:customStyle="1" w:styleId="129">
    <w:name w:val="qw"/>
    <w:qFormat/>
    <w:uiPriority w:val="0"/>
    <w:pPr>
      <w:widowControl w:val="0"/>
      <w:autoSpaceDE/>
      <w:autoSpaceDN/>
      <w:adjustRightInd w:val="0"/>
      <w:snapToGrid/>
      <w:spacing w:line="312" w:lineRule="atLeast"/>
      <w:jc w:val="both"/>
      <w:textAlignment w:val="baseline"/>
    </w:pPr>
    <w:rPr>
      <w:rFonts w:ascii="宋体" w:hAnsi="Times New Roman" w:eastAsia="宋体" w:cs="Times New Roman"/>
      <w:kern w:val="2"/>
      <w:sz w:val="24"/>
      <w:szCs w:val="22"/>
      <w:lang w:val="en-US" w:eastAsia="zh-CN" w:bidi="ar-SA"/>
    </w:rPr>
  </w:style>
  <w:style w:type="character" w:customStyle="1" w:styleId="130">
    <w:name w:val="样式 首行缩进:  2 字符 Char Char"/>
    <w:link w:val="131"/>
    <w:qFormat/>
    <w:uiPriority w:val="0"/>
    <w:rPr>
      <w:rFonts w:eastAsia="宋体" w:cs="宋体"/>
      <w:kern w:val="2"/>
      <w:sz w:val="24"/>
      <w:lang w:val="en-US" w:eastAsia="zh-CN" w:bidi="ar-SA"/>
    </w:rPr>
  </w:style>
  <w:style w:type="paragraph" w:customStyle="1" w:styleId="131">
    <w:name w:val="样式 首行缩进:  2 字符"/>
    <w:basedOn w:val="1"/>
    <w:link w:val="130"/>
    <w:qFormat/>
    <w:uiPriority w:val="0"/>
    <w:pPr>
      <w:spacing w:line="360" w:lineRule="auto"/>
      <w:ind w:firstLine="480" w:firstLineChars="200"/>
    </w:pPr>
    <w:rPr>
      <w:rFonts w:cs="宋体"/>
      <w:sz w:val="24"/>
    </w:rPr>
  </w:style>
  <w:style w:type="character" w:customStyle="1" w:styleId="132">
    <w:name w:val="font01"/>
    <w:qFormat/>
    <w:uiPriority w:val="0"/>
    <w:rPr>
      <w:rFonts w:hint="eastAsia" w:ascii="宋体" w:hAnsi="宋体" w:eastAsia="宋体" w:cs="宋体"/>
      <w:color w:val="000000"/>
      <w:sz w:val="28"/>
      <w:szCs w:val="28"/>
      <w:u w:val="none"/>
    </w:rPr>
  </w:style>
  <w:style w:type="paragraph" w:customStyle="1" w:styleId="133">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0"/>
    </w:rPr>
  </w:style>
  <w:style w:type="paragraph" w:customStyle="1" w:styleId="134">
    <w:name w:val="小四 段落 宋体 Char"/>
    <w:basedOn w:val="15"/>
    <w:qFormat/>
    <w:uiPriority w:val="0"/>
    <w:pPr>
      <w:tabs>
        <w:tab w:val="clear" w:pos="2952"/>
      </w:tabs>
      <w:ind w:left="0" w:right="-33" w:firstLine="600" w:firstLineChars="200"/>
      <w:jc w:val="left"/>
    </w:pPr>
    <w:rPr>
      <w:rFonts w:ascii="仿宋_GB2312" w:eastAsia="仿宋_GB2312"/>
      <w:sz w:val="30"/>
      <w:szCs w:val="30"/>
    </w:rPr>
  </w:style>
  <w:style w:type="paragraph" w:customStyle="1" w:styleId="135">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楷体_GB2312" w:hAnsi="宋体" w:eastAsia="楷体_GB2312" w:cs="宋体"/>
      <w:b/>
      <w:bCs/>
      <w:kern w:val="0"/>
      <w:sz w:val="24"/>
      <w:szCs w:val="24"/>
    </w:rPr>
  </w:style>
  <w:style w:type="paragraph" w:customStyle="1" w:styleId="136">
    <w:name w:val="xl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137">
    <w:name w:val="Normal_0"/>
    <w:qFormat/>
    <w:uiPriority w:val="0"/>
    <w:pPr>
      <w:widowControl w:val="0"/>
      <w:autoSpaceDE/>
      <w:autoSpaceDN/>
      <w:snapToGrid/>
      <w:jc w:val="both"/>
    </w:pPr>
    <w:rPr>
      <w:rFonts w:ascii="Times New Roman" w:hAnsi="Times New Roman" w:eastAsia="宋体" w:cs="Times New Roman"/>
      <w:kern w:val="2"/>
      <w:sz w:val="21"/>
      <w:szCs w:val="22"/>
      <w:lang w:val="en-US" w:eastAsia="zh-CN" w:bidi="ar-SA"/>
    </w:rPr>
  </w:style>
  <w:style w:type="paragraph" w:customStyle="1" w:styleId="138">
    <w:name w:val="content_lineheight"/>
    <w:basedOn w:val="1"/>
    <w:qFormat/>
    <w:uiPriority w:val="0"/>
    <w:pPr>
      <w:widowControl/>
      <w:spacing w:before="100" w:beforeAutospacing="1" w:after="100" w:afterAutospacing="1"/>
      <w:jc w:val="left"/>
    </w:pPr>
    <w:rPr>
      <w:rFonts w:ascii="宋体" w:hAnsi="宋体"/>
      <w:kern w:val="0"/>
      <w:sz w:val="24"/>
      <w:szCs w:val="24"/>
    </w:rPr>
  </w:style>
  <w:style w:type="character" w:customStyle="1" w:styleId="139">
    <w:name w:val="Char Char28"/>
    <w:qFormat/>
    <w:uiPriority w:val="0"/>
    <w:rPr>
      <w:rFonts w:ascii="Arial" w:hAnsi="Arial" w:eastAsia="黑体" w:cs="Arial"/>
      <w:b/>
      <w:bCs/>
      <w:sz w:val="32"/>
      <w:szCs w:val="32"/>
    </w:rPr>
  </w:style>
  <w:style w:type="character" w:customStyle="1" w:styleId="140">
    <w:name w:val="正文文本缩进 Char"/>
    <w:link w:val="24"/>
    <w:qFormat/>
    <w:uiPriority w:val="0"/>
    <w:rPr>
      <w:rFonts w:ascii="楷体_GB2312" w:eastAsia="楷体_GB2312"/>
      <w:kern w:val="2"/>
      <w:sz w:val="32"/>
      <w:lang w:val="en-US" w:eastAsia="zh-CN" w:bidi="ar-SA"/>
    </w:rPr>
  </w:style>
  <w:style w:type="paragraph" w:customStyle="1" w:styleId="141">
    <w:name w:val="Char Char Char"/>
    <w:basedOn w:val="1"/>
    <w:qFormat/>
    <w:uiPriority w:val="0"/>
    <w:rPr>
      <w:rFonts w:ascii="Tahoma" w:hAnsi="Tahoma"/>
      <w:sz w:val="24"/>
    </w:rPr>
  </w:style>
  <w:style w:type="paragraph" w:customStyle="1" w:styleId="142">
    <w:name w:val="111111"/>
    <w:basedOn w:val="1"/>
    <w:link w:val="322"/>
    <w:qFormat/>
    <w:uiPriority w:val="0"/>
    <w:pPr>
      <w:spacing w:before="120" w:after="120"/>
      <w:jc w:val="center"/>
    </w:pPr>
    <w:rPr>
      <w:rFonts w:ascii="宋体" w:hAnsi="宋体" w:eastAsia="黑体" w:cs="宋体"/>
      <w:b/>
      <w:bCs/>
      <w:szCs w:val="21"/>
    </w:rPr>
  </w:style>
  <w:style w:type="paragraph" w:customStyle="1" w:styleId="143">
    <w:name w:val="纯文本1"/>
    <w:basedOn w:val="1"/>
    <w:qFormat/>
    <w:uiPriority w:val="0"/>
    <w:pPr>
      <w:adjustRightInd w:val="0"/>
      <w:textAlignment w:val="baseline"/>
    </w:pPr>
    <w:rPr>
      <w:rFonts w:ascii="宋体" w:hAnsi="宋体" w:eastAsia="楷体_GB2312" w:cs="宋体"/>
      <w:sz w:val="28"/>
    </w:rPr>
  </w:style>
  <w:style w:type="paragraph" w:customStyle="1" w:styleId="144">
    <w:name w:val="font6"/>
    <w:basedOn w:val="1"/>
    <w:qFormat/>
    <w:uiPriority w:val="0"/>
    <w:pPr>
      <w:widowControl/>
      <w:spacing w:before="100" w:beforeAutospacing="1" w:after="100" w:afterAutospacing="1"/>
      <w:jc w:val="left"/>
    </w:pPr>
    <w:rPr>
      <w:rFonts w:ascii="宋体" w:hAnsi="宋体" w:cs="宋体"/>
      <w:b/>
      <w:bCs/>
      <w:kern w:val="0"/>
      <w:sz w:val="20"/>
    </w:rPr>
  </w:style>
  <w:style w:type="paragraph" w:customStyle="1" w:styleId="145">
    <w:name w:val="正文文本缩进1"/>
    <w:basedOn w:val="1"/>
    <w:next w:val="1"/>
    <w:qFormat/>
    <w:uiPriority w:val="0"/>
    <w:pPr>
      <w:spacing w:after="120"/>
      <w:ind w:left="420" w:leftChars="200"/>
    </w:pPr>
    <w:rPr>
      <w:szCs w:val="24"/>
    </w:rPr>
  </w:style>
  <w:style w:type="paragraph" w:customStyle="1" w:styleId="146">
    <w:name w:val="Char Char Char Char Char"/>
    <w:basedOn w:val="1"/>
    <w:qFormat/>
    <w:uiPriority w:val="0"/>
    <w:rPr>
      <w:rFonts w:ascii="Tahoma" w:hAnsi="Tahoma"/>
      <w:sz w:val="24"/>
    </w:rPr>
  </w:style>
  <w:style w:type="paragraph" w:customStyle="1" w:styleId="147">
    <w:name w:val="Blockquote"/>
    <w:basedOn w:val="1"/>
    <w:link w:val="235"/>
    <w:qFormat/>
    <w:uiPriority w:val="0"/>
    <w:pPr>
      <w:autoSpaceDE w:val="0"/>
      <w:autoSpaceDN w:val="0"/>
      <w:adjustRightInd w:val="0"/>
      <w:spacing w:before="100" w:after="100"/>
      <w:ind w:left="360" w:right="360"/>
      <w:jc w:val="left"/>
    </w:pPr>
    <w:rPr>
      <w:kern w:val="0"/>
      <w:sz w:val="24"/>
    </w:rPr>
  </w:style>
  <w:style w:type="paragraph" w:customStyle="1" w:styleId="148">
    <w:name w:val="样式 样式 首行缩进:  2 字符 + 行距: 1.5 倍行距"/>
    <w:basedOn w:val="1"/>
    <w:qFormat/>
    <w:uiPriority w:val="0"/>
    <w:pPr>
      <w:spacing w:line="360" w:lineRule="auto"/>
      <w:ind w:firstLine="470" w:firstLineChars="196"/>
    </w:pPr>
    <w:rPr>
      <w:sz w:val="24"/>
    </w:rPr>
  </w:style>
  <w:style w:type="character" w:customStyle="1" w:styleId="149">
    <w:name w:val="纯文本 Char1"/>
    <w:qFormat/>
    <w:uiPriority w:val="0"/>
    <w:rPr>
      <w:rFonts w:ascii="宋体" w:hAnsi="Courier New" w:cs="Courier New"/>
      <w:kern w:val="2"/>
      <w:sz w:val="21"/>
      <w:szCs w:val="21"/>
    </w:rPr>
  </w:style>
  <w:style w:type="character" w:customStyle="1" w:styleId="150">
    <w:name w:val="content_lineheight1"/>
    <w:qFormat/>
    <w:uiPriority w:val="0"/>
  </w:style>
  <w:style w:type="paragraph" w:customStyle="1" w:styleId="15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52">
    <w:name w:val="font10"/>
    <w:basedOn w:val="1"/>
    <w:qFormat/>
    <w:uiPriority w:val="0"/>
    <w:pPr>
      <w:widowControl/>
      <w:spacing w:before="100" w:beforeAutospacing="1" w:after="100" w:afterAutospacing="1"/>
      <w:jc w:val="left"/>
    </w:pPr>
    <w:rPr>
      <w:rFonts w:ascii="楷体_GB2312" w:hAnsi="宋体" w:eastAsia="楷体_GB2312" w:cs="宋体"/>
      <w:b/>
      <w:bCs/>
      <w:kern w:val="0"/>
      <w:sz w:val="18"/>
      <w:szCs w:val="18"/>
    </w:rPr>
  </w:style>
  <w:style w:type="paragraph" w:customStyle="1" w:styleId="153">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54">
    <w:name w:val="Char Char1 Char Char Char Char1 Char Char Char Char Char Char"/>
    <w:basedOn w:val="1"/>
    <w:qFormat/>
    <w:uiPriority w:val="0"/>
    <w:rPr>
      <w:rFonts w:ascii="Tahoma" w:hAnsi="Tahoma"/>
      <w:sz w:val="24"/>
    </w:rPr>
  </w:style>
  <w:style w:type="paragraph" w:customStyle="1" w:styleId="155">
    <w:name w:val="样式1"/>
    <w:basedOn w:val="1"/>
    <w:qFormat/>
    <w:uiPriority w:val="0"/>
    <w:pPr>
      <w:spacing w:line="300" w:lineRule="auto"/>
      <w:ind w:firstLine="480" w:firstLineChars="200"/>
    </w:pPr>
    <w:rPr>
      <w:sz w:val="24"/>
      <w:szCs w:val="24"/>
    </w:rPr>
  </w:style>
  <w:style w:type="character" w:customStyle="1" w:styleId="156">
    <w:name w:val="标题 2 Char"/>
    <w:link w:val="3"/>
    <w:qFormat/>
    <w:uiPriority w:val="0"/>
    <w:rPr>
      <w:rFonts w:ascii="宋体" w:hAnsi="宋体" w:eastAsia="宋体"/>
      <w:b/>
      <w:kern w:val="2"/>
      <w:sz w:val="21"/>
      <w:szCs w:val="24"/>
      <w:lang w:val="en-US" w:eastAsia="zh-CN" w:bidi="ar-SA"/>
    </w:rPr>
  </w:style>
  <w:style w:type="paragraph" w:customStyle="1" w:styleId="157">
    <w:name w:val="Char Char1 Char"/>
    <w:basedOn w:val="1"/>
    <w:qFormat/>
    <w:uiPriority w:val="0"/>
    <w:pPr>
      <w:widowControl/>
      <w:spacing w:after="160" w:line="240" w:lineRule="exact"/>
      <w:jc w:val="left"/>
    </w:pPr>
    <w:rPr>
      <w:rFonts w:ascii="Verdana" w:hAnsi="Verdana"/>
      <w:kern w:val="0"/>
      <w:sz w:val="20"/>
      <w:lang w:eastAsia="en-US"/>
    </w:rPr>
  </w:style>
  <w:style w:type="paragraph" w:customStyle="1" w:styleId="158">
    <w:name w:val="标题2，章节第二层"/>
    <w:basedOn w:val="1"/>
    <w:next w:val="85"/>
    <w:qFormat/>
    <w:uiPriority w:val="0"/>
    <w:pPr>
      <w:numPr>
        <w:ilvl w:val="4"/>
        <w:numId w:val="1"/>
      </w:numPr>
      <w:tabs>
        <w:tab w:val="left" w:pos="630"/>
        <w:tab w:val="left" w:pos="992"/>
      </w:tabs>
      <w:adjustRightInd w:val="0"/>
      <w:snapToGrid w:val="0"/>
      <w:spacing w:beforeLines="100" w:afterLines="100" w:line="300" w:lineRule="auto"/>
      <w:ind w:left="992" w:hanging="567"/>
      <w:outlineLvl w:val="1"/>
    </w:pPr>
    <w:rPr>
      <w:rFonts w:ascii="Arial" w:hAnsi="Arial" w:eastAsia="黑体"/>
      <w:sz w:val="32"/>
      <w:szCs w:val="24"/>
    </w:rPr>
  </w:style>
  <w:style w:type="paragraph" w:customStyle="1" w:styleId="159">
    <w:name w:val="01 正文-首行缩进2字符"/>
    <w:qFormat/>
    <w:uiPriority w:val="0"/>
    <w:pPr>
      <w:widowControl w:val="0"/>
      <w:autoSpaceDE/>
      <w:autoSpaceDN/>
      <w:snapToGrid/>
      <w:spacing w:beforeLines="50" w:afterLines="50" w:line="360" w:lineRule="auto"/>
      <w:ind w:firstLine="200" w:firstLineChars="200"/>
      <w:jc w:val="both"/>
    </w:pPr>
    <w:rPr>
      <w:rFonts w:ascii="Arial" w:hAnsi="Arial" w:eastAsia="等线" w:cs="Times New Roman"/>
      <w:color w:val="000000"/>
      <w:kern w:val="2"/>
      <w:sz w:val="24"/>
      <w:szCs w:val="24"/>
      <w:lang w:val="en-US" w:eastAsia="zh-CN" w:bidi="ar-SA"/>
    </w:rPr>
  </w:style>
  <w:style w:type="paragraph" w:customStyle="1" w:styleId="160">
    <w:name w:val="列表段落1"/>
    <w:basedOn w:val="1"/>
    <w:qFormat/>
    <w:uiPriority w:val="0"/>
    <w:pPr>
      <w:widowControl/>
      <w:ind w:left="720"/>
      <w:contextualSpacing/>
      <w:jc w:val="left"/>
    </w:pPr>
    <w:rPr>
      <w:rFonts w:ascii="Arial" w:hAnsi="Arial" w:eastAsia="黑体"/>
      <w:kern w:val="0"/>
      <w:sz w:val="24"/>
      <w:szCs w:val="24"/>
      <w:lang w:eastAsia="en-US"/>
    </w:rPr>
  </w:style>
  <w:style w:type="paragraph" w:customStyle="1" w:styleId="161">
    <w:name w:val="正文文本 New New"/>
    <w:basedOn w:val="1"/>
    <w:qFormat/>
    <w:uiPriority w:val="0"/>
    <w:pPr>
      <w:widowControl/>
      <w:spacing w:before="60" w:after="60" w:line="360" w:lineRule="auto"/>
      <w:ind w:firstLine="200" w:firstLineChars="200"/>
    </w:pPr>
    <w:rPr>
      <w:rFonts w:eastAsia="华文楷体"/>
      <w:sz w:val="24"/>
      <w:szCs w:val="24"/>
    </w:rPr>
  </w:style>
  <w:style w:type="character" w:customStyle="1" w:styleId="162">
    <w:name w:val="小四 段落 宋体 Char Char Char Char1"/>
    <w:qFormat/>
    <w:uiPriority w:val="0"/>
    <w:rPr>
      <w:rFonts w:eastAsia="宋体"/>
      <w:kern w:val="2"/>
      <w:sz w:val="24"/>
      <w:szCs w:val="24"/>
      <w:lang w:val="en-US" w:eastAsia="zh-CN" w:bidi="ar-SA"/>
    </w:rPr>
  </w:style>
  <w:style w:type="character" w:customStyle="1" w:styleId="163">
    <w:name w:val="concon"/>
    <w:qFormat/>
    <w:uiPriority w:val="0"/>
  </w:style>
  <w:style w:type="character" w:customStyle="1" w:styleId="164">
    <w:name w:val="A2"/>
    <w:qFormat/>
    <w:uiPriority w:val="0"/>
    <w:rPr>
      <w:rFonts w:cs="Helvetica"/>
      <w:color w:val="000000"/>
      <w:sz w:val="18"/>
      <w:szCs w:val="18"/>
    </w:rPr>
  </w:style>
  <w:style w:type="character" w:customStyle="1" w:styleId="165">
    <w:name w:val="标题 4 Char"/>
    <w:link w:val="5"/>
    <w:qFormat/>
    <w:uiPriority w:val="0"/>
    <w:rPr>
      <w:rFonts w:ascii="Arial" w:hAnsi="Arial" w:eastAsia="黑体"/>
      <w:b/>
      <w:kern w:val="2"/>
      <w:sz w:val="28"/>
      <w:lang w:val="en-US" w:eastAsia="zh-CN" w:bidi="ar-SA"/>
    </w:rPr>
  </w:style>
  <w:style w:type="paragraph" w:customStyle="1" w:styleId="166">
    <w:name w:val="样式2"/>
    <w:basedOn w:val="1"/>
    <w:qFormat/>
    <w:uiPriority w:val="0"/>
    <w:pPr>
      <w:spacing w:line="360" w:lineRule="auto"/>
      <w:ind w:left="200" w:leftChars="200"/>
    </w:pPr>
    <w:rPr>
      <w:rFonts w:ascii="宋体" w:hAnsi="宋体"/>
      <w:b/>
      <w:sz w:val="24"/>
      <w:szCs w:val="24"/>
    </w:rPr>
  </w:style>
  <w:style w:type="paragraph" w:customStyle="1" w:styleId="167">
    <w:name w:val="列表内容"/>
    <w:basedOn w:val="1"/>
    <w:next w:val="1"/>
    <w:qFormat/>
    <w:uiPriority w:val="0"/>
    <w:pPr>
      <w:widowControl/>
      <w:tabs>
        <w:tab w:val="left" w:pos="840"/>
      </w:tabs>
      <w:ind w:left="840" w:hanging="420"/>
      <w:jc w:val="left"/>
    </w:pPr>
    <w:rPr>
      <w:kern w:val="0"/>
      <w:sz w:val="18"/>
      <w:szCs w:val="24"/>
    </w:rPr>
  </w:style>
  <w:style w:type="character" w:customStyle="1" w:styleId="168">
    <w:name w:val="特点 Char1"/>
    <w:qFormat/>
    <w:uiPriority w:val="0"/>
    <w:rPr>
      <w:rFonts w:eastAsia="宋体"/>
      <w:kern w:val="2"/>
      <w:sz w:val="21"/>
      <w:lang w:val="en-US" w:eastAsia="zh-CN" w:bidi="ar-SA"/>
    </w:rPr>
  </w:style>
  <w:style w:type="character" w:customStyle="1" w:styleId="169">
    <w:name w:val="标准小四 Char Char"/>
    <w:qFormat/>
    <w:uiPriority w:val="0"/>
    <w:rPr>
      <w:rFonts w:ascii="Arial" w:hAnsi="Arial" w:eastAsia="宋体"/>
      <w:kern w:val="2"/>
      <w:sz w:val="24"/>
      <w:szCs w:val="21"/>
      <w:lang w:val="en-US" w:eastAsia="zh-CN" w:bidi="ar-SA"/>
    </w:rPr>
  </w:style>
  <w:style w:type="paragraph" w:customStyle="1" w:styleId="170">
    <w:name w:val="Body Text 21"/>
    <w:basedOn w:val="1"/>
    <w:qFormat/>
    <w:uiPriority w:val="0"/>
    <w:pPr>
      <w:widowControl/>
      <w:overflowPunct w:val="0"/>
      <w:autoSpaceDE w:val="0"/>
      <w:autoSpaceDN w:val="0"/>
      <w:adjustRightInd w:val="0"/>
      <w:ind w:left="720" w:hanging="720"/>
      <w:textAlignment w:val="baseline"/>
    </w:pPr>
    <w:rPr>
      <w:kern w:val="0"/>
      <w:sz w:val="24"/>
      <w:lang w:val="en-GB"/>
    </w:rPr>
  </w:style>
  <w:style w:type="character" w:customStyle="1" w:styleId="171">
    <w:name w:val="textcontents"/>
    <w:qFormat/>
    <w:uiPriority w:val="0"/>
  </w:style>
  <w:style w:type="paragraph" w:customStyle="1" w:styleId="172">
    <w:name w:val="正文lzq"/>
    <w:basedOn w:val="1"/>
    <w:qFormat/>
    <w:uiPriority w:val="0"/>
    <w:pPr>
      <w:adjustRightInd w:val="0"/>
      <w:spacing w:line="360" w:lineRule="auto"/>
      <w:ind w:firstLine="480"/>
      <w:textAlignment w:val="baseline"/>
    </w:pPr>
    <w:rPr>
      <w:kern w:val="0"/>
      <w:sz w:val="24"/>
    </w:rPr>
  </w:style>
  <w:style w:type="character" w:customStyle="1" w:styleId="173">
    <w:name w:val="NormalCharacter"/>
    <w:qFormat/>
    <w:uiPriority w:val="0"/>
  </w:style>
  <w:style w:type="paragraph" w:customStyle="1" w:styleId="174">
    <w:name w:val="样式 段后: 0.25 行"/>
    <w:basedOn w:val="1"/>
    <w:qFormat/>
    <w:uiPriority w:val="0"/>
    <w:pPr>
      <w:widowControl/>
      <w:spacing w:afterLines="25" w:line="300" w:lineRule="auto"/>
      <w:ind w:firstLine="420" w:firstLineChars="200"/>
      <w:jc w:val="left"/>
    </w:pPr>
    <w:rPr>
      <w:rFonts w:ascii="Arial" w:hAnsi="Arial" w:cs="宋体"/>
      <w:kern w:val="0"/>
      <w:sz w:val="22"/>
      <w:lang w:eastAsia="en-US" w:bidi="en-US"/>
    </w:rPr>
  </w:style>
  <w:style w:type="paragraph" w:customStyle="1" w:styleId="175">
    <w:name w:val="表格1"/>
    <w:basedOn w:val="1"/>
    <w:qFormat/>
    <w:uiPriority w:val="0"/>
    <w:pPr>
      <w:adjustRightInd w:val="0"/>
      <w:textAlignment w:val="baseline"/>
    </w:pPr>
    <w:rPr>
      <w:rFonts w:ascii="宋体"/>
      <w:kern w:val="24"/>
      <w:szCs w:val="21"/>
    </w:rPr>
  </w:style>
  <w:style w:type="paragraph" w:customStyle="1" w:styleId="176">
    <w:name w:val="Char Char Char Char Char Char Char1 Char"/>
    <w:basedOn w:val="1"/>
    <w:qFormat/>
    <w:uiPriority w:val="0"/>
    <w:rPr>
      <w:rFonts w:ascii="Tahoma" w:hAnsi="Tahoma" w:cs="Tahoma"/>
      <w:sz w:val="24"/>
    </w:rPr>
  </w:style>
  <w:style w:type="paragraph" w:customStyle="1" w:styleId="177">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178">
    <w:name w:val="标题4，章节第四层"/>
    <w:basedOn w:val="1"/>
    <w:next w:val="1"/>
    <w:qFormat/>
    <w:uiPriority w:val="0"/>
    <w:pPr>
      <w:tabs>
        <w:tab w:val="left" w:pos="0"/>
      </w:tabs>
      <w:spacing w:line="360" w:lineRule="auto"/>
      <w:outlineLvl w:val="3"/>
    </w:pPr>
    <w:rPr>
      <w:rFonts w:ascii="宋体" w:hAnsi="宋体"/>
      <w:b/>
      <w:sz w:val="24"/>
      <w:szCs w:val="24"/>
    </w:rPr>
  </w:style>
  <w:style w:type="character" w:customStyle="1" w:styleId="179">
    <w:name w:val="批注文字 Char"/>
    <w:link w:val="19"/>
    <w:qFormat/>
    <w:uiPriority w:val="99"/>
    <w:rPr>
      <w:rFonts w:eastAsia="宋体"/>
      <w:kern w:val="2"/>
      <w:sz w:val="21"/>
      <w:lang w:val="en-US" w:eastAsia="zh-CN" w:bidi="ar-SA"/>
    </w:rPr>
  </w:style>
  <w:style w:type="paragraph" w:customStyle="1" w:styleId="18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181">
    <w:name w:val="Char Char Char Char Char Char Char1"/>
    <w:basedOn w:val="1"/>
    <w:qFormat/>
    <w:uiPriority w:val="0"/>
    <w:rPr>
      <w:rFonts w:ascii="Tahoma" w:hAnsi="Tahoma"/>
      <w:sz w:val="24"/>
    </w:rPr>
  </w:style>
  <w:style w:type="paragraph" w:customStyle="1" w:styleId="182">
    <w:name w:val="tableau"/>
    <w:basedOn w:val="1"/>
    <w:qFormat/>
    <w:uiPriority w:val="0"/>
    <w:pPr>
      <w:widowControl/>
      <w:spacing w:before="20" w:after="20"/>
      <w:jc w:val="center"/>
    </w:pPr>
    <w:rPr>
      <w:rFonts w:ascii="Arial" w:hAnsi="Arial"/>
      <w:kern w:val="0"/>
      <w:sz w:val="16"/>
      <w:lang w:val="en-GB" w:eastAsia="en-US"/>
    </w:rPr>
  </w:style>
  <w:style w:type="paragraph" w:customStyle="1" w:styleId="183">
    <w:name w:val="Char Char Char Char Char Char"/>
    <w:basedOn w:val="1"/>
    <w:qFormat/>
    <w:uiPriority w:val="0"/>
    <w:rPr>
      <w:rFonts w:ascii="Tahoma" w:hAnsi="Tahoma" w:cs="Tahoma"/>
      <w:sz w:val="24"/>
    </w:rPr>
  </w:style>
  <w:style w:type="paragraph" w:customStyle="1" w:styleId="184">
    <w:name w:val="xl52"/>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185">
    <w:name w:val="Char Char"/>
    <w:basedOn w:val="1"/>
    <w:qFormat/>
    <w:uiPriority w:val="0"/>
    <w:rPr>
      <w:rFonts w:ascii="Tahoma" w:hAnsi="Tahoma" w:cs="Tahoma"/>
      <w:sz w:val="24"/>
    </w:rPr>
  </w:style>
  <w:style w:type="paragraph" w:customStyle="1" w:styleId="186">
    <w:name w:val="Char Char3"/>
    <w:basedOn w:val="1"/>
    <w:qFormat/>
    <w:uiPriority w:val="0"/>
    <w:rPr>
      <w:rFonts w:ascii="Tahoma" w:hAnsi="Tahoma"/>
      <w:sz w:val="24"/>
    </w:rPr>
  </w:style>
  <w:style w:type="character" w:customStyle="1" w:styleId="187">
    <w:name w:val="标题 Char1"/>
    <w:qFormat/>
    <w:uiPriority w:val="0"/>
    <w:rPr>
      <w:rFonts w:ascii="Cambria" w:eastAsia="宋体" w:cs="Times New Roman"/>
      <w:b/>
      <w:bCs/>
      <w:sz w:val="32"/>
      <w:szCs w:val="32"/>
    </w:rPr>
  </w:style>
  <w:style w:type="paragraph" w:customStyle="1" w:styleId="188">
    <w:name w:val="样式 样式 首行缩进:  0.74 厘米 行距: 1.5 倍行距 + 段后: 0.5 行"/>
    <w:basedOn w:val="1"/>
    <w:qFormat/>
    <w:uiPriority w:val="0"/>
    <w:pPr>
      <w:spacing w:line="360" w:lineRule="auto"/>
      <w:ind w:firstLine="420"/>
    </w:pPr>
    <w:rPr>
      <w:rFonts w:ascii="楷体_GB2312" w:eastAsia="楷体_GB2312"/>
      <w:bCs/>
      <w:sz w:val="24"/>
    </w:rPr>
  </w:style>
  <w:style w:type="paragraph" w:customStyle="1" w:styleId="189">
    <w:name w:val="greytypebeni"/>
    <w:basedOn w:val="1"/>
    <w:qFormat/>
    <w:uiPriority w:val="0"/>
    <w:pPr>
      <w:widowControl/>
      <w:jc w:val="left"/>
    </w:pPr>
    <w:rPr>
      <w:rFonts w:ascii="宋体" w:hAnsi="宋体" w:cs="宋体"/>
      <w:kern w:val="0"/>
      <w:sz w:val="24"/>
      <w:szCs w:val="24"/>
    </w:rPr>
  </w:style>
  <w:style w:type="paragraph" w:customStyle="1" w:styleId="190">
    <w:name w:val="Table Paragraph"/>
    <w:basedOn w:val="1"/>
    <w:qFormat/>
    <w:uiPriority w:val="1"/>
    <w:rPr>
      <w:rFonts w:ascii="宋体" w:hAnsi="宋体" w:cs="宋体"/>
      <w:lang w:val="zh-CN" w:bidi="zh-CN"/>
    </w:rPr>
  </w:style>
  <w:style w:type="character" w:customStyle="1" w:styleId="191">
    <w:name w:val="标准文本 Char Char"/>
    <w:qFormat/>
    <w:uiPriority w:val="0"/>
    <w:rPr>
      <w:rFonts w:eastAsia="宋体" w:cs="宋体"/>
      <w:kern w:val="2"/>
      <w:sz w:val="24"/>
      <w:szCs w:val="24"/>
      <w:lang w:val="en-US" w:eastAsia="zh-CN" w:bidi="ar-SA"/>
    </w:rPr>
  </w:style>
  <w:style w:type="character" w:customStyle="1" w:styleId="192">
    <w:name w:val="标题 9 Char"/>
    <w:link w:val="10"/>
    <w:qFormat/>
    <w:uiPriority w:val="0"/>
    <w:rPr>
      <w:rFonts w:ascii="Arial" w:hAnsi="Arial" w:eastAsia="黑体"/>
      <w:kern w:val="2"/>
      <w:sz w:val="21"/>
      <w:szCs w:val="21"/>
      <w:lang w:val="en-US" w:eastAsia="zh-CN" w:bidi="ar-SA"/>
    </w:rPr>
  </w:style>
  <w:style w:type="paragraph" w:customStyle="1" w:styleId="193">
    <w:name w:val="Char Char Char Char Char1"/>
    <w:basedOn w:val="1"/>
    <w:qFormat/>
    <w:uiPriority w:val="0"/>
    <w:rPr>
      <w:rFonts w:ascii="Tahoma" w:hAnsi="Tahoma" w:cs="Tahoma"/>
      <w:sz w:val="24"/>
    </w:rPr>
  </w:style>
  <w:style w:type="paragraph" w:customStyle="1" w:styleId="194">
    <w:name w:val="表格内文字"/>
    <w:basedOn w:val="1"/>
    <w:qFormat/>
    <w:uiPriority w:val="0"/>
    <w:pPr>
      <w:spacing w:line="300" w:lineRule="atLeast"/>
    </w:pPr>
    <w:rPr>
      <w:sz w:val="18"/>
      <w:szCs w:val="24"/>
    </w:rPr>
  </w:style>
  <w:style w:type="character" w:customStyle="1" w:styleId="195">
    <w:name w:val="新图表正文 Char Char"/>
    <w:link w:val="196"/>
    <w:qFormat/>
    <w:uiPriority w:val="0"/>
    <w:rPr>
      <w:rFonts w:ascii="宋体" w:hAnsi="宋体"/>
      <w:kern w:val="2"/>
      <w:sz w:val="18"/>
      <w:szCs w:val="21"/>
      <w:lang w:val="en-US" w:eastAsia="zh-CN" w:bidi="ar-SA"/>
    </w:rPr>
  </w:style>
  <w:style w:type="paragraph" w:customStyle="1" w:styleId="196">
    <w:name w:val="新图表正文"/>
    <w:link w:val="195"/>
    <w:qFormat/>
    <w:uiPriority w:val="0"/>
    <w:pPr>
      <w:autoSpaceDE/>
      <w:autoSpaceDN/>
      <w:snapToGrid/>
      <w:jc w:val="both"/>
    </w:pPr>
    <w:rPr>
      <w:rFonts w:ascii="宋体" w:hAnsi="宋体" w:eastAsia="宋体" w:cs="Times New Roman"/>
      <w:kern w:val="2"/>
      <w:sz w:val="18"/>
      <w:szCs w:val="21"/>
      <w:lang w:val="en-US" w:eastAsia="zh-CN" w:bidi="ar-SA"/>
    </w:rPr>
  </w:style>
  <w:style w:type="character" w:customStyle="1" w:styleId="197">
    <w:name w:val="无间隔 Char"/>
    <w:link w:val="198"/>
    <w:qFormat/>
    <w:uiPriority w:val="0"/>
    <w:rPr>
      <w:rFonts w:eastAsia="微软雅黑"/>
      <w:kern w:val="2"/>
      <w:sz w:val="24"/>
      <w:szCs w:val="22"/>
      <w:lang w:val="en-US" w:eastAsia="zh-CN" w:bidi="ar-SA"/>
    </w:rPr>
  </w:style>
  <w:style w:type="paragraph" w:styleId="198">
    <w:name w:val="No Spacing"/>
    <w:link w:val="197"/>
    <w:qFormat/>
    <w:uiPriority w:val="0"/>
    <w:pPr>
      <w:widowControl w:val="0"/>
      <w:autoSpaceDE/>
      <w:autoSpaceDN/>
      <w:snapToGrid/>
      <w:jc w:val="both"/>
    </w:pPr>
    <w:rPr>
      <w:rFonts w:ascii="Times New Roman" w:hAnsi="Times New Roman" w:eastAsia="微软雅黑" w:cs="Times New Roman"/>
      <w:kern w:val="2"/>
      <w:sz w:val="24"/>
      <w:szCs w:val="22"/>
      <w:lang w:val="en-US" w:eastAsia="zh-CN" w:bidi="ar-SA"/>
    </w:rPr>
  </w:style>
  <w:style w:type="paragraph" w:customStyle="1" w:styleId="199">
    <w:name w:val="正文文本 211"/>
    <w:basedOn w:val="1"/>
    <w:qFormat/>
    <w:uiPriority w:val="0"/>
    <w:pPr>
      <w:widowControl/>
      <w:overflowPunct w:val="0"/>
      <w:autoSpaceDE w:val="0"/>
      <w:autoSpaceDN w:val="0"/>
      <w:adjustRightInd w:val="0"/>
      <w:ind w:left="720" w:hanging="720"/>
      <w:textAlignment w:val="baseline"/>
    </w:pPr>
    <w:rPr>
      <w:kern w:val="0"/>
      <w:sz w:val="24"/>
      <w:lang w:val="en-GB"/>
    </w:rPr>
  </w:style>
  <w:style w:type="paragraph" w:customStyle="1" w:styleId="200">
    <w:name w:val="正文 + 宋体"/>
    <w:basedOn w:val="1"/>
    <w:qFormat/>
    <w:uiPriority w:val="0"/>
    <w:pPr>
      <w:spacing w:line="360" w:lineRule="auto"/>
      <w:ind w:firstLine="420" w:firstLineChars="200"/>
    </w:pPr>
    <w:rPr>
      <w:szCs w:val="24"/>
    </w:rPr>
  </w:style>
  <w:style w:type="paragraph" w:customStyle="1" w:styleId="201">
    <w:name w:val="xl5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202">
    <w:name w:val="1"/>
    <w:basedOn w:val="1"/>
    <w:next w:val="53"/>
    <w:qFormat/>
    <w:uiPriority w:val="0"/>
    <w:pPr>
      <w:spacing w:line="360" w:lineRule="auto"/>
    </w:pPr>
    <w:rPr>
      <w:rFonts w:eastAsia="仿宋_GB2312"/>
      <w:sz w:val="24"/>
      <w:szCs w:val="24"/>
    </w:rPr>
  </w:style>
  <w:style w:type="character" w:customStyle="1" w:styleId="203">
    <w:name w:val="小四 段落 宋体 Char Char Char Char Char"/>
    <w:qFormat/>
    <w:uiPriority w:val="0"/>
    <w:rPr>
      <w:rFonts w:eastAsia="宋体"/>
      <w:kern w:val="2"/>
      <w:sz w:val="24"/>
      <w:szCs w:val="24"/>
      <w:lang w:val="en-US" w:eastAsia="zh-CN" w:bidi="ar-SA"/>
    </w:rPr>
  </w:style>
  <w:style w:type="paragraph" w:customStyle="1" w:styleId="204">
    <w:name w:val="条1"/>
    <w:basedOn w:val="1"/>
    <w:qFormat/>
    <w:uiPriority w:val="0"/>
    <w:pPr>
      <w:tabs>
        <w:tab w:val="left" w:pos="780"/>
      </w:tabs>
      <w:spacing w:before="156" w:line="360" w:lineRule="auto"/>
      <w:ind w:left="780" w:hanging="360"/>
    </w:pPr>
    <w:rPr>
      <w:rFonts w:eastAsia="黑体"/>
      <w:sz w:val="24"/>
    </w:rPr>
  </w:style>
  <w:style w:type="paragraph" w:customStyle="1" w:styleId="205">
    <w:name w:val="Char Char Char Char Char Char Char"/>
    <w:basedOn w:val="1"/>
    <w:qFormat/>
    <w:uiPriority w:val="0"/>
    <w:pPr>
      <w:jc w:val="left"/>
    </w:pPr>
    <w:rPr>
      <w:rFonts w:ascii="Tahoma" w:hAnsi="Tahoma"/>
      <w:sz w:val="24"/>
    </w:rPr>
  </w:style>
  <w:style w:type="paragraph" w:styleId="206">
    <w:name w:val="Intense Quote"/>
    <w:basedOn w:val="1"/>
    <w:next w:val="1"/>
    <w:link w:val="403"/>
    <w:qFormat/>
    <w:uiPriority w:val="0"/>
    <w:pPr>
      <w:widowControl/>
      <w:pBdr>
        <w:bottom w:val="single" w:color="auto" w:sz="4" w:space="1"/>
      </w:pBdr>
      <w:spacing w:before="200" w:after="280" w:line="276" w:lineRule="auto"/>
      <w:ind w:left="1008" w:right="1152"/>
    </w:pPr>
    <w:rPr>
      <w:rFonts w:ascii="Calibri" w:hAnsi="Calibri"/>
      <w:b/>
      <w:bCs/>
      <w:i/>
      <w:iCs/>
      <w:kern w:val="0"/>
      <w:sz w:val="22"/>
      <w:szCs w:val="22"/>
      <w:lang w:eastAsia="en-US" w:bidi="en-US"/>
    </w:rPr>
  </w:style>
  <w:style w:type="paragraph" w:customStyle="1" w:styleId="207">
    <w:name w:val="一级标题"/>
    <w:basedOn w:val="1"/>
    <w:qFormat/>
    <w:uiPriority w:val="0"/>
    <w:pPr>
      <w:tabs>
        <w:tab w:val="left" w:pos="903"/>
      </w:tabs>
      <w:spacing w:line="360" w:lineRule="auto"/>
      <w:ind w:left="900" w:hanging="420"/>
    </w:pPr>
    <w:rPr>
      <w:rFonts w:ascii="Arial" w:hAnsi="Arial" w:cs="Arial"/>
      <w:sz w:val="24"/>
    </w:rPr>
  </w:style>
  <w:style w:type="character" w:customStyle="1" w:styleId="208">
    <w:name w:val="标题 3 Char Char"/>
    <w:qFormat/>
    <w:uiPriority w:val="0"/>
    <w:rPr>
      <w:rFonts w:eastAsia="仿宋_GB2312"/>
      <w:b/>
      <w:bCs/>
      <w:kern w:val="2"/>
      <w:sz w:val="28"/>
      <w:szCs w:val="32"/>
      <w:lang w:val="en-US" w:eastAsia="zh-CN" w:bidi="ar-SA"/>
    </w:rPr>
  </w:style>
  <w:style w:type="paragraph" w:customStyle="1" w:styleId="209">
    <w:name w:val="项目符号：一级"/>
    <w:basedOn w:val="85"/>
    <w:next w:val="85"/>
    <w:qFormat/>
    <w:uiPriority w:val="0"/>
    <w:pPr>
      <w:ind w:right="-134" w:rightChars="-64"/>
    </w:pPr>
    <w:rPr>
      <w:bCs w:val="0"/>
    </w:rPr>
  </w:style>
  <w:style w:type="paragraph" w:customStyle="1" w:styleId="210">
    <w:name w:val="列出段落1"/>
    <w:basedOn w:val="1"/>
    <w:qFormat/>
    <w:uiPriority w:val="0"/>
    <w:pPr>
      <w:widowControl/>
      <w:ind w:left="720"/>
      <w:contextualSpacing/>
      <w:jc w:val="left"/>
    </w:pPr>
    <w:rPr>
      <w:rFonts w:ascii="Arial" w:hAnsi="Arial" w:eastAsia="黑体"/>
      <w:kern w:val="0"/>
      <w:sz w:val="24"/>
      <w:szCs w:val="24"/>
      <w:lang w:eastAsia="en-US"/>
    </w:rPr>
  </w:style>
  <w:style w:type="paragraph" w:styleId="211">
    <w:name w:val="Quote"/>
    <w:basedOn w:val="1"/>
    <w:next w:val="1"/>
    <w:link w:val="373"/>
    <w:qFormat/>
    <w:uiPriority w:val="0"/>
    <w:pPr>
      <w:widowControl/>
      <w:spacing w:before="200" w:line="276" w:lineRule="auto"/>
      <w:ind w:left="360" w:right="360"/>
      <w:jc w:val="left"/>
    </w:pPr>
    <w:rPr>
      <w:rFonts w:ascii="Calibri" w:hAnsi="Calibri"/>
      <w:i/>
      <w:iCs/>
      <w:kern w:val="0"/>
      <w:sz w:val="22"/>
      <w:szCs w:val="22"/>
      <w:lang w:eastAsia="en-US" w:bidi="en-US"/>
    </w:rPr>
  </w:style>
  <w:style w:type="paragraph" w:customStyle="1" w:styleId="212">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13">
    <w:name w:val="表格文字"/>
    <w:basedOn w:val="1"/>
    <w:qFormat/>
    <w:uiPriority w:val="0"/>
    <w:pPr>
      <w:adjustRightInd w:val="0"/>
      <w:spacing w:line="360" w:lineRule="auto"/>
      <w:ind w:firstLine="200" w:firstLineChars="200"/>
      <w:jc w:val="left"/>
      <w:textAlignment w:val="baseline"/>
    </w:pPr>
    <w:rPr>
      <w:rFonts w:ascii="Arial" w:hAnsi="Arial"/>
      <w:kern w:val="0"/>
      <w:sz w:val="24"/>
    </w:rPr>
  </w:style>
  <w:style w:type="character" w:customStyle="1" w:styleId="214">
    <w:name w:val="标题 1 Char"/>
    <w:basedOn w:val="63"/>
    <w:link w:val="2"/>
    <w:qFormat/>
    <w:uiPriority w:val="0"/>
    <w:rPr>
      <w:rFonts w:ascii="黑体" w:eastAsia="仿宋"/>
      <w:b/>
      <w:kern w:val="44"/>
      <w:sz w:val="24"/>
      <w:szCs w:val="28"/>
    </w:rPr>
  </w:style>
  <w:style w:type="character" w:customStyle="1" w:styleId="215">
    <w:name w:val="Char Char23"/>
    <w:qFormat/>
    <w:uiPriority w:val="0"/>
    <w:rPr>
      <w:rFonts w:ascii="Arial" w:hAnsi="Arial" w:eastAsia="黑体"/>
      <w:b/>
      <w:bCs/>
      <w:kern w:val="2"/>
      <w:sz w:val="24"/>
      <w:szCs w:val="24"/>
    </w:rPr>
  </w:style>
  <w:style w:type="paragraph" w:customStyle="1" w:styleId="216">
    <w:name w:val="Item Step in Table"/>
    <w:qFormat/>
    <w:uiPriority w:val="0"/>
    <w:pPr>
      <w:numPr>
        <w:ilvl w:val="0"/>
        <w:numId w:val="1"/>
      </w:numPr>
      <w:autoSpaceDE/>
      <w:autoSpaceDN/>
      <w:snapToGrid/>
      <w:spacing w:before="40" w:after="40"/>
      <w:jc w:val="both"/>
    </w:pPr>
    <w:rPr>
      <w:rFonts w:ascii="Arial" w:hAnsi="Arial" w:eastAsia="宋体" w:cs="Arial"/>
      <w:kern w:val="2"/>
      <w:sz w:val="18"/>
      <w:szCs w:val="18"/>
      <w:lang w:val="en-US" w:eastAsia="zh-CN" w:bidi="ar-SA"/>
    </w:rPr>
  </w:style>
  <w:style w:type="paragraph" w:customStyle="1" w:styleId="217">
    <w:name w:val="xl55"/>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218">
    <w:name w:val="xl61"/>
    <w:basedOn w:val="1"/>
    <w:qFormat/>
    <w:uiPriority w:val="0"/>
    <w:pPr>
      <w:widowControl/>
      <w:pBdr>
        <w:top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219">
    <w:name w:val="xl45"/>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customStyle="1" w:styleId="220">
    <w:name w:val="Char Char1 Char Char Char Char Char Char Char"/>
    <w:basedOn w:val="1"/>
    <w:qFormat/>
    <w:uiPriority w:val="0"/>
    <w:rPr>
      <w:rFonts w:ascii="Tahoma" w:hAnsi="Tahoma" w:cs="Tahoma"/>
      <w:sz w:val="24"/>
    </w:rPr>
  </w:style>
  <w:style w:type="paragraph" w:customStyle="1" w:styleId="221">
    <w:name w:val="Char2 Char Char Char Char Char Char1"/>
    <w:basedOn w:val="1"/>
    <w:qFormat/>
    <w:uiPriority w:val="0"/>
    <w:pPr>
      <w:keepNext/>
      <w:widowControl/>
      <w:tabs>
        <w:tab w:val="left" w:pos="425"/>
      </w:tabs>
      <w:autoSpaceDE w:val="0"/>
      <w:autoSpaceDN w:val="0"/>
      <w:adjustRightInd w:val="0"/>
      <w:spacing w:before="80" w:after="80"/>
      <w:ind w:hanging="425"/>
    </w:pPr>
    <w:rPr>
      <w:rFonts w:ascii="Arial" w:hAnsi="Arial" w:cs="Arial"/>
      <w:sz w:val="20"/>
    </w:rPr>
  </w:style>
  <w:style w:type="paragraph" w:customStyle="1" w:styleId="222">
    <w:name w:val="段 Char"/>
    <w:qFormat/>
    <w:uiPriority w:val="0"/>
    <w:pPr>
      <w:autoSpaceDE w:val="0"/>
      <w:autoSpaceDN w:val="0"/>
      <w:snapToGrid/>
      <w:ind w:firstLine="200" w:firstLineChars="200"/>
      <w:jc w:val="both"/>
    </w:pPr>
    <w:rPr>
      <w:rFonts w:ascii="宋体" w:hAnsi="Times New Roman" w:eastAsia="宋体" w:cs="Times New Roman"/>
      <w:kern w:val="2"/>
      <w:sz w:val="21"/>
      <w:szCs w:val="22"/>
      <w:lang w:val="en-US" w:eastAsia="zh-CN" w:bidi="ar-SA"/>
    </w:rPr>
  </w:style>
  <w:style w:type="paragraph" w:customStyle="1" w:styleId="223">
    <w:name w:val="丁华正文"/>
    <w:basedOn w:val="47"/>
    <w:qFormat/>
    <w:uiPriority w:val="0"/>
    <w:pPr>
      <w:adjustRightInd w:val="0"/>
      <w:snapToGrid w:val="0"/>
      <w:spacing w:line="360" w:lineRule="auto"/>
      <w:ind w:left="0" w:firstLine="510"/>
    </w:pPr>
    <w:rPr>
      <w:rFonts w:ascii="Times New Roman" w:hAnsi="Times New Roman" w:eastAsia="宋体"/>
      <w:color w:val="auto"/>
      <w:sz w:val="24"/>
      <w:szCs w:val="16"/>
    </w:rPr>
  </w:style>
  <w:style w:type="character" w:customStyle="1" w:styleId="224">
    <w:name w:val="标题 3 Char Char Char Char Char Char Char Char Char Char Char Char Char Char Char Char Char Char Char Char Char Char Char Char Char Char Char Char Char Char Char Char Char Char Char Char Char Char Char Char Char Char Char Char Char Char Char Char Cha Char"/>
    <w:qFormat/>
    <w:uiPriority w:val="0"/>
    <w:rPr>
      <w:rFonts w:eastAsia="宋体"/>
      <w:b/>
      <w:bCs/>
      <w:kern w:val="2"/>
      <w:sz w:val="32"/>
      <w:szCs w:val="32"/>
      <w:lang w:val="en-US" w:eastAsia="zh-CN" w:bidi="ar-SA"/>
    </w:rPr>
  </w:style>
  <w:style w:type="paragraph" w:customStyle="1" w:styleId="225">
    <w:name w:val="小四 段落 宋体 Char Char Char Char"/>
    <w:basedOn w:val="1"/>
    <w:qFormat/>
    <w:uiPriority w:val="0"/>
    <w:pPr>
      <w:spacing w:line="360" w:lineRule="auto"/>
      <w:ind w:right="-33" w:firstLine="480" w:firstLineChars="200"/>
      <w:jc w:val="left"/>
    </w:pPr>
    <w:rPr>
      <w:sz w:val="24"/>
      <w:szCs w:val="24"/>
    </w:rPr>
  </w:style>
  <w:style w:type="paragraph" w:customStyle="1" w:styleId="226">
    <w:name w:val="表格"/>
    <w:basedOn w:val="1"/>
    <w:qFormat/>
    <w:uiPriority w:val="0"/>
    <w:pPr>
      <w:snapToGrid w:val="0"/>
      <w:ind w:firstLine="21" w:firstLineChars="21"/>
    </w:pPr>
    <w:rPr>
      <w:rFonts w:ascii="宋体" w:hAnsi="宋体" w:cs="宋体"/>
      <w:kern w:val="0"/>
      <w:sz w:val="20"/>
    </w:rPr>
  </w:style>
  <w:style w:type="paragraph" w:customStyle="1" w:styleId="227">
    <w:name w:val="Table Text"/>
    <w:basedOn w:val="1"/>
    <w:semiHidden/>
    <w:qFormat/>
    <w:uiPriority w:val="0"/>
    <w:rPr>
      <w:rFonts w:ascii="微软雅黑" w:hAnsi="微软雅黑" w:eastAsia="微软雅黑" w:cs="微软雅黑"/>
      <w:sz w:val="18"/>
      <w:szCs w:val="18"/>
      <w:lang w:eastAsia="en-US"/>
    </w:rPr>
  </w:style>
  <w:style w:type="character" w:customStyle="1" w:styleId="228">
    <w:name w:val="样式 首行缩进:  2 字符 Char"/>
    <w:qFormat/>
    <w:uiPriority w:val="0"/>
    <w:rPr>
      <w:rFonts w:eastAsia="宋体" w:cs="宋体"/>
      <w:kern w:val="2"/>
      <w:sz w:val="24"/>
      <w:lang w:val="en-US" w:eastAsia="zh-CN" w:bidi="ar-SA"/>
    </w:rPr>
  </w:style>
  <w:style w:type="paragraph" w:customStyle="1" w:styleId="229">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0"/>
    </w:rPr>
  </w:style>
  <w:style w:type="paragraph" w:customStyle="1" w:styleId="230">
    <w:name w:val="样式 样式 标题 3H3sect1.2.3BOD 0Heading 3 - oldh3l3CTLevel 3 Head... +..."/>
    <w:basedOn w:val="1"/>
    <w:qFormat/>
    <w:uiPriority w:val="0"/>
    <w:pPr>
      <w:keepNext/>
      <w:keepLines/>
      <w:spacing w:beforeLines="50" w:afterLines="50"/>
      <w:jc w:val="left"/>
      <w:outlineLvl w:val="2"/>
    </w:pPr>
    <w:rPr>
      <w:rFonts w:cs="宋体"/>
      <w:b/>
      <w:bCs/>
      <w:sz w:val="24"/>
    </w:rPr>
  </w:style>
  <w:style w:type="paragraph" w:customStyle="1" w:styleId="231">
    <w:name w:val="flName"/>
    <w:basedOn w:val="232"/>
    <w:qFormat/>
    <w:uiPriority w:val="0"/>
    <w:pPr>
      <w:spacing w:before="0" w:line="113" w:lineRule="atLeast"/>
    </w:pPr>
  </w:style>
  <w:style w:type="paragraph" w:customStyle="1" w:styleId="232">
    <w:name w:val="flNote"/>
    <w:basedOn w:val="1"/>
    <w:qFormat/>
    <w:uiPriority w:val="0"/>
    <w:pPr>
      <w:adjustRightInd w:val="0"/>
      <w:spacing w:before="567" w:line="360" w:lineRule="atLeast"/>
      <w:jc w:val="center"/>
      <w:textAlignment w:val="baseline"/>
    </w:pPr>
    <w:rPr>
      <w:rFonts w:eastAsia="黑体"/>
      <w:b/>
      <w:kern w:val="0"/>
      <w:sz w:val="24"/>
    </w:rPr>
  </w:style>
  <w:style w:type="paragraph" w:customStyle="1" w:styleId="233">
    <w:name w:val="Char1 Char Char Char1"/>
    <w:basedOn w:val="1"/>
    <w:qFormat/>
    <w:uiPriority w:val="0"/>
    <w:rPr>
      <w:rFonts w:ascii="Tahoma" w:hAnsi="Tahoma"/>
      <w:sz w:val="24"/>
    </w:rPr>
  </w:style>
  <w:style w:type="character" w:customStyle="1" w:styleId="234">
    <w:name w:val="style131"/>
    <w:qFormat/>
    <w:uiPriority w:val="0"/>
    <w:rPr>
      <w:rFonts w:cs="Times New Roman"/>
      <w:sz w:val="18"/>
      <w:szCs w:val="18"/>
    </w:rPr>
  </w:style>
  <w:style w:type="character" w:customStyle="1" w:styleId="235">
    <w:name w:val="Blockquote Char"/>
    <w:link w:val="147"/>
    <w:qFormat/>
    <w:uiPriority w:val="0"/>
    <w:rPr>
      <w:sz w:val="24"/>
    </w:rPr>
  </w:style>
  <w:style w:type="paragraph" w:customStyle="1" w:styleId="236">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b/>
      <w:bCs/>
      <w:kern w:val="0"/>
      <w:sz w:val="20"/>
    </w:rPr>
  </w:style>
  <w:style w:type="paragraph" w:customStyle="1" w:styleId="237">
    <w:name w:val="默认段落字体 Para Char Char Char Char Char Char Char Char Char1 Char Char Char Char Char Char Char"/>
    <w:basedOn w:val="18"/>
    <w:qFormat/>
    <w:uiPriority w:val="0"/>
  </w:style>
  <w:style w:type="paragraph" w:customStyle="1" w:styleId="238">
    <w:name w:val="Char Char Char Char Char Char Char Char Char1"/>
    <w:basedOn w:val="1"/>
    <w:qFormat/>
    <w:uiPriority w:val="0"/>
    <w:pPr>
      <w:tabs>
        <w:tab w:val="left" w:pos="360"/>
      </w:tabs>
      <w:ind w:left="360" w:hanging="360" w:hangingChars="200"/>
    </w:pPr>
    <w:rPr>
      <w:sz w:val="24"/>
      <w:szCs w:val="24"/>
    </w:rPr>
  </w:style>
  <w:style w:type="paragraph" w:customStyle="1" w:styleId="239">
    <w:name w:val="插图"/>
    <w:basedOn w:val="1"/>
    <w:qFormat/>
    <w:uiPriority w:val="0"/>
    <w:pPr>
      <w:tabs>
        <w:tab w:val="left" w:pos="1620"/>
      </w:tabs>
      <w:adjustRightInd w:val="0"/>
      <w:jc w:val="center"/>
    </w:pPr>
    <w:rPr>
      <w:bCs/>
      <w:color w:val="000000"/>
      <w:szCs w:val="22"/>
    </w:rPr>
  </w:style>
  <w:style w:type="paragraph" w:customStyle="1" w:styleId="240">
    <w:name w:val="方案正文"/>
    <w:basedOn w:val="1"/>
    <w:qFormat/>
    <w:uiPriority w:val="0"/>
    <w:pPr>
      <w:spacing w:before="156" w:line="360" w:lineRule="auto"/>
      <w:ind w:firstLine="359" w:firstLineChars="171"/>
      <w:jc w:val="left"/>
    </w:pPr>
    <w:rPr>
      <w:rFonts w:ascii="Arial" w:hAnsi="Arial" w:cs="宋体"/>
      <w:sz w:val="24"/>
      <w:szCs w:val="21"/>
    </w:rPr>
  </w:style>
  <w:style w:type="character" w:customStyle="1" w:styleId="241">
    <w:name w:val="case31"/>
    <w:qFormat/>
    <w:uiPriority w:val="0"/>
    <w:rPr>
      <w:sz w:val="21"/>
      <w:szCs w:val="21"/>
    </w:rPr>
  </w:style>
  <w:style w:type="character" w:customStyle="1" w:styleId="242">
    <w:name w:val="标题 5 Char"/>
    <w:link w:val="6"/>
    <w:qFormat/>
    <w:uiPriority w:val="0"/>
    <w:rPr>
      <w:rFonts w:ascii="黑体" w:eastAsia="黑体"/>
      <w:b/>
      <w:color w:val="000000"/>
      <w:sz w:val="28"/>
      <w:lang w:val="en-US" w:eastAsia="zh-CN" w:bidi="ar-SA"/>
    </w:rPr>
  </w:style>
  <w:style w:type="character" w:customStyle="1" w:styleId="243">
    <w:name w:val="华宇段落1 Char Char"/>
    <w:qFormat/>
    <w:uiPriority w:val="0"/>
    <w:rPr>
      <w:rFonts w:eastAsia="宋体"/>
      <w:bCs/>
      <w:kern w:val="2"/>
      <w:sz w:val="24"/>
      <w:szCs w:val="24"/>
      <w:lang w:val="en-US" w:eastAsia="zh-CN" w:bidi="ar-SA"/>
    </w:rPr>
  </w:style>
  <w:style w:type="paragraph" w:customStyle="1" w:styleId="244">
    <w:name w:val="正文缩进1"/>
    <w:basedOn w:val="1"/>
    <w:link w:val="339"/>
    <w:qFormat/>
    <w:uiPriority w:val="0"/>
    <w:pPr>
      <w:ind w:firstLine="420"/>
    </w:pPr>
    <w:rPr>
      <w:kern w:val="0"/>
      <w:sz w:val="20"/>
    </w:rPr>
  </w:style>
  <w:style w:type="paragraph" w:customStyle="1" w:styleId="245">
    <w:name w:val="Char Char1 Char Char Char Char"/>
    <w:basedOn w:val="18"/>
    <w:qFormat/>
    <w:uiPriority w:val="0"/>
    <w:pPr>
      <w:adjustRightInd w:val="0"/>
      <w:spacing w:line="436" w:lineRule="exact"/>
      <w:ind w:left="357"/>
      <w:jc w:val="left"/>
      <w:outlineLvl w:val="3"/>
    </w:pPr>
    <w:rPr>
      <w:rFonts w:ascii="Tahoma" w:hAnsi="Tahoma" w:cs="Tahoma"/>
      <w:b/>
      <w:kern w:val="0"/>
      <w:sz w:val="24"/>
      <w:szCs w:val="24"/>
    </w:rPr>
  </w:style>
  <w:style w:type="paragraph" w:customStyle="1" w:styleId="246">
    <w:name w:val="Char Char Char Char Char Char Char Char Char Char Char"/>
    <w:basedOn w:val="1"/>
    <w:qFormat/>
    <w:uiPriority w:val="0"/>
    <w:rPr>
      <w:rFonts w:ascii="Tahoma" w:hAnsi="Tahoma" w:cs="Tahoma"/>
      <w:sz w:val="24"/>
    </w:rPr>
  </w:style>
  <w:style w:type="paragraph" w:customStyle="1" w:styleId="247">
    <w:name w:val="flType"/>
    <w:basedOn w:val="231"/>
    <w:qFormat/>
    <w:uiPriority w:val="0"/>
    <w:pPr>
      <w:spacing w:after="284"/>
    </w:pPr>
    <w:rPr>
      <w:rFonts w:eastAsia="宋体"/>
      <w:b w:val="0"/>
    </w:rPr>
  </w:style>
  <w:style w:type="paragraph" w:customStyle="1" w:styleId="248">
    <w:name w:val="Char Char Char Char Char Char Char Char Char Char Char Char Char Char Char Char Char Char Char Char Char1"/>
    <w:basedOn w:val="1"/>
    <w:qFormat/>
    <w:uiPriority w:val="0"/>
    <w:rPr>
      <w:rFonts w:ascii="Tahoma" w:hAnsi="Tahoma" w:cs="Tahoma"/>
      <w:sz w:val="24"/>
    </w:rPr>
  </w:style>
  <w:style w:type="paragraph" w:customStyle="1" w:styleId="249">
    <w:name w:val="Char Char Char Char Char Char Char Char Char Char Char1 Char Char Char1"/>
    <w:basedOn w:val="1"/>
    <w:qFormat/>
    <w:uiPriority w:val="0"/>
    <w:pPr>
      <w:ind w:firstLine="200" w:firstLineChars="200"/>
      <w:jc w:val="left"/>
    </w:pPr>
    <w:rPr>
      <w:rFonts w:ascii="Tahoma" w:hAnsi="Tahoma"/>
      <w:sz w:val="24"/>
      <w:szCs w:val="24"/>
    </w:rPr>
  </w:style>
  <w:style w:type="paragraph" w:customStyle="1" w:styleId="250">
    <w:name w:val="列出段落2"/>
    <w:basedOn w:val="1"/>
    <w:qFormat/>
    <w:uiPriority w:val="0"/>
    <w:pPr>
      <w:widowControl/>
      <w:ind w:left="720"/>
      <w:jc w:val="left"/>
    </w:pPr>
    <w:rPr>
      <w:rFonts w:ascii="Arial" w:hAnsi="Arial" w:eastAsia="黑体" w:cs="Arial"/>
      <w:kern w:val="0"/>
      <w:sz w:val="24"/>
      <w:szCs w:val="24"/>
      <w:lang w:eastAsia="en-US"/>
    </w:rPr>
  </w:style>
  <w:style w:type="character" w:customStyle="1" w:styleId="251">
    <w:name w:val="正文文本缩进 3 Char"/>
    <w:link w:val="47"/>
    <w:qFormat/>
    <w:uiPriority w:val="0"/>
    <w:rPr>
      <w:rFonts w:ascii="Arial" w:hAnsi="Arial" w:eastAsia="仿宋_GB2312"/>
      <w:color w:val="FFFF00"/>
      <w:kern w:val="2"/>
      <w:sz w:val="32"/>
      <w:lang w:val="en-US" w:eastAsia="zh-CN" w:bidi="ar-SA"/>
    </w:rPr>
  </w:style>
  <w:style w:type="paragraph" w:customStyle="1" w:styleId="252">
    <w:name w:val="zw"/>
    <w:basedOn w:val="1"/>
    <w:qFormat/>
    <w:uiPriority w:val="0"/>
    <w:pPr>
      <w:widowControl/>
      <w:spacing w:line="360" w:lineRule="auto"/>
      <w:ind w:firstLine="480" w:firstLineChars="200"/>
      <w:jc w:val="left"/>
    </w:pPr>
    <w:rPr>
      <w:rFonts w:ascii="宋体" w:hAnsi="宋体"/>
      <w:bCs/>
      <w:kern w:val="0"/>
      <w:sz w:val="24"/>
    </w:rPr>
  </w:style>
  <w:style w:type="character" w:customStyle="1" w:styleId="253">
    <w:name w:val="正文文本缩进 2 Char"/>
    <w:link w:val="34"/>
    <w:qFormat/>
    <w:uiPriority w:val="0"/>
    <w:rPr>
      <w:rFonts w:ascii="Arial" w:hAnsi="Arial" w:eastAsia="仿宋_GB2312"/>
      <w:kern w:val="2"/>
      <w:sz w:val="32"/>
      <w:lang w:val="en-US" w:eastAsia="zh-CN" w:bidi="ar-SA"/>
    </w:rPr>
  </w:style>
  <w:style w:type="paragraph" w:customStyle="1" w:styleId="254">
    <w:name w:val="xl6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b/>
      <w:bCs/>
      <w:kern w:val="0"/>
      <w:sz w:val="20"/>
    </w:rPr>
  </w:style>
  <w:style w:type="character" w:customStyle="1" w:styleId="255">
    <w:name w:val="纯文本 Char Char"/>
    <w:qFormat/>
    <w:uiPriority w:val="0"/>
    <w:rPr>
      <w:rFonts w:ascii="宋体" w:hAnsi="Courier New" w:eastAsia="宋体"/>
      <w:kern w:val="2"/>
      <w:sz w:val="21"/>
      <w:szCs w:val="21"/>
      <w:lang w:val="en-US" w:eastAsia="zh-CN" w:bidi="ar-SA"/>
    </w:rPr>
  </w:style>
  <w:style w:type="character" w:customStyle="1" w:styleId="256">
    <w:name w:val="apple-converted-space"/>
    <w:qFormat/>
    <w:uiPriority w:val="0"/>
  </w:style>
  <w:style w:type="character" w:customStyle="1" w:styleId="257">
    <w:name w:val="Book Title_4839c2f4-c68d-48c4-8382-65359567c601"/>
    <w:qFormat/>
    <w:uiPriority w:val="0"/>
    <w:rPr>
      <w:i/>
      <w:iCs/>
      <w:smallCaps/>
      <w:spacing w:val="5"/>
    </w:rPr>
  </w:style>
  <w:style w:type="character" w:customStyle="1" w:styleId="258">
    <w:name w:val="样式 宋体 小四"/>
    <w:qFormat/>
    <w:uiPriority w:val="0"/>
    <w:rPr>
      <w:rFonts w:ascii="宋体" w:hAnsi="宋体"/>
      <w:sz w:val="24"/>
    </w:rPr>
  </w:style>
  <w:style w:type="character" w:customStyle="1" w:styleId="259">
    <w:name w:val="小四 段落 宋体 Char1"/>
    <w:qFormat/>
    <w:uiPriority w:val="0"/>
    <w:rPr>
      <w:rFonts w:eastAsia="宋体"/>
      <w:kern w:val="2"/>
      <w:sz w:val="24"/>
      <w:szCs w:val="24"/>
      <w:lang w:val="en-US" w:eastAsia="zh-CN" w:bidi="ar-SA"/>
    </w:rPr>
  </w:style>
  <w:style w:type="paragraph" w:customStyle="1" w:styleId="260">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0"/>
    </w:rPr>
  </w:style>
  <w:style w:type="paragraph" w:customStyle="1" w:styleId="261">
    <w:name w:val="Char Char1 Char1"/>
    <w:basedOn w:val="1"/>
    <w:qFormat/>
    <w:uiPriority w:val="0"/>
    <w:pPr>
      <w:widowControl/>
      <w:spacing w:after="160" w:line="240" w:lineRule="exact"/>
      <w:jc w:val="left"/>
    </w:pPr>
    <w:rPr>
      <w:rFonts w:ascii="Verdana" w:hAnsi="Verdana"/>
      <w:kern w:val="0"/>
      <w:sz w:val="20"/>
      <w:lang w:eastAsia="en-US"/>
    </w:rPr>
  </w:style>
  <w:style w:type="paragraph" w:customStyle="1" w:styleId="262">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character" w:customStyle="1" w:styleId="263">
    <w:name w:val="font31"/>
    <w:basedOn w:val="63"/>
    <w:qFormat/>
    <w:uiPriority w:val="0"/>
    <w:rPr>
      <w:rFonts w:hint="default" w:ascii="Times New Roman" w:hAnsi="Times New Roman" w:cs="Times New Roman"/>
      <w:color w:val="000000"/>
      <w:sz w:val="21"/>
      <w:szCs w:val="21"/>
      <w:u w:val="none"/>
      <w:vertAlign w:val="subscript"/>
    </w:rPr>
  </w:style>
  <w:style w:type="paragraph" w:customStyle="1" w:styleId="264">
    <w:name w:val="样式 标题 2第一章 标题 2Heading 2 HiddenHeading 2 CCBSheading 2H2h2..."/>
    <w:basedOn w:val="3"/>
    <w:qFormat/>
    <w:uiPriority w:val="0"/>
    <w:pPr>
      <w:keepLines w:val="0"/>
      <w:tabs>
        <w:tab w:val="left" w:pos="360"/>
      </w:tabs>
      <w:adjustRightInd w:val="0"/>
      <w:spacing w:beforeLines="50" w:afterLines="50"/>
      <w:ind w:left="360" w:hanging="360"/>
      <w:jc w:val="center"/>
      <w:textAlignment w:val="baseline"/>
    </w:pPr>
    <w:rPr>
      <w:rFonts w:ascii="黑体" w:hAnsi="Times New Roman" w:eastAsia="黑体" w:cs="宋体"/>
      <w:b w:val="0"/>
      <w:kern w:val="0"/>
      <w:sz w:val="32"/>
      <w:szCs w:val="20"/>
    </w:rPr>
  </w:style>
  <w:style w:type="character" w:customStyle="1" w:styleId="265">
    <w:name w:val="font61"/>
    <w:qFormat/>
    <w:uiPriority w:val="0"/>
    <w:rPr>
      <w:rFonts w:hint="eastAsia" w:ascii="宋体" w:hAnsi="宋体" w:eastAsia="宋体" w:cs="宋体"/>
      <w:b/>
      <w:color w:val="000000"/>
      <w:sz w:val="32"/>
      <w:szCs w:val="32"/>
      <w:u w:val="none"/>
    </w:rPr>
  </w:style>
  <w:style w:type="paragraph" w:customStyle="1" w:styleId="266">
    <w:name w:val="Item List Char Char"/>
    <w:qFormat/>
    <w:uiPriority w:val="0"/>
    <w:pPr>
      <w:autoSpaceDE/>
      <w:autoSpaceDN/>
      <w:adjustRightInd w:val="0"/>
      <w:snapToGrid w:val="0"/>
      <w:spacing w:line="288" w:lineRule="auto"/>
      <w:jc w:val="both"/>
    </w:pPr>
    <w:rPr>
      <w:rFonts w:ascii="Arial" w:hAnsi="Arial" w:eastAsia="宋体" w:cs="Arial"/>
      <w:b/>
      <w:bCs/>
      <w:kern w:val="2"/>
      <w:sz w:val="21"/>
      <w:szCs w:val="28"/>
      <w:lang w:val="en-US" w:eastAsia="zh-CN" w:bidi="ar-SA"/>
    </w:rPr>
  </w:style>
  <w:style w:type="paragraph" w:customStyle="1" w:styleId="267">
    <w:name w:val="af17cgridlangnp1033langf"/>
    <w:qFormat/>
    <w:uiPriority w:val="0"/>
    <w:pPr>
      <w:widowControl w:val="0"/>
      <w:autoSpaceDE w:val="0"/>
      <w:autoSpaceDN w:val="0"/>
      <w:adjustRightInd w:val="0"/>
      <w:snapToGrid/>
      <w:spacing w:before="156" w:line="360" w:lineRule="atLeast"/>
      <w:ind w:left="567" w:firstLine="510"/>
      <w:jc w:val="both"/>
    </w:pPr>
    <w:rPr>
      <w:rFonts w:ascii="Times New Roman" w:hAnsi="Times New Roman" w:eastAsia="宋体" w:cs="Times New Roman"/>
      <w:kern w:val="2"/>
      <w:sz w:val="21"/>
      <w:szCs w:val="22"/>
      <w:lang w:val="en-US" w:eastAsia="zh-CN" w:bidi="ar-SA"/>
    </w:rPr>
  </w:style>
  <w:style w:type="paragraph" w:customStyle="1" w:styleId="268">
    <w:name w:val="Heading3"/>
    <w:basedOn w:val="1"/>
    <w:next w:val="1"/>
    <w:qFormat/>
    <w:uiPriority w:val="0"/>
    <w:pPr>
      <w:keepNext/>
      <w:keepLines/>
      <w:spacing w:before="260" w:after="260" w:line="412" w:lineRule="auto"/>
    </w:pPr>
    <w:rPr>
      <w:b/>
      <w:bCs/>
      <w:sz w:val="32"/>
      <w:szCs w:val="32"/>
    </w:rPr>
  </w:style>
  <w:style w:type="paragraph" w:customStyle="1" w:styleId="269">
    <w:name w:val="文档正文"/>
    <w:basedOn w:val="1"/>
    <w:qFormat/>
    <w:uiPriority w:val="0"/>
    <w:pPr>
      <w:spacing w:line="360" w:lineRule="auto"/>
    </w:pPr>
    <w:rPr>
      <w:rFonts w:ascii="宋体" w:hAnsi="宋体"/>
      <w:b/>
      <w:bCs/>
      <w:szCs w:val="24"/>
    </w:rPr>
  </w:style>
  <w:style w:type="paragraph" w:customStyle="1" w:styleId="270">
    <w:name w:val="符号与编号 Char Char"/>
    <w:basedOn w:val="1"/>
    <w:qFormat/>
    <w:uiPriority w:val="0"/>
    <w:pPr>
      <w:tabs>
        <w:tab w:val="left" w:pos="840"/>
      </w:tabs>
      <w:spacing w:afterLines="50" w:line="400" w:lineRule="atLeast"/>
      <w:ind w:left="839" w:hanging="419"/>
    </w:pPr>
    <w:rPr>
      <w:sz w:val="24"/>
      <w:szCs w:val="24"/>
    </w:rPr>
  </w:style>
  <w:style w:type="character" w:customStyle="1" w:styleId="271">
    <w:name w:val="htd0"/>
    <w:basedOn w:val="63"/>
    <w:qFormat/>
    <w:uiPriority w:val="0"/>
  </w:style>
  <w:style w:type="paragraph" w:customStyle="1" w:styleId="272">
    <w:name w:val="标题 311"/>
    <w:basedOn w:val="1"/>
    <w:next w:val="1"/>
    <w:qFormat/>
    <w:uiPriority w:val="0"/>
    <w:pPr>
      <w:keepNext/>
      <w:keepLines/>
      <w:spacing w:before="260" w:after="260" w:line="416" w:lineRule="auto"/>
      <w:outlineLvl w:val="2"/>
    </w:pPr>
    <w:rPr>
      <w:b/>
      <w:sz w:val="32"/>
    </w:rPr>
  </w:style>
  <w:style w:type="character" w:customStyle="1" w:styleId="273">
    <w:name w:val="h Char Char"/>
    <w:qFormat/>
    <w:uiPriority w:val="0"/>
    <w:rPr>
      <w:rFonts w:eastAsia="宋体"/>
      <w:kern w:val="2"/>
      <w:sz w:val="18"/>
      <w:szCs w:val="18"/>
      <w:lang w:val="en-US" w:eastAsia="zh-CN" w:bidi="ar-SA"/>
    </w:rPr>
  </w:style>
  <w:style w:type="paragraph" w:customStyle="1" w:styleId="274">
    <w:name w:val="正文1"/>
    <w:basedOn w:val="1"/>
    <w:next w:val="1"/>
    <w:qFormat/>
    <w:uiPriority w:val="0"/>
    <w:pPr>
      <w:spacing w:before="156" w:line="360" w:lineRule="auto"/>
      <w:ind w:firstLine="510" w:firstLineChars="200"/>
    </w:pPr>
    <w:rPr>
      <w:sz w:val="24"/>
    </w:rPr>
  </w:style>
  <w:style w:type="paragraph" w:customStyle="1" w:styleId="275">
    <w:name w:val="TOC Heading_eaf238ca-d5df-4646-9c3e-1f237bf72548"/>
    <w:basedOn w:val="2"/>
    <w:next w:val="1"/>
    <w:qFormat/>
    <w:uiPriority w:val="39"/>
    <w:pPr>
      <w:keepLines/>
      <w:widowControl/>
      <w:tabs>
        <w:tab w:val="clear" w:pos="1440"/>
        <w:tab w:val="clear" w:pos="5670"/>
      </w:tabs>
      <w:spacing w:before="480" w:line="276" w:lineRule="auto"/>
      <w:ind w:firstLine="0" w:firstLineChars="0"/>
      <w:outlineLvl w:val="9"/>
    </w:pPr>
    <w:rPr>
      <w:rFonts w:ascii="Cambria" w:hAnsi="Cambria" w:eastAsia="宋体"/>
      <w:bCs/>
      <w:color w:val="365F91"/>
      <w:kern w:val="0"/>
      <w:sz w:val="28"/>
    </w:rPr>
  </w:style>
  <w:style w:type="paragraph" w:customStyle="1" w:styleId="276">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277">
    <w:name w:val="11"/>
    <w:next w:val="24"/>
    <w:qFormat/>
    <w:uiPriority w:val="0"/>
    <w:pPr>
      <w:widowControl w:val="0"/>
      <w:autoSpaceDE/>
      <w:autoSpaceDN/>
      <w:snapToGrid/>
      <w:ind w:firstLine="538" w:firstLineChars="192"/>
      <w:jc w:val="both"/>
    </w:pPr>
    <w:rPr>
      <w:rFonts w:ascii="宋体" w:hAnsi="宋体" w:eastAsia="宋体" w:cs="Times New Roman"/>
      <w:color w:val="000000"/>
      <w:kern w:val="20"/>
      <w:sz w:val="28"/>
      <w:szCs w:val="21"/>
      <w:lang w:val="en-US" w:eastAsia="zh-CN" w:bidi="ar-SA"/>
    </w:rPr>
  </w:style>
  <w:style w:type="paragraph" w:customStyle="1" w:styleId="278">
    <w:name w:val="样式 标题 3H3sect1.2.3BOD 0Heading 3 - oldh3l3CTLevel 3 Head..."/>
    <w:basedOn w:val="4"/>
    <w:qFormat/>
    <w:uiPriority w:val="0"/>
    <w:pPr>
      <w:spacing w:beforeLines="50" w:afterLines="50"/>
      <w:jc w:val="left"/>
    </w:pPr>
    <w:rPr>
      <w:rFonts w:cs="宋体"/>
      <w:bCs/>
      <w:sz w:val="30"/>
    </w:rPr>
  </w:style>
  <w:style w:type="character" w:customStyle="1" w:styleId="279">
    <w:name w:val="Intense Reference_5802a60f-23ac-4042-ab5d-4037bd4e1767"/>
    <w:qFormat/>
    <w:uiPriority w:val="0"/>
    <w:rPr>
      <w:smallCaps/>
      <w:spacing w:val="5"/>
      <w:u w:val="single"/>
    </w:rPr>
  </w:style>
  <w:style w:type="paragraph" w:customStyle="1" w:styleId="280">
    <w:name w:val="部分1"/>
    <w:basedOn w:val="1"/>
    <w:qFormat/>
    <w:uiPriority w:val="0"/>
    <w:pPr>
      <w:keepNext/>
      <w:pageBreakBefore/>
      <w:tabs>
        <w:tab w:val="left" w:pos="360"/>
      </w:tabs>
      <w:spacing w:line="360" w:lineRule="auto"/>
      <w:jc w:val="center"/>
      <w:outlineLvl w:val="0"/>
    </w:pPr>
    <w:rPr>
      <w:rFonts w:eastAsia="黑体"/>
      <w:b/>
      <w:kern w:val="44"/>
      <w:sz w:val="36"/>
    </w:rPr>
  </w:style>
  <w:style w:type="paragraph" w:customStyle="1" w:styleId="281">
    <w:name w:val="Default"/>
    <w:qFormat/>
    <w:uiPriority w:val="99"/>
    <w:pPr>
      <w:widowControl w:val="0"/>
      <w:autoSpaceDE w:val="0"/>
      <w:autoSpaceDN w:val="0"/>
      <w:adjustRightInd w:val="0"/>
      <w:snapToGrid/>
    </w:pPr>
    <w:rPr>
      <w:rFonts w:ascii="宋体" w:hAnsi="Times New Roman" w:eastAsia="宋体" w:cs="宋体"/>
      <w:color w:val="000000"/>
      <w:kern w:val="2"/>
      <w:sz w:val="24"/>
      <w:szCs w:val="24"/>
      <w:lang w:val="en-US" w:eastAsia="zh-CN" w:bidi="ar-SA"/>
    </w:rPr>
  </w:style>
  <w:style w:type="paragraph" w:customStyle="1" w:styleId="282">
    <w:name w:val="xl51"/>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pPr>
    <w:rPr>
      <w:b/>
      <w:bCs/>
      <w:i/>
      <w:iCs/>
      <w:kern w:val="0"/>
      <w:sz w:val="20"/>
    </w:rPr>
  </w:style>
  <w:style w:type="paragraph" w:customStyle="1" w:styleId="283">
    <w:name w:val="正文 + Arial Char"/>
    <w:basedOn w:val="1"/>
    <w:qFormat/>
    <w:uiPriority w:val="0"/>
    <w:pPr>
      <w:widowControl/>
      <w:tabs>
        <w:tab w:val="left" w:pos="315"/>
      </w:tabs>
      <w:spacing w:line="300" w:lineRule="auto"/>
      <w:ind w:left="315" w:hanging="315"/>
    </w:pPr>
    <w:rPr>
      <w:rFonts w:ascii="Arial" w:hAnsi="Arial" w:cs="Arial"/>
      <w:b/>
      <w:color w:val="000000"/>
    </w:rPr>
  </w:style>
  <w:style w:type="paragraph" w:customStyle="1" w:styleId="284">
    <w:name w:val="小四 段落 宋体"/>
    <w:basedOn w:val="15"/>
    <w:qFormat/>
    <w:uiPriority w:val="0"/>
    <w:pPr>
      <w:tabs>
        <w:tab w:val="clear" w:pos="2952"/>
      </w:tabs>
      <w:spacing w:line="360" w:lineRule="auto"/>
      <w:ind w:left="113" w:right="113" w:firstLine="425"/>
      <w:jc w:val="left"/>
    </w:pPr>
    <w:rPr>
      <w:sz w:val="24"/>
    </w:rPr>
  </w:style>
  <w:style w:type="character" w:customStyle="1" w:styleId="285">
    <w:name w:val="纯文本 Char Char Char1"/>
    <w:qFormat/>
    <w:uiPriority w:val="0"/>
    <w:rPr>
      <w:rFonts w:ascii="宋体" w:hAnsi="Courier New" w:eastAsia="宋体"/>
      <w:kern w:val="2"/>
      <w:sz w:val="21"/>
      <w:szCs w:val="21"/>
      <w:lang w:val="en-US" w:eastAsia="zh-CN" w:bidi="ar-SA"/>
    </w:rPr>
  </w:style>
  <w:style w:type="paragraph" w:customStyle="1" w:styleId="286">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b/>
      <w:bCs/>
      <w:i/>
      <w:iCs/>
      <w:kern w:val="0"/>
      <w:sz w:val="20"/>
    </w:rPr>
  </w:style>
  <w:style w:type="paragraph" w:customStyle="1" w:styleId="287">
    <w:name w:val="xl53"/>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pPr>
    <w:rPr>
      <w:b/>
      <w:bCs/>
      <w:i/>
      <w:iCs/>
      <w:kern w:val="0"/>
      <w:sz w:val="20"/>
    </w:rPr>
  </w:style>
  <w:style w:type="character" w:customStyle="1" w:styleId="288">
    <w:name w:val="Char Char26"/>
    <w:qFormat/>
    <w:uiPriority w:val="0"/>
    <w:rPr>
      <w:b/>
      <w:bCs/>
      <w:kern w:val="2"/>
      <w:sz w:val="32"/>
      <w:szCs w:val="32"/>
    </w:rPr>
  </w:style>
  <w:style w:type="paragraph" w:customStyle="1" w:styleId="289">
    <w:name w:val="正文2"/>
    <w:basedOn w:val="1"/>
    <w:qFormat/>
    <w:uiPriority w:val="0"/>
    <w:pPr>
      <w:spacing w:before="156" w:line="360" w:lineRule="auto"/>
      <w:ind w:firstLine="510" w:firstLineChars="200"/>
    </w:pPr>
    <w:rPr>
      <w:sz w:val="24"/>
    </w:rPr>
  </w:style>
  <w:style w:type="paragraph" w:customStyle="1" w:styleId="290">
    <w:name w:val="Char Char Char Char Char Char Char Char"/>
    <w:basedOn w:val="1"/>
    <w:qFormat/>
    <w:uiPriority w:val="0"/>
    <w:rPr>
      <w:rFonts w:ascii="Tahoma" w:hAnsi="Tahoma"/>
      <w:sz w:val="24"/>
    </w:rPr>
  </w:style>
  <w:style w:type="character" w:customStyle="1" w:styleId="291">
    <w:name w:val="Title1 Char"/>
    <w:qFormat/>
    <w:uiPriority w:val="0"/>
    <w:rPr>
      <w:rFonts w:eastAsia="宋体"/>
      <w:b/>
      <w:bCs/>
      <w:kern w:val="44"/>
      <w:sz w:val="44"/>
      <w:szCs w:val="44"/>
      <w:lang w:val="en-US" w:eastAsia="zh-CN" w:bidi="ar-SA"/>
    </w:rPr>
  </w:style>
  <w:style w:type="paragraph" w:customStyle="1" w:styleId="292">
    <w:name w:val="Char Char Char1"/>
    <w:basedOn w:val="18"/>
    <w:qFormat/>
    <w:uiPriority w:val="0"/>
    <w:pPr>
      <w:spacing w:line="436" w:lineRule="exact"/>
    </w:pPr>
    <w:rPr>
      <w:szCs w:val="24"/>
    </w:rPr>
  </w:style>
  <w:style w:type="paragraph" w:customStyle="1" w:styleId="293">
    <w:name w:val="标题 4宋体"/>
    <w:basedOn w:val="5"/>
    <w:qFormat/>
    <w:uiPriority w:val="0"/>
    <w:pPr>
      <w:keepLines w:val="0"/>
      <w:autoSpaceDE w:val="0"/>
      <w:autoSpaceDN w:val="0"/>
      <w:adjustRightInd w:val="0"/>
      <w:spacing w:before="0" w:after="0" w:line="360" w:lineRule="auto"/>
      <w:jc w:val="left"/>
    </w:pPr>
    <w:rPr>
      <w:rFonts w:ascii="宋体" w:hAnsi="宋体" w:eastAsia="宋体"/>
      <w:bCs/>
      <w:color w:val="000000"/>
      <w:kern w:val="0"/>
      <w:sz w:val="24"/>
    </w:rPr>
  </w:style>
  <w:style w:type="character" w:customStyle="1" w:styleId="294">
    <w:name w:val="Char Char27"/>
    <w:qFormat/>
    <w:uiPriority w:val="0"/>
    <w:rPr>
      <w:b/>
      <w:bCs/>
      <w:kern w:val="44"/>
      <w:sz w:val="44"/>
      <w:szCs w:val="44"/>
    </w:rPr>
  </w:style>
  <w:style w:type="character" w:customStyle="1" w:styleId="295">
    <w:name w:val="页脚 Char"/>
    <w:link w:val="37"/>
    <w:qFormat/>
    <w:uiPriority w:val="99"/>
    <w:rPr>
      <w:kern w:val="2"/>
      <w:sz w:val="18"/>
    </w:rPr>
  </w:style>
  <w:style w:type="character" w:customStyle="1" w:styleId="296">
    <w:name w:val="小四 段落 宋体 Char Char Char Char Char Char"/>
    <w:qFormat/>
    <w:uiPriority w:val="0"/>
    <w:rPr>
      <w:rFonts w:eastAsia="宋体"/>
      <w:kern w:val="2"/>
      <w:sz w:val="24"/>
      <w:szCs w:val="24"/>
      <w:lang w:val="en-US" w:eastAsia="zh-CN" w:bidi="ar-SA"/>
    </w:rPr>
  </w:style>
  <w:style w:type="paragraph" w:customStyle="1" w:styleId="297">
    <w:name w:val="符号与编号"/>
    <w:basedOn w:val="1"/>
    <w:qFormat/>
    <w:uiPriority w:val="0"/>
    <w:pPr>
      <w:tabs>
        <w:tab w:val="left" w:pos="900"/>
      </w:tabs>
      <w:spacing w:afterLines="50" w:line="400" w:lineRule="atLeast"/>
      <w:ind w:left="900" w:hanging="420"/>
    </w:pPr>
    <w:rPr>
      <w:sz w:val="24"/>
      <w:szCs w:val="24"/>
    </w:rPr>
  </w:style>
  <w:style w:type="paragraph" w:customStyle="1" w:styleId="298">
    <w:name w:val="马刚标题1"/>
    <w:basedOn w:val="2"/>
    <w:next w:val="1"/>
    <w:qFormat/>
    <w:uiPriority w:val="0"/>
    <w:pPr>
      <w:keepLines/>
      <w:tabs>
        <w:tab w:val="clear" w:pos="1440"/>
        <w:tab w:val="clear" w:pos="5670"/>
      </w:tabs>
      <w:spacing w:before="400" w:after="120" w:line="576" w:lineRule="auto"/>
      <w:ind w:left="567" w:hanging="567" w:firstLineChars="0"/>
    </w:pPr>
    <w:rPr>
      <w:rFonts w:ascii="Times New Roman"/>
      <w:b w:val="0"/>
      <w:sz w:val="32"/>
      <w:szCs w:val="20"/>
    </w:rPr>
  </w:style>
  <w:style w:type="paragraph" w:customStyle="1" w:styleId="299">
    <w:name w:val="font12"/>
    <w:basedOn w:val="1"/>
    <w:qFormat/>
    <w:uiPriority w:val="0"/>
    <w:pPr>
      <w:widowControl/>
      <w:spacing w:before="100" w:beforeAutospacing="1" w:after="100" w:afterAutospacing="1"/>
      <w:jc w:val="left"/>
    </w:pPr>
    <w:rPr>
      <w:rFonts w:ascii="宋体" w:hAnsi="宋体" w:cs="宋体"/>
      <w:kern w:val="0"/>
      <w:sz w:val="36"/>
      <w:szCs w:val="36"/>
    </w:rPr>
  </w:style>
  <w:style w:type="character" w:customStyle="1" w:styleId="300">
    <w:name w:val="content"/>
    <w:qFormat/>
    <w:uiPriority w:val="0"/>
  </w:style>
  <w:style w:type="paragraph" w:customStyle="1" w:styleId="301">
    <w:name w:val="正文 首行缩进:  2 字符 Char"/>
    <w:basedOn w:val="1"/>
    <w:qFormat/>
    <w:uiPriority w:val="0"/>
    <w:pPr>
      <w:spacing w:line="360" w:lineRule="auto"/>
      <w:ind w:firstLine="480"/>
    </w:pPr>
    <w:rPr>
      <w:rFonts w:cs="宋体"/>
      <w:sz w:val="24"/>
    </w:rPr>
  </w:style>
  <w:style w:type="character" w:customStyle="1" w:styleId="302">
    <w:name w:val="已访问的超链接1"/>
    <w:qFormat/>
    <w:uiPriority w:val="0"/>
    <w:rPr>
      <w:color w:val="auto"/>
      <w:u w:val="none"/>
    </w:rPr>
  </w:style>
  <w:style w:type="paragraph" w:customStyle="1" w:styleId="303">
    <w:name w:val="Char Char Char Char Char Char Char Char Char"/>
    <w:basedOn w:val="1"/>
    <w:qFormat/>
    <w:uiPriority w:val="0"/>
    <w:pPr>
      <w:tabs>
        <w:tab w:val="left" w:pos="360"/>
      </w:tabs>
      <w:ind w:left="200" w:hanging="200" w:hangingChars="200"/>
    </w:pPr>
    <w:rPr>
      <w:sz w:val="24"/>
      <w:szCs w:val="24"/>
    </w:rPr>
  </w:style>
  <w:style w:type="paragraph" w:customStyle="1" w:styleId="304">
    <w:name w:val="符号与编号 Char"/>
    <w:basedOn w:val="1"/>
    <w:qFormat/>
    <w:uiPriority w:val="0"/>
    <w:pPr>
      <w:tabs>
        <w:tab w:val="left" w:pos="720"/>
      </w:tabs>
      <w:spacing w:afterLines="50" w:line="400" w:lineRule="atLeast"/>
      <w:ind w:left="720"/>
    </w:pPr>
    <w:rPr>
      <w:sz w:val="24"/>
      <w:szCs w:val="24"/>
    </w:rPr>
  </w:style>
  <w:style w:type="paragraph" w:customStyle="1" w:styleId="305">
    <w:name w:val="Char Char Char Char"/>
    <w:basedOn w:val="18"/>
    <w:qFormat/>
    <w:uiPriority w:val="0"/>
    <w:pPr>
      <w:adjustRightInd w:val="0"/>
      <w:snapToGrid w:val="0"/>
      <w:spacing w:line="360" w:lineRule="auto"/>
    </w:pPr>
    <w:rPr>
      <w:rFonts w:ascii="Tahoma" w:hAnsi="Tahoma"/>
      <w:sz w:val="24"/>
      <w:szCs w:val="24"/>
    </w:rPr>
  </w:style>
  <w:style w:type="paragraph" w:customStyle="1" w:styleId="306">
    <w:name w:val="华宇段落1 Char"/>
    <w:basedOn w:val="1"/>
    <w:qFormat/>
    <w:uiPriority w:val="0"/>
    <w:pPr>
      <w:spacing w:line="360" w:lineRule="auto"/>
      <w:ind w:firstLine="200" w:firstLineChars="200"/>
    </w:pPr>
    <w:rPr>
      <w:bCs/>
      <w:sz w:val="24"/>
      <w:szCs w:val="24"/>
    </w:rPr>
  </w:style>
  <w:style w:type="paragraph" w:customStyle="1" w:styleId="307">
    <w:name w:val="Char Char Char Char1"/>
    <w:basedOn w:val="1"/>
    <w:qFormat/>
    <w:uiPriority w:val="0"/>
    <w:pPr>
      <w:widowControl/>
      <w:spacing w:after="160" w:line="240" w:lineRule="exact"/>
      <w:jc w:val="center"/>
    </w:pPr>
    <w:rPr>
      <w:rFonts w:ascii="黑体" w:hAnsi="Verdana" w:eastAsia="黑体"/>
      <w:kern w:val="0"/>
      <w:sz w:val="32"/>
      <w:szCs w:val="32"/>
      <w:lang w:eastAsia="en-US"/>
    </w:rPr>
  </w:style>
  <w:style w:type="paragraph" w:customStyle="1" w:styleId="308">
    <w:name w:val="大标题"/>
    <w:basedOn w:val="1"/>
    <w:next w:val="1"/>
    <w:qFormat/>
    <w:uiPriority w:val="0"/>
    <w:pPr>
      <w:pageBreakBefore/>
      <w:tabs>
        <w:tab w:val="left" w:pos="420"/>
      </w:tabs>
      <w:spacing w:line="360" w:lineRule="auto"/>
      <w:ind w:hanging="420" w:firstLineChars="200"/>
      <w:outlineLvl w:val="0"/>
    </w:pPr>
    <w:rPr>
      <w:b/>
      <w:iCs/>
      <w:sz w:val="44"/>
      <w:szCs w:val="24"/>
    </w:rPr>
  </w:style>
  <w:style w:type="paragraph" w:customStyle="1" w:styleId="309">
    <w:name w:val="xl49"/>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kern w:val="0"/>
      <w:sz w:val="20"/>
    </w:rPr>
  </w:style>
  <w:style w:type="paragraph" w:customStyle="1" w:styleId="310">
    <w:name w:val="表头_5"/>
    <w:basedOn w:val="1"/>
    <w:qFormat/>
    <w:uiPriority w:val="0"/>
    <w:pPr>
      <w:adjustRightInd w:val="0"/>
      <w:spacing w:line="360" w:lineRule="auto"/>
      <w:textAlignment w:val="baseline"/>
    </w:pPr>
    <w:rPr>
      <w:b/>
      <w:bCs/>
      <w:sz w:val="28"/>
      <w:szCs w:val="21"/>
    </w:rPr>
  </w:style>
  <w:style w:type="character" w:customStyle="1" w:styleId="311">
    <w:name w:val="标题 7 Char"/>
    <w:link w:val="8"/>
    <w:qFormat/>
    <w:uiPriority w:val="0"/>
    <w:rPr>
      <w:rFonts w:eastAsia="宋体"/>
      <w:b/>
      <w:bCs/>
      <w:kern w:val="2"/>
      <w:sz w:val="24"/>
      <w:szCs w:val="24"/>
      <w:lang w:val="en-US" w:eastAsia="zh-CN" w:bidi="ar-SA"/>
    </w:rPr>
  </w:style>
  <w:style w:type="paragraph" w:customStyle="1" w:styleId="312">
    <w:name w:val="Char Char Char Char Char Char Char Char Char Char Char Char Char Char Char Char Char Char Char Char Char"/>
    <w:basedOn w:val="1"/>
    <w:qFormat/>
    <w:uiPriority w:val="0"/>
    <w:rPr>
      <w:rFonts w:ascii="Tahoma" w:hAnsi="Tahoma"/>
      <w:sz w:val="24"/>
    </w:rPr>
  </w:style>
  <w:style w:type="paragraph" w:customStyle="1" w:styleId="313">
    <w:name w:val="样式 加点正文 + 段前: 0.5 行 段后: 0.5 行1"/>
    <w:basedOn w:val="1"/>
    <w:qFormat/>
    <w:uiPriority w:val="0"/>
    <w:pPr>
      <w:tabs>
        <w:tab w:val="left" w:pos="420"/>
        <w:tab w:val="left" w:pos="1268"/>
      </w:tabs>
      <w:spacing w:beforeLines="50" w:afterLines="50" w:line="300" w:lineRule="auto"/>
      <w:ind w:left="1268" w:hanging="420"/>
    </w:pPr>
    <w:rPr>
      <w:sz w:val="24"/>
    </w:rPr>
  </w:style>
  <w:style w:type="paragraph" w:customStyle="1" w:styleId="314">
    <w:name w:val="Body text|1"/>
    <w:basedOn w:val="1"/>
    <w:qFormat/>
    <w:uiPriority w:val="0"/>
    <w:pPr>
      <w:spacing w:after="160" w:line="480" w:lineRule="auto"/>
      <w:ind w:firstLine="220"/>
    </w:pPr>
    <w:rPr>
      <w:rFonts w:ascii="宋体" w:hAnsi="宋体" w:cs="宋体"/>
      <w:sz w:val="26"/>
      <w:szCs w:val="26"/>
      <w:lang w:val="zh-TW" w:eastAsia="zh-TW" w:bidi="zh-TW"/>
    </w:rPr>
  </w:style>
  <w:style w:type="character" w:customStyle="1" w:styleId="315">
    <w:name w:val="华宇段落1 Char Char Char"/>
    <w:qFormat/>
    <w:uiPriority w:val="0"/>
    <w:rPr>
      <w:rFonts w:eastAsia="宋体"/>
      <w:bCs/>
      <w:kern w:val="2"/>
      <w:sz w:val="24"/>
      <w:szCs w:val="24"/>
      <w:lang w:val="en-US" w:eastAsia="zh-CN" w:bidi="ar-SA"/>
    </w:rPr>
  </w:style>
  <w:style w:type="character" w:customStyle="1" w:styleId="316">
    <w:name w:val="title_emph1"/>
    <w:qFormat/>
    <w:uiPriority w:val="0"/>
    <w:rPr>
      <w:rFonts w:ascii="Arial" w:cs="Arial"/>
      <w:b/>
      <w:bCs/>
      <w:sz w:val="18"/>
      <w:szCs w:val="18"/>
    </w:rPr>
  </w:style>
  <w:style w:type="paragraph" w:customStyle="1" w:styleId="317">
    <w:name w:val="179"/>
    <w:basedOn w:val="1"/>
    <w:qFormat/>
    <w:uiPriority w:val="0"/>
    <w:pPr>
      <w:ind w:firstLine="420" w:firstLineChars="200"/>
    </w:pPr>
  </w:style>
  <w:style w:type="character" w:customStyle="1" w:styleId="318">
    <w:name w:val="Char Char20"/>
    <w:qFormat/>
    <w:uiPriority w:val="0"/>
    <w:rPr>
      <w:rFonts w:ascii="Arial" w:hAnsi="Arial" w:eastAsia="黑体"/>
      <w:kern w:val="2"/>
      <w:sz w:val="21"/>
      <w:szCs w:val="21"/>
    </w:rPr>
  </w:style>
  <w:style w:type="paragraph" w:customStyle="1" w:styleId="319">
    <w:name w:val="xl58"/>
    <w:basedOn w:val="1"/>
    <w:qFormat/>
    <w:uiPriority w:val="0"/>
    <w:pPr>
      <w:widowControl/>
      <w:pBdr>
        <w:left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20">
    <w:name w:val="正文首行缩进1"/>
    <w:basedOn w:val="321"/>
    <w:qFormat/>
    <w:uiPriority w:val="0"/>
    <w:pPr>
      <w:spacing w:after="120"/>
      <w:ind w:firstLine="420"/>
      <w:jc w:val="both"/>
    </w:pPr>
    <w:rPr>
      <w:rFonts w:ascii="Times New Roman" w:eastAsia="宋体"/>
      <w:position w:val="0"/>
      <w:sz w:val="21"/>
      <w:szCs w:val="24"/>
    </w:rPr>
  </w:style>
  <w:style w:type="paragraph" w:customStyle="1" w:styleId="321">
    <w:name w:val="正文文本1"/>
    <w:basedOn w:val="1"/>
    <w:next w:val="1"/>
    <w:qFormat/>
    <w:uiPriority w:val="0"/>
    <w:pPr>
      <w:jc w:val="center"/>
    </w:pPr>
    <w:rPr>
      <w:rFonts w:ascii="方正大黑简体" w:eastAsia="方正大黑简体"/>
      <w:position w:val="6"/>
      <w:sz w:val="30"/>
    </w:rPr>
  </w:style>
  <w:style w:type="character" w:customStyle="1" w:styleId="322">
    <w:name w:val="111111 Char"/>
    <w:link w:val="142"/>
    <w:qFormat/>
    <w:uiPriority w:val="0"/>
    <w:rPr>
      <w:rFonts w:ascii="宋体" w:hAnsi="宋体" w:eastAsia="黑体" w:cs="宋体"/>
      <w:b/>
      <w:bCs/>
      <w:kern w:val="2"/>
      <w:sz w:val="21"/>
      <w:szCs w:val="21"/>
      <w:lang w:val="en-US" w:eastAsia="zh-CN" w:bidi="ar-SA"/>
    </w:rPr>
  </w:style>
  <w:style w:type="paragraph" w:customStyle="1" w:styleId="323">
    <w:name w:val="正文3"/>
    <w:basedOn w:val="1"/>
    <w:qFormat/>
    <w:uiPriority w:val="0"/>
    <w:rPr>
      <w:rFonts w:ascii="Calibri" w:hAnsi="Calibri" w:eastAsia="Calibri" w:cs="宋体"/>
      <w:kern w:val="0"/>
      <w:lang w:val="zh-CN"/>
    </w:rPr>
  </w:style>
  <w:style w:type="paragraph" w:customStyle="1" w:styleId="324">
    <w:name w:val="Revision_dbfe21d1-f947-401a-b6b0-04c3ab6f89ae"/>
    <w:qFormat/>
    <w:uiPriority w:val="0"/>
    <w:pPr>
      <w:autoSpaceDE/>
      <w:autoSpaceDN/>
      <w:snapToGrid/>
    </w:pPr>
    <w:rPr>
      <w:rFonts w:ascii="Times New Roman" w:hAnsi="Times New Roman" w:eastAsia="宋体" w:cs="Times New Roman"/>
      <w:kern w:val="2"/>
      <w:sz w:val="21"/>
      <w:szCs w:val="24"/>
      <w:lang w:val="en-US" w:eastAsia="zh-CN" w:bidi="ar-SA"/>
    </w:rPr>
  </w:style>
  <w:style w:type="character" w:customStyle="1" w:styleId="325">
    <w:name w:val="批注主题 Char"/>
    <w:link w:val="58"/>
    <w:qFormat/>
    <w:uiPriority w:val="0"/>
    <w:rPr>
      <w:rFonts w:eastAsia="宋体"/>
      <w:b/>
      <w:bCs/>
      <w:kern w:val="2"/>
      <w:sz w:val="21"/>
      <w:lang w:val="en-US" w:eastAsia="zh-CN" w:bidi="ar-SA"/>
    </w:rPr>
  </w:style>
  <w:style w:type="character" w:customStyle="1" w:styleId="326">
    <w:name w:val="Char Char22"/>
    <w:qFormat/>
    <w:uiPriority w:val="0"/>
    <w:rPr>
      <w:b/>
      <w:bCs/>
      <w:kern w:val="2"/>
      <w:sz w:val="24"/>
      <w:szCs w:val="24"/>
    </w:rPr>
  </w:style>
  <w:style w:type="character" w:customStyle="1" w:styleId="327">
    <w:name w:val="HTML 预设格式 Char"/>
    <w:link w:val="54"/>
    <w:qFormat/>
    <w:uiPriority w:val="0"/>
    <w:rPr>
      <w:rFonts w:ascii="黑体" w:hAnsi="Courier New" w:eastAsia="黑体" w:cs="Courier New"/>
      <w:lang w:val="en-US" w:eastAsia="zh-CN" w:bidi="ar-SA"/>
    </w:rPr>
  </w:style>
  <w:style w:type="character" w:customStyle="1" w:styleId="328">
    <w:name w:val="Char Char25"/>
    <w:qFormat/>
    <w:uiPriority w:val="0"/>
    <w:rPr>
      <w:rFonts w:ascii="Arial" w:hAnsi="Arial" w:eastAsia="黑体"/>
      <w:b/>
      <w:kern w:val="2"/>
      <w:sz w:val="28"/>
    </w:rPr>
  </w:style>
  <w:style w:type="paragraph" w:customStyle="1" w:styleId="329">
    <w:name w:val="font11"/>
    <w:basedOn w:val="1"/>
    <w:qFormat/>
    <w:uiPriority w:val="0"/>
    <w:pPr>
      <w:widowControl/>
      <w:spacing w:before="100" w:beforeAutospacing="1" w:after="100" w:afterAutospacing="1"/>
      <w:jc w:val="left"/>
    </w:pPr>
    <w:rPr>
      <w:b/>
      <w:bCs/>
      <w:kern w:val="0"/>
      <w:sz w:val="18"/>
      <w:szCs w:val="18"/>
    </w:rPr>
  </w:style>
  <w:style w:type="paragraph" w:customStyle="1" w:styleId="330">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character" w:customStyle="1" w:styleId="331">
    <w:name w:val="正文 + 宋体 Char"/>
    <w:qFormat/>
    <w:uiPriority w:val="0"/>
    <w:rPr>
      <w:rFonts w:eastAsia="宋体"/>
      <w:kern w:val="2"/>
      <w:sz w:val="21"/>
      <w:szCs w:val="24"/>
      <w:lang w:val="en-US" w:eastAsia="zh-CN" w:bidi="ar-SA"/>
    </w:rPr>
  </w:style>
  <w:style w:type="paragraph" w:customStyle="1" w:styleId="332">
    <w:name w:val="正文缩进2字符"/>
    <w:basedOn w:val="1"/>
    <w:qFormat/>
    <w:uiPriority w:val="0"/>
    <w:pPr>
      <w:adjustRightInd w:val="0"/>
      <w:snapToGrid w:val="0"/>
      <w:spacing w:line="300" w:lineRule="auto"/>
      <w:ind w:firstLine="200" w:firstLineChars="200"/>
    </w:pPr>
    <w:rPr>
      <w:rFonts w:ascii="仿宋_GB2312" w:eastAsia="仿宋_GB2312"/>
      <w:sz w:val="32"/>
      <w:szCs w:val="32"/>
    </w:rPr>
  </w:style>
  <w:style w:type="paragraph" w:customStyle="1" w:styleId="333">
    <w:name w:val="xl25"/>
    <w:basedOn w:val="1"/>
    <w:qFormat/>
    <w:uiPriority w:val="0"/>
    <w:pPr>
      <w:widowControl/>
      <w:pBdr>
        <w:right w:val="single" w:color="auto" w:sz="4" w:space="0"/>
      </w:pBdr>
      <w:spacing w:before="100" w:beforeAutospacing="1" w:after="100" w:afterAutospacing="1"/>
      <w:jc w:val="center"/>
    </w:pPr>
    <w:rPr>
      <w:kern w:val="0"/>
      <w:szCs w:val="21"/>
    </w:rPr>
  </w:style>
  <w:style w:type="character" w:customStyle="1" w:styleId="334">
    <w:name w:val="subtitle1"/>
    <w:qFormat/>
    <w:uiPriority w:val="0"/>
    <w:rPr>
      <w:rFonts w:hint="default" w:ascii="Georgia" w:hAnsi="Georgia"/>
      <w:b/>
      <w:bCs/>
      <w:color w:val="666666"/>
      <w:sz w:val="18"/>
      <w:szCs w:val="18"/>
    </w:rPr>
  </w:style>
  <w:style w:type="paragraph" w:customStyle="1" w:styleId="335">
    <w:name w:val="普通文字"/>
    <w:basedOn w:val="1"/>
    <w:next w:val="1"/>
    <w:qFormat/>
    <w:uiPriority w:val="0"/>
    <w:rPr>
      <w:rFonts w:ascii="宋体" w:hAnsi="宋体" w:cs="宋体"/>
      <w:kern w:val="0"/>
      <w:sz w:val="24"/>
      <w:u w:color="000000"/>
    </w:rPr>
  </w:style>
  <w:style w:type="paragraph" w:customStyle="1" w:styleId="336">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i/>
      <w:iCs/>
      <w:kern w:val="0"/>
      <w:sz w:val="20"/>
    </w:rPr>
  </w:style>
  <w:style w:type="paragraph" w:customStyle="1" w:styleId="337">
    <w:name w:val="标题3，章节第三层"/>
    <w:basedOn w:val="1"/>
    <w:next w:val="85"/>
    <w:qFormat/>
    <w:uiPriority w:val="0"/>
    <w:pPr>
      <w:adjustRightInd w:val="0"/>
      <w:snapToGrid w:val="0"/>
      <w:spacing w:before="78" w:line="300" w:lineRule="auto"/>
      <w:outlineLvl w:val="2"/>
    </w:pPr>
    <w:rPr>
      <w:rFonts w:ascii="Arial" w:hAnsi="Arial" w:eastAsia="华文细黑"/>
      <w:sz w:val="30"/>
      <w:szCs w:val="24"/>
    </w:rPr>
  </w:style>
  <w:style w:type="paragraph" w:customStyle="1" w:styleId="338">
    <w:name w:val="Char1"/>
    <w:basedOn w:val="1"/>
    <w:qFormat/>
    <w:uiPriority w:val="0"/>
    <w:rPr>
      <w:rFonts w:ascii="仿宋_GB2312" w:hAnsi="宋体" w:eastAsia="仿宋_GB2312" w:cs="宋体"/>
      <w:b/>
      <w:sz w:val="32"/>
      <w:szCs w:val="32"/>
    </w:rPr>
  </w:style>
  <w:style w:type="character" w:customStyle="1" w:styleId="339">
    <w:name w:val="正文缩进 Char1"/>
    <w:link w:val="244"/>
    <w:qFormat/>
    <w:uiPriority w:val="0"/>
    <w:rPr>
      <w:rFonts w:eastAsia="宋体"/>
      <w:lang w:bidi="ar-SA"/>
    </w:rPr>
  </w:style>
  <w:style w:type="character" w:customStyle="1" w:styleId="340">
    <w:name w:val="文档结构图 Char"/>
    <w:link w:val="18"/>
    <w:qFormat/>
    <w:uiPriority w:val="0"/>
    <w:rPr>
      <w:rFonts w:eastAsia="宋体"/>
      <w:kern w:val="2"/>
      <w:sz w:val="21"/>
      <w:lang w:val="en-US" w:eastAsia="zh-CN" w:bidi="ar-SA"/>
    </w:rPr>
  </w:style>
  <w:style w:type="paragraph" w:customStyle="1" w:styleId="341">
    <w:name w:val="Table Text Char"/>
    <w:qFormat/>
    <w:uiPriority w:val="0"/>
    <w:pPr>
      <w:autoSpaceDE/>
      <w:autoSpaceDN/>
      <w:snapToGrid w:val="0"/>
      <w:spacing w:before="80" w:after="80"/>
    </w:pPr>
    <w:rPr>
      <w:rFonts w:ascii="Arial" w:hAnsi="Arial" w:eastAsia="宋体" w:cs="Arial"/>
      <w:kern w:val="2"/>
      <w:sz w:val="18"/>
      <w:szCs w:val="28"/>
      <w:lang w:val="en-US" w:eastAsia="zh-CN" w:bidi="ar-SA"/>
    </w:rPr>
  </w:style>
  <w:style w:type="paragraph" w:customStyle="1" w:styleId="342">
    <w:name w:val="Default Text"/>
    <w:basedOn w:val="1"/>
    <w:qFormat/>
    <w:uiPriority w:val="0"/>
    <w:pPr>
      <w:widowControl/>
      <w:jc w:val="left"/>
    </w:pPr>
    <w:rPr>
      <w:kern w:val="0"/>
      <w:sz w:val="24"/>
      <w:lang w:eastAsia="en-US"/>
    </w:rPr>
  </w:style>
  <w:style w:type="paragraph" w:customStyle="1" w:styleId="343">
    <w:name w:val="xl46"/>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344">
    <w:name w:val="xl62"/>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i/>
      <w:iCs/>
      <w:kern w:val="0"/>
      <w:sz w:val="20"/>
    </w:rPr>
  </w:style>
  <w:style w:type="character" w:customStyle="1" w:styleId="345">
    <w:name w:val="纯文本 字符1"/>
    <w:qFormat/>
    <w:uiPriority w:val="0"/>
    <w:rPr>
      <w:rFonts w:ascii="宋体" w:hAnsi="Courier New"/>
    </w:rPr>
  </w:style>
  <w:style w:type="paragraph" w:customStyle="1" w:styleId="346">
    <w:name w:val="彩色列表 - 强调文字颜色 11"/>
    <w:basedOn w:val="1"/>
    <w:qFormat/>
    <w:uiPriority w:val="0"/>
    <w:pPr>
      <w:ind w:firstLine="200" w:firstLineChars="200"/>
    </w:pPr>
  </w:style>
  <w:style w:type="paragraph" w:customStyle="1" w:styleId="347">
    <w:name w:val="默认段落字体 Para Char"/>
    <w:basedOn w:val="1"/>
    <w:qFormat/>
    <w:uiPriority w:val="0"/>
    <w:rPr>
      <w:sz w:val="24"/>
      <w:szCs w:val="24"/>
    </w:rPr>
  </w:style>
  <w:style w:type="character" w:customStyle="1" w:styleId="348">
    <w:name w:val="Intense Emphasis_9975b714-bf0f-4b2d-9349-15c5a3b9c107"/>
    <w:qFormat/>
    <w:uiPriority w:val="0"/>
    <w:rPr>
      <w:b/>
      <w:bCs/>
    </w:rPr>
  </w:style>
  <w:style w:type="character" w:customStyle="1" w:styleId="349">
    <w:name w:val="小四 段落 宋体 Char Char Char Char Char Char Char Char"/>
    <w:qFormat/>
    <w:uiPriority w:val="0"/>
    <w:rPr>
      <w:rFonts w:eastAsia="宋体"/>
      <w:kern w:val="2"/>
      <w:sz w:val="24"/>
      <w:szCs w:val="24"/>
      <w:lang w:val="en-US" w:eastAsia="zh-CN" w:bidi="ar-SA"/>
    </w:rPr>
  </w:style>
  <w:style w:type="paragraph" w:customStyle="1" w:styleId="350">
    <w:name w:val="xl4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rPr>
  </w:style>
  <w:style w:type="paragraph" w:styleId="351">
    <w:name w:val="List Paragraph"/>
    <w:basedOn w:val="1"/>
    <w:qFormat/>
    <w:uiPriority w:val="34"/>
    <w:pPr>
      <w:ind w:firstLine="420" w:firstLineChars="200"/>
    </w:pPr>
    <w:rPr>
      <w:szCs w:val="24"/>
    </w:rPr>
  </w:style>
  <w:style w:type="character" w:customStyle="1" w:styleId="352">
    <w:name w:val="标题 3 Char"/>
    <w:qFormat/>
    <w:uiPriority w:val="0"/>
    <w:rPr>
      <w:rFonts w:ascii="宋体" w:hAnsi="宋体" w:eastAsia="宋体"/>
      <w:b/>
      <w:bCs/>
      <w:kern w:val="2"/>
      <w:sz w:val="24"/>
      <w:szCs w:val="32"/>
      <w:lang w:val="en-US" w:eastAsia="zh-CN" w:bidi="ar-SA"/>
    </w:rPr>
  </w:style>
  <w:style w:type="paragraph" w:customStyle="1" w:styleId="353">
    <w:name w:val="样式3"/>
    <w:basedOn w:val="1"/>
    <w:next w:val="1"/>
    <w:qFormat/>
    <w:uiPriority w:val="0"/>
    <w:pPr>
      <w:spacing w:line="360" w:lineRule="auto"/>
    </w:pPr>
  </w:style>
  <w:style w:type="paragraph" w:customStyle="1" w:styleId="354">
    <w:name w:val="font14"/>
    <w:basedOn w:val="1"/>
    <w:qFormat/>
    <w:uiPriority w:val="0"/>
    <w:pPr>
      <w:widowControl/>
      <w:spacing w:before="100" w:beforeAutospacing="1" w:after="100" w:afterAutospacing="1"/>
      <w:jc w:val="left"/>
    </w:pPr>
    <w:rPr>
      <w:kern w:val="0"/>
      <w:sz w:val="36"/>
      <w:szCs w:val="36"/>
    </w:rPr>
  </w:style>
  <w:style w:type="paragraph" w:customStyle="1" w:styleId="355">
    <w:name w:val="xl60"/>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b/>
      <w:bCs/>
      <w:i/>
      <w:iCs/>
      <w:kern w:val="0"/>
      <w:sz w:val="20"/>
    </w:rPr>
  </w:style>
  <w:style w:type="paragraph" w:customStyle="1" w:styleId="356">
    <w:name w:val="xl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i/>
      <w:iCs/>
      <w:kern w:val="0"/>
      <w:sz w:val="20"/>
    </w:rPr>
  </w:style>
  <w:style w:type="paragraph" w:customStyle="1" w:styleId="357">
    <w:name w:val="a0"/>
    <w:basedOn w:val="1"/>
    <w:qFormat/>
    <w:uiPriority w:val="0"/>
    <w:pPr>
      <w:widowControl/>
      <w:spacing w:before="100" w:beforeAutospacing="1" w:after="100" w:afterAutospacing="1"/>
    </w:pPr>
    <w:rPr>
      <w:rFonts w:ascii="宋体" w:hAnsi="宋体" w:cs="宋体"/>
      <w:kern w:val="0"/>
      <w:sz w:val="24"/>
      <w:szCs w:val="24"/>
    </w:rPr>
  </w:style>
  <w:style w:type="character" w:customStyle="1" w:styleId="358">
    <w:name w:val="页脚 字符"/>
    <w:qFormat/>
    <w:uiPriority w:val="99"/>
  </w:style>
  <w:style w:type="paragraph" w:customStyle="1" w:styleId="359">
    <w:name w:val="样式4 Char"/>
    <w:basedOn w:val="1"/>
    <w:qFormat/>
    <w:uiPriority w:val="0"/>
    <w:pPr>
      <w:widowControl/>
      <w:spacing w:line="360" w:lineRule="auto"/>
      <w:ind w:firstLine="480"/>
      <w:jc w:val="left"/>
    </w:pPr>
    <w:rPr>
      <w:rFonts w:cs="宋体"/>
      <w:color w:val="000000"/>
      <w:kern w:val="0"/>
      <w:sz w:val="24"/>
      <w:szCs w:val="24"/>
    </w:rPr>
  </w:style>
  <w:style w:type="paragraph" w:customStyle="1" w:styleId="360">
    <w:name w:val="xl5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20"/>
    </w:rPr>
  </w:style>
  <w:style w:type="character" w:customStyle="1" w:styleId="361">
    <w:name w:val="正文文本 Char"/>
    <w:link w:val="23"/>
    <w:qFormat/>
    <w:uiPriority w:val="0"/>
    <w:rPr>
      <w:rFonts w:ascii="楷体_GB2312" w:hAnsi="Arial" w:eastAsia="楷体_GB2312"/>
      <w:kern w:val="2"/>
      <w:sz w:val="28"/>
    </w:rPr>
  </w:style>
  <w:style w:type="paragraph" w:customStyle="1" w:styleId="362">
    <w:name w:val="Char Char Char Char Char Char Char Char Char Char Char Char Char Char Char Char Char Char Char Char Char Char Char"/>
    <w:basedOn w:val="1"/>
    <w:qFormat/>
    <w:uiPriority w:val="0"/>
    <w:rPr>
      <w:rFonts w:ascii="Tahoma" w:hAnsi="Tahoma"/>
      <w:sz w:val="24"/>
    </w:rPr>
  </w:style>
  <w:style w:type="character" w:customStyle="1" w:styleId="363">
    <w:name w:val="样式 非加粗"/>
    <w:qFormat/>
    <w:uiPriority w:val="0"/>
    <w:rPr>
      <w:rFonts w:eastAsia="宋体"/>
      <w:sz w:val="28"/>
    </w:rPr>
  </w:style>
  <w:style w:type="character" w:customStyle="1" w:styleId="364">
    <w:name w:val="Char Char24"/>
    <w:qFormat/>
    <w:uiPriority w:val="0"/>
    <w:rPr>
      <w:b/>
      <w:bCs/>
      <w:kern w:val="2"/>
      <w:sz w:val="28"/>
      <w:szCs w:val="28"/>
    </w:rPr>
  </w:style>
  <w:style w:type="paragraph" w:customStyle="1" w:styleId="365">
    <w:name w:val="标准文本"/>
    <w:basedOn w:val="1"/>
    <w:qFormat/>
    <w:uiPriority w:val="0"/>
    <w:pPr>
      <w:spacing w:line="360" w:lineRule="auto"/>
      <w:ind w:firstLine="480" w:firstLineChars="200"/>
    </w:pPr>
    <w:rPr>
      <w:rFonts w:cs="宋体"/>
      <w:sz w:val="24"/>
      <w:szCs w:val="24"/>
    </w:rPr>
  </w:style>
  <w:style w:type="paragraph" w:customStyle="1" w:styleId="366">
    <w:name w:val="font9"/>
    <w:basedOn w:val="1"/>
    <w:qFormat/>
    <w:uiPriority w:val="0"/>
    <w:pPr>
      <w:widowControl/>
      <w:spacing w:before="100" w:beforeAutospacing="1" w:after="100" w:afterAutospacing="1"/>
      <w:jc w:val="left"/>
    </w:pPr>
    <w:rPr>
      <w:b/>
      <w:bCs/>
      <w:kern w:val="0"/>
      <w:sz w:val="20"/>
    </w:rPr>
  </w:style>
  <w:style w:type="character" w:customStyle="1" w:styleId="367">
    <w:name w:val="Subtle Reference_5bfc09ae-a92d-47e6-8ec9-810194850815"/>
    <w:qFormat/>
    <w:uiPriority w:val="0"/>
    <w:rPr>
      <w:smallCaps/>
    </w:rPr>
  </w:style>
  <w:style w:type="paragraph" w:customStyle="1" w:styleId="368">
    <w:name w:val="小四 段落 宋体 Char Char"/>
    <w:basedOn w:val="1"/>
    <w:qFormat/>
    <w:uiPriority w:val="0"/>
    <w:pPr>
      <w:spacing w:line="360" w:lineRule="auto"/>
      <w:ind w:firstLine="480" w:firstLineChars="200"/>
    </w:pPr>
    <w:rPr>
      <w:rFonts w:ascii="宋体" w:hAnsi="宋体"/>
      <w:sz w:val="24"/>
      <w:szCs w:val="24"/>
    </w:rPr>
  </w:style>
  <w:style w:type="character" w:customStyle="1" w:styleId="369">
    <w:name w:val="font21"/>
    <w:qFormat/>
    <w:uiPriority w:val="0"/>
    <w:rPr>
      <w:rFonts w:hint="default" w:ascii="Arial" w:hAnsi="Arial" w:cs="Arial"/>
      <w:color w:val="000000"/>
      <w:sz w:val="28"/>
      <w:szCs w:val="28"/>
      <w:u w:val="none"/>
    </w:rPr>
  </w:style>
  <w:style w:type="character" w:customStyle="1" w:styleId="370">
    <w:name w:val="2nd level Char"/>
    <w:qFormat/>
    <w:uiPriority w:val="0"/>
    <w:rPr>
      <w:rFonts w:ascii="Arial" w:hAnsi="Arial" w:eastAsia="黑体"/>
      <w:b/>
      <w:bCs/>
      <w:kern w:val="2"/>
      <w:sz w:val="32"/>
      <w:szCs w:val="32"/>
      <w:lang w:val="en-US" w:eastAsia="zh-CN" w:bidi="ar-SA"/>
    </w:rPr>
  </w:style>
  <w:style w:type="paragraph" w:customStyle="1" w:styleId="371">
    <w:name w:val="xl54"/>
    <w:basedOn w:val="1"/>
    <w:qFormat/>
    <w:uiPriority w:val="0"/>
    <w:pPr>
      <w:widowControl/>
      <w:pBdr>
        <w:top w:val="single" w:color="auto" w:sz="4" w:space="0"/>
        <w:left w:val="single" w:color="auto" w:sz="4" w:space="0"/>
        <w:bottom w:val="single" w:color="auto" w:sz="4" w:space="0"/>
      </w:pBdr>
      <w:shd w:val="clear" w:color="auto" w:fill="969696"/>
      <w:spacing w:before="100" w:beforeAutospacing="1" w:after="100" w:afterAutospacing="1"/>
      <w:jc w:val="center"/>
      <w:textAlignment w:val="center"/>
    </w:pPr>
    <w:rPr>
      <w:rFonts w:ascii="宋体" w:hAnsi="宋体" w:cs="宋体"/>
      <w:b/>
      <w:bCs/>
      <w:kern w:val="0"/>
      <w:sz w:val="20"/>
    </w:rPr>
  </w:style>
  <w:style w:type="paragraph" w:customStyle="1" w:styleId="372">
    <w:name w:val="表格内容"/>
    <w:basedOn w:val="1"/>
    <w:qFormat/>
    <w:uiPriority w:val="0"/>
    <w:pPr>
      <w:widowControl/>
      <w:autoSpaceDE w:val="0"/>
      <w:autoSpaceDN w:val="0"/>
      <w:adjustRightInd w:val="0"/>
      <w:spacing w:before="60" w:line="300" w:lineRule="auto"/>
      <w:jc w:val="center"/>
      <w:textAlignment w:val="bottom"/>
    </w:pPr>
    <w:rPr>
      <w:kern w:val="0"/>
    </w:rPr>
  </w:style>
  <w:style w:type="character" w:customStyle="1" w:styleId="373">
    <w:name w:val="引用 Char"/>
    <w:link w:val="211"/>
    <w:qFormat/>
    <w:uiPriority w:val="0"/>
    <w:rPr>
      <w:rFonts w:ascii="Calibri" w:hAnsi="Calibri" w:eastAsia="宋体"/>
      <w:i/>
      <w:iCs/>
      <w:sz w:val="22"/>
      <w:szCs w:val="22"/>
      <w:lang w:val="en-US" w:eastAsia="en-US" w:bidi="en-US"/>
    </w:rPr>
  </w:style>
  <w:style w:type="paragraph" w:customStyle="1" w:styleId="374">
    <w:name w:val="Bullets L1"/>
    <w:basedOn w:val="1"/>
    <w:qFormat/>
    <w:uiPriority w:val="0"/>
    <w:pPr>
      <w:widowControl/>
      <w:numPr>
        <w:ilvl w:val="0"/>
        <w:numId w:val="2"/>
      </w:numPr>
      <w:spacing w:before="60" w:after="60"/>
      <w:jc w:val="left"/>
    </w:pPr>
    <w:rPr>
      <w:rFonts w:ascii="Arial" w:hAnsi="Arial"/>
      <w:kern w:val="0"/>
      <w:sz w:val="20"/>
    </w:rPr>
  </w:style>
  <w:style w:type="character" w:customStyle="1" w:styleId="375">
    <w:name w:val="point_normal1"/>
    <w:qFormat/>
    <w:uiPriority w:val="0"/>
    <w:rPr>
      <w:rFonts w:hint="default" w:ascii="Arial" w:hAnsi="Arial" w:cs="Arial"/>
      <w:sz w:val="18"/>
      <w:szCs w:val="18"/>
    </w:rPr>
  </w:style>
  <w:style w:type="paragraph" w:customStyle="1" w:styleId="376">
    <w:name w:val="默认段落字体 Para Char Char Char Char Char Char Char"/>
    <w:basedOn w:val="1"/>
    <w:qFormat/>
    <w:uiPriority w:val="0"/>
  </w:style>
  <w:style w:type="character" w:customStyle="1" w:styleId="377">
    <w:name w:val="3zw"/>
    <w:qFormat/>
    <w:uiPriority w:val="0"/>
  </w:style>
  <w:style w:type="paragraph" w:customStyle="1" w:styleId="378">
    <w:name w:val="丁华标题2"/>
    <w:basedOn w:val="3"/>
    <w:next w:val="223"/>
    <w:qFormat/>
    <w:uiPriority w:val="0"/>
    <w:pPr>
      <w:numPr>
        <w:ilvl w:val="1"/>
        <w:numId w:val="3"/>
      </w:numPr>
      <w:spacing w:line="415" w:lineRule="auto"/>
    </w:pPr>
    <w:rPr>
      <w:rFonts w:ascii="Arial" w:hAnsi="Arial" w:eastAsia="黑体"/>
      <w:b w:val="0"/>
      <w:sz w:val="28"/>
      <w:szCs w:val="20"/>
    </w:rPr>
  </w:style>
  <w:style w:type="paragraph" w:customStyle="1" w:styleId="379">
    <w:name w:val="样式 段后: 0.5 行 左  0.75 字符"/>
    <w:basedOn w:val="1"/>
    <w:qFormat/>
    <w:uiPriority w:val="0"/>
    <w:pPr>
      <w:widowControl/>
      <w:spacing w:line="360" w:lineRule="auto"/>
      <w:ind w:firstLine="420" w:firstLineChars="200"/>
    </w:pPr>
    <w:rPr>
      <w:rFonts w:hAnsi="Arial" w:cs="Arial"/>
      <w:kern w:val="0"/>
      <w:szCs w:val="21"/>
    </w:rPr>
  </w:style>
  <w:style w:type="paragraph" w:customStyle="1" w:styleId="380">
    <w:name w:val="丁华标题3"/>
    <w:basedOn w:val="378"/>
    <w:next w:val="223"/>
    <w:qFormat/>
    <w:uiPriority w:val="0"/>
    <w:pPr>
      <w:numPr>
        <w:ilvl w:val="2"/>
        <w:numId w:val="0"/>
      </w:numPr>
      <w:tabs>
        <w:tab w:val="left" w:pos="1470"/>
        <w:tab w:val="left" w:pos="1980"/>
      </w:tabs>
      <w:spacing w:after="0"/>
      <w:ind w:left="1980" w:hanging="420"/>
      <w:outlineLvl w:val="2"/>
    </w:pPr>
    <w:rPr>
      <w:sz w:val="24"/>
    </w:rPr>
  </w:style>
  <w:style w:type="paragraph" w:customStyle="1" w:styleId="381">
    <w:name w:val="正文--表格内正文"/>
    <w:basedOn w:val="1"/>
    <w:qFormat/>
    <w:uiPriority w:val="0"/>
    <w:pPr>
      <w:spacing w:beforeLines="50" w:line="0" w:lineRule="atLeast"/>
      <w:jc w:val="center"/>
    </w:pPr>
    <w:rPr>
      <w:rFonts w:ascii="宋体" w:hAnsi="宋体"/>
      <w:color w:val="000000"/>
      <w:sz w:val="24"/>
      <w:szCs w:val="24"/>
    </w:rPr>
  </w:style>
  <w:style w:type="paragraph" w:customStyle="1" w:styleId="382">
    <w:name w:val="Char Char Char Char Char Char Char Char Char Char Char Char Char"/>
    <w:basedOn w:val="1"/>
    <w:qFormat/>
    <w:uiPriority w:val="0"/>
    <w:pPr>
      <w:widowControl/>
      <w:spacing w:after="160" w:line="240" w:lineRule="exact"/>
      <w:jc w:val="left"/>
    </w:pPr>
    <w:rPr>
      <w:szCs w:val="24"/>
    </w:rPr>
  </w:style>
  <w:style w:type="paragraph" w:customStyle="1" w:styleId="383">
    <w:name w:val="标题3"/>
    <w:basedOn w:val="4"/>
    <w:qFormat/>
    <w:uiPriority w:val="0"/>
    <w:pPr>
      <w:keepNext w:val="0"/>
      <w:keepLines w:val="0"/>
      <w:spacing w:line="360" w:lineRule="auto"/>
    </w:pPr>
    <w:rPr>
      <w:rFonts w:eastAsia="仿宋_GB2312"/>
      <w:b w:val="0"/>
      <w:bCs/>
      <w:kern w:val="0"/>
      <w:sz w:val="30"/>
      <w:szCs w:val="32"/>
    </w:rPr>
  </w:style>
  <w:style w:type="table" w:customStyle="1" w:styleId="384">
    <w:name w:val="Table Normal"/>
    <w:semiHidden/>
    <w:unhideWhenUsed/>
    <w:qFormat/>
    <w:uiPriority w:val="0"/>
    <w:tblPr>
      <w:tblCellMar>
        <w:top w:w="0" w:type="dxa"/>
        <w:left w:w="0" w:type="dxa"/>
        <w:bottom w:w="0" w:type="dxa"/>
        <w:right w:w="0" w:type="dxa"/>
      </w:tblCellMar>
    </w:tblPr>
  </w:style>
  <w:style w:type="character" w:customStyle="1" w:styleId="385">
    <w:name w:val="Char Char2"/>
    <w:qFormat/>
    <w:uiPriority w:val="0"/>
    <w:rPr>
      <w:rFonts w:ascii="宋体" w:hAnsi="Courier New" w:eastAsia="宋体"/>
      <w:kern w:val="2"/>
      <w:sz w:val="21"/>
      <w:szCs w:val="21"/>
      <w:lang w:val="en-US" w:eastAsia="zh-CN" w:bidi="ar-SA"/>
    </w:rPr>
  </w:style>
  <w:style w:type="paragraph" w:customStyle="1" w:styleId="386">
    <w:name w:val="我的正文"/>
    <w:basedOn w:val="1"/>
    <w:qFormat/>
    <w:uiPriority w:val="0"/>
    <w:pPr>
      <w:widowControl/>
      <w:spacing w:line="360" w:lineRule="auto"/>
      <w:ind w:firstLine="420"/>
      <w:jc w:val="left"/>
    </w:pPr>
    <w:rPr>
      <w:rFonts w:ascii="宋体" w:hAnsi="宋体" w:cs="宋体"/>
      <w:kern w:val="0"/>
      <w:szCs w:val="21"/>
    </w:rPr>
  </w:style>
  <w:style w:type="character" w:customStyle="1" w:styleId="387">
    <w:name w:val="表格抬头 Char"/>
    <w:link w:val="388"/>
    <w:qFormat/>
    <w:uiPriority w:val="0"/>
    <w:rPr>
      <w:rFonts w:ascii="黑体" w:eastAsia="黑体"/>
      <w:b/>
      <w:kern w:val="2"/>
      <w:sz w:val="21"/>
      <w:lang w:bidi="ar-SA"/>
    </w:rPr>
  </w:style>
  <w:style w:type="paragraph" w:customStyle="1" w:styleId="388">
    <w:name w:val="表格抬头"/>
    <w:basedOn w:val="1"/>
    <w:link w:val="387"/>
    <w:qFormat/>
    <w:uiPriority w:val="0"/>
    <w:pPr>
      <w:jc w:val="center"/>
    </w:pPr>
    <w:rPr>
      <w:rFonts w:ascii="黑体" w:eastAsia="黑体"/>
      <w:b/>
    </w:rPr>
  </w:style>
  <w:style w:type="paragraph" w:customStyle="1" w:styleId="389">
    <w:name w:val="正文 居中"/>
    <w:basedOn w:val="1"/>
    <w:qFormat/>
    <w:uiPriority w:val="0"/>
    <w:pPr>
      <w:spacing w:line="360" w:lineRule="auto"/>
      <w:jc w:val="center"/>
    </w:pPr>
    <w:rPr>
      <w:sz w:val="24"/>
    </w:rPr>
  </w:style>
  <w:style w:type="character" w:customStyle="1" w:styleId="390">
    <w:name w:val="ih151"/>
    <w:qFormat/>
    <w:uiPriority w:val="0"/>
    <w:rPr>
      <w:color w:val="666666"/>
      <w:sz w:val="18"/>
      <w:szCs w:val="18"/>
      <w:u w:val="none"/>
    </w:rPr>
  </w:style>
  <w:style w:type="paragraph" w:customStyle="1" w:styleId="391">
    <w:name w:val="无间隔1"/>
    <w:qFormat/>
    <w:uiPriority w:val="0"/>
    <w:pPr>
      <w:widowControl w:val="0"/>
      <w:autoSpaceDE/>
      <w:autoSpaceDN/>
      <w:snapToGrid/>
      <w:jc w:val="both"/>
    </w:pPr>
    <w:rPr>
      <w:rFonts w:ascii="Times New Roman" w:hAnsi="Times New Roman" w:eastAsia="微软雅黑" w:cs="Times New Roman"/>
      <w:kern w:val="2"/>
      <w:sz w:val="24"/>
      <w:szCs w:val="22"/>
      <w:lang w:val="en-US" w:eastAsia="zh-CN" w:bidi="ar-SA"/>
    </w:rPr>
  </w:style>
  <w:style w:type="paragraph" w:customStyle="1" w:styleId="392">
    <w:name w:val="font13"/>
    <w:basedOn w:val="1"/>
    <w:qFormat/>
    <w:uiPriority w:val="0"/>
    <w:pPr>
      <w:widowControl/>
      <w:spacing w:before="100" w:beforeAutospacing="1" w:after="100" w:afterAutospacing="1"/>
      <w:jc w:val="left"/>
    </w:pPr>
    <w:rPr>
      <w:i/>
      <w:iCs/>
      <w:kern w:val="0"/>
      <w:sz w:val="36"/>
      <w:szCs w:val="36"/>
    </w:rPr>
  </w:style>
  <w:style w:type="paragraph" w:customStyle="1" w:styleId="393">
    <w:name w:val="标题1，章节第一层"/>
    <w:basedOn w:val="85"/>
    <w:next w:val="85"/>
    <w:qFormat/>
    <w:uiPriority w:val="0"/>
    <w:pPr>
      <w:tabs>
        <w:tab w:val="left" w:pos="693"/>
      </w:tabs>
      <w:ind w:left="482"/>
      <w:outlineLvl w:val="0"/>
    </w:pPr>
    <w:rPr>
      <w:color w:val="000000"/>
      <w:sz w:val="24"/>
      <w:szCs w:val="24"/>
    </w:rPr>
  </w:style>
  <w:style w:type="paragraph" w:customStyle="1" w:styleId="394">
    <w:name w:val="章标题"/>
    <w:next w:val="99"/>
    <w:qFormat/>
    <w:uiPriority w:val="0"/>
    <w:pPr>
      <w:autoSpaceDE/>
      <w:autoSpaceDN/>
      <w:snapToGrid/>
      <w:spacing w:beforeLines="50" w:afterLines="50"/>
      <w:jc w:val="both"/>
      <w:outlineLvl w:val="1"/>
    </w:pPr>
    <w:rPr>
      <w:rFonts w:ascii="Times New Roman" w:hAnsi="Times New Roman" w:eastAsia="黑体" w:cs="Times New Roman"/>
      <w:kern w:val="2"/>
      <w:sz w:val="21"/>
      <w:szCs w:val="22"/>
      <w:lang w:val="en-US" w:eastAsia="zh-CN" w:bidi="ar-SA"/>
    </w:rPr>
  </w:style>
  <w:style w:type="paragraph" w:customStyle="1" w:styleId="395">
    <w:name w:val="Char"/>
    <w:basedOn w:val="1"/>
    <w:qFormat/>
    <w:uiPriority w:val="0"/>
    <w:pPr>
      <w:spacing w:afterLines="50" w:line="360" w:lineRule="auto"/>
    </w:pPr>
    <w:rPr>
      <w:rFonts w:ascii="Tahoma" w:hAnsi="Tahoma"/>
      <w:sz w:val="24"/>
    </w:rPr>
  </w:style>
  <w:style w:type="character" w:customStyle="1" w:styleId="396">
    <w:name w:val="Unresolved Mention"/>
    <w:qFormat/>
    <w:uiPriority w:val="99"/>
    <w:rPr>
      <w:color w:val="605E5C"/>
      <w:shd w:val="clear" w:color="auto" w:fill="E1DFDD"/>
    </w:rPr>
  </w:style>
  <w:style w:type="paragraph" w:customStyle="1" w:styleId="397">
    <w:name w:val="正文表标题"/>
    <w:next w:val="99"/>
    <w:qFormat/>
    <w:uiPriority w:val="0"/>
    <w:pPr>
      <w:tabs>
        <w:tab w:val="left" w:pos="900"/>
      </w:tabs>
      <w:autoSpaceDE/>
      <w:autoSpaceDN/>
      <w:snapToGrid/>
      <w:ind w:left="900" w:hanging="420"/>
      <w:jc w:val="center"/>
    </w:pPr>
    <w:rPr>
      <w:rFonts w:ascii="黑体" w:hAnsi="Times New Roman" w:eastAsia="黑体" w:cs="Times New Roman"/>
      <w:kern w:val="2"/>
      <w:sz w:val="21"/>
      <w:szCs w:val="22"/>
      <w:lang w:val="en-US" w:eastAsia="zh-CN" w:bidi="ar-SA"/>
    </w:rPr>
  </w:style>
  <w:style w:type="paragraph" w:customStyle="1" w:styleId="398">
    <w:name w:val="公文正文"/>
    <w:basedOn w:val="24"/>
    <w:qFormat/>
    <w:uiPriority w:val="0"/>
    <w:pPr>
      <w:ind w:firstLine="200" w:firstLineChars="200"/>
    </w:pPr>
    <w:rPr>
      <w:rFonts w:ascii="仿宋_GB2312" w:hAnsi="宋体" w:eastAsia="仿宋_GB2312"/>
      <w:kern w:val="28"/>
      <w:sz w:val="28"/>
      <w:szCs w:val="24"/>
    </w:rPr>
  </w:style>
  <w:style w:type="character" w:customStyle="1" w:styleId="399">
    <w:name w:val="普通文字1 Char"/>
    <w:qFormat/>
    <w:uiPriority w:val="0"/>
    <w:rPr>
      <w:rFonts w:ascii="宋体" w:eastAsia="宋体"/>
      <w:kern w:val="2"/>
      <w:sz w:val="21"/>
      <w:szCs w:val="21"/>
      <w:lang w:val="en-US" w:eastAsia="zh-CN" w:bidi="ar-SA"/>
    </w:rPr>
  </w:style>
  <w:style w:type="paragraph" w:customStyle="1" w:styleId="400">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401">
    <w:name w:val="标准文本 Char"/>
    <w:qFormat/>
    <w:uiPriority w:val="0"/>
    <w:rPr>
      <w:rFonts w:eastAsia="宋体" w:cs="宋体"/>
      <w:kern w:val="2"/>
      <w:sz w:val="24"/>
      <w:szCs w:val="24"/>
      <w:lang w:val="en-US" w:eastAsia="zh-CN" w:bidi="ar-SA"/>
    </w:rPr>
  </w:style>
  <w:style w:type="paragraph" w:customStyle="1" w:styleId="402">
    <w:name w:val="retrait3"/>
    <w:basedOn w:val="1"/>
    <w:qFormat/>
    <w:uiPriority w:val="0"/>
    <w:pPr>
      <w:widowControl/>
      <w:spacing w:before="20" w:after="20"/>
      <w:ind w:left="851"/>
      <w:jc w:val="left"/>
    </w:pPr>
    <w:rPr>
      <w:rFonts w:ascii="Arial" w:hAnsi="Arial"/>
      <w:kern w:val="0"/>
      <w:sz w:val="24"/>
      <w:lang w:val="en-GB"/>
    </w:rPr>
  </w:style>
  <w:style w:type="character" w:customStyle="1" w:styleId="403">
    <w:name w:val="明显引用 Char"/>
    <w:link w:val="206"/>
    <w:qFormat/>
    <w:uiPriority w:val="0"/>
    <w:rPr>
      <w:rFonts w:ascii="Calibri" w:hAnsi="Calibri" w:eastAsia="宋体"/>
      <w:b/>
      <w:bCs/>
      <w:i/>
      <w:iCs/>
      <w:sz w:val="22"/>
      <w:szCs w:val="22"/>
      <w:lang w:val="en-US" w:eastAsia="en-US" w:bidi="en-US"/>
    </w:rPr>
  </w:style>
  <w:style w:type="paragraph" w:customStyle="1" w:styleId="404">
    <w:name w:val="Char11"/>
    <w:basedOn w:val="1"/>
    <w:qFormat/>
    <w:uiPriority w:val="0"/>
    <w:pPr>
      <w:widowControl/>
      <w:spacing w:after="160" w:line="240" w:lineRule="exact"/>
      <w:jc w:val="left"/>
    </w:pPr>
    <w:rPr>
      <w:rFonts w:ascii="Verdana" w:hAnsi="Verdana" w:eastAsia="仿宋_GB2312"/>
      <w:kern w:val="0"/>
      <w:sz w:val="24"/>
      <w:lang w:eastAsia="en-US"/>
    </w:rPr>
  </w:style>
  <w:style w:type="character" w:customStyle="1" w:styleId="405">
    <w:name w:val="Subtle Emphasis_4d0051c7-dbfb-4a6d-9ad2-54930e59422d"/>
    <w:qFormat/>
    <w:uiPriority w:val="0"/>
    <w:rPr>
      <w:i/>
      <w:iCs/>
    </w:rPr>
  </w:style>
  <w:style w:type="paragraph" w:customStyle="1" w:styleId="406">
    <w:name w:val="Char Char Char Char Char Char Char Char Char Char Char Char Char Char1"/>
    <w:basedOn w:val="1"/>
    <w:qFormat/>
    <w:uiPriority w:val="0"/>
    <w:rPr>
      <w:rFonts w:ascii="Tahoma" w:hAnsi="Tahoma"/>
      <w:sz w:val="24"/>
    </w:rPr>
  </w:style>
  <w:style w:type="paragraph" w:customStyle="1" w:styleId="407">
    <w:name w:val="Normal1"/>
    <w:basedOn w:val="1"/>
    <w:qFormat/>
    <w:uiPriority w:val="0"/>
    <w:rPr>
      <w:rFonts w:ascii="Calibri" w:hAnsi="Calibri" w:eastAsia="Calibri" w:cs="宋体"/>
      <w:kern w:val="0"/>
      <w:lang w:val="zh-CN"/>
    </w:rPr>
  </w:style>
  <w:style w:type="paragraph" w:customStyle="1" w:styleId="408">
    <w:name w:val="xl56"/>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center"/>
      <w:textAlignment w:val="center"/>
    </w:pPr>
    <w:rPr>
      <w:b/>
      <w:bCs/>
      <w:kern w:val="0"/>
      <w:sz w:val="20"/>
    </w:rPr>
  </w:style>
  <w:style w:type="paragraph" w:customStyle="1" w:styleId="409">
    <w:name w:val="Char2"/>
    <w:basedOn w:val="1"/>
    <w:qFormat/>
    <w:uiPriority w:val="0"/>
    <w:rPr>
      <w:rFonts w:ascii="Tahoma" w:hAnsi="Tahoma" w:cs="仿宋_GB2312"/>
      <w:sz w:val="24"/>
      <w:szCs w:val="28"/>
    </w:rPr>
  </w:style>
  <w:style w:type="paragraph" w:customStyle="1" w:styleId="410">
    <w:name w:val="标题6"/>
    <w:basedOn w:val="6"/>
    <w:qFormat/>
    <w:uiPriority w:val="0"/>
    <w:pPr>
      <w:keepLines/>
      <w:numPr>
        <w:ilvl w:val="0"/>
        <w:numId w:val="4"/>
      </w:numPr>
      <w:autoSpaceDE/>
      <w:autoSpaceDN/>
      <w:adjustRightInd/>
    </w:pPr>
    <w:rPr>
      <w:rFonts w:ascii="Times New Roman"/>
      <w:b w:val="0"/>
      <w:bCs/>
      <w:color w:val="auto"/>
      <w:kern w:val="2"/>
      <w:sz w:val="24"/>
      <w:szCs w:val="28"/>
    </w:rPr>
  </w:style>
  <w:style w:type="character" w:customStyle="1" w:styleId="411">
    <w:name w:val="纯文本 Char Char Char"/>
    <w:qFormat/>
    <w:uiPriority w:val="0"/>
    <w:rPr>
      <w:rFonts w:ascii="宋体" w:hAnsi="Courier New" w:eastAsia="宋体"/>
      <w:kern w:val="2"/>
      <w:sz w:val="21"/>
      <w:szCs w:val="21"/>
      <w:lang w:val="en-US" w:eastAsia="zh-CN" w:bidi="ar-SA"/>
    </w:rPr>
  </w:style>
  <w:style w:type="paragraph" w:customStyle="1" w:styleId="412">
    <w:name w:val="索引 41"/>
    <w:basedOn w:val="1"/>
    <w:next w:val="1"/>
    <w:qFormat/>
    <w:uiPriority w:val="99"/>
    <w:pPr>
      <w:ind w:left="1260"/>
    </w:pPr>
    <w:rPr>
      <w:rFonts w:ascii="Calibri" w:hAnsi="Calibri"/>
      <w:szCs w:val="22"/>
    </w:rPr>
  </w:style>
  <w:style w:type="paragraph" w:customStyle="1" w:styleId="413">
    <w:name w:val="丁华标题1"/>
    <w:basedOn w:val="2"/>
    <w:next w:val="223"/>
    <w:qFormat/>
    <w:uiPriority w:val="0"/>
    <w:pPr>
      <w:keepLines/>
      <w:numPr>
        <w:ilvl w:val="0"/>
        <w:numId w:val="3"/>
      </w:numPr>
      <w:tabs>
        <w:tab w:val="clear" w:pos="5670"/>
      </w:tabs>
      <w:spacing w:before="600" w:after="120" w:line="578" w:lineRule="auto"/>
      <w:ind w:firstLine="0" w:firstLineChars="0"/>
    </w:pPr>
    <w:rPr>
      <w:rFonts w:ascii="Times New Roman"/>
      <w:b w:val="0"/>
      <w:sz w:val="32"/>
      <w:szCs w:val="20"/>
    </w:rPr>
  </w:style>
  <w:style w:type="paragraph" w:customStyle="1" w:styleId="414">
    <w:name w:val="公文标题 2"/>
    <w:basedOn w:val="1"/>
    <w:next w:val="398"/>
    <w:qFormat/>
    <w:uiPriority w:val="0"/>
    <w:pPr>
      <w:outlineLvl w:val="1"/>
    </w:pPr>
    <w:rPr>
      <w:rFonts w:ascii="仿宋_GB2312" w:hAnsi="宋体" w:eastAsia="仿宋_GB2312"/>
      <w:kern w:val="28"/>
      <w:sz w:val="28"/>
      <w:szCs w:val="24"/>
    </w:rPr>
  </w:style>
  <w:style w:type="paragraph" w:customStyle="1" w:styleId="415">
    <w:name w:val="中等深浅网格 1 - 强调文字颜色 21"/>
    <w:basedOn w:val="1"/>
    <w:qFormat/>
    <w:uiPriority w:val="0"/>
    <w:pPr>
      <w:ind w:firstLine="420" w:firstLineChars="200"/>
    </w:pPr>
    <w:rPr>
      <w:rFonts w:ascii="Calibri" w:hAnsi="Calibri"/>
      <w:szCs w:val="22"/>
    </w:rPr>
  </w:style>
  <w:style w:type="character" w:customStyle="1" w:styleId="416">
    <w:name w:val="标题 Char"/>
    <w:link w:val="57"/>
    <w:qFormat/>
    <w:uiPriority w:val="0"/>
    <w:rPr>
      <w:rFonts w:eastAsia="黑体"/>
      <w:b/>
      <w:sz w:val="28"/>
      <w:lang w:val="en-GB" w:eastAsia="zh-CN" w:bidi="ar-SA"/>
    </w:rPr>
  </w:style>
  <w:style w:type="character" w:customStyle="1" w:styleId="417">
    <w:name w:val="标题 3 Char1"/>
    <w:link w:val="4"/>
    <w:qFormat/>
    <w:uiPriority w:val="0"/>
    <w:rPr>
      <w:rFonts w:ascii="宋体" w:hAnsi="宋体" w:eastAsia="宋体"/>
      <w:b/>
      <w:kern w:val="2"/>
      <w:sz w:val="21"/>
      <w:szCs w:val="21"/>
      <w:shd w:val="clear" w:color="auto" w:fill="FFFFFF"/>
    </w:rPr>
  </w:style>
  <w:style w:type="character" w:customStyle="1" w:styleId="418">
    <w:name w:val="para_small"/>
    <w:qFormat/>
    <w:uiPriority w:val="0"/>
  </w:style>
  <w:style w:type="paragraph" w:customStyle="1" w:styleId="419">
    <w:name w:val="正文 A"/>
    <w:next w:val="420"/>
    <w:autoRedefine/>
    <w:qFormat/>
    <w:uiPriority w:val="0"/>
    <w:pPr>
      <w:framePr w:wrap="around" w:vAnchor="margin" w:hAnchor="text" w:yAlign="top"/>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420">
    <w:name w:val="文本块1"/>
    <w:autoRedefine/>
    <w:qFormat/>
    <w:uiPriority w:val="0"/>
    <w:pPr>
      <w:framePr w:wrap="around" w:vAnchor="margin" w:hAnchor="text" w:yAlign="top"/>
      <w:widowControl w:val="0"/>
      <w:spacing w:after="120"/>
      <w:ind w:left="1440" w:right="1440"/>
      <w:jc w:val="both"/>
    </w:pPr>
    <w:rPr>
      <w:rFonts w:ascii="Times New Roman" w:hAnsi="Times New Roman" w:eastAsia="Arial Unicode MS" w:cs="Arial Unicode MS"/>
      <w:color w:val="000000"/>
      <w:kern w:val="2"/>
      <w:sz w:val="21"/>
      <w:szCs w:val="21"/>
      <w:u w:color="000000"/>
      <w:lang w:val="en-US" w:eastAsia="zh-CN" w:bidi="ar-SA"/>
    </w:rPr>
  </w:style>
  <w:style w:type="character" w:customStyle="1" w:styleId="421">
    <w:name w:val="font51"/>
    <w:basedOn w:val="63"/>
    <w:qFormat/>
    <w:uiPriority w:val="0"/>
    <w:rPr>
      <w:rFonts w:hint="eastAsia" w:ascii="等线" w:hAnsi="等线" w:eastAsia="等线" w:cs="等线"/>
      <w:b/>
      <w:bCs/>
      <w:color w:val="000000"/>
      <w:sz w:val="28"/>
      <w:szCs w:val="28"/>
      <w:u w:val="none"/>
    </w:rPr>
  </w:style>
  <w:style w:type="character" w:customStyle="1" w:styleId="422">
    <w:name w:val="font41"/>
    <w:basedOn w:val="63"/>
    <w:qFormat/>
    <w:uiPriority w:val="0"/>
    <w:rPr>
      <w:rFonts w:hint="eastAsia" w:ascii="等线" w:hAnsi="等线" w:eastAsia="等线" w:cs="等线"/>
      <w:color w:val="FF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2051"/>
    <customShpInfo spid="_x0000_s2049"/>
    <customShpInfo spid="_x0000_s2050"/>
    <customShpInfo spid="_x0000_s2052"/>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59</Pages>
  <Words>22548</Words>
  <Characters>23705</Characters>
  <TotalTime>33</TotalTime>
  <ScaleCrop>false</ScaleCrop>
  <LinksUpToDate>false</LinksUpToDate>
  <CharactersWithSpaces>24245</CharactersWithSpaces>
  <Application>WPS Office_12.1.0.20784_F1E327BC-269C-435d-A152-05C5408002CA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2025-04-09T11:00:00Z</dcterms:created>
  <dc:creator>xiaoyu</dc:creator>
  <cp:lastModifiedBy>WPS_1677119466</cp:lastModifiedBy>
  <dcterms:modified xsi:type="dcterms:W3CDTF">2025-05-12T01:09:30Z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eyJoZGlkIjoiNjYxNTk2MmU4ZTU3Yzg0N2I1OTlhYjcyZmE1Y2UyNWMiLCJ1c2VySWQiOiIxNDc1NDk5MzAzIn0=</vt:lpwstr>
  </property>
  <property fmtid="{D5CDD505-2E9C-101B-9397-08002B2CF9AE}" pid="3" name="KSOProductBuildVer">
    <vt:lpwstr>2052-12.1.0.20784</vt:lpwstr>
  </property>
  <property fmtid="{D5CDD505-2E9C-101B-9397-08002B2CF9AE}" pid="4" name="ICV">
    <vt:lpwstr>3ABAC31DE0144C9786C14E4A457F2377_12</vt:lpwstr>
  </property>
</Properties>
</file>